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78E29" w14:textId="77777777" w:rsidR="00FC0900" w:rsidRPr="00B17044" w:rsidRDefault="00696652">
      <w:pPr>
        <w:spacing w:line="360" w:lineRule="auto"/>
        <w:jc w:val="both"/>
        <w:rPr>
          <w:rFonts w:ascii="Palatino Linotype" w:eastAsia="Palatino Linotype" w:hAnsi="Palatino Linotype" w:cs="Palatino Linotype"/>
        </w:rPr>
      </w:pPr>
      <w:bookmarkStart w:id="0" w:name="_heading=h.gjdgxs" w:colFirst="0" w:colLast="0"/>
      <w:bookmarkEnd w:id="0"/>
      <w:r w:rsidRPr="00B1704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nueve de noviembre de dos mil veintidós. </w:t>
      </w:r>
    </w:p>
    <w:p w14:paraId="1E25A4EC" w14:textId="77777777" w:rsidR="00FC0900" w:rsidRPr="00B17044" w:rsidRDefault="00FC0900">
      <w:pPr>
        <w:spacing w:line="360" w:lineRule="auto"/>
        <w:jc w:val="both"/>
        <w:rPr>
          <w:rFonts w:ascii="Palatino Linotype" w:eastAsia="Palatino Linotype" w:hAnsi="Palatino Linotype" w:cs="Palatino Linotype"/>
        </w:rPr>
      </w:pPr>
    </w:p>
    <w:p w14:paraId="2534A609" w14:textId="0A57CD6F"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b/>
          <w:sz w:val="28"/>
          <w:szCs w:val="28"/>
        </w:rPr>
        <w:t>VISTO</w:t>
      </w:r>
      <w:r w:rsidRPr="00B17044">
        <w:rPr>
          <w:rFonts w:ascii="Palatino Linotype" w:eastAsia="Palatino Linotype" w:hAnsi="Palatino Linotype" w:cs="Palatino Linotype"/>
        </w:rPr>
        <w:t xml:space="preserve"> el expediente formado con motivo del Recurso de Revisión </w:t>
      </w:r>
      <w:r w:rsidRPr="00B17044">
        <w:rPr>
          <w:rFonts w:ascii="Palatino Linotype" w:eastAsia="Palatino Linotype" w:hAnsi="Palatino Linotype" w:cs="Palatino Linotype"/>
          <w:b/>
        </w:rPr>
        <w:t xml:space="preserve">12322/INFOEM/IP/RR/2022, </w:t>
      </w:r>
      <w:r w:rsidRPr="00B17044">
        <w:rPr>
          <w:rFonts w:ascii="Palatino Linotype" w:eastAsia="Palatino Linotype" w:hAnsi="Palatino Linotype" w:cs="Palatino Linotype"/>
        </w:rPr>
        <w:t xml:space="preserve">promovido por </w:t>
      </w:r>
      <w:bookmarkStart w:id="1" w:name="_GoBack"/>
      <w:r w:rsidR="005330E7">
        <w:rPr>
          <w:rFonts w:ascii="Palatino Linotype" w:eastAsia="Palatino Linotype" w:hAnsi="Palatino Linotype" w:cs="Palatino Linotype"/>
          <w:b/>
        </w:rPr>
        <w:t>XXXXXXX XXXXXXXX X</w:t>
      </w:r>
      <w:bookmarkEnd w:id="1"/>
      <w:r w:rsidRPr="00B17044">
        <w:rPr>
          <w:rFonts w:ascii="Palatino Linotype" w:eastAsia="Palatino Linotype" w:hAnsi="Palatino Linotype" w:cs="Palatino Linotype"/>
          <w:b/>
        </w:rPr>
        <w:t>,</w:t>
      </w:r>
      <w:r w:rsidRPr="00B17044">
        <w:rPr>
          <w:rFonts w:ascii="Palatino Linotype" w:eastAsia="Palatino Linotype" w:hAnsi="Palatino Linotype" w:cs="Palatino Linotype"/>
        </w:rPr>
        <w:t xml:space="preserve"> a quien en lo sucesivo se le denominara como</w:t>
      </w:r>
      <w:r w:rsidRPr="00B17044">
        <w:rPr>
          <w:rFonts w:ascii="Palatino Linotype" w:eastAsia="Palatino Linotype" w:hAnsi="Palatino Linotype" w:cs="Palatino Linotype"/>
          <w:b/>
        </w:rPr>
        <w:t xml:space="preserve"> EL RECURRENTE,</w:t>
      </w:r>
      <w:r w:rsidRPr="00B17044">
        <w:rPr>
          <w:rFonts w:ascii="Palatino Linotype" w:eastAsia="Palatino Linotype" w:hAnsi="Palatino Linotype" w:cs="Palatino Linotype"/>
        </w:rPr>
        <w:t xml:space="preserve"> en contra de la respuesta del </w:t>
      </w:r>
      <w:r w:rsidRPr="00B17044">
        <w:rPr>
          <w:rFonts w:ascii="Palatino Linotype" w:eastAsia="Palatino Linotype" w:hAnsi="Palatino Linotype" w:cs="Palatino Linotype"/>
          <w:b/>
        </w:rPr>
        <w:t xml:space="preserve"> Ayuntamiento de Melchor Ocampo </w:t>
      </w:r>
      <w:r w:rsidRPr="00B17044">
        <w:rPr>
          <w:rFonts w:ascii="Palatino Linotype" w:eastAsia="Palatino Linotype" w:hAnsi="Palatino Linotype" w:cs="Palatino Linotype"/>
        </w:rPr>
        <w:t xml:space="preserve">en lo subsecuente se le denominará </w:t>
      </w:r>
      <w:r w:rsidRPr="00B17044">
        <w:rPr>
          <w:rFonts w:ascii="Palatino Linotype" w:eastAsia="Palatino Linotype" w:hAnsi="Palatino Linotype" w:cs="Palatino Linotype"/>
          <w:b/>
        </w:rPr>
        <w:t xml:space="preserve">EL SUJETO OBLIGADO, </w:t>
      </w:r>
      <w:r w:rsidRPr="00B17044">
        <w:rPr>
          <w:rFonts w:ascii="Palatino Linotype" w:eastAsia="Palatino Linotype" w:hAnsi="Palatino Linotype" w:cs="Palatino Linotype"/>
        </w:rPr>
        <w:t>se procede a dictar la presente resolución con base en lo siguiente:</w:t>
      </w:r>
    </w:p>
    <w:p w14:paraId="6FD278DD" w14:textId="77777777" w:rsidR="00FC0900" w:rsidRPr="00B17044" w:rsidRDefault="00FC0900">
      <w:pPr>
        <w:spacing w:line="360" w:lineRule="auto"/>
        <w:jc w:val="both"/>
        <w:rPr>
          <w:rFonts w:ascii="Palatino Linotype" w:eastAsia="Palatino Linotype" w:hAnsi="Palatino Linotype" w:cs="Palatino Linotype"/>
          <w:b/>
        </w:rPr>
      </w:pPr>
    </w:p>
    <w:p w14:paraId="7873AF11" w14:textId="77777777" w:rsidR="00FC0900" w:rsidRPr="00B17044" w:rsidRDefault="00696652">
      <w:pPr>
        <w:jc w:val="center"/>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ANTECEDENTES</w:t>
      </w:r>
    </w:p>
    <w:p w14:paraId="091017E4" w14:textId="77777777" w:rsidR="00FC0900" w:rsidRPr="00B17044" w:rsidRDefault="00FC0900">
      <w:pPr>
        <w:rPr>
          <w:rFonts w:ascii="Palatino Linotype" w:eastAsia="Palatino Linotype" w:hAnsi="Palatino Linotype" w:cs="Palatino Linotype"/>
          <w:b/>
        </w:rPr>
      </w:pPr>
    </w:p>
    <w:p w14:paraId="49712AEB" w14:textId="77777777" w:rsidR="00FC0900" w:rsidRPr="00B17044" w:rsidRDefault="00696652">
      <w:pPr>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I.</w:t>
      </w:r>
      <w:r w:rsidRPr="00B17044">
        <w:rPr>
          <w:rFonts w:ascii="Palatino Linotype" w:eastAsia="Palatino Linotype" w:hAnsi="Palatino Linotype" w:cs="Palatino Linotype"/>
          <w:b/>
        </w:rPr>
        <w:t xml:space="preserve"> </w:t>
      </w:r>
      <w:r w:rsidRPr="00B17044">
        <w:rPr>
          <w:rFonts w:ascii="Palatino Linotype" w:eastAsia="Palatino Linotype" w:hAnsi="Palatino Linotype" w:cs="Palatino Linotype"/>
          <w:b/>
          <w:sz w:val="28"/>
          <w:szCs w:val="28"/>
        </w:rPr>
        <w:t>De la Solicitud de Información</w:t>
      </w:r>
    </w:p>
    <w:p w14:paraId="15884FD7" w14:textId="77777777" w:rsidR="00FC0900" w:rsidRPr="00B17044" w:rsidRDefault="00696652">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B17044">
        <w:rPr>
          <w:rFonts w:ascii="Palatino Linotype" w:eastAsia="Palatino Linotype" w:hAnsi="Palatino Linotype" w:cs="Palatino Linotype"/>
        </w:rPr>
        <w:t xml:space="preserve">En fecha veinticuatro de mayo de dos mil veintidós,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presentó a través del Sistema de Acceso a la Información Mexiquense, en lo subsecuente </w:t>
      </w:r>
      <w:r w:rsidRPr="00B17044">
        <w:rPr>
          <w:rFonts w:ascii="Palatino Linotype" w:eastAsia="Palatino Linotype" w:hAnsi="Palatino Linotype" w:cs="Palatino Linotype"/>
          <w:b/>
        </w:rPr>
        <w:t>EL SAIMEX</w:t>
      </w:r>
      <w:r w:rsidRPr="00B17044">
        <w:rPr>
          <w:rFonts w:ascii="Palatino Linotype" w:eastAsia="Palatino Linotype" w:hAnsi="Palatino Linotype" w:cs="Palatino Linotype"/>
        </w:rPr>
        <w:t xml:space="preserve"> ante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la solicitud de acceso a la información pública, a la que se le asignó el número de expediente </w:t>
      </w:r>
      <w:r w:rsidRPr="00B17044">
        <w:rPr>
          <w:rFonts w:ascii="Palatino Linotype" w:eastAsia="Palatino Linotype" w:hAnsi="Palatino Linotype" w:cs="Palatino Linotype"/>
          <w:b/>
        </w:rPr>
        <w:t xml:space="preserve">00082/MELOCAM/IP/2022, </w:t>
      </w:r>
      <w:r w:rsidRPr="00B17044">
        <w:rPr>
          <w:rFonts w:ascii="Palatino Linotype" w:eastAsia="Palatino Linotype" w:hAnsi="Palatino Linotype" w:cs="Palatino Linotype"/>
        </w:rPr>
        <w:t>requirió, lo siguiente:</w:t>
      </w:r>
    </w:p>
    <w:p w14:paraId="296BB61C" w14:textId="77777777" w:rsidR="00FC0900" w:rsidRPr="00B17044" w:rsidRDefault="00696652">
      <w:pPr>
        <w:ind w:left="850" w:right="899"/>
        <w:jc w:val="both"/>
        <w:rPr>
          <w:rFonts w:ascii="Palatino Linotype" w:eastAsia="Palatino Linotype" w:hAnsi="Palatino Linotype" w:cs="Palatino Linotype"/>
          <w:sz w:val="22"/>
          <w:szCs w:val="22"/>
        </w:rPr>
      </w:pPr>
      <w:r w:rsidRPr="00B17044">
        <w:rPr>
          <w:rFonts w:ascii="Palatino Linotype" w:eastAsia="Palatino Linotype" w:hAnsi="Palatino Linotype" w:cs="Palatino Linotype"/>
          <w:i/>
          <w:sz w:val="22"/>
          <w:szCs w:val="22"/>
        </w:rPr>
        <w:t xml:space="preserve">“Teniendo como precedente la resolución del instituto de transparencia al recurso de revisión 02471/INFOEM/IP/RR/2022, solicito me sea entregada vía sistema saimex versión pública de la siguiente información: De los servidores públicos adscritos a la Presidencia, Secretaría del Ayuntamiento, Sindicatura, Primera Regiduría, Segunda Regiduría, Tercera Regiduría, Cuarta Regiduría. Quinta Regiduría, Sexta </w:t>
      </w:r>
      <w:r w:rsidRPr="00B17044">
        <w:rPr>
          <w:rFonts w:ascii="Palatino Linotype" w:eastAsia="Palatino Linotype" w:hAnsi="Palatino Linotype" w:cs="Palatino Linotype"/>
          <w:i/>
          <w:sz w:val="22"/>
          <w:szCs w:val="22"/>
        </w:rPr>
        <w:lastRenderedPageBreak/>
        <w:t xml:space="preserve">Regiduría, Séptima Regiduría, Tesorería, Contraloría Interna, Dirección de Administración, Dirección de Comunicación Social, Dirección de Obras Públicas, Dirección de Desarrollo Urbano y Medio Ambiente, Dirección de Seguridad Ciudadana y Movilidad, Dirección de Agua Potable, Drenaje y Alcantarillado, Dirección de Desarrollo Social, Dirección de Desarrollo Económico y Fomento al Empleo, Dirección Jurídica, Dirección de Servicios Públicos, Dirección de Atención a la Mujer, Coordinación Municipal de Gestión Integral de Riesgos, Protección Civil y Bomberos, Unidad de Transparencia y Sistema Municipal para el Desarrollo Integral de la Familia (DIF), de la actual Administración Municipal 2022-2024, la siguiente información: a) Documento donde conste su nombre, cargo, sueldo neto y bruto. b) Documentos donde conste el Perfil de Puestos que tenga vigente al </w:t>
      </w:r>
      <w:proofErr w:type="spellStart"/>
      <w:r w:rsidRPr="00B17044">
        <w:rPr>
          <w:rFonts w:ascii="Palatino Linotype" w:eastAsia="Palatino Linotype" w:hAnsi="Palatino Linotype" w:cs="Palatino Linotype"/>
          <w:i/>
          <w:sz w:val="22"/>
          <w:szCs w:val="22"/>
        </w:rPr>
        <w:t>veintitres</w:t>
      </w:r>
      <w:proofErr w:type="spellEnd"/>
      <w:r w:rsidRPr="00B17044">
        <w:rPr>
          <w:rFonts w:ascii="Palatino Linotype" w:eastAsia="Palatino Linotype" w:hAnsi="Palatino Linotype" w:cs="Palatino Linotype"/>
          <w:i/>
          <w:sz w:val="22"/>
          <w:szCs w:val="22"/>
        </w:rPr>
        <w:t xml:space="preserve"> de mayo de dos mil veintidós. c) Documento donde conste su información curricular. d) Documentos comprobatorios de su experiencia laboral. e) Documentos que acrediten la relación laboral con el Sujeto Obligado (nombramiento, contrato o Formato Único de Movimientos de Personal).” (sic)</w:t>
      </w:r>
    </w:p>
    <w:p w14:paraId="24362332" w14:textId="77777777" w:rsidR="00FC0900" w:rsidRPr="00B17044" w:rsidRDefault="00FC0900">
      <w:pPr>
        <w:tabs>
          <w:tab w:val="left" w:pos="851"/>
        </w:tabs>
        <w:ind w:right="901"/>
        <w:jc w:val="both"/>
        <w:rPr>
          <w:rFonts w:ascii="Palatino Linotype" w:eastAsia="Palatino Linotype" w:hAnsi="Palatino Linotype" w:cs="Palatino Linotype"/>
          <w:sz w:val="22"/>
          <w:szCs w:val="22"/>
        </w:rPr>
      </w:pPr>
    </w:p>
    <w:p w14:paraId="4BF0F288" w14:textId="77777777" w:rsidR="00FC0900" w:rsidRPr="00B17044" w:rsidRDefault="00696652">
      <w:pPr>
        <w:widowControl w:val="0"/>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rPr>
        <w:t xml:space="preserve">MODALIDAD DE ENTREGA: </w:t>
      </w:r>
      <w:r w:rsidRPr="00B17044">
        <w:rPr>
          <w:rFonts w:ascii="Palatino Linotype" w:eastAsia="Palatino Linotype" w:hAnsi="Palatino Linotype" w:cs="Palatino Linotype"/>
        </w:rPr>
        <w:t xml:space="preserve">Vía </w:t>
      </w:r>
      <w:r w:rsidRPr="00B17044">
        <w:rPr>
          <w:rFonts w:ascii="Palatino Linotype" w:eastAsia="Palatino Linotype" w:hAnsi="Palatino Linotype" w:cs="Palatino Linotype"/>
          <w:b/>
        </w:rPr>
        <w:t>SAIMEX.</w:t>
      </w:r>
    </w:p>
    <w:p w14:paraId="75951C2D" w14:textId="77777777" w:rsidR="00FC0900" w:rsidRPr="00B17044" w:rsidRDefault="00FC0900">
      <w:pPr>
        <w:tabs>
          <w:tab w:val="left" w:pos="7245"/>
        </w:tabs>
        <w:spacing w:line="360" w:lineRule="auto"/>
        <w:jc w:val="both"/>
        <w:rPr>
          <w:rFonts w:ascii="Palatino Linotype" w:eastAsia="Palatino Linotype" w:hAnsi="Palatino Linotype" w:cs="Palatino Linotype"/>
          <w:b/>
          <w:sz w:val="28"/>
          <w:szCs w:val="28"/>
        </w:rPr>
      </w:pPr>
    </w:p>
    <w:p w14:paraId="7466E334" w14:textId="77777777" w:rsidR="00FC0900" w:rsidRPr="00B17044" w:rsidRDefault="00696652">
      <w:pPr>
        <w:tabs>
          <w:tab w:val="left" w:pos="7245"/>
        </w:tabs>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II. Turno de requerimiento del Sujeto Obligado</w:t>
      </w:r>
      <w:r w:rsidRPr="00B17044">
        <w:rPr>
          <w:rFonts w:ascii="Palatino Linotype" w:eastAsia="Palatino Linotype" w:hAnsi="Palatino Linotype" w:cs="Palatino Linotype"/>
          <w:b/>
          <w:sz w:val="28"/>
          <w:szCs w:val="28"/>
        </w:rPr>
        <w:tab/>
      </w:r>
    </w:p>
    <w:p w14:paraId="2A2741A5"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De las constancias que obran en los expedientes electrónicos del SAIMEX se advierte en fecha veinticuatro de mayo de dos mil veintidós, el turno de requerimiento hecho al servidor público habilitado que se estimó competente, en términos de lo establecido por el artículo 162 de la Ley de Transparencia y Acceso a la Información Pública del Estado de México y Municipios.</w:t>
      </w:r>
    </w:p>
    <w:p w14:paraId="3F0E253E" w14:textId="77777777" w:rsidR="00FC0900" w:rsidRPr="00B17044" w:rsidRDefault="00696652">
      <w:pPr>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 xml:space="preserve"> </w:t>
      </w:r>
    </w:p>
    <w:p w14:paraId="1CB78E3F" w14:textId="77777777" w:rsidR="00CA5B2B" w:rsidRPr="00B17044" w:rsidRDefault="00CA5B2B">
      <w:pPr>
        <w:spacing w:line="360" w:lineRule="auto"/>
        <w:jc w:val="both"/>
        <w:rPr>
          <w:rFonts w:ascii="Palatino Linotype" w:eastAsia="Palatino Linotype" w:hAnsi="Palatino Linotype" w:cs="Palatino Linotype"/>
          <w:b/>
          <w:sz w:val="28"/>
          <w:szCs w:val="28"/>
        </w:rPr>
      </w:pPr>
    </w:p>
    <w:p w14:paraId="48D8CEBE" w14:textId="77777777" w:rsidR="00CA5B2B" w:rsidRPr="00B17044" w:rsidRDefault="00CA5B2B">
      <w:pPr>
        <w:spacing w:line="360" w:lineRule="auto"/>
        <w:jc w:val="both"/>
        <w:rPr>
          <w:rFonts w:ascii="Palatino Linotype" w:eastAsia="Palatino Linotype" w:hAnsi="Palatino Linotype" w:cs="Palatino Linotype"/>
          <w:b/>
          <w:sz w:val="28"/>
          <w:szCs w:val="28"/>
        </w:rPr>
      </w:pPr>
    </w:p>
    <w:p w14:paraId="40803048" w14:textId="77777777" w:rsidR="00FC0900" w:rsidRPr="00B17044" w:rsidRDefault="00696652">
      <w:pPr>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lastRenderedPageBreak/>
        <w:t xml:space="preserve">III. Prórroga </w:t>
      </w:r>
    </w:p>
    <w:p w14:paraId="10C90B28"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 En fecha catorce de junio de dos mil veintidós,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notificó la prórroga de siete días hábiles para dar respuesta a la solicitud de acceso a la </w:t>
      </w:r>
      <w:proofErr w:type="gramStart"/>
      <w:r w:rsidRPr="00B17044">
        <w:rPr>
          <w:rFonts w:ascii="Palatino Linotype" w:eastAsia="Palatino Linotype" w:hAnsi="Palatino Linotype" w:cs="Palatino Linotype"/>
        </w:rPr>
        <w:t>información ,</w:t>
      </w:r>
      <w:proofErr w:type="gramEnd"/>
      <w:r w:rsidRPr="00B17044">
        <w:rPr>
          <w:rFonts w:ascii="Palatino Linotype" w:eastAsia="Palatino Linotype" w:hAnsi="Palatino Linotype" w:cs="Palatino Linotype"/>
        </w:rPr>
        <w:t xml:space="preserve"> sin que se advierta Acta del Comité de Transparencia donde se haya aprobado dicha prórroga. </w:t>
      </w:r>
    </w:p>
    <w:p w14:paraId="0BBDBE93" w14:textId="77777777" w:rsidR="00CA5B2B" w:rsidRPr="00B17044" w:rsidRDefault="00CA5B2B">
      <w:pPr>
        <w:spacing w:line="360" w:lineRule="auto"/>
        <w:jc w:val="both"/>
        <w:rPr>
          <w:rFonts w:ascii="Palatino Linotype" w:eastAsia="Palatino Linotype" w:hAnsi="Palatino Linotype" w:cs="Palatino Linotype"/>
          <w:b/>
          <w:sz w:val="28"/>
          <w:szCs w:val="28"/>
        </w:rPr>
      </w:pPr>
    </w:p>
    <w:p w14:paraId="0944B3FE" w14:textId="77777777" w:rsidR="00FC0900" w:rsidRPr="00B17044" w:rsidRDefault="00696652">
      <w:pPr>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IV. Respuesta del Sujeto Obligado</w:t>
      </w:r>
    </w:p>
    <w:p w14:paraId="2BB9DFA8"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las constancias que obran en el expediente electrónico del SAIMEX se observa que en fecha veintitrés de junio dos mil veintidós,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dio respuesta a la solicitud de acceso a la información pública en los términos siguientes: </w:t>
      </w:r>
    </w:p>
    <w:p w14:paraId="14C5F558" w14:textId="77777777" w:rsidR="00FC0900" w:rsidRPr="00B17044" w:rsidRDefault="00696652">
      <w:pPr>
        <w:ind w:left="85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61E51F" w14:textId="77777777" w:rsidR="00FC0900" w:rsidRPr="00B17044" w:rsidRDefault="00696652">
      <w:pPr>
        <w:ind w:left="850" w:right="899"/>
        <w:jc w:val="both"/>
        <w:rPr>
          <w:rFonts w:ascii="Palatino Linotype" w:eastAsia="Palatino Linotype" w:hAnsi="Palatino Linotype" w:cs="Palatino Linotype"/>
        </w:rPr>
      </w:pPr>
      <w:r w:rsidRPr="00B17044">
        <w:rPr>
          <w:rFonts w:ascii="Palatino Linotype" w:eastAsia="Palatino Linotype" w:hAnsi="Palatino Linotype" w:cs="Palatino Linotype"/>
          <w:i/>
          <w:sz w:val="22"/>
          <w:szCs w:val="22"/>
        </w:rPr>
        <w:t xml:space="preserve">Estando en tiempo y forma en términos de los artículos 12, 150, 157, 163 y demás relativos de la Ley de Transparencia y Acceso a la Información Pública del Estado de México y Municipios vigente, con respecto a su petición 00082/MELOCAM/IP/2022 mediante el sistema SAIMEX, se le informa: se realiza cambio de modalidad a consulta directa, para dar respuesta a la solicitud con fundamento en el artículo 158 y demás aplicables de la Ley de Transparencia y Acceso a la Información Pública del Estado de México y Municipios. señalando los días catorce y quince de julio del presente año para la consulta directa en un horario de 09:00 a 15:00 horas, en las oficinas que ocupa la Dirección de Administración, en el palacio municipal de Melchor Ocampo, ubicado en. Adolfo López Mateos, Numero 72, Barrio Señor de los Milagros, Municipio de Melchor Ocampo, Estado de México, con atención de la C. Mariana Herrera Sánchez servidor público adscrito a dicha Dirección. En virtud de lo anterior la presente solicitud se archiva como concluida, y en términos del artículo 176, 177 y 178 de la Ley de Transparencia y Acceso a la </w:t>
      </w:r>
      <w:r w:rsidRPr="00B17044">
        <w:rPr>
          <w:rFonts w:ascii="Palatino Linotype" w:eastAsia="Palatino Linotype" w:hAnsi="Palatino Linotype" w:cs="Palatino Linotype"/>
          <w:i/>
          <w:sz w:val="22"/>
          <w:szCs w:val="22"/>
        </w:rPr>
        <w:lastRenderedPageBreak/>
        <w:t>Información del Estado de México y Municipios vigente se hace de su conocimiento que tiene el derecho de interponer el recurso de revisión en un término de quince días hábiles</w:t>
      </w:r>
      <w:proofErr w:type="gramStart"/>
      <w:r w:rsidRPr="00B17044">
        <w:rPr>
          <w:rFonts w:ascii="Palatino Linotype" w:eastAsia="Palatino Linotype" w:hAnsi="Palatino Linotype" w:cs="Palatino Linotype"/>
          <w:i/>
          <w:sz w:val="22"/>
          <w:szCs w:val="22"/>
        </w:rPr>
        <w:t>..”</w:t>
      </w:r>
      <w:proofErr w:type="gramEnd"/>
      <w:r w:rsidRPr="00B17044">
        <w:rPr>
          <w:rFonts w:ascii="Palatino Linotype" w:eastAsia="Palatino Linotype" w:hAnsi="Palatino Linotype" w:cs="Palatino Linotype"/>
          <w:i/>
          <w:sz w:val="22"/>
          <w:szCs w:val="22"/>
        </w:rPr>
        <w:t>(Sic)</w:t>
      </w:r>
    </w:p>
    <w:p w14:paraId="0B9F99ED" w14:textId="77777777" w:rsidR="00FC0900" w:rsidRPr="00B17044" w:rsidRDefault="00FC0900">
      <w:pPr>
        <w:spacing w:line="360" w:lineRule="auto"/>
        <w:jc w:val="both"/>
        <w:rPr>
          <w:rFonts w:ascii="Palatino Linotype" w:eastAsia="Palatino Linotype" w:hAnsi="Palatino Linotype" w:cs="Palatino Linotype"/>
        </w:rPr>
      </w:pPr>
    </w:p>
    <w:p w14:paraId="04E0CD67" w14:textId="77777777" w:rsidR="00FC0900" w:rsidRPr="00B17044" w:rsidRDefault="00696652">
      <w:pPr>
        <w:widowControl w:val="0"/>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sz w:val="28"/>
          <w:szCs w:val="28"/>
        </w:rPr>
        <w:t>IV.  Del Recurso de Revisión</w:t>
      </w:r>
      <w:r w:rsidRPr="00B17044">
        <w:rPr>
          <w:rFonts w:ascii="Palatino Linotype" w:eastAsia="Palatino Linotype" w:hAnsi="Palatino Linotype" w:cs="Palatino Linotype"/>
          <w:b/>
        </w:rPr>
        <w:t>.</w:t>
      </w:r>
    </w:p>
    <w:p w14:paraId="3F3493A7" w14:textId="77777777" w:rsidR="00FC0900" w:rsidRPr="00B17044" w:rsidRDefault="00696652">
      <w:pPr>
        <w:widowControl w:val="0"/>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Inconforme con la respuesta del</w:t>
      </w:r>
      <w:r w:rsidRPr="00B17044">
        <w:rPr>
          <w:rFonts w:ascii="Palatino Linotype" w:eastAsia="Palatino Linotype" w:hAnsi="Palatino Linotype" w:cs="Palatino Linotype"/>
          <w:b/>
        </w:rPr>
        <w:t xml:space="preserve"> SUJETO OBLIGADO</w:t>
      </w:r>
      <w:r w:rsidRPr="00B17044">
        <w:rPr>
          <w:rFonts w:ascii="Palatino Linotype" w:eastAsia="Palatino Linotype" w:hAnsi="Palatino Linotype" w:cs="Palatino Linotype"/>
        </w:rPr>
        <w:t xml:space="preserve">, el primero de julio de dos mil veintidós,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interpuso el Recurso de Revisión. El cual fue registrado en </w:t>
      </w:r>
      <w:r w:rsidRPr="00B17044">
        <w:rPr>
          <w:rFonts w:ascii="Palatino Linotype" w:eastAsia="Palatino Linotype" w:hAnsi="Palatino Linotype" w:cs="Palatino Linotype"/>
          <w:b/>
        </w:rPr>
        <w:t>EL SAIMEX</w:t>
      </w:r>
      <w:r w:rsidRPr="00B17044">
        <w:rPr>
          <w:rFonts w:ascii="Palatino Linotype" w:eastAsia="Palatino Linotype" w:hAnsi="Palatino Linotype" w:cs="Palatino Linotype"/>
        </w:rPr>
        <w:t xml:space="preserve"> y se le asignó el número de expediente </w:t>
      </w:r>
      <w:r w:rsidRPr="00B17044">
        <w:rPr>
          <w:rFonts w:ascii="Palatino Linotype" w:eastAsia="Palatino Linotype" w:hAnsi="Palatino Linotype" w:cs="Palatino Linotype"/>
          <w:b/>
        </w:rPr>
        <w:t xml:space="preserve">12322/INFOEM/IP/RR/2022, </w:t>
      </w:r>
      <w:r w:rsidRPr="00B17044">
        <w:rPr>
          <w:rFonts w:ascii="Palatino Linotype" w:eastAsia="Palatino Linotype" w:hAnsi="Palatino Linotype" w:cs="Palatino Linotype"/>
        </w:rPr>
        <w:t>donde los motivos de agravio del</w:t>
      </w:r>
      <w:r w:rsidRPr="00B17044">
        <w:rPr>
          <w:rFonts w:ascii="Palatino Linotype" w:eastAsia="Palatino Linotype" w:hAnsi="Palatino Linotype" w:cs="Palatino Linotype"/>
          <w:b/>
        </w:rPr>
        <w:t xml:space="preserve"> RECURRENTE </w:t>
      </w:r>
      <w:r w:rsidRPr="00B17044">
        <w:rPr>
          <w:rFonts w:ascii="Palatino Linotype" w:eastAsia="Palatino Linotype" w:hAnsi="Palatino Linotype" w:cs="Palatino Linotype"/>
        </w:rPr>
        <w:t>fueron los siguientes:</w:t>
      </w:r>
    </w:p>
    <w:p w14:paraId="5F114016" w14:textId="77777777" w:rsidR="00FC0900" w:rsidRPr="00B17044" w:rsidRDefault="00FC0900">
      <w:pPr>
        <w:widowControl w:val="0"/>
        <w:spacing w:line="360" w:lineRule="auto"/>
        <w:jc w:val="both"/>
        <w:rPr>
          <w:rFonts w:ascii="Palatino Linotype" w:eastAsia="Palatino Linotype" w:hAnsi="Palatino Linotype" w:cs="Palatino Linotype"/>
        </w:rPr>
      </w:pPr>
    </w:p>
    <w:p w14:paraId="33D484B4" w14:textId="77777777" w:rsidR="00FC0900" w:rsidRPr="00B17044" w:rsidRDefault="00696652">
      <w:pPr>
        <w:spacing w:line="360" w:lineRule="auto"/>
        <w:ind w:left="-57" w:right="-57"/>
        <w:jc w:val="both"/>
        <w:rPr>
          <w:rFonts w:ascii="Palatino Linotype" w:eastAsia="Palatino Linotype" w:hAnsi="Palatino Linotype" w:cs="Palatino Linotype"/>
          <w:b/>
          <w:u w:val="single"/>
        </w:rPr>
      </w:pPr>
      <w:r w:rsidRPr="00B17044">
        <w:rPr>
          <w:rFonts w:ascii="Palatino Linotype" w:eastAsia="Palatino Linotype" w:hAnsi="Palatino Linotype" w:cs="Palatino Linotype"/>
          <w:b/>
          <w:u w:val="single"/>
        </w:rPr>
        <w:t>Acto Impugnado:</w:t>
      </w:r>
      <w:r w:rsidRPr="00B17044">
        <w:rPr>
          <w:b/>
          <w:u w:val="single"/>
        </w:rPr>
        <w:t xml:space="preserve"> </w:t>
      </w:r>
    </w:p>
    <w:p w14:paraId="7AF3B8C4" w14:textId="77777777" w:rsidR="00FC0900" w:rsidRPr="00B17044" w:rsidRDefault="00696652">
      <w:pPr>
        <w:tabs>
          <w:tab w:val="left" w:pos="709"/>
        </w:tabs>
        <w:spacing w:before="66"/>
        <w:ind w:left="85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“NO SE ENTREGA LA INFORMACIÓN.”(</w:t>
      </w:r>
      <w:proofErr w:type="gramStart"/>
      <w:r w:rsidRPr="00B17044">
        <w:rPr>
          <w:rFonts w:ascii="Palatino Linotype" w:eastAsia="Palatino Linotype" w:hAnsi="Palatino Linotype" w:cs="Palatino Linotype"/>
          <w:i/>
          <w:sz w:val="22"/>
          <w:szCs w:val="22"/>
        </w:rPr>
        <w:t>sic</w:t>
      </w:r>
      <w:proofErr w:type="gramEnd"/>
      <w:r w:rsidRPr="00B17044">
        <w:rPr>
          <w:rFonts w:ascii="Palatino Linotype" w:eastAsia="Palatino Linotype" w:hAnsi="Palatino Linotype" w:cs="Palatino Linotype"/>
          <w:i/>
          <w:sz w:val="22"/>
          <w:szCs w:val="22"/>
        </w:rPr>
        <w:t>)</w:t>
      </w:r>
    </w:p>
    <w:p w14:paraId="73042D10" w14:textId="77777777" w:rsidR="00FC0900" w:rsidRPr="00B17044" w:rsidRDefault="00FC0900">
      <w:pPr>
        <w:ind w:right="899"/>
        <w:jc w:val="both"/>
        <w:rPr>
          <w:rFonts w:ascii="Palatino Linotype" w:eastAsia="Palatino Linotype" w:hAnsi="Palatino Linotype" w:cs="Palatino Linotype"/>
        </w:rPr>
      </w:pPr>
    </w:p>
    <w:p w14:paraId="0241B461" w14:textId="77777777" w:rsidR="00FC0900" w:rsidRPr="00B17044" w:rsidRDefault="00696652">
      <w:pPr>
        <w:spacing w:line="360" w:lineRule="auto"/>
        <w:ind w:right="49"/>
        <w:jc w:val="both"/>
        <w:rPr>
          <w:rFonts w:ascii="Palatino Linotype" w:eastAsia="Palatino Linotype" w:hAnsi="Palatino Linotype" w:cs="Palatino Linotype"/>
          <w:b/>
          <w:u w:val="single"/>
        </w:rPr>
      </w:pPr>
      <w:r w:rsidRPr="00B17044">
        <w:rPr>
          <w:rFonts w:ascii="Palatino Linotype" w:eastAsia="Palatino Linotype" w:hAnsi="Palatino Linotype" w:cs="Palatino Linotype"/>
          <w:b/>
          <w:u w:val="single"/>
        </w:rPr>
        <w:t>Razones o motivos de inconformidad:</w:t>
      </w:r>
    </w:p>
    <w:p w14:paraId="2DB1A091" w14:textId="77777777" w:rsidR="00FC0900" w:rsidRPr="00B17044" w:rsidRDefault="00696652">
      <w:pPr>
        <w:tabs>
          <w:tab w:val="left" w:pos="709"/>
        </w:tabs>
        <w:spacing w:before="66"/>
        <w:ind w:left="850" w:right="899"/>
        <w:jc w:val="both"/>
        <w:rPr>
          <w:rFonts w:ascii="Palatino Linotype" w:eastAsia="Palatino Linotype" w:hAnsi="Palatino Linotype" w:cs="Palatino Linotype"/>
          <w:b/>
          <w:u w:val="single"/>
        </w:rPr>
      </w:pPr>
      <w:r w:rsidRPr="00B17044">
        <w:rPr>
          <w:rFonts w:ascii="Palatino Linotype" w:eastAsia="Palatino Linotype" w:hAnsi="Palatino Linotype" w:cs="Palatino Linotype"/>
          <w:i/>
          <w:sz w:val="22"/>
          <w:szCs w:val="22"/>
        </w:rPr>
        <w:t>“EL SUJETO OBLIGADO PRETENDE CAMBIAR LA MODALIDAD DE LA ENTREGA DE INFORMACIÓN SIN SUSTENTAR DEBIDAMENTE LAS RAZONES DEL CAMBIO,”(sic)</w:t>
      </w:r>
    </w:p>
    <w:p w14:paraId="12699E6B" w14:textId="77777777" w:rsidR="00FC0900" w:rsidRPr="00B17044" w:rsidRDefault="00FC0900">
      <w:pPr>
        <w:spacing w:line="360" w:lineRule="auto"/>
        <w:jc w:val="both"/>
        <w:rPr>
          <w:rFonts w:ascii="Palatino Linotype" w:eastAsia="Palatino Linotype" w:hAnsi="Palatino Linotype" w:cs="Palatino Linotype"/>
        </w:rPr>
      </w:pPr>
    </w:p>
    <w:p w14:paraId="78EF1AC7" w14:textId="77777777" w:rsidR="00FC0900" w:rsidRPr="00B17044" w:rsidRDefault="00696652">
      <w:pPr>
        <w:spacing w:line="360" w:lineRule="auto"/>
        <w:jc w:val="both"/>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 xml:space="preserve">V. Del turno del Recurso de Revisión. </w:t>
      </w:r>
    </w:p>
    <w:p w14:paraId="07E32F12"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El uno de julio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B17044">
        <w:rPr>
          <w:rFonts w:ascii="Palatino Linotype" w:eastAsia="Palatino Linotype" w:hAnsi="Palatino Linotype" w:cs="Palatino Linotype"/>
        </w:rPr>
        <w:lastRenderedPageBreak/>
        <w:t xml:space="preserve">Pública del Estado de México y Municipios, se turnó a la </w:t>
      </w:r>
      <w:r w:rsidRPr="00B17044">
        <w:rPr>
          <w:rFonts w:ascii="Palatino Linotype" w:eastAsia="Palatino Linotype" w:hAnsi="Palatino Linotype" w:cs="Palatino Linotype"/>
          <w:b/>
        </w:rPr>
        <w:t>Comisionada Sharon Cristina Morales Martínez</w:t>
      </w:r>
      <w:r w:rsidRPr="00B17044">
        <w:rPr>
          <w:rFonts w:ascii="Palatino Linotype" w:eastAsia="Palatino Linotype" w:hAnsi="Palatino Linotype" w:cs="Palatino Linotype"/>
        </w:rPr>
        <w:t>; a efecto de decretar su admisión o desechamiento.</w:t>
      </w:r>
    </w:p>
    <w:p w14:paraId="319172DF" w14:textId="77777777" w:rsidR="00FC0900" w:rsidRPr="00B17044" w:rsidRDefault="00FC0900">
      <w:pPr>
        <w:spacing w:line="360" w:lineRule="auto"/>
        <w:jc w:val="both"/>
        <w:rPr>
          <w:rFonts w:ascii="Palatino Linotype" w:eastAsia="Palatino Linotype" w:hAnsi="Palatino Linotype" w:cs="Palatino Linotype"/>
        </w:rPr>
      </w:pPr>
    </w:p>
    <w:p w14:paraId="33F0AABB" w14:textId="77777777" w:rsidR="00FC0900" w:rsidRPr="00B17044" w:rsidRDefault="00696652">
      <w:pPr>
        <w:tabs>
          <w:tab w:val="center" w:pos="4252"/>
          <w:tab w:val="right" w:pos="8504"/>
        </w:tabs>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a) Admisión del Recurso de Revisión</w:t>
      </w:r>
    </w:p>
    <w:p w14:paraId="32D299FB" w14:textId="77777777" w:rsidR="00FC0900" w:rsidRPr="00B17044" w:rsidRDefault="00696652">
      <w:pPr>
        <w:tabs>
          <w:tab w:val="center" w:pos="4252"/>
          <w:tab w:val="right" w:pos="8504"/>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De las constancias que obran en el expediente electrónico del</w:t>
      </w:r>
      <w:r w:rsidRPr="00B17044">
        <w:rPr>
          <w:rFonts w:ascii="Palatino Linotype" w:eastAsia="Palatino Linotype" w:hAnsi="Palatino Linotype" w:cs="Palatino Linotype"/>
          <w:b/>
        </w:rPr>
        <w:t xml:space="preserve"> SAIMEX</w:t>
      </w:r>
      <w:r w:rsidRPr="00B17044">
        <w:rPr>
          <w:rFonts w:ascii="Palatino Linotype" w:eastAsia="Palatino Linotype" w:hAnsi="Palatino Linotype" w:cs="Palatino Linotype"/>
        </w:rPr>
        <w:t xml:space="preserve">, se advierte que en fecha cinco de julio de dos mil veintidós, se acordó la admisión a trámite del Recurso de Revisión que nos ocupa; así como la integración del expediente respectivo, mismo que se puso a disposición de las partes, para que en un plazo máximo de siete días hábiles </w:t>
      </w:r>
      <w:r w:rsidRPr="00B17044">
        <w:rPr>
          <w:rFonts w:ascii="Palatino Linotype" w:eastAsia="Palatino Linotype" w:hAnsi="Palatino Linotype" w:cs="Palatino Linotype"/>
          <w:b/>
        </w:rPr>
        <w:t xml:space="preserve">EL RECURRENTE </w:t>
      </w:r>
      <w:r w:rsidRPr="00B17044">
        <w:rPr>
          <w:rFonts w:ascii="Palatino Linotype" w:eastAsia="Palatino Linotype" w:hAnsi="Palatino Linotype" w:cs="Palatino Linotype"/>
        </w:rPr>
        <w:t xml:space="preserve">manifestara lo que a su derecho conviniera, a efecto de presentar pruebas y alegatos; así como, para que </w:t>
      </w:r>
      <w:r w:rsidRPr="00B17044">
        <w:rPr>
          <w:rFonts w:ascii="Palatino Linotype" w:eastAsia="Palatino Linotype" w:hAnsi="Palatino Linotype" w:cs="Palatino Linotype"/>
          <w:b/>
        </w:rPr>
        <w:t xml:space="preserve">EL SUJETO OBLIGADO </w:t>
      </w:r>
      <w:r w:rsidRPr="00B17044">
        <w:rPr>
          <w:rFonts w:ascii="Palatino Linotype" w:eastAsia="Palatino Linotype" w:hAnsi="Palatino Linotype" w:cs="Palatino Linotype"/>
        </w:rPr>
        <w:t>rindiera el correspondiente</w:t>
      </w:r>
      <w:r w:rsidRPr="00B17044">
        <w:rPr>
          <w:rFonts w:ascii="Palatino Linotype" w:eastAsia="Palatino Linotype" w:hAnsi="Palatino Linotype" w:cs="Palatino Linotype"/>
          <w:b/>
        </w:rPr>
        <w:t xml:space="preserve"> </w:t>
      </w:r>
      <w:r w:rsidRPr="00B1704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46A080D" w14:textId="77777777" w:rsidR="00FC0900" w:rsidRPr="00B17044" w:rsidRDefault="00FC0900">
      <w:pPr>
        <w:tabs>
          <w:tab w:val="center" w:pos="4252"/>
          <w:tab w:val="right" w:pos="8504"/>
        </w:tabs>
        <w:spacing w:line="360" w:lineRule="auto"/>
        <w:jc w:val="both"/>
        <w:rPr>
          <w:rFonts w:ascii="Palatino Linotype" w:eastAsia="Palatino Linotype" w:hAnsi="Palatino Linotype" w:cs="Palatino Linotype"/>
        </w:rPr>
      </w:pPr>
    </w:p>
    <w:p w14:paraId="02C3BAB6"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b) Informe Justificado</w:t>
      </w:r>
    </w:p>
    <w:p w14:paraId="29DE7F62" w14:textId="77777777" w:rsidR="00FC0900" w:rsidRPr="00B17044" w:rsidRDefault="00696652">
      <w:pPr>
        <w:widowControl w:val="0"/>
        <w:tabs>
          <w:tab w:val="left" w:pos="0"/>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Conforme a las constancias que obran en el expediente del </w:t>
      </w:r>
      <w:r w:rsidRPr="00B17044">
        <w:rPr>
          <w:rFonts w:ascii="Palatino Linotype" w:eastAsia="Palatino Linotype" w:hAnsi="Palatino Linotype" w:cs="Palatino Linotype"/>
          <w:b/>
        </w:rPr>
        <w:t>SAIMEX,</w:t>
      </w:r>
      <w:r w:rsidRPr="00B1704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B17044">
        <w:rPr>
          <w:rFonts w:ascii="Palatino Linotype" w:eastAsia="Palatino Linotype" w:hAnsi="Palatino Linotype" w:cs="Palatino Linotype"/>
          <w:b/>
        </w:rPr>
        <w:t xml:space="preserve"> RECURRENTE</w:t>
      </w:r>
      <w:r w:rsidRPr="00B17044">
        <w:rPr>
          <w:rFonts w:ascii="Palatino Linotype" w:eastAsia="Palatino Linotype" w:hAnsi="Palatino Linotype" w:cs="Palatino Linotype"/>
        </w:rPr>
        <w:t xml:space="preserve"> no presentó manifestaciones que a su derecho convinieran. </w:t>
      </w:r>
    </w:p>
    <w:p w14:paraId="57C98CF9" w14:textId="77777777" w:rsidR="00FC0900" w:rsidRPr="00B17044" w:rsidRDefault="00FC0900">
      <w:pPr>
        <w:widowControl w:val="0"/>
        <w:tabs>
          <w:tab w:val="left" w:pos="0"/>
        </w:tabs>
        <w:spacing w:line="360" w:lineRule="auto"/>
        <w:jc w:val="both"/>
        <w:rPr>
          <w:rFonts w:ascii="Palatino Linotype" w:eastAsia="Palatino Linotype" w:hAnsi="Palatino Linotype" w:cs="Palatino Linotype"/>
        </w:rPr>
      </w:pPr>
    </w:p>
    <w:p w14:paraId="6A320A0A" w14:textId="77777777" w:rsidR="00FC0900" w:rsidRPr="00B17044" w:rsidRDefault="00696652">
      <w:pPr>
        <w:widowControl w:val="0"/>
        <w:tabs>
          <w:tab w:val="left" w:pos="0"/>
        </w:tabs>
        <w:spacing w:line="360" w:lineRule="auto"/>
        <w:jc w:val="both"/>
        <w:rPr>
          <w:rFonts w:ascii="Palatino Linotype" w:eastAsia="Palatino Linotype" w:hAnsi="Palatino Linotype" w:cs="Palatino Linotype"/>
          <w:i/>
        </w:rPr>
      </w:pPr>
      <w:r w:rsidRPr="00B17044">
        <w:rPr>
          <w:rFonts w:ascii="Palatino Linotype" w:eastAsia="Palatino Linotype" w:hAnsi="Palatino Linotype" w:cs="Palatino Linotype"/>
        </w:rPr>
        <w:t xml:space="preserve">Por su parte,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presentó el documento denominado</w:t>
      </w:r>
      <w:r w:rsidRPr="00B17044">
        <w:rPr>
          <w:rFonts w:ascii="Palatino Linotype" w:eastAsia="Palatino Linotype" w:hAnsi="Palatino Linotype" w:cs="Palatino Linotype"/>
        </w:rPr>
        <w:lastRenderedPageBreak/>
        <w:tab/>
      </w:r>
      <w:r w:rsidRPr="00B17044">
        <w:rPr>
          <w:rFonts w:ascii="Palatino Linotype" w:eastAsia="Palatino Linotype" w:hAnsi="Palatino Linotype" w:cs="Palatino Linotype"/>
          <w:i/>
        </w:rPr>
        <w:t xml:space="preserve">Informe Justificado SIP 00082 - RR 12322.pdf, </w:t>
      </w:r>
      <w:r w:rsidRPr="00B17044">
        <w:rPr>
          <w:rFonts w:ascii="Palatino Linotype" w:eastAsia="Palatino Linotype" w:hAnsi="Palatino Linotype" w:cs="Palatino Linotype"/>
        </w:rPr>
        <w:t xml:space="preserve">mediante el cual ratifica el cambio de modalidad, señalando que la Administración Pública Municipal cuenta con un aproximado de 400 servidores públicos adscritos, por lo que no cuenta con la capacidad para efectuar la búsqueda y procesamiento de la información.  </w:t>
      </w:r>
    </w:p>
    <w:p w14:paraId="1CB81CD1" w14:textId="77777777" w:rsidR="00D06176" w:rsidRPr="00B17044" w:rsidRDefault="00D06176">
      <w:pPr>
        <w:widowControl w:val="0"/>
        <w:tabs>
          <w:tab w:val="left" w:pos="0"/>
        </w:tabs>
        <w:spacing w:line="360" w:lineRule="auto"/>
        <w:jc w:val="both"/>
        <w:rPr>
          <w:rFonts w:ascii="Palatino Linotype" w:eastAsia="Palatino Linotype" w:hAnsi="Palatino Linotype" w:cs="Palatino Linotype"/>
          <w:b/>
        </w:rPr>
      </w:pPr>
    </w:p>
    <w:p w14:paraId="5E364914" w14:textId="77777777" w:rsidR="00FC0900" w:rsidRPr="00B17044" w:rsidRDefault="00696652">
      <w:pPr>
        <w:widowControl w:val="0"/>
        <w:tabs>
          <w:tab w:val="left" w:pos="0"/>
        </w:tabs>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 xml:space="preserve">c) De la ampliación </w:t>
      </w:r>
    </w:p>
    <w:p w14:paraId="639E6539"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En fecha treinta y uno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4E9E1732" w14:textId="77777777" w:rsidR="00FC0900" w:rsidRPr="00B17044" w:rsidRDefault="00FC0900">
      <w:pPr>
        <w:shd w:val="clear" w:color="auto" w:fill="FFFFFF"/>
        <w:spacing w:line="360" w:lineRule="auto"/>
        <w:jc w:val="both"/>
        <w:rPr>
          <w:rFonts w:ascii="Palatino Linotype" w:eastAsia="Palatino Linotype" w:hAnsi="Palatino Linotype" w:cs="Palatino Linotype"/>
        </w:rPr>
      </w:pPr>
    </w:p>
    <w:p w14:paraId="21ECAAB0"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bookmarkStart w:id="3" w:name="_heading=h.tyjcwt" w:colFirst="0" w:colLast="0"/>
      <w:bookmarkEnd w:id="3"/>
      <w:r w:rsidRPr="00B17044">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5CED65"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B17044">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7B0BEBCB" w14:textId="77777777" w:rsidR="00FC0900" w:rsidRPr="00B17044" w:rsidRDefault="00FC0900">
      <w:pPr>
        <w:shd w:val="clear" w:color="auto" w:fill="FFFFFF"/>
        <w:spacing w:line="360" w:lineRule="auto"/>
        <w:jc w:val="both"/>
        <w:rPr>
          <w:rFonts w:ascii="Palatino Linotype" w:eastAsia="Palatino Linotype" w:hAnsi="Palatino Linotype" w:cs="Palatino Linotype"/>
        </w:rPr>
      </w:pPr>
    </w:p>
    <w:p w14:paraId="1361BC1E"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7A77A2"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4C4630"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p>
    <w:p w14:paraId="292D6C17" w14:textId="77777777" w:rsidR="00D06176" w:rsidRPr="00B17044" w:rsidRDefault="00696652">
      <w:pPr>
        <w:shd w:val="clear" w:color="auto" w:fill="FFFFFF"/>
        <w:spacing w:line="360" w:lineRule="auto"/>
        <w:ind w:left="720"/>
        <w:jc w:val="both"/>
        <w:rPr>
          <w:rFonts w:ascii="Palatino Linotype" w:eastAsia="Palatino Linotype" w:hAnsi="Palatino Linotype" w:cs="Palatino Linotype"/>
        </w:rPr>
      </w:pPr>
      <w:r w:rsidRPr="00B17044">
        <w:rPr>
          <w:rFonts w:ascii="Palatino Linotype" w:eastAsia="Palatino Linotype" w:hAnsi="Palatino Linotype" w:cs="Palatino Linotype"/>
        </w:rPr>
        <w:br/>
        <w:t>a)      Complejidad del asunto: La complejidad de la prueba, la pluralidad de sujetos procesales, el tiempo transcurrido, las características y contexto del recurso.</w:t>
      </w:r>
      <w:r w:rsidRPr="00B17044">
        <w:rPr>
          <w:rFonts w:ascii="Palatino Linotype" w:eastAsia="Palatino Linotype" w:hAnsi="Palatino Linotype" w:cs="Palatino Linotype"/>
        </w:rPr>
        <w:br/>
        <w:t>b)     Actividad Procesal del interesado: Acciones u omisiones del interesado.</w:t>
      </w:r>
      <w:r w:rsidRPr="00B17044">
        <w:rPr>
          <w:rFonts w:ascii="Palatino Linotype" w:eastAsia="Palatino Linotype" w:hAnsi="Palatino Linotype" w:cs="Palatino Linotype"/>
        </w:rPr>
        <w:br/>
        <w:t xml:space="preserve">c)      Conducta de la Autoridad: Las Acciones u omisiones realizadas en el </w:t>
      </w:r>
      <w:r w:rsidRPr="00B17044">
        <w:rPr>
          <w:rFonts w:ascii="Palatino Linotype" w:eastAsia="Palatino Linotype" w:hAnsi="Palatino Linotype" w:cs="Palatino Linotype"/>
        </w:rPr>
        <w:lastRenderedPageBreak/>
        <w:t>procedimiento. Así como si la autoridad actuó con la debida diligencia.</w:t>
      </w:r>
      <w:r w:rsidRPr="00B17044">
        <w:rPr>
          <w:rFonts w:ascii="Palatino Linotype" w:eastAsia="Palatino Linotype" w:hAnsi="Palatino Linotype" w:cs="Palatino Linotype"/>
        </w:rPr>
        <w:br/>
        <w:t>d) La afectación generada en la situación jurídica de la persona involucrada en el proceso: Violación a sus derechos humanos.</w:t>
      </w:r>
    </w:p>
    <w:p w14:paraId="4E98813A" w14:textId="77777777" w:rsidR="00D06176" w:rsidRPr="00B17044" w:rsidRDefault="00D06176">
      <w:pPr>
        <w:shd w:val="clear" w:color="auto" w:fill="FFFFFF"/>
        <w:spacing w:line="360" w:lineRule="auto"/>
        <w:ind w:left="720"/>
        <w:jc w:val="both"/>
        <w:rPr>
          <w:rFonts w:ascii="Palatino Linotype" w:eastAsia="Palatino Linotype" w:hAnsi="Palatino Linotype" w:cs="Palatino Linotype"/>
        </w:rPr>
      </w:pPr>
    </w:p>
    <w:p w14:paraId="4BA263DD" w14:textId="77777777" w:rsidR="00FC0900" w:rsidRPr="00B17044" w:rsidRDefault="00696652">
      <w:pPr>
        <w:shd w:val="clear" w:color="auto" w:fill="FFFFFF"/>
        <w:spacing w:line="360" w:lineRule="auto"/>
        <w:ind w:left="720"/>
        <w:jc w:val="both"/>
        <w:rPr>
          <w:rFonts w:ascii="Palatino Linotype" w:eastAsia="Palatino Linotype" w:hAnsi="Palatino Linotype" w:cs="Palatino Linotype"/>
        </w:rPr>
      </w:pPr>
      <w:r w:rsidRPr="00B1704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DDEE4D"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t xml:space="preserve">Argumento que encuentra sustento en la jurisprudencia P./J. 32/92 emitida por el Pleno de la Suprema Corte de Justicia de la Nación de rubro </w:t>
      </w:r>
      <w:r w:rsidRPr="00B1704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17044">
        <w:rPr>
          <w:rFonts w:ascii="Palatino Linotype" w:eastAsia="Palatino Linotype" w:hAnsi="Palatino Linotype" w:cs="Palatino Linotype"/>
        </w:rPr>
        <w:t>, visible en la Gaceta del Seminario Judicial de la Federación con el registro digital 205635.</w:t>
      </w:r>
      <w:r w:rsidRPr="00B17044">
        <w:rPr>
          <w:rFonts w:ascii="Palatino Linotype" w:eastAsia="Palatino Linotype" w:hAnsi="Palatino Linotype" w:cs="Palatino Linotype"/>
        </w:rPr>
        <w:br/>
      </w:r>
      <w:r w:rsidRPr="00B17044">
        <w:rPr>
          <w:rFonts w:ascii="Palatino Linotype" w:eastAsia="Palatino Linotype" w:hAnsi="Palatino Linotype" w:cs="Palatino Linotype"/>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B17044">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0BD1B8"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p>
    <w:p w14:paraId="10796034"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r>
      <w:r w:rsidRPr="00B17044">
        <w:rPr>
          <w:rFonts w:ascii="Palatino Linotype" w:eastAsia="Palatino Linotype" w:hAnsi="Palatino Linotype" w:cs="Palatino Linotype"/>
          <w:i/>
        </w:rPr>
        <w:t>“PLAZO RAZONABLE PARA RESOLVER. DIMENSIÓN Y EFECTOS DE ESTE CONCEPTO CUANDO SE ADUCE EXCESIVA CARGA DE TRABAJO.”</w:t>
      </w:r>
      <w:r w:rsidRPr="00B17044">
        <w:rPr>
          <w:rFonts w:ascii="Palatino Linotype" w:eastAsia="Palatino Linotype" w:hAnsi="Palatino Linotype" w:cs="Palatino Linotype"/>
        </w:rPr>
        <w:t xml:space="preserve"> consultable en el Seminario Judicial de la Federación y su gaceta, con el registro digital 2002351.</w:t>
      </w:r>
    </w:p>
    <w:p w14:paraId="1B6C7526"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r>
      <w:r w:rsidRPr="00B17044">
        <w:rPr>
          <w:rFonts w:ascii="Palatino Linotype" w:eastAsia="Palatino Linotype" w:hAnsi="Palatino Linotype" w:cs="Palatino Linotype"/>
          <w:i/>
        </w:rPr>
        <w:t xml:space="preserve">“PLAZO RAZONABLE PARA RESOLVER. CONCEPTO Y ELEMENTOS QUE LO INTEGRAN A LA LUZ DEL DERECHO INTERNACIONAL DE LOS DERECHOS HUMANOS.”, </w:t>
      </w:r>
      <w:r w:rsidRPr="00B17044">
        <w:rPr>
          <w:rFonts w:ascii="Palatino Linotype" w:eastAsia="Palatino Linotype" w:hAnsi="Palatino Linotype" w:cs="Palatino Linotype"/>
        </w:rPr>
        <w:t>visible en el Seminario Judicial de la Federación y su gaceta, con el registro digital 2002350.</w:t>
      </w:r>
    </w:p>
    <w:p w14:paraId="2AD6E682" w14:textId="77777777" w:rsidR="00FC0900" w:rsidRPr="00B17044" w:rsidRDefault="00696652">
      <w:pPr>
        <w:shd w:val="clear" w:color="auto" w:fill="FFFFFF"/>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br/>
        <w:t xml:space="preserve">Por ello, este organismo garante comprometido con la tutela de los derechos humanos </w:t>
      </w:r>
      <w:r w:rsidRPr="00B17044">
        <w:rPr>
          <w:rFonts w:ascii="Palatino Linotype" w:eastAsia="Palatino Linotype" w:hAnsi="Palatino Linotype" w:cs="Palatino Linotype"/>
        </w:rPr>
        <w:lastRenderedPageBreak/>
        <w:t>confiados, señala que este exceso del plazo legal para resolver el presente asunto, resulta de carácter excepcional.</w:t>
      </w:r>
    </w:p>
    <w:p w14:paraId="1155C971" w14:textId="77777777" w:rsidR="00FC0900" w:rsidRPr="00B17044" w:rsidRDefault="00FC0900">
      <w:pPr>
        <w:shd w:val="clear" w:color="auto" w:fill="FFFFFF"/>
        <w:spacing w:line="360" w:lineRule="auto"/>
        <w:jc w:val="both"/>
        <w:rPr>
          <w:rFonts w:ascii="Palatino Linotype" w:eastAsia="Palatino Linotype" w:hAnsi="Palatino Linotype" w:cs="Palatino Linotype"/>
        </w:rPr>
      </w:pPr>
    </w:p>
    <w:p w14:paraId="231DC114"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 xml:space="preserve">c) Requerimiento de información adicional </w:t>
      </w:r>
    </w:p>
    <w:p w14:paraId="4784EB9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fecha seis de octubre de dos mil veintidós se realizó un requerimiento de información adicional al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xml:space="preserve">, solicitando que aportara mayores elementos para fundar y motivar de forma adecuada el cambio de modalidad referido en respuesta. </w:t>
      </w:r>
    </w:p>
    <w:p w14:paraId="514FCD96" w14:textId="77777777" w:rsidR="00FC0900" w:rsidRPr="00B17044" w:rsidRDefault="00FC0900">
      <w:pPr>
        <w:shd w:val="clear" w:color="auto" w:fill="FFFFFF"/>
        <w:spacing w:line="360" w:lineRule="auto"/>
        <w:jc w:val="both"/>
        <w:rPr>
          <w:rFonts w:ascii="Palatino Linotype" w:eastAsia="Palatino Linotype" w:hAnsi="Palatino Linotype" w:cs="Palatino Linotype"/>
        </w:rPr>
      </w:pPr>
    </w:p>
    <w:p w14:paraId="7D8ECE60"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d) Cierre de Instrucción</w:t>
      </w:r>
    </w:p>
    <w:p w14:paraId="6A9045B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lo que, una vez analizado el estado procesal que guarda el expediente, en fecha </w:t>
      </w:r>
      <w:r w:rsidR="005667A2">
        <w:rPr>
          <w:rFonts w:ascii="Palatino Linotype" w:eastAsia="Palatino Linotype" w:hAnsi="Palatino Linotype" w:cs="Palatino Linotype"/>
          <w:b/>
          <w:lang w:val="es-419"/>
        </w:rPr>
        <w:t>ocho</w:t>
      </w:r>
      <w:r w:rsidRPr="00B17044">
        <w:rPr>
          <w:rFonts w:ascii="Palatino Linotype" w:eastAsia="Palatino Linotype" w:hAnsi="Palatino Linotype" w:cs="Palatino Linotype"/>
          <w:b/>
        </w:rPr>
        <w:t xml:space="preserve"> de noviembre de dos mil veintidós</w:t>
      </w:r>
      <w:r w:rsidRPr="00B17044">
        <w:rPr>
          <w:rFonts w:ascii="Palatino Linotype" w:eastAsia="Palatino Linotype" w:hAnsi="Palatino Linotype" w:cs="Palatino Linotype"/>
        </w:rPr>
        <w:t xml:space="preserve">, la </w:t>
      </w:r>
      <w:r w:rsidRPr="00B17044">
        <w:rPr>
          <w:rFonts w:ascii="Palatino Linotype" w:eastAsia="Palatino Linotype" w:hAnsi="Palatino Linotype" w:cs="Palatino Linotype"/>
          <w:b/>
        </w:rPr>
        <w:t xml:space="preserve">Comisionada Sharon Cristina Morales Martínez </w:t>
      </w:r>
      <w:r w:rsidRPr="00B17044">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3BD05015" w14:textId="77777777" w:rsidR="00FC0900" w:rsidRPr="00B17044" w:rsidRDefault="00FC0900">
      <w:pPr>
        <w:jc w:val="center"/>
        <w:rPr>
          <w:rFonts w:ascii="Palatino Linotype" w:eastAsia="Palatino Linotype" w:hAnsi="Palatino Linotype" w:cs="Palatino Linotype"/>
          <w:b/>
          <w:sz w:val="28"/>
          <w:szCs w:val="28"/>
        </w:rPr>
      </w:pPr>
    </w:p>
    <w:p w14:paraId="419D0919" w14:textId="77777777" w:rsidR="00FC0900" w:rsidRPr="00B17044" w:rsidRDefault="00696652">
      <w:pPr>
        <w:jc w:val="center"/>
        <w:rPr>
          <w:rFonts w:ascii="Palatino Linotype" w:eastAsia="Palatino Linotype" w:hAnsi="Palatino Linotype" w:cs="Palatino Linotype"/>
          <w:b/>
          <w:sz w:val="28"/>
          <w:szCs w:val="28"/>
        </w:rPr>
      </w:pPr>
      <w:r w:rsidRPr="00B17044">
        <w:rPr>
          <w:rFonts w:ascii="Palatino Linotype" w:eastAsia="Palatino Linotype" w:hAnsi="Palatino Linotype" w:cs="Palatino Linotype"/>
          <w:b/>
          <w:sz w:val="28"/>
          <w:szCs w:val="28"/>
        </w:rPr>
        <w:t>CONSIDERANDO</w:t>
      </w:r>
    </w:p>
    <w:p w14:paraId="4072EB42" w14:textId="77777777" w:rsidR="00FC0900" w:rsidRPr="00B17044" w:rsidRDefault="00FC0900">
      <w:pPr>
        <w:jc w:val="center"/>
        <w:rPr>
          <w:rFonts w:ascii="Palatino Linotype" w:eastAsia="Palatino Linotype" w:hAnsi="Palatino Linotype" w:cs="Palatino Linotype"/>
          <w:b/>
          <w:sz w:val="28"/>
          <w:szCs w:val="28"/>
        </w:rPr>
      </w:pPr>
    </w:p>
    <w:p w14:paraId="13B82164" w14:textId="77777777" w:rsidR="00FC0900" w:rsidRPr="00B17044" w:rsidRDefault="00696652">
      <w:pPr>
        <w:widowControl w:val="0"/>
        <w:tabs>
          <w:tab w:val="left" w:pos="1701"/>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b/>
          <w:sz w:val="28"/>
          <w:szCs w:val="28"/>
        </w:rPr>
        <w:t>PRIMERO.</w:t>
      </w:r>
      <w:r w:rsidRPr="00B17044">
        <w:rPr>
          <w:rFonts w:ascii="Palatino Linotype" w:eastAsia="Palatino Linotype" w:hAnsi="Palatino Linotype" w:cs="Palatino Linotype"/>
          <w:b/>
        </w:rPr>
        <w:t xml:space="preserve"> Competencia</w:t>
      </w:r>
      <w:r w:rsidRPr="00B17044">
        <w:rPr>
          <w:rFonts w:ascii="Palatino Linotype" w:eastAsia="Palatino Linotype" w:hAnsi="Palatino Linotype" w:cs="Palatino Linotype"/>
        </w:rPr>
        <w:t>.</w:t>
      </w:r>
      <w:r w:rsidRPr="00B17044">
        <w:rPr>
          <w:rFonts w:ascii="Palatino Linotype" w:eastAsia="Palatino Linotype" w:hAnsi="Palatino Linotype" w:cs="Palatino Linotype"/>
          <w:b/>
        </w:rPr>
        <w:t xml:space="preserve"> </w:t>
      </w:r>
    </w:p>
    <w:p w14:paraId="19E5A7B6" w14:textId="77777777" w:rsidR="00FC0900" w:rsidRPr="00B17044" w:rsidRDefault="00696652">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B1704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B17044">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A5FB54E" w14:textId="77777777" w:rsidR="00FC0900" w:rsidRPr="00B17044" w:rsidRDefault="00FC0900">
      <w:pPr>
        <w:spacing w:line="360" w:lineRule="auto"/>
        <w:jc w:val="both"/>
        <w:rPr>
          <w:rFonts w:ascii="Palatino Linotype" w:eastAsia="Palatino Linotype" w:hAnsi="Palatino Linotype" w:cs="Palatino Linotype"/>
          <w:b/>
          <w:sz w:val="28"/>
          <w:szCs w:val="28"/>
        </w:rPr>
      </w:pPr>
    </w:p>
    <w:p w14:paraId="64BB300D"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sz w:val="28"/>
          <w:szCs w:val="28"/>
        </w:rPr>
        <w:t>SEGUNDO</w:t>
      </w:r>
      <w:r w:rsidRPr="00B17044">
        <w:rPr>
          <w:rFonts w:ascii="Palatino Linotype" w:eastAsia="Palatino Linotype" w:hAnsi="Palatino Linotype" w:cs="Palatino Linotype"/>
          <w:b/>
        </w:rPr>
        <w:t xml:space="preserve">. Interés. </w:t>
      </w:r>
    </w:p>
    <w:p w14:paraId="7C2F3DD5" w14:textId="77777777" w:rsidR="00FC0900" w:rsidRPr="00B17044" w:rsidRDefault="00696652">
      <w:pPr>
        <w:spacing w:line="360" w:lineRule="auto"/>
        <w:jc w:val="both"/>
        <w:rPr>
          <w:rFonts w:ascii="Palatino Linotype" w:eastAsia="Palatino Linotype" w:hAnsi="Palatino Linotype" w:cs="Palatino Linotype"/>
          <w:b/>
          <w:color w:val="000000"/>
        </w:rPr>
      </w:pPr>
      <w:r w:rsidRPr="00B17044">
        <w:rPr>
          <w:rFonts w:ascii="Palatino Linotype" w:eastAsia="Palatino Linotype" w:hAnsi="Palatino Linotype" w:cs="Palatino Linotype"/>
        </w:rPr>
        <w:t>El</w:t>
      </w:r>
      <w:r w:rsidRPr="00B17044">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B17044">
        <w:rPr>
          <w:rFonts w:ascii="Palatino Linotype" w:eastAsia="Palatino Linotype" w:hAnsi="Palatino Linotype" w:cs="Palatino Linotype"/>
          <w:b/>
        </w:rPr>
        <w:t>EL</w:t>
      </w:r>
      <w:r w:rsidRPr="00B17044">
        <w:rPr>
          <w:rFonts w:ascii="Palatino Linotype" w:eastAsia="Palatino Linotype" w:hAnsi="Palatino Linotype" w:cs="Palatino Linotype"/>
          <w:b/>
          <w:color w:val="000000"/>
        </w:rPr>
        <w:t xml:space="preserve"> RECURRENTE,</w:t>
      </w:r>
      <w:r w:rsidRPr="00B17044">
        <w:rPr>
          <w:rFonts w:ascii="Palatino Linotype" w:eastAsia="Palatino Linotype" w:hAnsi="Palatino Linotype" w:cs="Palatino Linotype"/>
          <w:color w:val="000000"/>
        </w:rPr>
        <w:t xml:space="preserve"> quien es la misma persona que formuló la solicitud de acceso a la información pública al </w:t>
      </w:r>
      <w:r w:rsidRPr="00B17044">
        <w:rPr>
          <w:rFonts w:ascii="Palatino Linotype" w:eastAsia="Palatino Linotype" w:hAnsi="Palatino Linotype" w:cs="Palatino Linotype"/>
          <w:b/>
          <w:color w:val="000000"/>
        </w:rPr>
        <w:t xml:space="preserve">SUJETO OBLIGADO, </w:t>
      </w:r>
      <w:r w:rsidRPr="00B17044">
        <w:rPr>
          <w:rFonts w:ascii="Palatino Linotype" w:eastAsia="Palatino Linotype" w:hAnsi="Palatino Linotype" w:cs="Palatino Linotype"/>
          <w:color w:val="000000"/>
        </w:rPr>
        <w:t xml:space="preserve">pues para ello, es necesario que el particular ingrese al </w:t>
      </w:r>
      <w:r w:rsidRPr="00B17044">
        <w:rPr>
          <w:rFonts w:ascii="Palatino Linotype" w:eastAsia="Palatino Linotype" w:hAnsi="Palatino Linotype" w:cs="Palatino Linotype"/>
          <w:b/>
          <w:color w:val="000000"/>
        </w:rPr>
        <w:t xml:space="preserve">SAIMEX </w:t>
      </w:r>
      <w:r w:rsidRPr="00B17044">
        <w:rPr>
          <w:rFonts w:ascii="Palatino Linotype" w:eastAsia="Palatino Linotype" w:hAnsi="Palatino Linotype" w:cs="Palatino Linotype"/>
          <w:color w:val="000000"/>
        </w:rPr>
        <w:t>mediante la utilización de su clave de usuario y contraseña.</w:t>
      </w:r>
    </w:p>
    <w:p w14:paraId="3B640FC9" w14:textId="77777777" w:rsidR="00FC0900" w:rsidRPr="00B17044" w:rsidRDefault="00FC090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8BE7228" w14:textId="77777777" w:rsidR="00FC0900" w:rsidRPr="00B17044" w:rsidRDefault="00696652">
      <w:pPr>
        <w:tabs>
          <w:tab w:val="center" w:pos="4252"/>
          <w:tab w:val="right" w:pos="8504"/>
        </w:tabs>
        <w:spacing w:line="360" w:lineRule="auto"/>
        <w:ind w:left="-57"/>
        <w:jc w:val="both"/>
        <w:rPr>
          <w:rFonts w:ascii="Palatino Linotype" w:eastAsia="Palatino Linotype" w:hAnsi="Palatino Linotype" w:cs="Palatino Linotype"/>
          <w:color w:val="000000"/>
        </w:rPr>
      </w:pPr>
      <w:r w:rsidRPr="00B17044">
        <w:rPr>
          <w:rFonts w:ascii="Palatino Linotype" w:eastAsia="Palatino Linotype" w:hAnsi="Palatino Linotype" w:cs="Palatino Linotype"/>
          <w:b/>
          <w:sz w:val="28"/>
          <w:szCs w:val="28"/>
        </w:rPr>
        <w:t>TERCERO.</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b/>
          <w:color w:val="000000"/>
        </w:rPr>
        <w:t>Oportunidad</w:t>
      </w:r>
      <w:r w:rsidRPr="00B17044">
        <w:rPr>
          <w:rFonts w:ascii="Palatino Linotype" w:eastAsia="Palatino Linotype" w:hAnsi="Palatino Linotype" w:cs="Palatino Linotype"/>
          <w:color w:val="000000"/>
        </w:rPr>
        <w:t xml:space="preserve">. </w:t>
      </w:r>
    </w:p>
    <w:p w14:paraId="0D2E1DBC" w14:textId="77777777" w:rsidR="00FC0900" w:rsidRPr="00B17044" w:rsidRDefault="00696652">
      <w:pPr>
        <w:widowControl w:val="0"/>
        <w:tabs>
          <w:tab w:val="left" w:pos="1701"/>
        </w:tabs>
        <w:spacing w:line="360" w:lineRule="auto"/>
        <w:ind w:right="49"/>
        <w:jc w:val="both"/>
        <w:rPr>
          <w:rFonts w:ascii="Palatino Linotype" w:eastAsia="Palatino Linotype" w:hAnsi="Palatino Linotype" w:cs="Palatino Linotype"/>
          <w:b/>
        </w:rPr>
      </w:pPr>
      <w:r w:rsidRPr="00B17044">
        <w:rPr>
          <w:rFonts w:ascii="Palatino Linotype" w:eastAsia="Palatino Linotype" w:hAnsi="Palatino Linotype" w:cs="Palatino Linotype"/>
        </w:rPr>
        <w:t xml:space="preserve">El Recurso de Revisión fue interpuesto dentro del plazo de quince días hábiles, contados a partir del día siguiente al que </w:t>
      </w:r>
      <w:r w:rsidRPr="00B17044">
        <w:rPr>
          <w:rFonts w:ascii="Palatino Linotype" w:eastAsia="Palatino Linotype" w:hAnsi="Palatino Linotype" w:cs="Palatino Linotype"/>
          <w:b/>
        </w:rPr>
        <w:t xml:space="preserve">EL RECURRENTE </w:t>
      </w:r>
      <w:r w:rsidRPr="00B1704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3D37676D" w14:textId="77777777" w:rsidR="00FC0900" w:rsidRPr="00B17044" w:rsidRDefault="00FC0900">
      <w:pPr>
        <w:ind w:left="720" w:right="709"/>
        <w:jc w:val="both"/>
        <w:rPr>
          <w:rFonts w:ascii="Palatino Linotype" w:eastAsia="Palatino Linotype" w:hAnsi="Palatino Linotype" w:cs="Palatino Linotype"/>
          <w:i/>
          <w:sz w:val="22"/>
          <w:szCs w:val="22"/>
        </w:rPr>
      </w:pPr>
    </w:p>
    <w:p w14:paraId="118787EF" w14:textId="77777777" w:rsidR="00FC0900" w:rsidRPr="00B17044" w:rsidRDefault="00696652">
      <w:pPr>
        <w:ind w:left="851"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w:t>
      </w:r>
      <w:r w:rsidRPr="00B17044">
        <w:rPr>
          <w:rFonts w:ascii="Palatino Linotype" w:eastAsia="Palatino Linotype" w:hAnsi="Palatino Linotype" w:cs="Palatino Linotype"/>
          <w:b/>
          <w:i/>
          <w:sz w:val="22"/>
          <w:szCs w:val="22"/>
        </w:rPr>
        <w:t>Artículo 178.</w:t>
      </w:r>
      <w:r w:rsidRPr="00B1704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7768C4E" w14:textId="77777777" w:rsidR="00FC0900" w:rsidRPr="00B17044" w:rsidRDefault="00FC0900">
      <w:pPr>
        <w:ind w:left="851" w:right="899"/>
        <w:jc w:val="both"/>
        <w:rPr>
          <w:rFonts w:ascii="Palatino Linotype" w:eastAsia="Palatino Linotype" w:hAnsi="Palatino Linotype" w:cs="Palatino Linotype"/>
          <w:i/>
          <w:sz w:val="22"/>
          <w:szCs w:val="22"/>
        </w:rPr>
      </w:pPr>
    </w:p>
    <w:p w14:paraId="39F153D1" w14:textId="77777777" w:rsidR="00FC0900" w:rsidRPr="00B17044" w:rsidRDefault="00696652">
      <w:pPr>
        <w:ind w:left="851"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A295DB3" w14:textId="77777777" w:rsidR="00FC0900" w:rsidRPr="00B17044" w:rsidRDefault="00FC0900">
      <w:pPr>
        <w:ind w:left="851" w:right="899"/>
        <w:jc w:val="both"/>
        <w:rPr>
          <w:rFonts w:ascii="Palatino Linotype" w:eastAsia="Palatino Linotype" w:hAnsi="Palatino Linotype" w:cs="Palatino Linotype"/>
          <w:i/>
          <w:sz w:val="22"/>
          <w:szCs w:val="22"/>
        </w:rPr>
      </w:pPr>
    </w:p>
    <w:p w14:paraId="1FFCA7FF" w14:textId="77777777" w:rsidR="00FC0900" w:rsidRPr="00B17044" w:rsidRDefault="00696652">
      <w:pPr>
        <w:ind w:left="851"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AC5A0CD" w14:textId="77777777" w:rsidR="00FC0900" w:rsidRPr="00B17044" w:rsidRDefault="00FC0900">
      <w:pPr>
        <w:ind w:left="720" w:right="709"/>
        <w:jc w:val="both"/>
        <w:rPr>
          <w:rFonts w:ascii="Palatino Linotype" w:eastAsia="Palatino Linotype" w:hAnsi="Palatino Linotype" w:cs="Palatino Linotype"/>
          <w:i/>
          <w:sz w:val="22"/>
          <w:szCs w:val="22"/>
        </w:rPr>
      </w:pPr>
    </w:p>
    <w:p w14:paraId="4AB6B708"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esa tesitura, atendiendo a que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notificó la respuesta a la solicitud de acceso a la información pública el día</w:t>
      </w:r>
      <w:r w:rsidRPr="00B17044">
        <w:rPr>
          <w:rFonts w:ascii="Palatino Linotype" w:eastAsia="Palatino Linotype" w:hAnsi="Palatino Linotype" w:cs="Palatino Linotype"/>
          <w:b/>
        </w:rPr>
        <w:t xml:space="preserve"> veintitrés de junio de dos mil veintidós</w:t>
      </w:r>
      <w:r w:rsidRPr="00B17044">
        <w:rPr>
          <w:rFonts w:ascii="Palatino Linotype" w:eastAsia="Palatino Linotype" w:hAnsi="Palatino Linotype" w:cs="Palatino Linotype"/>
        </w:rPr>
        <w:t>, así el plazo de quince días hábiles que el artículo 178 de la Ley de la materia otorga al</w:t>
      </w:r>
      <w:r w:rsidRPr="00B17044">
        <w:rPr>
          <w:rFonts w:ascii="Palatino Linotype" w:eastAsia="Palatino Linotype" w:hAnsi="Palatino Linotype" w:cs="Palatino Linotype"/>
          <w:b/>
        </w:rPr>
        <w:t xml:space="preserve"> RECURRENTE</w:t>
      </w:r>
      <w:r w:rsidRPr="00B17044">
        <w:rPr>
          <w:rFonts w:ascii="Palatino Linotype" w:eastAsia="Palatino Linotype" w:hAnsi="Palatino Linotype" w:cs="Palatino Linotype"/>
        </w:rPr>
        <w:t xml:space="preserve"> para presentar el respectivo Recurso de Revisión, transcurrió del</w:t>
      </w:r>
      <w:r w:rsidRPr="00B17044">
        <w:rPr>
          <w:rFonts w:ascii="Palatino Linotype" w:eastAsia="Palatino Linotype" w:hAnsi="Palatino Linotype" w:cs="Palatino Linotype"/>
          <w:b/>
        </w:rPr>
        <w:t xml:space="preserve"> veinticuatro de junio al catorce de julio de dos mil veintidós, </w:t>
      </w:r>
      <w:r w:rsidRPr="00B17044">
        <w:rPr>
          <w:rFonts w:ascii="Palatino Linotype" w:eastAsia="Palatino Linotype" w:hAnsi="Palatino Linotype" w:cs="Palatino Linotype"/>
        </w:rPr>
        <w:t xml:space="preserve">sin contemplar en el cómputo los días veinticinco y veintiséis de junio, así como dos, tres, nueve y diez de julio, por corresponder a sábados y domingos, considerados como días inhábiles, en términos del artículo 3, fracción X de la Ley de Transparencia y Acceso a la Información Pública del Estado de México y Municipios. </w:t>
      </w:r>
    </w:p>
    <w:p w14:paraId="5E989096" w14:textId="77777777" w:rsidR="00FC0900" w:rsidRPr="00B17044" w:rsidRDefault="00FC0900">
      <w:pPr>
        <w:spacing w:line="360" w:lineRule="auto"/>
        <w:jc w:val="both"/>
        <w:rPr>
          <w:rFonts w:ascii="Palatino Linotype" w:eastAsia="Palatino Linotype" w:hAnsi="Palatino Linotype" w:cs="Palatino Linotype"/>
        </w:rPr>
      </w:pPr>
      <w:bookmarkStart w:id="5" w:name="_heading=h.eun8cwjpndvv" w:colFirst="0" w:colLast="0"/>
      <w:bookmarkEnd w:id="5"/>
    </w:p>
    <w:p w14:paraId="1DEFACCD" w14:textId="77777777" w:rsidR="00FC0900" w:rsidRPr="00B17044" w:rsidRDefault="00696652">
      <w:pPr>
        <w:spacing w:line="360" w:lineRule="auto"/>
        <w:ind w:left="-5" w:hanging="10"/>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ese tenor, se advierte que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presentó el medio de impugnación, el día uno de julio de dos mil veintidós y por tanto su interposición se considera Oportuna.   </w:t>
      </w:r>
    </w:p>
    <w:p w14:paraId="0EC4F3F1" w14:textId="77777777" w:rsidR="00FC0900" w:rsidRPr="00B17044" w:rsidRDefault="00696652">
      <w:pPr>
        <w:spacing w:line="360" w:lineRule="auto"/>
        <w:ind w:right="49"/>
        <w:jc w:val="both"/>
        <w:rPr>
          <w:rFonts w:ascii="Palatino Linotype" w:eastAsia="Palatino Linotype" w:hAnsi="Palatino Linotype" w:cs="Palatino Linotype"/>
          <w:b/>
        </w:rPr>
      </w:pPr>
      <w:r w:rsidRPr="00B17044">
        <w:rPr>
          <w:rFonts w:ascii="Palatino Linotype" w:eastAsia="Palatino Linotype" w:hAnsi="Palatino Linotype" w:cs="Palatino Linotype"/>
          <w:b/>
          <w:sz w:val="28"/>
          <w:szCs w:val="28"/>
        </w:rPr>
        <w:lastRenderedPageBreak/>
        <w:t>CUARTO</w:t>
      </w:r>
      <w:r w:rsidRPr="00B17044">
        <w:rPr>
          <w:rFonts w:ascii="Palatino Linotype" w:eastAsia="Palatino Linotype" w:hAnsi="Palatino Linotype" w:cs="Palatino Linotype"/>
          <w:b/>
        </w:rPr>
        <w:t xml:space="preserve">. Procedibilidad. </w:t>
      </w:r>
    </w:p>
    <w:p w14:paraId="34CF1242"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06FC402D" w14:textId="77777777" w:rsidR="00FC0900" w:rsidRPr="00B17044" w:rsidRDefault="00FC0900">
      <w:pPr>
        <w:ind w:right="49"/>
        <w:jc w:val="both"/>
        <w:rPr>
          <w:rFonts w:ascii="Palatino Linotype" w:eastAsia="Palatino Linotype" w:hAnsi="Palatino Linotype" w:cs="Palatino Linotype"/>
        </w:rPr>
      </w:pPr>
    </w:p>
    <w:p w14:paraId="1636BBCB" w14:textId="77777777" w:rsidR="00FC0900" w:rsidRPr="00B17044" w:rsidRDefault="00696652">
      <w:pPr>
        <w:tabs>
          <w:tab w:val="left" w:pos="851"/>
        </w:tabs>
        <w:ind w:left="851" w:right="901"/>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 xml:space="preserve">“Artículo 180. </w:t>
      </w:r>
      <w:r w:rsidRPr="00B17044">
        <w:rPr>
          <w:rFonts w:ascii="Palatino Linotype" w:eastAsia="Palatino Linotype" w:hAnsi="Palatino Linotype" w:cs="Palatino Linotype"/>
          <w:i/>
          <w:sz w:val="22"/>
          <w:szCs w:val="22"/>
        </w:rPr>
        <w:t>El Recurso de Revisión contendrá:</w:t>
      </w:r>
      <w:r w:rsidRPr="00B17044">
        <w:rPr>
          <w:rFonts w:ascii="Palatino Linotype" w:eastAsia="Palatino Linotype" w:hAnsi="Palatino Linotype" w:cs="Palatino Linotype"/>
          <w:b/>
          <w:i/>
          <w:sz w:val="22"/>
          <w:szCs w:val="22"/>
        </w:rPr>
        <w:t xml:space="preserve"> </w:t>
      </w:r>
    </w:p>
    <w:p w14:paraId="4CCF0C20" w14:textId="77777777" w:rsidR="00FC0900" w:rsidRPr="00B17044" w:rsidRDefault="00696652">
      <w:pPr>
        <w:tabs>
          <w:tab w:val="left" w:pos="851"/>
        </w:tabs>
        <w:ind w:left="851" w:right="901"/>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w:t>
      </w:r>
    </w:p>
    <w:p w14:paraId="3E10F600" w14:textId="77777777" w:rsidR="00FC0900" w:rsidRPr="00B17044" w:rsidRDefault="00696652">
      <w:pPr>
        <w:tabs>
          <w:tab w:val="left" w:pos="851"/>
        </w:tabs>
        <w:ind w:left="851"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II. El nombre del solicitante que recurre </w:t>
      </w:r>
      <w:r w:rsidRPr="00B17044">
        <w:rPr>
          <w:rFonts w:ascii="Palatino Linotype" w:eastAsia="Palatino Linotype" w:hAnsi="Palatino Linotype" w:cs="Palatino Linotype"/>
          <w:i/>
          <w:sz w:val="22"/>
          <w:szCs w:val="22"/>
        </w:rPr>
        <w:t>o de su representante y, en su caso, …</w:t>
      </w:r>
    </w:p>
    <w:p w14:paraId="2BBA37B1" w14:textId="77777777" w:rsidR="00FC0900" w:rsidRPr="00B17044" w:rsidRDefault="00696652">
      <w:pPr>
        <w:tabs>
          <w:tab w:val="left" w:pos="851"/>
        </w:tabs>
        <w:ind w:left="851" w:right="901"/>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B17044">
        <w:rPr>
          <w:rFonts w:ascii="Palatino Linotype" w:eastAsia="Palatino Linotype" w:hAnsi="Palatino Linotype" w:cs="Palatino Linotype"/>
          <w:i/>
          <w:sz w:val="22"/>
          <w:szCs w:val="22"/>
        </w:rPr>
        <w:t>, IV, VII y VIII.</w:t>
      </w:r>
      <w:r w:rsidRPr="00B17044">
        <w:rPr>
          <w:rFonts w:ascii="Palatino Linotype" w:eastAsia="Palatino Linotype" w:hAnsi="Palatino Linotype" w:cs="Palatino Linotype"/>
          <w:b/>
          <w:i/>
          <w:sz w:val="22"/>
          <w:szCs w:val="22"/>
        </w:rPr>
        <w:t>”</w:t>
      </w:r>
    </w:p>
    <w:p w14:paraId="21F7450A" w14:textId="77777777" w:rsidR="00FC0900" w:rsidRPr="00B17044" w:rsidRDefault="00696652">
      <w:pPr>
        <w:tabs>
          <w:tab w:val="left" w:pos="851"/>
        </w:tabs>
        <w:ind w:left="851"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(Énfasis añadido)</w:t>
      </w:r>
    </w:p>
    <w:p w14:paraId="26204BE7" w14:textId="77777777" w:rsidR="00FC0900" w:rsidRPr="00B17044" w:rsidRDefault="00FC0900">
      <w:pPr>
        <w:spacing w:line="360" w:lineRule="auto"/>
        <w:jc w:val="both"/>
        <w:rPr>
          <w:rFonts w:ascii="Palatino Linotype" w:eastAsia="Palatino Linotype" w:hAnsi="Palatino Linotype" w:cs="Palatino Linotype"/>
        </w:rPr>
      </w:pPr>
    </w:p>
    <w:p w14:paraId="400CAA65"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B17044">
        <w:rPr>
          <w:rFonts w:ascii="Palatino Linotype" w:eastAsia="Palatino Linotype" w:hAnsi="Palatino Linotype" w:cs="Palatino Linotype"/>
          <w:b/>
        </w:rPr>
        <w:t xml:space="preserve"> RECURRENTE;</w:t>
      </w:r>
      <w:r w:rsidRPr="00B17044">
        <w:rPr>
          <w:rFonts w:ascii="Palatino Linotype" w:eastAsia="Palatino Linotype" w:hAnsi="Palatino Linotype" w:cs="Palatino Linotype"/>
        </w:rPr>
        <w:t xml:space="preserve"> por lo que, en el presente caso, al haber sido presentado el Recurso de Revisión vía </w:t>
      </w:r>
      <w:r w:rsidRPr="00B17044">
        <w:rPr>
          <w:rFonts w:ascii="Palatino Linotype" w:eastAsia="Palatino Linotype" w:hAnsi="Palatino Linotype" w:cs="Palatino Linotype"/>
          <w:b/>
        </w:rPr>
        <w:t>SAIMEX</w:t>
      </w:r>
      <w:r w:rsidRPr="00B17044">
        <w:rPr>
          <w:rFonts w:ascii="Palatino Linotype" w:eastAsia="Palatino Linotype" w:hAnsi="Palatino Linotype" w:cs="Palatino Linotype"/>
        </w:rPr>
        <w:t>, dicho requisito resulta innecesario.</w:t>
      </w:r>
    </w:p>
    <w:p w14:paraId="40F1B77D" w14:textId="77777777" w:rsidR="00FC0900" w:rsidRPr="00B17044" w:rsidRDefault="00FC0900">
      <w:pPr>
        <w:spacing w:line="360" w:lineRule="auto"/>
        <w:jc w:val="both"/>
        <w:rPr>
          <w:rFonts w:ascii="Palatino Linotype" w:eastAsia="Palatino Linotype" w:hAnsi="Palatino Linotype" w:cs="Palatino Linotype"/>
        </w:rPr>
      </w:pPr>
    </w:p>
    <w:p w14:paraId="1419053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B17044">
        <w:rPr>
          <w:rFonts w:ascii="Palatino Linotype" w:eastAsia="Palatino Linotype" w:hAnsi="Palatino Linotype" w:cs="Palatino Linotype"/>
          <w:b/>
          <w:u w:val="single"/>
        </w:rPr>
        <w:t xml:space="preserve">el </w:t>
      </w:r>
      <w:r w:rsidRPr="00B17044">
        <w:rPr>
          <w:rFonts w:ascii="Palatino Linotype" w:eastAsia="Palatino Linotype" w:hAnsi="Palatino Linotype" w:cs="Palatino Linotype"/>
          <w:b/>
          <w:u w:val="single"/>
        </w:rPr>
        <w:lastRenderedPageBreak/>
        <w:t xml:space="preserve">nombre no es un requisito </w:t>
      </w:r>
      <w:r w:rsidRPr="00B17044">
        <w:rPr>
          <w:rFonts w:ascii="Palatino Linotype" w:eastAsia="Palatino Linotype" w:hAnsi="Palatino Linotype" w:cs="Palatino Linotype"/>
          <w:b/>
          <w:i/>
          <w:u w:val="single"/>
        </w:rPr>
        <w:t>sine qua non</w:t>
      </w:r>
      <w:r w:rsidRPr="00B17044">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EEAABEF" w14:textId="77777777" w:rsidR="00FC0900" w:rsidRPr="00B17044" w:rsidRDefault="00FC0900">
      <w:pPr>
        <w:spacing w:line="360" w:lineRule="auto"/>
        <w:jc w:val="both"/>
        <w:rPr>
          <w:rFonts w:ascii="Palatino Linotype" w:eastAsia="Palatino Linotype" w:hAnsi="Palatino Linotype" w:cs="Palatino Linotype"/>
        </w:rPr>
      </w:pPr>
    </w:p>
    <w:p w14:paraId="2BD2C133" w14:textId="77777777" w:rsidR="00FC0900" w:rsidRPr="00B17044" w:rsidRDefault="00696652">
      <w:pPr>
        <w:spacing w:line="360" w:lineRule="auto"/>
        <w:jc w:val="both"/>
        <w:rPr>
          <w:rFonts w:ascii="Palatino Linotype" w:eastAsia="Palatino Linotype" w:hAnsi="Palatino Linotype" w:cs="Palatino Linotype"/>
          <w:sz w:val="22"/>
          <w:szCs w:val="22"/>
        </w:rPr>
      </w:pPr>
      <w:r w:rsidRPr="00B17044">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F4A7F0B" w14:textId="77777777" w:rsidR="00FC0900" w:rsidRPr="00B17044" w:rsidRDefault="00FC0900">
      <w:pPr>
        <w:spacing w:line="360" w:lineRule="auto"/>
        <w:jc w:val="both"/>
        <w:rPr>
          <w:rFonts w:ascii="Palatino Linotype" w:eastAsia="Palatino Linotype" w:hAnsi="Palatino Linotype" w:cs="Palatino Linotype"/>
        </w:rPr>
      </w:pPr>
    </w:p>
    <w:p w14:paraId="77F8A7B4"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Asimismo, se estima que el requisito relativo al nombre del </w:t>
      </w:r>
      <w:r w:rsidRPr="00B17044">
        <w:rPr>
          <w:rFonts w:ascii="Palatino Linotype" w:eastAsia="Palatino Linotype" w:hAnsi="Palatino Linotype" w:cs="Palatino Linotype"/>
          <w:b/>
        </w:rPr>
        <w:t>RECURRENTE</w:t>
      </w:r>
      <w:r w:rsidRPr="00B17044">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17044">
        <w:rPr>
          <w:rFonts w:ascii="Palatino Linotype" w:eastAsia="Palatino Linotype" w:hAnsi="Palatino Linotype" w:cs="Palatino Linotype"/>
        </w:rPr>
        <w:lastRenderedPageBreak/>
        <w:t xml:space="preserve">de las que se desprende que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es la misma persona que realizó la solicitud de acceso a la información pública que ahora se impugna.</w:t>
      </w:r>
    </w:p>
    <w:p w14:paraId="19469503" w14:textId="77777777" w:rsidR="00FC0900" w:rsidRPr="00B17044" w:rsidRDefault="00FC0900">
      <w:pPr>
        <w:spacing w:line="360" w:lineRule="auto"/>
        <w:jc w:val="both"/>
        <w:rPr>
          <w:rFonts w:ascii="Palatino Linotype" w:eastAsia="Palatino Linotype" w:hAnsi="Palatino Linotype" w:cs="Palatino Linotype"/>
        </w:rPr>
      </w:pPr>
    </w:p>
    <w:p w14:paraId="43CF47DE"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204D6D6" w14:textId="77777777" w:rsidR="00FC0900" w:rsidRPr="00B17044" w:rsidRDefault="00FC0900">
      <w:pPr>
        <w:spacing w:line="360" w:lineRule="auto"/>
        <w:jc w:val="both"/>
        <w:rPr>
          <w:rFonts w:ascii="Palatino Linotype" w:eastAsia="Palatino Linotype" w:hAnsi="Palatino Linotype" w:cs="Palatino Linotype"/>
        </w:rPr>
      </w:pPr>
    </w:p>
    <w:p w14:paraId="0EB2724A"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sz w:val="28"/>
          <w:szCs w:val="28"/>
        </w:rPr>
        <w:t>QUINTO</w:t>
      </w:r>
      <w:r w:rsidRPr="00B17044">
        <w:rPr>
          <w:rFonts w:ascii="Palatino Linotype" w:eastAsia="Palatino Linotype" w:hAnsi="Palatino Linotype" w:cs="Palatino Linotype"/>
          <w:b/>
        </w:rPr>
        <w:t xml:space="preserve">. Estudio y resolución del asunto. </w:t>
      </w:r>
    </w:p>
    <w:p w14:paraId="6ED72A3E" w14:textId="77777777" w:rsidR="00FC0900" w:rsidRPr="00B17044" w:rsidRDefault="00696652">
      <w:pPr>
        <w:tabs>
          <w:tab w:val="left" w:pos="709"/>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primera instancia es importante precisar que,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solicitó al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xml:space="preserve"> lo siguiente: </w:t>
      </w:r>
    </w:p>
    <w:p w14:paraId="4F7C878E" w14:textId="77777777" w:rsidR="00FC0900" w:rsidRPr="00B17044" w:rsidRDefault="00696652">
      <w:pPr>
        <w:tabs>
          <w:tab w:val="left" w:pos="851"/>
        </w:tabs>
        <w:ind w:left="850" w:right="899"/>
        <w:jc w:val="both"/>
        <w:rPr>
          <w:rFonts w:ascii="Palatino Linotype" w:eastAsia="Palatino Linotype" w:hAnsi="Palatino Linotype" w:cs="Palatino Linotype"/>
        </w:rPr>
      </w:pPr>
      <w:r w:rsidRPr="00B17044">
        <w:rPr>
          <w:rFonts w:ascii="Palatino Linotype" w:eastAsia="Palatino Linotype" w:hAnsi="Palatino Linotype" w:cs="Palatino Linotype"/>
          <w:i/>
          <w:sz w:val="22"/>
          <w:szCs w:val="22"/>
        </w:rPr>
        <w:t xml:space="preserve">“(...)De los servidores públicos adscritos a la Presidencia, Secretaría del Ayuntamiento, Sindicatura, Primera Regiduría, Segunda Regiduría, Tercera Regiduría, Cuarta Regiduría. Quinta Regiduría, Sexta Regiduría, Séptima Regiduría, Tesorería, Contraloría Interna, Dirección de Administración, Dirección de Comunicación Social, Dirección de Obras Públicas, Dirección de Desarrollo Urbano y Medio Ambiente, Dirección de Seguridad Ciudadana y Movilidad, Dirección de Agua Potable, Drenaje y Alcantarillado, Dirección de Desarrollo Social, Dirección de Desarrollo Económico y Fomento al Empleo, Dirección Jurídica, Dirección de Servicios Públicos, Dirección de Atención a la Mujer, Coordinación Municipal de Gestión Integral de Riesgos, Protección Civil y Bomberos, Unidad de Transparencia y Sistema Municipal para el Desarrollo Integral de la Familia (DIF), </w:t>
      </w:r>
      <w:r w:rsidRPr="00B17044">
        <w:rPr>
          <w:rFonts w:ascii="Palatino Linotype" w:eastAsia="Palatino Linotype" w:hAnsi="Palatino Linotype" w:cs="Palatino Linotype"/>
          <w:i/>
          <w:sz w:val="22"/>
          <w:szCs w:val="22"/>
        </w:rPr>
        <w:lastRenderedPageBreak/>
        <w:t xml:space="preserve">de la actual Administración Municipal 2022-2024, la siguiente información: a) Documento donde conste su nombre, cargo, sueldo neto y bruto. b) Documentos donde conste el Perfil de Puestos que tenga vigente al </w:t>
      </w:r>
      <w:proofErr w:type="spellStart"/>
      <w:r w:rsidRPr="00B17044">
        <w:rPr>
          <w:rFonts w:ascii="Palatino Linotype" w:eastAsia="Palatino Linotype" w:hAnsi="Palatino Linotype" w:cs="Palatino Linotype"/>
          <w:i/>
          <w:sz w:val="22"/>
          <w:szCs w:val="22"/>
        </w:rPr>
        <w:t>veintitres</w:t>
      </w:r>
      <w:proofErr w:type="spellEnd"/>
      <w:r w:rsidRPr="00B17044">
        <w:rPr>
          <w:rFonts w:ascii="Palatino Linotype" w:eastAsia="Palatino Linotype" w:hAnsi="Palatino Linotype" w:cs="Palatino Linotype"/>
          <w:i/>
          <w:sz w:val="22"/>
          <w:szCs w:val="22"/>
        </w:rPr>
        <w:t xml:space="preserve"> de mayo de dos mil veintidós. c) Documento donde conste su información curricular. d) Documentos comprobatorios de su experiencia laboral. e) Documentos que acrediten la relación laboral con el Sujeto Obligado (nombramiento, contrato o Formato Único de Movimientos de Personal)” (Sic)</w:t>
      </w:r>
    </w:p>
    <w:p w14:paraId="77693650" w14:textId="77777777" w:rsidR="00FC0900" w:rsidRPr="00B17044" w:rsidRDefault="00FC0900">
      <w:pPr>
        <w:spacing w:before="200" w:line="360" w:lineRule="auto"/>
        <w:ind w:right="-28"/>
        <w:jc w:val="both"/>
        <w:rPr>
          <w:rFonts w:ascii="Palatino Linotype" w:eastAsia="Palatino Linotype" w:hAnsi="Palatino Linotype" w:cs="Palatino Linotype"/>
        </w:rPr>
      </w:pPr>
    </w:p>
    <w:p w14:paraId="1A559233"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Atento a lo anterior como fue precisado en el antecedente respectivo,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refirió el cambio de modalidad a consulta directa de la información. </w:t>
      </w:r>
    </w:p>
    <w:p w14:paraId="5FD6812C" w14:textId="77777777" w:rsidR="00FC0900" w:rsidRPr="00B17044" w:rsidRDefault="00FC0900">
      <w:pPr>
        <w:spacing w:line="360" w:lineRule="auto"/>
        <w:jc w:val="both"/>
        <w:rPr>
          <w:rFonts w:ascii="Palatino Linotype" w:eastAsia="Palatino Linotype" w:hAnsi="Palatino Linotype" w:cs="Palatino Linotype"/>
        </w:rPr>
      </w:pPr>
    </w:p>
    <w:p w14:paraId="43265C3C"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No conforme con la respuesta del ente recurrido, el particular interpuso el presente medio de impugnación, en donde se inconforma del cambio de modalidad realizado por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Lo que, en consecuencia actualiza la causal de improcedencia establecida en el artículo 179 fracción VII de la Ley de Transparencia y Acceso a la Información pública que establece la entrega de información en una modalidad diversa a la solicitada, como se aprecia a continuación: </w:t>
      </w:r>
    </w:p>
    <w:p w14:paraId="31AD4F2D" w14:textId="77777777" w:rsidR="00FC0900" w:rsidRPr="00B17044" w:rsidRDefault="00696652">
      <w:pPr>
        <w:ind w:left="85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“Artículo 179. </w:t>
      </w:r>
      <w:r w:rsidRPr="00B1704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w:t>
      </w:r>
      <w:proofErr w:type="gramStart"/>
      <w:r w:rsidRPr="00B17044">
        <w:rPr>
          <w:rFonts w:ascii="Palatino Linotype" w:eastAsia="Palatino Linotype" w:hAnsi="Palatino Linotype" w:cs="Palatino Linotype"/>
          <w:i/>
          <w:sz w:val="22"/>
          <w:szCs w:val="22"/>
        </w:rPr>
        <w:t>las siguientes causa</w:t>
      </w:r>
      <w:proofErr w:type="gramEnd"/>
      <w:r w:rsidRPr="00B17044">
        <w:rPr>
          <w:rFonts w:ascii="Palatino Linotype" w:eastAsia="Palatino Linotype" w:hAnsi="Palatino Linotype" w:cs="Palatino Linotype"/>
          <w:i/>
          <w:sz w:val="22"/>
          <w:szCs w:val="22"/>
        </w:rPr>
        <w:t>:</w:t>
      </w:r>
    </w:p>
    <w:p w14:paraId="60C341F8" w14:textId="77777777" w:rsidR="00FC0900" w:rsidRPr="00B17044" w:rsidRDefault="00FC0900">
      <w:pPr>
        <w:ind w:left="850" w:right="899"/>
        <w:jc w:val="both"/>
        <w:rPr>
          <w:rFonts w:ascii="Palatino Linotype" w:eastAsia="Palatino Linotype" w:hAnsi="Palatino Linotype" w:cs="Palatino Linotype"/>
          <w:b/>
          <w:i/>
          <w:sz w:val="22"/>
          <w:szCs w:val="22"/>
        </w:rPr>
      </w:pPr>
    </w:p>
    <w:p w14:paraId="3DC6B204" w14:textId="77777777" w:rsidR="00FC0900" w:rsidRPr="00B17044" w:rsidRDefault="00696652">
      <w:pPr>
        <w:ind w:left="850" w:right="899"/>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VIII. La notificación, entrega o puesta a disposición de información en una modalidad o formato distinto</w:t>
      </w:r>
    </w:p>
    <w:p w14:paraId="0AA82503" w14:textId="77777777" w:rsidR="00FC0900" w:rsidRPr="00B17044" w:rsidRDefault="00696652">
      <w:pPr>
        <w:ind w:left="850" w:right="899"/>
        <w:jc w:val="both"/>
        <w:rPr>
          <w:rFonts w:ascii="Palatino Linotype" w:eastAsia="Palatino Linotype" w:hAnsi="Palatino Linotype" w:cs="Palatino Linotype"/>
          <w:b/>
          <w:i/>
          <w:sz w:val="22"/>
          <w:szCs w:val="22"/>
        </w:rPr>
      </w:pPr>
      <w:proofErr w:type="gramStart"/>
      <w:r w:rsidRPr="00B17044">
        <w:rPr>
          <w:rFonts w:ascii="Palatino Linotype" w:eastAsia="Palatino Linotype" w:hAnsi="Palatino Linotype" w:cs="Palatino Linotype"/>
          <w:b/>
          <w:i/>
          <w:sz w:val="22"/>
          <w:szCs w:val="22"/>
        </w:rPr>
        <w:t>al</w:t>
      </w:r>
      <w:proofErr w:type="gramEnd"/>
      <w:r w:rsidRPr="00B17044">
        <w:rPr>
          <w:rFonts w:ascii="Palatino Linotype" w:eastAsia="Palatino Linotype" w:hAnsi="Palatino Linotype" w:cs="Palatino Linotype"/>
          <w:b/>
          <w:i/>
          <w:sz w:val="22"/>
          <w:szCs w:val="22"/>
        </w:rPr>
        <w:t xml:space="preserve"> solicitado;;” </w:t>
      </w:r>
    </w:p>
    <w:p w14:paraId="6FA0AA98" w14:textId="77777777" w:rsidR="00FC0900" w:rsidRPr="00B17044" w:rsidRDefault="00696652">
      <w:pPr>
        <w:ind w:left="850" w:right="899"/>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(énfasis añadido)</w:t>
      </w:r>
    </w:p>
    <w:p w14:paraId="01BD8681" w14:textId="77777777" w:rsidR="00FC0900" w:rsidRPr="00B17044" w:rsidRDefault="00FC0900">
      <w:pPr>
        <w:spacing w:line="360" w:lineRule="auto"/>
        <w:jc w:val="both"/>
        <w:rPr>
          <w:rFonts w:ascii="Palatino Linotype" w:eastAsia="Palatino Linotype" w:hAnsi="Palatino Linotype" w:cs="Palatino Linotype"/>
        </w:rPr>
      </w:pPr>
    </w:p>
    <w:p w14:paraId="5EDDAAF3"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 xml:space="preserve">Luego entonces, lo procedente es analizar la totalidad de las constancias que obran en el expediente electrónico del SAIMEX, para determinar si con estas se puede satisfacer el Derecho de Acceso a la Información del particular. </w:t>
      </w:r>
    </w:p>
    <w:p w14:paraId="78F40CEF" w14:textId="77777777" w:rsidR="00FC0900" w:rsidRPr="00B17044" w:rsidRDefault="00FC0900">
      <w:pPr>
        <w:spacing w:line="360" w:lineRule="auto"/>
        <w:jc w:val="both"/>
        <w:rPr>
          <w:rFonts w:ascii="Palatino Linotype" w:eastAsia="Palatino Linotype" w:hAnsi="Palatino Linotype" w:cs="Palatino Linotype"/>
        </w:rPr>
      </w:pPr>
    </w:p>
    <w:p w14:paraId="45A129CE"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tal manera es importante referir, que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B17044">
        <w:rPr>
          <w:rFonts w:ascii="Palatino Linotype" w:eastAsia="Palatino Linotype" w:hAnsi="Palatino Linotype" w:cs="Palatino Linotype"/>
          <w:b/>
          <w:u w:val="single"/>
        </w:rPr>
        <w:t>Vía SAIMEX</w:t>
      </w:r>
      <w:r w:rsidRPr="00B17044">
        <w:rPr>
          <w:rFonts w:ascii="Palatino Linotype" w:eastAsia="Palatino Linotype" w:hAnsi="Palatino Linotype" w:cs="Palatino Linotype"/>
        </w:rPr>
        <w:t>, tal y como se muestra en las siguientes capturas de pantalla:</w:t>
      </w:r>
    </w:p>
    <w:p w14:paraId="52CD9CC6" w14:textId="77777777" w:rsidR="00FC0900" w:rsidRPr="00B17044" w:rsidRDefault="00FC0900">
      <w:pPr>
        <w:widowControl w:val="0"/>
        <w:tabs>
          <w:tab w:val="left" w:pos="1701"/>
          <w:tab w:val="left" w:pos="1843"/>
        </w:tabs>
        <w:spacing w:line="360" w:lineRule="auto"/>
        <w:jc w:val="both"/>
        <w:rPr>
          <w:rFonts w:ascii="Palatino Linotype" w:eastAsia="Palatino Linotype" w:hAnsi="Palatino Linotype" w:cs="Palatino Linotype"/>
        </w:rPr>
      </w:pPr>
    </w:p>
    <w:p w14:paraId="35044913" w14:textId="77777777" w:rsidR="00FC0900" w:rsidRPr="00B17044" w:rsidRDefault="00696652">
      <w:pPr>
        <w:widowControl w:val="0"/>
        <w:tabs>
          <w:tab w:val="left" w:pos="1701"/>
          <w:tab w:val="left" w:pos="1843"/>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noProof/>
          <w:lang w:val="es-419" w:eastAsia="es-419"/>
        </w:rPr>
        <w:drawing>
          <wp:inline distT="114300" distB="114300" distL="114300" distR="114300" wp14:anchorId="4CA2EB84" wp14:editId="2131FBB3">
            <wp:extent cx="5791835" cy="2781300"/>
            <wp:effectExtent l="0" t="0" r="0" b="0"/>
            <wp:docPr id="4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2781300"/>
                    </a:xfrm>
                    <a:prstGeom prst="rect">
                      <a:avLst/>
                    </a:prstGeom>
                    <a:ln/>
                  </pic:spPr>
                </pic:pic>
              </a:graphicData>
            </a:graphic>
          </wp:inline>
        </w:drawing>
      </w:r>
      <w:r w:rsidRPr="00B17044">
        <w:rPr>
          <w:noProof/>
          <w:lang w:val="es-419" w:eastAsia="es-419"/>
        </w:rPr>
        <mc:AlternateContent>
          <mc:Choice Requires="wpg">
            <w:drawing>
              <wp:anchor distT="0" distB="0" distL="114300" distR="114300" simplePos="0" relativeHeight="251658240" behindDoc="0" locked="0" layoutInCell="1" hidden="0" allowOverlap="1" wp14:anchorId="1591C637" wp14:editId="146DEAB3">
                <wp:simplePos x="0" y="0"/>
                <wp:positionH relativeFrom="column">
                  <wp:posOffset>4394200</wp:posOffset>
                </wp:positionH>
                <wp:positionV relativeFrom="paragraph">
                  <wp:posOffset>12700</wp:posOffset>
                </wp:positionV>
                <wp:extent cx="380820" cy="294556"/>
                <wp:effectExtent l="0" t="0" r="0" b="0"/>
                <wp:wrapNone/>
                <wp:docPr id="421" name="Flecha: hacia la izquierda 421"/>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3725"/>
                            </a:srgbClr>
                          </a:outerShdw>
                        </a:effectLst>
                      </wps:spPr>
                      <wps:txbx>
                        <w:txbxContent>
                          <w:p w14:paraId="63759C2C" w14:textId="77777777" w:rsidR="00FC0900" w:rsidRDefault="00FC090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4394200</wp:posOffset>
                </wp:positionH>
                <wp:positionV relativeFrom="paragraph">
                  <wp:posOffset>12700</wp:posOffset>
                </wp:positionV>
                <wp:extent cx="380820" cy="294556"/>
                <wp:effectExtent b="0" l="0" r="0" t="0"/>
                <wp:wrapNone/>
                <wp:docPr id="42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80820" cy="294556"/>
                        </a:xfrm>
                        <a:prstGeom prst="rect"/>
                        <a:ln/>
                      </pic:spPr>
                    </pic:pic>
                  </a:graphicData>
                </a:graphic>
              </wp:anchor>
            </w:drawing>
          </mc:Fallback>
        </mc:AlternateContent>
      </w:r>
      <w:r w:rsidRPr="00B17044">
        <w:rPr>
          <w:noProof/>
          <w:lang w:val="es-419" w:eastAsia="es-419"/>
        </w:rPr>
        <mc:AlternateContent>
          <mc:Choice Requires="wpg">
            <w:drawing>
              <wp:anchor distT="0" distB="0" distL="114300" distR="114300" simplePos="0" relativeHeight="251659264" behindDoc="0" locked="0" layoutInCell="1" hidden="0" allowOverlap="1" wp14:anchorId="57D189C7" wp14:editId="1C9F6C57">
                <wp:simplePos x="0" y="0"/>
                <wp:positionH relativeFrom="column">
                  <wp:posOffset>1400175</wp:posOffset>
                </wp:positionH>
                <wp:positionV relativeFrom="paragraph">
                  <wp:posOffset>2209800</wp:posOffset>
                </wp:positionV>
                <wp:extent cx="380820" cy="294556"/>
                <wp:effectExtent l="0" t="0" r="0" b="0"/>
                <wp:wrapNone/>
                <wp:docPr id="420" name="Flecha: hacia la izquierda 420"/>
                <wp:cNvGraphicFramePr/>
                <a:graphic xmlns:a="http://schemas.openxmlformats.org/drawingml/2006/main">
                  <a:graphicData uri="http://schemas.microsoft.com/office/word/2010/wordprocessingShape">
                    <wps:wsp>
                      <wps:cNvSpPr/>
                      <wps:spPr>
                        <a:xfrm>
                          <a:off x="5207978" y="3685110"/>
                          <a:ext cx="276045" cy="189781"/>
                        </a:xfrm>
                        <a:prstGeom prst="leftArrow">
                          <a:avLst>
                            <a:gd name="adj1" fmla="val 50000"/>
                            <a:gd name="adj2" fmla="val 50000"/>
                          </a:avLst>
                        </a:prstGeom>
                        <a:gradFill>
                          <a:gsLst>
                            <a:gs pos="0">
                              <a:srgbClr val="FFA09D"/>
                            </a:gs>
                            <a:gs pos="35000">
                              <a:srgbClr val="FFBCBC"/>
                            </a:gs>
                            <a:gs pos="100000">
                              <a:srgbClr val="FFE2E2"/>
                            </a:gs>
                          </a:gsLst>
                          <a:lin ang="16200000" scaled="0"/>
                        </a:gradFill>
                        <a:ln w="9525" cap="flat" cmpd="sng">
                          <a:solidFill>
                            <a:srgbClr val="BD4B48"/>
                          </a:solidFill>
                          <a:prstDash val="solid"/>
                          <a:round/>
                          <a:headEnd type="none" w="sm" len="sm"/>
                          <a:tailEnd type="none" w="sm" len="sm"/>
                        </a:ln>
                        <a:effectLst>
                          <a:outerShdw blurRad="40000" dist="20000" dir="5400000" rotWithShape="0">
                            <a:srgbClr val="000000">
                              <a:alpha val="33725"/>
                            </a:srgbClr>
                          </a:outerShdw>
                        </a:effectLst>
                      </wps:spPr>
                      <wps:txbx>
                        <w:txbxContent>
                          <w:p w14:paraId="2582C26F" w14:textId="77777777" w:rsidR="00FC0900" w:rsidRDefault="00FC090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1400175</wp:posOffset>
                </wp:positionH>
                <wp:positionV relativeFrom="paragraph">
                  <wp:posOffset>2209800</wp:posOffset>
                </wp:positionV>
                <wp:extent cx="380820" cy="294556"/>
                <wp:effectExtent b="0" l="0" r="0" t="0"/>
                <wp:wrapNone/>
                <wp:docPr id="42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80820" cy="294556"/>
                        </a:xfrm>
                        <a:prstGeom prst="rect"/>
                        <a:ln/>
                      </pic:spPr>
                    </pic:pic>
                  </a:graphicData>
                </a:graphic>
              </wp:anchor>
            </w:drawing>
          </mc:Fallback>
        </mc:AlternateContent>
      </w:r>
    </w:p>
    <w:p w14:paraId="00741C06" w14:textId="77777777" w:rsidR="00FC0900" w:rsidRPr="00B17044" w:rsidRDefault="00FC0900">
      <w:pPr>
        <w:spacing w:line="360" w:lineRule="auto"/>
        <w:jc w:val="both"/>
        <w:rPr>
          <w:rFonts w:ascii="Palatino Linotype" w:eastAsia="Palatino Linotype" w:hAnsi="Palatino Linotype" w:cs="Palatino Linotype"/>
          <w:strike/>
        </w:rPr>
      </w:pPr>
    </w:p>
    <w:p w14:paraId="0163B58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Conforme a la imagen anterior, se advierte que el ciudadano requirió la información </w:t>
      </w:r>
      <w:r w:rsidRPr="00B17044">
        <w:rPr>
          <w:rFonts w:ascii="Palatino Linotype" w:eastAsia="Palatino Linotype" w:hAnsi="Palatino Linotype" w:cs="Palatino Linotype"/>
          <w:b/>
        </w:rPr>
        <w:t>Vía SAIMEX</w:t>
      </w:r>
      <w:r w:rsidRPr="00B17044">
        <w:rPr>
          <w:rFonts w:ascii="Palatino Linotype" w:eastAsia="Palatino Linotype" w:hAnsi="Palatino Linotype" w:cs="Palatino Linotype"/>
        </w:rPr>
        <w:t xml:space="preserve">; por otra parte, si bien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b/>
        </w:rPr>
        <w:t xml:space="preserve">menciona que la </w:t>
      </w:r>
      <w:r w:rsidRPr="00B17044">
        <w:rPr>
          <w:rFonts w:ascii="Palatino Linotype" w:eastAsia="Palatino Linotype" w:hAnsi="Palatino Linotype" w:cs="Palatino Linotype"/>
          <w:b/>
        </w:rPr>
        <w:lastRenderedPageBreak/>
        <w:t>información no puede ser remitida por tal vía debido a la cantidad</w:t>
      </w:r>
      <w:r w:rsidRPr="00B17044">
        <w:rPr>
          <w:rFonts w:ascii="Palatino Linotype" w:eastAsia="Palatino Linotype" w:hAnsi="Palatino Linotype" w:cs="Palatino Linotype"/>
        </w:rPr>
        <w:t xml:space="preserve">, razón por la cual, cambia la modalidad de entrega a consulta directa (in situ). </w:t>
      </w:r>
    </w:p>
    <w:p w14:paraId="69388B82" w14:textId="77777777" w:rsidR="00FC0900" w:rsidRPr="00B17044" w:rsidRDefault="00FC0900">
      <w:pPr>
        <w:spacing w:line="360" w:lineRule="auto"/>
        <w:jc w:val="both"/>
        <w:rPr>
          <w:rFonts w:ascii="Palatino Linotype" w:eastAsia="Palatino Linotype" w:hAnsi="Palatino Linotype" w:cs="Palatino Linotype"/>
        </w:rPr>
      </w:pPr>
    </w:p>
    <w:p w14:paraId="394CE2CA"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esta caso en particular, el solicitante eligió </w:t>
      </w:r>
      <w:r w:rsidRPr="00B17044">
        <w:rPr>
          <w:rFonts w:ascii="Palatino Linotype" w:eastAsia="Palatino Linotype" w:hAnsi="Palatino Linotype" w:cs="Palatino Linotype"/>
          <w:b/>
        </w:rPr>
        <w:t>EL SAIMEX</w:t>
      </w:r>
      <w:r w:rsidRPr="00B17044">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manifestó que le es imposible remitir los documentos por la modalidad solicitada, para determinar cambiar la modalidad de entrega; lo cierto es que, al hacerlo, </w:t>
      </w:r>
      <w:r w:rsidRPr="00B17044">
        <w:rPr>
          <w:rFonts w:ascii="Palatino Linotype" w:eastAsia="Palatino Linotype" w:hAnsi="Palatino Linotype" w:cs="Palatino Linotype"/>
          <w:b/>
        </w:rPr>
        <w:t>no acreditó de forma fehaciente dicha imposibilidad.</w:t>
      </w:r>
    </w:p>
    <w:p w14:paraId="55A52178" w14:textId="77777777" w:rsidR="00FC0900" w:rsidRPr="00B17044" w:rsidRDefault="00FC0900">
      <w:pPr>
        <w:spacing w:line="360" w:lineRule="auto"/>
        <w:jc w:val="both"/>
        <w:rPr>
          <w:rFonts w:ascii="Palatino Linotype" w:eastAsia="Palatino Linotype" w:hAnsi="Palatino Linotype" w:cs="Palatino Linotype"/>
        </w:rPr>
      </w:pPr>
    </w:p>
    <w:p w14:paraId="3B01DA60"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Ya que no acreditó que la información solicitada excediera las capacidades tanto administrativas respecto de su unidad como técnicas, en lo relativo al sistema electrónico </w:t>
      </w:r>
      <w:r w:rsidRPr="00B17044">
        <w:rPr>
          <w:rFonts w:ascii="Palatino Linotype" w:eastAsia="Palatino Linotype" w:hAnsi="Palatino Linotype" w:cs="Palatino Linotype"/>
          <w:b/>
        </w:rPr>
        <w:t>(SAIMEX),</w:t>
      </w:r>
      <w:r w:rsidRPr="00B17044">
        <w:rPr>
          <w:rFonts w:ascii="Palatino Linotype" w:eastAsia="Palatino Linotype" w:hAnsi="Palatino Linotype" w:cs="Palatino Linotype"/>
        </w:rPr>
        <w:t xml:space="preserve"> al cual se debe cargar dicha información para ser entregada, no señaló la cantidad de hojas que deban procesarse ni el tamaño de los archivos que contenga la información requerida. </w:t>
      </w:r>
    </w:p>
    <w:p w14:paraId="51237049" w14:textId="77777777" w:rsidR="00FC0900" w:rsidRPr="00B17044" w:rsidRDefault="00FC0900">
      <w:pPr>
        <w:spacing w:line="360" w:lineRule="auto"/>
        <w:ind w:right="49"/>
        <w:jc w:val="both"/>
        <w:rPr>
          <w:rFonts w:ascii="Palatino Linotype" w:eastAsia="Palatino Linotype" w:hAnsi="Palatino Linotype" w:cs="Palatino Linotype"/>
        </w:rPr>
      </w:pPr>
    </w:p>
    <w:p w14:paraId="5797916F"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tal sentido, se observa que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mediante el Informe Justificado, pretende sustentar el cambio de modalidad en el artículo 158 de la Ley de Transparencia y Acceso a la Información pública del Estado de México y Municipios, el cual señala lo siguiente: </w:t>
      </w:r>
    </w:p>
    <w:p w14:paraId="6CB34542" w14:textId="77777777" w:rsidR="00FC0900" w:rsidRPr="00B17044" w:rsidRDefault="00FC0900">
      <w:pPr>
        <w:tabs>
          <w:tab w:val="left" w:pos="709"/>
        </w:tabs>
        <w:spacing w:line="360" w:lineRule="auto"/>
        <w:jc w:val="both"/>
        <w:rPr>
          <w:rFonts w:ascii="Palatino Linotype" w:eastAsia="Palatino Linotype" w:hAnsi="Palatino Linotype" w:cs="Palatino Linotype"/>
        </w:rPr>
      </w:pPr>
    </w:p>
    <w:p w14:paraId="3474F16F" w14:textId="77777777" w:rsidR="00FC0900" w:rsidRPr="00B17044" w:rsidRDefault="00696652">
      <w:pPr>
        <w:widowControl w:val="0"/>
        <w:ind w:left="709" w:right="757"/>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i/>
          <w:sz w:val="22"/>
          <w:szCs w:val="22"/>
        </w:rPr>
        <w:t>“</w:t>
      </w:r>
      <w:r w:rsidRPr="00B17044">
        <w:rPr>
          <w:rFonts w:ascii="Palatino Linotype" w:eastAsia="Palatino Linotype" w:hAnsi="Palatino Linotype" w:cs="Palatino Linotype"/>
          <w:b/>
          <w:i/>
          <w:sz w:val="22"/>
          <w:szCs w:val="22"/>
        </w:rPr>
        <w:t>Artículo 158.</w:t>
      </w:r>
    </w:p>
    <w:p w14:paraId="055EFDEE" w14:textId="77777777" w:rsidR="00FC0900" w:rsidRPr="00B17044" w:rsidRDefault="00696652">
      <w:pPr>
        <w:widowControl w:val="0"/>
        <w:ind w:left="709" w:right="760"/>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28403555" w14:textId="77777777" w:rsidR="00FC0900" w:rsidRPr="00B17044" w:rsidRDefault="00696652">
      <w:pPr>
        <w:widowControl w:val="0"/>
        <w:ind w:left="709" w:right="760"/>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424AB540" w14:textId="77777777" w:rsidR="00FC0900" w:rsidRPr="00B17044" w:rsidRDefault="00696652">
      <w:pPr>
        <w:widowControl w:val="0"/>
        <w:ind w:left="709" w:right="760"/>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(Énfasis añadido)</w:t>
      </w:r>
    </w:p>
    <w:p w14:paraId="47183B01" w14:textId="77777777" w:rsidR="00FC0900" w:rsidRPr="00B17044" w:rsidRDefault="00FC0900">
      <w:pPr>
        <w:widowControl w:val="0"/>
        <w:spacing w:line="360" w:lineRule="auto"/>
        <w:jc w:val="both"/>
        <w:rPr>
          <w:rFonts w:ascii="Palatino Linotype" w:eastAsia="Palatino Linotype" w:hAnsi="Palatino Linotype" w:cs="Palatino Linotype"/>
        </w:rPr>
      </w:pPr>
    </w:p>
    <w:p w14:paraId="079C7EA4" w14:textId="77777777" w:rsidR="00FC0900" w:rsidRPr="00B17044" w:rsidRDefault="00696652">
      <w:pPr>
        <w:widowControl w:val="0"/>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en términos del ordinal 158 citado con anterioridad.</w:t>
      </w:r>
    </w:p>
    <w:p w14:paraId="19B314ED" w14:textId="77777777" w:rsidR="00FC0900" w:rsidRPr="00B17044" w:rsidRDefault="00FC0900">
      <w:pPr>
        <w:widowControl w:val="0"/>
        <w:spacing w:line="360" w:lineRule="auto"/>
        <w:jc w:val="both"/>
        <w:rPr>
          <w:rFonts w:ascii="Palatino Linotype" w:eastAsia="Palatino Linotype" w:hAnsi="Palatino Linotype" w:cs="Palatino Linotype"/>
        </w:rPr>
      </w:pPr>
    </w:p>
    <w:p w14:paraId="0636762F" w14:textId="77777777" w:rsidR="00FC0900" w:rsidRPr="00B17044" w:rsidRDefault="00696652">
      <w:pPr>
        <w:widowControl w:val="0"/>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Atento a lo anterior,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14:paraId="72609162"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Al respecto, el máximo tribunal del país ha establecido jurisprudencia respecto a qué debe entenderse por fundamentación y motivación, en los siguientes términos:</w:t>
      </w:r>
    </w:p>
    <w:p w14:paraId="7DB65229" w14:textId="77777777" w:rsidR="00FC0900" w:rsidRPr="00B17044" w:rsidRDefault="00FC0900">
      <w:pPr>
        <w:ind w:left="850" w:right="900"/>
        <w:jc w:val="both"/>
        <w:rPr>
          <w:rFonts w:ascii="Palatino Linotype" w:eastAsia="Palatino Linotype" w:hAnsi="Palatino Linotype" w:cs="Palatino Linotype"/>
          <w:i/>
          <w:sz w:val="22"/>
          <w:szCs w:val="22"/>
        </w:rPr>
      </w:pPr>
    </w:p>
    <w:p w14:paraId="567AEEF2" w14:textId="77777777" w:rsidR="00FC0900" w:rsidRPr="00B17044" w:rsidRDefault="00696652">
      <w:pPr>
        <w:ind w:left="850" w:right="900"/>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w:t>
      </w:r>
      <w:r w:rsidRPr="00B17044">
        <w:rPr>
          <w:rFonts w:ascii="Palatino Linotype" w:eastAsia="Palatino Linotype" w:hAnsi="Palatino Linotype" w:cs="Palatino Linotype"/>
          <w:b/>
          <w:i/>
          <w:sz w:val="22"/>
          <w:szCs w:val="22"/>
        </w:rPr>
        <w:t xml:space="preserve">FUNDAMENTACION Y MOTIVACION. </w:t>
      </w:r>
      <w:r w:rsidRPr="00B17044">
        <w:rPr>
          <w:rFonts w:ascii="Palatino Linotype" w:eastAsia="Palatino Linotype" w:hAnsi="Palatino Linotype" w:cs="Palatino Linotype"/>
          <w:i/>
          <w:sz w:val="22"/>
          <w:szCs w:val="22"/>
        </w:rPr>
        <w:t xml:space="preserve">La </w:t>
      </w:r>
      <w:r w:rsidRPr="00B17044">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(Sic)</w:t>
      </w:r>
    </w:p>
    <w:p w14:paraId="452DA416" w14:textId="77777777" w:rsidR="00FC0900" w:rsidRPr="00B17044" w:rsidRDefault="00FC0900">
      <w:pPr>
        <w:ind w:left="850" w:right="900"/>
        <w:jc w:val="both"/>
        <w:rPr>
          <w:rFonts w:ascii="Palatino Linotype" w:eastAsia="Palatino Linotype" w:hAnsi="Palatino Linotype" w:cs="Palatino Linotype"/>
          <w:i/>
          <w:sz w:val="22"/>
          <w:szCs w:val="22"/>
        </w:rPr>
      </w:pPr>
    </w:p>
    <w:p w14:paraId="02FCC899" w14:textId="77777777" w:rsidR="00FC0900" w:rsidRPr="00B17044" w:rsidRDefault="00FC0900">
      <w:pPr>
        <w:spacing w:line="360" w:lineRule="auto"/>
        <w:ind w:right="51"/>
        <w:jc w:val="both"/>
        <w:rPr>
          <w:rFonts w:ascii="Palatino Linotype" w:eastAsia="Palatino Linotype" w:hAnsi="Palatino Linotype" w:cs="Palatino Linotype"/>
        </w:rPr>
      </w:pPr>
    </w:p>
    <w:p w14:paraId="36A83893" w14:textId="77777777" w:rsidR="00FC0900" w:rsidRPr="00B17044" w:rsidRDefault="00696652">
      <w:pPr>
        <w:spacing w:line="360" w:lineRule="auto"/>
        <w:ind w:right="51"/>
        <w:jc w:val="both"/>
        <w:rPr>
          <w:rFonts w:ascii="Palatino Linotype" w:eastAsia="Palatino Linotype" w:hAnsi="Palatino Linotype" w:cs="Palatino Linotype"/>
        </w:rPr>
      </w:pPr>
      <w:r w:rsidRPr="00B17044">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E8F3293" w14:textId="77777777" w:rsidR="00FC0900" w:rsidRPr="00B17044" w:rsidRDefault="00FC0900">
      <w:pPr>
        <w:spacing w:line="360" w:lineRule="auto"/>
        <w:ind w:right="51"/>
        <w:jc w:val="both"/>
        <w:rPr>
          <w:rFonts w:ascii="Palatino Linotype" w:eastAsia="Palatino Linotype" w:hAnsi="Palatino Linotype" w:cs="Palatino Linotype"/>
        </w:rPr>
      </w:pPr>
    </w:p>
    <w:p w14:paraId="069413B6" w14:textId="77777777" w:rsidR="00FC0900" w:rsidRPr="00B17044" w:rsidRDefault="00696652">
      <w:pPr>
        <w:spacing w:line="360" w:lineRule="auto"/>
        <w:ind w:right="51"/>
        <w:jc w:val="both"/>
        <w:rPr>
          <w:rFonts w:ascii="Palatino Linotype" w:eastAsia="Palatino Linotype" w:hAnsi="Palatino Linotype" w:cs="Palatino Linotype"/>
        </w:rPr>
      </w:pPr>
      <w:r w:rsidRPr="00B17044">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9C4EC94" w14:textId="77777777" w:rsidR="00FC0900" w:rsidRPr="00B17044" w:rsidRDefault="00FC0900">
      <w:pPr>
        <w:ind w:left="850" w:right="900"/>
        <w:jc w:val="both"/>
        <w:rPr>
          <w:rFonts w:ascii="Palatino Linotype" w:eastAsia="Palatino Linotype" w:hAnsi="Palatino Linotype" w:cs="Palatino Linotype"/>
          <w:b/>
          <w:i/>
          <w:sz w:val="22"/>
          <w:szCs w:val="22"/>
        </w:rPr>
      </w:pPr>
    </w:p>
    <w:p w14:paraId="12B4E434" w14:textId="77777777" w:rsidR="00FC0900" w:rsidRPr="00B17044" w:rsidRDefault="00696652">
      <w:pPr>
        <w:ind w:left="850" w:right="900"/>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B17044">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B17044">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B17044">
        <w:rPr>
          <w:rFonts w:ascii="Palatino Linotype" w:eastAsia="Palatino Linotype" w:hAnsi="Palatino Linotype" w:cs="Palatino Linotype"/>
          <w:b/>
          <w:i/>
          <w:sz w:val="22"/>
          <w:szCs w:val="22"/>
        </w:rPr>
        <w:lastRenderedPageBreak/>
        <w:t>determinaron el acto de voluntad, de manera que sea evidente y muy claro para el afectado poder cuestionar y controvertir el mérito de la decisión, permitiéndole una real y auténtica defensa</w:t>
      </w:r>
      <w:r w:rsidRPr="00B17044">
        <w:rPr>
          <w:rFonts w:ascii="Palatino Linotype" w:eastAsia="Palatino Linotype" w:hAnsi="Palatino Linotype" w:cs="Palatino Linotype"/>
          <w:i/>
          <w:sz w:val="22"/>
          <w:szCs w:val="22"/>
        </w:rPr>
        <w:t xml:space="preserve">. Por tanto, </w:t>
      </w:r>
      <w:r w:rsidRPr="00B17044">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B17044">
        <w:rPr>
          <w:rFonts w:ascii="Palatino Linotype" w:eastAsia="Palatino Linotype" w:hAnsi="Palatino Linotype" w:cs="Palatino Linotype"/>
          <w:i/>
          <w:sz w:val="22"/>
          <w:szCs w:val="22"/>
        </w:rPr>
        <w:t>, que impida la finalidad del conocimiento, comprobación y defensa pertinente</w:t>
      </w:r>
      <w:r w:rsidRPr="00B17044">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17044">
        <w:rPr>
          <w:rFonts w:ascii="Palatino Linotype" w:eastAsia="Palatino Linotype" w:hAnsi="Palatino Linotype" w:cs="Palatino Linotype"/>
          <w:i/>
          <w:sz w:val="22"/>
          <w:szCs w:val="22"/>
        </w:rPr>
        <w:t>.”</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i/>
          <w:sz w:val="22"/>
          <w:szCs w:val="22"/>
        </w:rPr>
        <w:t>(Sic)</w:t>
      </w:r>
    </w:p>
    <w:p w14:paraId="40A34AE0" w14:textId="77777777" w:rsidR="00FC0900" w:rsidRPr="00B17044" w:rsidRDefault="00FC0900">
      <w:pPr>
        <w:ind w:left="850" w:right="900"/>
        <w:jc w:val="both"/>
        <w:rPr>
          <w:rFonts w:ascii="Palatino Linotype" w:eastAsia="Palatino Linotype" w:hAnsi="Palatino Linotype" w:cs="Palatino Linotype"/>
          <w:i/>
          <w:sz w:val="22"/>
          <w:szCs w:val="22"/>
        </w:rPr>
      </w:pPr>
    </w:p>
    <w:p w14:paraId="537C3EC1" w14:textId="77777777" w:rsidR="00FC0900" w:rsidRPr="00B17044" w:rsidRDefault="00FC0900">
      <w:pPr>
        <w:ind w:left="850" w:right="900"/>
        <w:jc w:val="both"/>
        <w:rPr>
          <w:rFonts w:ascii="Palatino Linotype" w:eastAsia="Palatino Linotype" w:hAnsi="Palatino Linotype" w:cs="Palatino Linotype"/>
          <w:i/>
          <w:sz w:val="22"/>
          <w:szCs w:val="22"/>
        </w:rPr>
      </w:pPr>
    </w:p>
    <w:p w14:paraId="6080419C"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61F329" w14:textId="77777777" w:rsidR="00FC0900" w:rsidRPr="00B17044" w:rsidRDefault="00FC0900">
      <w:pPr>
        <w:spacing w:line="360" w:lineRule="auto"/>
        <w:ind w:right="49"/>
        <w:jc w:val="both"/>
        <w:rPr>
          <w:rFonts w:ascii="Palatino Linotype" w:eastAsia="Palatino Linotype" w:hAnsi="Palatino Linotype" w:cs="Palatino Linotype"/>
        </w:rPr>
      </w:pPr>
    </w:p>
    <w:p w14:paraId="4FBA3E8A"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36FE1B63" w14:textId="77777777" w:rsidR="00FC0900" w:rsidRPr="00B17044" w:rsidRDefault="00FC0900">
      <w:pPr>
        <w:spacing w:line="360" w:lineRule="auto"/>
        <w:jc w:val="both"/>
        <w:rPr>
          <w:rFonts w:ascii="Palatino Linotype" w:eastAsia="Palatino Linotype" w:hAnsi="Palatino Linotype" w:cs="Palatino Linotype"/>
        </w:rPr>
      </w:pPr>
    </w:p>
    <w:p w14:paraId="4D6D63FB"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 xml:space="preserve">Así mismo debe referir por qué la información solicitada supera la cantidad permitida por el sistema electrónico del SAIMEX y/o sus capacidades administrativas del sujeto obligado, situación que no aconteció en el caso que nos ocupa, ya que no refiere la cantidad de facturas que conforman la información solicitada, ni refiere cuánto pesa cada una de ellas, tampoco se refieren las circunstancias específicas de lo acontecido al momento de intentar subir alguna factura al SAIMEX y que técnicamente no se haya podido cargar. </w:t>
      </w:r>
    </w:p>
    <w:p w14:paraId="78A164CE" w14:textId="77777777" w:rsidR="00FC0900" w:rsidRPr="00B17044" w:rsidRDefault="00FC0900">
      <w:pPr>
        <w:spacing w:line="360" w:lineRule="auto"/>
        <w:jc w:val="both"/>
        <w:rPr>
          <w:rFonts w:ascii="Palatino Linotype" w:eastAsia="Palatino Linotype" w:hAnsi="Palatino Linotype" w:cs="Palatino Linotype"/>
        </w:rPr>
      </w:pPr>
    </w:p>
    <w:p w14:paraId="62A51DC2"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No obstante del documento remitido en respuesta no se advierte que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haya argumentado las razones por las cuales la información solicitada, exceda ya sean las capacidades técnicas del sistema, o las capacidades administrativas de su estructura orgánica. No refiere la cantidad de hojas que conforman los documentos, ni el tamaño de los archivos electrónicos. </w:t>
      </w:r>
    </w:p>
    <w:p w14:paraId="73737D1B" w14:textId="77777777" w:rsidR="00FC0900" w:rsidRPr="00B17044" w:rsidRDefault="00FC0900">
      <w:pPr>
        <w:spacing w:line="360" w:lineRule="auto"/>
        <w:jc w:val="both"/>
        <w:rPr>
          <w:rFonts w:ascii="Palatino Linotype" w:eastAsia="Palatino Linotype" w:hAnsi="Palatino Linotype" w:cs="Palatino Linotype"/>
        </w:rPr>
      </w:pPr>
    </w:p>
    <w:p w14:paraId="309368A6" w14:textId="77777777" w:rsidR="00FC0900" w:rsidRPr="00B17044" w:rsidRDefault="00696652">
      <w:pPr>
        <w:tabs>
          <w:tab w:val="left" w:pos="7938"/>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Aunado a ello, no hay incidencia emitida por la Dirección General de Informática de este Órgano Garante (a petición de ese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no se corrobora por qué no se pudieron escanear los recibos emitidos, para cargar en el SAIMEX.</w:t>
      </w:r>
    </w:p>
    <w:p w14:paraId="22227B41" w14:textId="77777777" w:rsidR="00FC0900" w:rsidRPr="00B17044" w:rsidRDefault="00FC0900">
      <w:pPr>
        <w:tabs>
          <w:tab w:val="left" w:pos="7938"/>
        </w:tabs>
        <w:spacing w:line="360" w:lineRule="auto"/>
        <w:jc w:val="both"/>
        <w:rPr>
          <w:rFonts w:ascii="Palatino Linotype" w:eastAsia="Palatino Linotype" w:hAnsi="Palatino Linotype" w:cs="Palatino Linotype"/>
        </w:rPr>
      </w:pPr>
    </w:p>
    <w:p w14:paraId="1FDF2303"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lo anterior y ya que del contenido de la respuesta remitida por </w:t>
      </w:r>
      <w:r w:rsidRPr="00B17044">
        <w:rPr>
          <w:rFonts w:ascii="Palatino Linotype" w:eastAsia="Palatino Linotype" w:hAnsi="Palatino Linotype" w:cs="Palatino Linotype"/>
          <w:b/>
        </w:rPr>
        <w:t xml:space="preserve">EL SUJETO OBLIGADO </w:t>
      </w:r>
      <w:r w:rsidRPr="00B17044">
        <w:rPr>
          <w:rFonts w:ascii="Palatino Linotype" w:eastAsia="Palatino Linotype" w:hAnsi="Palatino Linotype" w:cs="Palatino Linotype"/>
        </w:rPr>
        <w:t xml:space="preserve">no se advierten elementos suficientes para poder determinar la procedencia del cambio de modalidad sugerido por el ente recurrido. Esta Ponencia </w:t>
      </w:r>
      <w:r w:rsidRPr="00B17044">
        <w:rPr>
          <w:rFonts w:ascii="Palatino Linotype" w:eastAsia="Palatino Linotype" w:hAnsi="Palatino Linotype" w:cs="Palatino Linotype"/>
        </w:rPr>
        <w:lastRenderedPageBreak/>
        <w:t>hizo un requerimiento de información adicional en fecha seis de octubre de dos mil veintidós, al Titular de la Unidad de Transparencia, sin que se haya recibido respuesta.</w:t>
      </w:r>
    </w:p>
    <w:p w14:paraId="4E4EFEFC" w14:textId="77777777" w:rsidR="00FC0900" w:rsidRPr="00B17044" w:rsidRDefault="00FC0900">
      <w:pPr>
        <w:widowControl w:val="0"/>
        <w:spacing w:line="360" w:lineRule="auto"/>
        <w:jc w:val="both"/>
        <w:rPr>
          <w:rFonts w:ascii="Palatino Linotype" w:eastAsia="Palatino Linotype" w:hAnsi="Palatino Linotype" w:cs="Palatino Linotype"/>
        </w:rPr>
      </w:pPr>
    </w:p>
    <w:p w14:paraId="4798DBAB"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Luego entonces, dicho cambio de modalidad decidido unilateralmente por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es improcedente por no haberse realizado en apego a los establecido por la Ley de Transparencia y Acceso a la Información Pública del Estado de México y Municipios. </w:t>
      </w:r>
    </w:p>
    <w:p w14:paraId="4E300BF5" w14:textId="77777777" w:rsidR="00FC0900" w:rsidRPr="00B17044" w:rsidRDefault="00696652">
      <w:pPr>
        <w:spacing w:before="280" w:after="280"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Una vez precisado lo anterior, se advierte que el particular solicitó el</w:t>
      </w:r>
      <w:r w:rsidRPr="00B17044">
        <w:rPr>
          <w:rFonts w:ascii="Palatino Linotype" w:eastAsia="Palatino Linotype" w:hAnsi="Palatino Linotype" w:cs="Palatino Linotype"/>
          <w:sz w:val="26"/>
          <w:szCs w:val="26"/>
        </w:rPr>
        <w:t xml:space="preserve"> </w:t>
      </w:r>
      <w:r w:rsidRPr="00B17044">
        <w:rPr>
          <w:rFonts w:ascii="Palatino Linotype" w:eastAsia="Palatino Linotype" w:hAnsi="Palatino Linotype" w:cs="Palatino Linotype"/>
        </w:rPr>
        <w:t xml:space="preserve">nombre, cargo, sueldo neto y bruto de los servidores públicos. </w:t>
      </w:r>
    </w:p>
    <w:p w14:paraId="244791DE"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Sobre lo anterior, es de señalar que los nombres de los servidores públicos, el cargo que ostentan y los ingresos que perciben por la prestación de sus servicios, por regla general, es información de naturaleza pública, esto de acuerdo con lo que establecen las fracciones  VII y VIII del artículo 92 de la Ley de Transparencia y Acceso a la Información Pública del Estado de México y Municipios, y las diversas VII y VIII de la Ley General de Transparencia y Acceso a la Información Pública, de conformidad con los Lineamientos Técnicos Generales para la publicación, homologación y estandarización de la información. </w:t>
      </w:r>
    </w:p>
    <w:p w14:paraId="68B3BFA6"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52CC2084"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otro lado, de acuerdo con los Lineamientos para la integración y entrega del Informe Trimestral Municipal 2022, el Órgano Superior de Fiscalización es un órgano dotado de autonomía técnica y de gestión, con atribuciones para revisar y fiscalizar las </w:t>
      </w:r>
      <w:r w:rsidRPr="00B17044">
        <w:rPr>
          <w:rFonts w:ascii="Palatino Linotype" w:eastAsia="Palatino Linotype" w:hAnsi="Palatino Linotype" w:cs="Palatino Linotype"/>
        </w:rPr>
        <w:lastRenderedPageBreak/>
        <w:t xml:space="preserve">cuentas públicas del Estado y Municipios, la aplicación de los fondos públicos, la administración de los ingresos y egresos y determinar los daños y perjuicios que afecten a la hacienda pública. Para ello, los sujetos de fiscalización deberán proporcionar el soporte documental al Órgano Superior de Fiscalización, para efecto de sus auditorías e investigaciones, a través de los denominados Informes Trimestrales. </w:t>
      </w:r>
    </w:p>
    <w:p w14:paraId="7C08404A"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63975D01"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Los Informes Trimestrales estarán integrados por cuatro módulos relativos a la información contable y financiera, información presupuestaria, información programática e información administrativa, que para el caso concreto, es necesario traer a colación la conformación del módulo cuarto, el cual se integrará a su vez, por el submódulo denominado “Nómina y Comprobantes Fiscales”, en el cual se puede advertir un documento denominado </w:t>
      </w:r>
      <w:r w:rsidRPr="00B17044">
        <w:rPr>
          <w:rFonts w:ascii="Palatino Linotype" w:eastAsia="Palatino Linotype" w:hAnsi="Palatino Linotype" w:cs="Palatino Linotype"/>
          <w:b/>
        </w:rPr>
        <w:t>Conciliación de Nómina Mensual</w:t>
      </w:r>
      <w:r w:rsidRPr="00B17044">
        <w:rPr>
          <w:rFonts w:ascii="Palatino Linotype" w:eastAsia="Palatino Linotype" w:hAnsi="Palatino Linotype" w:cs="Palatino Linotype"/>
        </w:rPr>
        <w:t xml:space="preserve">, cuya finalidad estriba en presentar el concentrado mensual de las cifras derivadas de todas las erogaciones realizadas por concepto de remuneraciones al trabajo, registradas en la nómina y contiene la siguiente información: </w:t>
      </w:r>
    </w:p>
    <w:p w14:paraId="40D7CE99"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321D9841" w14:textId="77777777" w:rsidR="00FC0900" w:rsidRPr="00B17044" w:rsidRDefault="00696652">
      <w:pPr>
        <w:tabs>
          <w:tab w:val="left" w:pos="993"/>
        </w:tabs>
        <w:spacing w:line="360" w:lineRule="auto"/>
        <w:ind w:left="567" w:right="539"/>
        <w:jc w:val="center"/>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“Instructivo para llenado de Conciliación de Nómina Mensual.</w:t>
      </w:r>
    </w:p>
    <w:p w14:paraId="3466B2D5"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Finalidad: Presentar el concentrado mensual de las cifras derivadas de todas las erogaciones realizadas por concepto de remuneraciones al trabajo, registradas en la nómina; contra las contenidas en los registros contables, por concepto de remuneraciones al trabajo personal.</w:t>
      </w:r>
    </w:p>
    <w:p w14:paraId="62E75837" w14:textId="77777777" w:rsidR="00FC0900" w:rsidRPr="00B17044" w:rsidRDefault="00FC0900">
      <w:pPr>
        <w:tabs>
          <w:tab w:val="left" w:pos="993"/>
        </w:tabs>
        <w:spacing w:line="360" w:lineRule="auto"/>
        <w:ind w:left="567" w:right="539"/>
        <w:jc w:val="both"/>
        <w:rPr>
          <w:rFonts w:ascii="Palatino Linotype" w:eastAsia="Palatino Linotype" w:hAnsi="Palatino Linotype" w:cs="Palatino Linotype"/>
          <w:i/>
          <w:sz w:val="22"/>
          <w:szCs w:val="22"/>
        </w:rPr>
      </w:pPr>
    </w:p>
    <w:p w14:paraId="603010B8"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1. Topónimo del Ente Público. Representación gráfica que refiere al Ente Público. </w:t>
      </w:r>
    </w:p>
    <w:p w14:paraId="2EFE3B69"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lastRenderedPageBreak/>
        <w:t xml:space="preserve">2. Tipo, nombre y número del Ente Público. Anotar el tipo, nombre y número que le corresponde al Ente Público; por ejemplo: Municipio Toluca, 0101. </w:t>
      </w:r>
    </w:p>
    <w:p w14:paraId="6A39F971"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3. Nombre del formato. Anotar el nombre del documento. </w:t>
      </w:r>
    </w:p>
    <w:p w14:paraId="4D235D22"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4. </w:t>
      </w:r>
      <w:proofErr w:type="spellStart"/>
      <w:r w:rsidRPr="00B17044">
        <w:rPr>
          <w:i/>
          <w:sz w:val="22"/>
          <w:szCs w:val="22"/>
        </w:rPr>
        <w:t>Del_____al</w:t>
      </w:r>
      <w:proofErr w:type="spellEnd"/>
      <w:r w:rsidRPr="00B17044">
        <w:rPr>
          <w:i/>
          <w:sz w:val="22"/>
          <w:szCs w:val="22"/>
        </w:rPr>
        <w:t xml:space="preserve"> ____ </w:t>
      </w:r>
      <w:proofErr w:type="spellStart"/>
      <w:r w:rsidRPr="00B17044">
        <w:rPr>
          <w:i/>
          <w:sz w:val="22"/>
          <w:szCs w:val="22"/>
        </w:rPr>
        <w:t>de_______de</w:t>
      </w:r>
      <w:proofErr w:type="spellEnd"/>
      <w:r w:rsidRPr="00B17044">
        <w:rPr>
          <w:i/>
          <w:sz w:val="22"/>
          <w:szCs w:val="22"/>
        </w:rPr>
        <w:t xml:space="preserve"> 202_. Anotar la fecha del periodo al que corresponda. </w:t>
      </w:r>
    </w:p>
    <w:p w14:paraId="60B8CF92"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5. No. Progresivo. Anotar el número asignado consecutivamente del número de servidores públicos que laboran en el Ente Público. </w:t>
      </w:r>
    </w:p>
    <w:p w14:paraId="2CFFF54C"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6. No. de quincena.</w:t>
      </w:r>
      <w:r w:rsidRPr="00B17044">
        <w:rPr>
          <w:i/>
          <w:sz w:val="22"/>
          <w:szCs w:val="22"/>
        </w:rPr>
        <w:t xml:space="preserve"> Anotar la quincena del periodo de pago que se realiza a los servidores públicos en el mes. </w:t>
      </w:r>
    </w:p>
    <w:p w14:paraId="7272359B"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7. No. de empleado</w:t>
      </w:r>
      <w:r w:rsidRPr="00B17044">
        <w:rPr>
          <w:i/>
          <w:sz w:val="22"/>
          <w:szCs w:val="22"/>
        </w:rPr>
        <w:t xml:space="preserve">. Anotar el número identificador del servidor que asigna el Ente Público al inicio de su relación laboral. </w:t>
      </w:r>
    </w:p>
    <w:p w14:paraId="227F62B6" w14:textId="77777777" w:rsidR="00FC0900" w:rsidRPr="00B17044" w:rsidRDefault="00696652">
      <w:pPr>
        <w:tabs>
          <w:tab w:val="left" w:pos="993"/>
        </w:tabs>
        <w:spacing w:line="360" w:lineRule="auto"/>
        <w:ind w:left="567" w:right="539"/>
        <w:jc w:val="both"/>
        <w:rPr>
          <w:b/>
          <w:i/>
          <w:sz w:val="22"/>
          <w:szCs w:val="22"/>
        </w:rPr>
      </w:pPr>
      <w:r w:rsidRPr="00B17044">
        <w:rPr>
          <w:b/>
          <w:i/>
          <w:sz w:val="22"/>
          <w:szCs w:val="22"/>
        </w:rPr>
        <w:t xml:space="preserve">8. R.F.C. Registro Federal del Contribuyente del servidor que labora en el Ente Público. </w:t>
      </w:r>
    </w:p>
    <w:p w14:paraId="0BFAAD12"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9. Nombre completo</w:t>
      </w:r>
      <w:r w:rsidRPr="00B17044">
        <w:rPr>
          <w:i/>
          <w:sz w:val="22"/>
          <w:szCs w:val="22"/>
        </w:rPr>
        <w:t xml:space="preserve">. Anotar el nombre del servidor público iniciando por apellido paterno, apellido materno y nombre(s). </w:t>
      </w:r>
    </w:p>
    <w:p w14:paraId="2ACE53EC"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10. Fecha de alta. Anotar la fecha que se le asigna al servidor en el momento en que inicia la relación laboral con el Ente Público. </w:t>
      </w:r>
    </w:p>
    <w:p w14:paraId="48764A0B"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11. Fecha de baja. Anotar la fecha asignada cuando el servidor finaliza la relación laboral con el Ente Público. </w:t>
      </w:r>
    </w:p>
    <w:p w14:paraId="7D036282"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12. Puesto funcional</w:t>
      </w:r>
      <w:r w:rsidRPr="00B17044">
        <w:rPr>
          <w:i/>
          <w:sz w:val="22"/>
          <w:szCs w:val="22"/>
        </w:rPr>
        <w:t xml:space="preserve">. Anotar la actividad que desarrolla el servidor de acuerdo a la clasificación del Ente Público. </w:t>
      </w:r>
    </w:p>
    <w:p w14:paraId="05E6FF41"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13. Nivel y/o rango.</w:t>
      </w:r>
      <w:r w:rsidRPr="00B17044">
        <w:rPr>
          <w:i/>
          <w:sz w:val="22"/>
          <w:szCs w:val="22"/>
        </w:rPr>
        <w:t xml:space="preserve"> Anotar la categoría de pagos de los servidores públicos en los que están situados (si no se cuenta con el nivel y/o rango únicamente se llenara la columna del puesto funcional). </w:t>
      </w:r>
    </w:p>
    <w:p w14:paraId="09DB14FE" w14:textId="77777777" w:rsidR="00FC0900" w:rsidRPr="00B17044" w:rsidRDefault="00696652">
      <w:pPr>
        <w:tabs>
          <w:tab w:val="left" w:pos="993"/>
        </w:tabs>
        <w:spacing w:line="360" w:lineRule="auto"/>
        <w:ind w:left="567" w:right="539"/>
        <w:jc w:val="both"/>
        <w:rPr>
          <w:i/>
          <w:sz w:val="22"/>
          <w:szCs w:val="22"/>
        </w:rPr>
      </w:pPr>
      <w:r w:rsidRPr="00B17044">
        <w:rPr>
          <w:i/>
          <w:sz w:val="22"/>
          <w:szCs w:val="22"/>
        </w:rPr>
        <w:t xml:space="preserve">14. No. de horas laboradas. Anotar el número de horas de trabajo </w:t>
      </w:r>
    </w:p>
    <w:p w14:paraId="34C1067A"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15. Adscripción</w:t>
      </w:r>
      <w:r w:rsidRPr="00B17044">
        <w:rPr>
          <w:i/>
          <w:sz w:val="22"/>
          <w:szCs w:val="22"/>
        </w:rPr>
        <w:t xml:space="preserve">. Anotar el área en donde desarrolla sus funciones el servidor público. </w:t>
      </w:r>
    </w:p>
    <w:p w14:paraId="6C22449E"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16. Categoría</w:t>
      </w:r>
      <w:r w:rsidRPr="00B17044">
        <w:rPr>
          <w:i/>
          <w:sz w:val="22"/>
          <w:szCs w:val="22"/>
        </w:rPr>
        <w:t xml:space="preserve">. Anotar la categoría de Confianza/Sindicalizado/Eventual de cada empleado. </w:t>
      </w:r>
    </w:p>
    <w:p w14:paraId="79AF5A7B" w14:textId="77777777" w:rsidR="00FC0900" w:rsidRPr="00B17044" w:rsidRDefault="00696652">
      <w:pPr>
        <w:tabs>
          <w:tab w:val="left" w:pos="993"/>
        </w:tabs>
        <w:spacing w:line="360" w:lineRule="auto"/>
        <w:ind w:left="567" w:right="539"/>
        <w:jc w:val="both"/>
        <w:rPr>
          <w:i/>
          <w:sz w:val="22"/>
          <w:szCs w:val="22"/>
        </w:rPr>
      </w:pPr>
      <w:r w:rsidRPr="00B17044">
        <w:rPr>
          <w:b/>
          <w:i/>
          <w:sz w:val="22"/>
          <w:szCs w:val="22"/>
        </w:rPr>
        <w:t>17. Percepciones ordinarias</w:t>
      </w:r>
      <w:r w:rsidRPr="00B17044">
        <w:rPr>
          <w:i/>
          <w:sz w:val="22"/>
          <w:szCs w:val="22"/>
        </w:rPr>
        <w:t xml:space="preserve">. Anotar todos los pagos por sueldos y salarios, conforme a los tabuladores autorizados. </w:t>
      </w:r>
    </w:p>
    <w:p w14:paraId="572F0EE7"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b/>
          <w:i/>
          <w:sz w:val="22"/>
          <w:szCs w:val="22"/>
        </w:rPr>
        <w:lastRenderedPageBreak/>
        <w:t>18. Percepciones extraordinarias</w:t>
      </w:r>
      <w:r w:rsidRPr="00B17044">
        <w:rPr>
          <w:i/>
          <w:sz w:val="22"/>
          <w:szCs w:val="22"/>
        </w:rPr>
        <w:t xml:space="preserve">. Anotar todos los pagos por concepto de estímulos, reconocimientos, recompensas, incentivos y pagos equivalentes a los mismos que se otorgan de manera excepcional al personal y que no constituye un ingreso fijo, regular ni permanente, ya </w:t>
      </w:r>
      <w:r w:rsidRPr="00B17044">
        <w:rPr>
          <w:rFonts w:ascii="Palatino Linotype" w:eastAsia="Palatino Linotype" w:hAnsi="Palatino Linotype" w:cs="Palatino Linotype"/>
          <w:i/>
          <w:sz w:val="22"/>
          <w:szCs w:val="22"/>
        </w:rPr>
        <w:t xml:space="preserve">que su otorgamiento se encuentra sujeto a requisitos y condiciones variables con la periodicidad establecida en las disposiciones aplicables. </w:t>
      </w:r>
    </w:p>
    <w:p w14:paraId="435B9540"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19. Total de percepciones brutas. Anotar el total de la suma de todas las Percepciones ordinarias y las Percepciones extraordinarias. </w:t>
      </w:r>
    </w:p>
    <w:p w14:paraId="2B799038"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20. Deducciones. Anotar los montos que se le descuentan al salario base de un trabajador regulado por las leyes laborales, constitucionales y de seguridad social. Además de los descuentos por de pensión alimenticia, y las deducciones facultativas autorizadas por el servidor público, como por ejemplo alimentación y transporte, ambas con límites de descuentos establecidos por la ley, los prestamos etc.; estas deducciones no son obligatorias por ley y se tratan de un acuerdo entre patrón y trabajador. </w:t>
      </w:r>
    </w:p>
    <w:p w14:paraId="719E7142"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21. Total de deducciones. Anotar el total de la suma de todas las deducciones. </w:t>
      </w:r>
    </w:p>
    <w:p w14:paraId="666BE4AA"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22. Total Neto.</w:t>
      </w:r>
      <w:r w:rsidRPr="00B17044">
        <w:rPr>
          <w:rFonts w:ascii="Palatino Linotype" w:eastAsia="Palatino Linotype" w:hAnsi="Palatino Linotype" w:cs="Palatino Linotype"/>
          <w:i/>
          <w:sz w:val="22"/>
          <w:szCs w:val="22"/>
        </w:rPr>
        <w:t xml:space="preserve"> Anotar la diferencia del total de percepciones y el total de deducciones. </w:t>
      </w:r>
    </w:p>
    <w:p w14:paraId="543038FB"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23. Días pagados</w:t>
      </w:r>
      <w:r w:rsidRPr="00B17044">
        <w:rPr>
          <w:rFonts w:ascii="Palatino Linotype" w:eastAsia="Palatino Linotype" w:hAnsi="Palatino Linotype" w:cs="Palatino Linotype"/>
          <w:i/>
          <w:sz w:val="22"/>
          <w:szCs w:val="22"/>
        </w:rPr>
        <w:t xml:space="preserve">. Anotar los días que el servidor público trabajo en la quincena. </w:t>
      </w:r>
    </w:p>
    <w:p w14:paraId="5906CC40"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24. Nombre de la fuente de financiamiento. Anotar el nombre del recurso que utilizo la entidad para el pago de la nómina. </w:t>
      </w:r>
    </w:p>
    <w:p w14:paraId="74D68FA2"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25. Póliza. Anotar los datos de la(s) póliza(s) Tipo/No./Concepto e importe donde se registró contablemente el pago de la nómina. </w:t>
      </w:r>
    </w:p>
    <w:p w14:paraId="665138A1"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26. Medio de pago. Anotar el medio en que fue pagada la nómina; detallando los siguientes datos: Nombre de la institución bancaria, número de cuenta bancaria; la forma en que se realizó el pago transferencia, cheque, o efectivo, además el número de referencia y/o cheque y el importe. </w:t>
      </w:r>
    </w:p>
    <w:p w14:paraId="54F65F37"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lastRenderedPageBreak/>
        <w:t>27. Total. Anotar la suma de cada columna de percepciones, deducciones, total neto e importe pagado”.</w:t>
      </w:r>
    </w:p>
    <w:p w14:paraId="0AAF9BF2" w14:textId="77777777" w:rsidR="00FC0900" w:rsidRPr="00B17044" w:rsidRDefault="00696652">
      <w:pPr>
        <w:tabs>
          <w:tab w:val="left" w:pos="993"/>
        </w:tabs>
        <w:spacing w:line="360" w:lineRule="auto"/>
        <w:ind w:left="567" w:right="53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(énfasis añadido)</w:t>
      </w:r>
    </w:p>
    <w:p w14:paraId="0DFE5A06" w14:textId="77777777" w:rsidR="00FC0900" w:rsidRPr="00B17044" w:rsidRDefault="00FC0900">
      <w:pPr>
        <w:tabs>
          <w:tab w:val="left" w:pos="993"/>
        </w:tabs>
        <w:spacing w:line="360" w:lineRule="auto"/>
        <w:ind w:right="-28"/>
        <w:jc w:val="center"/>
        <w:rPr>
          <w:rFonts w:ascii="Palatino Linotype" w:eastAsia="Palatino Linotype" w:hAnsi="Palatino Linotype" w:cs="Palatino Linotype"/>
          <w:sz w:val="22"/>
          <w:szCs w:val="22"/>
        </w:rPr>
      </w:pPr>
    </w:p>
    <w:p w14:paraId="71D05A1D"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lo que, en atención a la información que requiere conocer el Particular, relativa al nombre, puesto y sueldo bruto y neto de los servidores públicos, esta podría estar contenida de manera enunciativa, más no limitativa en la Conciliación de Nómina Mensual del Sujeto Obligado. </w:t>
      </w:r>
    </w:p>
    <w:p w14:paraId="611E04BE"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57A8D0C0"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cuanto a la parte de la solicitud en donde el particular solicitó conocer la información curricular, la misma se encuentra establecida como una obligación común de transparencia que los sujetos obligados deben cumplir como mínimo, esto de conformidad con la fracción XXI del artículo 92 de la Ley de la materia que medularmente establece que se debe otorgar el acceso de manera actualizada y permanente sobre la información curricular, desde el nivel de jefe de departamento o equivalente, hasta el titular del sujeto obligado. Asimismo, de acuerdo con el formato 17 LGT_Art_70_Fr_XVII (información curricular y las sanciones administrativas definitivas de los servidores públicos y personas que desempeñan un empleo, cargo o comisión) de los Lineamientos Generales-, que deben de difundir los sujetos obligados en los portales de Internet y en la Plataforma Nacional de Transparencia, establece como datos a publicar, de los servidores públicos, su información curricular, tal como </w:t>
      </w:r>
      <w:r w:rsidRPr="00B17044">
        <w:rPr>
          <w:rFonts w:ascii="Palatino Linotype" w:eastAsia="Palatino Linotype" w:hAnsi="Palatino Linotype" w:cs="Palatino Linotype"/>
        </w:rPr>
        <w:lastRenderedPageBreak/>
        <w:t>lo es, el nivel máximo de estudios concluido y comprobable, así como la experiencia laboral, tal como se muestra continuación:</w:t>
      </w:r>
    </w:p>
    <w:p w14:paraId="025D4CE4"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505B72F6" w14:textId="77777777" w:rsidR="00FC0900" w:rsidRPr="00B17044" w:rsidRDefault="00696652">
      <w:pPr>
        <w:tabs>
          <w:tab w:val="left" w:pos="993"/>
        </w:tabs>
        <w:spacing w:line="360" w:lineRule="auto"/>
        <w:ind w:right="-28"/>
        <w:jc w:val="center"/>
        <w:rPr>
          <w:rFonts w:ascii="Palatino Linotype" w:eastAsia="Palatino Linotype" w:hAnsi="Palatino Linotype" w:cs="Palatino Linotype"/>
        </w:rPr>
      </w:pPr>
      <w:r w:rsidRPr="00B17044">
        <w:rPr>
          <w:rFonts w:ascii="Palatino Linotype" w:eastAsia="Palatino Linotype" w:hAnsi="Palatino Linotype" w:cs="Palatino Linotype"/>
          <w:noProof/>
          <w:lang w:val="es-419" w:eastAsia="es-419"/>
        </w:rPr>
        <w:drawing>
          <wp:inline distT="0" distB="0" distL="0" distR="0" wp14:anchorId="2B0BFF4D" wp14:editId="064E0192">
            <wp:extent cx="5439842" cy="1935059"/>
            <wp:effectExtent l="0" t="0" r="0" b="0"/>
            <wp:docPr id="4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439842" cy="1935059"/>
                    </a:xfrm>
                    <a:prstGeom prst="rect">
                      <a:avLst/>
                    </a:prstGeom>
                    <a:ln/>
                  </pic:spPr>
                </pic:pic>
              </a:graphicData>
            </a:graphic>
          </wp:inline>
        </w:drawing>
      </w:r>
    </w:p>
    <w:p w14:paraId="5F5620AF"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0630B7D6"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sz w:val="22"/>
          <w:szCs w:val="22"/>
        </w:rPr>
      </w:pPr>
      <w:r w:rsidRPr="00B17044">
        <w:rPr>
          <w:rFonts w:ascii="Palatino Linotype" w:eastAsia="Palatino Linotype" w:hAnsi="Palatino Linotype" w:cs="Palatino Linotype"/>
        </w:rPr>
        <w:t>Bajo este orden de ideas, la entrega de los documentos que acreditan el nivel académico o de preparación en algún área del conocimiento, aportan elementos de convicción sobre su legalidad y legitimidad, además de que permiten verificar que los servidores públicos del Sujeto Obligado acreditaron el nivel académico y la experiencia necesaria para ocupar un cargo público dentro de su estructura orgánica.</w:t>
      </w:r>
    </w:p>
    <w:p w14:paraId="1609538D"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7ED714A5"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Ahora bien, no pasa desapercibido mencionar que toda vez que el Particular requirió la información curricular de todo el personal que labora en las distintas dependencias del Sujeto Obligado, es necesario establecer que por lo que hace a las fotografía contenidas en los documentos que dan cuenta a la información curricular de los servidores </w:t>
      </w:r>
      <w:r w:rsidRPr="00B17044">
        <w:rPr>
          <w:rFonts w:ascii="Palatino Linotype" w:eastAsia="Palatino Linotype" w:hAnsi="Palatino Linotype" w:cs="Palatino Linotype"/>
        </w:rPr>
        <w:lastRenderedPageBreak/>
        <w:t xml:space="preserve">públicos, como pudiera ser el </w:t>
      </w:r>
      <w:r w:rsidRPr="00B17044">
        <w:rPr>
          <w:rFonts w:ascii="Palatino Linotype" w:eastAsia="Palatino Linotype" w:hAnsi="Palatino Linotype" w:cs="Palatino Linotype"/>
          <w:i/>
        </w:rPr>
        <w:t>Currículum Vitae</w:t>
      </w:r>
      <w:r w:rsidRPr="00B17044">
        <w:rPr>
          <w:rFonts w:ascii="Palatino Linotype" w:eastAsia="Palatino Linotype" w:hAnsi="Palatino Linotype" w:cs="Palatino Linotype"/>
        </w:rPr>
        <w:t xml:space="preserve">, esta </w:t>
      </w:r>
      <w:r w:rsidRPr="00B17044">
        <w:rPr>
          <w:rFonts w:ascii="Palatino Linotype" w:eastAsia="Palatino Linotype" w:hAnsi="Palatino Linotype" w:cs="Palatino Linotype"/>
          <w:b/>
        </w:rPr>
        <w:t>da cuenta de las características físicas de los particulares.</w:t>
      </w:r>
      <w:r w:rsidRPr="00B17044">
        <w:rPr>
          <w:rFonts w:ascii="Palatino Linotype" w:eastAsia="Palatino Linotype" w:hAnsi="Palatino Linotype" w:cs="Palatino Linotype"/>
        </w:rPr>
        <w:t xml:space="preserve"> </w:t>
      </w:r>
    </w:p>
    <w:p w14:paraId="1C4008A3" w14:textId="77777777" w:rsidR="00FC0900" w:rsidRPr="00B17044" w:rsidRDefault="00FC0900">
      <w:pPr>
        <w:spacing w:line="360" w:lineRule="auto"/>
        <w:ind w:right="-93"/>
        <w:jc w:val="both"/>
        <w:rPr>
          <w:rFonts w:ascii="Palatino Linotype" w:eastAsia="Palatino Linotype" w:hAnsi="Palatino Linotype" w:cs="Palatino Linotype"/>
        </w:rPr>
      </w:pPr>
    </w:p>
    <w:p w14:paraId="5F981115"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7D4317C" w14:textId="77777777" w:rsidR="00FC0900" w:rsidRPr="00B17044" w:rsidRDefault="00FC0900">
      <w:pPr>
        <w:spacing w:line="360" w:lineRule="auto"/>
        <w:ind w:right="-93"/>
        <w:jc w:val="both"/>
        <w:rPr>
          <w:rFonts w:ascii="Palatino Linotype" w:eastAsia="Palatino Linotype" w:hAnsi="Palatino Linotype" w:cs="Palatino Linotype"/>
        </w:rPr>
      </w:pPr>
    </w:p>
    <w:p w14:paraId="527B609A"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De esa forma, el derecho a la imagen como la representación gráfica de la persona y el derecho a la propia imagen como facultad para permitir o impedir su obtención, reproducción, difusión y distribución por parte de un tercero.</w:t>
      </w:r>
    </w:p>
    <w:p w14:paraId="6235C5C4" w14:textId="77777777" w:rsidR="00FC0900" w:rsidRPr="00B17044" w:rsidRDefault="00FC0900">
      <w:pPr>
        <w:spacing w:line="360" w:lineRule="auto"/>
        <w:ind w:right="-93"/>
        <w:jc w:val="both"/>
        <w:rPr>
          <w:rFonts w:ascii="Palatino Linotype" w:eastAsia="Palatino Linotype" w:hAnsi="Palatino Linotype" w:cs="Palatino Linotype"/>
        </w:rPr>
      </w:pPr>
    </w:p>
    <w:p w14:paraId="43F0D788"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Al respecto, el Pleno de la Suprema Corte de Justicia de la Nación se ha pronunciado en el mismo sentido en la siguiente tesis:</w:t>
      </w:r>
    </w:p>
    <w:p w14:paraId="09894265" w14:textId="77777777" w:rsidR="00FC0900" w:rsidRPr="00B17044" w:rsidRDefault="00FC0900">
      <w:pPr>
        <w:spacing w:line="360" w:lineRule="auto"/>
        <w:ind w:right="-93"/>
        <w:jc w:val="both"/>
        <w:rPr>
          <w:rFonts w:ascii="Palatino Linotype" w:eastAsia="Palatino Linotype" w:hAnsi="Palatino Linotype" w:cs="Palatino Linotype"/>
        </w:rPr>
      </w:pPr>
    </w:p>
    <w:p w14:paraId="71C4C2D4"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B17044">
        <w:rPr>
          <w:rFonts w:ascii="Palatino Linotype" w:eastAsia="Palatino Linotype" w:hAnsi="Palatino Linotype" w:cs="Palatino Linotype"/>
          <w:i/>
          <w:sz w:val="22"/>
          <w:szCs w:val="22"/>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w:t>
      </w:r>
      <w:r w:rsidRPr="00B17044">
        <w:rPr>
          <w:rFonts w:ascii="Palatino Linotype" w:eastAsia="Palatino Linotype" w:hAnsi="Palatino Linotype" w:cs="Palatino Linotype"/>
          <w:i/>
          <w:sz w:val="22"/>
          <w:szCs w:val="22"/>
        </w:rPr>
        <w:lastRenderedPageBreak/>
        <w:t xml:space="preserve">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B17044">
        <w:rPr>
          <w:rFonts w:ascii="Palatino Linotype" w:eastAsia="Palatino Linotype" w:hAnsi="Palatino Linotype" w:cs="Palatino Linotype"/>
          <w:b/>
          <w:i/>
          <w:sz w:val="22"/>
          <w:szCs w:val="22"/>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B17044">
        <w:rPr>
          <w:rFonts w:ascii="Palatino Linotype" w:eastAsia="Palatino Linotype" w:hAnsi="Palatino Linotype" w:cs="Palatino Linotype"/>
          <w:i/>
          <w:sz w:val="22"/>
          <w:szCs w:val="22"/>
        </w:rPr>
        <w:t xml:space="preserve">por lo que, si bien no son absolutos, </w:t>
      </w:r>
      <w:r w:rsidRPr="00B17044">
        <w:rPr>
          <w:rFonts w:ascii="Palatino Linotype" w:eastAsia="Palatino Linotype" w:hAnsi="Palatino Linotype" w:cs="Palatino Linotype"/>
          <w:b/>
          <w:i/>
          <w:sz w:val="22"/>
          <w:szCs w:val="22"/>
        </w:rPr>
        <w:t>sólo por ley podrá justificarse su intromisión, siempre que medie un interés superior</w:t>
      </w:r>
      <w:r w:rsidRPr="00B17044">
        <w:rPr>
          <w:rFonts w:ascii="Palatino Linotype" w:eastAsia="Palatino Linotype" w:hAnsi="Palatino Linotype" w:cs="Palatino Linotype"/>
          <w:i/>
          <w:sz w:val="22"/>
          <w:szCs w:val="22"/>
        </w:rPr>
        <w:t>.”</w:t>
      </w:r>
    </w:p>
    <w:p w14:paraId="24732A51" w14:textId="77777777" w:rsidR="00FC0900" w:rsidRPr="00B17044" w:rsidRDefault="00FC0900">
      <w:pPr>
        <w:spacing w:line="360" w:lineRule="auto"/>
        <w:ind w:right="-93"/>
        <w:jc w:val="both"/>
        <w:rPr>
          <w:rFonts w:ascii="Palatino Linotype" w:eastAsia="Palatino Linotype" w:hAnsi="Palatino Linotype" w:cs="Palatino Linotype"/>
        </w:rPr>
      </w:pPr>
    </w:p>
    <w:p w14:paraId="712B1D18"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1E08205A" w14:textId="77777777" w:rsidR="00FC0900" w:rsidRPr="00B17044" w:rsidRDefault="00FC0900">
      <w:pPr>
        <w:spacing w:line="360" w:lineRule="auto"/>
        <w:ind w:right="-93"/>
        <w:jc w:val="both"/>
        <w:rPr>
          <w:rFonts w:ascii="Palatino Linotype" w:eastAsia="Palatino Linotype" w:hAnsi="Palatino Linotype" w:cs="Palatino Linotype"/>
        </w:rPr>
      </w:pPr>
    </w:p>
    <w:p w14:paraId="38CDCF46"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4A957B35" w14:textId="77777777" w:rsidR="00FC0900" w:rsidRPr="00B17044" w:rsidRDefault="00FC0900">
      <w:pPr>
        <w:spacing w:line="360" w:lineRule="auto"/>
        <w:jc w:val="both"/>
        <w:rPr>
          <w:rFonts w:ascii="Palatino Linotype" w:eastAsia="Palatino Linotype" w:hAnsi="Palatino Linotype" w:cs="Palatino Linotype"/>
        </w:rPr>
      </w:pPr>
    </w:p>
    <w:p w14:paraId="63A484BB"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Ahora bien, no pasa desapercibido que la fotografía, en el presente caso, se trata de servidores públicos; por lo que, se trae a colación, por analogía, el Criterio 05/09, emitido por el pleno del 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14:paraId="3984EA07" w14:textId="77777777" w:rsidR="00FC0900" w:rsidRPr="00B17044" w:rsidRDefault="00696652">
      <w:pPr>
        <w:tabs>
          <w:tab w:val="left" w:pos="4962"/>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3B12DE31" w14:textId="77777777" w:rsidR="00FC0900" w:rsidRPr="00B17044" w:rsidRDefault="00FC0900">
      <w:pPr>
        <w:tabs>
          <w:tab w:val="left" w:pos="4962"/>
        </w:tabs>
        <w:spacing w:line="360" w:lineRule="auto"/>
        <w:jc w:val="both"/>
        <w:rPr>
          <w:rFonts w:ascii="Palatino Linotype" w:eastAsia="Palatino Linotype" w:hAnsi="Palatino Linotype" w:cs="Palatino Linotype"/>
        </w:rPr>
      </w:pPr>
    </w:p>
    <w:p w14:paraId="5DE2DADC" w14:textId="77777777" w:rsidR="00FC0900" w:rsidRPr="00B17044" w:rsidRDefault="00696652">
      <w:pPr>
        <w:tabs>
          <w:tab w:val="left" w:pos="4962"/>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Lo anterior, se robustece con el Criterio 03/19, emitido por el Pleno de este Instituto, que precisa lo siguiente:</w:t>
      </w:r>
    </w:p>
    <w:p w14:paraId="62F31AB0" w14:textId="77777777" w:rsidR="00FC0900" w:rsidRPr="00B17044" w:rsidRDefault="00FC0900">
      <w:pPr>
        <w:tabs>
          <w:tab w:val="left" w:pos="4962"/>
        </w:tabs>
        <w:spacing w:line="360" w:lineRule="auto"/>
        <w:jc w:val="both"/>
        <w:rPr>
          <w:rFonts w:ascii="Palatino Linotype" w:eastAsia="Palatino Linotype" w:hAnsi="Palatino Linotype" w:cs="Palatino Linotype"/>
        </w:rPr>
      </w:pPr>
    </w:p>
    <w:p w14:paraId="2353B9F1" w14:textId="77777777" w:rsidR="00FC0900" w:rsidRPr="00B17044" w:rsidRDefault="00696652">
      <w:pPr>
        <w:tabs>
          <w:tab w:val="left" w:pos="4962"/>
        </w:tabs>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“SERVIDORES PÚBLICOS CON CATEGORÍA DE MANDO MEDIO Y SUPERIOR. LA FOTOGRAFÍA DE AQUELLOS ES DE CARÁCTER PÚBLICO. </w:t>
      </w:r>
      <w:r w:rsidRPr="00B17044">
        <w:rPr>
          <w:rFonts w:ascii="Palatino Linotype" w:eastAsia="Palatino Linotype" w:hAnsi="Palatino Linotype" w:cs="Palatino Linotype"/>
          <w:i/>
          <w:sz w:val="22"/>
          <w:szCs w:val="22"/>
        </w:rPr>
        <w:t>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5E110A85" w14:textId="77777777" w:rsidR="00FC0900" w:rsidRPr="00B17044" w:rsidRDefault="00FC0900">
      <w:pPr>
        <w:tabs>
          <w:tab w:val="left" w:pos="4962"/>
        </w:tabs>
        <w:jc w:val="both"/>
        <w:rPr>
          <w:rFonts w:ascii="Palatino Linotype" w:eastAsia="Palatino Linotype" w:hAnsi="Palatino Linotype" w:cs="Palatino Linotype"/>
        </w:rPr>
      </w:pPr>
    </w:p>
    <w:p w14:paraId="4ECD8474" w14:textId="77777777" w:rsidR="00FC0900" w:rsidRPr="00B17044" w:rsidRDefault="00696652">
      <w:pPr>
        <w:tabs>
          <w:tab w:val="left" w:pos="4962"/>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w:t>
      </w:r>
      <w:r w:rsidRPr="00B17044">
        <w:rPr>
          <w:rFonts w:ascii="Palatino Linotype" w:eastAsia="Palatino Linotype" w:hAnsi="Palatino Linotype" w:cs="Palatino Linotype"/>
          <w:b/>
        </w:rPr>
        <w:t>el dato de aquellos trabajadores que no ostenten las categorías previamente señaladas es confidencial.</w:t>
      </w:r>
    </w:p>
    <w:p w14:paraId="3D5F44CF"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0ADF9DE8"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Así, por lo que hace a los documentos comprobatorios de la información curricular</w:t>
      </w:r>
      <w:r w:rsidRPr="00B17044">
        <w:rPr>
          <w:rFonts w:ascii="Palatino Linotype" w:eastAsia="Palatino Linotype" w:hAnsi="Palatino Linotype" w:cs="Palatino Linotype"/>
          <w:sz w:val="22"/>
          <w:szCs w:val="22"/>
        </w:rPr>
        <w:t xml:space="preserve">, </w:t>
      </w:r>
      <w:r w:rsidRPr="00B17044">
        <w:rPr>
          <w:rFonts w:ascii="Palatino Linotype" w:eastAsia="Palatino Linotype" w:hAnsi="Palatino Linotype" w:cs="Palatino Linotype"/>
        </w:rPr>
        <w:t xml:space="preserve">resulta imprescindible señalar que el artículo 47 de la Ley de Trabajo de los Servidores Públicos del Estado de México y Municipios, refiere que toda persona que ingrese al servicio público debe cumplir con las especificaciones que son necesarias para ocupar el cargo, esto es, los requisitos mínimos tales como, de manera enunciativa más no limitativa; la nacionalidad y aptitudes, o bien, para el personal de mando medio superior; los documentos que den cuenta de la experiencia mínima solicitada o título profesional. </w:t>
      </w:r>
    </w:p>
    <w:p w14:paraId="3FB9858E"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4B455BDF"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ese mismo orden de ideas, el artículo 32 de la Ley Orgánica Municipal del Estado de México, establece que para ocupar los cargos de Secretario, Tesorero, Director de Obras Públicas, de Desarrollo Económico, Director de Turismo, Coordinador General Municipal de Mejora Regulatoria, Ecología, Desarrollo Urbano, de Desarrollo Social, titulares de las unidades administrativas, de Protección Civil y de los organismos auxiliares se deberán satisfacer diversos requisitos, entre ellos, contar con título </w:t>
      </w:r>
      <w:r w:rsidRPr="00B17044">
        <w:rPr>
          <w:rFonts w:ascii="Palatino Linotype" w:eastAsia="Palatino Linotype" w:hAnsi="Palatino Linotype" w:cs="Palatino Linotype"/>
        </w:rPr>
        <w:lastRenderedPageBreak/>
        <w:t>profesional o acreditar experiencia mínima, cuando sea el caso, para el desempeño de los cargos que así lo requieran.</w:t>
      </w:r>
    </w:p>
    <w:p w14:paraId="3EE25832"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0C5E5C5F"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i/>
        </w:rPr>
      </w:pPr>
      <w:r w:rsidRPr="00B17044">
        <w:rPr>
          <w:rFonts w:ascii="Palatino Linotype" w:eastAsia="Palatino Linotype" w:hAnsi="Palatino Linotype" w:cs="Palatino Linotype"/>
        </w:rPr>
        <w:t xml:space="preserve">De lo anterior, resulta necesario precisar que el Recurrente requirió los documentos comprobatorios de la experiencia laboral de servidores públicos, por lo que, de conformidad con el artículo 32 de la Ley Orgánica Municipal del Estado de México, para el caso del Tesorero Municipal, este deberá proporcionar el título profesional, además de acreditar su experiencia laboral, por lo que, para este caso, el documento que puede dar cuenta de la experiencia laboral del Tesorero Municipal, pudiera ser el </w:t>
      </w:r>
      <w:r w:rsidRPr="00B17044">
        <w:rPr>
          <w:rFonts w:ascii="Palatino Linotype" w:eastAsia="Palatino Linotype" w:hAnsi="Palatino Linotype" w:cs="Palatino Linotype"/>
          <w:i/>
        </w:rPr>
        <w:t xml:space="preserve">Currículum Vitae. </w:t>
      </w:r>
    </w:p>
    <w:p w14:paraId="1B0A52B3"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76135A9E"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b/>
          <w:sz w:val="22"/>
          <w:szCs w:val="22"/>
        </w:rPr>
      </w:pPr>
      <w:r w:rsidRPr="00B17044">
        <w:rPr>
          <w:rFonts w:ascii="Palatino Linotype" w:eastAsia="Palatino Linotype" w:hAnsi="Palatino Linotype" w:cs="Palatino Linotype"/>
        </w:rPr>
        <w:t xml:space="preserve">Por otro lado, se tiene que aquellos documentos que den cuenta de la experiencia laboral de los demás servidores públicos no son necesariamente un requisito para acceder al cargo, por lo que estos documentos pudieran o no obran en los archivos del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xml:space="preserve"> </w:t>
      </w:r>
    </w:p>
    <w:p w14:paraId="5F884513"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09CED67A"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Con respecto a la solicitud sobre el perfil de los puestos, la Ley de Trabajo de los Servidores Públicos del Estado de México y Municipios, en sus artículos 99 y 100, fracción I, se establece que: </w:t>
      </w:r>
    </w:p>
    <w:p w14:paraId="5F06C15D"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2134EBB9"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w:t>
      </w:r>
    </w:p>
    <w:p w14:paraId="0643D102"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ARTÍCULO 99</w:t>
      </w:r>
      <w:r w:rsidRPr="00B17044">
        <w:rPr>
          <w:rFonts w:ascii="Palatino Linotype" w:eastAsia="Palatino Linotype" w:hAnsi="Palatino Linotype" w:cs="Palatino Linotype"/>
          <w:i/>
          <w:sz w:val="22"/>
          <w:szCs w:val="22"/>
        </w:rPr>
        <w:t xml:space="preserve">. Las instituciones públicas </w:t>
      </w:r>
      <w:r w:rsidRPr="00B17044">
        <w:rPr>
          <w:rFonts w:ascii="Palatino Linotype" w:eastAsia="Palatino Linotype" w:hAnsi="Palatino Linotype" w:cs="Palatino Linotype"/>
          <w:i/>
          <w:sz w:val="22"/>
          <w:szCs w:val="22"/>
          <w:u w:val="single"/>
        </w:rPr>
        <w:t>establecerán un sistema de profesionalización</w:t>
      </w:r>
      <w:r w:rsidRPr="00B17044">
        <w:rPr>
          <w:rFonts w:ascii="Palatino Linotype" w:eastAsia="Palatino Linotype" w:hAnsi="Palatino Linotype" w:cs="Palatino Linotype"/>
          <w:i/>
          <w:sz w:val="22"/>
          <w:szCs w:val="22"/>
        </w:rPr>
        <w:t xml:space="preserve"> que permita el ingreso al servicio a los aspirantes más calificados, y garantice la estabilidad </w:t>
      </w:r>
      <w:r w:rsidRPr="00B17044">
        <w:rPr>
          <w:rFonts w:ascii="Palatino Linotype" w:eastAsia="Palatino Linotype" w:hAnsi="Palatino Linotype" w:cs="Palatino Linotype"/>
          <w:i/>
          <w:sz w:val="22"/>
          <w:szCs w:val="22"/>
        </w:rPr>
        <w:lastRenderedPageBreak/>
        <w:t>y movilidad laborales de los servidores públicos conforme a su desarrollo profesional y a sus méritos en el servicio.</w:t>
      </w:r>
    </w:p>
    <w:p w14:paraId="72B5E110" w14:textId="77777777" w:rsidR="00FC0900" w:rsidRPr="00B17044" w:rsidRDefault="00FC0900">
      <w:pPr>
        <w:ind w:left="567" w:right="567"/>
        <w:jc w:val="both"/>
        <w:rPr>
          <w:rFonts w:ascii="Palatino Linotype" w:eastAsia="Palatino Linotype" w:hAnsi="Palatino Linotype" w:cs="Palatino Linotype"/>
          <w:i/>
          <w:sz w:val="22"/>
          <w:szCs w:val="22"/>
        </w:rPr>
      </w:pPr>
    </w:p>
    <w:p w14:paraId="46880A83"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ARTÍCULO 100</w:t>
      </w:r>
      <w:r w:rsidRPr="00B17044">
        <w:rPr>
          <w:rFonts w:ascii="Palatino Linotype" w:eastAsia="Palatino Linotype" w:hAnsi="Palatino Linotype" w:cs="Palatino Linotype"/>
          <w:i/>
          <w:sz w:val="22"/>
          <w:szCs w:val="22"/>
        </w:rPr>
        <w:t xml:space="preserve">. Los sistemas de profesionalización que establezcan las instituciones públicas deberán conformarse a partir de las siguientes bases: </w:t>
      </w:r>
    </w:p>
    <w:p w14:paraId="6C082C6A" w14:textId="77777777" w:rsidR="00FC0900" w:rsidRPr="00B17044" w:rsidRDefault="00FC0900">
      <w:pPr>
        <w:ind w:left="567" w:right="567"/>
        <w:jc w:val="both"/>
        <w:rPr>
          <w:rFonts w:ascii="Palatino Linotype" w:eastAsia="Palatino Linotype" w:hAnsi="Palatino Linotype" w:cs="Palatino Linotype"/>
          <w:i/>
          <w:sz w:val="22"/>
          <w:szCs w:val="22"/>
        </w:rPr>
      </w:pPr>
    </w:p>
    <w:p w14:paraId="109CBCC5"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I</w:t>
      </w:r>
      <w:r w:rsidRPr="00B17044">
        <w:rPr>
          <w:rFonts w:ascii="Palatino Linotype" w:eastAsia="Palatino Linotype" w:hAnsi="Palatino Linotype" w:cs="Palatino Linotype"/>
          <w:i/>
          <w:sz w:val="22"/>
          <w:szCs w:val="22"/>
        </w:rPr>
        <w:t xml:space="preserve">. Definición de </w:t>
      </w:r>
      <w:r w:rsidRPr="00B17044">
        <w:rPr>
          <w:rFonts w:ascii="Palatino Linotype" w:eastAsia="Palatino Linotype" w:hAnsi="Palatino Linotype" w:cs="Palatino Linotype"/>
          <w:b/>
          <w:i/>
          <w:sz w:val="22"/>
          <w:szCs w:val="22"/>
        </w:rPr>
        <w:t>un catálogo de puestos</w:t>
      </w:r>
      <w:r w:rsidRPr="00B17044">
        <w:rPr>
          <w:rFonts w:ascii="Palatino Linotype" w:eastAsia="Palatino Linotype" w:hAnsi="Palatino Linotype" w:cs="Palatino Linotype"/>
          <w:i/>
          <w:sz w:val="22"/>
          <w:szCs w:val="22"/>
        </w:rPr>
        <w:t xml:space="preserve"> por institución pública o dependencia que </w:t>
      </w:r>
      <w:r w:rsidRPr="00B17044">
        <w:rPr>
          <w:rFonts w:ascii="Palatino Linotype" w:eastAsia="Palatino Linotype" w:hAnsi="Palatino Linotype" w:cs="Palatino Linotype"/>
          <w:b/>
          <w:i/>
          <w:sz w:val="22"/>
          <w:szCs w:val="22"/>
          <w:u w:val="single"/>
        </w:rPr>
        <w:t>deberá contener el perfil de cada uno de los existentes, los requisitos necesarios para desempeñarlos</w:t>
      </w:r>
      <w:r w:rsidRPr="00B17044">
        <w:rPr>
          <w:rFonts w:ascii="Palatino Linotype" w:eastAsia="Palatino Linotype" w:hAnsi="Palatino Linotype" w:cs="Palatino Linotype"/>
          <w:i/>
          <w:sz w:val="22"/>
          <w:szCs w:val="22"/>
        </w:rPr>
        <w:t xml:space="preserve"> y el nivel salarial y escalafonario que les corresponde;</w:t>
      </w:r>
    </w:p>
    <w:p w14:paraId="68029885" w14:textId="77777777" w:rsidR="00FC0900" w:rsidRPr="00B17044" w:rsidRDefault="00FC0900">
      <w:pPr>
        <w:ind w:left="567" w:right="567"/>
        <w:jc w:val="both"/>
        <w:rPr>
          <w:rFonts w:ascii="Palatino Linotype" w:eastAsia="Palatino Linotype" w:hAnsi="Palatino Linotype" w:cs="Palatino Linotype"/>
          <w:i/>
          <w:sz w:val="22"/>
          <w:szCs w:val="22"/>
        </w:rPr>
      </w:pPr>
    </w:p>
    <w:p w14:paraId="46A2270B"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 II a la IV </w:t>
      </w:r>
    </w:p>
    <w:p w14:paraId="55C0AD15" w14:textId="77777777" w:rsidR="00FC0900" w:rsidRPr="00B17044" w:rsidRDefault="00696652">
      <w:pPr>
        <w:ind w:left="567" w:right="567"/>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(sic)</w:t>
      </w:r>
    </w:p>
    <w:p w14:paraId="5BBCE188"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7825159D"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tal forma que de lo anterior se colige que cada dependencia o institución pública, deberá general un catálogo de puestos, en el cual se deberá señalar de manera actualizada los requisitos que deben observarse para ocupar un cierto cargo, asimismo, de conformidad con lo que establece la sección III, fracción XII de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las Instituciones públicas establecerán un sistema de profesionalización que permita el ingreso al servicio a los aspirantes más calificados y garantice la estabilidad y movilidad laborales de los servidores públicos. </w:t>
      </w:r>
    </w:p>
    <w:p w14:paraId="41BB27DD"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43F51EA1"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el mismo orden de ideas, los Lineamientos en cita, establecen que de acuerdo con el Manual de Procedimientos de la Subdirección de Escalafón de la Secretaría de Finanzas </w:t>
      </w:r>
      <w:r w:rsidRPr="00B17044">
        <w:rPr>
          <w:rFonts w:ascii="Palatino Linotype" w:eastAsia="Palatino Linotype" w:hAnsi="Palatino Linotype" w:cs="Palatino Linotype"/>
        </w:rPr>
        <w:lastRenderedPageBreak/>
        <w:t xml:space="preserve">del Poder Ejecutivo del Estado de México, el “Perfil de Puesto” es la herramienta que contiene las características que la o el ocupante de un puesto debe tener para poder cumplir con las funciones de este, tales como preparación académica, competencias, experiencia, así como las condiciones de trabajo. </w:t>
      </w:r>
    </w:p>
    <w:p w14:paraId="2DA4DC0F"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289AEF90"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Asimismo, en el dispositivo legal de referencia, se señala que de manera genérica el Perfil de Puestos deberá observar lo siguiente: </w:t>
      </w:r>
    </w:p>
    <w:p w14:paraId="5AE51F0F"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18"/>
          <w:szCs w:val="18"/>
        </w:rPr>
      </w:pPr>
    </w:p>
    <w:p w14:paraId="22E561AF" w14:textId="77777777" w:rsidR="00FC0900" w:rsidRPr="00B17044" w:rsidRDefault="00696652">
      <w:pPr>
        <w:tabs>
          <w:tab w:val="left" w:pos="993"/>
        </w:tabs>
        <w:spacing w:line="360" w:lineRule="auto"/>
        <w:ind w:right="-28"/>
        <w:jc w:val="center"/>
        <w:rPr>
          <w:rFonts w:ascii="Palatino Linotype" w:eastAsia="Palatino Linotype" w:hAnsi="Palatino Linotype" w:cs="Palatino Linotype"/>
        </w:rPr>
      </w:pPr>
      <w:r w:rsidRPr="00B17044">
        <w:rPr>
          <w:rFonts w:ascii="Palatino Linotype" w:eastAsia="Palatino Linotype" w:hAnsi="Palatino Linotype" w:cs="Palatino Linotype"/>
          <w:noProof/>
          <w:lang w:val="es-419" w:eastAsia="es-419"/>
        </w:rPr>
        <w:drawing>
          <wp:inline distT="0" distB="0" distL="0" distR="0" wp14:anchorId="799EF449" wp14:editId="620E81D7">
            <wp:extent cx="5483312" cy="3605518"/>
            <wp:effectExtent l="0" t="0" r="0" b="0"/>
            <wp:docPr id="4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83312" cy="3605518"/>
                    </a:xfrm>
                    <a:prstGeom prst="rect">
                      <a:avLst/>
                    </a:prstGeom>
                    <a:ln/>
                  </pic:spPr>
                </pic:pic>
              </a:graphicData>
            </a:graphic>
          </wp:inline>
        </w:drawing>
      </w:r>
    </w:p>
    <w:p w14:paraId="54E14B3E" w14:textId="77777777" w:rsidR="00FC0900" w:rsidRPr="00B17044" w:rsidRDefault="00696652">
      <w:pPr>
        <w:tabs>
          <w:tab w:val="left" w:pos="993"/>
        </w:tabs>
        <w:spacing w:line="360" w:lineRule="auto"/>
        <w:ind w:right="-28"/>
        <w:rPr>
          <w:rFonts w:ascii="Palatino Linotype" w:eastAsia="Palatino Linotype" w:hAnsi="Palatino Linotype" w:cs="Palatino Linotype"/>
          <w:sz w:val="22"/>
          <w:szCs w:val="22"/>
        </w:rPr>
      </w:pPr>
      <w:r w:rsidRPr="00B17044">
        <w:rPr>
          <w:rFonts w:ascii="Palatino Linotype" w:eastAsia="Palatino Linotype" w:hAnsi="Palatino Linotype" w:cs="Palatino Linotype"/>
          <w:noProof/>
          <w:sz w:val="22"/>
          <w:szCs w:val="22"/>
          <w:lang w:val="es-419" w:eastAsia="es-419"/>
        </w:rPr>
        <w:lastRenderedPageBreak/>
        <w:drawing>
          <wp:inline distT="0" distB="0" distL="0" distR="0" wp14:anchorId="6197EF8B" wp14:editId="1CCD8A8E">
            <wp:extent cx="5742940" cy="1635760"/>
            <wp:effectExtent l="0" t="0" r="0" b="0"/>
            <wp:docPr id="4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42940" cy="1635760"/>
                    </a:xfrm>
                    <a:prstGeom prst="rect">
                      <a:avLst/>
                    </a:prstGeom>
                    <a:ln/>
                  </pic:spPr>
                </pic:pic>
              </a:graphicData>
            </a:graphic>
          </wp:inline>
        </w:drawing>
      </w:r>
    </w:p>
    <w:p w14:paraId="62106D1A"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2B3667A5"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resumen, tal como se advirtió el perfil de puestos deberá contener diversa información respecto a la formación educativa, profesional y sobre las condiciones de trabajo que los aspirantes a ocupar un cargo deberán conocer y cumplir para obtener el acceso al mismo. </w:t>
      </w:r>
    </w:p>
    <w:p w14:paraId="6132FFAE"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7C878EC6"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0"/>
          <w:szCs w:val="20"/>
        </w:rPr>
      </w:pPr>
    </w:p>
    <w:p w14:paraId="777D3697"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cuanto hace al punto  de la solicitud relativo a los documentos que acrediten la relación laboral con el Sujeto Obligado, de conformidad con lo establecido por el artículo 5 de la Ley del Trabajo de los Servidores Públicos del Estado y Municipios,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19A43804"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4C05C05A"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su parte, de acuerdo con lo establecido por el artículo 45 del dispositivo legal referido, se tiene que los servidores públicos prestarán sus servicios mediante </w:t>
      </w:r>
      <w:r w:rsidRPr="00B17044">
        <w:rPr>
          <w:rFonts w:ascii="Palatino Linotype" w:eastAsia="Palatino Linotype" w:hAnsi="Palatino Linotype" w:cs="Palatino Linotype"/>
        </w:rPr>
        <w:lastRenderedPageBreak/>
        <w:t xml:space="preserve">nombramiento, contrato o formato único de Movimiento de Personal expedidos por quien estuviere facultado legalmente para extenderlo. En el mismo orden de ideas, el artículo 49 de la Ley de Trabajo de los Servidores Públicos, precisa que los nombramientos, contratos o formato único de Movimiento de Personal de los servidores públicos, deberán contener el nombre completo del servidor público; cargo para el que es designado, fecha de inicio de inicio y lugar de adscripción; carácter del nombramiento, ya sea de servidores públicos generales o de confianza, así como temporalidad del mismo; remuneración correspondiente al puesto; jornada de trabajo y; firma del servidor público autorizado para emitir el nombramiento, contrato o formato único de Movimiento de Personal, así como el fundamento legal de esa atribución. </w:t>
      </w:r>
    </w:p>
    <w:p w14:paraId="13B120CD"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sz w:val="22"/>
          <w:szCs w:val="22"/>
        </w:rPr>
      </w:pPr>
    </w:p>
    <w:p w14:paraId="0D4425BA"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consecuencia se advierte que cada uno de los documentos solicitados por el particular es generado, poseído y administrado por </w:t>
      </w:r>
      <w:r w:rsidRPr="00B17044">
        <w:rPr>
          <w:rFonts w:ascii="Palatino Linotype" w:eastAsia="Palatino Linotype" w:hAnsi="Palatino Linotype" w:cs="Palatino Linotype"/>
          <w:b/>
        </w:rPr>
        <w:t xml:space="preserve">EL SUJETO OBLIGADO </w:t>
      </w:r>
      <w:r w:rsidRPr="00B17044">
        <w:rPr>
          <w:rFonts w:ascii="Palatino Linotype" w:eastAsia="Palatino Linotype" w:hAnsi="Palatino Linotype" w:cs="Palatino Linotype"/>
        </w:rPr>
        <w:t xml:space="preserve">en el ejercicio de sus facultades, aunado al hecho de que al momento de referir el cambio de modalidad de la información, este asume contar con la misma. </w:t>
      </w:r>
    </w:p>
    <w:p w14:paraId="0A680E77" w14:textId="77777777" w:rsidR="00FC0900" w:rsidRPr="00B17044" w:rsidRDefault="00FC0900">
      <w:pPr>
        <w:tabs>
          <w:tab w:val="left" w:pos="993"/>
        </w:tabs>
        <w:spacing w:line="360" w:lineRule="auto"/>
        <w:ind w:right="-28"/>
        <w:jc w:val="both"/>
        <w:rPr>
          <w:rFonts w:ascii="Palatino Linotype" w:eastAsia="Palatino Linotype" w:hAnsi="Palatino Linotype" w:cs="Palatino Linotype"/>
        </w:rPr>
      </w:pPr>
    </w:p>
    <w:p w14:paraId="54FFA00E" w14:textId="77777777" w:rsidR="00FC0900" w:rsidRPr="00B17044" w:rsidRDefault="00696652">
      <w:pPr>
        <w:tabs>
          <w:tab w:val="left" w:pos="993"/>
        </w:tabs>
        <w:spacing w:line="360" w:lineRule="auto"/>
        <w:ind w:right="-28"/>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Luego entonces, derivado de la improcedencia del cambio de modalidad referido en respuesta, se determina </w:t>
      </w:r>
      <w:r w:rsidRPr="00B17044">
        <w:rPr>
          <w:rFonts w:ascii="Palatino Linotype" w:eastAsia="Palatino Linotype" w:hAnsi="Palatino Linotype" w:cs="Palatino Linotype"/>
          <w:b/>
        </w:rPr>
        <w:t>REVOCAR</w:t>
      </w:r>
      <w:r w:rsidRPr="00B17044">
        <w:rPr>
          <w:rFonts w:ascii="Palatino Linotype" w:eastAsia="Palatino Linotype" w:hAnsi="Palatino Linotype" w:cs="Palatino Linotype"/>
        </w:rPr>
        <w:t xml:space="preserve"> la respuesta otorgada por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y ordenarle haga entrega de los documentos  en versión pública donde conste relativo a los servidores públicos de administración municipal 2022. 2024 referidos en la solicitud: Vigentes al veinticuatro de mayo de dos mil veintidós: nombre, </w:t>
      </w:r>
      <w:r w:rsidRPr="00B17044">
        <w:rPr>
          <w:rFonts w:ascii="Palatino Linotype" w:eastAsia="Palatino Linotype" w:hAnsi="Palatino Linotype" w:cs="Palatino Linotype"/>
        </w:rPr>
        <w:lastRenderedPageBreak/>
        <w:t xml:space="preserve">cargo, sueldo neto y bruto vigentes al veinticuatro de mayo de dos mil veintidós, información </w:t>
      </w:r>
      <w:proofErr w:type="gramStart"/>
      <w:r w:rsidRPr="00B17044">
        <w:rPr>
          <w:rFonts w:ascii="Palatino Linotype" w:eastAsia="Palatino Linotype" w:hAnsi="Palatino Linotype" w:cs="Palatino Linotype"/>
        </w:rPr>
        <w:t>curricular ,Documentos</w:t>
      </w:r>
      <w:proofErr w:type="gramEnd"/>
      <w:r w:rsidRPr="00B17044">
        <w:rPr>
          <w:rFonts w:ascii="Palatino Linotype" w:eastAsia="Palatino Linotype" w:hAnsi="Palatino Linotype" w:cs="Palatino Linotype"/>
        </w:rPr>
        <w:t xml:space="preserve"> comprobatorios de su experiencia laboral y Documentos que acrediten la relación laboral con el Sujeto Obligado (nombramiento, contrato o Formato Único de Movimientos de Personal). Así como vigente al veintitrés de mayo de dos mil veintidós el  Perfil de Puestos.  </w:t>
      </w:r>
    </w:p>
    <w:p w14:paraId="6DAC1518" w14:textId="77777777" w:rsidR="00FC0900" w:rsidRPr="00B17044" w:rsidRDefault="00FC0900">
      <w:pPr>
        <w:spacing w:line="360" w:lineRule="auto"/>
        <w:jc w:val="both"/>
        <w:rPr>
          <w:rFonts w:ascii="Palatino Linotype" w:eastAsia="Palatino Linotype" w:hAnsi="Palatino Linotype" w:cs="Palatino Linotype"/>
        </w:rPr>
      </w:pPr>
    </w:p>
    <w:p w14:paraId="7DB23C04"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Ahora bien, para elaborar la versión pública se omitirá, eliminará o suprimirá la información personal de las personas que laboran en el ente recurrido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39B560DC" w14:textId="77777777" w:rsidR="00FC0900" w:rsidRPr="00B17044" w:rsidRDefault="00FC0900">
      <w:pPr>
        <w:spacing w:line="360" w:lineRule="auto"/>
        <w:jc w:val="both"/>
        <w:rPr>
          <w:rFonts w:ascii="Palatino Linotype" w:eastAsia="Palatino Linotype" w:hAnsi="Palatino Linotype" w:cs="Palatino Linotype"/>
        </w:rPr>
      </w:pPr>
    </w:p>
    <w:p w14:paraId="7E51B80D" w14:textId="77777777" w:rsidR="00FC0900" w:rsidRPr="00B17044" w:rsidRDefault="00696652">
      <w:pPr>
        <w:spacing w:line="360" w:lineRule="auto"/>
        <w:ind w:right="-91"/>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cuanto hace al </w:t>
      </w:r>
      <w:r w:rsidRPr="00B17044">
        <w:rPr>
          <w:rFonts w:ascii="Palatino Linotype" w:eastAsia="Palatino Linotype" w:hAnsi="Palatino Linotype" w:cs="Palatino Linotype"/>
          <w:b/>
        </w:rPr>
        <w:t>Registro Federal de Contribuyentes</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b/>
        </w:rPr>
        <w:t>de las personas físicas</w:t>
      </w:r>
      <w:r w:rsidRPr="00B17044">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B17044">
        <w:rPr>
          <w:rFonts w:ascii="Palatino Linotype" w:eastAsia="Palatino Linotype" w:hAnsi="Palatino Linotype" w:cs="Palatino Linotype"/>
        </w:rPr>
        <w:t>homoclave</w:t>
      </w:r>
      <w:proofErr w:type="spellEnd"/>
      <w:r w:rsidRPr="00B17044">
        <w:rPr>
          <w:rFonts w:ascii="Palatino Linotype" w:eastAsia="Palatino Linotype" w:hAnsi="Palatino Linotype" w:cs="Palatino Linotype"/>
        </w:rPr>
        <w:t>; la cual para su obtención es necesario acreditar personalidad, fecha de nacimiento entre otros con documentos oficiales.</w:t>
      </w:r>
    </w:p>
    <w:p w14:paraId="200ECCA7" w14:textId="77777777" w:rsidR="00FC0900" w:rsidRPr="00B17044" w:rsidRDefault="00FC0900">
      <w:pPr>
        <w:spacing w:line="360" w:lineRule="auto"/>
        <w:ind w:right="-91"/>
        <w:jc w:val="both"/>
        <w:rPr>
          <w:rFonts w:ascii="Palatino Linotype" w:eastAsia="Palatino Linotype" w:hAnsi="Palatino Linotype" w:cs="Palatino Linotype"/>
        </w:rPr>
      </w:pPr>
    </w:p>
    <w:p w14:paraId="72CDD4F1" w14:textId="77777777" w:rsidR="00FC0900" w:rsidRPr="00B17044" w:rsidRDefault="00696652">
      <w:pPr>
        <w:spacing w:line="360" w:lineRule="auto"/>
        <w:ind w:right="-91"/>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Al respecto, el entonces Instituto Federal de Acceso a la Información Pública y Protección de Datos Personales (IFAI) a través del Criterio 09/2009, señala literalmente lo siguiente:</w:t>
      </w:r>
    </w:p>
    <w:p w14:paraId="5D6F1D2E" w14:textId="77777777" w:rsidR="00FC0900" w:rsidRPr="00B17044" w:rsidRDefault="00FC0900">
      <w:pPr>
        <w:ind w:left="567" w:right="618"/>
        <w:jc w:val="both"/>
        <w:rPr>
          <w:rFonts w:ascii="Palatino Linotype" w:eastAsia="Palatino Linotype" w:hAnsi="Palatino Linotype" w:cs="Palatino Linotype"/>
          <w:b/>
          <w:i/>
        </w:rPr>
      </w:pPr>
    </w:p>
    <w:p w14:paraId="0ABF62D4" w14:textId="77777777" w:rsidR="00FC0900" w:rsidRPr="00B17044" w:rsidRDefault="00696652">
      <w:pPr>
        <w:ind w:left="850" w:right="901"/>
        <w:jc w:val="both"/>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B17044">
        <w:rPr>
          <w:rFonts w:ascii="Palatino Linotype" w:eastAsia="Palatino Linotype" w:hAnsi="Palatino Linotype" w:cs="Palatino Linotype"/>
          <w:i/>
          <w:sz w:val="22"/>
          <w:szCs w:val="22"/>
        </w:rPr>
        <w:t>De conformidad con lo establecido en el artículo 18,</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fracción II de la Ley Federal de Transparencia y Acceso a la Información Pública</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 xml:space="preserve">Gubernamental </w:t>
      </w:r>
      <w:r w:rsidRPr="00B17044">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B17044">
        <w:rPr>
          <w:rFonts w:ascii="Palatino Linotype" w:eastAsia="Palatino Linotype" w:hAnsi="Palatino Linotype" w:cs="Palatino Linotype"/>
          <w:i/>
          <w:sz w:val="22"/>
          <w:szCs w:val="22"/>
        </w:rPr>
        <w:t xml:space="preserve">. Para </w:t>
      </w:r>
      <w:r w:rsidRPr="00B17044">
        <w:rPr>
          <w:rFonts w:ascii="Palatino Linotype" w:eastAsia="Palatino Linotype" w:hAnsi="Palatino Linotype" w:cs="Palatino Linotype"/>
          <w:i/>
          <w:sz w:val="22"/>
          <w:szCs w:val="22"/>
          <w:u w:val="single"/>
        </w:rPr>
        <w:t>obtener el RFC es necesario</w:t>
      </w:r>
      <w:r w:rsidRPr="00B17044">
        <w:rPr>
          <w:rFonts w:ascii="Palatino Linotype" w:eastAsia="Palatino Linotype" w:hAnsi="Palatino Linotype" w:cs="Palatino Linotype"/>
          <w:b/>
          <w:i/>
          <w:sz w:val="22"/>
          <w:szCs w:val="22"/>
          <w:u w:val="single"/>
        </w:rPr>
        <w:t xml:space="preserve"> </w:t>
      </w:r>
      <w:r w:rsidRPr="00B17044">
        <w:rPr>
          <w:rFonts w:ascii="Palatino Linotype" w:eastAsia="Palatino Linotype" w:hAnsi="Palatino Linotype" w:cs="Palatino Linotype"/>
          <w:i/>
          <w:sz w:val="22"/>
          <w:szCs w:val="22"/>
          <w:u w:val="single"/>
        </w:rPr>
        <w:t>acreditar previamente mediante documentos oficiales (pasaporte, acta de</w:t>
      </w:r>
      <w:r w:rsidRPr="00B17044">
        <w:rPr>
          <w:rFonts w:ascii="Palatino Linotype" w:eastAsia="Palatino Linotype" w:hAnsi="Palatino Linotype" w:cs="Palatino Linotype"/>
          <w:b/>
          <w:i/>
          <w:sz w:val="22"/>
          <w:szCs w:val="22"/>
          <w:u w:val="single"/>
        </w:rPr>
        <w:t xml:space="preserve"> </w:t>
      </w:r>
      <w:r w:rsidRPr="00B17044">
        <w:rPr>
          <w:rFonts w:ascii="Palatino Linotype" w:eastAsia="Palatino Linotype" w:hAnsi="Palatino Linotype" w:cs="Palatino Linotype"/>
          <w:i/>
          <w:sz w:val="22"/>
          <w:szCs w:val="22"/>
          <w:u w:val="single"/>
        </w:rPr>
        <w:t>nacimiento, etc.) la identidad de la persona, su fecha y lugar de nacimiento, entre</w:t>
      </w:r>
      <w:r w:rsidRPr="00B17044">
        <w:rPr>
          <w:rFonts w:ascii="Palatino Linotype" w:eastAsia="Palatino Linotype" w:hAnsi="Palatino Linotype" w:cs="Palatino Linotype"/>
          <w:b/>
          <w:i/>
          <w:sz w:val="22"/>
          <w:szCs w:val="22"/>
          <w:u w:val="single"/>
        </w:rPr>
        <w:t xml:space="preserve"> </w:t>
      </w:r>
      <w:r w:rsidRPr="00B17044">
        <w:rPr>
          <w:rFonts w:ascii="Palatino Linotype" w:eastAsia="Palatino Linotype" w:hAnsi="Palatino Linotype" w:cs="Palatino Linotype"/>
          <w:i/>
          <w:sz w:val="22"/>
          <w:szCs w:val="22"/>
          <w:u w:val="single"/>
        </w:rPr>
        <w:t xml:space="preserve">otros. </w:t>
      </w:r>
      <w:r w:rsidRPr="00B17044">
        <w:rPr>
          <w:rFonts w:ascii="Palatino Linotype" w:eastAsia="Palatino Linotype" w:hAnsi="Palatino Linotype" w:cs="Palatino Linotype"/>
          <w:i/>
          <w:sz w:val="22"/>
          <w:szCs w:val="22"/>
        </w:rPr>
        <w:t>De acuerdo con la legislación tributaria, las personas físicas tramitan su</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inscripción en el Registro Federal de Contribuyentes con el único propósito de</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realizar mediante esa clave de identificación, operaciones o actividades de</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naturaleza tributaria. En este sentido, el artículo 79 del Código Fiscal de la</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Federación prevé que la utilización de una clave de registro no asignada por la</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autoridad constituye como una infracción en materia fiscal. De acuerdo con lo</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antes apuntado, el RFC vinculado al nombre de su titular, permite identificar la</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 xml:space="preserve">edad de la persona, así como su </w:t>
      </w:r>
      <w:proofErr w:type="spellStart"/>
      <w:r w:rsidRPr="00B17044">
        <w:rPr>
          <w:rFonts w:ascii="Palatino Linotype" w:eastAsia="Palatino Linotype" w:hAnsi="Palatino Linotype" w:cs="Palatino Linotype"/>
          <w:i/>
          <w:sz w:val="22"/>
          <w:szCs w:val="22"/>
        </w:rPr>
        <w:t>homoclave</w:t>
      </w:r>
      <w:proofErr w:type="spellEnd"/>
      <w:r w:rsidRPr="00B17044">
        <w:rPr>
          <w:rFonts w:ascii="Palatino Linotype" w:eastAsia="Palatino Linotype" w:hAnsi="Palatino Linotype" w:cs="Palatino Linotype"/>
          <w:i/>
          <w:sz w:val="22"/>
          <w:szCs w:val="22"/>
        </w:rPr>
        <w:t>, siendo esta última única e irrepetible,</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por lo que es posible concluir que el RFC constituye un dato personal y, por tanto,</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información confidencial, de conformidad con los previsto en el artículo 18,</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fracción II de la Ley Federal de Transparencia y Acceso a la Información Pública</w:t>
      </w:r>
      <w:r w:rsidRPr="00B17044">
        <w:rPr>
          <w:rFonts w:ascii="Palatino Linotype" w:eastAsia="Palatino Linotype" w:hAnsi="Palatino Linotype" w:cs="Palatino Linotype"/>
          <w:b/>
          <w:i/>
          <w:sz w:val="22"/>
          <w:szCs w:val="22"/>
        </w:rPr>
        <w:t xml:space="preserve"> </w:t>
      </w:r>
      <w:r w:rsidRPr="00B17044">
        <w:rPr>
          <w:rFonts w:ascii="Palatino Linotype" w:eastAsia="Palatino Linotype" w:hAnsi="Palatino Linotype" w:cs="Palatino Linotype"/>
          <w:i/>
          <w:sz w:val="22"/>
          <w:szCs w:val="22"/>
        </w:rPr>
        <w:t>Gubernamental.”</w:t>
      </w:r>
    </w:p>
    <w:p w14:paraId="6B3F0ED1" w14:textId="77777777" w:rsidR="00FC0900" w:rsidRPr="00B17044" w:rsidRDefault="00696652">
      <w:pPr>
        <w:ind w:left="850" w:right="901"/>
        <w:jc w:val="both"/>
        <w:rPr>
          <w:rFonts w:ascii="Palatino Linotype" w:eastAsia="Palatino Linotype" w:hAnsi="Palatino Linotype" w:cs="Palatino Linotype"/>
          <w:sz w:val="22"/>
          <w:szCs w:val="22"/>
        </w:rPr>
      </w:pPr>
      <w:r w:rsidRPr="00B17044">
        <w:rPr>
          <w:rFonts w:ascii="Palatino Linotype" w:eastAsia="Palatino Linotype" w:hAnsi="Palatino Linotype" w:cs="Palatino Linotype"/>
          <w:sz w:val="22"/>
          <w:szCs w:val="22"/>
        </w:rPr>
        <w:t>(Énfasis añadido)</w:t>
      </w:r>
    </w:p>
    <w:p w14:paraId="6D2863C8" w14:textId="77777777" w:rsidR="00FC0900" w:rsidRPr="00B17044" w:rsidRDefault="00FC0900">
      <w:pPr>
        <w:spacing w:line="360" w:lineRule="auto"/>
        <w:jc w:val="both"/>
        <w:rPr>
          <w:rFonts w:ascii="Palatino Linotype" w:eastAsia="Palatino Linotype" w:hAnsi="Palatino Linotype" w:cs="Palatino Linotype"/>
        </w:rPr>
      </w:pPr>
    </w:p>
    <w:p w14:paraId="4188D33C"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lo anterior, se desprende que el Registro Federal de Contribuyentes se vincula al nombre de su titular, permitiendo identificar la edad de la persona, fecha de nacimiento, así como su </w:t>
      </w:r>
      <w:proofErr w:type="spellStart"/>
      <w:r w:rsidRPr="00B17044">
        <w:rPr>
          <w:rFonts w:ascii="Palatino Linotype" w:eastAsia="Palatino Linotype" w:hAnsi="Palatino Linotype" w:cs="Palatino Linotype"/>
        </w:rPr>
        <w:t>homoclave</w:t>
      </w:r>
      <w:proofErr w:type="spellEnd"/>
      <w:r w:rsidRPr="00B17044">
        <w:rPr>
          <w:rFonts w:ascii="Palatino Linotype" w:eastAsia="Palatino Linotype" w:hAnsi="Palatino Linotype" w:cs="Palatino Linotype"/>
        </w:rPr>
        <w:t xml:space="preserve">, determinando la identificación de dicha persona </w:t>
      </w:r>
      <w:r w:rsidRPr="00B17044">
        <w:rPr>
          <w:rFonts w:ascii="Palatino Linotype" w:eastAsia="Palatino Linotype" w:hAnsi="Palatino Linotype" w:cs="Palatino Linotype"/>
        </w:rPr>
        <w:lastRenderedPageBreak/>
        <w:t>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391C8E12" w14:textId="77777777" w:rsidR="00FC0900" w:rsidRPr="00B17044" w:rsidRDefault="00FC0900">
      <w:pPr>
        <w:spacing w:line="360" w:lineRule="auto"/>
        <w:jc w:val="both"/>
        <w:rPr>
          <w:rFonts w:ascii="Palatino Linotype" w:eastAsia="Palatino Linotype" w:hAnsi="Palatino Linotype" w:cs="Palatino Linotype"/>
        </w:rPr>
      </w:pPr>
    </w:p>
    <w:p w14:paraId="17832A40"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cuanto hace a la </w:t>
      </w:r>
      <w:r w:rsidRPr="00B17044">
        <w:rPr>
          <w:rFonts w:ascii="Palatino Linotype" w:eastAsia="Palatino Linotype" w:hAnsi="Palatino Linotype" w:cs="Palatino Linotype"/>
          <w:b/>
        </w:rPr>
        <w:t xml:space="preserve">Clave Única de Registro de Población, </w:t>
      </w:r>
      <w:r w:rsidRPr="00B17044">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DF88755" w14:textId="77777777" w:rsidR="00FC0900" w:rsidRPr="00B17044" w:rsidRDefault="00FC0900">
      <w:pPr>
        <w:spacing w:line="360" w:lineRule="auto"/>
        <w:ind w:right="-93"/>
        <w:rPr>
          <w:rFonts w:ascii="Palatino Linotype" w:eastAsia="Palatino Linotype" w:hAnsi="Palatino Linotype" w:cs="Palatino Linotype"/>
        </w:rPr>
      </w:pPr>
    </w:p>
    <w:p w14:paraId="626C968D" w14:textId="77777777" w:rsidR="00FC0900" w:rsidRPr="00B17044" w:rsidRDefault="00696652">
      <w:pPr>
        <w:spacing w:line="360" w:lineRule="auto"/>
        <w:ind w:right="-93"/>
        <w:rPr>
          <w:rFonts w:ascii="Palatino Linotype" w:eastAsia="Palatino Linotype" w:hAnsi="Palatino Linotype" w:cs="Palatino Linotype"/>
        </w:rPr>
      </w:pPr>
      <w:r w:rsidRPr="00B17044">
        <w:rPr>
          <w:rFonts w:ascii="Palatino Linotype" w:eastAsia="Palatino Linotype" w:hAnsi="Palatino Linotype" w:cs="Palatino Linotype"/>
        </w:rPr>
        <w:t>Lo anterior, tiene sustento en los artículos 86 y 91 de la Ley General de Población, la cual señala lo siguiente:</w:t>
      </w:r>
    </w:p>
    <w:p w14:paraId="7AD894C8" w14:textId="77777777" w:rsidR="00FC0900" w:rsidRPr="00B17044" w:rsidRDefault="00FC0900">
      <w:pPr>
        <w:ind w:left="850" w:right="901"/>
        <w:jc w:val="both"/>
        <w:rPr>
          <w:rFonts w:ascii="Palatino Linotype" w:eastAsia="Palatino Linotype" w:hAnsi="Palatino Linotype" w:cs="Palatino Linotype"/>
          <w:b/>
          <w:i/>
          <w:sz w:val="22"/>
          <w:szCs w:val="22"/>
        </w:rPr>
      </w:pPr>
    </w:p>
    <w:p w14:paraId="61D0BCA2"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Artículo 86. </w:t>
      </w:r>
      <w:r w:rsidRPr="00B17044">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1FE175FC"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Artículo 91. </w:t>
      </w:r>
      <w:r w:rsidRPr="00B17044">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277803F0" w14:textId="77777777" w:rsidR="00FC0900" w:rsidRPr="00B17044" w:rsidRDefault="00FC0900">
      <w:pPr>
        <w:ind w:right="-93"/>
        <w:rPr>
          <w:rFonts w:ascii="Palatino Linotype" w:eastAsia="Palatino Linotype" w:hAnsi="Palatino Linotype" w:cs="Palatino Linotype"/>
        </w:rPr>
      </w:pPr>
    </w:p>
    <w:p w14:paraId="423BDB4A"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w:t>
      </w:r>
      <w:r w:rsidRPr="00B17044">
        <w:rPr>
          <w:rFonts w:ascii="Palatino Linotype" w:eastAsia="Palatino Linotype" w:hAnsi="Palatino Linotype" w:cs="Palatino Linotype"/>
        </w:rPr>
        <w:lastRenderedPageBreak/>
        <w:t xml:space="preserve">seguida de la primera letra Vocal del primer apellido; seguida de la primera letra del segundo apellido y por último la primera letra del nombre; fecha de nacimiento año/mes/día; sexo; Entidad Federativa o lugar de nacimiento; finalmente una </w:t>
      </w:r>
      <w:proofErr w:type="spellStart"/>
      <w:r w:rsidRPr="00B17044">
        <w:rPr>
          <w:rFonts w:ascii="Palatino Linotype" w:eastAsia="Palatino Linotype" w:hAnsi="Palatino Linotype" w:cs="Palatino Linotype"/>
        </w:rPr>
        <w:t>homoclave</w:t>
      </w:r>
      <w:proofErr w:type="spellEnd"/>
      <w:r w:rsidRPr="00B17044">
        <w:rPr>
          <w:rFonts w:ascii="Palatino Linotype" w:eastAsia="Palatino Linotype" w:hAnsi="Palatino Linotype" w:cs="Palatino Linotype"/>
        </w:rPr>
        <w:t xml:space="preserve"> o digito verificador, compuesto de dos elementos, con el que se evitan duplicaciones en la Clave, identifican el cambio de siglo y garantizan la correcta integración. </w:t>
      </w:r>
    </w:p>
    <w:p w14:paraId="0D587C34" w14:textId="77777777" w:rsidR="00FC0900" w:rsidRPr="00B17044" w:rsidRDefault="00FC0900">
      <w:pPr>
        <w:spacing w:line="360" w:lineRule="auto"/>
        <w:jc w:val="both"/>
        <w:rPr>
          <w:rFonts w:ascii="Palatino Linotype" w:eastAsia="Palatino Linotype" w:hAnsi="Palatino Linotype" w:cs="Palatino Linotype"/>
        </w:rPr>
      </w:pPr>
    </w:p>
    <w:p w14:paraId="16A193F6" w14:textId="77777777" w:rsidR="00FC0900" w:rsidRPr="00B17044" w:rsidRDefault="00696652">
      <w:pPr>
        <w:spacing w:line="360" w:lineRule="auto"/>
        <w:ind w:right="-91"/>
        <w:jc w:val="both"/>
        <w:rPr>
          <w:rFonts w:ascii="Palatino Linotype" w:eastAsia="Palatino Linotype" w:hAnsi="Palatino Linotype" w:cs="Palatino Linotype"/>
        </w:rPr>
      </w:pPr>
      <w:r w:rsidRPr="00B17044">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4FB5F944" w14:textId="77777777" w:rsidR="00FC0900" w:rsidRPr="00B17044" w:rsidRDefault="00FC0900">
      <w:pPr>
        <w:spacing w:line="360" w:lineRule="auto"/>
        <w:ind w:right="-91"/>
        <w:jc w:val="both"/>
        <w:rPr>
          <w:rFonts w:ascii="Palatino Linotype" w:eastAsia="Palatino Linotype" w:hAnsi="Palatino Linotype" w:cs="Palatino Linotype"/>
        </w:rPr>
      </w:pPr>
    </w:p>
    <w:p w14:paraId="132888B0" w14:textId="77777777" w:rsidR="00FC0900" w:rsidRPr="00B17044" w:rsidRDefault="00696652">
      <w:pPr>
        <w:ind w:left="851"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rPr>
        <w:t xml:space="preserve"> </w:t>
      </w:r>
      <w:r w:rsidRPr="00B17044">
        <w:rPr>
          <w:rFonts w:ascii="Palatino Linotype" w:eastAsia="Palatino Linotype" w:hAnsi="Palatino Linotype" w:cs="Palatino Linotype"/>
          <w:b/>
          <w:i/>
          <w:sz w:val="22"/>
          <w:szCs w:val="22"/>
        </w:rPr>
        <w:t xml:space="preserve">“Criterio 003-10 Clave Única de Registro de Población (CURP) es un dato personal confidencial. </w:t>
      </w:r>
      <w:r w:rsidRPr="00B17044">
        <w:rPr>
          <w:rFonts w:ascii="Palatino Linotype" w:eastAsia="Palatino Linotype" w:hAnsi="Palatino Linotype" w:cs="Palatino Linotype"/>
          <w:i/>
          <w:sz w:val="22"/>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w:t>
      </w:r>
    </w:p>
    <w:p w14:paraId="15107965" w14:textId="77777777" w:rsidR="00FC0900" w:rsidRPr="00B17044" w:rsidRDefault="00FC0900">
      <w:pPr>
        <w:ind w:left="851" w:right="899"/>
        <w:jc w:val="both"/>
        <w:rPr>
          <w:rFonts w:ascii="Palatino Linotype" w:eastAsia="Palatino Linotype" w:hAnsi="Palatino Linotype" w:cs="Palatino Linotype"/>
          <w:i/>
          <w:sz w:val="22"/>
          <w:szCs w:val="22"/>
        </w:rPr>
      </w:pPr>
    </w:p>
    <w:p w14:paraId="340DC6AC"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lo anterior, se desprende que la Clave Única de Registro de Población, se encuentra vinculado al nombre de la persona, permitiendo identificar la edad, fecha de nacimiento, sexo, lugar de nacimiento, así como su </w:t>
      </w:r>
      <w:proofErr w:type="spellStart"/>
      <w:r w:rsidRPr="00B17044">
        <w:rPr>
          <w:rFonts w:ascii="Palatino Linotype" w:eastAsia="Palatino Linotype" w:hAnsi="Palatino Linotype" w:cs="Palatino Linotype"/>
        </w:rPr>
        <w:t>homoclave</w:t>
      </w:r>
      <w:proofErr w:type="spellEnd"/>
      <w:r w:rsidRPr="00B17044">
        <w:rPr>
          <w:rFonts w:ascii="Palatino Linotype" w:eastAsia="Palatino Linotype" w:hAnsi="Palatino Linotype" w:cs="Palatino Linotype"/>
        </w:rPr>
        <w:t xml:space="preserve">; datos que únicamente le </w:t>
      </w:r>
      <w:r w:rsidRPr="00B17044">
        <w:rPr>
          <w:rFonts w:ascii="Palatino Linotype" w:eastAsia="Palatino Linotype" w:hAnsi="Palatino Linotype" w:cs="Palatino Linotype"/>
        </w:rPr>
        <w:lastRenderedPageBreak/>
        <w:t>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0F8B8A0E" w14:textId="77777777" w:rsidR="00FC0900" w:rsidRPr="00B17044" w:rsidRDefault="00FC0900">
      <w:pPr>
        <w:spacing w:line="360" w:lineRule="auto"/>
        <w:jc w:val="both"/>
        <w:rPr>
          <w:rFonts w:ascii="Palatino Linotype" w:eastAsia="Palatino Linotype" w:hAnsi="Palatino Linotype" w:cs="Palatino Linotype"/>
        </w:rPr>
      </w:pPr>
    </w:p>
    <w:p w14:paraId="773BFF31" w14:textId="77777777" w:rsidR="00FC0900" w:rsidRPr="00B17044" w:rsidRDefault="00696652">
      <w:pPr>
        <w:spacing w:line="360" w:lineRule="auto"/>
        <w:ind w:right="-93"/>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cuanto hace a la </w:t>
      </w:r>
      <w:r w:rsidRPr="00B17044">
        <w:rPr>
          <w:rFonts w:ascii="Palatino Linotype" w:eastAsia="Palatino Linotype" w:hAnsi="Palatino Linotype" w:cs="Palatino Linotype"/>
          <w:b/>
        </w:rPr>
        <w:t>Clave de cualquier tipo de seguridad social</w:t>
      </w:r>
      <w:r w:rsidRPr="00B17044">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53B9FF46" w14:textId="77777777" w:rsidR="00FC0900" w:rsidRPr="00B17044" w:rsidRDefault="00FC0900">
      <w:pPr>
        <w:spacing w:line="360" w:lineRule="auto"/>
        <w:ind w:right="-93"/>
        <w:jc w:val="both"/>
        <w:rPr>
          <w:rFonts w:ascii="Palatino Linotype" w:eastAsia="Palatino Linotype" w:hAnsi="Palatino Linotype" w:cs="Palatino Linotype"/>
        </w:rPr>
      </w:pPr>
    </w:p>
    <w:p w14:paraId="2182FFAA" w14:textId="77777777" w:rsidR="00FC0900" w:rsidRPr="00B17044" w:rsidRDefault="00696652">
      <w:pPr>
        <w:spacing w:line="360" w:lineRule="auto"/>
        <w:jc w:val="both"/>
        <w:rPr>
          <w:rFonts w:ascii="Palatino Linotype" w:eastAsia="Palatino Linotype" w:hAnsi="Palatino Linotype" w:cs="Palatino Linotype"/>
        </w:rPr>
      </w:pPr>
      <w:bookmarkStart w:id="6" w:name="_heading=h.3rdcrjn" w:colFirst="0" w:colLast="0"/>
      <w:bookmarkEnd w:id="6"/>
      <w:r w:rsidRPr="00B17044">
        <w:rPr>
          <w:rFonts w:ascii="Palatino Linotype" w:eastAsia="Palatino Linotype" w:hAnsi="Palatino Linotype" w:cs="Palatino Linotype"/>
        </w:rPr>
        <w:t xml:space="preserve">Por ende, en el presente caso, </w:t>
      </w:r>
      <w:r w:rsidRPr="00B17044">
        <w:rPr>
          <w:rFonts w:ascii="Palatino Linotype" w:eastAsia="Palatino Linotype" w:hAnsi="Palatino Linotype" w:cs="Palatino Linotype"/>
          <w:b/>
        </w:rPr>
        <w:t>EL SUJETO OBLIGADO</w:t>
      </w:r>
      <w:r w:rsidRPr="00B17044">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w:t>
      </w:r>
      <w:r w:rsidRPr="00B17044">
        <w:rPr>
          <w:rFonts w:ascii="Palatino Linotype" w:eastAsia="Palatino Linotype" w:hAnsi="Palatino Linotype" w:cs="Palatino Linotype"/>
        </w:rPr>
        <w:lastRenderedPageBreak/>
        <w:t>XVIII, y del Cuarto al Décimo Primero de los Lineamientos Generales en materia de Clasificación y Desclasificación de la Información, así como para la elaboración de Versiones Públicas, que literalmente expresan:</w:t>
      </w:r>
    </w:p>
    <w:p w14:paraId="3996F16D" w14:textId="77777777" w:rsidR="00FC0900" w:rsidRPr="00B17044" w:rsidRDefault="00FC0900">
      <w:pPr>
        <w:ind w:left="850" w:right="902"/>
        <w:jc w:val="center"/>
        <w:rPr>
          <w:rFonts w:ascii="Palatino Linotype" w:eastAsia="Palatino Linotype" w:hAnsi="Palatino Linotype" w:cs="Palatino Linotype"/>
          <w:b/>
          <w:i/>
          <w:sz w:val="22"/>
          <w:szCs w:val="22"/>
        </w:rPr>
      </w:pPr>
    </w:p>
    <w:p w14:paraId="6EB8C62D" w14:textId="77777777" w:rsidR="00FC0900" w:rsidRPr="00B17044" w:rsidRDefault="00696652">
      <w:pPr>
        <w:ind w:left="850" w:right="902"/>
        <w:jc w:val="center"/>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“Ley de Transparencia y Acceso a la Información Pública del Estado de México y Municipios</w:t>
      </w:r>
    </w:p>
    <w:p w14:paraId="4197958C"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Artículo 49. </w:t>
      </w:r>
      <w:r w:rsidRPr="00B17044">
        <w:rPr>
          <w:rFonts w:ascii="Palatino Linotype" w:eastAsia="Palatino Linotype" w:hAnsi="Palatino Linotype" w:cs="Palatino Linotype"/>
          <w:i/>
          <w:sz w:val="22"/>
          <w:szCs w:val="22"/>
        </w:rPr>
        <w:t>Los Comités de Transparencia tendrán las siguientes atribuciones:</w:t>
      </w:r>
    </w:p>
    <w:p w14:paraId="6F50F698"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VIII.</w:t>
      </w:r>
      <w:r w:rsidRPr="00B17044">
        <w:rPr>
          <w:rFonts w:ascii="Palatino Linotype" w:eastAsia="Palatino Linotype" w:hAnsi="Palatino Linotype" w:cs="Palatino Linotype"/>
          <w:i/>
          <w:sz w:val="22"/>
          <w:szCs w:val="22"/>
        </w:rPr>
        <w:t xml:space="preserve"> Aprobar, modificar o revocar la clasificación de la información;</w:t>
      </w:r>
    </w:p>
    <w:p w14:paraId="10112427"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Artículo 132.</w:t>
      </w:r>
      <w:r w:rsidRPr="00B17044">
        <w:rPr>
          <w:rFonts w:ascii="Palatino Linotype" w:eastAsia="Palatino Linotype" w:hAnsi="Palatino Linotype" w:cs="Palatino Linotype"/>
          <w:i/>
          <w:sz w:val="22"/>
          <w:szCs w:val="22"/>
        </w:rPr>
        <w:t xml:space="preserve"> La clasificación de la información se llevará a cabo en el momento en que:</w:t>
      </w:r>
    </w:p>
    <w:p w14:paraId="7CA49440"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I.</w:t>
      </w:r>
      <w:r w:rsidRPr="00B17044">
        <w:rPr>
          <w:rFonts w:ascii="Palatino Linotype" w:eastAsia="Palatino Linotype" w:hAnsi="Palatino Linotype" w:cs="Palatino Linotype"/>
          <w:i/>
          <w:sz w:val="22"/>
          <w:szCs w:val="22"/>
        </w:rPr>
        <w:t xml:space="preserve"> Se reciba una solicitud de acceso a la información;</w:t>
      </w:r>
    </w:p>
    <w:p w14:paraId="50D86245"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II.</w:t>
      </w:r>
      <w:r w:rsidRPr="00B17044">
        <w:rPr>
          <w:rFonts w:ascii="Palatino Linotype" w:eastAsia="Palatino Linotype" w:hAnsi="Palatino Linotype" w:cs="Palatino Linotype"/>
          <w:i/>
          <w:sz w:val="22"/>
          <w:szCs w:val="22"/>
        </w:rPr>
        <w:t xml:space="preserve"> Se determine mediante resolución de autoridad competente; o</w:t>
      </w:r>
    </w:p>
    <w:p w14:paraId="183ED732"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DD262BE" w14:textId="77777777" w:rsidR="00FC0900" w:rsidRPr="00B17044" w:rsidRDefault="00FC0900">
      <w:pPr>
        <w:ind w:left="851" w:right="902"/>
        <w:jc w:val="both"/>
        <w:rPr>
          <w:rFonts w:ascii="Palatino Linotype" w:eastAsia="Palatino Linotype" w:hAnsi="Palatino Linotype" w:cs="Palatino Linotype"/>
          <w:i/>
          <w:sz w:val="22"/>
          <w:szCs w:val="22"/>
        </w:rPr>
      </w:pPr>
    </w:p>
    <w:p w14:paraId="4B22FB19" w14:textId="77777777" w:rsidR="00FC0900" w:rsidRPr="00B17044" w:rsidRDefault="00696652">
      <w:pPr>
        <w:ind w:left="850" w:right="902"/>
        <w:jc w:val="center"/>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807D363"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Segundo.</w:t>
      </w:r>
      <w:r w:rsidRPr="00B17044">
        <w:rPr>
          <w:rFonts w:ascii="Palatino Linotype" w:eastAsia="Palatino Linotype" w:hAnsi="Palatino Linotype" w:cs="Palatino Linotype"/>
          <w:i/>
          <w:sz w:val="22"/>
          <w:szCs w:val="22"/>
        </w:rPr>
        <w:t xml:space="preserve"> Para efectos de los presentes Lineamientos Generales, se entenderá por:</w:t>
      </w:r>
    </w:p>
    <w:p w14:paraId="7F45469E"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XVIII.</w:t>
      </w:r>
      <w:r w:rsidRPr="00B17044">
        <w:rPr>
          <w:rFonts w:ascii="Palatino Linotype" w:eastAsia="Palatino Linotype" w:hAnsi="Palatino Linotype" w:cs="Palatino Linotype"/>
          <w:i/>
          <w:sz w:val="22"/>
          <w:szCs w:val="22"/>
        </w:rPr>
        <w:t xml:space="preserve"> </w:t>
      </w:r>
      <w:r w:rsidRPr="00B17044">
        <w:rPr>
          <w:rFonts w:ascii="Palatino Linotype" w:eastAsia="Palatino Linotype" w:hAnsi="Palatino Linotype" w:cs="Palatino Linotype"/>
          <w:b/>
          <w:i/>
          <w:sz w:val="22"/>
          <w:szCs w:val="22"/>
        </w:rPr>
        <w:t>Versión pública:</w:t>
      </w:r>
      <w:r w:rsidRPr="00B1704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B30A72"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Cuarto.</w:t>
      </w:r>
      <w:r w:rsidRPr="00B1704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A47262"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9C4F191"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Quinto.</w:t>
      </w:r>
      <w:r w:rsidRPr="00B1704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B17044">
        <w:rPr>
          <w:rFonts w:ascii="Palatino Linotype" w:eastAsia="Palatino Linotype" w:hAnsi="Palatino Linotype" w:cs="Palatino Linotype"/>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43742AF5"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Sexto.</w:t>
      </w:r>
      <w:r w:rsidRPr="00B17044">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A0C654"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4E56FBC"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Séptimo.</w:t>
      </w:r>
      <w:r w:rsidRPr="00B17044">
        <w:rPr>
          <w:rFonts w:ascii="Palatino Linotype" w:eastAsia="Palatino Linotype" w:hAnsi="Palatino Linotype" w:cs="Palatino Linotype"/>
          <w:i/>
          <w:sz w:val="22"/>
          <w:szCs w:val="22"/>
        </w:rPr>
        <w:t xml:space="preserve"> La clasificación de la información se llevará a cabo en el momento en que:</w:t>
      </w:r>
    </w:p>
    <w:p w14:paraId="50FC7CBA"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I.</w:t>
      </w:r>
      <w:r w:rsidRPr="00B17044">
        <w:rPr>
          <w:rFonts w:ascii="Palatino Linotype" w:eastAsia="Palatino Linotype" w:hAnsi="Palatino Linotype" w:cs="Palatino Linotype"/>
          <w:i/>
          <w:sz w:val="22"/>
          <w:szCs w:val="22"/>
        </w:rPr>
        <w:t xml:space="preserve"> Se reciba una solicitud de acceso a la información;</w:t>
      </w:r>
    </w:p>
    <w:p w14:paraId="0149C7F6"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II.</w:t>
      </w:r>
      <w:r w:rsidRPr="00B17044">
        <w:rPr>
          <w:rFonts w:ascii="Palatino Linotype" w:eastAsia="Palatino Linotype" w:hAnsi="Palatino Linotype" w:cs="Palatino Linotype"/>
          <w:i/>
          <w:sz w:val="22"/>
          <w:szCs w:val="22"/>
        </w:rPr>
        <w:t xml:space="preserve"> Se determine mediante resolución de autoridad competente, o</w:t>
      </w:r>
    </w:p>
    <w:p w14:paraId="0688DA6C"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III.</w:t>
      </w:r>
      <w:r w:rsidRPr="00B1704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B302199"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085D10C"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Octavo.</w:t>
      </w:r>
      <w:r w:rsidRPr="00B1704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B16125"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7E8B397"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53E781B"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8926BE5"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441D9A0"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Noveno.</w:t>
      </w:r>
      <w:r w:rsidRPr="00B1704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B17044">
        <w:rPr>
          <w:rFonts w:ascii="Palatino Linotype" w:eastAsia="Palatino Linotype" w:hAnsi="Palatino Linotype" w:cs="Palatino Linotype"/>
          <w:i/>
          <w:sz w:val="22"/>
          <w:szCs w:val="22"/>
        </w:rPr>
        <w:lastRenderedPageBreak/>
        <w:t>siguiendo los procedimientos establecidos en el Capítulo IX de los presentes lineamientos.</w:t>
      </w:r>
    </w:p>
    <w:p w14:paraId="1D46BA20"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Décimo.</w:t>
      </w:r>
      <w:r w:rsidRPr="00B1704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D5F1FCA"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5534AC6" w14:textId="77777777" w:rsidR="00FC0900" w:rsidRPr="00B17044" w:rsidRDefault="00696652">
      <w:pPr>
        <w:ind w:left="851" w:right="902"/>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Décimo primero.</w:t>
      </w:r>
      <w:r w:rsidRPr="00B1704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17044">
        <w:rPr>
          <w:rFonts w:ascii="Palatino Linotype" w:eastAsia="Palatino Linotype" w:hAnsi="Palatino Linotype" w:cs="Palatino Linotype"/>
          <w:b/>
          <w:i/>
          <w:sz w:val="22"/>
          <w:szCs w:val="22"/>
        </w:rPr>
        <w:t>”</w:t>
      </w:r>
    </w:p>
    <w:p w14:paraId="67683EDB" w14:textId="77777777" w:rsidR="00FC0900" w:rsidRPr="00B17044" w:rsidRDefault="00FC0900">
      <w:pPr>
        <w:spacing w:line="360" w:lineRule="auto"/>
        <w:jc w:val="both"/>
        <w:rPr>
          <w:rFonts w:ascii="Palatino Linotype" w:eastAsia="Palatino Linotype" w:hAnsi="Palatino Linotype" w:cs="Palatino Linotype"/>
        </w:rPr>
      </w:pPr>
    </w:p>
    <w:p w14:paraId="254048DA"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lo tanto, la entrega de documentos en su versión pública debe acompañarse necesariamente del Acuerdo que emita el Comité de Transparencia del </w:t>
      </w:r>
      <w:r w:rsidRPr="00B17044">
        <w:rPr>
          <w:rFonts w:ascii="Palatino Linotype" w:eastAsia="Palatino Linotype" w:hAnsi="Palatino Linotype" w:cs="Palatino Linotype"/>
          <w:b/>
        </w:rPr>
        <w:t xml:space="preserve">SUJETO OBLIGADO </w:t>
      </w:r>
      <w:r w:rsidRPr="00B17044">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E379F40" w14:textId="77777777" w:rsidR="00FC0900" w:rsidRPr="00B17044" w:rsidRDefault="00FC0900">
      <w:pPr>
        <w:spacing w:line="360" w:lineRule="auto"/>
        <w:jc w:val="both"/>
        <w:rPr>
          <w:rFonts w:ascii="Palatino Linotype" w:eastAsia="Palatino Linotype" w:hAnsi="Palatino Linotype" w:cs="Palatino Linotype"/>
        </w:rPr>
      </w:pPr>
    </w:p>
    <w:p w14:paraId="26E51BB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No se omite comentar que el</w:t>
      </w:r>
      <w:r w:rsidRPr="00B17044">
        <w:rPr>
          <w:rFonts w:ascii="Palatino Linotype" w:eastAsia="Palatino Linotype" w:hAnsi="Palatino Linotype" w:cs="Palatino Linotype"/>
          <w:b/>
        </w:rPr>
        <w:t xml:space="preserve"> </w:t>
      </w:r>
      <w:r w:rsidRPr="00B17044">
        <w:rPr>
          <w:rFonts w:ascii="Palatino Linotype" w:eastAsia="Palatino Linotype" w:hAnsi="Palatino Linotype" w:cs="Palatino Linotype"/>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E65F20F" w14:textId="77777777" w:rsidR="00FC0900" w:rsidRPr="00B17044" w:rsidRDefault="00FC0900">
      <w:pPr>
        <w:jc w:val="both"/>
        <w:rPr>
          <w:rFonts w:ascii="Palatino Linotype" w:eastAsia="Palatino Linotype" w:hAnsi="Palatino Linotype" w:cs="Palatino Linotype"/>
          <w:sz w:val="22"/>
          <w:szCs w:val="22"/>
        </w:rPr>
      </w:pPr>
    </w:p>
    <w:p w14:paraId="6803FF77" w14:textId="77777777" w:rsidR="00FC0900" w:rsidRPr="00B17044" w:rsidRDefault="00696652">
      <w:pPr>
        <w:tabs>
          <w:tab w:val="left" w:pos="4962"/>
        </w:tabs>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Artículo 140.</w:t>
      </w:r>
      <w:r w:rsidRPr="00B17044">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7C6C6626" w14:textId="77777777" w:rsidR="00FC0900" w:rsidRPr="00B17044" w:rsidRDefault="00696652">
      <w:pPr>
        <w:tabs>
          <w:tab w:val="left" w:pos="4962"/>
        </w:tabs>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 al III…</w:t>
      </w:r>
    </w:p>
    <w:p w14:paraId="6597AB8D" w14:textId="77777777" w:rsidR="00FC0900" w:rsidRPr="00B17044" w:rsidRDefault="00696652">
      <w:pPr>
        <w:tabs>
          <w:tab w:val="left" w:pos="4962"/>
        </w:tabs>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IV. Ponga en riesgo la vida, la seguridad o la salud de una persona física;</w:t>
      </w:r>
    </w:p>
    <w:p w14:paraId="069D21DC" w14:textId="77777777" w:rsidR="00FC0900" w:rsidRPr="00B17044" w:rsidRDefault="00696652">
      <w:pPr>
        <w:tabs>
          <w:tab w:val="left" w:pos="4962"/>
        </w:tabs>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V al XI…</w:t>
      </w:r>
    </w:p>
    <w:p w14:paraId="55289C09" w14:textId="77777777" w:rsidR="00FC0900" w:rsidRPr="00B17044" w:rsidRDefault="00FC0900">
      <w:pPr>
        <w:jc w:val="both"/>
        <w:rPr>
          <w:rFonts w:ascii="Palatino Linotype" w:eastAsia="Palatino Linotype" w:hAnsi="Palatino Linotype" w:cs="Palatino Linotype"/>
          <w:sz w:val="22"/>
          <w:szCs w:val="22"/>
        </w:rPr>
      </w:pPr>
    </w:p>
    <w:p w14:paraId="11F6D812"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Del precepto citado se desprende que como información reservada podrá clasificarse aquella cuya publicación pueda poner en riesgo la vida, seguridad o salud de una persona física; para acreditar lo anterior, los Lineamientos Generales, establecen lo siguiente:</w:t>
      </w:r>
    </w:p>
    <w:p w14:paraId="45CBD300" w14:textId="77777777" w:rsidR="00FC0900" w:rsidRPr="00B17044" w:rsidRDefault="00FC0900">
      <w:pPr>
        <w:ind w:left="850" w:right="901"/>
        <w:jc w:val="both"/>
        <w:rPr>
          <w:rFonts w:ascii="Palatino Linotype" w:eastAsia="Palatino Linotype" w:hAnsi="Palatino Linotype" w:cs="Palatino Linotype"/>
          <w:b/>
          <w:i/>
          <w:sz w:val="22"/>
          <w:szCs w:val="22"/>
        </w:rPr>
      </w:pPr>
    </w:p>
    <w:p w14:paraId="376A8423"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 xml:space="preserve">Vigésimo tercero. </w:t>
      </w:r>
      <w:r w:rsidRPr="00B17044">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14:paraId="0C5C0417" w14:textId="77777777" w:rsidR="00FC0900" w:rsidRPr="00B17044" w:rsidRDefault="00FC0900">
      <w:pPr>
        <w:ind w:left="567"/>
        <w:jc w:val="both"/>
        <w:rPr>
          <w:rFonts w:ascii="Palatino Linotype" w:eastAsia="Palatino Linotype" w:hAnsi="Palatino Linotype" w:cs="Palatino Linotype"/>
          <w:i/>
        </w:rPr>
      </w:pPr>
    </w:p>
    <w:p w14:paraId="4115A3DF"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Del Lineamiento referido, se desprende que para clasificar la información como reservada, será necesario </w:t>
      </w:r>
      <w:r w:rsidRPr="00B17044">
        <w:rPr>
          <w:rFonts w:ascii="Palatino Linotype" w:eastAsia="Palatino Linotype" w:hAnsi="Palatino Linotype" w:cs="Palatino Linotype"/>
          <w:b/>
        </w:rPr>
        <w:t>acreditar un vínculo, entre la persona física y la información que pueda poner en riesgo su vida, seguridad o salud</w:t>
      </w:r>
      <w:r w:rsidRPr="00B17044">
        <w:rPr>
          <w:rFonts w:ascii="Palatino Linotype" w:eastAsia="Palatino Linotype" w:hAnsi="Palatino Linotype" w:cs="Palatino Linotype"/>
        </w:rPr>
        <w:t>.</w:t>
      </w:r>
    </w:p>
    <w:p w14:paraId="763C80B8" w14:textId="77777777" w:rsidR="00FC0900" w:rsidRPr="00B17044" w:rsidRDefault="00FC0900">
      <w:pPr>
        <w:spacing w:line="360" w:lineRule="auto"/>
        <w:jc w:val="both"/>
        <w:rPr>
          <w:rFonts w:ascii="Palatino Linotype" w:eastAsia="Palatino Linotype" w:hAnsi="Palatino Linotype" w:cs="Palatino Linotype"/>
        </w:rPr>
      </w:pPr>
    </w:p>
    <w:p w14:paraId="0A230377"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Además, el artículo 81, fracción III, de la Ley de Seguridad del Estado de México, establece lo siguiente:</w:t>
      </w:r>
    </w:p>
    <w:p w14:paraId="7C48A001" w14:textId="77777777" w:rsidR="00FC0900" w:rsidRPr="00B17044" w:rsidRDefault="00FC0900">
      <w:pPr>
        <w:jc w:val="both"/>
        <w:rPr>
          <w:rFonts w:ascii="Palatino Linotype" w:eastAsia="Palatino Linotype" w:hAnsi="Palatino Linotype" w:cs="Palatino Linotype"/>
          <w:sz w:val="22"/>
          <w:szCs w:val="22"/>
        </w:rPr>
      </w:pPr>
    </w:p>
    <w:p w14:paraId="092F33EA"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Artículo 81.-</w:t>
      </w:r>
      <w:r w:rsidRPr="00B17044">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2E73AB2"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w:t>
      </w:r>
    </w:p>
    <w:p w14:paraId="2BC3C2B0"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III. La relativa a los servidores públicos integrantes de las instituciones de seguridad pública, cuya revelación pueda poner en riesgo su vida e integridad física con motivo de sus funciones;</w:t>
      </w:r>
    </w:p>
    <w:p w14:paraId="1010B5E1" w14:textId="77777777" w:rsidR="00FC0900" w:rsidRPr="00B17044" w:rsidRDefault="00696652">
      <w:pPr>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w:t>
      </w:r>
    </w:p>
    <w:p w14:paraId="6C1E2757" w14:textId="77777777" w:rsidR="00FC0900" w:rsidRPr="00B17044" w:rsidRDefault="00FC0900">
      <w:pPr>
        <w:jc w:val="both"/>
        <w:rPr>
          <w:rFonts w:ascii="Palatino Linotype" w:eastAsia="Palatino Linotype" w:hAnsi="Palatino Linotype" w:cs="Palatino Linotype"/>
        </w:rPr>
      </w:pPr>
    </w:p>
    <w:p w14:paraId="5BD8340F"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051FC3E" w14:textId="77777777" w:rsidR="00FC0900" w:rsidRPr="00B17044" w:rsidRDefault="00FC0900">
      <w:pPr>
        <w:spacing w:line="360" w:lineRule="auto"/>
        <w:jc w:val="both"/>
        <w:rPr>
          <w:rFonts w:ascii="Palatino Linotype" w:eastAsia="Palatino Linotype" w:hAnsi="Palatino Linotype" w:cs="Palatino Linotype"/>
        </w:rPr>
      </w:pPr>
    </w:p>
    <w:p w14:paraId="3446935E"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ese contexto, tal como se precisó en párrafos anteriores, </w:t>
      </w:r>
      <w:r w:rsidRPr="00B17044">
        <w:rPr>
          <w:rFonts w:ascii="Palatino Linotype" w:eastAsia="Palatino Linotype" w:hAnsi="Palatino Linotype" w:cs="Palatino Linotype"/>
          <w:b/>
        </w:rPr>
        <w:t xml:space="preserve">los datos de servidores públicos, entre los que se encuentran el nombre de los trabajadores, por regla general, </w:t>
      </w:r>
      <w:r w:rsidRPr="00B17044">
        <w:rPr>
          <w:rFonts w:ascii="Palatino Linotype" w:eastAsia="Palatino Linotype" w:hAnsi="Palatino Linotype" w:cs="Palatino Linotype"/>
        </w:rPr>
        <w:t>son de naturaleza pública, ya que su publicidad orienta a cumplir los objetivos que persigue la Ley.</w:t>
      </w:r>
    </w:p>
    <w:p w14:paraId="12904382" w14:textId="77777777" w:rsidR="00FC0900" w:rsidRPr="00B17044" w:rsidRDefault="00FC0900">
      <w:pPr>
        <w:spacing w:line="360" w:lineRule="auto"/>
        <w:jc w:val="both"/>
        <w:rPr>
          <w:rFonts w:ascii="Palatino Linotype" w:eastAsia="Palatino Linotype" w:hAnsi="Palatino Linotype" w:cs="Palatino Linotype"/>
        </w:rPr>
      </w:pPr>
    </w:p>
    <w:p w14:paraId="437A9B35"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No obstante, resulta necesario traer a colación por analogía, el Criterio 06/09, emitido por el entonces Instituto Federal de Acceso a la Información y Protección de Datos </w:t>
      </w:r>
      <w:r w:rsidRPr="00B17044">
        <w:rPr>
          <w:rFonts w:ascii="Palatino Linotype" w:eastAsia="Palatino Linotype" w:hAnsi="Palatino Linotype" w:cs="Palatino Linotype"/>
        </w:rPr>
        <w:lastRenderedPageBreak/>
        <w:t>ahora Instituto Nacional de Transparencia, Acceso a la Información y Protección de Datos Personales, que establece lo siguiente:</w:t>
      </w:r>
    </w:p>
    <w:p w14:paraId="51A116F2" w14:textId="77777777" w:rsidR="00FC0900" w:rsidRPr="00B17044" w:rsidRDefault="00FC0900">
      <w:pPr>
        <w:jc w:val="both"/>
        <w:rPr>
          <w:rFonts w:ascii="Palatino Linotype" w:eastAsia="Palatino Linotype" w:hAnsi="Palatino Linotype" w:cs="Palatino Linotype"/>
          <w:i/>
          <w:sz w:val="22"/>
          <w:szCs w:val="22"/>
        </w:rPr>
      </w:pPr>
    </w:p>
    <w:p w14:paraId="2BFA21D3" w14:textId="77777777" w:rsidR="00FC0900" w:rsidRPr="00B17044" w:rsidRDefault="00696652">
      <w:pPr>
        <w:tabs>
          <w:tab w:val="left" w:pos="4962"/>
        </w:tabs>
        <w:ind w:left="850" w:right="90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B17044">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5F06250" w14:textId="77777777" w:rsidR="00FC0900" w:rsidRPr="00B17044" w:rsidRDefault="00FC0900">
      <w:pPr>
        <w:jc w:val="both"/>
        <w:rPr>
          <w:rFonts w:ascii="Palatino Linotype" w:eastAsia="Palatino Linotype" w:hAnsi="Palatino Linotype" w:cs="Palatino Linotype"/>
          <w:sz w:val="22"/>
          <w:szCs w:val="22"/>
        </w:rPr>
      </w:pPr>
    </w:p>
    <w:p w14:paraId="61F8558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w:t>
      </w:r>
      <w:r w:rsidRPr="00B17044">
        <w:rPr>
          <w:rFonts w:ascii="Palatino Linotype" w:eastAsia="Palatino Linotype" w:hAnsi="Palatino Linotype" w:cs="Palatino Linotype"/>
        </w:rPr>
        <w:lastRenderedPageBreak/>
        <w:t>obstaculizando la actuación de los servidores públicos que realizan funciones de carácter operativo.</w:t>
      </w:r>
    </w:p>
    <w:p w14:paraId="0EF6EECC" w14:textId="77777777" w:rsidR="00FC0900" w:rsidRPr="00B17044" w:rsidRDefault="00FC0900">
      <w:pPr>
        <w:spacing w:line="360" w:lineRule="auto"/>
        <w:jc w:val="both"/>
        <w:rPr>
          <w:rFonts w:ascii="Palatino Linotype" w:eastAsia="Palatino Linotype" w:hAnsi="Palatino Linotype" w:cs="Palatino Linotype"/>
        </w:rPr>
      </w:pPr>
    </w:p>
    <w:p w14:paraId="3233C327"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B17044">
        <w:rPr>
          <w:rFonts w:ascii="Palatino Linotype" w:eastAsia="Palatino Linotype" w:hAnsi="Palatino Linotype" w:cs="Palatino Linotype"/>
          <w:b/>
        </w:rPr>
        <w:t>aquellos que realicen actividades operativas en materia de seguridad,</w:t>
      </w:r>
      <w:r w:rsidRPr="00B17044">
        <w:rPr>
          <w:rFonts w:ascii="Palatino Linotype" w:eastAsia="Palatino Linotype" w:hAnsi="Palatino Linotype" w:cs="Palatino Linotype"/>
        </w:rPr>
        <w:t xml:space="preserve"> como es el caso de los elementos operativos y la policía municipal.</w:t>
      </w:r>
    </w:p>
    <w:p w14:paraId="06D28E1B" w14:textId="77777777" w:rsidR="00FC0900" w:rsidRPr="00B17044" w:rsidRDefault="00FC0900">
      <w:pPr>
        <w:spacing w:line="360" w:lineRule="auto"/>
        <w:jc w:val="both"/>
        <w:rPr>
          <w:rFonts w:ascii="Palatino Linotype" w:eastAsia="Palatino Linotype" w:hAnsi="Palatino Linotype" w:cs="Palatino Linotype"/>
        </w:rPr>
      </w:pPr>
    </w:p>
    <w:p w14:paraId="56A25A9A"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D7ABA03" w14:textId="77777777" w:rsidR="00FC0900" w:rsidRPr="00B17044" w:rsidRDefault="00FC0900">
      <w:pPr>
        <w:spacing w:line="360" w:lineRule="auto"/>
        <w:jc w:val="both"/>
        <w:rPr>
          <w:rFonts w:ascii="Palatino Linotype" w:eastAsia="Palatino Linotype" w:hAnsi="Palatino Linotype" w:cs="Palatino Linotype"/>
        </w:rPr>
      </w:pPr>
    </w:p>
    <w:p w14:paraId="583EC66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En ese contexto, el artículo 6, fracciones XI y XII de dicho ordenamiento jurídico, establece los siguientes conceptos:</w:t>
      </w:r>
    </w:p>
    <w:p w14:paraId="7B4F2C6B" w14:textId="77777777" w:rsidR="00FC0900" w:rsidRPr="00B17044" w:rsidRDefault="00FC0900">
      <w:pPr>
        <w:spacing w:line="360" w:lineRule="auto"/>
        <w:jc w:val="both"/>
        <w:rPr>
          <w:rFonts w:ascii="Palatino Linotype" w:eastAsia="Palatino Linotype" w:hAnsi="Palatino Linotype" w:cs="Palatino Linotype"/>
        </w:rPr>
      </w:pPr>
    </w:p>
    <w:p w14:paraId="2768097F" w14:textId="77777777" w:rsidR="00FC0900" w:rsidRPr="00B17044" w:rsidRDefault="00696652">
      <w:pPr>
        <w:numPr>
          <w:ilvl w:val="0"/>
          <w:numId w:val="1"/>
        </w:num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 xml:space="preserve">Instituciones Policiales: </w:t>
      </w:r>
      <w:r w:rsidRPr="00B17044">
        <w:rPr>
          <w:rFonts w:ascii="Palatino Linotype" w:eastAsia="Palatino Linotype" w:hAnsi="Palatino Linotype" w:cs="Palatino Linotype"/>
        </w:rPr>
        <w:t xml:space="preserve">Son los cuerpos de policía, de vigilancia y custodia de los establecimientos penitenciarios, detención preventiva, centros de arraigo y </w:t>
      </w:r>
      <w:r w:rsidRPr="00B17044">
        <w:rPr>
          <w:rFonts w:ascii="Palatino Linotype" w:eastAsia="Palatino Linotype" w:hAnsi="Palatino Linotype" w:cs="Palatino Linotype"/>
        </w:rPr>
        <w:lastRenderedPageBreak/>
        <w:t xml:space="preserve">en general, </w:t>
      </w:r>
      <w:r w:rsidRPr="00B17044">
        <w:rPr>
          <w:rFonts w:ascii="Palatino Linotype" w:eastAsia="Palatino Linotype" w:hAnsi="Palatino Linotype" w:cs="Palatino Linotype"/>
          <w:b/>
        </w:rPr>
        <w:t>todas las dependencias encargadas de la seguridad pública a nivel</w:t>
      </w:r>
      <w:r w:rsidRPr="00B17044">
        <w:rPr>
          <w:rFonts w:ascii="Palatino Linotype" w:eastAsia="Palatino Linotype" w:hAnsi="Palatino Linotype" w:cs="Palatino Linotype"/>
        </w:rPr>
        <w:t xml:space="preserve"> estatal y </w:t>
      </w:r>
      <w:r w:rsidRPr="00B17044">
        <w:rPr>
          <w:rFonts w:ascii="Palatino Linotype" w:eastAsia="Palatino Linotype" w:hAnsi="Palatino Linotype" w:cs="Palatino Linotype"/>
          <w:b/>
        </w:rPr>
        <w:t>municipal.</w:t>
      </w:r>
    </w:p>
    <w:p w14:paraId="5D411418" w14:textId="77777777" w:rsidR="00FC0900" w:rsidRPr="00B17044" w:rsidRDefault="00FC0900">
      <w:pPr>
        <w:spacing w:line="360" w:lineRule="auto"/>
        <w:ind w:left="708"/>
        <w:jc w:val="both"/>
        <w:rPr>
          <w:rFonts w:ascii="Palatino Linotype" w:eastAsia="Palatino Linotype" w:hAnsi="Palatino Linotype" w:cs="Palatino Linotype"/>
        </w:rPr>
      </w:pPr>
    </w:p>
    <w:p w14:paraId="24ACB716" w14:textId="77777777" w:rsidR="00FC0900" w:rsidRPr="00B17044" w:rsidRDefault="00696652">
      <w:pPr>
        <w:numPr>
          <w:ilvl w:val="0"/>
          <w:numId w:val="1"/>
        </w:num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b/>
        </w:rPr>
        <w:t xml:space="preserve">Instituciones de Seguridad Pública: </w:t>
      </w:r>
      <w:r w:rsidRPr="00B17044">
        <w:rPr>
          <w:rFonts w:ascii="Palatino Linotype" w:eastAsia="Palatino Linotype" w:hAnsi="Palatino Linotype" w:cs="Palatino Linotype"/>
        </w:rPr>
        <w:t xml:space="preserve">Instituciones Policiales, Procuración de Justicia, Sistema Penitenciario y </w:t>
      </w:r>
      <w:r w:rsidRPr="00B17044">
        <w:rPr>
          <w:rFonts w:ascii="Palatino Linotype" w:eastAsia="Palatino Linotype" w:hAnsi="Palatino Linotype" w:cs="Palatino Linotype"/>
          <w:b/>
        </w:rPr>
        <w:t xml:space="preserve">dependencias encargadas de la seguridad pública a nivel </w:t>
      </w:r>
      <w:r w:rsidRPr="00B17044">
        <w:rPr>
          <w:rFonts w:ascii="Palatino Linotype" w:eastAsia="Palatino Linotype" w:hAnsi="Palatino Linotype" w:cs="Palatino Linotype"/>
        </w:rPr>
        <w:t xml:space="preserve">estatal y </w:t>
      </w:r>
      <w:r w:rsidRPr="00B17044">
        <w:rPr>
          <w:rFonts w:ascii="Palatino Linotype" w:eastAsia="Palatino Linotype" w:hAnsi="Palatino Linotype" w:cs="Palatino Linotype"/>
          <w:b/>
        </w:rPr>
        <w:t>municipal.</w:t>
      </w:r>
    </w:p>
    <w:p w14:paraId="10F87CB8" w14:textId="77777777" w:rsidR="00FC0900" w:rsidRPr="00B17044" w:rsidRDefault="00FC0900">
      <w:pPr>
        <w:spacing w:line="360" w:lineRule="auto"/>
        <w:ind w:left="708"/>
        <w:rPr>
          <w:rFonts w:ascii="Palatino Linotype" w:eastAsia="Palatino Linotype" w:hAnsi="Palatino Linotype" w:cs="Palatino Linotype"/>
          <w:b/>
        </w:rPr>
      </w:pPr>
    </w:p>
    <w:p w14:paraId="27D55B63"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Conforme a lo anterior,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3F1FB5D0" w14:textId="77777777" w:rsidR="00FC0900" w:rsidRPr="00B17044" w:rsidRDefault="00FC0900">
      <w:pPr>
        <w:spacing w:line="360" w:lineRule="auto"/>
        <w:jc w:val="both"/>
        <w:rPr>
          <w:rFonts w:ascii="Palatino Linotype" w:eastAsia="Palatino Linotype" w:hAnsi="Palatino Linotype" w:cs="Palatino Linotype"/>
        </w:rPr>
      </w:pPr>
    </w:p>
    <w:p w14:paraId="3E8EC607" w14:textId="77777777" w:rsidR="00FC0900" w:rsidRPr="00B17044" w:rsidRDefault="00696652">
      <w:pPr>
        <w:tabs>
          <w:tab w:val="left" w:pos="4962"/>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de abril de dos mil veintidós, a las dieciocho horas, en la liga electrónica </w:t>
      </w:r>
      <w:hyperlink r:id="rId14">
        <w:r w:rsidRPr="00B17044">
          <w:rPr>
            <w:rFonts w:ascii="Palatino Linotype" w:eastAsia="Palatino Linotype" w:hAnsi="Palatino Linotype" w:cs="Palatino Linotype"/>
            <w:color w:val="0563C1"/>
          </w:rPr>
          <w:t>http://secretariadoejecutivo.gob.mx/work/models/SecretariadoEjecutivo/Resource/328/1/images/instructivo_final_edo_fuerza(1).pdf</w:t>
        </w:r>
      </w:hyperlink>
      <w:r w:rsidRPr="00B17044">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sidRPr="00B17044">
        <w:rPr>
          <w:rFonts w:ascii="Palatino Linotype" w:eastAsia="Palatino Linotype" w:hAnsi="Palatino Linotype" w:cs="Palatino Linotype"/>
          <w:b/>
        </w:rPr>
        <w:t>desempeña funciones de mando</w:t>
      </w:r>
      <w:r w:rsidRPr="00B17044">
        <w:rPr>
          <w:rFonts w:ascii="Palatino Linotype" w:eastAsia="Palatino Linotype" w:hAnsi="Palatino Linotype" w:cs="Palatino Linotype"/>
        </w:rPr>
        <w:t xml:space="preserve">), entre los cuales, se encuentra </w:t>
      </w:r>
      <w:r w:rsidRPr="00B17044">
        <w:rPr>
          <w:rFonts w:ascii="Palatino Linotype" w:eastAsia="Palatino Linotype" w:hAnsi="Palatino Linotype" w:cs="Palatino Linotype"/>
          <w:b/>
        </w:rPr>
        <w:t>la Policía Municipal</w:t>
      </w:r>
      <w:r w:rsidRPr="00B17044">
        <w:rPr>
          <w:rFonts w:ascii="Palatino Linotype" w:eastAsia="Palatino Linotype" w:hAnsi="Palatino Linotype" w:cs="Palatino Linotype"/>
        </w:rPr>
        <w:t>.</w:t>
      </w:r>
    </w:p>
    <w:p w14:paraId="064FCFBE" w14:textId="77777777" w:rsidR="00FC0900" w:rsidRPr="00B17044" w:rsidRDefault="00FC0900">
      <w:pPr>
        <w:tabs>
          <w:tab w:val="left" w:pos="4962"/>
        </w:tabs>
        <w:spacing w:line="360" w:lineRule="auto"/>
        <w:jc w:val="both"/>
        <w:rPr>
          <w:rFonts w:ascii="Palatino Linotype" w:eastAsia="Palatino Linotype" w:hAnsi="Palatino Linotype" w:cs="Palatino Linotype"/>
        </w:rPr>
      </w:pPr>
    </w:p>
    <w:p w14:paraId="3EE14D4B" w14:textId="77777777" w:rsidR="00FC0900" w:rsidRPr="00B17044" w:rsidRDefault="00696652">
      <w:pPr>
        <w:tabs>
          <w:tab w:val="left" w:pos="4962"/>
        </w:tabs>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645F0299" w14:textId="77777777" w:rsidR="00FC0900" w:rsidRPr="00B17044" w:rsidRDefault="00FC0900">
      <w:pPr>
        <w:spacing w:line="360" w:lineRule="auto"/>
        <w:jc w:val="both"/>
        <w:rPr>
          <w:rFonts w:ascii="Palatino Linotype" w:eastAsia="Palatino Linotype" w:hAnsi="Palatino Linotype" w:cs="Palatino Linotype"/>
        </w:rPr>
      </w:pPr>
    </w:p>
    <w:p w14:paraId="2BF384F2"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83FF7D4" w14:textId="77777777" w:rsidR="00FC0900" w:rsidRPr="00B17044" w:rsidRDefault="00FC0900">
      <w:pPr>
        <w:spacing w:line="360" w:lineRule="auto"/>
        <w:jc w:val="both"/>
        <w:rPr>
          <w:rFonts w:ascii="Palatino Linotype" w:eastAsia="Palatino Linotype" w:hAnsi="Palatino Linotype" w:cs="Palatino Linotype"/>
        </w:rPr>
      </w:pPr>
    </w:p>
    <w:p w14:paraId="09135789"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611DC3D" w14:textId="77777777" w:rsidR="00FC0900" w:rsidRPr="00B17044" w:rsidRDefault="00FC0900">
      <w:pPr>
        <w:spacing w:line="360" w:lineRule="auto"/>
        <w:jc w:val="both"/>
        <w:rPr>
          <w:rFonts w:ascii="Palatino Linotype" w:eastAsia="Palatino Linotype" w:hAnsi="Palatino Linotype" w:cs="Palatino Linotype"/>
        </w:rPr>
      </w:pPr>
    </w:p>
    <w:p w14:paraId="363AF637" w14:textId="77777777" w:rsidR="00FC0900" w:rsidRPr="00B17044" w:rsidRDefault="00696652">
      <w:pPr>
        <w:spacing w:line="360" w:lineRule="auto"/>
        <w:jc w:val="both"/>
        <w:rPr>
          <w:rFonts w:ascii="Palatino Linotype" w:eastAsia="Palatino Linotype" w:hAnsi="Palatino Linotype" w:cs="Palatino Linotype"/>
          <w:b/>
        </w:rPr>
      </w:pPr>
      <w:r w:rsidRPr="00B17044">
        <w:rPr>
          <w:rFonts w:ascii="Palatino Linotype" w:eastAsia="Palatino Linotype" w:hAnsi="Palatino Linotype" w:cs="Palatino Linotype"/>
        </w:rPr>
        <w:t xml:space="preserve">Por tales consideraciones, </w:t>
      </w:r>
      <w:r w:rsidRPr="00B17044">
        <w:rPr>
          <w:rFonts w:ascii="Palatino Linotype" w:eastAsia="Palatino Linotype" w:hAnsi="Palatino Linotype" w:cs="Palatino Linotype"/>
          <w:b/>
        </w:rPr>
        <w:t xml:space="preserve">resulta procedente la reserva del nombre de los elementos operativos de la Dirección de Seguridad Pública Municipal, en términos del artículo 140, fracción IV, de </w:t>
      </w:r>
      <w:proofErr w:type="spellStart"/>
      <w:r w:rsidRPr="00B17044">
        <w:rPr>
          <w:rFonts w:ascii="Palatino Linotype" w:eastAsia="Palatino Linotype" w:hAnsi="Palatino Linotype" w:cs="Palatino Linotype"/>
          <w:b/>
        </w:rPr>
        <w:t>de</w:t>
      </w:r>
      <w:proofErr w:type="spellEnd"/>
      <w:r w:rsidRPr="00B17044">
        <w:rPr>
          <w:rFonts w:ascii="Palatino Linotype" w:eastAsia="Palatino Linotype" w:hAnsi="Palatino Linotype" w:cs="Palatino Linotype"/>
          <w:b/>
        </w:rPr>
        <w:t xml:space="preserve"> la Ley de Transparencia y Acceso a la Información Pública del Estado de México y Municipios.</w:t>
      </w:r>
    </w:p>
    <w:p w14:paraId="0F045E98" w14:textId="77777777" w:rsidR="00FC0900" w:rsidRPr="00B17044" w:rsidRDefault="00FC0900">
      <w:pPr>
        <w:spacing w:line="360" w:lineRule="auto"/>
        <w:jc w:val="both"/>
        <w:rPr>
          <w:rFonts w:ascii="Palatino Linotype" w:eastAsia="Palatino Linotype" w:hAnsi="Palatino Linotype" w:cs="Palatino Linotype"/>
          <w:b/>
        </w:rPr>
      </w:pPr>
    </w:p>
    <w:p w14:paraId="35ADB30E"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Una vez determinado lo anterior, la transparencia es imprescindible para la vigilancia pública, por ello, no debe ser clasificado como reservado el nombre de servidores públicos de Seguridad Pública con medio o superior pues resulta mayor el beneficio de conocer a las personas cuyo nivel y/o rango conlleva a una mayor responsabilidad.</w:t>
      </w:r>
    </w:p>
    <w:p w14:paraId="63BADEA6" w14:textId="77777777" w:rsidR="00FC0900" w:rsidRPr="00B17044" w:rsidRDefault="00FC0900">
      <w:pPr>
        <w:spacing w:line="360" w:lineRule="auto"/>
        <w:jc w:val="both"/>
        <w:rPr>
          <w:rFonts w:ascii="Palatino Linotype" w:eastAsia="Palatino Linotype" w:hAnsi="Palatino Linotype" w:cs="Palatino Linotype"/>
        </w:rPr>
      </w:pPr>
    </w:p>
    <w:p w14:paraId="12FC79D9"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 xml:space="preserve">Por último, derivado de la cantidad de información que se ordena, en caso de que existiera impedimento justificado para la entrega de la información por la vía seleccionada por el particular, a efecto de privilegiar el derecho de acceso a la información, se considera procedente ordenar al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xml:space="preserve"> a efecto de que proporcione otras modalidades para de la entrega de la información, a través del </w:t>
      </w:r>
      <w:r w:rsidRPr="00B17044">
        <w:rPr>
          <w:rFonts w:ascii="Palatino Linotype" w:eastAsia="Palatino Linotype" w:hAnsi="Palatino Linotype" w:cs="Palatino Linotype"/>
        </w:rPr>
        <w:lastRenderedPageBreak/>
        <w:t>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según lo dispuesto por el artículo 148 del Código Financiero del Estado de México y Municipios, que a la letra señala lo siguiente:</w:t>
      </w:r>
    </w:p>
    <w:p w14:paraId="7ADB30C0" w14:textId="77777777" w:rsidR="00FC0900" w:rsidRPr="00B17044" w:rsidRDefault="00FC0900">
      <w:pPr>
        <w:spacing w:line="360" w:lineRule="auto"/>
        <w:jc w:val="both"/>
        <w:rPr>
          <w:rFonts w:ascii="Palatino Linotype" w:eastAsia="Palatino Linotype" w:hAnsi="Palatino Linotype" w:cs="Palatino Linotype"/>
        </w:rPr>
      </w:pPr>
    </w:p>
    <w:p w14:paraId="45EA3B6C"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Artículo 148.- Por la expedición de documentos solicitados en el ejercicio del derecho a la información pública, se pagarán los derechos conforme a la siguiente:</w:t>
      </w:r>
    </w:p>
    <w:p w14:paraId="45F679DF" w14:textId="77777777" w:rsidR="00FC0900" w:rsidRPr="00B17044" w:rsidRDefault="00FC0900">
      <w:pPr>
        <w:ind w:left="851" w:right="851"/>
        <w:jc w:val="both"/>
        <w:rPr>
          <w:rFonts w:ascii="Palatino Linotype" w:eastAsia="Palatino Linotype" w:hAnsi="Palatino Linotype" w:cs="Palatino Linotype"/>
          <w:i/>
          <w:sz w:val="22"/>
          <w:szCs w:val="22"/>
        </w:rPr>
      </w:pPr>
    </w:p>
    <w:p w14:paraId="1BAE3F79" w14:textId="77777777" w:rsidR="00FC0900" w:rsidRPr="00B17044" w:rsidRDefault="00696652">
      <w:pPr>
        <w:ind w:left="851" w:right="851"/>
        <w:jc w:val="center"/>
        <w:rPr>
          <w:rFonts w:ascii="Palatino Linotype" w:eastAsia="Palatino Linotype" w:hAnsi="Palatino Linotype" w:cs="Palatino Linotype"/>
          <w:b/>
          <w:i/>
          <w:sz w:val="22"/>
          <w:szCs w:val="22"/>
        </w:rPr>
      </w:pPr>
      <w:r w:rsidRPr="00B17044">
        <w:rPr>
          <w:rFonts w:ascii="Palatino Linotype" w:eastAsia="Palatino Linotype" w:hAnsi="Palatino Linotype" w:cs="Palatino Linotype"/>
          <w:b/>
          <w:i/>
          <w:sz w:val="22"/>
          <w:szCs w:val="22"/>
        </w:rPr>
        <w:t>T A R I F A</w:t>
      </w:r>
    </w:p>
    <w:p w14:paraId="06C5C82C" w14:textId="77777777" w:rsidR="00FC0900" w:rsidRPr="00B17044" w:rsidRDefault="00FC0900">
      <w:pPr>
        <w:ind w:left="851" w:right="851"/>
        <w:rPr>
          <w:rFonts w:ascii="Palatino Linotype" w:eastAsia="Palatino Linotype" w:hAnsi="Palatino Linotype" w:cs="Palatino Linotype"/>
          <w:i/>
          <w:sz w:val="22"/>
          <w:szCs w:val="22"/>
        </w:rPr>
      </w:pPr>
    </w:p>
    <w:p w14:paraId="6C9CF0D6" w14:textId="77777777" w:rsidR="00FC0900" w:rsidRPr="00B17044" w:rsidRDefault="00696652">
      <w:pPr>
        <w:ind w:left="851" w:right="851"/>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CONCEPTO  </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NÚMERO DE VECES EL VALOR</w:t>
      </w:r>
    </w:p>
    <w:p w14:paraId="5BD02C10" w14:textId="77777777" w:rsidR="00FC0900" w:rsidRPr="00B17044" w:rsidRDefault="00696652">
      <w:pPr>
        <w:ind w:left="851" w:right="851"/>
        <w:jc w:val="right"/>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DIARIO DE LA UNIDAD DE</w:t>
      </w:r>
    </w:p>
    <w:p w14:paraId="5C37586C" w14:textId="77777777" w:rsidR="00FC0900" w:rsidRPr="00B17044" w:rsidRDefault="00696652">
      <w:pPr>
        <w:ind w:left="851" w:right="851"/>
        <w:jc w:val="right"/>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MEDIDA Y ACTUALIZACIÓN</w:t>
      </w:r>
    </w:p>
    <w:p w14:paraId="524815AE" w14:textId="77777777" w:rsidR="00FC0900" w:rsidRPr="00B17044" w:rsidRDefault="00696652">
      <w:pPr>
        <w:ind w:left="851" w:right="851"/>
        <w:jc w:val="right"/>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VIGENTE</w:t>
      </w:r>
    </w:p>
    <w:p w14:paraId="32748403"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 Por la expedición de copias simples:</w:t>
      </w:r>
    </w:p>
    <w:p w14:paraId="3AF92BBA"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A). Por la primera hoja. </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0.224</w:t>
      </w:r>
    </w:p>
    <w:p w14:paraId="040F40BC"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B). Por cada hoja subsecuente. </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0.016</w:t>
      </w:r>
    </w:p>
    <w:p w14:paraId="58332EAF"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II. Por la expedición de copias certificadas:</w:t>
      </w:r>
    </w:p>
    <w:p w14:paraId="3E92C6DE"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A). Por la primera hoja.</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0.850</w:t>
      </w:r>
    </w:p>
    <w:p w14:paraId="1FE3FD94"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B). Por cada hoja subsecuente. </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0.417</w:t>
      </w:r>
    </w:p>
    <w:p w14:paraId="0883E2D2"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III. Por la expedición de información en medios magnéticos. </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0.224</w:t>
      </w:r>
    </w:p>
    <w:p w14:paraId="46A153C7"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IV. Para la expedición de información en disco compacto por</w:t>
      </w:r>
    </w:p>
    <w:p w14:paraId="3617C9B1"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cada disco. 0.336</w:t>
      </w:r>
    </w:p>
    <w:p w14:paraId="49A16151"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V. Por el escaneo y digitalización de documentos. </w:t>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r>
      <w:r w:rsidRPr="00B17044">
        <w:rPr>
          <w:rFonts w:ascii="Palatino Linotype" w:eastAsia="Palatino Linotype" w:hAnsi="Palatino Linotype" w:cs="Palatino Linotype"/>
          <w:i/>
          <w:sz w:val="22"/>
          <w:szCs w:val="22"/>
        </w:rPr>
        <w:tab/>
        <w:t>0.008</w:t>
      </w:r>
    </w:p>
    <w:p w14:paraId="4F1F4E58" w14:textId="77777777" w:rsidR="00FC0900" w:rsidRPr="00B17044" w:rsidRDefault="00FC0900">
      <w:pPr>
        <w:ind w:left="851" w:right="851"/>
        <w:jc w:val="both"/>
        <w:rPr>
          <w:rFonts w:ascii="Palatino Linotype" w:eastAsia="Palatino Linotype" w:hAnsi="Palatino Linotype" w:cs="Palatino Linotype"/>
          <w:i/>
          <w:sz w:val="22"/>
          <w:szCs w:val="22"/>
        </w:rPr>
      </w:pPr>
    </w:p>
    <w:p w14:paraId="7F0D71B6" w14:textId="77777777" w:rsidR="00FC0900" w:rsidRPr="00B17044" w:rsidRDefault="00696652">
      <w:pPr>
        <w:ind w:left="851" w:right="851"/>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Para los supuestos establecidos en las fracciones III y IV, el solicitante podrá proporcionar a la autoridad municipal, el medio en el que requiera le sea entregada la información pública, en cuyo caso no habrá costo que cubrir.</w:t>
      </w:r>
    </w:p>
    <w:p w14:paraId="41D05AF6" w14:textId="77777777" w:rsidR="00FC0900" w:rsidRPr="00B17044" w:rsidRDefault="00FC0900">
      <w:pPr>
        <w:ind w:left="851" w:right="851"/>
        <w:jc w:val="both"/>
        <w:rPr>
          <w:rFonts w:ascii="Palatino Linotype" w:eastAsia="Palatino Linotype" w:hAnsi="Palatino Linotype" w:cs="Palatino Linotype"/>
          <w:i/>
          <w:sz w:val="22"/>
          <w:szCs w:val="22"/>
        </w:rPr>
      </w:pPr>
    </w:p>
    <w:p w14:paraId="713E7558"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lastRenderedPageBreak/>
        <w:t>No obstante, a lo anterior, la información deberá ser entregada sin costo, cuando implique la entrega de no más de veinte hojas simples y para el caso de que el particular proporcione los medios en lo que requiere le sea entregada la información, no será procedente el cobro de la misma.</w:t>
      </w:r>
    </w:p>
    <w:p w14:paraId="042892FB" w14:textId="77777777" w:rsidR="00FC0900" w:rsidRPr="00B17044" w:rsidRDefault="00FC0900">
      <w:pPr>
        <w:spacing w:line="360" w:lineRule="auto"/>
        <w:jc w:val="both"/>
        <w:rPr>
          <w:rFonts w:ascii="Palatino Linotype" w:eastAsia="Palatino Linotype" w:hAnsi="Palatino Linotype" w:cs="Palatino Linotype"/>
        </w:rPr>
      </w:pPr>
    </w:p>
    <w:p w14:paraId="239B4AC7"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790727C" w14:textId="77777777" w:rsidR="00FC0900" w:rsidRPr="00B17044" w:rsidRDefault="00FC0900">
      <w:pPr>
        <w:spacing w:line="360" w:lineRule="auto"/>
        <w:jc w:val="center"/>
        <w:rPr>
          <w:rFonts w:ascii="Palatino Linotype" w:eastAsia="Palatino Linotype" w:hAnsi="Palatino Linotype" w:cs="Palatino Linotype"/>
          <w:b/>
          <w:sz w:val="26"/>
          <w:szCs w:val="26"/>
        </w:rPr>
      </w:pPr>
    </w:p>
    <w:p w14:paraId="1B84CFBF" w14:textId="77777777" w:rsidR="00FC0900" w:rsidRPr="00B17044" w:rsidRDefault="00696652">
      <w:pPr>
        <w:spacing w:line="360" w:lineRule="auto"/>
        <w:jc w:val="center"/>
        <w:rPr>
          <w:rFonts w:ascii="Palatino Linotype" w:eastAsia="Palatino Linotype" w:hAnsi="Palatino Linotype" w:cs="Palatino Linotype"/>
          <w:b/>
          <w:sz w:val="26"/>
          <w:szCs w:val="26"/>
        </w:rPr>
      </w:pPr>
      <w:r w:rsidRPr="00B17044">
        <w:rPr>
          <w:rFonts w:ascii="Palatino Linotype" w:eastAsia="Palatino Linotype" w:hAnsi="Palatino Linotype" w:cs="Palatino Linotype"/>
          <w:b/>
          <w:sz w:val="26"/>
          <w:szCs w:val="26"/>
        </w:rPr>
        <w:t>RESUELVE</w:t>
      </w:r>
    </w:p>
    <w:p w14:paraId="51229DEA" w14:textId="77777777" w:rsidR="00FC0900" w:rsidRPr="00B17044" w:rsidRDefault="00FC0900">
      <w:pPr>
        <w:spacing w:line="360" w:lineRule="auto"/>
        <w:ind w:right="49"/>
        <w:jc w:val="both"/>
        <w:rPr>
          <w:rFonts w:ascii="Palatino Linotype" w:eastAsia="Palatino Linotype" w:hAnsi="Palatino Linotype" w:cs="Palatino Linotype"/>
          <w:b/>
        </w:rPr>
      </w:pPr>
    </w:p>
    <w:p w14:paraId="3810F772" w14:textId="77777777" w:rsidR="00FC0900" w:rsidRPr="00B17044" w:rsidRDefault="00696652">
      <w:pPr>
        <w:spacing w:line="360" w:lineRule="auto"/>
        <w:ind w:right="49"/>
        <w:jc w:val="both"/>
        <w:rPr>
          <w:rFonts w:ascii="Palatino Linotype" w:eastAsia="Palatino Linotype" w:hAnsi="Palatino Linotype" w:cs="Palatino Linotype"/>
        </w:rPr>
      </w:pPr>
      <w:r w:rsidRPr="00B17044">
        <w:rPr>
          <w:rFonts w:ascii="Palatino Linotype" w:eastAsia="Palatino Linotype" w:hAnsi="Palatino Linotype" w:cs="Palatino Linotype"/>
          <w:b/>
        </w:rPr>
        <w:t>PRIMERO.</w:t>
      </w:r>
      <w:r w:rsidRPr="00B17044">
        <w:rPr>
          <w:rFonts w:ascii="Palatino Linotype" w:eastAsia="Palatino Linotype" w:hAnsi="Palatino Linotype" w:cs="Palatino Linotype"/>
        </w:rPr>
        <w:t xml:space="preserve"> Resultan </w:t>
      </w:r>
      <w:r w:rsidRPr="00B17044">
        <w:rPr>
          <w:rFonts w:ascii="Palatino Linotype" w:eastAsia="Palatino Linotype" w:hAnsi="Palatino Linotype" w:cs="Palatino Linotype"/>
          <w:b/>
        </w:rPr>
        <w:t>fundadas</w:t>
      </w:r>
      <w:r w:rsidRPr="00B17044">
        <w:rPr>
          <w:rFonts w:ascii="Palatino Linotype" w:eastAsia="Palatino Linotype" w:hAnsi="Palatino Linotype" w:cs="Palatino Linotype"/>
        </w:rPr>
        <w:t xml:space="preserve"> las manifestaciones hechas valer por </w:t>
      </w:r>
      <w:r w:rsidRPr="00B17044">
        <w:rPr>
          <w:rFonts w:ascii="Palatino Linotype" w:eastAsia="Palatino Linotype" w:hAnsi="Palatino Linotype" w:cs="Palatino Linotype"/>
          <w:b/>
        </w:rPr>
        <w:t>EL RECURRENTE</w:t>
      </w:r>
      <w:r w:rsidRPr="00B17044">
        <w:rPr>
          <w:rFonts w:ascii="Palatino Linotype" w:eastAsia="Palatino Linotype" w:hAnsi="Palatino Linotype" w:cs="Palatino Linotype"/>
        </w:rPr>
        <w:t xml:space="preserve"> en el recurso de revisión </w:t>
      </w:r>
      <w:r w:rsidRPr="00B17044">
        <w:rPr>
          <w:rFonts w:ascii="Palatino Linotype" w:eastAsia="Palatino Linotype" w:hAnsi="Palatino Linotype" w:cs="Palatino Linotype"/>
          <w:b/>
        </w:rPr>
        <w:t>12322/INFOEM/IP/RR/2022</w:t>
      </w:r>
      <w:r w:rsidRPr="00B17044">
        <w:rPr>
          <w:rFonts w:ascii="Palatino Linotype" w:eastAsia="Palatino Linotype" w:hAnsi="Palatino Linotype" w:cs="Palatino Linotype"/>
        </w:rPr>
        <w:t xml:space="preserve">, en términos del considerando </w:t>
      </w:r>
      <w:r w:rsidRPr="00B17044">
        <w:rPr>
          <w:rFonts w:ascii="Palatino Linotype" w:eastAsia="Palatino Linotype" w:hAnsi="Palatino Linotype" w:cs="Palatino Linotype"/>
          <w:b/>
        </w:rPr>
        <w:t>QUINTO</w:t>
      </w:r>
      <w:r w:rsidRPr="00B17044">
        <w:rPr>
          <w:rFonts w:ascii="Palatino Linotype" w:eastAsia="Palatino Linotype" w:hAnsi="Palatino Linotype" w:cs="Palatino Linotype"/>
        </w:rPr>
        <w:t>.</w:t>
      </w:r>
    </w:p>
    <w:p w14:paraId="7DF1974B" w14:textId="77777777" w:rsidR="00FC0900" w:rsidRPr="00B17044" w:rsidRDefault="00FC0900">
      <w:pPr>
        <w:spacing w:line="360" w:lineRule="auto"/>
        <w:ind w:right="49"/>
        <w:jc w:val="both"/>
        <w:rPr>
          <w:rFonts w:ascii="Palatino Linotype" w:eastAsia="Palatino Linotype" w:hAnsi="Palatino Linotype" w:cs="Palatino Linotype"/>
        </w:rPr>
      </w:pPr>
    </w:p>
    <w:p w14:paraId="38461201" w14:textId="77777777" w:rsidR="00FC0900" w:rsidRPr="00B17044" w:rsidRDefault="00696652">
      <w:pPr>
        <w:spacing w:line="360" w:lineRule="auto"/>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b/>
        </w:rPr>
        <w:t xml:space="preserve">SEGUNDO. </w:t>
      </w:r>
      <w:r w:rsidRPr="00B17044">
        <w:rPr>
          <w:rFonts w:ascii="Palatino Linotype" w:eastAsia="Palatino Linotype" w:hAnsi="Palatino Linotype" w:cs="Palatino Linotype"/>
        </w:rPr>
        <w:t xml:space="preserve">Se </w:t>
      </w:r>
      <w:r w:rsidRPr="00B17044">
        <w:rPr>
          <w:rFonts w:ascii="Palatino Linotype" w:eastAsia="Palatino Linotype" w:hAnsi="Palatino Linotype" w:cs="Palatino Linotype"/>
          <w:b/>
        </w:rPr>
        <w:t xml:space="preserve">REVOCA </w:t>
      </w:r>
      <w:r w:rsidRPr="00B17044">
        <w:rPr>
          <w:rFonts w:ascii="Palatino Linotype" w:eastAsia="Palatino Linotype" w:hAnsi="Palatino Linotype" w:cs="Palatino Linotype"/>
        </w:rPr>
        <w:t xml:space="preserve">la respuesta emitida por </w:t>
      </w:r>
      <w:r w:rsidRPr="00B17044">
        <w:rPr>
          <w:rFonts w:ascii="Palatino Linotype" w:eastAsia="Palatino Linotype" w:hAnsi="Palatino Linotype" w:cs="Palatino Linotype"/>
          <w:b/>
        </w:rPr>
        <w:t>EL</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b/>
        </w:rPr>
        <w:t>SUJETO OBLIGADO</w:t>
      </w:r>
      <w:r w:rsidRPr="00B17044">
        <w:rPr>
          <w:rFonts w:ascii="Palatino Linotype" w:eastAsia="Palatino Linotype" w:hAnsi="Palatino Linotype" w:cs="Palatino Linotype"/>
        </w:rPr>
        <w:t xml:space="preserve"> y se ordena que en términos del Considerando </w:t>
      </w:r>
      <w:r w:rsidRPr="00B17044">
        <w:rPr>
          <w:rFonts w:ascii="Palatino Linotype" w:eastAsia="Palatino Linotype" w:hAnsi="Palatino Linotype" w:cs="Palatino Linotype"/>
          <w:b/>
        </w:rPr>
        <w:t>Quinto</w:t>
      </w:r>
      <w:r w:rsidRPr="00B17044">
        <w:rPr>
          <w:rFonts w:ascii="Palatino Linotype" w:eastAsia="Palatino Linotype" w:hAnsi="Palatino Linotype" w:cs="Palatino Linotype"/>
        </w:rPr>
        <w:t xml:space="preserve"> haga entrega al Recurrente mediante el Sistema de Acceso a la Información Mexiquense (</w:t>
      </w:r>
      <w:r w:rsidR="00E03B2B">
        <w:rPr>
          <w:rFonts w:ascii="Palatino Linotype" w:eastAsia="Palatino Linotype" w:hAnsi="Palatino Linotype" w:cs="Palatino Linotype"/>
        </w:rPr>
        <w:t>SAIMEX), del so</w:t>
      </w:r>
      <w:r w:rsidR="00B17044" w:rsidRPr="00B17044">
        <w:rPr>
          <w:rFonts w:ascii="Palatino Linotype" w:eastAsia="Palatino Linotype" w:hAnsi="Palatino Linotype" w:cs="Palatino Linotype"/>
        </w:rPr>
        <w:t>porte documental</w:t>
      </w:r>
      <w:r w:rsidRPr="00B17044">
        <w:rPr>
          <w:rFonts w:ascii="Palatino Linotype" w:eastAsia="Palatino Linotype" w:hAnsi="Palatino Linotype" w:cs="Palatino Linotype"/>
        </w:rPr>
        <w:t>, en versión pública, donde conste relativo a los servidores públicos de la administración municipal 2022- 2024 referidos en la solicitud,</w:t>
      </w:r>
      <w:r w:rsidR="00E21976"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rPr>
        <w:t xml:space="preserve">lo siguiente :   </w:t>
      </w:r>
    </w:p>
    <w:p w14:paraId="732D90A5" w14:textId="77777777" w:rsidR="00FC0900" w:rsidRPr="00B17044" w:rsidRDefault="00696652" w:rsidP="00E03B2B">
      <w:pPr>
        <w:numPr>
          <w:ilvl w:val="0"/>
          <w:numId w:val="3"/>
        </w:numPr>
        <w:ind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lastRenderedPageBreak/>
        <w:t xml:space="preserve">Vigentes al veinticuatro de mayo de dos mil veintidós: </w:t>
      </w:r>
    </w:p>
    <w:p w14:paraId="3612F371" w14:textId="77777777" w:rsidR="00FC0900" w:rsidRPr="00B17044" w:rsidRDefault="00696652" w:rsidP="00E03B2B">
      <w:pPr>
        <w:ind w:left="108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a) nombre, cargo, sueldo neto y bruto </w:t>
      </w:r>
      <w:r w:rsidR="00996E52" w:rsidRPr="00B17044">
        <w:rPr>
          <w:rFonts w:ascii="Palatino Linotype" w:eastAsia="Palatino Linotype" w:hAnsi="Palatino Linotype" w:cs="Palatino Linotype"/>
          <w:i/>
          <w:sz w:val="22"/>
          <w:szCs w:val="22"/>
        </w:rPr>
        <w:t xml:space="preserve">de los servidores públicos referidos en la solicitud. </w:t>
      </w:r>
    </w:p>
    <w:p w14:paraId="1012064D" w14:textId="77777777" w:rsidR="00FC0900" w:rsidRPr="00B17044" w:rsidRDefault="00696652" w:rsidP="00E03B2B">
      <w:pPr>
        <w:ind w:left="108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b) Información curricular</w:t>
      </w:r>
    </w:p>
    <w:p w14:paraId="1E88800E" w14:textId="77777777" w:rsidR="00FC0900" w:rsidRPr="00B17044" w:rsidRDefault="00696652" w:rsidP="00E03B2B">
      <w:pPr>
        <w:ind w:left="108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c) Documentos comprobatorios de su experiencia laboral </w:t>
      </w:r>
    </w:p>
    <w:p w14:paraId="75A568E2" w14:textId="77777777" w:rsidR="00FC0900" w:rsidRPr="00B17044" w:rsidRDefault="00696652" w:rsidP="00E03B2B">
      <w:pPr>
        <w:ind w:left="108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d)Documentos que acrediten la relación laboral con el Sujeto Obligado (nombramiento, contrato o Formato Único de Movimientos de Personal)</w:t>
      </w:r>
    </w:p>
    <w:p w14:paraId="65B59119" w14:textId="77777777" w:rsidR="00FC0900" w:rsidRPr="00B17044" w:rsidRDefault="00FC0900">
      <w:pPr>
        <w:ind w:left="1080" w:right="899"/>
        <w:jc w:val="both"/>
        <w:rPr>
          <w:rFonts w:ascii="Palatino Linotype" w:eastAsia="Palatino Linotype" w:hAnsi="Palatino Linotype" w:cs="Palatino Linotype"/>
          <w:i/>
          <w:sz w:val="22"/>
          <w:szCs w:val="22"/>
        </w:rPr>
      </w:pPr>
    </w:p>
    <w:p w14:paraId="018C549C" w14:textId="77777777" w:rsidR="00FC0900" w:rsidRPr="00B17044" w:rsidRDefault="00696652">
      <w:pPr>
        <w:numPr>
          <w:ilvl w:val="0"/>
          <w:numId w:val="2"/>
        </w:numPr>
        <w:ind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Vigente al veintitrés de mayo de dos mil veintidós:</w:t>
      </w:r>
    </w:p>
    <w:p w14:paraId="7F96A70E" w14:textId="77777777" w:rsidR="00FC0900" w:rsidRPr="00B17044" w:rsidRDefault="00696652">
      <w:pPr>
        <w:ind w:left="108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e) Perfil de Puestos </w:t>
      </w:r>
    </w:p>
    <w:p w14:paraId="5193C1BE" w14:textId="77777777" w:rsidR="00FC0900" w:rsidRPr="00B17044" w:rsidRDefault="00FC0900">
      <w:pPr>
        <w:ind w:left="1080" w:right="899"/>
        <w:jc w:val="both"/>
        <w:rPr>
          <w:rFonts w:ascii="Palatino Linotype" w:eastAsia="Palatino Linotype" w:hAnsi="Palatino Linotype" w:cs="Palatino Linotype"/>
          <w:i/>
          <w:sz w:val="22"/>
          <w:szCs w:val="22"/>
        </w:rPr>
      </w:pPr>
    </w:p>
    <w:p w14:paraId="2C7C6C91" w14:textId="77777777" w:rsidR="00FC0900" w:rsidRPr="00B17044" w:rsidRDefault="00696652">
      <w:pPr>
        <w:tabs>
          <w:tab w:val="left" w:pos="709"/>
        </w:tabs>
        <w:ind w:left="85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Debiendo notificar al </w:t>
      </w:r>
      <w:r w:rsidRPr="00B17044">
        <w:rPr>
          <w:rFonts w:ascii="Palatino Linotype" w:eastAsia="Palatino Linotype" w:hAnsi="Palatino Linotype" w:cs="Palatino Linotype"/>
          <w:b/>
          <w:i/>
          <w:sz w:val="22"/>
          <w:szCs w:val="22"/>
        </w:rPr>
        <w:t>RECURRENTE</w:t>
      </w:r>
      <w:r w:rsidRPr="00B17044">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C5DC8A6" w14:textId="77777777" w:rsidR="00FC0900" w:rsidRPr="00B17044" w:rsidRDefault="00FC0900">
      <w:pPr>
        <w:tabs>
          <w:tab w:val="left" w:pos="709"/>
        </w:tabs>
        <w:ind w:left="850" w:right="899"/>
        <w:jc w:val="both"/>
        <w:rPr>
          <w:rFonts w:ascii="Palatino Linotype" w:eastAsia="Palatino Linotype" w:hAnsi="Palatino Linotype" w:cs="Palatino Linotype"/>
          <w:i/>
          <w:sz w:val="22"/>
          <w:szCs w:val="22"/>
        </w:rPr>
      </w:pPr>
    </w:p>
    <w:p w14:paraId="74E75734" w14:textId="77777777" w:rsidR="00FC0900" w:rsidRPr="00B17044" w:rsidRDefault="00696652">
      <w:pPr>
        <w:tabs>
          <w:tab w:val="left" w:pos="709"/>
        </w:tabs>
        <w:ind w:left="85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 xml:space="preserve">En caso de existir un impedimento justificado para la entrega vía SAIMEX, el </w:t>
      </w:r>
      <w:r w:rsidRPr="00B17044">
        <w:rPr>
          <w:rFonts w:ascii="Palatino Linotype" w:eastAsia="Palatino Linotype" w:hAnsi="Palatino Linotype" w:cs="Palatino Linotype"/>
          <w:b/>
          <w:i/>
          <w:sz w:val="22"/>
          <w:szCs w:val="22"/>
        </w:rPr>
        <w:t>SUJETO OBLIGADO</w:t>
      </w:r>
      <w:r w:rsidRPr="00B17044">
        <w:rPr>
          <w:rFonts w:ascii="Palatino Linotype" w:eastAsia="Palatino Linotype" w:hAnsi="Palatino Linotype" w:cs="Palatino Linotype"/>
          <w:i/>
          <w:sz w:val="22"/>
          <w:szCs w:val="22"/>
        </w:rPr>
        <w:t xml:space="preserve"> deberá privilegiar la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14:paraId="6A0949FE" w14:textId="77777777" w:rsidR="00FC0900" w:rsidRPr="00B17044" w:rsidRDefault="00FC0900">
      <w:pPr>
        <w:tabs>
          <w:tab w:val="left" w:pos="709"/>
        </w:tabs>
        <w:ind w:left="850" w:right="899"/>
        <w:jc w:val="both"/>
        <w:rPr>
          <w:rFonts w:ascii="Palatino Linotype" w:eastAsia="Palatino Linotype" w:hAnsi="Palatino Linotype" w:cs="Palatino Linotype"/>
          <w:i/>
          <w:sz w:val="22"/>
          <w:szCs w:val="22"/>
        </w:rPr>
      </w:pPr>
    </w:p>
    <w:p w14:paraId="016888E4" w14:textId="77777777" w:rsidR="00FC0900" w:rsidRPr="00B17044" w:rsidRDefault="00696652">
      <w:pPr>
        <w:tabs>
          <w:tab w:val="left" w:pos="709"/>
        </w:tabs>
        <w:ind w:left="850" w:right="899"/>
        <w:jc w:val="both"/>
        <w:rPr>
          <w:rFonts w:ascii="Palatino Linotype" w:eastAsia="Palatino Linotype" w:hAnsi="Palatino Linotype" w:cs="Palatino Linotype"/>
          <w:i/>
          <w:sz w:val="22"/>
          <w:szCs w:val="22"/>
        </w:rPr>
      </w:pPr>
      <w:r w:rsidRPr="00B17044">
        <w:rPr>
          <w:rFonts w:ascii="Palatino Linotype" w:eastAsia="Palatino Linotype" w:hAnsi="Palatino Linotype" w:cs="Palatino Linotype"/>
          <w:i/>
          <w:sz w:val="22"/>
          <w:szCs w:val="22"/>
        </w:rPr>
        <w:t>En el supuesto de que el Recurrente proporcione el dispositivo electrónico y acuda por la información a la Unidad de Transparencia, la entrega de la información, será sin costo.</w:t>
      </w:r>
    </w:p>
    <w:p w14:paraId="225850B9" w14:textId="77777777" w:rsidR="00FC0900" w:rsidRPr="00B17044" w:rsidRDefault="00FC0900">
      <w:pPr>
        <w:tabs>
          <w:tab w:val="left" w:pos="709"/>
        </w:tabs>
        <w:ind w:left="850" w:right="899"/>
        <w:jc w:val="both"/>
        <w:rPr>
          <w:rFonts w:ascii="Palatino Linotype" w:eastAsia="Palatino Linotype" w:hAnsi="Palatino Linotype" w:cs="Palatino Linotype"/>
          <w:i/>
          <w:sz w:val="22"/>
          <w:szCs w:val="22"/>
        </w:rPr>
      </w:pPr>
    </w:p>
    <w:p w14:paraId="311D7E09" w14:textId="77777777" w:rsidR="00FC0900" w:rsidRPr="00B17044" w:rsidRDefault="00FC0900">
      <w:pPr>
        <w:spacing w:line="360" w:lineRule="auto"/>
        <w:jc w:val="both"/>
        <w:rPr>
          <w:rFonts w:ascii="Palatino Linotype" w:eastAsia="Palatino Linotype" w:hAnsi="Palatino Linotype" w:cs="Palatino Linotype"/>
          <w:i/>
          <w:sz w:val="22"/>
          <w:szCs w:val="22"/>
        </w:rPr>
      </w:pPr>
    </w:p>
    <w:p w14:paraId="5378E06B"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b/>
        </w:rPr>
        <w:t>TERCERO.</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b/>
        </w:rPr>
        <w:t xml:space="preserve">NOTIFÍQUESE </w:t>
      </w:r>
      <w:r w:rsidRPr="00B17044">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17044">
        <w:rPr>
          <w:rFonts w:ascii="Palatino Linotype" w:eastAsia="Palatino Linotype" w:hAnsi="Palatino Linotype" w:cs="Palatino Linotype"/>
        </w:rPr>
        <w:lastRenderedPageBreak/>
        <w:t>plazo de diez días hábiles, e informe a este Instituto en un plazo de tres días hábiles siguientes sobre el cumplimiento dado a la presente.</w:t>
      </w:r>
    </w:p>
    <w:p w14:paraId="5F465374" w14:textId="77777777" w:rsidR="00FC0900" w:rsidRPr="00B17044" w:rsidRDefault="00FC0900">
      <w:pPr>
        <w:spacing w:line="360" w:lineRule="auto"/>
        <w:jc w:val="both"/>
        <w:rPr>
          <w:rFonts w:ascii="Palatino Linotype" w:eastAsia="Palatino Linotype" w:hAnsi="Palatino Linotype" w:cs="Palatino Linotype"/>
          <w:sz w:val="22"/>
          <w:szCs w:val="22"/>
        </w:rPr>
      </w:pPr>
    </w:p>
    <w:p w14:paraId="27FC84ED"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b/>
        </w:rPr>
        <w:t xml:space="preserve">CUARTO. </w:t>
      </w:r>
      <w:r w:rsidRPr="00B1704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842E46" w14:textId="77777777" w:rsidR="00FC0900" w:rsidRPr="00B17044" w:rsidRDefault="00FC0900">
      <w:pPr>
        <w:spacing w:line="360" w:lineRule="auto"/>
        <w:jc w:val="both"/>
        <w:rPr>
          <w:rFonts w:ascii="Palatino Linotype" w:eastAsia="Palatino Linotype" w:hAnsi="Palatino Linotype" w:cs="Palatino Linotype"/>
          <w:sz w:val="22"/>
          <w:szCs w:val="22"/>
        </w:rPr>
      </w:pPr>
    </w:p>
    <w:p w14:paraId="72EFF36A" w14:textId="77777777" w:rsidR="00FC0900" w:rsidRPr="00B17044" w:rsidRDefault="00696652">
      <w:pPr>
        <w:spacing w:line="360" w:lineRule="auto"/>
        <w:jc w:val="both"/>
        <w:rPr>
          <w:rFonts w:ascii="Calibri" w:eastAsia="Calibri" w:hAnsi="Calibri" w:cs="Calibri"/>
        </w:rPr>
      </w:pPr>
      <w:r w:rsidRPr="00B17044">
        <w:rPr>
          <w:rFonts w:ascii="Palatino Linotype" w:eastAsia="Palatino Linotype" w:hAnsi="Palatino Linotype" w:cs="Palatino Linotype"/>
          <w:b/>
        </w:rPr>
        <w:t>QUINTO.</w:t>
      </w:r>
      <w:r w:rsidRPr="00B17044">
        <w:rPr>
          <w:rFonts w:ascii="Palatino Linotype" w:eastAsia="Palatino Linotype" w:hAnsi="Palatino Linotype" w:cs="Palatino Linotype"/>
        </w:rPr>
        <w:t xml:space="preserve"> </w:t>
      </w:r>
      <w:r w:rsidRPr="00B17044">
        <w:rPr>
          <w:rFonts w:ascii="Palatino Linotype" w:eastAsia="Palatino Linotype" w:hAnsi="Palatino Linotype" w:cs="Palatino Linotype"/>
          <w:b/>
        </w:rPr>
        <w:t>NOTIFÍQUESE</w:t>
      </w:r>
      <w:r w:rsidRPr="00B17044">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A5A2E5A" w14:textId="77777777" w:rsidR="00FC0900" w:rsidRPr="00B17044" w:rsidRDefault="00FC0900">
      <w:pPr>
        <w:spacing w:line="360" w:lineRule="auto"/>
        <w:jc w:val="both"/>
        <w:rPr>
          <w:rFonts w:ascii="Palatino Linotype" w:eastAsia="Palatino Linotype" w:hAnsi="Palatino Linotype" w:cs="Palatino Linotype"/>
        </w:rPr>
      </w:pPr>
    </w:p>
    <w:p w14:paraId="70B134D8" w14:textId="77777777" w:rsidR="00FC0900" w:rsidRPr="00B17044" w:rsidRDefault="00696652">
      <w:pPr>
        <w:spacing w:line="360" w:lineRule="auto"/>
        <w:jc w:val="both"/>
        <w:rPr>
          <w:rFonts w:ascii="Palatino Linotype" w:eastAsia="Palatino Linotype" w:hAnsi="Palatino Linotype" w:cs="Palatino Linotype"/>
        </w:rPr>
      </w:pPr>
      <w:r w:rsidRPr="00B1704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A154D">
        <w:rPr>
          <w:rFonts w:ascii="Palatino Linotype" w:eastAsia="Palatino Linotype" w:hAnsi="Palatino Linotype" w:cs="Palatino Linotype"/>
          <w:lang w:val="es-419"/>
        </w:rPr>
        <w:t xml:space="preserve"> (EMITE VOTO PARTICULAR)</w:t>
      </w:r>
      <w:r w:rsidRPr="00B17044">
        <w:rPr>
          <w:rFonts w:ascii="Palatino Linotype" w:eastAsia="Palatino Linotype" w:hAnsi="Palatino Linotype" w:cs="Palatino Linotype"/>
        </w:rPr>
        <w:t xml:space="preserve"> Y GUADALUPE RAMÍREZ PEÑA; EN LA CUADRAGÉSIMA SESIÓN ORDINARIA CELEBRADA EL </w:t>
      </w:r>
      <w:r w:rsidRPr="00B17044">
        <w:rPr>
          <w:rFonts w:ascii="Palatino Linotype" w:eastAsia="Palatino Linotype" w:hAnsi="Palatino Linotype" w:cs="Palatino Linotype"/>
        </w:rPr>
        <w:lastRenderedPageBreak/>
        <w:t>NUEVE DE NOVIEMBRE DE DOS MIL VEINTIDÓS, ANTE EL SECRETARIO TÉCNICO DEL PLENO, ALEXIS TAPIA RAMÍREZ.</w:t>
      </w:r>
    </w:p>
    <w:p w14:paraId="59452FF0" w14:textId="77777777" w:rsidR="00FC0900" w:rsidRDefault="00696652">
      <w:pPr>
        <w:spacing w:line="360" w:lineRule="auto"/>
        <w:jc w:val="both"/>
        <w:rPr>
          <w:rFonts w:ascii="Palatino Linotype" w:eastAsia="Palatino Linotype" w:hAnsi="Palatino Linotype" w:cs="Palatino Linotype"/>
          <w:sz w:val="14"/>
          <w:szCs w:val="14"/>
        </w:rPr>
      </w:pPr>
      <w:r w:rsidRPr="00B17044">
        <w:rPr>
          <w:rFonts w:ascii="Palatino Linotype" w:eastAsia="Palatino Linotype" w:hAnsi="Palatino Linotype" w:cs="Palatino Linotype"/>
          <w:sz w:val="14"/>
          <w:szCs w:val="14"/>
        </w:rPr>
        <w:t>SCMM/BLA/DEMF/PMRE</w:t>
      </w:r>
    </w:p>
    <w:p w14:paraId="4E4CF290" w14:textId="77777777" w:rsidR="00FC0900" w:rsidRDefault="00696652">
      <w:pPr>
        <w:rPr>
          <w:rFonts w:ascii="Palatino Linotype" w:eastAsia="Palatino Linotype" w:hAnsi="Palatino Linotype" w:cs="Palatino Linotype"/>
        </w:rPr>
      </w:pPr>
      <w:r>
        <w:br w:type="page"/>
      </w:r>
    </w:p>
    <w:p w14:paraId="7902591F" w14:textId="77777777" w:rsidR="00FC0900" w:rsidRDefault="00FC0900">
      <w:pPr>
        <w:spacing w:line="360" w:lineRule="auto"/>
        <w:jc w:val="both"/>
        <w:rPr>
          <w:rFonts w:ascii="Palatino Linotype" w:eastAsia="Palatino Linotype" w:hAnsi="Palatino Linotype" w:cs="Palatino Linotype"/>
        </w:rPr>
      </w:pPr>
    </w:p>
    <w:p w14:paraId="6A220028" w14:textId="77777777" w:rsidR="00FC0900" w:rsidRDefault="00FC0900">
      <w:pPr>
        <w:spacing w:line="360" w:lineRule="auto"/>
        <w:jc w:val="both"/>
        <w:rPr>
          <w:rFonts w:ascii="Palatino Linotype" w:eastAsia="Palatino Linotype" w:hAnsi="Palatino Linotype" w:cs="Palatino Linotype"/>
        </w:rPr>
      </w:pPr>
    </w:p>
    <w:p w14:paraId="356CEF26" w14:textId="77777777" w:rsidR="00FC0900" w:rsidRDefault="00FC0900">
      <w:pPr>
        <w:spacing w:line="360" w:lineRule="auto"/>
        <w:jc w:val="both"/>
        <w:rPr>
          <w:rFonts w:ascii="Palatino Linotype" w:eastAsia="Palatino Linotype" w:hAnsi="Palatino Linotype" w:cs="Palatino Linotype"/>
        </w:rPr>
      </w:pPr>
    </w:p>
    <w:p w14:paraId="2F1F5EDF" w14:textId="77777777" w:rsidR="00FC0900" w:rsidRDefault="00FC0900">
      <w:pPr>
        <w:spacing w:line="360" w:lineRule="auto"/>
        <w:jc w:val="both"/>
        <w:rPr>
          <w:rFonts w:ascii="Palatino Linotype" w:eastAsia="Palatino Linotype" w:hAnsi="Palatino Linotype" w:cs="Palatino Linotype"/>
        </w:rPr>
      </w:pPr>
    </w:p>
    <w:p w14:paraId="61875139" w14:textId="77777777" w:rsidR="00FC0900" w:rsidRDefault="00FC0900">
      <w:pPr>
        <w:spacing w:line="360" w:lineRule="auto"/>
        <w:jc w:val="both"/>
        <w:rPr>
          <w:rFonts w:ascii="Palatino Linotype" w:eastAsia="Palatino Linotype" w:hAnsi="Palatino Linotype" w:cs="Palatino Linotype"/>
        </w:rPr>
      </w:pPr>
    </w:p>
    <w:p w14:paraId="1F43EB19" w14:textId="77777777" w:rsidR="00FC0900" w:rsidRDefault="00FC0900">
      <w:pPr>
        <w:spacing w:line="360" w:lineRule="auto"/>
        <w:jc w:val="both"/>
        <w:rPr>
          <w:rFonts w:ascii="Palatino Linotype" w:eastAsia="Palatino Linotype" w:hAnsi="Palatino Linotype" w:cs="Palatino Linotype"/>
        </w:rPr>
      </w:pPr>
    </w:p>
    <w:p w14:paraId="0B9EED6F" w14:textId="77777777" w:rsidR="00FC0900" w:rsidRDefault="00FC0900">
      <w:pPr>
        <w:spacing w:line="360" w:lineRule="auto"/>
        <w:jc w:val="both"/>
        <w:rPr>
          <w:rFonts w:ascii="Palatino Linotype" w:eastAsia="Palatino Linotype" w:hAnsi="Palatino Linotype" w:cs="Palatino Linotype"/>
        </w:rPr>
      </w:pPr>
    </w:p>
    <w:p w14:paraId="6B077C82" w14:textId="77777777" w:rsidR="00FC0900" w:rsidRDefault="00FC0900">
      <w:pPr>
        <w:spacing w:line="360" w:lineRule="auto"/>
        <w:jc w:val="both"/>
        <w:rPr>
          <w:rFonts w:ascii="Palatino Linotype" w:eastAsia="Palatino Linotype" w:hAnsi="Palatino Linotype" w:cs="Palatino Linotype"/>
        </w:rPr>
      </w:pPr>
    </w:p>
    <w:p w14:paraId="1940887B" w14:textId="77777777" w:rsidR="00FC0900" w:rsidRDefault="00FC0900">
      <w:pPr>
        <w:spacing w:line="360" w:lineRule="auto"/>
        <w:jc w:val="both"/>
        <w:rPr>
          <w:rFonts w:ascii="Palatino Linotype" w:eastAsia="Palatino Linotype" w:hAnsi="Palatino Linotype" w:cs="Palatino Linotype"/>
        </w:rPr>
      </w:pPr>
      <w:bookmarkStart w:id="7" w:name="_heading=h.30j0zll" w:colFirst="0" w:colLast="0"/>
      <w:bookmarkEnd w:id="7"/>
    </w:p>
    <w:p w14:paraId="5BC096E5" w14:textId="77777777" w:rsidR="00FC0900" w:rsidRDefault="00FC0900">
      <w:pPr>
        <w:spacing w:line="360" w:lineRule="auto"/>
        <w:jc w:val="both"/>
        <w:rPr>
          <w:rFonts w:ascii="Palatino Linotype" w:eastAsia="Palatino Linotype" w:hAnsi="Palatino Linotype" w:cs="Palatino Linotype"/>
        </w:rPr>
      </w:pPr>
    </w:p>
    <w:p w14:paraId="0669C296" w14:textId="77777777" w:rsidR="00FC0900" w:rsidRDefault="00FC0900">
      <w:pPr>
        <w:spacing w:line="360" w:lineRule="auto"/>
        <w:jc w:val="both"/>
        <w:rPr>
          <w:rFonts w:ascii="Palatino Linotype" w:eastAsia="Palatino Linotype" w:hAnsi="Palatino Linotype" w:cs="Palatino Linotype"/>
        </w:rPr>
      </w:pPr>
    </w:p>
    <w:p w14:paraId="225A9D7B" w14:textId="77777777" w:rsidR="00FC0900" w:rsidRDefault="00FC0900">
      <w:pPr>
        <w:spacing w:line="360" w:lineRule="auto"/>
        <w:jc w:val="both"/>
        <w:rPr>
          <w:rFonts w:ascii="Palatino Linotype" w:eastAsia="Palatino Linotype" w:hAnsi="Palatino Linotype" w:cs="Palatino Linotype"/>
        </w:rPr>
      </w:pPr>
    </w:p>
    <w:p w14:paraId="095838E0" w14:textId="77777777" w:rsidR="00FC0900" w:rsidRDefault="00FC0900">
      <w:pPr>
        <w:spacing w:line="360" w:lineRule="auto"/>
        <w:jc w:val="both"/>
        <w:rPr>
          <w:rFonts w:ascii="Palatino Linotype" w:eastAsia="Palatino Linotype" w:hAnsi="Palatino Linotype" w:cs="Palatino Linotype"/>
        </w:rPr>
      </w:pPr>
    </w:p>
    <w:p w14:paraId="188A9DE7" w14:textId="77777777" w:rsidR="00FC0900" w:rsidRDefault="00FC0900">
      <w:pPr>
        <w:spacing w:line="360" w:lineRule="auto"/>
        <w:jc w:val="both"/>
        <w:rPr>
          <w:rFonts w:ascii="Palatino Linotype" w:eastAsia="Palatino Linotype" w:hAnsi="Palatino Linotype" w:cs="Palatino Linotype"/>
        </w:rPr>
      </w:pPr>
    </w:p>
    <w:p w14:paraId="18D8670F" w14:textId="77777777" w:rsidR="00FC0900" w:rsidRDefault="00FC0900">
      <w:pPr>
        <w:spacing w:line="360" w:lineRule="auto"/>
        <w:jc w:val="both"/>
        <w:rPr>
          <w:rFonts w:ascii="Palatino Linotype" w:eastAsia="Palatino Linotype" w:hAnsi="Palatino Linotype" w:cs="Palatino Linotype"/>
        </w:rPr>
      </w:pPr>
    </w:p>
    <w:p w14:paraId="40F67082" w14:textId="77777777" w:rsidR="00FC0900" w:rsidRDefault="00FC0900">
      <w:pPr>
        <w:spacing w:line="360" w:lineRule="auto"/>
        <w:jc w:val="both"/>
        <w:rPr>
          <w:rFonts w:ascii="Palatino Linotype" w:eastAsia="Palatino Linotype" w:hAnsi="Palatino Linotype" w:cs="Palatino Linotype"/>
        </w:rPr>
      </w:pPr>
    </w:p>
    <w:p w14:paraId="4946FEB2" w14:textId="77777777" w:rsidR="00FC0900" w:rsidRDefault="00FC0900">
      <w:pPr>
        <w:spacing w:line="360" w:lineRule="auto"/>
        <w:jc w:val="both"/>
        <w:rPr>
          <w:rFonts w:ascii="Palatino Linotype" w:eastAsia="Palatino Linotype" w:hAnsi="Palatino Linotype" w:cs="Palatino Linotype"/>
        </w:rPr>
      </w:pPr>
    </w:p>
    <w:p w14:paraId="43A5D9D7" w14:textId="77777777" w:rsidR="00FC0900" w:rsidRDefault="00FC0900">
      <w:pPr>
        <w:spacing w:line="360" w:lineRule="auto"/>
        <w:jc w:val="both"/>
        <w:rPr>
          <w:rFonts w:ascii="Palatino Linotype" w:eastAsia="Palatino Linotype" w:hAnsi="Palatino Linotype" w:cs="Palatino Linotype"/>
        </w:rPr>
      </w:pPr>
    </w:p>
    <w:sectPr w:rsidR="00FC0900">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2BC31" w14:textId="77777777" w:rsidR="00E949E2" w:rsidRDefault="00E949E2">
      <w:r>
        <w:separator/>
      </w:r>
    </w:p>
  </w:endnote>
  <w:endnote w:type="continuationSeparator" w:id="0">
    <w:p w14:paraId="3570B5A0" w14:textId="77777777" w:rsidR="00E949E2" w:rsidRDefault="00E9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BC74" w14:textId="77777777" w:rsidR="00FC0900" w:rsidRDefault="006966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330E7">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330E7">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9F270" w14:textId="77777777" w:rsidR="00FC0900" w:rsidRDefault="0069665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330E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330E7">
      <w:rPr>
        <w:rFonts w:ascii="Palatino Linotype" w:eastAsia="Palatino Linotype" w:hAnsi="Palatino Linotype" w:cs="Palatino Linotype"/>
        <w:noProof/>
        <w:color w:val="000000"/>
        <w:sz w:val="22"/>
        <w:szCs w:val="22"/>
      </w:rPr>
      <w:t>59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DDE12" w14:textId="77777777" w:rsidR="00E949E2" w:rsidRDefault="00E949E2">
      <w:r>
        <w:separator/>
      </w:r>
    </w:p>
  </w:footnote>
  <w:footnote w:type="continuationSeparator" w:id="0">
    <w:p w14:paraId="0B7B45A2" w14:textId="77777777" w:rsidR="00E949E2" w:rsidRDefault="00E94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ECA25" w14:textId="77777777" w:rsidR="00FC0900" w:rsidRDefault="00E949E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06E4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58CD" w14:textId="77777777" w:rsidR="00FC0900" w:rsidRDefault="00E949E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1DBB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3"/>
      <w:tblW w:w="9534" w:type="dxa"/>
      <w:tblInd w:w="-257" w:type="dxa"/>
      <w:tblLayout w:type="fixed"/>
      <w:tblLook w:val="0400" w:firstRow="0" w:lastRow="0" w:firstColumn="0" w:lastColumn="0" w:noHBand="0" w:noVBand="1"/>
    </w:tblPr>
    <w:tblGrid>
      <w:gridCol w:w="3261"/>
      <w:gridCol w:w="2551"/>
      <w:gridCol w:w="3722"/>
    </w:tblGrid>
    <w:tr w:rsidR="00FC0900" w14:paraId="31BFFEAB" w14:textId="77777777">
      <w:tc>
        <w:tcPr>
          <w:tcW w:w="3261" w:type="dxa"/>
          <w:vMerge w:val="restart"/>
        </w:tcPr>
        <w:p w14:paraId="4FA2AD9A"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163E3630" wp14:editId="6BB193B2">
                <wp:extent cx="1692162" cy="852673"/>
                <wp:effectExtent l="0" t="0" r="0" b="0"/>
                <wp:docPr id="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EEAD3D3"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1CD0831" w14:textId="77777777" w:rsidR="00FC0900" w:rsidRDefault="00696652">
          <w:pPr>
            <w:jc w:val="both"/>
            <w:rPr>
              <w:rFonts w:ascii="Palatino Linotype" w:eastAsia="Palatino Linotype" w:hAnsi="Palatino Linotype" w:cs="Palatino Linotype"/>
              <w:b/>
            </w:rPr>
          </w:pPr>
          <w:r>
            <w:rPr>
              <w:rFonts w:ascii="Palatino Linotype" w:eastAsia="Palatino Linotype" w:hAnsi="Palatino Linotype" w:cs="Palatino Linotype"/>
              <w:b/>
            </w:rPr>
            <w:t>12322/INFOEM/IP/RR/2022</w:t>
          </w:r>
        </w:p>
      </w:tc>
    </w:tr>
    <w:tr w:rsidR="00FC0900" w14:paraId="5B3C5942" w14:textId="77777777">
      <w:tc>
        <w:tcPr>
          <w:tcW w:w="3261" w:type="dxa"/>
          <w:vMerge/>
        </w:tcPr>
        <w:p w14:paraId="2D99A8D0" w14:textId="77777777" w:rsidR="00FC0900" w:rsidRDefault="00FC09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EDF100"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5438B1B" w14:textId="77777777" w:rsidR="00FC0900" w:rsidRDefault="0069665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Melchor Ocampo.</w:t>
          </w:r>
        </w:p>
      </w:tc>
    </w:tr>
    <w:tr w:rsidR="00FC0900" w14:paraId="71616422" w14:textId="77777777">
      <w:trPr>
        <w:trHeight w:val="790"/>
      </w:trPr>
      <w:tc>
        <w:tcPr>
          <w:tcW w:w="3261" w:type="dxa"/>
          <w:vMerge/>
        </w:tcPr>
        <w:p w14:paraId="353919A3" w14:textId="77777777" w:rsidR="00FC0900" w:rsidRDefault="00FC09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A9941D4"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47F4406" w14:textId="77777777" w:rsidR="00FC0900" w:rsidRDefault="0069665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04B50E8" w14:textId="77777777" w:rsidR="00FC0900" w:rsidRDefault="00FC090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741E0" w14:textId="77777777" w:rsidR="00FC0900" w:rsidRDefault="00E949E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67BF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2"/>
      <w:tblW w:w="9900" w:type="dxa"/>
      <w:tblInd w:w="-948" w:type="dxa"/>
      <w:tblLayout w:type="fixed"/>
      <w:tblLook w:val="0400" w:firstRow="0" w:lastRow="0" w:firstColumn="0" w:lastColumn="0" w:noHBand="0" w:noVBand="1"/>
    </w:tblPr>
    <w:tblGrid>
      <w:gridCol w:w="3805"/>
      <w:gridCol w:w="3000"/>
      <w:gridCol w:w="3095"/>
    </w:tblGrid>
    <w:tr w:rsidR="00FC0900" w14:paraId="68A7F840" w14:textId="77777777">
      <w:tc>
        <w:tcPr>
          <w:tcW w:w="3805" w:type="dxa"/>
          <w:vMerge w:val="restart"/>
          <w:shd w:val="clear" w:color="auto" w:fill="auto"/>
        </w:tcPr>
        <w:p w14:paraId="4F46FABA" w14:textId="77777777" w:rsidR="00FC0900" w:rsidRDefault="0069665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2E0DC043" wp14:editId="60958754">
                <wp:extent cx="1692162" cy="852673"/>
                <wp:effectExtent l="0" t="0" r="0" b="0"/>
                <wp:docPr id="4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10D8EEE"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03126BD" w14:textId="77777777" w:rsidR="00FC0900" w:rsidRDefault="00CA5B2B">
          <w:pPr>
            <w:jc w:val="both"/>
            <w:rPr>
              <w:rFonts w:ascii="Palatino Linotype" w:eastAsia="Palatino Linotype" w:hAnsi="Palatino Linotype" w:cs="Palatino Linotype"/>
              <w:b/>
            </w:rPr>
          </w:pPr>
          <w:r>
            <w:rPr>
              <w:rFonts w:ascii="Palatino Linotype" w:eastAsia="Palatino Linotype" w:hAnsi="Palatino Linotype" w:cs="Palatino Linotype"/>
              <w:b/>
            </w:rPr>
            <w:t>12322/INFOEM/IP/RR/2022</w:t>
          </w:r>
        </w:p>
      </w:tc>
    </w:tr>
    <w:tr w:rsidR="00FC0900" w14:paraId="70681446" w14:textId="77777777">
      <w:tc>
        <w:tcPr>
          <w:tcW w:w="3805" w:type="dxa"/>
          <w:vMerge/>
          <w:shd w:val="clear" w:color="auto" w:fill="auto"/>
        </w:tcPr>
        <w:p w14:paraId="0EEB960E" w14:textId="77777777" w:rsidR="00FC0900" w:rsidRDefault="00FC09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EE852A7"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1B7BA05" w14:textId="66A30CA8" w:rsidR="00FC0900" w:rsidRDefault="005330E7">
          <w:pPr>
            <w:jc w:val="both"/>
            <w:rPr>
              <w:rFonts w:ascii="Palatino Linotype" w:eastAsia="Palatino Linotype" w:hAnsi="Palatino Linotype" w:cs="Palatino Linotype"/>
              <w:b/>
            </w:rPr>
          </w:pPr>
          <w:r>
            <w:rPr>
              <w:rFonts w:ascii="Palatino Linotype" w:eastAsia="Palatino Linotype" w:hAnsi="Palatino Linotype" w:cs="Palatino Linotype"/>
              <w:b/>
            </w:rPr>
            <w:t>XXXXXXX XXXXXXXX X</w:t>
          </w:r>
          <w:r w:rsidR="00696652">
            <w:rPr>
              <w:rFonts w:ascii="Palatino Linotype" w:eastAsia="Palatino Linotype" w:hAnsi="Palatino Linotype" w:cs="Palatino Linotype"/>
              <w:b/>
            </w:rPr>
            <w:t xml:space="preserve"> </w:t>
          </w:r>
        </w:p>
      </w:tc>
    </w:tr>
    <w:tr w:rsidR="00FC0900" w14:paraId="2076E3A9" w14:textId="77777777">
      <w:trPr>
        <w:trHeight w:val="228"/>
      </w:trPr>
      <w:tc>
        <w:tcPr>
          <w:tcW w:w="3805" w:type="dxa"/>
          <w:vMerge/>
          <w:shd w:val="clear" w:color="auto" w:fill="auto"/>
        </w:tcPr>
        <w:p w14:paraId="63DEC60D" w14:textId="77777777" w:rsidR="00FC0900" w:rsidRDefault="00FC09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460CE0A"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0CD565C" w14:textId="77777777" w:rsidR="00FC0900" w:rsidRDefault="0069665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Melchor Ocampo</w:t>
          </w:r>
        </w:p>
      </w:tc>
    </w:tr>
    <w:tr w:rsidR="00FC0900" w14:paraId="5BFF1734" w14:textId="77777777">
      <w:tc>
        <w:tcPr>
          <w:tcW w:w="3805" w:type="dxa"/>
          <w:vMerge/>
          <w:shd w:val="clear" w:color="auto" w:fill="auto"/>
        </w:tcPr>
        <w:p w14:paraId="0C0894E0" w14:textId="77777777" w:rsidR="00FC0900" w:rsidRDefault="00FC090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0441DFB" w14:textId="77777777" w:rsidR="00FC0900" w:rsidRDefault="0069665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03F0067" w14:textId="77777777" w:rsidR="00FC0900" w:rsidRDefault="0069665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42A1109" w14:textId="77777777" w:rsidR="00FC0900" w:rsidRDefault="00FC090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3438F"/>
    <w:multiLevelType w:val="multilevel"/>
    <w:tmpl w:val="F6D4D1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717782"/>
    <w:multiLevelType w:val="multilevel"/>
    <w:tmpl w:val="FD00A7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DC71BF4"/>
    <w:multiLevelType w:val="multilevel"/>
    <w:tmpl w:val="218435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00"/>
    <w:rsid w:val="00080A8A"/>
    <w:rsid w:val="003A3F29"/>
    <w:rsid w:val="003D555B"/>
    <w:rsid w:val="00531E76"/>
    <w:rsid w:val="005330E7"/>
    <w:rsid w:val="005667A2"/>
    <w:rsid w:val="005A154D"/>
    <w:rsid w:val="00696652"/>
    <w:rsid w:val="00940862"/>
    <w:rsid w:val="0096056F"/>
    <w:rsid w:val="00996E52"/>
    <w:rsid w:val="00B17044"/>
    <w:rsid w:val="00CA5B2B"/>
    <w:rsid w:val="00D06176"/>
    <w:rsid w:val="00E03B2B"/>
    <w:rsid w:val="00E21976"/>
    <w:rsid w:val="00E949E2"/>
    <w:rsid w:val="00FC0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DC7CA"/>
  <w15:docId w15:val="{1E25A3C7-430B-4120-B400-1BB91C8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0"/>
    <w:tblPr>
      <w:tblStyleRowBandSize w:val="1"/>
      <w:tblStyleColBandSize w:val="1"/>
      <w:tblCellMar>
        <w:top w:w="100" w:type="dxa"/>
        <w:left w:w="100" w:type="dxa"/>
        <w:bottom w:w="100" w:type="dxa"/>
        <w:right w:w="100" w:type="dxa"/>
      </w:tblCellMar>
    </w:tblPr>
  </w:style>
  <w:style w:type="table" w:customStyle="1" w:styleId="a0">
    <w:basedOn w:val="TableNormalfff0"/>
    <w:tblPr>
      <w:tblStyleRowBandSize w:val="1"/>
      <w:tblStyleColBandSize w:val="1"/>
      <w:tblCellMar>
        <w:left w:w="115" w:type="dxa"/>
        <w:right w:w="115" w:type="dxa"/>
      </w:tblCellMar>
    </w:tblPr>
  </w:style>
  <w:style w:type="table" w:customStyle="1" w:styleId="a1">
    <w:basedOn w:val="TableNormalfff0"/>
    <w:tblPr>
      <w:tblStyleRowBandSize w:val="1"/>
      <w:tblStyleColBandSize w:val="1"/>
      <w:tblCellMar>
        <w:left w:w="115" w:type="dxa"/>
        <w:right w:w="115" w:type="dxa"/>
      </w:tblCellMar>
    </w:tblPr>
  </w:style>
  <w:style w:type="table" w:customStyle="1" w:styleId="a2">
    <w:basedOn w:val="TableNormalfff0"/>
    <w:tblPr>
      <w:tblStyleRowBandSize w:val="1"/>
      <w:tblStyleColBandSize w:val="1"/>
      <w:tblCellMar>
        <w:left w:w="115" w:type="dxa"/>
        <w:right w:w="115" w:type="dxa"/>
      </w:tblCellMar>
    </w:tblPr>
  </w:style>
  <w:style w:type="table" w:customStyle="1" w:styleId="a3">
    <w:basedOn w:val="TableNormalfff0"/>
    <w:tblPr>
      <w:tblStyleRowBandSize w:val="1"/>
      <w:tblStyleColBandSize w:val="1"/>
      <w:tblCellMar>
        <w:left w:w="115" w:type="dxa"/>
        <w:right w:w="115" w:type="dxa"/>
      </w:tblCellMar>
    </w:tblPr>
  </w:style>
  <w:style w:type="table" w:customStyle="1" w:styleId="a4">
    <w:basedOn w:val="TableNormalfff0"/>
    <w:tblPr>
      <w:tblStyleRowBandSize w:val="1"/>
      <w:tblStyleColBandSize w:val="1"/>
      <w:tblCellMar>
        <w:left w:w="115" w:type="dxa"/>
        <w:right w:w="115" w:type="dxa"/>
      </w:tblCellMar>
    </w:tblPr>
  </w:style>
  <w:style w:type="table" w:customStyle="1" w:styleId="a5">
    <w:basedOn w:val="TableNormalfff0"/>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0"/>
    <w:tblPr>
      <w:tblStyleRowBandSize w:val="1"/>
      <w:tblStyleColBandSize w:val="1"/>
      <w:tblCellMar>
        <w:left w:w="115" w:type="dxa"/>
        <w:right w:w="115" w:type="dxa"/>
      </w:tblCellMar>
    </w:tblPr>
  </w:style>
  <w:style w:type="table" w:customStyle="1" w:styleId="a7">
    <w:basedOn w:val="TableNormalfff0"/>
    <w:tblPr>
      <w:tblStyleRowBandSize w:val="1"/>
      <w:tblStyleColBandSize w:val="1"/>
      <w:tblCellMar>
        <w:left w:w="115" w:type="dxa"/>
        <w:right w:w="115" w:type="dxa"/>
      </w:tblCellMar>
    </w:tblPr>
  </w:style>
  <w:style w:type="table" w:customStyle="1" w:styleId="a8">
    <w:basedOn w:val="TableNormalfff0"/>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0"/>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d"/>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
    <w:tblPr>
      <w:tblStyleRowBandSize w:val="1"/>
      <w:tblStyleColBandSize w:val="1"/>
      <w:tblCellMar>
        <w:left w:w="115" w:type="dxa"/>
        <w:right w:w="115" w:type="dxa"/>
      </w:tblCellMar>
    </w:tblPr>
  </w:style>
  <w:style w:type="table" w:customStyle="1" w:styleId="afff3">
    <w:basedOn w:val="TableNormalff"/>
    <w:tblPr>
      <w:tblStyleRowBandSize w:val="1"/>
      <w:tblStyleColBandSize w:val="1"/>
      <w:tblCellMar>
        <w:top w:w="100" w:type="dxa"/>
        <w:left w:w="100" w:type="dxa"/>
        <w:bottom w:w="100" w:type="dxa"/>
        <w:right w:w="100" w:type="dxa"/>
      </w:tblCellMar>
    </w:tblPr>
  </w:style>
  <w:style w:type="table" w:customStyle="1" w:styleId="a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
    <w:tblPr>
      <w:tblStyleRowBandSize w:val="1"/>
      <w:tblStyleColBandSize w:val="1"/>
      <w:tblCellMar>
        <w:top w:w="100" w:type="dxa"/>
        <w:left w:w="100" w:type="dxa"/>
        <w:bottom w:w="100" w:type="dxa"/>
        <w:right w:w="100" w:type="dxa"/>
      </w:tblCellMar>
    </w:tblPr>
  </w:style>
  <w:style w:type="table" w:customStyle="1" w:styleId="a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7.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yperlink" Target="http://secretariadoejecutivo.gob.mx/work/models/SecretariadoEjecutivo/Resource/328/1/images/instructivo_final_edo_fuerza(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Kzi1rKT9kuTkyR8KVoVtoUeQ==">AMUW2mWicLD4aWXNN5kximu0wNA2Ey3XjGvTrSjshl0b7qqCpa8yeCD7LufD8kU7tnzpqQHOaYx0e1zU/0yxYIi/pFyJT8ewLKWYgeSy4zl7Eisb3hCdJYOAG70KmNcvFsi+DLjLM/8J6/EHCUokdgbkhBl1BvVTNTC3pTI/crCvD6Vz+wPkrryUnsjwEAl97n7ffjvMf2ORdvscOo2fHGy/Sr5udtP8Ug==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59</Pages>
  <Words>13480</Words>
  <Characters>74145</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2022-11-13T02:07:00Z</cp:lastPrinted>
  <dcterms:created xsi:type="dcterms:W3CDTF">2022-10-27T18:14:00Z</dcterms:created>
  <dcterms:modified xsi:type="dcterms:W3CDTF">2022-12-01T23:44:00Z</dcterms:modified>
</cp:coreProperties>
</file>