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C4B13" w14:textId="05669B47" w:rsidR="00E35DF9" w:rsidRPr="00E05F7B" w:rsidRDefault="00E35DF9" w:rsidP="00147516">
      <w:pPr>
        <w:spacing w:line="360" w:lineRule="auto"/>
        <w:contextualSpacing/>
        <w:jc w:val="both"/>
        <w:rPr>
          <w:rFonts w:ascii="Palatino Linotype" w:hAnsi="Palatino Linotype" w:cs="Tahoma"/>
          <w:bCs/>
          <w:sz w:val="22"/>
          <w:szCs w:val="22"/>
        </w:rPr>
      </w:pPr>
      <w:bookmarkStart w:id="0" w:name="_Hlk76457302"/>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746BF0">
        <w:rPr>
          <w:rFonts w:ascii="Palatino Linotype" w:hAnsi="Palatino Linotype" w:cs="Tahoma"/>
          <w:bCs/>
          <w:sz w:val="22"/>
          <w:szCs w:val="22"/>
        </w:rPr>
        <w:t>dieciocho</w:t>
      </w:r>
      <w:r w:rsidR="00790E33">
        <w:rPr>
          <w:rFonts w:ascii="Palatino Linotype" w:hAnsi="Palatino Linotype" w:cs="Tahoma"/>
          <w:bCs/>
          <w:sz w:val="22"/>
          <w:szCs w:val="22"/>
        </w:rPr>
        <w:t xml:space="preserve"> de </w:t>
      </w:r>
      <w:r w:rsidR="00746BF0">
        <w:rPr>
          <w:rFonts w:ascii="Palatino Linotype" w:hAnsi="Palatino Linotype" w:cs="Tahoma"/>
          <w:bCs/>
          <w:sz w:val="22"/>
          <w:szCs w:val="22"/>
        </w:rPr>
        <w:t>mayo</w:t>
      </w:r>
      <w:r w:rsidR="00790E33">
        <w:rPr>
          <w:rFonts w:ascii="Palatino Linotype" w:hAnsi="Palatino Linotype" w:cs="Tahoma"/>
          <w:bCs/>
          <w:sz w:val="22"/>
          <w:szCs w:val="22"/>
        </w:rPr>
        <w:t xml:space="preserve"> </w:t>
      </w:r>
      <w:r w:rsidR="00A766B1">
        <w:rPr>
          <w:rFonts w:ascii="Palatino Linotype" w:hAnsi="Palatino Linotype" w:cs="Tahoma"/>
          <w:bCs/>
          <w:sz w:val="22"/>
          <w:szCs w:val="22"/>
        </w:rPr>
        <w:t>de dos mil veintidós</w:t>
      </w:r>
      <w:r w:rsidRPr="008E3507">
        <w:rPr>
          <w:rFonts w:ascii="Palatino Linotype" w:hAnsi="Palatino Linotype" w:cs="Tahoma"/>
          <w:bCs/>
          <w:sz w:val="22"/>
          <w:szCs w:val="22"/>
        </w:rPr>
        <w:t>.</w:t>
      </w:r>
    </w:p>
    <w:p w14:paraId="58F90A77" w14:textId="77777777" w:rsidR="00E35DF9" w:rsidRPr="00C33886" w:rsidRDefault="00E35DF9" w:rsidP="00147516">
      <w:pPr>
        <w:spacing w:line="360" w:lineRule="auto"/>
        <w:contextualSpacing/>
        <w:rPr>
          <w:rFonts w:ascii="Palatino Linotype" w:hAnsi="Palatino Linotype" w:cs="Tahoma"/>
          <w:bCs/>
          <w:sz w:val="22"/>
          <w:szCs w:val="22"/>
        </w:rPr>
      </w:pPr>
    </w:p>
    <w:p w14:paraId="65136D17" w14:textId="2E90F19B" w:rsidR="00E35DF9" w:rsidRPr="008E3507" w:rsidRDefault="723BB34A" w:rsidP="723BB34A">
      <w:pPr>
        <w:spacing w:line="360" w:lineRule="auto"/>
        <w:contextualSpacing/>
        <w:jc w:val="both"/>
        <w:rPr>
          <w:rFonts w:ascii="Palatino Linotype" w:hAnsi="Palatino Linotype" w:cs="Tahoma"/>
          <w:sz w:val="22"/>
          <w:szCs w:val="22"/>
        </w:rPr>
      </w:pPr>
      <w:r w:rsidRPr="723BB34A">
        <w:rPr>
          <w:rFonts w:ascii="Palatino Linotype" w:hAnsi="Palatino Linotype" w:cs="Tahoma"/>
          <w:b/>
          <w:bCs/>
          <w:color w:val="0D0D0D" w:themeColor="text1" w:themeTint="F2"/>
          <w:sz w:val="22"/>
          <w:szCs w:val="22"/>
        </w:rPr>
        <w:t xml:space="preserve">VISTO </w:t>
      </w:r>
      <w:r w:rsidRPr="723BB34A">
        <w:rPr>
          <w:rFonts w:ascii="Palatino Linotype" w:hAnsi="Palatino Linotype" w:cs="Tahoma"/>
          <w:color w:val="0D0D0D" w:themeColor="text1" w:themeTint="F2"/>
          <w:sz w:val="22"/>
          <w:szCs w:val="22"/>
        </w:rPr>
        <w:t xml:space="preserve">el expediente conformado con motivo del Recurso de Revisión </w:t>
      </w:r>
      <w:r w:rsidRPr="723BB34A">
        <w:rPr>
          <w:rFonts w:ascii="Palatino Linotype" w:hAnsi="Palatino Linotype" w:cs="Tahoma"/>
          <w:b/>
          <w:bCs/>
          <w:color w:val="0D0D0D" w:themeColor="text1" w:themeTint="F2"/>
          <w:sz w:val="22"/>
          <w:szCs w:val="22"/>
        </w:rPr>
        <w:t>01116/INFOEM/IP/RR/2022,</w:t>
      </w:r>
      <w:r w:rsidRPr="723BB34A">
        <w:rPr>
          <w:rFonts w:ascii="Palatino Linotype" w:hAnsi="Palatino Linotype" w:cs="Tahoma"/>
          <w:color w:val="0D0D0D" w:themeColor="text1" w:themeTint="F2"/>
          <w:sz w:val="22"/>
          <w:szCs w:val="22"/>
        </w:rPr>
        <w:t xml:space="preserve"> interpuesto por </w:t>
      </w:r>
      <w:r w:rsidRPr="723BB34A">
        <w:rPr>
          <w:rFonts w:ascii="Palatino Linotype" w:hAnsi="Palatino Linotype" w:cs="Tahoma"/>
          <w:color w:val="0D0D0D" w:themeColor="text1" w:themeTint="F2"/>
          <w:sz w:val="22"/>
          <w:szCs w:val="22"/>
          <w:highlight w:val="black"/>
        </w:rPr>
        <w:t>XXXXXXXXXXXXXXXX</w:t>
      </w:r>
      <w:r w:rsidRPr="723BB34A">
        <w:rPr>
          <w:rFonts w:ascii="Palatino Linotype" w:hAnsi="Palatino Linotype" w:cs="Tahoma"/>
          <w:b/>
          <w:bCs/>
          <w:color w:val="0D0D0D" w:themeColor="text1" w:themeTint="F2"/>
          <w:sz w:val="22"/>
          <w:szCs w:val="22"/>
        </w:rPr>
        <w:t xml:space="preserve"> </w:t>
      </w:r>
      <w:r w:rsidRPr="723BB34A">
        <w:rPr>
          <w:rFonts w:ascii="Palatino Linotype" w:hAnsi="Palatino Linotype" w:cs="Tahoma"/>
          <w:color w:val="0D0D0D" w:themeColor="text1" w:themeTint="F2"/>
          <w:sz w:val="22"/>
          <w:szCs w:val="22"/>
        </w:rPr>
        <w:t>en lo sucesivo el Recurrente o Particular, en contra de la respuesta del Sujeto Obligado</w:t>
      </w:r>
      <w:r w:rsidRPr="723BB34A">
        <w:rPr>
          <w:rFonts w:ascii="Palatino Linotype" w:hAnsi="Palatino Linotype"/>
          <w:sz w:val="22"/>
          <w:szCs w:val="22"/>
        </w:rPr>
        <w:t xml:space="preserve"> </w:t>
      </w:r>
      <w:r w:rsidRPr="723BB34A">
        <w:rPr>
          <w:rFonts w:ascii="Palatino Linotype" w:eastAsia="Calibri" w:hAnsi="Palatino Linotype" w:cs="Tahoma"/>
          <w:b/>
          <w:bCs/>
          <w:sz w:val="22"/>
          <w:szCs w:val="22"/>
          <w:lang w:eastAsia="en-US"/>
        </w:rPr>
        <w:t>Organismo Público Descentralizado para la Prestación de Los Servicios de Agua Potable Alcantarillado y Saneamiento del Municipio de Lerma</w:t>
      </w:r>
      <w:r w:rsidRPr="723BB34A">
        <w:rPr>
          <w:rFonts w:ascii="Palatino Linotype" w:hAnsi="Palatino Linotype" w:cs="Tahoma"/>
          <w:b/>
          <w:bCs/>
          <w:color w:val="0D0D0D" w:themeColor="text1" w:themeTint="F2"/>
          <w:sz w:val="22"/>
          <w:szCs w:val="22"/>
        </w:rPr>
        <w:t xml:space="preserve">, </w:t>
      </w:r>
      <w:r w:rsidRPr="723BB34A">
        <w:rPr>
          <w:rFonts w:ascii="Palatino Linotype" w:hAnsi="Palatino Linotype" w:cs="Tahoma"/>
          <w:color w:val="0D0D0D" w:themeColor="text1" w:themeTint="F2"/>
          <w:sz w:val="22"/>
          <w:szCs w:val="22"/>
        </w:rPr>
        <w:t>se emite la presente Resolución, con base en los Antecedentes y C</w:t>
      </w:r>
      <w:r w:rsidRPr="723BB34A">
        <w:rPr>
          <w:rFonts w:ascii="Palatino Linotype" w:hAnsi="Palatino Linotype" w:cs="Tahoma"/>
          <w:sz w:val="22"/>
          <w:szCs w:val="22"/>
        </w:rPr>
        <w:t>onsiderandos que a continuación se exponen:</w:t>
      </w:r>
    </w:p>
    <w:p w14:paraId="354D00D8" w14:textId="77777777" w:rsidR="00E35DF9" w:rsidRPr="00A650C6" w:rsidRDefault="00E35DF9" w:rsidP="00147516">
      <w:pPr>
        <w:spacing w:line="360" w:lineRule="auto"/>
        <w:contextualSpacing/>
        <w:jc w:val="both"/>
        <w:rPr>
          <w:rFonts w:ascii="Palatino Linotype" w:hAnsi="Palatino Linotype" w:cs="Tahoma"/>
          <w:b/>
          <w:color w:val="0D0D0D" w:themeColor="text1" w:themeTint="F2"/>
          <w:sz w:val="18"/>
          <w:szCs w:val="22"/>
        </w:rPr>
      </w:pPr>
    </w:p>
    <w:p w14:paraId="6626311D" w14:textId="77777777" w:rsidR="00E35DF9" w:rsidRPr="008E3507" w:rsidRDefault="00E35DF9" w:rsidP="00147516">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14:paraId="62370CC9" w14:textId="77777777" w:rsidR="00E35DF9" w:rsidRPr="00C33886" w:rsidRDefault="00E35DF9" w:rsidP="00147516">
      <w:pPr>
        <w:tabs>
          <w:tab w:val="center" w:pos="4522"/>
          <w:tab w:val="left" w:pos="7245"/>
        </w:tabs>
        <w:spacing w:line="360" w:lineRule="auto"/>
        <w:contextualSpacing/>
        <w:jc w:val="center"/>
        <w:rPr>
          <w:rFonts w:ascii="Palatino Linotype" w:hAnsi="Palatino Linotype" w:cs="Tahoma"/>
          <w:b/>
          <w:sz w:val="22"/>
          <w:szCs w:val="22"/>
        </w:rPr>
      </w:pPr>
    </w:p>
    <w:p w14:paraId="74F26065" w14:textId="77777777" w:rsidR="00E35DF9" w:rsidRDefault="00E35DF9" w:rsidP="00147516">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14:paraId="1168F9AE" w14:textId="77777777" w:rsidR="00E35DF9" w:rsidRPr="00A650C6" w:rsidRDefault="00E35DF9" w:rsidP="00147516">
      <w:pPr>
        <w:pStyle w:val="Prrafodelista"/>
        <w:tabs>
          <w:tab w:val="left" w:pos="567"/>
        </w:tabs>
        <w:spacing w:line="360" w:lineRule="auto"/>
        <w:ind w:left="0"/>
        <w:jc w:val="both"/>
        <w:rPr>
          <w:rFonts w:ascii="Palatino Linotype" w:hAnsi="Palatino Linotype" w:cs="Tahoma"/>
          <w:b/>
          <w:sz w:val="18"/>
          <w:szCs w:val="22"/>
        </w:rPr>
      </w:pPr>
    </w:p>
    <w:p w14:paraId="033F4CC6" w14:textId="39329A17" w:rsidR="00E35DF9" w:rsidRPr="003A12F1" w:rsidRDefault="00E35DF9" w:rsidP="00147516">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790E33">
        <w:rPr>
          <w:rFonts w:ascii="Palatino Linotype" w:hAnsi="Palatino Linotype" w:cs="Tahoma"/>
          <w:sz w:val="22"/>
          <w:szCs w:val="22"/>
        </w:rPr>
        <w:t xml:space="preserve">treinta </w:t>
      </w:r>
      <w:r w:rsidR="007B531B">
        <w:rPr>
          <w:rFonts w:ascii="Palatino Linotype" w:hAnsi="Palatino Linotype" w:cs="Tahoma"/>
          <w:sz w:val="22"/>
          <w:szCs w:val="22"/>
        </w:rPr>
        <w:t xml:space="preserve">y uno </w:t>
      </w:r>
      <w:r w:rsidR="00477AD3">
        <w:rPr>
          <w:rFonts w:ascii="Palatino Linotype" w:hAnsi="Palatino Linotype" w:cs="Tahoma"/>
          <w:sz w:val="22"/>
          <w:szCs w:val="22"/>
        </w:rPr>
        <w:t xml:space="preserve">de enero </w:t>
      </w:r>
      <w:r w:rsidR="008436E1">
        <w:rPr>
          <w:rFonts w:ascii="Palatino Linotype" w:hAnsi="Palatino Linotype" w:cs="Tahoma"/>
          <w:sz w:val="22"/>
          <w:szCs w:val="22"/>
        </w:rPr>
        <w:t>de dos mil veintidós</w:t>
      </w:r>
      <w:r w:rsidRPr="008E3507">
        <w:rPr>
          <w:rFonts w:ascii="Palatino Linotype" w:hAnsi="Palatino Linotype" w:cs="Tahoma"/>
          <w:sz w:val="22"/>
          <w:szCs w:val="22"/>
        </w:rPr>
        <w:t xml:space="preserve">,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w:t>
      </w:r>
      <w:r w:rsidR="00790E33">
        <w:rPr>
          <w:rFonts w:ascii="Palatino Linotype" w:hAnsi="Palatino Linotype" w:cs="Tahoma"/>
          <w:sz w:val="22"/>
          <w:szCs w:val="22"/>
        </w:rPr>
        <w:t xml:space="preserve"> </w:t>
      </w:r>
      <w:r w:rsidR="009D6672">
        <w:rPr>
          <w:rFonts w:ascii="Palatino Linotype" w:hAnsi="Palatino Linotype" w:cs="Tahoma"/>
          <w:sz w:val="22"/>
          <w:szCs w:val="22"/>
        </w:rPr>
        <w:t>l</w:t>
      </w:r>
      <w:r w:rsidR="00790E33">
        <w:rPr>
          <w:rFonts w:ascii="Palatino Linotype" w:hAnsi="Palatino Linotype" w:cs="Tahoma"/>
          <w:sz w:val="22"/>
          <w:szCs w:val="22"/>
        </w:rPr>
        <w:t>a Plataforma Nacional de Transparencia (PNT)</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117F37">
        <w:rPr>
          <w:rFonts w:ascii="Palatino Linotype" w:hAnsi="Palatino Linotype" w:cs="Tahoma"/>
          <w:b/>
          <w:bCs/>
          <w:sz w:val="22"/>
          <w:szCs w:val="22"/>
        </w:rPr>
        <w:t>Organismo Público Descentralizado para la Prestación de Los Servicios de Agua Potable Alcantarillado y Saneamiento del Municipio de Lerma</w:t>
      </w:r>
      <w:r w:rsidRPr="003A12F1">
        <w:rPr>
          <w:rFonts w:ascii="Palatino Linotype" w:hAnsi="Palatino Linotype" w:cs="Tahoma"/>
          <w:sz w:val="22"/>
          <w:szCs w:val="22"/>
        </w:rPr>
        <w:t xml:space="preserve">, </w:t>
      </w:r>
      <w:r w:rsidR="003A12F1" w:rsidRPr="003A12F1">
        <w:rPr>
          <w:rFonts w:ascii="Palatino Linotype" w:hAnsi="Palatino Linotype" w:cs="Tahoma"/>
          <w:sz w:val="22"/>
          <w:szCs w:val="22"/>
        </w:rPr>
        <w:t xml:space="preserve">misma que fue registrada con el número de folio </w:t>
      </w:r>
      <w:r w:rsidR="00117F37">
        <w:rPr>
          <w:rFonts w:ascii="Palatino Linotype" w:hAnsi="Palatino Linotype" w:cs="Tahoma"/>
          <w:b/>
          <w:bCs/>
          <w:sz w:val="22"/>
          <w:szCs w:val="22"/>
        </w:rPr>
        <w:t>00002/OASLERMA/IP/2022</w:t>
      </w:r>
      <w:r w:rsidR="003A12F1" w:rsidRPr="00A85A76">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0074594A" w:rsidRPr="003A12F1">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14:paraId="2E710320" w14:textId="77777777" w:rsidR="00D807FB" w:rsidRPr="00C33886" w:rsidRDefault="00D807FB" w:rsidP="00147516">
      <w:pPr>
        <w:tabs>
          <w:tab w:val="left" w:pos="567"/>
        </w:tabs>
        <w:spacing w:line="360" w:lineRule="auto"/>
        <w:contextualSpacing/>
        <w:jc w:val="both"/>
        <w:rPr>
          <w:rFonts w:ascii="Palatino Linotype" w:hAnsi="Palatino Linotype" w:cs="Tahoma"/>
          <w:sz w:val="22"/>
        </w:rPr>
      </w:pPr>
    </w:p>
    <w:p w14:paraId="4091A923" w14:textId="77777777" w:rsidR="00D807FB" w:rsidRPr="00A650C6" w:rsidRDefault="00D807FB" w:rsidP="00147516">
      <w:pPr>
        <w:tabs>
          <w:tab w:val="left" w:pos="567"/>
        </w:tabs>
        <w:spacing w:line="360" w:lineRule="auto"/>
        <w:ind w:left="567" w:right="539"/>
        <w:contextualSpacing/>
        <w:jc w:val="both"/>
        <w:rPr>
          <w:rFonts w:ascii="Palatino Linotype" w:hAnsi="Palatino Linotype" w:cs="Tahoma"/>
          <w:b/>
          <w:bCs/>
          <w:sz w:val="22"/>
          <w:szCs w:val="22"/>
        </w:rPr>
      </w:pPr>
      <w:r w:rsidRPr="00A650C6">
        <w:rPr>
          <w:rFonts w:ascii="Palatino Linotype" w:hAnsi="Palatino Linotype" w:cs="Tahoma"/>
          <w:b/>
          <w:bCs/>
        </w:rPr>
        <w:t>DESCRIPCIÓN CLARA Y PRECISA DE LA INFORMACIÓN SOLICITADA</w:t>
      </w:r>
      <w:r w:rsidRPr="00A650C6">
        <w:rPr>
          <w:rFonts w:ascii="Palatino Linotype" w:hAnsi="Palatino Linotype" w:cs="Tahoma"/>
          <w:b/>
          <w:bCs/>
          <w:sz w:val="22"/>
          <w:szCs w:val="22"/>
        </w:rPr>
        <w:t>:</w:t>
      </w:r>
    </w:p>
    <w:p w14:paraId="2F126B46" w14:textId="77777777" w:rsidR="00790E33" w:rsidRPr="00790E33" w:rsidRDefault="009D6672"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A650C6">
        <w:rPr>
          <w:rFonts w:ascii="Palatino Linotype" w:hAnsi="Palatino Linotype"/>
          <w:i/>
          <w:iCs/>
          <w:color w:val="000000"/>
          <w:sz w:val="20"/>
          <w:szCs w:val="20"/>
        </w:rPr>
        <w:t>“</w:t>
      </w:r>
      <w:r w:rsidR="00790E33" w:rsidRPr="00790E33">
        <w:rPr>
          <w:rFonts w:ascii="Palatino Linotype" w:hAnsi="Palatino Linotype"/>
          <w:i/>
          <w:iCs/>
          <w:color w:val="000000"/>
          <w:sz w:val="20"/>
          <w:szCs w:val="20"/>
        </w:rPr>
        <w:t>Solicito Obtener la opinión de cumplimiento proporcionada directamente por el ente fiscalizador hacia los ayuntamientos y sus descentralizadas (DIF,</w:t>
      </w:r>
      <w:r w:rsidR="00790E33">
        <w:rPr>
          <w:rFonts w:ascii="Palatino Linotype" w:hAnsi="Palatino Linotype"/>
          <w:i/>
          <w:iCs/>
          <w:color w:val="000000"/>
          <w:sz w:val="20"/>
          <w:szCs w:val="20"/>
        </w:rPr>
        <w:t xml:space="preserve"> </w:t>
      </w:r>
      <w:r w:rsidR="00790E33" w:rsidRPr="00790E33">
        <w:rPr>
          <w:rFonts w:ascii="Palatino Linotype" w:hAnsi="Palatino Linotype"/>
          <w:i/>
          <w:iCs/>
          <w:color w:val="000000"/>
          <w:sz w:val="20"/>
          <w:szCs w:val="20"/>
        </w:rPr>
        <w:t xml:space="preserve">Sistema de agua, Instituto de la mujer, casa de la cultura, </w:t>
      </w:r>
      <w:proofErr w:type="spellStart"/>
      <w:r w:rsidR="00790E33" w:rsidRPr="00790E33">
        <w:rPr>
          <w:rFonts w:ascii="Palatino Linotype" w:hAnsi="Palatino Linotype"/>
          <w:i/>
          <w:iCs/>
          <w:color w:val="000000"/>
          <w:sz w:val="20"/>
          <w:szCs w:val="20"/>
        </w:rPr>
        <w:t>etc</w:t>
      </w:r>
      <w:proofErr w:type="spellEnd"/>
      <w:r w:rsidR="00790E33" w:rsidRPr="00790E33">
        <w:rPr>
          <w:rFonts w:ascii="Palatino Linotype" w:hAnsi="Palatino Linotype"/>
          <w:i/>
          <w:iCs/>
          <w:color w:val="000000"/>
          <w:sz w:val="20"/>
          <w:szCs w:val="20"/>
        </w:rPr>
        <w:t xml:space="preserve">): SAT, IMSS, INFONAVIT y SATEM, cada uno en sus respectivos ámbitos y </w:t>
      </w:r>
      <w:r w:rsidR="00790E33" w:rsidRPr="00790E33">
        <w:rPr>
          <w:rFonts w:ascii="Palatino Linotype" w:hAnsi="Palatino Linotype"/>
          <w:i/>
          <w:iCs/>
          <w:color w:val="000000"/>
          <w:sz w:val="20"/>
          <w:szCs w:val="20"/>
        </w:rPr>
        <w:lastRenderedPageBreak/>
        <w:t>generada x el</w:t>
      </w:r>
      <w:r w:rsidR="00790E33">
        <w:rPr>
          <w:rFonts w:ascii="Palatino Linotype" w:hAnsi="Palatino Linotype"/>
          <w:i/>
          <w:iCs/>
          <w:color w:val="000000"/>
          <w:sz w:val="20"/>
          <w:szCs w:val="20"/>
        </w:rPr>
        <w:t xml:space="preserve"> </w:t>
      </w:r>
      <w:r w:rsidR="00790E33" w:rsidRPr="00790E33">
        <w:rPr>
          <w:rFonts w:ascii="Palatino Linotype" w:hAnsi="Palatino Linotype"/>
          <w:i/>
          <w:iCs/>
          <w:color w:val="000000"/>
          <w:sz w:val="20"/>
          <w:szCs w:val="20"/>
        </w:rPr>
        <w:t>mismo ente obligado; ya que los reportes fiscales los baja la persona autorizada por el ente obligado con la clave CIEC tratándose del ISR salarios y</w:t>
      </w:r>
      <w:r w:rsidR="00790E33">
        <w:rPr>
          <w:rFonts w:ascii="Palatino Linotype" w:hAnsi="Palatino Linotype"/>
          <w:i/>
          <w:iCs/>
          <w:color w:val="000000"/>
          <w:sz w:val="20"/>
          <w:szCs w:val="20"/>
        </w:rPr>
        <w:t xml:space="preserve"> </w:t>
      </w:r>
      <w:r w:rsidR="00790E33" w:rsidRPr="00790E33">
        <w:rPr>
          <w:rFonts w:ascii="Palatino Linotype" w:hAnsi="Palatino Linotype"/>
          <w:i/>
          <w:iCs/>
          <w:color w:val="000000"/>
          <w:sz w:val="20"/>
          <w:szCs w:val="20"/>
        </w:rPr>
        <w:t>asimilados y/o asalariados. Se solicita lo siguiente:</w:t>
      </w:r>
    </w:p>
    <w:p w14:paraId="70AA21D0"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 Reportes del aplicativo “Visor de nómina del SAT” por los años 2018, 2019, 2020, y 2021 en sus tres presentaciones:</w:t>
      </w:r>
    </w:p>
    <w:p w14:paraId="49E00A0B"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a) Vista anual acumulada.</w:t>
      </w:r>
    </w:p>
    <w:p w14:paraId="32EE2DFA"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b) Detalle mensual.</w:t>
      </w:r>
    </w:p>
    <w:p w14:paraId="76668B76"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c) Detalle diferencias sueldos y salarios.</w:t>
      </w:r>
    </w:p>
    <w:p w14:paraId="57011E2F"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II. La constancia de situación fiscal de no adeudo emitida por el INFONAVIT, generada desde el portal empresarial de esa Institución, a través de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internet.</w:t>
      </w:r>
    </w:p>
    <w:p w14:paraId="60EFD5B4"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III. La opinión de no adeudo en el cumplimiento de obligaciones fiscales en materia de seguridad social emitida x el IMSS, generada desde el portal de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esa Institución, a través de internet.</w:t>
      </w:r>
    </w:p>
    <w:p w14:paraId="6BE6320E"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IV. La opinión de no adeudo en el cumplimiento de obligaciones fiscales estatales emitida por el SATEM, generada desde el portal de esa Institución, 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través de internet.</w:t>
      </w:r>
    </w:p>
    <w:p w14:paraId="791B30DA"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V. Un papel de trabajo por el municipio, y otro por cada una de sus descentralizadas que contenga los datos para identificar el ISR participable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 xml:space="preserve">recuperado por cada mes desde </w:t>
      </w:r>
      <w:proofErr w:type="gramStart"/>
      <w:r w:rsidRPr="00790E33">
        <w:rPr>
          <w:rFonts w:ascii="Palatino Linotype" w:hAnsi="Palatino Linotype"/>
          <w:i/>
          <w:iCs/>
          <w:color w:val="000000"/>
          <w:sz w:val="20"/>
          <w:szCs w:val="20"/>
        </w:rPr>
        <w:t>Enero</w:t>
      </w:r>
      <w:proofErr w:type="gramEnd"/>
      <w:r w:rsidRPr="00790E33">
        <w:rPr>
          <w:rFonts w:ascii="Palatino Linotype" w:hAnsi="Palatino Linotype"/>
          <w:i/>
          <w:iCs/>
          <w:color w:val="000000"/>
          <w:sz w:val="20"/>
          <w:szCs w:val="20"/>
        </w:rPr>
        <w:t xml:space="preserve"> de 2019 hasta Octubre de 2021. Propongo un papel de trabajo con los siguientes encabezados:</w:t>
      </w:r>
    </w:p>
    <w:p w14:paraId="232E1F72"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A) En la columna A “Mes”.</w:t>
      </w:r>
    </w:p>
    <w:p w14:paraId="3B7922D2"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B) En la columna B “Año”.</w:t>
      </w:r>
    </w:p>
    <w:p w14:paraId="313993ED"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C) En la columna C “ISR salarios retenido”.</w:t>
      </w:r>
    </w:p>
    <w:p w14:paraId="08ECC970"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D) En la columna D “ISR salarios enterado”.</w:t>
      </w:r>
    </w:p>
    <w:p w14:paraId="7EF87519"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E) En la columna E “ISR asimilados retenido”.</w:t>
      </w:r>
    </w:p>
    <w:p w14:paraId="1CB12EC1"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F) En la columna F “ISR asimilados enterado”.</w:t>
      </w:r>
    </w:p>
    <w:p w14:paraId="545B6087"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G) En la columna G “ISR honorarios y arrendamiento retenido”.</w:t>
      </w:r>
    </w:p>
    <w:p w14:paraId="509300A5"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H) En la columna H “ISR honorarios y arrendamiento enterado”.</w:t>
      </w:r>
    </w:p>
    <w:p w14:paraId="328C9F78"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 En la columna I “ISR participable recuperado a valor histórico”.</w:t>
      </w:r>
    </w:p>
    <w:p w14:paraId="57CE9D27"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J) En la columna J “Subsidio para el empleo entregado en el mes al trabajador”.</w:t>
      </w:r>
    </w:p>
    <w:p w14:paraId="2C6FC3DA"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lastRenderedPageBreak/>
        <w:t>K) En la columna K “Subsidio para el empleo acreditado en el mes contra las contribuciones que proceda”.</w:t>
      </w:r>
    </w:p>
    <w:p w14:paraId="56B93E23" w14:textId="77777777" w:rsid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En las filas correspondientes a cada mes, capturar la información de ese periodo. Al calce del papel de trabajo, el monto del ISR participable que no se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ha podido recuperar, separando el monto que está pendiente de solicitar, del monto que se solicitó y no se recuperó.</w:t>
      </w:r>
    </w:p>
    <w:p w14:paraId="1B91AA8C"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VI. Para comprobar que los trabajadores no están siendo afectados x errores en el cálculo de sus impuestos (No tienen diferencias a cargo, ni</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diferencias a favor en su declaración anual precargada), propongo q seleccionen al azar 5 muestras del ayuntamiento y tres muestras de cada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descentralizada. A cada uno de los trabajadores seleccionados el personal responsable del municipio y/o de las descentralizadas, les calcularán el</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impuesto anual por los años 2017, 2018, 2019, y 2020, con base en los datos precargados en el expediente fiscal del trabajador. Para guardar la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 xml:space="preserve">confidencialidad, a </w:t>
      </w:r>
      <w:proofErr w:type="spellStart"/>
      <w:r w:rsidRPr="00790E33">
        <w:rPr>
          <w:rFonts w:ascii="Palatino Linotype" w:hAnsi="Palatino Linotype"/>
          <w:i/>
          <w:iCs/>
          <w:color w:val="000000"/>
          <w:sz w:val="20"/>
          <w:szCs w:val="20"/>
        </w:rPr>
        <w:t>mi</w:t>
      </w:r>
      <w:proofErr w:type="spellEnd"/>
      <w:r w:rsidRPr="00790E33">
        <w:rPr>
          <w:rFonts w:ascii="Palatino Linotype" w:hAnsi="Palatino Linotype"/>
          <w:i/>
          <w:iCs/>
          <w:color w:val="000000"/>
          <w:sz w:val="20"/>
          <w:szCs w:val="20"/>
        </w:rPr>
        <w:t xml:space="preserve"> solo me entregarán un papel de trabajo con los siguientes encabezados:</w:t>
      </w:r>
    </w:p>
    <w:p w14:paraId="3E486A91"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A) En la columna A “Nombre del trabajador”, pudiendo identificarlos como: trabajador 1, trabajador 2, trabajador 3</w:t>
      </w:r>
    </w:p>
    <w:p w14:paraId="7B2D0EDE"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B) En la columna B “Año”.</w:t>
      </w:r>
    </w:p>
    <w:p w14:paraId="0AA064D2"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C) En la columna C “Saldo a favor de ISR”.</w:t>
      </w:r>
    </w:p>
    <w:p w14:paraId="46487DAB"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D) En la columna D “Saldo a cargo en el ISR”.</w:t>
      </w:r>
    </w:p>
    <w:p w14:paraId="6609D77E" w14:textId="77777777" w:rsidR="000F2B83" w:rsidRPr="00A650C6"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E) En la columna E “Diferencia 0 en el ISR”. En las filas se captura la información que corresponda a los resultados de cada trabajador. Si fuera el caso</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que los trabajadores de la muestra no laboraron para el ayuntamiento o para las descentralizada durante los 4 años, solamente se captura la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 xml:space="preserve">información de los años que si hayan trabajado. </w:t>
      </w:r>
      <w:r w:rsidR="00B50512" w:rsidRPr="00A650C6">
        <w:rPr>
          <w:rFonts w:ascii="Palatino Linotype" w:hAnsi="Palatino Linotype"/>
          <w:i/>
          <w:iCs/>
          <w:color w:val="000000"/>
          <w:sz w:val="20"/>
          <w:szCs w:val="20"/>
        </w:rPr>
        <w:t>"</w:t>
      </w:r>
      <w:r w:rsidR="00A650C6">
        <w:rPr>
          <w:rFonts w:ascii="Palatino Linotype" w:hAnsi="Palatino Linotype"/>
          <w:i/>
          <w:iCs/>
          <w:color w:val="000000"/>
          <w:sz w:val="20"/>
          <w:szCs w:val="20"/>
        </w:rPr>
        <w:t xml:space="preserve"> </w:t>
      </w:r>
      <w:r w:rsidR="00B50512" w:rsidRPr="00A650C6">
        <w:rPr>
          <w:rFonts w:ascii="Palatino Linotype" w:hAnsi="Palatino Linotype"/>
          <w:i/>
          <w:iCs/>
          <w:color w:val="000000"/>
          <w:sz w:val="20"/>
          <w:szCs w:val="20"/>
        </w:rPr>
        <w:t>(</w:t>
      </w:r>
      <w:r w:rsidR="00B50512" w:rsidRPr="00A650C6">
        <w:rPr>
          <w:rFonts w:ascii="Palatino Linotype" w:hAnsi="Palatino Linotype"/>
          <w:iCs/>
          <w:color w:val="000000"/>
          <w:sz w:val="20"/>
          <w:szCs w:val="20"/>
        </w:rPr>
        <w:t>Sic)</w:t>
      </w:r>
      <w:r w:rsidR="00501150">
        <w:rPr>
          <w:rFonts w:ascii="Palatino Linotype" w:hAnsi="Palatino Linotype"/>
          <w:iCs/>
          <w:color w:val="000000"/>
          <w:sz w:val="20"/>
          <w:szCs w:val="20"/>
        </w:rPr>
        <w:t>.</w:t>
      </w:r>
    </w:p>
    <w:p w14:paraId="229CFCD4" w14:textId="77777777" w:rsidR="007E4927" w:rsidRPr="00A650C6" w:rsidRDefault="007E4927" w:rsidP="00147516">
      <w:pPr>
        <w:pStyle w:val="Prrafodelista"/>
        <w:tabs>
          <w:tab w:val="left" w:pos="567"/>
        </w:tabs>
        <w:spacing w:line="360" w:lineRule="auto"/>
        <w:ind w:left="567" w:right="539"/>
        <w:jc w:val="both"/>
        <w:rPr>
          <w:rFonts w:ascii="Palatino Linotype" w:hAnsi="Palatino Linotype"/>
          <w:i/>
          <w:iCs/>
          <w:color w:val="000000"/>
          <w:sz w:val="20"/>
          <w:szCs w:val="20"/>
        </w:rPr>
      </w:pPr>
    </w:p>
    <w:p w14:paraId="7B9C14BF" w14:textId="77777777" w:rsidR="00E35DF9" w:rsidRPr="00A650C6" w:rsidRDefault="00E35DF9" w:rsidP="00147516">
      <w:pPr>
        <w:pStyle w:val="Prrafodelista"/>
        <w:tabs>
          <w:tab w:val="left" w:pos="567"/>
        </w:tabs>
        <w:spacing w:line="360" w:lineRule="auto"/>
        <w:ind w:left="567" w:right="539"/>
        <w:jc w:val="both"/>
        <w:rPr>
          <w:rFonts w:ascii="Palatino Linotype" w:hAnsi="Palatino Linotype" w:cs="Tahoma"/>
          <w:b/>
          <w:sz w:val="20"/>
          <w:szCs w:val="22"/>
        </w:rPr>
      </w:pPr>
      <w:r w:rsidRPr="00A650C6">
        <w:rPr>
          <w:rFonts w:ascii="Palatino Linotype" w:hAnsi="Palatino Linotype" w:cs="Tahoma"/>
          <w:b/>
          <w:sz w:val="20"/>
          <w:szCs w:val="22"/>
        </w:rPr>
        <w:t>MODALIDAD DE ENTREGA</w:t>
      </w:r>
    </w:p>
    <w:p w14:paraId="2DD4EB62" w14:textId="77777777" w:rsidR="00E35DF9" w:rsidRPr="00A650C6" w:rsidRDefault="007E4927" w:rsidP="00147516">
      <w:pPr>
        <w:pStyle w:val="Prrafodelista"/>
        <w:tabs>
          <w:tab w:val="left" w:pos="567"/>
        </w:tabs>
        <w:spacing w:line="360" w:lineRule="auto"/>
        <w:ind w:left="567" w:right="539"/>
        <w:jc w:val="both"/>
        <w:rPr>
          <w:rFonts w:ascii="Palatino Linotype" w:hAnsi="Palatino Linotype" w:cs="Tahoma"/>
          <w:i/>
          <w:sz w:val="20"/>
          <w:szCs w:val="22"/>
        </w:rPr>
      </w:pPr>
      <w:r w:rsidRPr="00A650C6">
        <w:rPr>
          <w:rFonts w:ascii="Palatino Linotype" w:hAnsi="Palatino Linotype" w:cs="Tahoma"/>
          <w:i/>
          <w:sz w:val="20"/>
          <w:szCs w:val="22"/>
        </w:rPr>
        <w:t>“</w:t>
      </w:r>
      <w:r w:rsidR="00790E33" w:rsidRPr="00790E33">
        <w:rPr>
          <w:rFonts w:ascii="Palatino Linotype" w:hAnsi="Palatino Linotype" w:cs="Tahoma"/>
          <w:i/>
          <w:sz w:val="20"/>
          <w:szCs w:val="22"/>
        </w:rPr>
        <w:t>Cualquier otro medio incluido los electrónicos (USB, SD, Disco</w:t>
      </w:r>
      <w:r w:rsidR="00C53547">
        <w:rPr>
          <w:rFonts w:ascii="Palatino Linotype" w:hAnsi="Palatino Linotype" w:cs="Tahoma"/>
          <w:i/>
          <w:sz w:val="20"/>
          <w:szCs w:val="22"/>
        </w:rPr>
        <w:t>)</w:t>
      </w:r>
      <w:r w:rsidRPr="00A650C6">
        <w:rPr>
          <w:rFonts w:ascii="Palatino Linotype" w:hAnsi="Palatino Linotype" w:cs="Tahoma"/>
          <w:i/>
          <w:sz w:val="20"/>
          <w:szCs w:val="22"/>
        </w:rPr>
        <w:t>”</w:t>
      </w:r>
    </w:p>
    <w:p w14:paraId="5C56DC27" w14:textId="77777777" w:rsidR="00A01EB6" w:rsidRPr="00A650C6" w:rsidRDefault="00A01EB6" w:rsidP="00147516">
      <w:pPr>
        <w:pStyle w:val="Prrafodelista"/>
        <w:tabs>
          <w:tab w:val="left" w:pos="567"/>
        </w:tabs>
        <w:spacing w:line="360" w:lineRule="auto"/>
        <w:ind w:left="0"/>
        <w:jc w:val="both"/>
        <w:rPr>
          <w:rFonts w:ascii="Palatino Linotype" w:hAnsi="Palatino Linotype" w:cs="Tahoma"/>
          <w:b/>
          <w:sz w:val="20"/>
          <w:szCs w:val="20"/>
        </w:rPr>
      </w:pPr>
    </w:p>
    <w:p w14:paraId="0B489DF0" w14:textId="77777777" w:rsidR="00681D84" w:rsidRDefault="00A01EB6" w:rsidP="00147516">
      <w:pPr>
        <w:pStyle w:val="Prrafodelista"/>
        <w:tabs>
          <w:tab w:val="left" w:pos="567"/>
        </w:tabs>
        <w:spacing w:line="360" w:lineRule="auto"/>
        <w:ind w:left="0"/>
        <w:jc w:val="both"/>
        <w:rPr>
          <w:rFonts w:ascii="Palatino Linotype" w:hAnsi="Palatino Linotype" w:cs="Tahoma"/>
          <w:b/>
          <w:szCs w:val="22"/>
        </w:rPr>
      </w:pPr>
      <w:r w:rsidRPr="00A650C6">
        <w:rPr>
          <w:rFonts w:ascii="Palatino Linotype" w:hAnsi="Palatino Linotype" w:cs="Tahoma"/>
          <w:b/>
          <w:szCs w:val="20"/>
        </w:rPr>
        <w:t>II</w:t>
      </w:r>
      <w:r w:rsidR="00681D84" w:rsidRPr="00A650C6">
        <w:rPr>
          <w:rFonts w:ascii="Palatino Linotype" w:hAnsi="Palatino Linotype" w:cs="Tahoma"/>
          <w:b/>
          <w:szCs w:val="22"/>
        </w:rPr>
        <w:t>.</w:t>
      </w:r>
      <w:r w:rsidR="007F3A61">
        <w:rPr>
          <w:rFonts w:ascii="Palatino Linotype" w:hAnsi="Palatino Linotype" w:cs="Tahoma"/>
          <w:b/>
          <w:szCs w:val="22"/>
        </w:rPr>
        <w:t xml:space="preserve"> </w:t>
      </w:r>
      <w:r w:rsidR="00681D84" w:rsidRPr="00A650C6">
        <w:rPr>
          <w:rFonts w:ascii="Palatino Linotype" w:hAnsi="Palatino Linotype" w:cs="Tahoma"/>
          <w:b/>
          <w:szCs w:val="22"/>
        </w:rPr>
        <w:t>Respuesta del Sujeto Obligado.</w:t>
      </w:r>
    </w:p>
    <w:p w14:paraId="7BDFA486" w14:textId="77777777" w:rsidR="00681D84" w:rsidRPr="00A650C6" w:rsidRDefault="00681D84" w:rsidP="00147516">
      <w:pPr>
        <w:pStyle w:val="Prrafodelista"/>
        <w:tabs>
          <w:tab w:val="left" w:pos="567"/>
        </w:tabs>
        <w:spacing w:line="360" w:lineRule="auto"/>
        <w:ind w:left="0"/>
        <w:jc w:val="both"/>
        <w:rPr>
          <w:rFonts w:ascii="Palatino Linotype" w:hAnsi="Palatino Linotype" w:cs="Tahoma"/>
          <w:b/>
          <w:sz w:val="20"/>
          <w:szCs w:val="22"/>
        </w:rPr>
      </w:pPr>
    </w:p>
    <w:p w14:paraId="4DB7AC8E" w14:textId="6C7EC0AA" w:rsidR="00B50512" w:rsidRDefault="00681D84" w:rsidP="00147516">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lastRenderedPageBreak/>
        <w:t xml:space="preserve">Con fecha </w:t>
      </w:r>
      <w:r w:rsidR="00203F3C">
        <w:rPr>
          <w:rFonts w:ascii="Palatino Linotype" w:hAnsi="Palatino Linotype" w:cs="Tahoma"/>
          <w:sz w:val="22"/>
          <w:szCs w:val="22"/>
        </w:rPr>
        <w:t>veintidós</w:t>
      </w:r>
      <w:r w:rsidR="00790E33">
        <w:rPr>
          <w:rFonts w:ascii="Palatino Linotype" w:hAnsi="Palatino Linotype" w:cs="Tahoma"/>
          <w:sz w:val="22"/>
          <w:szCs w:val="22"/>
        </w:rPr>
        <w:t xml:space="preserve"> </w:t>
      </w:r>
      <w:r w:rsidR="007F3A61">
        <w:rPr>
          <w:rFonts w:ascii="Palatino Linotype" w:hAnsi="Palatino Linotype" w:cs="Tahoma"/>
          <w:sz w:val="22"/>
          <w:szCs w:val="22"/>
        </w:rPr>
        <w:t xml:space="preserve">de febrero </w:t>
      </w:r>
      <w:r w:rsidR="00B71F2C">
        <w:rPr>
          <w:rFonts w:ascii="Palatino Linotype" w:hAnsi="Palatino Linotype" w:cs="Tahoma"/>
          <w:sz w:val="22"/>
          <w:szCs w:val="22"/>
        </w:rPr>
        <w:t>de dos mil veintidós</w:t>
      </w:r>
      <w:r w:rsidRPr="008E3507">
        <w:rPr>
          <w:rFonts w:ascii="Palatino Linotype" w:hAnsi="Palatino Linotype" w:cs="Tahoma"/>
          <w:sz w:val="22"/>
          <w:szCs w:val="22"/>
        </w:rPr>
        <w:t>, mediante el Sistema de Acceso a la Información Mexiquense (SAIMEX), el Sujeto Obligado</w:t>
      </w:r>
      <w:r w:rsidR="00477AD3">
        <w:rPr>
          <w:rFonts w:ascii="Palatino Linotype" w:hAnsi="Palatino Linotype" w:cs="Tahoma"/>
          <w:sz w:val="22"/>
          <w:szCs w:val="22"/>
        </w:rPr>
        <w:t xml:space="preserve"> </w:t>
      </w:r>
      <w:r w:rsidR="00203F3C">
        <w:rPr>
          <w:rFonts w:ascii="Palatino Linotype" w:hAnsi="Palatino Linotype" w:cs="Tahoma"/>
          <w:sz w:val="22"/>
          <w:szCs w:val="22"/>
        </w:rPr>
        <w:t>respondió lo siguiente:</w:t>
      </w:r>
    </w:p>
    <w:p w14:paraId="55B2262E" w14:textId="4823B858" w:rsidR="00203F3C" w:rsidRDefault="00203F3C" w:rsidP="00147516">
      <w:pPr>
        <w:autoSpaceDE w:val="0"/>
        <w:autoSpaceDN w:val="0"/>
        <w:adjustRightInd w:val="0"/>
        <w:spacing w:line="360" w:lineRule="auto"/>
        <w:contextualSpacing/>
        <w:jc w:val="both"/>
        <w:rPr>
          <w:rFonts w:ascii="Palatino Linotype" w:hAnsi="Palatino Linotype" w:cs="Tahoma"/>
          <w:sz w:val="22"/>
          <w:szCs w:val="22"/>
        </w:rPr>
      </w:pPr>
    </w:p>
    <w:p w14:paraId="1D63DDB0" w14:textId="104E9341" w:rsidR="001A3231" w:rsidRPr="001A3231" w:rsidRDefault="001A3231" w:rsidP="001A3231">
      <w:pPr>
        <w:pStyle w:val="Prrafodelista"/>
        <w:tabs>
          <w:tab w:val="left" w:pos="567"/>
        </w:tabs>
        <w:spacing w:line="360" w:lineRule="auto"/>
        <w:ind w:left="567" w:right="539"/>
        <w:jc w:val="both"/>
        <w:rPr>
          <w:rFonts w:ascii="Palatino Linotype" w:hAnsi="Palatino Linotype" w:cs="Tahoma"/>
          <w:i/>
          <w:sz w:val="20"/>
          <w:szCs w:val="22"/>
        </w:rPr>
      </w:pPr>
      <w:r w:rsidRPr="001A3231">
        <w:rPr>
          <w:rFonts w:ascii="Palatino Linotype" w:hAnsi="Palatino Linotype" w:cs="Tahoma"/>
          <w:i/>
          <w:sz w:val="20"/>
          <w:szCs w:val="22"/>
        </w:rPr>
        <w:t>Buena tarde, por medio del presente reciba un cordial saludo, así mismo con fundamento en materia se envía respuesta a la solicitud con archivo adjunto.</w:t>
      </w:r>
    </w:p>
    <w:p w14:paraId="7A46EB69" w14:textId="77777777" w:rsidR="001A3231" w:rsidRPr="001A3231" w:rsidRDefault="001A3231" w:rsidP="001A3231">
      <w:pPr>
        <w:pStyle w:val="Prrafodelista"/>
        <w:tabs>
          <w:tab w:val="left" w:pos="567"/>
        </w:tabs>
        <w:spacing w:line="360" w:lineRule="auto"/>
        <w:ind w:left="567" w:right="539"/>
        <w:jc w:val="both"/>
        <w:rPr>
          <w:rFonts w:ascii="Palatino Linotype" w:hAnsi="Palatino Linotype" w:cs="Tahoma"/>
          <w:i/>
          <w:sz w:val="20"/>
          <w:szCs w:val="22"/>
        </w:rPr>
      </w:pPr>
    </w:p>
    <w:bookmarkEnd w:id="0"/>
    <w:p w14:paraId="5A4D539A" w14:textId="5A600D03" w:rsidR="00203F3C" w:rsidRDefault="00203F3C" w:rsidP="00203F3C">
      <w:pPr>
        <w:tabs>
          <w:tab w:val="left" w:pos="3122"/>
        </w:tabs>
        <w:spacing w:line="360" w:lineRule="auto"/>
        <w:contextualSpacing/>
        <w:jc w:val="both"/>
        <w:rPr>
          <w:rFonts w:ascii="Palatino Linotype" w:hAnsi="Palatino Linotype" w:cs="Tahoma"/>
          <w:sz w:val="22"/>
          <w:szCs w:val="22"/>
        </w:rPr>
      </w:pPr>
      <w:r w:rsidRPr="00203F3C">
        <w:rPr>
          <w:rFonts w:ascii="Palatino Linotype" w:hAnsi="Palatino Linotype" w:cs="Tahoma"/>
          <w:sz w:val="22"/>
          <w:szCs w:val="22"/>
        </w:rPr>
        <w:t xml:space="preserve">A su escrito, adjuntó </w:t>
      </w:r>
      <w:r>
        <w:rPr>
          <w:rFonts w:ascii="Palatino Linotype" w:hAnsi="Palatino Linotype" w:cs="Tahoma"/>
          <w:sz w:val="22"/>
          <w:szCs w:val="22"/>
        </w:rPr>
        <w:t>un documento que lleva por nombre</w:t>
      </w:r>
      <w:r w:rsidR="001A3231">
        <w:rPr>
          <w:rFonts w:ascii="Palatino Linotype" w:hAnsi="Palatino Linotype" w:cs="Tahoma"/>
          <w:sz w:val="22"/>
          <w:szCs w:val="22"/>
        </w:rPr>
        <w:t xml:space="preserve"> </w:t>
      </w:r>
      <w:r w:rsidR="001A3231" w:rsidRPr="001A3231">
        <w:rPr>
          <w:rFonts w:ascii="Palatino Linotype" w:hAnsi="Palatino Linotype" w:cs="Tahoma"/>
          <w:b/>
          <w:bCs/>
          <w:sz w:val="22"/>
          <w:szCs w:val="22"/>
          <w:lang w:val="es-ES"/>
        </w:rPr>
        <w:t>solicitud 0002.pdf</w:t>
      </w:r>
      <w:r>
        <w:rPr>
          <w:rFonts w:ascii="Palatino Linotype" w:hAnsi="Palatino Linotype" w:cs="Tahoma"/>
          <w:sz w:val="22"/>
          <w:szCs w:val="22"/>
        </w:rPr>
        <w:t xml:space="preserve"> </w:t>
      </w:r>
      <w:r w:rsidRPr="00203F3C">
        <w:rPr>
          <w:rFonts w:ascii="Palatino Linotype" w:hAnsi="Palatino Linotype" w:cs="Tahoma"/>
          <w:sz w:val="22"/>
          <w:szCs w:val="22"/>
        </w:rPr>
        <w:t>y que da cuenta de</w:t>
      </w:r>
      <w:r w:rsidR="007C15D1">
        <w:rPr>
          <w:rFonts w:ascii="Palatino Linotype" w:hAnsi="Palatino Linotype" w:cs="Tahoma"/>
          <w:sz w:val="22"/>
          <w:szCs w:val="22"/>
        </w:rPr>
        <w:t xml:space="preserve"> los oficios </w:t>
      </w:r>
      <w:r w:rsidR="007C15D1" w:rsidRPr="007C15D1">
        <w:rPr>
          <w:rFonts w:ascii="Palatino Linotype" w:hAnsi="Palatino Linotype" w:cs="Tahoma"/>
          <w:i/>
          <w:iCs/>
        </w:rPr>
        <w:t>UTAI/</w:t>
      </w:r>
      <w:r w:rsidR="007C15D1" w:rsidRPr="007C15D1">
        <w:rPr>
          <w:rFonts w:ascii="Palatino Linotype" w:hAnsi="Palatino Linotype" w:cs="Tahoma"/>
          <w:sz w:val="22"/>
          <w:szCs w:val="22"/>
        </w:rPr>
        <w:t>031/2022, signado por la Titular de la Unidad de Transparencia y el Oficio DF/059/2022</w:t>
      </w:r>
      <w:r w:rsidR="007C15D1">
        <w:rPr>
          <w:rFonts w:ascii="Palatino Linotype" w:hAnsi="Palatino Linotype" w:cs="Tahoma"/>
          <w:sz w:val="22"/>
          <w:szCs w:val="22"/>
        </w:rPr>
        <w:t xml:space="preserve"> signado por el </w:t>
      </w:r>
      <w:proofErr w:type="gramStart"/>
      <w:r w:rsidR="007C15D1">
        <w:rPr>
          <w:rFonts w:ascii="Palatino Linotype" w:hAnsi="Palatino Linotype" w:cs="Tahoma"/>
          <w:sz w:val="22"/>
          <w:szCs w:val="22"/>
        </w:rPr>
        <w:t>Director</w:t>
      </w:r>
      <w:proofErr w:type="gramEnd"/>
      <w:r w:rsidR="007C15D1">
        <w:rPr>
          <w:rFonts w:ascii="Palatino Linotype" w:hAnsi="Palatino Linotype" w:cs="Tahoma"/>
          <w:sz w:val="22"/>
          <w:szCs w:val="22"/>
        </w:rPr>
        <w:t xml:space="preserve"> de Finanzas</w:t>
      </w:r>
      <w:r w:rsidR="007C15D1" w:rsidRPr="007C15D1">
        <w:rPr>
          <w:rFonts w:ascii="Palatino Linotype" w:hAnsi="Palatino Linotype" w:cs="Tahoma"/>
          <w:sz w:val="22"/>
          <w:szCs w:val="22"/>
        </w:rPr>
        <w:t>, que dan cuenta de</w:t>
      </w:r>
      <w:r w:rsidRPr="00203F3C">
        <w:rPr>
          <w:rFonts w:ascii="Palatino Linotype" w:hAnsi="Palatino Linotype" w:cs="Tahoma"/>
          <w:sz w:val="22"/>
          <w:szCs w:val="22"/>
        </w:rPr>
        <w:t xml:space="preserve"> lo siguiente:</w:t>
      </w:r>
    </w:p>
    <w:p w14:paraId="7282A5D2" w14:textId="19206825" w:rsidR="001A3231" w:rsidRDefault="001A3231" w:rsidP="00203F3C">
      <w:pPr>
        <w:tabs>
          <w:tab w:val="left" w:pos="3122"/>
        </w:tabs>
        <w:spacing w:line="360" w:lineRule="auto"/>
        <w:contextualSpacing/>
        <w:jc w:val="both"/>
        <w:rPr>
          <w:rFonts w:ascii="Palatino Linotype" w:hAnsi="Palatino Linotype" w:cs="Tahoma"/>
          <w:sz w:val="22"/>
          <w:szCs w:val="22"/>
        </w:rPr>
      </w:pPr>
    </w:p>
    <w:p w14:paraId="0B481ADA" w14:textId="0CC18B41" w:rsidR="001A3231" w:rsidRDefault="001A3231" w:rsidP="001A3231">
      <w:pPr>
        <w:tabs>
          <w:tab w:val="left" w:pos="3122"/>
        </w:tabs>
        <w:spacing w:line="360" w:lineRule="auto"/>
        <w:contextualSpacing/>
        <w:jc w:val="center"/>
        <w:rPr>
          <w:rFonts w:ascii="Palatino Linotype" w:hAnsi="Palatino Linotype" w:cs="Tahoma"/>
          <w:b/>
          <w:bCs/>
          <w:sz w:val="22"/>
          <w:szCs w:val="22"/>
          <w:lang w:val="es-ES"/>
        </w:rPr>
      </w:pPr>
      <w:r>
        <w:rPr>
          <w:noProof/>
        </w:rPr>
        <w:drawing>
          <wp:inline distT="0" distB="0" distL="0" distR="0" wp14:anchorId="7807F0D6" wp14:editId="69C8F6A8">
            <wp:extent cx="4429125" cy="3949854"/>
            <wp:effectExtent l="0" t="0" r="0" b="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8"/>
                    <a:srcRect l="27034" t="22714" r="28516" b="6785"/>
                    <a:stretch/>
                  </pic:blipFill>
                  <pic:spPr bwMode="auto">
                    <a:xfrm>
                      <a:off x="0" y="0"/>
                      <a:ext cx="4431010" cy="3951535"/>
                    </a:xfrm>
                    <a:prstGeom prst="rect">
                      <a:avLst/>
                    </a:prstGeom>
                    <a:ln>
                      <a:noFill/>
                    </a:ln>
                    <a:extLst>
                      <a:ext uri="{53640926-AAD7-44D8-BBD7-CCE9431645EC}">
                        <a14:shadowObscured xmlns:a14="http://schemas.microsoft.com/office/drawing/2010/main"/>
                      </a:ext>
                    </a:extLst>
                  </pic:spPr>
                </pic:pic>
              </a:graphicData>
            </a:graphic>
          </wp:inline>
        </w:drawing>
      </w:r>
    </w:p>
    <w:p w14:paraId="379AF485" w14:textId="673A0F52" w:rsidR="00790E33" w:rsidRDefault="001A3231" w:rsidP="001A3231">
      <w:pPr>
        <w:autoSpaceDE w:val="0"/>
        <w:autoSpaceDN w:val="0"/>
        <w:adjustRightInd w:val="0"/>
        <w:spacing w:line="360" w:lineRule="auto"/>
        <w:contextualSpacing/>
        <w:jc w:val="center"/>
        <w:rPr>
          <w:rFonts w:ascii="Palatino Linotype" w:hAnsi="Palatino Linotype" w:cs="Tahoma"/>
          <w:b/>
          <w:sz w:val="22"/>
          <w:szCs w:val="22"/>
        </w:rPr>
      </w:pPr>
      <w:r>
        <w:rPr>
          <w:noProof/>
        </w:rPr>
        <w:lastRenderedPageBreak/>
        <w:drawing>
          <wp:inline distT="0" distB="0" distL="0" distR="0" wp14:anchorId="396AA610" wp14:editId="45AC1386">
            <wp:extent cx="5442750" cy="6743700"/>
            <wp:effectExtent l="0" t="0" r="5715" b="0"/>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9"/>
                    <a:srcRect l="31844" t="16814" r="34155" b="8260"/>
                    <a:stretch/>
                  </pic:blipFill>
                  <pic:spPr bwMode="auto">
                    <a:xfrm>
                      <a:off x="0" y="0"/>
                      <a:ext cx="5455455" cy="6759442"/>
                    </a:xfrm>
                    <a:prstGeom prst="rect">
                      <a:avLst/>
                    </a:prstGeom>
                    <a:ln>
                      <a:noFill/>
                    </a:ln>
                    <a:extLst>
                      <a:ext uri="{53640926-AAD7-44D8-BBD7-CCE9431645EC}">
                        <a14:shadowObscured xmlns:a14="http://schemas.microsoft.com/office/drawing/2010/main"/>
                      </a:ext>
                    </a:extLst>
                  </pic:spPr>
                </pic:pic>
              </a:graphicData>
            </a:graphic>
          </wp:inline>
        </w:drawing>
      </w:r>
    </w:p>
    <w:p w14:paraId="54DB6797" w14:textId="0AF78769" w:rsidR="001A3231" w:rsidRDefault="001A3231" w:rsidP="001A3231">
      <w:pPr>
        <w:autoSpaceDE w:val="0"/>
        <w:autoSpaceDN w:val="0"/>
        <w:adjustRightInd w:val="0"/>
        <w:spacing w:line="360" w:lineRule="auto"/>
        <w:contextualSpacing/>
        <w:jc w:val="center"/>
        <w:rPr>
          <w:rFonts w:ascii="Palatino Linotype" w:hAnsi="Palatino Linotype" w:cs="Tahoma"/>
          <w:b/>
          <w:sz w:val="22"/>
          <w:szCs w:val="22"/>
        </w:rPr>
      </w:pPr>
      <w:r>
        <w:rPr>
          <w:noProof/>
        </w:rPr>
        <w:lastRenderedPageBreak/>
        <w:drawing>
          <wp:inline distT="0" distB="0" distL="0" distR="0" wp14:anchorId="55128542" wp14:editId="70C153B1">
            <wp:extent cx="5481286" cy="3190875"/>
            <wp:effectExtent l="0" t="0" r="5715"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10"/>
                    <a:srcRect l="32010" t="25369" r="35558" b="41052"/>
                    <a:stretch/>
                  </pic:blipFill>
                  <pic:spPr bwMode="auto">
                    <a:xfrm>
                      <a:off x="0" y="0"/>
                      <a:ext cx="5502961" cy="3203493"/>
                    </a:xfrm>
                    <a:prstGeom prst="rect">
                      <a:avLst/>
                    </a:prstGeom>
                    <a:ln>
                      <a:noFill/>
                    </a:ln>
                    <a:extLst>
                      <a:ext uri="{53640926-AAD7-44D8-BBD7-CCE9431645EC}">
                        <a14:shadowObscured xmlns:a14="http://schemas.microsoft.com/office/drawing/2010/main"/>
                      </a:ext>
                    </a:extLst>
                  </pic:spPr>
                </pic:pic>
              </a:graphicData>
            </a:graphic>
          </wp:inline>
        </w:drawing>
      </w:r>
    </w:p>
    <w:p w14:paraId="6EA11979" w14:textId="5EB203FC" w:rsidR="001A3231" w:rsidRDefault="007B1661" w:rsidP="001A3231">
      <w:pPr>
        <w:autoSpaceDE w:val="0"/>
        <w:autoSpaceDN w:val="0"/>
        <w:adjustRightInd w:val="0"/>
        <w:spacing w:line="360" w:lineRule="auto"/>
        <w:contextualSpacing/>
        <w:jc w:val="center"/>
        <w:rPr>
          <w:rFonts w:ascii="Palatino Linotype" w:hAnsi="Palatino Linotype" w:cs="Tahoma"/>
          <w:b/>
          <w:sz w:val="22"/>
          <w:szCs w:val="22"/>
        </w:rPr>
      </w:pPr>
      <w:r>
        <w:rPr>
          <w:rFonts w:ascii="Palatino Linotype" w:hAnsi="Palatino Linotype" w:cs="Tahoma"/>
          <w:b/>
          <w:noProof/>
          <w:sz w:val="22"/>
          <w:szCs w:val="22"/>
        </w:rPr>
        <mc:AlternateContent>
          <mc:Choice Requires="wps">
            <w:drawing>
              <wp:anchor distT="0" distB="0" distL="114300" distR="114300" simplePos="0" relativeHeight="251662336" behindDoc="0" locked="0" layoutInCell="1" allowOverlap="1" wp14:anchorId="6E4FBB47" wp14:editId="74DEA6A4">
                <wp:simplePos x="0" y="0"/>
                <wp:positionH relativeFrom="column">
                  <wp:posOffset>58420</wp:posOffset>
                </wp:positionH>
                <wp:positionV relativeFrom="paragraph">
                  <wp:posOffset>215264</wp:posOffset>
                </wp:positionV>
                <wp:extent cx="5638800" cy="3267075"/>
                <wp:effectExtent l="0" t="0" r="19050" b="28575"/>
                <wp:wrapNone/>
                <wp:docPr id="22" name="Conector recto 22"/>
                <wp:cNvGraphicFramePr/>
                <a:graphic xmlns:a="http://schemas.openxmlformats.org/drawingml/2006/main">
                  <a:graphicData uri="http://schemas.microsoft.com/office/word/2010/wordprocessingShape">
                    <wps:wsp>
                      <wps:cNvCnPr/>
                      <wps:spPr>
                        <a:xfrm>
                          <a:off x="0" y="0"/>
                          <a:ext cx="5638800" cy="32670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Conector recto 22"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5pt" from="4.6pt,16.95pt" to="448.6pt,274.2pt" w14:anchorId="55E29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">
                <v:stroke joinstyle="miter"/>
              </v:line>
            </w:pict>
          </mc:Fallback>
        </mc:AlternateContent>
      </w:r>
    </w:p>
    <w:p w14:paraId="2EF53FE5" w14:textId="596B6875" w:rsidR="001A3231" w:rsidRDefault="007B1661" w:rsidP="007B1661">
      <w:pPr>
        <w:autoSpaceDE w:val="0"/>
        <w:autoSpaceDN w:val="0"/>
        <w:adjustRightInd w:val="0"/>
        <w:spacing w:line="360" w:lineRule="auto"/>
        <w:contextualSpacing/>
        <w:jc w:val="center"/>
        <w:rPr>
          <w:rFonts w:ascii="Palatino Linotype" w:hAnsi="Palatino Linotype" w:cs="Tahoma"/>
          <w:b/>
          <w:sz w:val="22"/>
          <w:szCs w:val="22"/>
        </w:rPr>
      </w:pPr>
      <w:r>
        <w:rPr>
          <w:noProof/>
        </w:rPr>
        <w:lastRenderedPageBreak/>
        <w:drawing>
          <wp:inline distT="0" distB="0" distL="0" distR="0" wp14:anchorId="08932BB2" wp14:editId="3C222436">
            <wp:extent cx="6779426" cy="2688593"/>
            <wp:effectExtent l="6985" t="0" r="0" b="0"/>
            <wp:docPr id="14" name="Imagen 14"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abla&#10;&#10;Descripción generada automáticamente"/>
                    <pic:cNvPicPr/>
                  </pic:nvPicPr>
                  <pic:blipFill rotWithShape="1">
                    <a:blip r:embed="rId11"/>
                    <a:srcRect l="1658" t="22714" r="1317" b="8849"/>
                    <a:stretch/>
                  </pic:blipFill>
                  <pic:spPr bwMode="auto">
                    <a:xfrm rot="16200000">
                      <a:off x="0" y="0"/>
                      <a:ext cx="6785398" cy="2690961"/>
                    </a:xfrm>
                    <a:prstGeom prst="rect">
                      <a:avLst/>
                    </a:prstGeom>
                    <a:ln>
                      <a:noFill/>
                    </a:ln>
                    <a:extLst>
                      <a:ext uri="{53640926-AAD7-44D8-BBD7-CCE9431645EC}">
                        <a14:shadowObscured xmlns:a14="http://schemas.microsoft.com/office/drawing/2010/main"/>
                      </a:ext>
                    </a:extLst>
                  </pic:spPr>
                </pic:pic>
              </a:graphicData>
            </a:graphic>
          </wp:inline>
        </w:drawing>
      </w:r>
    </w:p>
    <w:p w14:paraId="51E86D72" w14:textId="74262D22" w:rsidR="007B1661" w:rsidRPr="007B1661" w:rsidRDefault="007B1661" w:rsidP="007B1661">
      <w:pPr>
        <w:tabs>
          <w:tab w:val="left" w:pos="3122"/>
        </w:tabs>
        <w:spacing w:line="360" w:lineRule="auto"/>
        <w:contextualSpacing/>
        <w:jc w:val="both"/>
        <w:rPr>
          <w:rFonts w:ascii="Palatino Linotype" w:hAnsi="Palatino Linotype" w:cs="Tahoma"/>
          <w:sz w:val="22"/>
          <w:szCs w:val="22"/>
        </w:rPr>
      </w:pPr>
      <w:r w:rsidRPr="007B1661">
        <w:rPr>
          <w:rFonts w:ascii="Palatino Linotype" w:hAnsi="Palatino Linotype" w:cs="Tahoma"/>
          <w:sz w:val="22"/>
          <w:szCs w:val="22"/>
        </w:rPr>
        <w:lastRenderedPageBreak/>
        <w:t>Esta última imagen da cuenta del ISR retenido y enterado de enero del 2019 a octubre del 2021</w:t>
      </w:r>
    </w:p>
    <w:p w14:paraId="2404B927" w14:textId="643FE56E" w:rsidR="007B1661" w:rsidRDefault="007B1661" w:rsidP="00147516">
      <w:pPr>
        <w:autoSpaceDE w:val="0"/>
        <w:autoSpaceDN w:val="0"/>
        <w:adjustRightInd w:val="0"/>
        <w:spacing w:line="360" w:lineRule="auto"/>
        <w:contextualSpacing/>
        <w:jc w:val="both"/>
        <w:rPr>
          <w:rFonts w:ascii="Palatino Linotype" w:hAnsi="Palatino Linotype" w:cs="Tahoma"/>
          <w:b/>
          <w:sz w:val="22"/>
          <w:szCs w:val="22"/>
        </w:rPr>
      </w:pPr>
    </w:p>
    <w:p w14:paraId="4EA357C6" w14:textId="5CBB99B6" w:rsidR="001A412B" w:rsidRDefault="00D5699B" w:rsidP="00147516">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w:t>
      </w:r>
      <w:r w:rsidR="00C90C46">
        <w:rPr>
          <w:rFonts w:ascii="Palatino Linotype" w:hAnsi="Palatino Linotype" w:cs="Tahoma"/>
          <w:b/>
          <w:sz w:val="22"/>
          <w:szCs w:val="22"/>
        </w:rPr>
        <w:t>II</w:t>
      </w:r>
      <w:r w:rsidR="009A7587" w:rsidRPr="008E3507">
        <w:rPr>
          <w:rFonts w:ascii="Palatino Linotype" w:hAnsi="Palatino Linotype" w:cs="Tahoma"/>
          <w:b/>
          <w:sz w:val="22"/>
          <w:szCs w:val="22"/>
        </w:rPr>
        <w:t xml:space="preserve">. Interposición del Recurso de Revisión. </w:t>
      </w:r>
    </w:p>
    <w:p w14:paraId="6B6B2F61" w14:textId="77777777" w:rsidR="00F87649" w:rsidRPr="00A650C6" w:rsidRDefault="00F87649" w:rsidP="00147516">
      <w:pPr>
        <w:autoSpaceDE w:val="0"/>
        <w:autoSpaceDN w:val="0"/>
        <w:adjustRightInd w:val="0"/>
        <w:spacing w:line="360" w:lineRule="auto"/>
        <w:contextualSpacing/>
        <w:jc w:val="both"/>
        <w:rPr>
          <w:rFonts w:ascii="Palatino Linotype" w:hAnsi="Palatino Linotype" w:cs="Tahoma"/>
          <w:b/>
          <w:sz w:val="18"/>
          <w:szCs w:val="22"/>
        </w:rPr>
      </w:pPr>
    </w:p>
    <w:p w14:paraId="0A057E06" w14:textId="6B14BD70" w:rsidR="009A7587" w:rsidRDefault="009A7587" w:rsidP="00147516">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7C15D1">
        <w:rPr>
          <w:rFonts w:ascii="Palatino Linotype" w:hAnsi="Palatino Linotype" w:cs="Tahoma"/>
          <w:sz w:val="22"/>
          <w:szCs w:val="22"/>
        </w:rPr>
        <w:t>veintidós</w:t>
      </w:r>
      <w:r w:rsidR="008436E1">
        <w:rPr>
          <w:rFonts w:ascii="Palatino Linotype" w:hAnsi="Palatino Linotype" w:cs="Tahoma"/>
          <w:sz w:val="22"/>
          <w:szCs w:val="22"/>
        </w:rPr>
        <w:t xml:space="preserve"> de febrero </w:t>
      </w:r>
      <w:r w:rsidR="00B267E1">
        <w:rPr>
          <w:rFonts w:ascii="Palatino Linotype" w:hAnsi="Palatino Linotype" w:cs="Tahoma"/>
          <w:sz w:val="22"/>
          <w:szCs w:val="22"/>
        </w:rPr>
        <w:t>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008E6658" w:rsidRPr="00FE1F0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00655265" w:rsidRPr="00FE1F08">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00655265" w:rsidRPr="008E3507">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14:paraId="0FC0614F" w14:textId="77777777" w:rsidR="00AB6595" w:rsidRDefault="00AB6595" w:rsidP="00147516">
      <w:pPr>
        <w:tabs>
          <w:tab w:val="left" w:pos="3122"/>
        </w:tabs>
        <w:spacing w:line="360" w:lineRule="auto"/>
        <w:contextualSpacing/>
        <w:jc w:val="both"/>
        <w:rPr>
          <w:rFonts w:ascii="Palatino Linotype" w:hAnsi="Palatino Linotype" w:cs="Tahoma"/>
          <w:sz w:val="22"/>
          <w:szCs w:val="22"/>
        </w:rPr>
      </w:pPr>
    </w:p>
    <w:p w14:paraId="6261BEDB" w14:textId="77777777" w:rsidR="00D5699B" w:rsidRPr="00D5699B" w:rsidRDefault="00D5699B" w:rsidP="00147516">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t>ACTO IMPUGNADO:</w:t>
      </w:r>
    </w:p>
    <w:p w14:paraId="5AE3C960" w14:textId="72F54FE7" w:rsidR="003D1770" w:rsidRPr="006119FC" w:rsidRDefault="007C15D1" w:rsidP="00147516">
      <w:pPr>
        <w:spacing w:line="360" w:lineRule="auto"/>
        <w:ind w:left="567" w:right="539"/>
        <w:contextualSpacing/>
        <w:jc w:val="both"/>
        <w:rPr>
          <w:rFonts w:ascii="Palatino Linotype" w:hAnsi="Palatino Linotype" w:cs="Tahoma"/>
          <w:i/>
          <w:iCs/>
        </w:rPr>
      </w:pPr>
      <w:r w:rsidRPr="007C15D1">
        <w:rPr>
          <w:rFonts w:ascii="Palatino Linotype" w:hAnsi="Palatino Linotype" w:cs="Tahoma"/>
          <w:i/>
          <w:iCs/>
        </w:rPr>
        <w:t>Su respuesta oficio UTAI/031/2022 no tiene razón de ser ni sustento legal a lo solicitado.</w:t>
      </w:r>
      <w:r w:rsidR="00E55401" w:rsidRPr="006119FC">
        <w:rPr>
          <w:rFonts w:ascii="Palatino Linotype" w:hAnsi="Palatino Linotype" w:cs="Tahoma"/>
          <w:i/>
          <w:iCs/>
        </w:rPr>
        <w:t>"</w:t>
      </w:r>
    </w:p>
    <w:p w14:paraId="6FB13E57" w14:textId="77777777" w:rsidR="007E4927" w:rsidRDefault="007E4927" w:rsidP="00147516">
      <w:pPr>
        <w:spacing w:line="360" w:lineRule="auto"/>
        <w:ind w:left="567" w:right="539"/>
        <w:contextualSpacing/>
        <w:jc w:val="both"/>
        <w:rPr>
          <w:rFonts w:ascii="Palatino Linotype" w:hAnsi="Palatino Linotype" w:cs="Tahoma"/>
          <w:bCs/>
          <w:i/>
          <w:szCs w:val="22"/>
        </w:rPr>
      </w:pPr>
    </w:p>
    <w:p w14:paraId="7DB180F8" w14:textId="26C118CE" w:rsidR="00D5699B" w:rsidRDefault="00D5699B" w:rsidP="00147516">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14:paraId="5A160392" w14:textId="39458CC0" w:rsidR="00B273B5" w:rsidRPr="007C15D1" w:rsidRDefault="007C15D1" w:rsidP="007C15D1">
      <w:pPr>
        <w:spacing w:line="360" w:lineRule="auto"/>
        <w:ind w:left="567" w:right="539"/>
        <w:contextualSpacing/>
        <w:jc w:val="both"/>
        <w:rPr>
          <w:rFonts w:ascii="Palatino Linotype" w:hAnsi="Palatino Linotype" w:cs="Tahoma"/>
          <w:i/>
          <w:iCs/>
        </w:rPr>
      </w:pPr>
      <w:r w:rsidRPr="007C15D1">
        <w:rPr>
          <w:rFonts w:ascii="Palatino Linotype" w:hAnsi="Palatino Linotype" w:cs="Tahoma"/>
          <w:i/>
          <w:iCs/>
        </w:rPr>
        <w:t xml:space="preserve">Por medio de la presente hoy 22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Organismo Público Descentralizado para la Prestación de Los Servicios de Agua Potable Alcantarillado y Saneamiento del Municipio de Lerma, ya que su respuesta que me entrego oficios: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w:t>
      </w:r>
      <w:r w:rsidRPr="007C15D1">
        <w:rPr>
          <w:rFonts w:ascii="Palatino Linotype" w:hAnsi="Palatino Linotype" w:cs="Tahoma"/>
          <w:i/>
          <w:iCs/>
        </w:rPr>
        <w:lastRenderedPageBreak/>
        <w:t xml:space="preserve">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Organismo Público Descentralizado para la Prestación de Los Servicios de Agua Potable Alcantarillado y Saneamiento del Municipio de Lerma,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7C15D1">
        <w:rPr>
          <w:rFonts w:ascii="Palatino Linotype" w:hAnsi="Palatino Linotype" w:cs="Tahoma"/>
          <w:i/>
          <w:iCs/>
        </w:rPr>
        <w:t>pdf</w:t>
      </w:r>
      <w:proofErr w:type="spellEnd"/>
      <w:r w:rsidRPr="007C15D1">
        <w:rPr>
          <w:rFonts w:ascii="Palatino Linotype" w:hAnsi="Palatino Linotype" w:cs="Tahoma"/>
          <w:i/>
          <w:iCs/>
        </w:rPr>
        <w:t xml:space="preserve">, se envían y listo. Respecto a las otras dos presentaciones del visor de nóminas del SAT (Vista anual acumulada vista Horizontal y vertical y detalle mensual) solo tiene que descargar los </w:t>
      </w:r>
      <w:proofErr w:type="spellStart"/>
      <w:r w:rsidRPr="007C15D1">
        <w:rPr>
          <w:rFonts w:ascii="Palatino Linotype" w:hAnsi="Palatino Linotype" w:cs="Tahoma"/>
          <w:i/>
          <w:iCs/>
        </w:rPr>
        <w:t>pdf</w:t>
      </w:r>
      <w:proofErr w:type="spellEnd"/>
      <w:r w:rsidRPr="007C15D1">
        <w:rPr>
          <w:rFonts w:ascii="Palatino Linotype" w:hAnsi="Palatino Linotype" w:cs="Tahoma"/>
          <w:i/>
          <w:iCs/>
        </w:rPr>
        <w:t xml:space="preserve">. de su portal del SAT. Dando solo dos </w:t>
      </w:r>
      <w:proofErr w:type="spellStart"/>
      <w:r w:rsidRPr="007C15D1">
        <w:rPr>
          <w:rFonts w:ascii="Palatino Linotype" w:hAnsi="Palatino Linotype" w:cs="Tahoma"/>
          <w:i/>
          <w:iCs/>
        </w:rPr>
        <w:t>clicks</w:t>
      </w:r>
      <w:proofErr w:type="spellEnd"/>
      <w:r w:rsidRPr="007C15D1">
        <w:rPr>
          <w:rFonts w:ascii="Palatino Linotype" w:hAnsi="Palatino Linotype" w:cs="Tahoma"/>
          <w:i/>
          <w:iCs/>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w:t>
      </w:r>
      <w:proofErr w:type="spellStart"/>
      <w:r w:rsidRPr="007C15D1">
        <w:rPr>
          <w:rFonts w:ascii="Palatino Linotype" w:hAnsi="Palatino Linotype" w:cs="Tahoma"/>
          <w:i/>
          <w:iCs/>
        </w:rPr>
        <w:t>si</w:t>
      </w:r>
      <w:proofErr w:type="spellEnd"/>
      <w:r w:rsidRPr="007C15D1">
        <w:rPr>
          <w:rFonts w:ascii="Palatino Linotype" w:hAnsi="Palatino Linotype" w:cs="Tahoma"/>
          <w:i/>
          <w:iCs/>
        </w:rPr>
        <w:t xml:space="preserve"> aplica es darme las constancias y opiniones de cumplimiento al día de esas Recaudadoras estatales y respecto al punto I espero ahora si lo haya entendido que es una herramienta de ayuda del SAT para ellos y son reportes ya entregados y si </w:t>
      </w:r>
      <w:proofErr w:type="spellStart"/>
      <w:r w:rsidRPr="007C15D1">
        <w:rPr>
          <w:rFonts w:ascii="Palatino Linotype" w:hAnsi="Palatino Linotype" w:cs="Tahoma"/>
          <w:i/>
          <w:iCs/>
        </w:rPr>
        <w:t>aún</w:t>
      </w:r>
      <w:proofErr w:type="spellEnd"/>
      <w:r w:rsidRPr="007C15D1">
        <w:rPr>
          <w:rFonts w:ascii="Palatino Linotype" w:hAnsi="Palatino Linotype" w:cs="Tahoma"/>
          <w:i/>
          <w:iCs/>
        </w:rPr>
        <w:t xml:space="preserve"> así no le queda claro para ayudarlo le adjunto ejemplos reales de otros entes públicos y sepa que es lo que le solicito y le falta por entregar. Esperando por fin le haya quedado claro lo requerido al Ente </w:t>
      </w:r>
      <w:r w:rsidRPr="007C15D1">
        <w:rPr>
          <w:rFonts w:ascii="Palatino Linotype" w:hAnsi="Palatino Linotype" w:cs="Tahoma"/>
          <w:i/>
          <w:iCs/>
        </w:rPr>
        <w:lastRenderedPageBreak/>
        <w:t xml:space="preserve">Público Obligado, pido de favor se atienda lo solicitado a la brevedad y no mandarme evasivas sin sustentos. Ocupo los visores de nómina en sus tres presentaciones; a) vista anual acumulada, detalle mensual y detalle diferencias sueldos y salarios por los años 2018, 2019, 2020 y </w:t>
      </w:r>
      <w:proofErr w:type="gramStart"/>
      <w:r w:rsidRPr="007C15D1">
        <w:rPr>
          <w:rFonts w:ascii="Palatino Linotype" w:hAnsi="Palatino Linotype" w:cs="Tahoma"/>
          <w:i/>
          <w:iCs/>
        </w:rPr>
        <w:t>2021 .Además</w:t>
      </w:r>
      <w:proofErr w:type="gramEnd"/>
      <w:r w:rsidRPr="007C15D1">
        <w:rPr>
          <w:rFonts w:ascii="Palatino Linotype" w:hAnsi="Palatino Linotype" w:cs="Tahoma"/>
          <w:i/>
          <w:iCs/>
        </w:rPr>
        <w:t xml:space="preserve"> de los otros puntos II, III y IV si es que aplican. Y el V y VI es una sugerencia para </w:t>
      </w:r>
      <w:proofErr w:type="spellStart"/>
      <w:r w:rsidRPr="007C15D1">
        <w:rPr>
          <w:rFonts w:ascii="Palatino Linotype" w:hAnsi="Palatino Linotype" w:cs="Tahoma"/>
          <w:i/>
          <w:iCs/>
        </w:rPr>
        <w:t>eficientar</w:t>
      </w:r>
      <w:proofErr w:type="spellEnd"/>
      <w:r w:rsidRPr="007C15D1">
        <w:rPr>
          <w:rFonts w:ascii="Palatino Linotype" w:hAnsi="Palatino Linotype" w:cs="Tahoma"/>
          <w:i/>
          <w:iCs/>
        </w:rPr>
        <w:t xml:space="preserve">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F12367" w:rsidRPr="00F12367">
        <w:rPr>
          <w:rFonts w:ascii="Palatino Linotype" w:hAnsi="Palatino Linotype" w:cs="Tahoma"/>
          <w:i/>
          <w:iCs/>
          <w:highlight w:val="black"/>
        </w:rPr>
        <w:t>XXXXXXX</w:t>
      </w:r>
    </w:p>
    <w:p w14:paraId="6FA48F9B" w14:textId="77777777" w:rsidR="007C15D1" w:rsidRDefault="007C15D1" w:rsidP="006B06C3">
      <w:pPr>
        <w:spacing w:line="360" w:lineRule="auto"/>
        <w:ind w:right="539"/>
        <w:contextualSpacing/>
        <w:jc w:val="both"/>
        <w:rPr>
          <w:rFonts w:ascii="Palatino Linotype" w:hAnsi="Palatino Linotype" w:cs="Tahoma"/>
          <w:b/>
          <w:szCs w:val="22"/>
        </w:rPr>
      </w:pPr>
    </w:p>
    <w:p w14:paraId="4A4AA4D6" w14:textId="5828FDE1" w:rsidR="006B06C3" w:rsidRDefault="006B06C3" w:rsidP="006B06C3">
      <w:pPr>
        <w:spacing w:line="360" w:lineRule="auto"/>
        <w:contextualSpacing/>
        <w:jc w:val="both"/>
        <w:rPr>
          <w:rFonts w:ascii="Palatino Linotype" w:eastAsia="Batang" w:hAnsi="Palatino Linotype" w:cs="Tahoma"/>
          <w:bCs/>
          <w:sz w:val="22"/>
          <w:szCs w:val="22"/>
        </w:rPr>
      </w:pPr>
      <w:r w:rsidRPr="006B06C3">
        <w:rPr>
          <w:rFonts w:ascii="Palatino Linotype" w:eastAsia="Batang" w:hAnsi="Palatino Linotype" w:cs="Tahoma"/>
          <w:bCs/>
          <w:sz w:val="22"/>
          <w:szCs w:val="22"/>
        </w:rPr>
        <w:t>A su interposición adjuntó tres documentos</w:t>
      </w:r>
      <w:r w:rsidR="007C15D1">
        <w:rPr>
          <w:rFonts w:ascii="Palatino Linotype" w:eastAsia="Batang" w:hAnsi="Palatino Linotype" w:cs="Tahoma"/>
          <w:bCs/>
          <w:sz w:val="22"/>
          <w:szCs w:val="22"/>
        </w:rPr>
        <w:t>:</w:t>
      </w:r>
    </w:p>
    <w:p w14:paraId="12761C51" w14:textId="77777777" w:rsidR="007C15D1" w:rsidRPr="006B06C3" w:rsidRDefault="007C15D1" w:rsidP="006B06C3">
      <w:pPr>
        <w:spacing w:line="360" w:lineRule="auto"/>
        <w:contextualSpacing/>
        <w:jc w:val="both"/>
        <w:rPr>
          <w:rFonts w:ascii="Palatino Linotype" w:eastAsia="Batang" w:hAnsi="Palatino Linotype" w:cs="Tahoma"/>
          <w:bCs/>
          <w:sz w:val="22"/>
          <w:szCs w:val="22"/>
        </w:rPr>
      </w:pPr>
    </w:p>
    <w:p w14:paraId="1D762C14" w14:textId="2D721924" w:rsidR="00CF3321" w:rsidRDefault="006B06C3" w:rsidP="00633A2C">
      <w:pPr>
        <w:pStyle w:val="Prrafodelista"/>
        <w:numPr>
          <w:ilvl w:val="0"/>
          <w:numId w:val="29"/>
        </w:numPr>
        <w:spacing w:line="360" w:lineRule="auto"/>
        <w:jc w:val="both"/>
        <w:rPr>
          <w:rFonts w:ascii="Palatino Linotype" w:eastAsia="Batang" w:hAnsi="Palatino Linotype" w:cs="Tahoma"/>
          <w:bCs/>
          <w:szCs w:val="22"/>
        </w:rPr>
      </w:pPr>
      <w:r w:rsidRPr="00CF3321">
        <w:rPr>
          <w:rFonts w:ascii="Palatino Linotype" w:eastAsia="Batang" w:hAnsi="Palatino Linotype" w:cs="Tahoma"/>
          <w:b/>
          <w:szCs w:val="22"/>
        </w:rPr>
        <w:t>G-35-03-03-2018-01 ejemplo presentación detalle mensual.pdf</w:t>
      </w:r>
      <w:r w:rsidR="00CF3321" w:rsidRPr="00CF3321">
        <w:rPr>
          <w:rFonts w:ascii="Palatino Linotype" w:eastAsia="Batang" w:hAnsi="Palatino Linotype" w:cs="Tahoma"/>
          <w:b/>
          <w:szCs w:val="22"/>
        </w:rPr>
        <w:t xml:space="preserve">. </w:t>
      </w:r>
      <w:r w:rsidR="00CF3321" w:rsidRPr="00CF3321">
        <w:rPr>
          <w:rFonts w:ascii="Palatino Linotype" w:eastAsia="Batang" w:hAnsi="Palatino Linotype" w:cs="Tahoma"/>
          <w:bCs/>
          <w:szCs w:val="22"/>
        </w:rPr>
        <w:t>Documento de tres fojas, que lleva por rubro “Información de pagos y retenciones por sueldos y salarios realizados a tus trabajadores Detalle Mensual - Ejercicio: 2018”</w:t>
      </w:r>
      <w:r w:rsidR="00CF3321">
        <w:rPr>
          <w:rFonts w:ascii="Palatino Linotype" w:eastAsia="Batang" w:hAnsi="Palatino Linotype" w:cs="Tahoma"/>
          <w:bCs/>
          <w:szCs w:val="22"/>
        </w:rPr>
        <w:t xml:space="preserve">, </w:t>
      </w:r>
      <w:r w:rsidR="00AC1977">
        <w:rPr>
          <w:rFonts w:ascii="Palatino Linotype" w:eastAsia="Batang" w:hAnsi="Palatino Linotype" w:cs="Tahoma"/>
          <w:bCs/>
          <w:szCs w:val="22"/>
        </w:rPr>
        <w:t>que lleva por nombre, denominación o razón social “</w:t>
      </w:r>
      <w:r w:rsidR="00AC1977" w:rsidRPr="00AC1977">
        <w:rPr>
          <w:rFonts w:ascii="Palatino Linotype" w:eastAsia="Batang" w:hAnsi="Palatino Linotype" w:cs="Tahoma"/>
          <w:bCs/>
          <w:szCs w:val="22"/>
        </w:rPr>
        <w:t>SISTEMA PARA EL DESARROLLO INTEGRAL DE LA FAMILIA DEL MUNICIPIO DE SANTA CRUZ DE JUVENTINO ROSAS, GTO. SIN TIPO DE SOCIEDAD</w:t>
      </w:r>
      <w:r w:rsidR="00AC1977">
        <w:rPr>
          <w:rFonts w:ascii="Palatino Linotype" w:eastAsia="Batang" w:hAnsi="Palatino Linotype" w:cs="Tahoma"/>
          <w:bCs/>
          <w:szCs w:val="22"/>
        </w:rPr>
        <w:t xml:space="preserve">” </w:t>
      </w:r>
      <w:r w:rsidR="00CF3321">
        <w:rPr>
          <w:rFonts w:ascii="Palatino Linotype" w:eastAsia="Batang" w:hAnsi="Palatino Linotype" w:cs="Tahoma"/>
          <w:bCs/>
          <w:szCs w:val="22"/>
        </w:rPr>
        <w:t>que se reproduce a través de las siguientes imágenes:</w:t>
      </w:r>
    </w:p>
    <w:p w14:paraId="4B4FA524" w14:textId="2D3A687D" w:rsidR="00CF3321" w:rsidRDefault="00CF3321" w:rsidP="00B379C3">
      <w:pPr>
        <w:spacing w:line="360" w:lineRule="auto"/>
        <w:jc w:val="center"/>
        <w:rPr>
          <w:rFonts w:ascii="Palatino Linotype" w:eastAsia="Batang" w:hAnsi="Palatino Linotype" w:cs="Tahoma"/>
          <w:bCs/>
          <w:szCs w:val="22"/>
        </w:rPr>
      </w:pPr>
      <w:r>
        <w:rPr>
          <w:noProof/>
        </w:rPr>
        <w:lastRenderedPageBreak/>
        <w:drawing>
          <wp:inline distT="0" distB="0" distL="0" distR="0" wp14:anchorId="34C74845" wp14:editId="267F2FEF">
            <wp:extent cx="5797332" cy="3648075"/>
            <wp:effectExtent l="0" t="0" r="0" b="0"/>
            <wp:docPr id="7" name="Imagen 7"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Tabla, Excel&#10;&#10;Descripción generada automáticamente"/>
                    <pic:cNvPicPr/>
                  </pic:nvPicPr>
                  <pic:blipFill rotWithShape="1">
                    <a:blip r:embed="rId12"/>
                    <a:srcRect l="15093" t="17109" r="16906" b="6784"/>
                    <a:stretch/>
                  </pic:blipFill>
                  <pic:spPr bwMode="auto">
                    <a:xfrm>
                      <a:off x="0" y="0"/>
                      <a:ext cx="5853453" cy="3683390"/>
                    </a:xfrm>
                    <a:prstGeom prst="rect">
                      <a:avLst/>
                    </a:prstGeom>
                    <a:ln>
                      <a:noFill/>
                    </a:ln>
                    <a:extLst>
                      <a:ext uri="{53640926-AAD7-44D8-BBD7-CCE9431645EC}">
                        <a14:shadowObscured xmlns:a14="http://schemas.microsoft.com/office/drawing/2010/main"/>
                      </a:ext>
                    </a:extLst>
                  </pic:spPr>
                </pic:pic>
              </a:graphicData>
            </a:graphic>
          </wp:inline>
        </w:drawing>
      </w:r>
    </w:p>
    <w:p w14:paraId="30F9298D" w14:textId="633AAFF9" w:rsidR="00CF3321" w:rsidRDefault="0001126C" w:rsidP="00CF3321">
      <w:pPr>
        <w:spacing w:line="360" w:lineRule="auto"/>
        <w:jc w:val="both"/>
        <w:rPr>
          <w:rFonts w:ascii="Palatino Linotype" w:eastAsia="Batang" w:hAnsi="Palatino Linotype" w:cs="Tahoma"/>
          <w:bCs/>
          <w:szCs w:val="22"/>
        </w:rPr>
      </w:pPr>
      <w:r>
        <w:rPr>
          <w:rFonts w:ascii="Palatino Linotype" w:eastAsia="Batang" w:hAnsi="Palatino Linotype" w:cs="Tahoma"/>
          <w:bCs/>
          <w:noProof/>
          <w:szCs w:val="22"/>
        </w:rPr>
        <mc:AlternateContent>
          <mc:Choice Requires="wps">
            <w:drawing>
              <wp:anchor distT="0" distB="0" distL="114300" distR="114300" simplePos="0" relativeHeight="251661312" behindDoc="0" locked="0" layoutInCell="1" allowOverlap="1" wp14:anchorId="5D7DDEB6" wp14:editId="599894A3">
                <wp:simplePos x="0" y="0"/>
                <wp:positionH relativeFrom="column">
                  <wp:posOffset>58420</wp:posOffset>
                </wp:positionH>
                <wp:positionV relativeFrom="paragraph">
                  <wp:posOffset>24129</wp:posOffset>
                </wp:positionV>
                <wp:extent cx="5505450" cy="206692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5505450" cy="20669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Conector recto 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5pt" from="4.6pt,1.9pt" to="438.1pt,164.65pt" w14:anchorId="65C758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">
                <v:stroke joinstyle="miter"/>
              </v:line>
            </w:pict>
          </mc:Fallback>
        </mc:AlternateContent>
      </w:r>
    </w:p>
    <w:p w14:paraId="76B50EAF" w14:textId="4648A9CA" w:rsidR="00CF3321" w:rsidRPr="00CF3321" w:rsidRDefault="00D93761" w:rsidP="00B379C3">
      <w:pPr>
        <w:spacing w:line="360" w:lineRule="auto"/>
        <w:jc w:val="center"/>
        <w:rPr>
          <w:rFonts w:ascii="Palatino Linotype" w:eastAsia="Batang" w:hAnsi="Palatino Linotype" w:cs="Tahoma"/>
          <w:bCs/>
          <w:szCs w:val="22"/>
        </w:rPr>
      </w:pPr>
      <w:r>
        <w:rPr>
          <w:noProof/>
        </w:rPr>
        <w:lastRenderedPageBreak/>
        <w:drawing>
          <wp:inline distT="0" distB="0" distL="0" distR="0" wp14:anchorId="6CA6953A" wp14:editId="79355B4A">
            <wp:extent cx="5324027" cy="3372745"/>
            <wp:effectExtent l="0" t="0" r="0" b="0"/>
            <wp:docPr id="8" name="Imagen 8"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10;&#10;Descripción generada automáticamente"/>
                    <pic:cNvPicPr/>
                  </pic:nvPicPr>
                  <pic:blipFill rotWithShape="1">
                    <a:blip r:embed="rId13"/>
                    <a:srcRect l="15259" t="17108" r="16409" b="5900"/>
                    <a:stretch/>
                  </pic:blipFill>
                  <pic:spPr bwMode="auto">
                    <a:xfrm>
                      <a:off x="0" y="0"/>
                      <a:ext cx="5340999" cy="3383497"/>
                    </a:xfrm>
                    <a:prstGeom prst="rect">
                      <a:avLst/>
                    </a:prstGeom>
                    <a:ln>
                      <a:noFill/>
                    </a:ln>
                    <a:extLst>
                      <a:ext uri="{53640926-AAD7-44D8-BBD7-CCE9431645EC}">
                        <a14:shadowObscured xmlns:a14="http://schemas.microsoft.com/office/drawing/2010/main"/>
                      </a:ext>
                    </a:extLst>
                  </pic:spPr>
                </pic:pic>
              </a:graphicData>
            </a:graphic>
          </wp:inline>
        </w:drawing>
      </w:r>
    </w:p>
    <w:p w14:paraId="1379530F" w14:textId="2F386791" w:rsidR="00D93761" w:rsidRDefault="00D93761" w:rsidP="00B379C3">
      <w:pPr>
        <w:pStyle w:val="Prrafodelista"/>
        <w:spacing w:line="360" w:lineRule="auto"/>
        <w:ind w:left="0"/>
        <w:jc w:val="center"/>
        <w:rPr>
          <w:rFonts w:ascii="Palatino Linotype" w:eastAsia="Batang" w:hAnsi="Palatino Linotype" w:cs="Tahoma"/>
          <w:b/>
          <w:szCs w:val="22"/>
        </w:rPr>
      </w:pPr>
      <w:r>
        <w:rPr>
          <w:noProof/>
        </w:rPr>
        <w:drawing>
          <wp:inline distT="0" distB="0" distL="0" distR="0" wp14:anchorId="21E9ED63" wp14:editId="0F1431F5">
            <wp:extent cx="4933244" cy="3131643"/>
            <wp:effectExtent l="0" t="0" r="1270" b="0"/>
            <wp:docPr id="9"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pic:cNvPicPr/>
                  </pic:nvPicPr>
                  <pic:blipFill rotWithShape="1">
                    <a:blip r:embed="rId14"/>
                    <a:srcRect l="15590" t="17108" r="16740" b="6490"/>
                    <a:stretch/>
                  </pic:blipFill>
                  <pic:spPr bwMode="auto">
                    <a:xfrm>
                      <a:off x="0" y="0"/>
                      <a:ext cx="4944813" cy="3138987"/>
                    </a:xfrm>
                    <a:prstGeom prst="rect">
                      <a:avLst/>
                    </a:prstGeom>
                    <a:ln>
                      <a:noFill/>
                    </a:ln>
                    <a:extLst>
                      <a:ext uri="{53640926-AAD7-44D8-BBD7-CCE9431645EC}">
                        <a14:shadowObscured xmlns:a14="http://schemas.microsoft.com/office/drawing/2010/main"/>
                      </a:ext>
                    </a:extLst>
                  </pic:spPr>
                </pic:pic>
              </a:graphicData>
            </a:graphic>
          </wp:inline>
        </w:drawing>
      </w:r>
    </w:p>
    <w:p w14:paraId="7D91F1DB" w14:textId="1F83295C" w:rsidR="006B06C3" w:rsidRPr="0001126C" w:rsidRDefault="006B06C3" w:rsidP="00CF3321">
      <w:pPr>
        <w:pStyle w:val="Prrafodelista"/>
        <w:numPr>
          <w:ilvl w:val="0"/>
          <w:numId w:val="29"/>
        </w:numPr>
        <w:spacing w:line="360" w:lineRule="auto"/>
        <w:jc w:val="both"/>
        <w:rPr>
          <w:rFonts w:ascii="Palatino Linotype" w:eastAsia="Batang" w:hAnsi="Palatino Linotype" w:cs="Tahoma"/>
          <w:b/>
          <w:szCs w:val="22"/>
        </w:rPr>
      </w:pPr>
      <w:r w:rsidRPr="00CF3321">
        <w:rPr>
          <w:rFonts w:ascii="Palatino Linotype" w:eastAsia="Batang" w:hAnsi="Palatino Linotype" w:cs="Tahoma"/>
          <w:b/>
          <w:szCs w:val="22"/>
        </w:rPr>
        <w:lastRenderedPageBreak/>
        <w:t>G-13-03-01-2019-01 ejemplo vista anual acumulado o global.pdf</w:t>
      </w:r>
      <w:r w:rsidR="00D93761">
        <w:rPr>
          <w:rFonts w:ascii="Palatino Linotype" w:eastAsia="Batang" w:hAnsi="Palatino Linotype" w:cs="Tahoma"/>
          <w:b/>
          <w:szCs w:val="22"/>
        </w:rPr>
        <w:t xml:space="preserve">. </w:t>
      </w:r>
      <w:r w:rsidR="00D93761" w:rsidRPr="00CF3321">
        <w:rPr>
          <w:rFonts w:ascii="Palatino Linotype" w:eastAsia="Batang" w:hAnsi="Palatino Linotype" w:cs="Tahoma"/>
          <w:bCs/>
          <w:szCs w:val="22"/>
        </w:rPr>
        <w:t xml:space="preserve">Documento de </w:t>
      </w:r>
      <w:r w:rsidR="00D93761">
        <w:rPr>
          <w:rFonts w:ascii="Palatino Linotype" w:eastAsia="Batang" w:hAnsi="Palatino Linotype" w:cs="Tahoma"/>
          <w:bCs/>
          <w:szCs w:val="22"/>
        </w:rPr>
        <w:t>dos</w:t>
      </w:r>
      <w:r w:rsidR="00D93761" w:rsidRPr="00CF3321">
        <w:rPr>
          <w:rFonts w:ascii="Palatino Linotype" w:eastAsia="Batang" w:hAnsi="Palatino Linotype" w:cs="Tahoma"/>
          <w:bCs/>
          <w:szCs w:val="22"/>
        </w:rPr>
        <w:t xml:space="preserve"> fojas, que lleva por rubro “Información de pagos y retenciones por sueldos y salarios realizados a tus trabajadores Detalle Mensual - Ejercicio: 201</w:t>
      </w:r>
      <w:r w:rsidR="00D93761">
        <w:rPr>
          <w:rFonts w:ascii="Palatino Linotype" w:eastAsia="Batang" w:hAnsi="Palatino Linotype" w:cs="Tahoma"/>
          <w:bCs/>
          <w:szCs w:val="22"/>
        </w:rPr>
        <w:t xml:space="preserve">9” que lleva por nombre, denominación o razón social </w:t>
      </w:r>
      <w:r w:rsidR="00AC1977">
        <w:rPr>
          <w:rFonts w:ascii="Palatino Linotype" w:eastAsia="Batang" w:hAnsi="Palatino Linotype" w:cs="Tahoma"/>
          <w:bCs/>
          <w:szCs w:val="22"/>
        </w:rPr>
        <w:t>“</w:t>
      </w:r>
      <w:r w:rsidR="00D93761">
        <w:rPr>
          <w:rFonts w:ascii="Palatino Linotype" w:eastAsia="Batang" w:hAnsi="Palatino Linotype" w:cs="Tahoma"/>
          <w:bCs/>
          <w:szCs w:val="22"/>
        </w:rPr>
        <w:t>SISTEMA PARA EL DESARROLLO</w:t>
      </w:r>
      <w:r w:rsidR="00C16877">
        <w:rPr>
          <w:rFonts w:ascii="Palatino Linotype" w:eastAsia="Batang" w:hAnsi="Palatino Linotype" w:cs="Tahoma"/>
          <w:bCs/>
          <w:szCs w:val="22"/>
        </w:rPr>
        <w:t xml:space="preserve"> INTEGRAL DE LA FAMILIA DEL MUNICIPIODE GUANAJUATO, GTO. SIN TIPO DE SOCIEDAD</w:t>
      </w:r>
      <w:r w:rsidR="00AC1977">
        <w:rPr>
          <w:rFonts w:ascii="Palatino Linotype" w:eastAsia="Batang" w:hAnsi="Palatino Linotype" w:cs="Tahoma"/>
          <w:bCs/>
          <w:szCs w:val="22"/>
        </w:rPr>
        <w:t>”</w:t>
      </w:r>
      <w:r w:rsidR="00D93761">
        <w:rPr>
          <w:rFonts w:ascii="Palatino Linotype" w:eastAsia="Batang" w:hAnsi="Palatino Linotype" w:cs="Tahoma"/>
          <w:bCs/>
          <w:szCs w:val="22"/>
        </w:rPr>
        <w:t>, que se reproduce a través de las siguientes imágenes:</w:t>
      </w:r>
    </w:p>
    <w:p w14:paraId="05D65F34" w14:textId="77777777" w:rsidR="0001126C" w:rsidRPr="0001126C" w:rsidRDefault="0001126C" w:rsidP="0001126C">
      <w:pPr>
        <w:spacing w:line="360" w:lineRule="auto"/>
        <w:ind w:left="360"/>
        <w:jc w:val="both"/>
        <w:rPr>
          <w:rFonts w:ascii="Palatino Linotype" w:eastAsia="Batang" w:hAnsi="Palatino Linotype" w:cs="Tahoma"/>
          <w:b/>
          <w:szCs w:val="22"/>
        </w:rPr>
      </w:pPr>
    </w:p>
    <w:p w14:paraId="2E16D755" w14:textId="0A987183" w:rsidR="00C16877" w:rsidRPr="00C16877" w:rsidRDefault="00C16877" w:rsidP="00C16877">
      <w:pPr>
        <w:spacing w:line="360" w:lineRule="auto"/>
        <w:jc w:val="both"/>
        <w:rPr>
          <w:rFonts w:ascii="Palatino Linotype" w:eastAsia="Batang" w:hAnsi="Palatino Linotype" w:cs="Tahoma"/>
          <w:b/>
          <w:szCs w:val="22"/>
        </w:rPr>
      </w:pPr>
      <w:r>
        <w:rPr>
          <w:noProof/>
        </w:rPr>
        <w:drawing>
          <wp:inline distT="0" distB="0" distL="0" distR="0" wp14:anchorId="012FE2D1" wp14:editId="7AAED08A">
            <wp:extent cx="5789930" cy="3543300"/>
            <wp:effectExtent l="0" t="0" r="1270" b="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rotWithShape="1">
                    <a:blip r:embed="rId15"/>
                    <a:srcRect l="12594" t="18289" r="14771" b="15634"/>
                    <a:stretch/>
                  </pic:blipFill>
                  <pic:spPr bwMode="auto">
                    <a:xfrm>
                      <a:off x="0" y="0"/>
                      <a:ext cx="5806964" cy="3553724"/>
                    </a:xfrm>
                    <a:prstGeom prst="rect">
                      <a:avLst/>
                    </a:prstGeom>
                    <a:ln>
                      <a:noFill/>
                    </a:ln>
                    <a:extLst>
                      <a:ext uri="{53640926-AAD7-44D8-BBD7-CCE9431645EC}">
                        <a14:shadowObscured xmlns:a14="http://schemas.microsoft.com/office/drawing/2010/main"/>
                      </a:ext>
                    </a:extLst>
                  </pic:spPr>
                </pic:pic>
              </a:graphicData>
            </a:graphic>
          </wp:inline>
        </w:drawing>
      </w:r>
    </w:p>
    <w:p w14:paraId="62E0F2ED" w14:textId="662F7CC6" w:rsidR="006B06C3" w:rsidRDefault="00C16877" w:rsidP="00C16877">
      <w:pPr>
        <w:spacing w:line="360" w:lineRule="auto"/>
        <w:contextualSpacing/>
        <w:jc w:val="center"/>
        <w:rPr>
          <w:rFonts w:ascii="Palatino Linotype" w:eastAsia="Batang" w:hAnsi="Palatino Linotype" w:cs="Tahoma"/>
          <w:bCs/>
          <w:sz w:val="24"/>
          <w:szCs w:val="24"/>
        </w:rPr>
      </w:pPr>
      <w:r>
        <w:rPr>
          <w:noProof/>
        </w:rPr>
        <w:lastRenderedPageBreak/>
        <w:drawing>
          <wp:inline distT="0" distB="0" distL="0" distR="0" wp14:anchorId="084FEDDA" wp14:editId="49EC4806">
            <wp:extent cx="5410200" cy="5742794"/>
            <wp:effectExtent l="0" t="0" r="0" b="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6"/>
                    <a:srcRect l="29357" t="17994" r="30175" b="5605"/>
                    <a:stretch/>
                  </pic:blipFill>
                  <pic:spPr bwMode="auto">
                    <a:xfrm>
                      <a:off x="0" y="0"/>
                      <a:ext cx="5423034" cy="5756417"/>
                    </a:xfrm>
                    <a:prstGeom prst="rect">
                      <a:avLst/>
                    </a:prstGeom>
                    <a:ln>
                      <a:noFill/>
                    </a:ln>
                    <a:extLst>
                      <a:ext uri="{53640926-AAD7-44D8-BBD7-CCE9431645EC}">
                        <a14:shadowObscured xmlns:a14="http://schemas.microsoft.com/office/drawing/2010/main"/>
                      </a:ext>
                    </a:extLst>
                  </pic:spPr>
                </pic:pic>
              </a:graphicData>
            </a:graphic>
          </wp:inline>
        </w:drawing>
      </w:r>
    </w:p>
    <w:p w14:paraId="46D29E22" w14:textId="77777777" w:rsidR="00AC1977" w:rsidRPr="00C16877" w:rsidRDefault="00AC1977" w:rsidP="00C16877">
      <w:pPr>
        <w:spacing w:line="360" w:lineRule="auto"/>
        <w:contextualSpacing/>
        <w:jc w:val="center"/>
        <w:rPr>
          <w:rFonts w:ascii="Palatino Linotype" w:eastAsia="Batang" w:hAnsi="Palatino Linotype" w:cs="Tahoma"/>
          <w:bCs/>
          <w:sz w:val="24"/>
          <w:szCs w:val="24"/>
        </w:rPr>
      </w:pPr>
    </w:p>
    <w:p w14:paraId="22C12184" w14:textId="08D8F199" w:rsidR="00AC1977" w:rsidRPr="0028388B" w:rsidRDefault="00AC1977" w:rsidP="00AC1977">
      <w:pPr>
        <w:pStyle w:val="Prrafodelista"/>
        <w:numPr>
          <w:ilvl w:val="0"/>
          <w:numId w:val="29"/>
        </w:numPr>
        <w:spacing w:line="360" w:lineRule="auto"/>
        <w:jc w:val="both"/>
        <w:rPr>
          <w:rFonts w:ascii="Palatino Linotype" w:eastAsia="Batang" w:hAnsi="Palatino Linotype" w:cs="Tahoma"/>
          <w:b/>
          <w:szCs w:val="22"/>
        </w:rPr>
      </w:pPr>
      <w:r w:rsidRPr="00CF3321">
        <w:rPr>
          <w:rFonts w:ascii="Palatino Linotype" w:eastAsia="Batang" w:hAnsi="Palatino Linotype" w:cs="Tahoma"/>
          <w:b/>
          <w:szCs w:val="22"/>
        </w:rPr>
        <w:t>G-13-01-02-2019-01 ejemplo detalle diferencias sueldos y salarios, diferencias mensuales.pdf</w:t>
      </w:r>
      <w:r w:rsidR="0028388B">
        <w:rPr>
          <w:rFonts w:ascii="Palatino Linotype" w:eastAsia="Batang" w:hAnsi="Palatino Linotype" w:cs="Tahoma"/>
          <w:b/>
          <w:szCs w:val="22"/>
        </w:rPr>
        <w:t xml:space="preserve">. </w:t>
      </w:r>
      <w:r w:rsidR="0028388B" w:rsidRPr="00CF3321">
        <w:rPr>
          <w:rFonts w:ascii="Palatino Linotype" w:eastAsia="Batang" w:hAnsi="Palatino Linotype" w:cs="Tahoma"/>
          <w:bCs/>
          <w:szCs w:val="22"/>
        </w:rPr>
        <w:t xml:space="preserve">Documento de </w:t>
      </w:r>
      <w:r w:rsidR="0028388B">
        <w:rPr>
          <w:rFonts w:ascii="Palatino Linotype" w:eastAsia="Batang" w:hAnsi="Palatino Linotype" w:cs="Tahoma"/>
          <w:bCs/>
          <w:szCs w:val="22"/>
        </w:rPr>
        <w:t>dos</w:t>
      </w:r>
      <w:r w:rsidR="0028388B" w:rsidRPr="00CF3321">
        <w:rPr>
          <w:rFonts w:ascii="Palatino Linotype" w:eastAsia="Batang" w:hAnsi="Palatino Linotype" w:cs="Tahoma"/>
          <w:bCs/>
          <w:szCs w:val="22"/>
        </w:rPr>
        <w:t xml:space="preserve"> fojas, que lleva por rubro “</w:t>
      </w:r>
      <w:r w:rsidR="0028388B">
        <w:rPr>
          <w:rFonts w:ascii="Palatino Linotype" w:eastAsia="Batang" w:hAnsi="Palatino Linotype" w:cs="Tahoma"/>
          <w:bCs/>
          <w:szCs w:val="22"/>
        </w:rPr>
        <w:t xml:space="preserve">sueldos, salarios y </w:t>
      </w:r>
      <w:r w:rsidR="0028388B">
        <w:rPr>
          <w:rFonts w:ascii="Palatino Linotype" w:eastAsia="Batang" w:hAnsi="Palatino Linotype" w:cs="Tahoma"/>
          <w:bCs/>
          <w:szCs w:val="22"/>
        </w:rPr>
        <w:lastRenderedPageBreak/>
        <w:t>asimilados” que se identifica no tiene un Sujeto Obligado relacionado a dicho documento:</w:t>
      </w:r>
    </w:p>
    <w:p w14:paraId="6A6650AD" w14:textId="77777777" w:rsidR="00B379C3" w:rsidRDefault="0028388B" w:rsidP="0028388B">
      <w:pPr>
        <w:spacing w:line="360" w:lineRule="auto"/>
        <w:jc w:val="center"/>
        <w:rPr>
          <w:rFonts w:ascii="Arial" w:hAnsi="Arial" w:cs="Arial"/>
          <w:color w:val="333333"/>
          <w:sz w:val="28"/>
          <w:szCs w:val="28"/>
          <w:lang w:eastAsia="es-MX"/>
        </w:rPr>
      </w:pPr>
      <w:r>
        <w:rPr>
          <w:noProof/>
        </w:rPr>
        <w:drawing>
          <wp:inline distT="0" distB="0" distL="0" distR="0" wp14:anchorId="314A989F" wp14:editId="790C2146">
            <wp:extent cx="5300090" cy="5695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356" t="16519" r="30672" b="7079"/>
                    <a:stretch/>
                  </pic:blipFill>
                  <pic:spPr bwMode="auto">
                    <a:xfrm>
                      <a:off x="0" y="0"/>
                      <a:ext cx="5333214" cy="5731548"/>
                    </a:xfrm>
                    <a:prstGeom prst="rect">
                      <a:avLst/>
                    </a:prstGeom>
                    <a:ln>
                      <a:noFill/>
                    </a:ln>
                    <a:extLst>
                      <a:ext uri="{53640926-AAD7-44D8-BBD7-CCE9431645EC}">
                        <a14:shadowObscured xmlns:a14="http://schemas.microsoft.com/office/drawing/2010/main"/>
                      </a:ext>
                    </a:extLst>
                  </pic:spPr>
                </pic:pic>
              </a:graphicData>
            </a:graphic>
          </wp:inline>
        </w:drawing>
      </w:r>
    </w:p>
    <w:p w14:paraId="0D542979" w14:textId="1EA99282" w:rsidR="006B06C3" w:rsidRPr="00C16877" w:rsidRDefault="0028388B" w:rsidP="0028388B">
      <w:pPr>
        <w:spacing w:line="360" w:lineRule="auto"/>
        <w:jc w:val="center"/>
        <w:rPr>
          <w:rFonts w:ascii="Arial" w:hAnsi="Arial" w:cs="Arial"/>
          <w:color w:val="333333"/>
          <w:sz w:val="28"/>
          <w:szCs w:val="28"/>
          <w:lang w:eastAsia="es-MX"/>
        </w:rPr>
      </w:pPr>
      <w:r>
        <w:rPr>
          <w:noProof/>
        </w:rPr>
        <w:lastRenderedPageBreak/>
        <w:drawing>
          <wp:inline distT="0" distB="0" distL="0" distR="0" wp14:anchorId="2C358B02" wp14:editId="790D998C">
            <wp:extent cx="4629648" cy="2990850"/>
            <wp:effectExtent l="0" t="0" r="0" b="0"/>
            <wp:docPr id="16" name="Imagen 16"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Tabla&#10;&#10;Descripción generada automáticamente"/>
                    <pic:cNvPicPr/>
                  </pic:nvPicPr>
                  <pic:blipFill rotWithShape="1">
                    <a:blip r:embed="rId18"/>
                    <a:srcRect l="32010" t="33592" r="31502" b="24484"/>
                    <a:stretch/>
                  </pic:blipFill>
                  <pic:spPr bwMode="auto">
                    <a:xfrm>
                      <a:off x="0" y="0"/>
                      <a:ext cx="4652892" cy="3005866"/>
                    </a:xfrm>
                    <a:prstGeom prst="rect">
                      <a:avLst/>
                    </a:prstGeom>
                    <a:ln>
                      <a:noFill/>
                    </a:ln>
                    <a:extLst>
                      <a:ext uri="{53640926-AAD7-44D8-BBD7-CCE9431645EC}">
                        <a14:shadowObscured xmlns:a14="http://schemas.microsoft.com/office/drawing/2010/main"/>
                      </a:ext>
                    </a:extLst>
                  </pic:spPr>
                </pic:pic>
              </a:graphicData>
            </a:graphic>
          </wp:inline>
        </w:drawing>
      </w:r>
    </w:p>
    <w:p w14:paraId="5ABFE24C" w14:textId="77777777" w:rsidR="000633F1" w:rsidRDefault="000633F1" w:rsidP="00147516">
      <w:pPr>
        <w:spacing w:line="360" w:lineRule="auto"/>
        <w:contextualSpacing/>
        <w:jc w:val="both"/>
        <w:rPr>
          <w:rFonts w:ascii="Palatino Linotype" w:hAnsi="Palatino Linotype" w:cs="Tahoma"/>
          <w:b/>
          <w:sz w:val="22"/>
          <w:szCs w:val="22"/>
        </w:rPr>
      </w:pPr>
    </w:p>
    <w:p w14:paraId="1FDF0442" w14:textId="528F33B7" w:rsidR="009A7587" w:rsidRPr="008E3507" w:rsidRDefault="00C90C46" w:rsidP="00147516">
      <w:pPr>
        <w:spacing w:line="360" w:lineRule="auto"/>
        <w:contextualSpacing/>
        <w:jc w:val="both"/>
        <w:rPr>
          <w:rFonts w:ascii="Palatino Linotype" w:eastAsia="Batang" w:hAnsi="Palatino Linotype" w:cs="Tahoma"/>
          <w:b/>
          <w:bCs/>
          <w:sz w:val="22"/>
          <w:szCs w:val="22"/>
        </w:rPr>
      </w:pPr>
      <w:r>
        <w:rPr>
          <w:rFonts w:ascii="Palatino Linotype" w:hAnsi="Palatino Linotype" w:cs="Tahoma"/>
          <w:b/>
          <w:sz w:val="22"/>
          <w:szCs w:val="22"/>
        </w:rPr>
        <w:t>I</w:t>
      </w:r>
      <w:r w:rsidR="00FF1049">
        <w:rPr>
          <w:rFonts w:ascii="Palatino Linotype" w:hAnsi="Palatino Linotype" w:cs="Tahoma"/>
          <w:b/>
          <w:sz w:val="22"/>
          <w:szCs w:val="22"/>
        </w:rPr>
        <w:t>V</w:t>
      </w:r>
      <w:r w:rsidR="009A7587" w:rsidRPr="008E3507">
        <w:rPr>
          <w:rFonts w:ascii="Palatino Linotype" w:hAnsi="Palatino Linotype" w:cs="Tahoma"/>
          <w:b/>
          <w:sz w:val="22"/>
          <w:szCs w:val="22"/>
        </w:rPr>
        <w:t xml:space="preserve">. </w:t>
      </w:r>
      <w:r w:rsidR="009A7587" w:rsidRPr="008E3507">
        <w:rPr>
          <w:rFonts w:ascii="Palatino Linotype" w:eastAsia="Batang" w:hAnsi="Palatino Linotype" w:cs="Tahoma"/>
          <w:b/>
          <w:bCs/>
          <w:sz w:val="22"/>
          <w:szCs w:val="22"/>
        </w:rPr>
        <w:t xml:space="preserve">Trámite del </w:t>
      </w:r>
      <w:r w:rsidR="009A7587" w:rsidRPr="008E3507">
        <w:rPr>
          <w:rFonts w:ascii="Palatino Linotype" w:hAnsi="Palatino Linotype" w:cs="Tahoma"/>
          <w:b/>
          <w:sz w:val="22"/>
          <w:szCs w:val="22"/>
        </w:rPr>
        <w:t xml:space="preserve">Recurso de Revisión </w:t>
      </w:r>
      <w:r w:rsidR="009A7587" w:rsidRPr="008E3507">
        <w:rPr>
          <w:rFonts w:ascii="Palatino Linotype" w:eastAsia="Batang" w:hAnsi="Palatino Linotype" w:cs="Tahoma"/>
          <w:b/>
          <w:bCs/>
          <w:sz w:val="22"/>
          <w:szCs w:val="22"/>
        </w:rPr>
        <w:t>ante el Instituto.</w:t>
      </w:r>
    </w:p>
    <w:p w14:paraId="49B326BA" w14:textId="77777777" w:rsidR="007E4927" w:rsidRDefault="007E4927" w:rsidP="00147516">
      <w:pPr>
        <w:spacing w:line="360" w:lineRule="auto"/>
        <w:contextualSpacing/>
        <w:jc w:val="both"/>
        <w:rPr>
          <w:rFonts w:ascii="Palatino Linotype" w:eastAsia="Batang" w:hAnsi="Palatino Linotype" w:cs="Tahoma"/>
          <w:b/>
          <w:bCs/>
          <w:sz w:val="22"/>
          <w:szCs w:val="22"/>
        </w:rPr>
      </w:pPr>
    </w:p>
    <w:p w14:paraId="7A24AAAE" w14:textId="77777777" w:rsidR="00074C07" w:rsidRDefault="009A7587" w:rsidP="00147516">
      <w:pPr>
        <w:spacing w:line="360" w:lineRule="auto"/>
        <w:contextualSpacing/>
        <w:jc w:val="both"/>
        <w:rPr>
          <w:rFonts w:ascii="Palatino Linotype" w:eastAsia="Batang" w:hAnsi="Palatino Linotype" w:cs="Tahoma"/>
          <w:b/>
          <w:bCs/>
          <w:sz w:val="22"/>
          <w:szCs w:val="22"/>
        </w:rPr>
      </w:pPr>
      <w:r w:rsidRPr="008E3507">
        <w:rPr>
          <w:rFonts w:ascii="Palatino Linotype" w:eastAsia="Batang" w:hAnsi="Palatino Linotype"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rPr>
        <w:t xml:space="preserve">. </w:t>
      </w:r>
    </w:p>
    <w:p w14:paraId="45B77F34" w14:textId="77777777" w:rsidR="00074C07" w:rsidRDefault="00074C07" w:rsidP="00147516">
      <w:pPr>
        <w:spacing w:line="360" w:lineRule="auto"/>
        <w:contextualSpacing/>
        <w:jc w:val="both"/>
        <w:rPr>
          <w:rFonts w:ascii="Palatino Linotype" w:eastAsia="Batang" w:hAnsi="Palatino Linotype" w:cs="Tahoma"/>
          <w:bCs/>
          <w:sz w:val="22"/>
          <w:szCs w:val="22"/>
        </w:rPr>
      </w:pPr>
    </w:p>
    <w:p w14:paraId="78E183BC" w14:textId="6A34CC97" w:rsidR="00C950E3" w:rsidRDefault="00A06844" w:rsidP="00147516">
      <w:pPr>
        <w:spacing w:line="360" w:lineRule="auto"/>
        <w:contextualSpacing/>
        <w:jc w:val="both"/>
        <w:rPr>
          <w:rFonts w:ascii="Palatino Linotype" w:eastAsia="Batang" w:hAnsi="Palatino Linotype" w:cs="Tahoma"/>
          <w:bCs/>
          <w:sz w:val="22"/>
          <w:szCs w:val="22"/>
        </w:rPr>
      </w:pPr>
      <w:r w:rsidRPr="00A06844">
        <w:rPr>
          <w:rFonts w:ascii="Palatino Linotype" w:eastAsia="Batang" w:hAnsi="Palatino Linotype" w:cs="Tahoma"/>
          <w:bCs/>
          <w:sz w:val="22"/>
          <w:szCs w:val="22"/>
        </w:rPr>
        <w:t xml:space="preserve">El </w:t>
      </w:r>
      <w:r w:rsidR="00B379C3">
        <w:rPr>
          <w:rFonts w:ascii="Palatino Linotype" w:eastAsia="Batang" w:hAnsi="Palatino Linotype" w:cs="Tahoma"/>
          <w:bCs/>
          <w:sz w:val="22"/>
          <w:szCs w:val="22"/>
        </w:rPr>
        <w:t>veintidós</w:t>
      </w:r>
      <w:r w:rsidR="00E913DC">
        <w:rPr>
          <w:rFonts w:ascii="Palatino Linotype" w:eastAsia="Batang" w:hAnsi="Palatino Linotype" w:cs="Tahoma"/>
          <w:bCs/>
          <w:sz w:val="22"/>
          <w:szCs w:val="22"/>
        </w:rPr>
        <w:t xml:space="preserve"> de febrero </w:t>
      </w:r>
      <w:r w:rsidR="00B267E1">
        <w:rPr>
          <w:rFonts w:ascii="Palatino Linotype" w:eastAsia="Batang" w:hAnsi="Palatino Linotype" w:cs="Tahoma"/>
          <w:bCs/>
          <w:sz w:val="22"/>
          <w:szCs w:val="22"/>
        </w:rPr>
        <w:t>de dos mil veintidós</w:t>
      </w:r>
      <w:r w:rsidRPr="00A06844">
        <w:rPr>
          <w:rFonts w:ascii="Palatino Linotype" w:eastAsia="Batang" w:hAnsi="Palatino Linotype" w:cs="Tahoma"/>
          <w:bCs/>
          <w:sz w:val="22"/>
          <w:szCs w:val="22"/>
        </w:rPr>
        <w:t xml:space="preserve">, </w:t>
      </w:r>
      <w:r w:rsidR="00D5699B" w:rsidRPr="00D5699B">
        <w:rPr>
          <w:rFonts w:ascii="Palatino Linotype" w:eastAsia="Batang" w:hAnsi="Palatino Linotype" w:cs="Tahoma"/>
          <w:bCs/>
          <w:sz w:val="22"/>
          <w:szCs w:val="22"/>
        </w:rPr>
        <w:t xml:space="preserve">el Sistema de Acceso a la Información Mexiquense (SAIMEX), asignó el número de expediente </w:t>
      </w:r>
      <w:r w:rsidR="00AD0453">
        <w:rPr>
          <w:rFonts w:ascii="Palatino Linotype" w:eastAsia="Batang" w:hAnsi="Palatino Linotype" w:cs="Tahoma"/>
          <w:b/>
          <w:bCs/>
          <w:sz w:val="22"/>
          <w:szCs w:val="22"/>
        </w:rPr>
        <w:t>01116/INFOEM/IP/RR/2022</w:t>
      </w:r>
      <w:r w:rsidR="00D5699B" w:rsidRPr="00D5699B">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D5699B">
        <w:rPr>
          <w:rFonts w:ascii="Palatino Linotype" w:eastAsia="Batang" w:hAnsi="Palatino Linotype" w:cs="Tahoma"/>
          <w:b/>
          <w:bCs/>
          <w:sz w:val="22"/>
          <w:szCs w:val="22"/>
        </w:rPr>
        <w:t>Comisionado Ponente Luis Gustavo Parra Noriega</w:t>
      </w:r>
      <w:r w:rsidR="00D5699B" w:rsidRPr="00D5699B">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7E87BF26" w14:textId="77777777" w:rsidR="00D5699B" w:rsidRPr="008E3507" w:rsidRDefault="00D5699B" w:rsidP="00147516">
      <w:pPr>
        <w:spacing w:line="360" w:lineRule="auto"/>
        <w:contextualSpacing/>
        <w:jc w:val="both"/>
        <w:rPr>
          <w:rFonts w:ascii="Palatino Linotype" w:eastAsia="Batang" w:hAnsi="Palatino Linotype" w:cs="Tahoma"/>
          <w:b/>
          <w:bCs/>
          <w:sz w:val="22"/>
          <w:szCs w:val="22"/>
        </w:rPr>
      </w:pPr>
    </w:p>
    <w:p w14:paraId="08032A43" w14:textId="77777777" w:rsidR="00074C07" w:rsidRDefault="009A7587" w:rsidP="00147516">
      <w:pPr>
        <w:spacing w:line="360" w:lineRule="auto"/>
        <w:contextualSpacing/>
        <w:jc w:val="both"/>
        <w:rPr>
          <w:rFonts w:ascii="Palatino Linotype" w:eastAsia="Batang" w:hAnsi="Palatino Linotype" w:cs="Tahoma"/>
          <w:b/>
          <w:bCs/>
          <w:sz w:val="22"/>
          <w:szCs w:val="22"/>
          <w:lang w:val="es-ES_tradnl"/>
        </w:rPr>
      </w:pPr>
      <w:r w:rsidRPr="008E3507">
        <w:rPr>
          <w:rFonts w:ascii="Palatino Linotype" w:eastAsia="Batang" w:hAnsi="Palatino Linotype"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lang w:val="es-ES_tradnl"/>
        </w:rPr>
        <w:t xml:space="preserve">. </w:t>
      </w:r>
    </w:p>
    <w:p w14:paraId="4A50D735" w14:textId="77777777" w:rsidR="00074C07" w:rsidRDefault="00074C07" w:rsidP="00147516">
      <w:pPr>
        <w:spacing w:line="360" w:lineRule="auto"/>
        <w:contextualSpacing/>
        <w:jc w:val="both"/>
        <w:rPr>
          <w:rFonts w:ascii="Palatino Linotype" w:eastAsia="Batang" w:hAnsi="Palatino Linotype" w:cs="Tahoma"/>
          <w:b/>
          <w:bCs/>
          <w:sz w:val="22"/>
          <w:szCs w:val="22"/>
          <w:lang w:val="es-ES_tradnl"/>
        </w:rPr>
      </w:pPr>
    </w:p>
    <w:p w14:paraId="77FD01DF" w14:textId="09785757" w:rsidR="00074C07" w:rsidRDefault="009A7587" w:rsidP="00147516">
      <w:pPr>
        <w:spacing w:line="360" w:lineRule="auto"/>
        <w:contextualSpacing/>
        <w:jc w:val="both"/>
        <w:rPr>
          <w:rFonts w:ascii="Palatino Linotype" w:hAnsi="Palatino Linotype" w:cs="Tahoma"/>
          <w:bCs/>
          <w:sz w:val="22"/>
          <w:szCs w:val="22"/>
          <w:lang w:val="es-ES_tradnl"/>
        </w:rPr>
      </w:pP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proofErr w:type="spellStart"/>
      <w:r w:rsidR="00B379C3">
        <w:rPr>
          <w:rFonts w:ascii="Palatino Linotype" w:hAnsi="Palatino Linotype" w:cs="Tahoma"/>
          <w:bCs/>
          <w:sz w:val="22"/>
          <w:szCs w:val="22"/>
        </w:rPr>
        <w:t>venticinco</w:t>
      </w:r>
      <w:proofErr w:type="spellEnd"/>
      <w:r w:rsidR="00790E33">
        <w:rPr>
          <w:rFonts w:ascii="Palatino Linotype" w:hAnsi="Palatino Linotype" w:cs="Tahoma"/>
          <w:bCs/>
          <w:sz w:val="22"/>
          <w:szCs w:val="22"/>
        </w:rPr>
        <w:t xml:space="preserve"> de </w:t>
      </w:r>
      <w:r w:rsidR="00031342">
        <w:rPr>
          <w:rFonts w:ascii="Palatino Linotype" w:hAnsi="Palatino Linotype" w:cs="Tahoma"/>
          <w:bCs/>
          <w:sz w:val="22"/>
          <w:szCs w:val="22"/>
        </w:rPr>
        <w:t>febrero</w:t>
      </w:r>
      <w:r w:rsidR="00790E33">
        <w:rPr>
          <w:rFonts w:ascii="Palatino Linotype" w:hAnsi="Palatino Linotype" w:cs="Tahoma"/>
          <w:bCs/>
          <w:sz w:val="22"/>
          <w:szCs w:val="22"/>
        </w:rPr>
        <w:t xml:space="preserve"> </w:t>
      </w:r>
      <w:r w:rsidR="00B267E1">
        <w:rPr>
          <w:rFonts w:ascii="Palatino Linotype" w:hAnsi="Palatino Linotype" w:cs="Tahoma"/>
          <w:bCs/>
          <w:sz w:val="22"/>
          <w:szCs w:val="22"/>
        </w:rPr>
        <w:t>de dos mil veintidós</w:t>
      </w:r>
      <w:r w:rsidRPr="008E3507">
        <w:rPr>
          <w:rFonts w:ascii="Palatino Linotype" w:hAnsi="Palatino Linotype" w:cs="Tahoma"/>
          <w:bCs/>
          <w:sz w:val="22"/>
          <w:szCs w:val="22"/>
        </w:rPr>
        <w:t xml:space="preserve">, </w:t>
      </w:r>
      <w:r w:rsidR="001F787A" w:rsidRPr="001F787A">
        <w:rPr>
          <w:rFonts w:ascii="Palatino Linotype" w:hAnsi="Palatino Linotype" w:cs="Tahoma"/>
          <w:bCs/>
          <w:sz w:val="22"/>
          <w:szCs w:val="22"/>
        </w:rPr>
        <w:t xml:space="preserve">se acordó la admisión del </w:t>
      </w:r>
      <w:r w:rsidR="001F787A" w:rsidRPr="001F787A">
        <w:rPr>
          <w:rFonts w:ascii="Palatino Linotype" w:hAnsi="Palatino Linotype" w:cs="Tahoma"/>
          <w:bCs/>
          <w:sz w:val="22"/>
          <w:szCs w:val="22"/>
          <w:lang w:val="es-ES_tradnl"/>
        </w:rPr>
        <w:t xml:space="preserve">Recurso de Revisión interpuesto por el Recurrente en contra del </w:t>
      </w:r>
      <w:r w:rsidR="001F787A" w:rsidRPr="001F787A">
        <w:rPr>
          <w:rFonts w:ascii="Palatino Linotype" w:hAnsi="Palatino Linotype" w:cs="Tahoma"/>
          <w:b/>
          <w:bCs/>
          <w:sz w:val="22"/>
          <w:szCs w:val="22"/>
          <w:lang w:val="es-ES_tradnl"/>
        </w:rPr>
        <w:t>Sujeto Obligado</w:t>
      </w:r>
      <w:r w:rsidR="001F787A" w:rsidRP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 xml:space="preserve">o a las partes </w:t>
      </w:r>
      <w:r w:rsidR="00B379C3">
        <w:rPr>
          <w:rFonts w:ascii="Palatino Linotype" w:hAnsi="Palatino Linotype" w:cs="Tahoma"/>
          <w:bCs/>
          <w:sz w:val="22"/>
          <w:szCs w:val="22"/>
          <w:lang w:val="es-ES_tradnl"/>
        </w:rPr>
        <w:t>al día siguiente</w:t>
      </w:r>
      <w:r w:rsidR="001F787A" w:rsidRP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Pr>
          <w:rFonts w:ascii="Palatino Linotype" w:hAnsi="Palatino Linotype" w:cs="Tahoma"/>
          <w:bCs/>
          <w:sz w:val="22"/>
          <w:szCs w:val="22"/>
          <w:lang w:val="es-ES_tradnl"/>
        </w:rPr>
        <w:t xml:space="preserve"> </w:t>
      </w:r>
    </w:p>
    <w:p w14:paraId="1E562ACC" w14:textId="77777777" w:rsidR="00074C07" w:rsidRDefault="00074C07" w:rsidP="00147516">
      <w:pPr>
        <w:spacing w:line="360" w:lineRule="auto"/>
        <w:contextualSpacing/>
        <w:jc w:val="both"/>
        <w:rPr>
          <w:rFonts w:ascii="Palatino Linotype" w:hAnsi="Palatino Linotype" w:cs="Tahoma"/>
          <w:bCs/>
          <w:sz w:val="22"/>
          <w:szCs w:val="22"/>
          <w:lang w:val="es-ES_tradnl"/>
        </w:rPr>
      </w:pPr>
    </w:p>
    <w:p w14:paraId="71AA8F17" w14:textId="77777777" w:rsidR="00074C07" w:rsidRPr="00074C07" w:rsidRDefault="00074C07" w:rsidP="00147516">
      <w:pPr>
        <w:spacing w:line="360" w:lineRule="auto"/>
        <w:contextualSpacing/>
        <w:jc w:val="both"/>
        <w:rPr>
          <w:rFonts w:ascii="Palatino Linotype" w:eastAsia="Batang" w:hAnsi="Palatino Linotype" w:cs="Tahoma"/>
          <w:b/>
          <w:bCs/>
          <w:sz w:val="22"/>
          <w:szCs w:val="22"/>
        </w:rPr>
      </w:pPr>
      <w:r w:rsidRPr="00074C07">
        <w:rPr>
          <w:rFonts w:ascii="Palatino Linotype" w:eastAsia="Batang" w:hAnsi="Palatino Linotype" w:cs="Tahoma"/>
          <w:b/>
          <w:bCs/>
          <w:sz w:val="22"/>
          <w:szCs w:val="22"/>
        </w:rPr>
        <w:t>c) Manifestaciones.</w:t>
      </w:r>
    </w:p>
    <w:p w14:paraId="3A4EAA40" w14:textId="77777777" w:rsidR="00074C07" w:rsidRDefault="00074C07" w:rsidP="00147516">
      <w:pPr>
        <w:spacing w:line="360" w:lineRule="auto"/>
        <w:contextualSpacing/>
        <w:jc w:val="both"/>
        <w:rPr>
          <w:rFonts w:ascii="Palatino Linotype" w:hAnsi="Palatino Linotype" w:cs="Tahoma"/>
          <w:bCs/>
          <w:sz w:val="22"/>
          <w:szCs w:val="22"/>
          <w:lang w:val="es-ES_tradnl"/>
        </w:rPr>
      </w:pPr>
    </w:p>
    <w:p w14:paraId="38BD1EC0" w14:textId="654F2FB9" w:rsidR="00C33886" w:rsidRPr="00074C07" w:rsidRDefault="00074C07" w:rsidP="00147516">
      <w:pPr>
        <w:spacing w:line="360" w:lineRule="auto"/>
        <w:contextualSpacing/>
        <w:jc w:val="both"/>
        <w:rPr>
          <w:rFonts w:ascii="Palatino Linotype" w:hAnsi="Palatino Linotype" w:cs="Tahoma"/>
          <w:sz w:val="22"/>
          <w:szCs w:val="22"/>
          <w:lang w:val="es-ES_tradnl"/>
        </w:rPr>
      </w:pPr>
      <w:r w:rsidRPr="00074C07">
        <w:rPr>
          <w:rFonts w:ascii="Palatino Linotype" w:hAnsi="Palatino Linotype" w:cs="Tahoma"/>
          <w:sz w:val="22"/>
          <w:szCs w:val="22"/>
          <w:lang w:val="es-ES_tradnl"/>
        </w:rPr>
        <w:t>Transcurrido el plazo para emitir manifestaciones, tanto el Sujeto Obligado como el Particular fueron omisos en realizar pronunciamiento alguno.</w:t>
      </w:r>
    </w:p>
    <w:p w14:paraId="4A516EA9" w14:textId="77777777" w:rsidR="00C33886" w:rsidRDefault="00C33886" w:rsidP="00147516">
      <w:pPr>
        <w:spacing w:line="360" w:lineRule="auto"/>
        <w:contextualSpacing/>
        <w:jc w:val="both"/>
        <w:rPr>
          <w:rFonts w:ascii="Palatino Linotype" w:hAnsi="Palatino Linotype" w:cs="Tahoma"/>
          <w:bCs/>
          <w:sz w:val="22"/>
          <w:szCs w:val="22"/>
          <w:lang w:val="es-ES_tradnl"/>
        </w:rPr>
      </w:pPr>
    </w:p>
    <w:p w14:paraId="26373D94" w14:textId="77777777" w:rsidR="00074C07" w:rsidRDefault="0020427C" w:rsidP="0020427C">
      <w:pPr>
        <w:spacing w:line="360" w:lineRule="auto"/>
        <w:jc w:val="both"/>
        <w:rPr>
          <w:rFonts w:ascii="Palatino Linotype" w:hAnsi="Palatino Linotype" w:cs="Tahoma"/>
          <w:b/>
          <w:bCs/>
          <w:sz w:val="22"/>
          <w:szCs w:val="24"/>
          <w:lang w:val="es-ES"/>
        </w:rPr>
      </w:pPr>
      <w:r>
        <w:rPr>
          <w:rFonts w:ascii="Palatino Linotype" w:hAnsi="Palatino Linotype" w:cs="Tahoma"/>
          <w:b/>
          <w:sz w:val="22"/>
          <w:szCs w:val="24"/>
        </w:rPr>
        <w:t>c</w:t>
      </w:r>
      <w:r w:rsidRPr="005B3636">
        <w:rPr>
          <w:rFonts w:ascii="Palatino Linotype" w:hAnsi="Palatino Linotype" w:cs="Tahoma"/>
          <w:b/>
          <w:sz w:val="22"/>
          <w:szCs w:val="24"/>
        </w:rPr>
        <w:t xml:space="preserve">) </w:t>
      </w:r>
      <w:r w:rsidRPr="005B3636">
        <w:rPr>
          <w:rFonts w:ascii="Palatino Linotype" w:hAnsi="Palatino Linotype" w:cs="Tahoma"/>
          <w:b/>
          <w:bCs/>
          <w:sz w:val="22"/>
          <w:szCs w:val="24"/>
          <w:lang w:val="es-ES"/>
        </w:rPr>
        <w:t>Ampliación del plazo para resolver</w:t>
      </w:r>
      <w:r w:rsidR="00074C07">
        <w:rPr>
          <w:rFonts w:ascii="Palatino Linotype" w:hAnsi="Palatino Linotype" w:cs="Tahoma"/>
          <w:b/>
          <w:bCs/>
          <w:sz w:val="22"/>
          <w:szCs w:val="24"/>
          <w:lang w:val="es-ES"/>
        </w:rPr>
        <w:t>.</w:t>
      </w:r>
    </w:p>
    <w:p w14:paraId="75A023DE" w14:textId="77777777" w:rsidR="00074C07" w:rsidRDefault="00074C07" w:rsidP="0020427C">
      <w:pPr>
        <w:spacing w:line="360" w:lineRule="auto"/>
        <w:jc w:val="both"/>
        <w:rPr>
          <w:rFonts w:ascii="Palatino Linotype" w:hAnsi="Palatino Linotype" w:cs="Tahoma"/>
          <w:b/>
          <w:bCs/>
          <w:sz w:val="22"/>
          <w:szCs w:val="24"/>
          <w:lang w:val="es-ES"/>
        </w:rPr>
      </w:pPr>
    </w:p>
    <w:p w14:paraId="310F2B1A" w14:textId="30422C09" w:rsidR="0020427C" w:rsidRPr="005B3636" w:rsidRDefault="0020427C" w:rsidP="0020427C">
      <w:pPr>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El </w:t>
      </w:r>
      <w:r>
        <w:rPr>
          <w:rFonts w:ascii="Palatino Linotype" w:hAnsi="Palatino Linotype" w:cs="Tahoma"/>
          <w:sz w:val="22"/>
          <w:szCs w:val="24"/>
          <w:lang w:val="es-ES"/>
        </w:rPr>
        <w:t>veinte de abril del año en curso</w:t>
      </w:r>
      <w:r w:rsidRPr="005B3636">
        <w:rPr>
          <w:rFonts w:ascii="Palatino Linotype" w:hAnsi="Palatino Linotype" w:cs="Tahoma"/>
          <w:sz w:val="22"/>
          <w:szCs w:val="24"/>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14:paraId="2DF558E4" w14:textId="77777777" w:rsidR="0020427C" w:rsidRDefault="0020427C" w:rsidP="00147516">
      <w:pPr>
        <w:spacing w:line="360" w:lineRule="auto"/>
        <w:contextualSpacing/>
        <w:jc w:val="both"/>
        <w:rPr>
          <w:rFonts w:ascii="Palatino Linotype" w:hAnsi="Palatino Linotype" w:cs="Tahoma"/>
          <w:bCs/>
          <w:sz w:val="22"/>
          <w:szCs w:val="22"/>
          <w:lang w:val="es-ES_tradnl"/>
        </w:rPr>
      </w:pPr>
    </w:p>
    <w:p w14:paraId="69FFFD53" w14:textId="77777777" w:rsidR="00031342" w:rsidRDefault="0020427C" w:rsidP="00147516">
      <w:pPr>
        <w:spacing w:line="360" w:lineRule="auto"/>
        <w:jc w:val="both"/>
        <w:rPr>
          <w:rFonts w:ascii="Palatino Linotype" w:hAnsi="Palatino Linotype" w:cs="Tahoma"/>
          <w:b/>
          <w:bCs/>
          <w:sz w:val="22"/>
          <w:szCs w:val="22"/>
        </w:rPr>
      </w:pPr>
      <w:r>
        <w:rPr>
          <w:rFonts w:ascii="Palatino Linotype" w:eastAsia="Batang" w:hAnsi="Palatino Linotype" w:cs="Tahoma"/>
          <w:b/>
          <w:bCs/>
          <w:sz w:val="22"/>
          <w:szCs w:val="22"/>
          <w:lang w:val="es-ES_tradnl"/>
        </w:rPr>
        <w:t>d</w:t>
      </w:r>
      <w:r w:rsidR="00147516">
        <w:rPr>
          <w:rFonts w:ascii="Palatino Linotype" w:eastAsia="Batang" w:hAnsi="Palatino Linotype" w:cs="Tahoma"/>
          <w:b/>
          <w:bCs/>
          <w:sz w:val="22"/>
          <w:szCs w:val="22"/>
          <w:lang w:val="es-ES_tradnl"/>
        </w:rPr>
        <w:t xml:space="preserve">) </w:t>
      </w:r>
      <w:r w:rsidR="00ED5DF5" w:rsidRPr="008E3507">
        <w:rPr>
          <w:rFonts w:ascii="Palatino Linotype" w:hAnsi="Palatino Linotype" w:cs="Tahoma"/>
          <w:b/>
          <w:bCs/>
          <w:sz w:val="22"/>
          <w:szCs w:val="22"/>
        </w:rPr>
        <w:t xml:space="preserve">Cierre de instrucción. </w:t>
      </w:r>
    </w:p>
    <w:p w14:paraId="328B6314" w14:textId="77777777" w:rsidR="00031342" w:rsidRDefault="00031342" w:rsidP="00147516">
      <w:pPr>
        <w:spacing w:line="360" w:lineRule="auto"/>
        <w:jc w:val="both"/>
        <w:rPr>
          <w:rFonts w:ascii="Palatino Linotype" w:hAnsi="Palatino Linotype" w:cs="Tahoma"/>
          <w:b/>
          <w:bCs/>
          <w:sz w:val="22"/>
          <w:szCs w:val="22"/>
        </w:rPr>
      </w:pPr>
    </w:p>
    <w:p w14:paraId="385FF181" w14:textId="66D563AF" w:rsidR="00ED5DF5" w:rsidRPr="008E3507" w:rsidRDefault="00ED5DF5" w:rsidP="00147516">
      <w:pPr>
        <w:spacing w:line="360" w:lineRule="auto"/>
        <w:jc w:val="both"/>
        <w:rPr>
          <w:rFonts w:ascii="Palatino Linotype" w:hAnsi="Palatino Linotype" w:cs="Tahoma"/>
          <w:sz w:val="22"/>
          <w:szCs w:val="22"/>
        </w:rPr>
      </w:pPr>
      <w:r w:rsidRPr="008E3507">
        <w:rPr>
          <w:rFonts w:ascii="Palatino Linotype" w:hAnsi="Palatino Linotype" w:cs="Tahoma"/>
          <w:sz w:val="22"/>
          <w:szCs w:val="22"/>
        </w:rPr>
        <w:t>El</w:t>
      </w:r>
      <w:r w:rsidR="000F437A">
        <w:rPr>
          <w:rFonts w:ascii="Palatino Linotype" w:hAnsi="Palatino Linotype" w:cs="Tahoma"/>
          <w:sz w:val="22"/>
          <w:szCs w:val="22"/>
        </w:rPr>
        <w:t xml:space="preserve"> </w:t>
      </w:r>
      <w:r w:rsidR="00031342">
        <w:rPr>
          <w:rFonts w:ascii="Palatino Linotype" w:hAnsi="Palatino Linotype" w:cs="Tahoma"/>
          <w:sz w:val="22"/>
          <w:szCs w:val="22"/>
        </w:rPr>
        <w:t>once</w:t>
      </w:r>
      <w:r w:rsidR="00C33886">
        <w:rPr>
          <w:rFonts w:ascii="Palatino Linotype" w:hAnsi="Palatino Linotype" w:cs="Tahoma"/>
          <w:sz w:val="22"/>
          <w:szCs w:val="22"/>
        </w:rPr>
        <w:t xml:space="preserve"> de </w:t>
      </w:r>
      <w:r w:rsidR="00031342">
        <w:rPr>
          <w:rFonts w:ascii="Palatino Linotype" w:hAnsi="Palatino Linotype" w:cs="Tahoma"/>
          <w:sz w:val="22"/>
          <w:szCs w:val="22"/>
        </w:rPr>
        <w:t>mayo</w:t>
      </w:r>
      <w:r w:rsidR="00C33886">
        <w:rPr>
          <w:rFonts w:ascii="Palatino Linotype" w:hAnsi="Palatino Linotype" w:cs="Tahoma"/>
          <w:sz w:val="22"/>
          <w:szCs w:val="22"/>
        </w:rPr>
        <w:t xml:space="preserve"> </w:t>
      </w:r>
      <w:r w:rsidR="00413718" w:rsidRPr="000F437A">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Pr="008E350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Sistema de Acceso a la Información Mexiquense (SAIMEX)</w:t>
      </w:r>
      <w:r w:rsidRPr="008E3507">
        <w:rPr>
          <w:rFonts w:ascii="Palatino Linotype" w:hAnsi="Palatino Linotype" w:cs="Tahoma"/>
          <w:sz w:val="22"/>
          <w:szCs w:val="22"/>
        </w:rPr>
        <w:t>.</w:t>
      </w:r>
    </w:p>
    <w:p w14:paraId="53C0B110" w14:textId="77777777" w:rsidR="00CE5228" w:rsidRPr="008E3507" w:rsidRDefault="00CE5228" w:rsidP="00147516">
      <w:pPr>
        <w:spacing w:line="360" w:lineRule="auto"/>
        <w:contextualSpacing/>
        <w:jc w:val="both"/>
        <w:rPr>
          <w:rFonts w:ascii="Palatino Linotype" w:hAnsi="Palatino Linotype" w:cs="Tahoma"/>
          <w:color w:val="000000"/>
          <w:sz w:val="22"/>
          <w:szCs w:val="22"/>
        </w:rPr>
      </w:pPr>
    </w:p>
    <w:p w14:paraId="22558C6E" w14:textId="77777777" w:rsidR="004F2D88" w:rsidRDefault="004F2D88" w:rsidP="00147516">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00367F82" w:rsidRPr="008E3507">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00367F82" w:rsidRPr="008E3507">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00367F82" w:rsidRPr="008E3507">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009A620E" w:rsidRPr="008E3507">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14:paraId="46F914BA" w14:textId="77777777" w:rsidR="001C0C73" w:rsidRPr="008E3507" w:rsidRDefault="001C0C73" w:rsidP="00147516">
      <w:pPr>
        <w:spacing w:line="360" w:lineRule="auto"/>
        <w:contextualSpacing/>
        <w:jc w:val="both"/>
        <w:rPr>
          <w:rFonts w:ascii="Palatino Linotype" w:hAnsi="Palatino Linotype" w:cs="Tahoma"/>
          <w:color w:val="000000"/>
          <w:sz w:val="22"/>
          <w:szCs w:val="22"/>
        </w:rPr>
      </w:pPr>
    </w:p>
    <w:p w14:paraId="5C9D0952" w14:textId="77777777" w:rsidR="00EA4E4A" w:rsidRPr="008E3507" w:rsidRDefault="00EA4E4A" w:rsidP="00147516">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14:paraId="0F7B8242" w14:textId="77777777" w:rsidR="00EA4E4A" w:rsidRPr="008E3507" w:rsidRDefault="00EA4E4A" w:rsidP="00147516">
      <w:pPr>
        <w:spacing w:line="360" w:lineRule="auto"/>
        <w:contextualSpacing/>
        <w:jc w:val="center"/>
        <w:rPr>
          <w:rFonts w:ascii="Palatino Linotype" w:hAnsi="Palatino Linotype" w:cs="Tahoma"/>
          <w:b/>
          <w:sz w:val="22"/>
          <w:szCs w:val="22"/>
        </w:rPr>
      </w:pPr>
    </w:p>
    <w:p w14:paraId="1040CDEF" w14:textId="77777777" w:rsidR="00EA4E4A" w:rsidRDefault="00EA4E4A" w:rsidP="00147516">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eastAsia="Calibri" w:hAnsi="Palatino Linotype" w:cs="Tahoma"/>
          <w:b/>
          <w:color w:val="000000"/>
          <w:sz w:val="22"/>
          <w:szCs w:val="22"/>
          <w:lang w:eastAsia="es-MX"/>
        </w:rPr>
        <w:t>PRIMERO</w:t>
      </w:r>
      <w:r w:rsidRPr="008E3507">
        <w:rPr>
          <w:rFonts w:ascii="Palatino Linotype" w:eastAsia="Calibri" w:hAnsi="Palatino Linotype" w:cs="Tahoma"/>
          <w:color w:val="000000"/>
          <w:sz w:val="22"/>
          <w:szCs w:val="22"/>
          <w:lang w:eastAsia="es-MX"/>
        </w:rPr>
        <w:t xml:space="preserve">. </w:t>
      </w:r>
      <w:r w:rsidRPr="008E3507">
        <w:rPr>
          <w:rFonts w:ascii="Palatino Linotype" w:hAnsi="Palatino Linotype" w:cs="Tahoma"/>
          <w:b/>
          <w:sz w:val="22"/>
          <w:szCs w:val="22"/>
        </w:rPr>
        <w:t>Competencia.</w:t>
      </w:r>
    </w:p>
    <w:p w14:paraId="212906E5" w14:textId="77777777" w:rsidR="00EA4E4A" w:rsidRPr="008E3507" w:rsidRDefault="00EA4E4A" w:rsidP="00147516">
      <w:pPr>
        <w:autoSpaceDE w:val="0"/>
        <w:autoSpaceDN w:val="0"/>
        <w:adjustRightInd w:val="0"/>
        <w:spacing w:line="360" w:lineRule="auto"/>
        <w:contextualSpacing/>
        <w:jc w:val="both"/>
        <w:rPr>
          <w:rFonts w:ascii="Palatino Linotype" w:hAnsi="Palatino Linotype" w:cs="Tahoma"/>
          <w:b/>
          <w:sz w:val="22"/>
          <w:szCs w:val="22"/>
        </w:rPr>
      </w:pPr>
    </w:p>
    <w:p w14:paraId="3DFA3417" w14:textId="77777777" w:rsidR="00CE0B4C" w:rsidRDefault="00CE0B4C" w:rsidP="00147516">
      <w:pPr>
        <w:spacing w:line="360" w:lineRule="auto"/>
        <w:jc w:val="both"/>
        <w:rPr>
          <w:rFonts w:ascii="Palatino Linotype" w:hAnsi="Palatino Linotype" w:cs="Tahoma"/>
          <w:sz w:val="22"/>
          <w:szCs w:val="22"/>
          <w:shd w:val="clear" w:color="auto" w:fill="FFFFFF"/>
        </w:rPr>
      </w:pPr>
      <w:r w:rsidRPr="00565223">
        <w:rPr>
          <w:rFonts w:ascii="Palatino Linotype" w:eastAsia="Calibri" w:hAnsi="Palatino Linotype"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565223">
        <w:rPr>
          <w:rFonts w:ascii="Palatino Linotype" w:eastAsia="Calibri" w:hAnsi="Palatino Linotype" w:cs="Tahoma"/>
          <w:color w:val="000000"/>
          <w:sz w:val="22"/>
          <w:szCs w:val="22"/>
          <w:lang w:eastAsia="es-MX"/>
        </w:rPr>
        <w:lastRenderedPageBreak/>
        <w:t>de la Ley Transparencia y Acceso a la Información Pública del Estado de México y Municipios;</w:t>
      </w:r>
      <w:r w:rsidRPr="00565223">
        <w:rPr>
          <w:rFonts w:eastAsia="Calibri"/>
          <w:color w:val="000000"/>
          <w:lang w:eastAsia="es-MX"/>
        </w:rPr>
        <w:t xml:space="preserve"> 7°, </w:t>
      </w:r>
      <w:r w:rsidRPr="00565223">
        <w:rPr>
          <w:rFonts w:ascii="Palatino Linotype" w:eastAsia="Calibri" w:hAnsi="Palatino Linotype"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14:paraId="42AD3956" w14:textId="77777777" w:rsidR="00EA4E4A" w:rsidRDefault="00EA4E4A" w:rsidP="00147516">
      <w:pPr>
        <w:spacing w:line="360" w:lineRule="auto"/>
        <w:contextualSpacing/>
        <w:jc w:val="both"/>
        <w:rPr>
          <w:rFonts w:ascii="Palatino Linotype" w:hAnsi="Palatino Linotype" w:cs="Tahoma"/>
          <w:sz w:val="22"/>
          <w:szCs w:val="22"/>
          <w:shd w:val="clear" w:color="auto" w:fill="FFFFFF"/>
        </w:rPr>
      </w:pPr>
    </w:p>
    <w:p w14:paraId="0A7D7010"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SEGUNDO</w:t>
      </w:r>
      <w:r w:rsidRPr="00AF6580">
        <w:rPr>
          <w:rFonts w:ascii="Palatino Linotype" w:eastAsia="Calibri" w:hAnsi="Palatino Linotype" w:cs="Tahoma"/>
          <w:color w:val="000000"/>
          <w:sz w:val="22"/>
          <w:szCs w:val="22"/>
          <w:lang w:eastAsia="es-MX"/>
        </w:rPr>
        <w:t xml:space="preserve">. </w:t>
      </w:r>
      <w:r w:rsidRPr="00AF6580">
        <w:rPr>
          <w:rFonts w:ascii="Palatino Linotype" w:eastAsia="Calibri" w:hAnsi="Palatino Linotype" w:cs="Tahoma"/>
          <w:b/>
          <w:color w:val="000000"/>
          <w:sz w:val="22"/>
          <w:szCs w:val="22"/>
          <w:lang w:eastAsia="es-MX"/>
        </w:rPr>
        <w:t>Causales de improcedencia y sobreseimiento.</w:t>
      </w:r>
      <w:r w:rsidRPr="00AF6580">
        <w:rPr>
          <w:rFonts w:ascii="Palatino Linotype" w:eastAsia="Calibri" w:hAnsi="Palatino Linotype" w:cs="Tahoma"/>
          <w:color w:val="000000"/>
          <w:sz w:val="22"/>
          <w:szCs w:val="22"/>
          <w:lang w:eastAsia="es-MX"/>
        </w:rPr>
        <w:t xml:space="preserve"> </w:t>
      </w:r>
    </w:p>
    <w:p w14:paraId="0940C4CC"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4CA7551"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6036889"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BCE2DE1"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6FC2EFF8" w14:textId="77777777" w:rsidR="00CE0B4C" w:rsidRDefault="00CE0B4C" w:rsidP="00147516">
      <w:pPr>
        <w:spacing w:line="360" w:lineRule="auto"/>
        <w:jc w:val="both"/>
        <w:rPr>
          <w:rFonts w:ascii="Palatino Linotype" w:eastAsia="Calibri" w:hAnsi="Palatino Linotype" w:cs="Tahoma"/>
          <w:b/>
          <w:sz w:val="22"/>
          <w:szCs w:val="22"/>
          <w:lang w:eastAsia="es-ES_tradnl"/>
        </w:rPr>
      </w:pPr>
    </w:p>
    <w:p w14:paraId="247CF821" w14:textId="77777777" w:rsidR="00CE0B4C" w:rsidRPr="007C0B21" w:rsidRDefault="00CE0B4C" w:rsidP="00147516">
      <w:pPr>
        <w:spacing w:line="360" w:lineRule="auto"/>
        <w:jc w:val="both"/>
        <w:rPr>
          <w:rFonts w:ascii="Palatino Linotype" w:eastAsia="Calibri" w:hAnsi="Palatino Linotype" w:cs="Tahoma"/>
          <w:b/>
          <w:sz w:val="22"/>
          <w:szCs w:val="22"/>
          <w:lang w:eastAsia="es-ES_tradnl"/>
        </w:rPr>
      </w:pPr>
      <w:r w:rsidRPr="007C0B21">
        <w:rPr>
          <w:rFonts w:ascii="Palatino Linotype" w:eastAsia="Calibri" w:hAnsi="Palatino Linotype" w:cs="Tahoma"/>
          <w:b/>
          <w:sz w:val="22"/>
          <w:szCs w:val="22"/>
          <w:lang w:eastAsia="es-ES_tradnl"/>
        </w:rPr>
        <w:lastRenderedPageBreak/>
        <w:t>Causales de sobreseimiento.</w:t>
      </w:r>
    </w:p>
    <w:p w14:paraId="6947C75A" w14:textId="77777777" w:rsidR="00CE0B4C" w:rsidRPr="009C0C0F" w:rsidRDefault="00CE0B4C" w:rsidP="00147516">
      <w:pPr>
        <w:spacing w:line="360" w:lineRule="auto"/>
        <w:jc w:val="both"/>
        <w:rPr>
          <w:rFonts w:ascii="Palatino Linotype" w:eastAsia="Calibri" w:hAnsi="Palatino Linotype" w:cs="Tahoma"/>
          <w:sz w:val="22"/>
          <w:szCs w:val="22"/>
          <w:lang w:eastAsia="es-ES_tradnl"/>
        </w:rPr>
      </w:pPr>
    </w:p>
    <w:p w14:paraId="01B7BED6" w14:textId="77777777" w:rsidR="00CE0B4C" w:rsidRPr="007C0B21" w:rsidRDefault="00CE0B4C" w:rsidP="00147516">
      <w:pPr>
        <w:spacing w:line="360" w:lineRule="auto"/>
        <w:jc w:val="both"/>
        <w:rPr>
          <w:rFonts w:ascii="Palatino Linotype" w:eastAsia="Calibri" w:hAnsi="Palatino Linotype" w:cs="Tahoma"/>
          <w:sz w:val="22"/>
          <w:szCs w:val="22"/>
          <w:lang w:eastAsia="es-ES_tradnl"/>
        </w:rPr>
      </w:pPr>
      <w:r w:rsidRPr="007C0B21">
        <w:rPr>
          <w:rFonts w:ascii="Palatino Linotype" w:eastAsia="Calibri" w:hAnsi="Palatino Linotype" w:cs="Tahoma"/>
          <w:sz w:val="22"/>
          <w:szCs w:val="22"/>
          <w:lang w:eastAsia="es-ES_tradnl"/>
        </w:rPr>
        <w:t>Por lo que hace a las causales de sobreseimiento, del análisis realizado por este Instituto, se advierte que</w:t>
      </w:r>
      <w:r w:rsidRPr="007C0B21">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eastAsia="Calibri" w:hAnsi="Palatino Linotype" w:cs="Tahoma"/>
          <w:bCs/>
          <w:sz w:val="22"/>
          <w:szCs w:val="22"/>
          <w:lang w:eastAsia="es-ES_tradnl"/>
        </w:rPr>
        <w:t xml:space="preserve">Por tales motivos, </w:t>
      </w:r>
      <w:r w:rsidRPr="007C0B21">
        <w:rPr>
          <w:rFonts w:ascii="Palatino Linotype" w:eastAsia="Calibri" w:hAnsi="Palatino Linotype" w:cs="Tahoma"/>
          <w:sz w:val="22"/>
          <w:szCs w:val="22"/>
          <w:lang w:eastAsia="es-ES_tradnl"/>
        </w:rPr>
        <w:t xml:space="preserve">se considera procedente entrar al fondo del presente asunto. </w:t>
      </w:r>
    </w:p>
    <w:p w14:paraId="0120C3E1" w14:textId="77777777" w:rsidR="00CE0B4C" w:rsidRDefault="00CE0B4C" w:rsidP="00147516">
      <w:pPr>
        <w:spacing w:line="360" w:lineRule="auto"/>
        <w:contextualSpacing/>
        <w:jc w:val="both"/>
        <w:rPr>
          <w:rFonts w:ascii="Palatino Linotype" w:hAnsi="Palatino Linotype" w:cs="Tahoma"/>
          <w:sz w:val="22"/>
          <w:szCs w:val="22"/>
          <w:shd w:val="clear" w:color="auto" w:fill="FFFFFF"/>
        </w:rPr>
      </w:pPr>
    </w:p>
    <w:p w14:paraId="610741B1" w14:textId="77777777" w:rsidR="00CE0B4C" w:rsidRPr="007C0B21"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r w:rsidRPr="007C0B21">
        <w:rPr>
          <w:rFonts w:ascii="Palatino Linotype" w:eastAsia="Calibri" w:hAnsi="Palatino Linotype" w:cs="Tahoma"/>
          <w:b/>
          <w:iCs/>
          <w:sz w:val="22"/>
          <w:szCs w:val="22"/>
          <w:lang w:val="es-ES" w:eastAsia="es-ES_tradnl"/>
        </w:rPr>
        <w:t xml:space="preserve">TERCERO. Determinación de la Controversia. </w:t>
      </w:r>
    </w:p>
    <w:p w14:paraId="6E70018D" w14:textId="77777777" w:rsidR="00CE0B4C" w:rsidRPr="007C0B21"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59F87EA6" w14:textId="2B0116BD" w:rsidR="00C53547" w:rsidRDefault="00CE0B4C" w:rsidP="00024A48">
      <w:pPr>
        <w:tabs>
          <w:tab w:val="left" w:pos="4962"/>
        </w:tabs>
        <w:spacing w:line="360" w:lineRule="auto"/>
        <w:jc w:val="both"/>
        <w:rPr>
          <w:rFonts w:ascii="Palatino Linotype" w:eastAsia="Calibri" w:hAnsi="Palatino Linotype" w:cs="Tahoma"/>
          <w:iCs/>
          <w:sz w:val="22"/>
          <w:szCs w:val="22"/>
          <w:lang w:val="es-ES" w:eastAsia="es-ES_tradnl"/>
        </w:rPr>
      </w:pPr>
      <w:r w:rsidRPr="009C0C0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9C0C0F">
        <w:rPr>
          <w:rFonts w:ascii="Palatino Linotype" w:eastAsia="Calibri" w:hAnsi="Palatino Linotype" w:cs="Tahoma"/>
          <w:iCs/>
          <w:sz w:val="22"/>
          <w:szCs w:val="22"/>
          <w:lang w:val="es-ES" w:eastAsia="es-ES_tradnl"/>
        </w:rPr>
        <w:t xml:space="preserve">Particular </w:t>
      </w:r>
      <w:r w:rsidRPr="009C0C0F">
        <w:rPr>
          <w:rFonts w:ascii="Palatino Linotype" w:eastAsia="Calibri" w:hAnsi="Palatino Linotype" w:cs="Tahoma"/>
          <w:iCs/>
          <w:sz w:val="22"/>
          <w:szCs w:val="22"/>
          <w:lang w:val="es-ES" w:eastAsia="es-ES_tradnl"/>
        </w:rPr>
        <w:t>solicitó al</w:t>
      </w:r>
      <w:r w:rsidR="00F805F6">
        <w:rPr>
          <w:rFonts w:ascii="Palatino Linotype" w:eastAsia="Calibri" w:hAnsi="Palatino Linotype" w:cs="Tahoma"/>
          <w:iCs/>
          <w:sz w:val="22"/>
          <w:szCs w:val="22"/>
          <w:lang w:val="es-ES" w:eastAsia="es-ES_tradnl"/>
        </w:rPr>
        <w:t xml:space="preserve"> </w:t>
      </w:r>
      <w:r w:rsidR="00117F37">
        <w:rPr>
          <w:rFonts w:ascii="Palatino Linotype" w:eastAsia="Calibri" w:hAnsi="Palatino Linotype" w:cs="Tahoma"/>
          <w:iCs/>
          <w:sz w:val="22"/>
          <w:szCs w:val="22"/>
          <w:lang w:val="es-ES" w:eastAsia="es-ES_tradnl"/>
        </w:rPr>
        <w:t>Organismo Público Descentralizado para la Prestación de Los Servicios de Agua Potable Alcantarillado y Saneamiento del Municipio de Lerma</w:t>
      </w:r>
      <w:r w:rsidRPr="00986410">
        <w:rPr>
          <w:rFonts w:ascii="Palatino Linotype" w:eastAsia="Calibri" w:hAnsi="Palatino Linotype" w:cs="Tahoma"/>
          <w:iCs/>
          <w:sz w:val="22"/>
          <w:szCs w:val="22"/>
          <w:lang w:val="es-ES" w:eastAsia="es-ES_tradnl"/>
        </w:rPr>
        <w:t>,</w:t>
      </w:r>
      <w:r w:rsidR="006D4FC4">
        <w:rPr>
          <w:rFonts w:ascii="Palatino Linotype" w:eastAsia="Calibri" w:hAnsi="Palatino Linotype" w:cs="Tahoma"/>
          <w:iCs/>
          <w:sz w:val="22"/>
          <w:szCs w:val="22"/>
          <w:lang w:val="es-ES" w:eastAsia="es-ES_tradnl"/>
        </w:rPr>
        <w:t xml:space="preserve"> </w:t>
      </w:r>
      <w:r w:rsidR="00C53547">
        <w:rPr>
          <w:rFonts w:ascii="Palatino Linotype" w:eastAsia="Calibri" w:hAnsi="Palatino Linotype" w:cs="Tahoma"/>
          <w:iCs/>
          <w:sz w:val="22"/>
          <w:szCs w:val="22"/>
          <w:lang w:val="es-ES" w:eastAsia="es-ES_tradnl"/>
        </w:rPr>
        <w:t>lo siguiente:</w:t>
      </w:r>
    </w:p>
    <w:p w14:paraId="2D1F8D08" w14:textId="77777777" w:rsidR="00C53547" w:rsidRDefault="00C53547" w:rsidP="00024A48">
      <w:pPr>
        <w:tabs>
          <w:tab w:val="left" w:pos="4962"/>
        </w:tabs>
        <w:spacing w:line="360" w:lineRule="auto"/>
        <w:jc w:val="both"/>
        <w:rPr>
          <w:rFonts w:ascii="Palatino Linotype" w:eastAsia="Calibri" w:hAnsi="Palatino Linotype" w:cs="Tahoma"/>
          <w:iCs/>
          <w:sz w:val="22"/>
          <w:szCs w:val="22"/>
          <w:lang w:val="es-ES" w:eastAsia="es-ES_tradnl"/>
        </w:rPr>
      </w:pPr>
    </w:p>
    <w:p w14:paraId="2E7246DF" w14:textId="77777777"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Reportes del aplicativo “Visor de nómina del SAT” por los años 2018, 2019, 2020, y 2021 en sus tres presentaciones: </w:t>
      </w:r>
    </w:p>
    <w:p w14:paraId="7115A01E" w14:textId="77777777" w:rsidR="00C53547" w:rsidRPr="00C53547" w:rsidRDefault="00C53547" w:rsidP="004B20B1">
      <w:pPr>
        <w:pStyle w:val="Prrafodelista"/>
        <w:numPr>
          <w:ilvl w:val="1"/>
          <w:numId w:val="14"/>
        </w:numPr>
        <w:spacing w:line="360" w:lineRule="auto"/>
        <w:ind w:left="1701" w:right="539"/>
        <w:contextualSpacing w:val="0"/>
        <w:jc w:val="both"/>
        <w:rPr>
          <w:rFonts w:ascii="Palatino Linotype" w:hAnsi="Palatino Linotype" w:cs="Arial"/>
          <w:i/>
          <w:sz w:val="20"/>
        </w:rPr>
      </w:pPr>
      <w:r w:rsidRPr="00C53547">
        <w:rPr>
          <w:rFonts w:ascii="Palatino Linotype" w:hAnsi="Palatino Linotype" w:cs="Arial"/>
          <w:i/>
          <w:sz w:val="20"/>
        </w:rPr>
        <w:t xml:space="preserve">Vista anual acumulada. </w:t>
      </w:r>
    </w:p>
    <w:p w14:paraId="65AC8732" w14:textId="77777777" w:rsidR="00C53547" w:rsidRPr="00C53547" w:rsidRDefault="00C53547" w:rsidP="004B20B1">
      <w:pPr>
        <w:pStyle w:val="Prrafodelista"/>
        <w:numPr>
          <w:ilvl w:val="1"/>
          <w:numId w:val="14"/>
        </w:numPr>
        <w:spacing w:line="360" w:lineRule="auto"/>
        <w:ind w:left="1701" w:right="539"/>
        <w:contextualSpacing w:val="0"/>
        <w:jc w:val="both"/>
        <w:rPr>
          <w:rFonts w:ascii="Palatino Linotype" w:hAnsi="Palatino Linotype" w:cs="Arial"/>
          <w:i/>
          <w:sz w:val="20"/>
        </w:rPr>
      </w:pPr>
      <w:r w:rsidRPr="00C53547">
        <w:rPr>
          <w:rFonts w:ascii="Palatino Linotype" w:hAnsi="Palatino Linotype" w:cs="Arial"/>
          <w:i/>
          <w:sz w:val="20"/>
        </w:rPr>
        <w:t xml:space="preserve">Detalle mensual. </w:t>
      </w:r>
    </w:p>
    <w:p w14:paraId="26CB8360" w14:textId="77777777" w:rsidR="00C53547" w:rsidRPr="00C53547" w:rsidRDefault="00C53547" w:rsidP="004B20B1">
      <w:pPr>
        <w:pStyle w:val="Prrafodelista"/>
        <w:numPr>
          <w:ilvl w:val="1"/>
          <w:numId w:val="14"/>
        </w:numPr>
        <w:spacing w:line="360" w:lineRule="auto"/>
        <w:ind w:left="1701" w:right="539"/>
        <w:contextualSpacing w:val="0"/>
        <w:jc w:val="both"/>
        <w:rPr>
          <w:rFonts w:ascii="Palatino Linotype" w:hAnsi="Palatino Linotype" w:cs="Arial"/>
          <w:i/>
          <w:sz w:val="20"/>
        </w:rPr>
      </w:pPr>
      <w:r w:rsidRPr="00C53547">
        <w:rPr>
          <w:rFonts w:ascii="Palatino Linotype" w:hAnsi="Palatino Linotype" w:cs="Arial"/>
          <w:i/>
          <w:sz w:val="20"/>
        </w:rPr>
        <w:t xml:space="preserve">Detalle diferencias sueldos y salarios. </w:t>
      </w:r>
    </w:p>
    <w:p w14:paraId="687BB72A" w14:textId="77777777"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La constancia de situación fiscal de no adeudo emitida por el INFONAVIT, generada desde el portal empresarial de esa Institución, a través de internet. </w:t>
      </w:r>
    </w:p>
    <w:p w14:paraId="6D2EB66C" w14:textId="77777777"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lastRenderedPageBreak/>
        <w:t xml:space="preserve">La opinión de no adeudo en el cumplimiento de obligaciones fiscales en materia de seguridad social emitida por el IMSS, generada desde el portal de esa Institución, a través de internet. </w:t>
      </w:r>
    </w:p>
    <w:p w14:paraId="34194A37" w14:textId="77777777"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La opinión de no adeudo en el cumplimiento de obligaciones fiscales estatales emitida por el SAT, generada desde el portal de esa Institución, a través de internet. </w:t>
      </w:r>
    </w:p>
    <w:p w14:paraId="4940F8EC" w14:textId="77777777"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Un papel de trabajo por el municipio, y otro por cada una de las paramunicipales que contenga los datos para identificar el ISR participable recuperado por cada mes desde </w:t>
      </w:r>
      <w:proofErr w:type="gramStart"/>
      <w:r w:rsidRPr="00C53547">
        <w:rPr>
          <w:rFonts w:ascii="Palatino Linotype" w:hAnsi="Palatino Linotype" w:cs="Arial"/>
          <w:i/>
          <w:sz w:val="20"/>
        </w:rPr>
        <w:t>Enero</w:t>
      </w:r>
      <w:proofErr w:type="gramEnd"/>
      <w:r w:rsidRPr="00C53547">
        <w:rPr>
          <w:rFonts w:ascii="Palatino Linotype" w:hAnsi="Palatino Linotype" w:cs="Arial"/>
          <w:i/>
          <w:sz w:val="20"/>
        </w:rPr>
        <w:t xml:space="preserve">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5C9A4083" w14:textId="6822D020"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 </w:t>
      </w:r>
      <w:r w:rsidRPr="00C53547">
        <w:rPr>
          <w:rFonts w:ascii="Palatino Linotype" w:hAnsi="Palatino Linotype" w:cs="Arial"/>
          <w:i/>
          <w:sz w:val="20"/>
          <w:u w:val="single"/>
        </w:rPr>
        <w:t>Para comprobar que los trabajadores no están siendo afectados por errores en el cálculo de sus impuestos</w:t>
      </w:r>
      <w:r w:rsidRPr="00C53547">
        <w:rPr>
          <w:rFonts w:ascii="Palatino Linotype" w:hAnsi="Palatino Linotype" w:cs="Arial"/>
          <w:i/>
          <w:sz w:val="20"/>
        </w:rPr>
        <w:t xml:space="preserve"> (No tienen diferencias a cargo, ni diferencias a favor en su declaración anual precargada), propongo que </w:t>
      </w:r>
      <w:r w:rsidRPr="00C53547">
        <w:rPr>
          <w:rFonts w:ascii="Palatino Linotype" w:hAnsi="Palatino Linotype" w:cs="Arial"/>
          <w:i/>
          <w:sz w:val="20"/>
          <w:u w:val="single"/>
        </w:rPr>
        <w:t>seleccionen al azar 5 muestras del ayuntamiento y tres muestras de cada paramunicipal</w:t>
      </w:r>
      <w:r w:rsidRPr="00C53547">
        <w:rPr>
          <w:rFonts w:ascii="Palatino Linotype" w:hAnsi="Palatino Linotype" w:cs="Arial"/>
          <w:i/>
          <w:sz w:val="20"/>
        </w:rPr>
        <w:t>. A cada uno de los trabajadores seleccionados el personal responsable del municipio y/o de las paramunicipales,</w:t>
      </w:r>
      <w:r w:rsidR="00F31128">
        <w:rPr>
          <w:rFonts w:ascii="Palatino Linotype" w:hAnsi="Palatino Linotype" w:cs="Arial"/>
          <w:i/>
          <w:sz w:val="20"/>
        </w:rPr>
        <w:t>9</w:t>
      </w:r>
      <w:r w:rsidRPr="00C53547">
        <w:rPr>
          <w:rFonts w:ascii="Palatino Linotype" w:hAnsi="Palatino Linotype" w:cs="Arial"/>
          <w:i/>
          <w:sz w:val="20"/>
        </w:rPr>
        <w:t xml:space="preserve"> les calcularán el impuesto anual por los años 2017, 2018, 2019, y 2020, con base en los datos precargados en el expediente fiscal del trabajador. Para guardar la confidencialidad, </w:t>
      </w:r>
      <w:r w:rsidRPr="00C53547">
        <w:rPr>
          <w:rFonts w:ascii="Palatino Linotype" w:hAnsi="Palatino Linotype" w:cs="Arial"/>
          <w:i/>
          <w:sz w:val="20"/>
          <w:u w:val="single"/>
        </w:rPr>
        <w:t xml:space="preserve">a </w:t>
      </w:r>
      <w:proofErr w:type="spellStart"/>
      <w:r w:rsidRPr="00C53547">
        <w:rPr>
          <w:rFonts w:ascii="Palatino Linotype" w:hAnsi="Palatino Linotype" w:cs="Arial"/>
          <w:i/>
          <w:sz w:val="20"/>
          <w:u w:val="single"/>
        </w:rPr>
        <w:t>mi</w:t>
      </w:r>
      <w:proofErr w:type="spellEnd"/>
      <w:r w:rsidRPr="00C53547">
        <w:rPr>
          <w:rFonts w:ascii="Palatino Linotype" w:hAnsi="Palatino Linotype" w:cs="Arial"/>
          <w:i/>
          <w:sz w:val="20"/>
          <w:u w:val="single"/>
        </w:rPr>
        <w:t xml:space="preserve"> solo me entregarán un papel de trabajo con los siguientes encabezados</w:t>
      </w:r>
      <w:r w:rsidRPr="00C53547">
        <w:rPr>
          <w:rFonts w:ascii="Palatino Linotype" w:hAnsi="Palatino Linotype" w:cs="Arial"/>
          <w:i/>
          <w:sz w:val="20"/>
        </w:rPr>
        <w:t xml:space="preserve">: </w:t>
      </w:r>
      <w:proofErr w:type="gramStart"/>
      <w:r w:rsidRPr="00C53547">
        <w:rPr>
          <w:rFonts w:ascii="Palatino Linotype" w:hAnsi="Palatino Linotype" w:cs="Arial"/>
          <w:i/>
          <w:sz w:val="20"/>
        </w:rPr>
        <w:t>A)En</w:t>
      </w:r>
      <w:proofErr w:type="gramEnd"/>
      <w:r w:rsidRPr="00C53547">
        <w:rPr>
          <w:rFonts w:ascii="Palatino Linotype" w:hAnsi="Palatino Linotype" w:cs="Arial"/>
          <w:i/>
          <w:sz w:val="20"/>
        </w:rPr>
        <w:t xml:space="preserve"> la columna A “Nombre del trabajador”, pudiendo identificarlos como: trabajador 1, trabajador 2, trabajador 3 B) En la columna B “Año”. C) En la columna C “Saldo a favor de ISR”. D) En la columna D “Saldo a cargo en el ISR”. E) En la columna E “Diferencia </w:t>
      </w:r>
      <w:r w:rsidRPr="00C53547">
        <w:rPr>
          <w:rFonts w:ascii="Palatino Linotype" w:hAnsi="Palatino Linotype" w:cs="Arial"/>
          <w:i/>
          <w:sz w:val="20"/>
        </w:rPr>
        <w:lastRenderedPageBreak/>
        <w:t>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w:t>
      </w:r>
    </w:p>
    <w:p w14:paraId="24A9C612" w14:textId="77777777" w:rsidR="00C53547" w:rsidRDefault="00C53547" w:rsidP="00024A48">
      <w:pPr>
        <w:tabs>
          <w:tab w:val="left" w:pos="4962"/>
        </w:tabs>
        <w:spacing w:line="360" w:lineRule="auto"/>
        <w:jc w:val="both"/>
        <w:rPr>
          <w:rFonts w:ascii="Palatino Linotype" w:eastAsia="Calibri" w:hAnsi="Palatino Linotype" w:cs="Tahoma"/>
          <w:iCs/>
          <w:sz w:val="22"/>
          <w:szCs w:val="22"/>
          <w:lang w:val="es-ES" w:eastAsia="es-ES_tradnl"/>
        </w:rPr>
      </w:pPr>
    </w:p>
    <w:p w14:paraId="6A2524A3" w14:textId="031EB281" w:rsidR="00DA3A68" w:rsidRPr="00A90DED" w:rsidRDefault="00993BF4" w:rsidP="00A511BB">
      <w:pPr>
        <w:tabs>
          <w:tab w:val="left" w:pos="4962"/>
        </w:tabs>
        <w:spacing w:line="360" w:lineRule="auto"/>
        <w:jc w:val="both"/>
        <w:rPr>
          <w:rFonts w:ascii="Palatino Linotype" w:eastAsia="Calibri" w:hAnsi="Palatino Linotype" w:cs="Tahoma"/>
          <w:iCs/>
          <w:sz w:val="22"/>
          <w:szCs w:val="22"/>
          <w:lang w:val="es-ES" w:eastAsia="es-ES_tradnl"/>
        </w:rPr>
      </w:pPr>
      <w:r w:rsidRPr="00A90DED">
        <w:rPr>
          <w:rFonts w:ascii="Palatino Linotype" w:eastAsia="Calibri" w:hAnsi="Palatino Linotype" w:cs="Tahoma"/>
          <w:iCs/>
          <w:sz w:val="22"/>
          <w:szCs w:val="22"/>
          <w:lang w:val="es-ES" w:eastAsia="es-ES_tradnl"/>
        </w:rPr>
        <w:t>E</w:t>
      </w:r>
      <w:r w:rsidR="0044640B" w:rsidRPr="00A90DED">
        <w:rPr>
          <w:rFonts w:ascii="Palatino Linotype" w:eastAsia="Calibri" w:hAnsi="Palatino Linotype" w:cs="Tahoma"/>
          <w:iCs/>
          <w:sz w:val="22"/>
          <w:szCs w:val="22"/>
          <w:lang w:val="es-ES" w:eastAsia="es-ES_tradnl"/>
        </w:rPr>
        <w:t>n respuesta el Sujeto Obligado</w:t>
      </w:r>
      <w:r w:rsidR="00147516" w:rsidRPr="00A90DED">
        <w:rPr>
          <w:rFonts w:ascii="Palatino Linotype" w:eastAsia="Calibri" w:hAnsi="Palatino Linotype" w:cs="Tahoma"/>
          <w:iCs/>
          <w:sz w:val="22"/>
          <w:szCs w:val="22"/>
          <w:lang w:val="es-ES" w:eastAsia="es-ES_tradnl"/>
        </w:rPr>
        <w:t xml:space="preserve">, </w:t>
      </w:r>
      <w:r w:rsidR="0069125B" w:rsidRPr="00A90DED">
        <w:rPr>
          <w:rFonts w:ascii="Palatino Linotype" w:eastAsia="Calibri" w:hAnsi="Palatino Linotype" w:cs="Tahoma"/>
          <w:iCs/>
          <w:sz w:val="22"/>
          <w:szCs w:val="22"/>
          <w:lang w:val="es-ES" w:eastAsia="es-ES_tradnl"/>
        </w:rPr>
        <w:t xml:space="preserve">entregó la información relativa al punto 5 conducto de su Director de </w:t>
      </w:r>
      <w:proofErr w:type="gramStart"/>
      <w:r w:rsidR="0069125B" w:rsidRPr="00A90DED">
        <w:rPr>
          <w:rFonts w:ascii="Palatino Linotype" w:eastAsia="Calibri" w:hAnsi="Palatino Linotype" w:cs="Tahoma"/>
          <w:iCs/>
          <w:sz w:val="22"/>
          <w:szCs w:val="22"/>
          <w:lang w:val="es-ES" w:eastAsia="es-ES_tradnl"/>
        </w:rPr>
        <w:t xml:space="preserve">Finanzas, </w:t>
      </w:r>
      <w:r w:rsidR="00995328" w:rsidRPr="00A90DED">
        <w:rPr>
          <w:rFonts w:ascii="Palatino Linotype" w:eastAsia="Calibri" w:hAnsi="Palatino Linotype" w:cs="Tahoma"/>
          <w:iCs/>
          <w:sz w:val="22"/>
          <w:szCs w:val="22"/>
          <w:lang w:val="es-ES" w:eastAsia="es-ES_tradnl"/>
        </w:rPr>
        <w:t xml:space="preserve"> respecto</w:t>
      </w:r>
      <w:proofErr w:type="gramEnd"/>
      <w:r w:rsidR="00995328" w:rsidRPr="00A90DED">
        <w:rPr>
          <w:rFonts w:ascii="Palatino Linotype" w:eastAsia="Calibri" w:hAnsi="Palatino Linotype" w:cs="Tahoma"/>
          <w:iCs/>
          <w:sz w:val="22"/>
          <w:szCs w:val="22"/>
          <w:lang w:val="es-ES" w:eastAsia="es-ES_tradnl"/>
        </w:rPr>
        <w:t xml:space="preserve"> al punto 1, respondió que lo solicitado se realizó con forme a lo establecido en la normatividad y con respecto a los pagos de personal, es información inherente a cada trabajador; por lo que hace a los numerales 2 y 3, no aplican; sobre el numeral 4, refirió que se realizaron los pagos de las obligaciones fiscales conforma a los establecido en la normatividad</w:t>
      </w:r>
      <w:r w:rsidR="0001793E">
        <w:rPr>
          <w:rFonts w:ascii="Palatino Linotype" w:eastAsia="Calibri" w:hAnsi="Palatino Linotype" w:cs="Tahoma"/>
          <w:iCs/>
          <w:sz w:val="22"/>
          <w:szCs w:val="22"/>
          <w:lang w:val="es-ES" w:eastAsia="es-ES_tradnl"/>
        </w:rPr>
        <w:t>.</w:t>
      </w:r>
    </w:p>
    <w:p w14:paraId="5E9D9223" w14:textId="40E94F78" w:rsidR="00DA3A68" w:rsidRPr="00A90DED" w:rsidRDefault="00DA3A68" w:rsidP="00A511BB">
      <w:pPr>
        <w:tabs>
          <w:tab w:val="left" w:pos="4962"/>
        </w:tabs>
        <w:spacing w:line="360" w:lineRule="auto"/>
        <w:jc w:val="both"/>
        <w:rPr>
          <w:rFonts w:ascii="Palatino Linotype" w:eastAsia="Calibri" w:hAnsi="Palatino Linotype" w:cs="Tahoma"/>
          <w:iCs/>
          <w:sz w:val="22"/>
          <w:szCs w:val="22"/>
          <w:lang w:val="es-ES" w:eastAsia="es-ES_tradnl"/>
        </w:rPr>
      </w:pPr>
    </w:p>
    <w:p w14:paraId="1FEA518B" w14:textId="4A91619E" w:rsidR="00CE0B4C" w:rsidRPr="007C0B21" w:rsidRDefault="00DA3A68" w:rsidP="00EC4211">
      <w:pPr>
        <w:tabs>
          <w:tab w:val="left" w:pos="4962"/>
        </w:tabs>
        <w:spacing w:line="360" w:lineRule="auto"/>
        <w:jc w:val="both"/>
        <w:rPr>
          <w:rFonts w:ascii="Palatino Linotype" w:eastAsia="Calibri" w:hAnsi="Palatino Linotype" w:cs="Tahoma"/>
          <w:iCs/>
          <w:sz w:val="22"/>
          <w:szCs w:val="22"/>
          <w:lang w:eastAsia="es-ES_tradnl"/>
        </w:rPr>
      </w:pPr>
      <w:r w:rsidRPr="00A90DED">
        <w:rPr>
          <w:rFonts w:ascii="Palatino Linotype" w:eastAsia="Calibri" w:hAnsi="Palatino Linotype" w:cs="Tahoma"/>
          <w:iCs/>
          <w:sz w:val="22"/>
          <w:szCs w:val="22"/>
          <w:lang w:val="es-ES" w:eastAsia="es-ES_tradnl"/>
        </w:rPr>
        <w:t>Es en este orden de ideas, que se considera que se actualiza</w:t>
      </w:r>
      <w:r w:rsidR="00995328" w:rsidRPr="00A90DED">
        <w:rPr>
          <w:rFonts w:ascii="Palatino Linotype" w:eastAsia="Calibri" w:hAnsi="Palatino Linotype" w:cs="Tahoma"/>
          <w:iCs/>
          <w:sz w:val="22"/>
          <w:szCs w:val="22"/>
          <w:lang w:val="es-ES" w:eastAsia="es-ES_tradnl"/>
        </w:rPr>
        <w:t>n</w:t>
      </w:r>
      <w:r w:rsidRPr="00A90DED">
        <w:rPr>
          <w:rFonts w:ascii="Palatino Linotype" w:eastAsia="Calibri" w:hAnsi="Palatino Linotype" w:cs="Tahoma"/>
          <w:iCs/>
          <w:sz w:val="22"/>
          <w:szCs w:val="22"/>
          <w:lang w:val="es-ES" w:eastAsia="es-ES_tradnl"/>
        </w:rPr>
        <w:t xml:space="preserve"> </w:t>
      </w:r>
      <w:proofErr w:type="gramStart"/>
      <w:r w:rsidRPr="00A90DED">
        <w:rPr>
          <w:rFonts w:ascii="Palatino Linotype" w:eastAsia="Calibri" w:hAnsi="Palatino Linotype" w:cs="Tahoma"/>
          <w:iCs/>
          <w:sz w:val="22"/>
          <w:szCs w:val="22"/>
          <w:lang w:val="es-ES" w:eastAsia="es-ES_tradnl"/>
        </w:rPr>
        <w:t>la causal</w:t>
      </w:r>
      <w:r w:rsidR="00995328" w:rsidRPr="00A90DED">
        <w:rPr>
          <w:rFonts w:ascii="Palatino Linotype" w:eastAsia="Calibri" w:hAnsi="Palatino Linotype" w:cs="Tahoma"/>
          <w:iCs/>
          <w:sz w:val="22"/>
          <w:szCs w:val="22"/>
          <w:lang w:val="es-ES" w:eastAsia="es-ES_tradnl"/>
        </w:rPr>
        <w:t>es</w:t>
      </w:r>
      <w:proofErr w:type="gramEnd"/>
      <w:r w:rsidRPr="00A90DED">
        <w:rPr>
          <w:rFonts w:ascii="Palatino Linotype" w:eastAsia="Calibri" w:hAnsi="Palatino Linotype" w:cs="Tahoma"/>
          <w:iCs/>
          <w:sz w:val="22"/>
          <w:szCs w:val="22"/>
          <w:lang w:val="es-ES" w:eastAsia="es-ES_tradnl"/>
        </w:rPr>
        <w:t xml:space="preserve"> de procedencia contemplada</w:t>
      </w:r>
      <w:r w:rsidR="00995328" w:rsidRPr="00A90DED">
        <w:rPr>
          <w:rFonts w:ascii="Palatino Linotype" w:eastAsia="Calibri" w:hAnsi="Palatino Linotype" w:cs="Tahoma"/>
          <w:iCs/>
          <w:sz w:val="22"/>
          <w:szCs w:val="22"/>
          <w:lang w:val="es-ES" w:eastAsia="es-ES_tradnl"/>
        </w:rPr>
        <w:t>s</w:t>
      </w:r>
      <w:r w:rsidRPr="00A90DED">
        <w:rPr>
          <w:rFonts w:ascii="Palatino Linotype" w:eastAsia="Calibri" w:hAnsi="Palatino Linotype" w:cs="Tahoma"/>
          <w:iCs/>
          <w:sz w:val="22"/>
          <w:szCs w:val="22"/>
          <w:lang w:val="es-ES" w:eastAsia="es-ES_tradnl"/>
        </w:rPr>
        <w:t xml:space="preserve"> en el artículo 179, </w:t>
      </w:r>
      <w:r w:rsidR="00995328" w:rsidRPr="00A90DED">
        <w:rPr>
          <w:rFonts w:ascii="Palatino Linotype" w:eastAsia="Calibri" w:hAnsi="Palatino Linotype" w:cs="Tahoma"/>
          <w:iCs/>
          <w:sz w:val="22"/>
          <w:szCs w:val="22"/>
          <w:lang w:val="es-ES" w:eastAsia="es-ES_tradnl"/>
        </w:rPr>
        <w:t>fracciones</w:t>
      </w:r>
      <w:r w:rsidRPr="00A90DED">
        <w:rPr>
          <w:rFonts w:ascii="Palatino Linotype" w:eastAsia="Calibri" w:hAnsi="Palatino Linotype" w:cs="Tahoma"/>
          <w:iCs/>
          <w:sz w:val="22"/>
          <w:szCs w:val="22"/>
          <w:lang w:val="es-ES" w:eastAsia="es-ES_tradnl"/>
        </w:rPr>
        <w:t xml:space="preserve"> I</w:t>
      </w:r>
      <w:r w:rsidR="00995328" w:rsidRPr="00A90DED">
        <w:rPr>
          <w:rFonts w:ascii="Palatino Linotype" w:eastAsia="Calibri" w:hAnsi="Palatino Linotype" w:cs="Tahoma"/>
          <w:iCs/>
          <w:sz w:val="22"/>
          <w:szCs w:val="22"/>
          <w:lang w:val="es-ES" w:eastAsia="es-ES_tradnl"/>
        </w:rPr>
        <w:t xml:space="preserve"> y V</w:t>
      </w:r>
      <w:r w:rsidRPr="00A90DED">
        <w:rPr>
          <w:rFonts w:ascii="Palatino Linotype" w:eastAsia="Calibri" w:hAnsi="Palatino Linotype" w:cs="Tahoma"/>
          <w:iCs/>
          <w:sz w:val="22"/>
          <w:szCs w:val="22"/>
          <w:lang w:val="es-ES" w:eastAsia="es-ES_tradnl"/>
        </w:rPr>
        <w:t>, de la Ley de Transparencia y Acceso a la Información Pública del Estado de México y Municipios</w:t>
      </w:r>
      <w:r w:rsidR="00EA63B5" w:rsidRPr="00A90DED">
        <w:rPr>
          <w:rFonts w:ascii="Palatino Linotype" w:eastAsia="Calibri" w:hAnsi="Palatino Linotype" w:cs="Tahoma"/>
          <w:iCs/>
          <w:sz w:val="22"/>
          <w:szCs w:val="22"/>
          <w:lang w:val="es-ES" w:eastAsia="es-ES_tradnl"/>
        </w:rPr>
        <w:t>, que contempla</w:t>
      </w:r>
      <w:r w:rsidR="00995328" w:rsidRPr="00A90DED">
        <w:rPr>
          <w:rFonts w:ascii="Palatino Linotype" w:eastAsia="Calibri" w:hAnsi="Palatino Linotype" w:cs="Tahoma"/>
          <w:iCs/>
          <w:sz w:val="22"/>
          <w:szCs w:val="22"/>
          <w:lang w:val="es-ES" w:eastAsia="es-ES_tradnl"/>
        </w:rPr>
        <w:t>n</w:t>
      </w:r>
      <w:r w:rsidR="00EA63B5" w:rsidRPr="00A90DED">
        <w:rPr>
          <w:rFonts w:ascii="Palatino Linotype" w:eastAsia="Calibri" w:hAnsi="Palatino Linotype" w:cs="Tahoma"/>
          <w:iCs/>
          <w:sz w:val="22"/>
          <w:szCs w:val="22"/>
          <w:lang w:val="es-ES" w:eastAsia="es-ES_tradnl"/>
        </w:rPr>
        <w:t xml:space="preserve"> que el recurso de revisión es un medio de protección que procederá en contra de </w:t>
      </w:r>
      <w:r w:rsidR="00EC4211" w:rsidRPr="00A90DED">
        <w:rPr>
          <w:rFonts w:ascii="Palatino Linotype" w:eastAsia="Calibri" w:hAnsi="Palatino Linotype" w:cs="Tahoma"/>
          <w:b/>
          <w:bCs/>
          <w:iCs/>
          <w:sz w:val="22"/>
          <w:szCs w:val="22"/>
          <w:lang w:val="es-ES" w:eastAsia="es-ES_tradnl"/>
        </w:rPr>
        <w:t>–la negativa a la información solicitada-</w:t>
      </w:r>
      <w:r w:rsidR="00995328">
        <w:rPr>
          <w:rFonts w:ascii="Palatino Linotype" w:eastAsia="Calibri" w:hAnsi="Palatino Linotype" w:cs="Tahoma"/>
          <w:b/>
          <w:bCs/>
          <w:iCs/>
          <w:sz w:val="22"/>
          <w:szCs w:val="22"/>
          <w:lang w:val="es-ES" w:eastAsia="es-ES_tradnl"/>
        </w:rPr>
        <w:t xml:space="preserve"> </w:t>
      </w:r>
      <w:r w:rsidR="00995328" w:rsidRPr="00995328">
        <w:rPr>
          <w:rFonts w:ascii="Palatino Linotype" w:eastAsia="Calibri" w:hAnsi="Palatino Linotype" w:cs="Tahoma"/>
          <w:iCs/>
          <w:sz w:val="22"/>
          <w:szCs w:val="22"/>
          <w:lang w:val="es-ES" w:eastAsia="es-ES_tradnl"/>
        </w:rPr>
        <w:t>y en contra de</w:t>
      </w:r>
      <w:r w:rsidR="00995328">
        <w:rPr>
          <w:rFonts w:ascii="Palatino Linotype" w:eastAsia="Calibri" w:hAnsi="Palatino Linotype" w:cs="Tahoma"/>
          <w:b/>
          <w:bCs/>
          <w:iCs/>
          <w:sz w:val="22"/>
          <w:szCs w:val="22"/>
          <w:lang w:val="es-ES" w:eastAsia="es-ES_tradnl"/>
        </w:rPr>
        <w:t xml:space="preserve"> -la entrega de información incompleta-.</w:t>
      </w:r>
    </w:p>
    <w:p w14:paraId="7B470BE6" w14:textId="77777777" w:rsidR="00CE0B4C" w:rsidRPr="007C0B21" w:rsidRDefault="00CE0B4C" w:rsidP="00147516">
      <w:pPr>
        <w:tabs>
          <w:tab w:val="left" w:pos="4962"/>
        </w:tabs>
        <w:spacing w:line="360" w:lineRule="auto"/>
        <w:jc w:val="both"/>
        <w:rPr>
          <w:rFonts w:ascii="Palatino Linotype" w:eastAsia="Calibri" w:hAnsi="Palatino Linotype" w:cs="Tahoma"/>
          <w:iCs/>
          <w:sz w:val="22"/>
          <w:szCs w:val="22"/>
          <w:lang w:eastAsia="es-ES_tradnl"/>
        </w:rPr>
      </w:pPr>
    </w:p>
    <w:p w14:paraId="6FA05E8D" w14:textId="77777777" w:rsidR="00CE0B4C" w:rsidRPr="007C0B21" w:rsidRDefault="00CE0B4C" w:rsidP="00147516">
      <w:pPr>
        <w:spacing w:line="360" w:lineRule="auto"/>
        <w:ind w:right="-93"/>
        <w:jc w:val="both"/>
        <w:rPr>
          <w:rFonts w:ascii="Palatino Linotype" w:hAnsi="Palatino Linotype" w:cs="Tahoma"/>
          <w:b/>
          <w:sz w:val="22"/>
          <w:szCs w:val="22"/>
        </w:rPr>
      </w:pPr>
      <w:r w:rsidRPr="00696DD6">
        <w:rPr>
          <w:rFonts w:ascii="Palatino Linotype" w:hAnsi="Palatino Linotype" w:cs="Tahoma"/>
          <w:b/>
          <w:sz w:val="22"/>
          <w:szCs w:val="22"/>
          <w:lang w:val="es-ES"/>
        </w:rPr>
        <w:t xml:space="preserve">CUARTO. </w:t>
      </w:r>
      <w:r w:rsidRPr="00696DD6">
        <w:rPr>
          <w:rFonts w:ascii="Palatino Linotype" w:hAnsi="Palatino Linotype" w:cs="Tahoma"/>
          <w:b/>
          <w:sz w:val="22"/>
          <w:szCs w:val="22"/>
        </w:rPr>
        <w:t>Marco normativo aplicable en materia de transparencia y acceso a la información pública.</w:t>
      </w:r>
    </w:p>
    <w:p w14:paraId="76584BEB" w14:textId="77777777" w:rsidR="00CE0B4C" w:rsidRPr="007C0B21" w:rsidRDefault="00CE0B4C" w:rsidP="00147516">
      <w:pPr>
        <w:spacing w:line="360" w:lineRule="auto"/>
        <w:contextualSpacing/>
        <w:jc w:val="both"/>
        <w:rPr>
          <w:rFonts w:ascii="Palatino Linotype" w:hAnsi="Palatino Linotype" w:cs="Tahoma"/>
          <w:sz w:val="22"/>
          <w:szCs w:val="22"/>
        </w:rPr>
      </w:pPr>
    </w:p>
    <w:p w14:paraId="34656A96" w14:textId="77777777" w:rsidR="00CE0B4C" w:rsidRPr="007C0B21" w:rsidRDefault="00CE0B4C" w:rsidP="00147516">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7C0B21">
        <w:rPr>
          <w:rFonts w:ascii="Palatino Linotype" w:hAnsi="Palatino Linotype" w:cs="Tahoma"/>
          <w:sz w:val="22"/>
          <w:szCs w:val="22"/>
        </w:rPr>
        <w:t>autoridad</w:t>
      </w:r>
      <w:r w:rsidRPr="007C0B21">
        <w:rPr>
          <w:rFonts w:ascii="Palatino Linotype" w:hAnsi="Palatino Linotype" w:cs="Tahoma"/>
          <w:sz w:val="22"/>
          <w:szCs w:val="22"/>
        </w:rPr>
        <w:t xml:space="preserve"> es pública y sólo podrá ser reservada temporalmente por razones de interés público.</w:t>
      </w:r>
    </w:p>
    <w:p w14:paraId="31B6CBD8" w14:textId="77777777" w:rsidR="00CE0B4C" w:rsidRPr="007C0B21" w:rsidRDefault="00CE0B4C" w:rsidP="00147516">
      <w:pPr>
        <w:spacing w:line="360" w:lineRule="auto"/>
        <w:contextualSpacing/>
        <w:jc w:val="both"/>
        <w:rPr>
          <w:rFonts w:ascii="Palatino Linotype" w:hAnsi="Palatino Linotype" w:cs="Tahoma"/>
          <w:sz w:val="22"/>
          <w:szCs w:val="22"/>
        </w:rPr>
      </w:pPr>
    </w:p>
    <w:p w14:paraId="4CB6DEA8"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E88ADEC" w14:textId="77777777" w:rsidR="00CE0B4C" w:rsidRPr="007C0B21" w:rsidRDefault="00CE0B4C" w:rsidP="00147516">
      <w:pPr>
        <w:spacing w:line="360" w:lineRule="auto"/>
        <w:jc w:val="both"/>
        <w:rPr>
          <w:rFonts w:ascii="Palatino Linotype" w:hAnsi="Palatino Linotype" w:cs="Tahoma"/>
          <w:sz w:val="22"/>
          <w:szCs w:val="22"/>
        </w:rPr>
      </w:pPr>
    </w:p>
    <w:p w14:paraId="7C84F6DF"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13FFB570" w14:textId="77777777" w:rsidR="00CE0B4C" w:rsidRPr="007C0B21" w:rsidRDefault="00CE0B4C" w:rsidP="00147516">
      <w:pPr>
        <w:spacing w:line="360" w:lineRule="auto"/>
        <w:jc w:val="both"/>
        <w:rPr>
          <w:rFonts w:ascii="Palatino Linotype" w:hAnsi="Palatino Linotype" w:cs="Tahoma"/>
          <w:sz w:val="22"/>
          <w:szCs w:val="22"/>
        </w:rPr>
      </w:pPr>
    </w:p>
    <w:p w14:paraId="53E036DE"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BA5D0CB" w14:textId="77777777" w:rsidR="00CE0B4C" w:rsidRPr="007C0B21" w:rsidRDefault="00CE0B4C" w:rsidP="00147516">
      <w:pPr>
        <w:spacing w:line="360" w:lineRule="auto"/>
        <w:jc w:val="both"/>
        <w:rPr>
          <w:rFonts w:ascii="Palatino Linotype" w:hAnsi="Palatino Linotype" w:cs="Tahoma"/>
          <w:sz w:val="22"/>
          <w:szCs w:val="22"/>
        </w:rPr>
      </w:pPr>
    </w:p>
    <w:p w14:paraId="0347D60A"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5EAEC63" w14:textId="77777777" w:rsidR="00CE0B4C" w:rsidRPr="007C0B21" w:rsidRDefault="00CE0B4C" w:rsidP="00147516">
      <w:pPr>
        <w:spacing w:line="360" w:lineRule="auto"/>
        <w:jc w:val="both"/>
        <w:rPr>
          <w:rFonts w:ascii="Palatino Linotype" w:hAnsi="Palatino Linotype" w:cs="Tahoma"/>
          <w:sz w:val="22"/>
          <w:szCs w:val="22"/>
        </w:rPr>
      </w:pPr>
    </w:p>
    <w:p w14:paraId="507B78FE" w14:textId="77777777" w:rsidR="00CE0B4C"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14:paraId="2BDD8FC0" w14:textId="77777777" w:rsidR="00EF5683" w:rsidRPr="007C0B21" w:rsidRDefault="00EF5683" w:rsidP="00147516">
      <w:pPr>
        <w:spacing w:line="360" w:lineRule="auto"/>
        <w:jc w:val="both"/>
        <w:rPr>
          <w:rFonts w:ascii="Palatino Linotype" w:hAnsi="Palatino Linotype" w:cs="Tahoma"/>
          <w:sz w:val="22"/>
          <w:szCs w:val="22"/>
        </w:rPr>
      </w:pPr>
    </w:p>
    <w:p w14:paraId="6DE08CAB"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5A8166BE" w14:textId="77777777" w:rsidR="00CE0B4C" w:rsidRPr="007C0B21" w:rsidRDefault="00CE0B4C" w:rsidP="00147516">
      <w:pPr>
        <w:spacing w:line="360" w:lineRule="auto"/>
        <w:jc w:val="both"/>
        <w:rPr>
          <w:rFonts w:ascii="Palatino Linotype" w:hAnsi="Palatino Linotype" w:cs="Tahoma"/>
          <w:sz w:val="22"/>
          <w:szCs w:val="22"/>
        </w:rPr>
      </w:pPr>
    </w:p>
    <w:p w14:paraId="314F7325"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0013067" w14:textId="77777777" w:rsidR="00CE0B4C" w:rsidRPr="007C0B21" w:rsidRDefault="00CE0B4C" w:rsidP="00147516">
      <w:pPr>
        <w:spacing w:line="360" w:lineRule="auto"/>
        <w:ind w:right="-93"/>
        <w:jc w:val="both"/>
        <w:rPr>
          <w:rFonts w:ascii="Palatino Linotype" w:hAnsi="Palatino Linotype" w:cs="Tahoma"/>
          <w:b/>
          <w:sz w:val="22"/>
          <w:szCs w:val="22"/>
          <w:lang w:val="es-ES"/>
        </w:rPr>
      </w:pPr>
    </w:p>
    <w:p w14:paraId="58AAB0B7" w14:textId="77777777" w:rsidR="00CE0B4C" w:rsidRPr="007C0B21" w:rsidRDefault="00CE0B4C" w:rsidP="00147516">
      <w:pPr>
        <w:spacing w:line="360" w:lineRule="auto"/>
        <w:ind w:right="-93"/>
        <w:jc w:val="both"/>
        <w:rPr>
          <w:rFonts w:ascii="Palatino Linotype" w:hAnsi="Palatino Linotype" w:cs="Tahoma"/>
          <w:b/>
          <w:sz w:val="22"/>
          <w:szCs w:val="22"/>
          <w:lang w:val="es-ES"/>
        </w:rPr>
      </w:pPr>
      <w:r w:rsidRPr="00260BF5">
        <w:rPr>
          <w:rFonts w:ascii="Palatino Linotype" w:hAnsi="Palatino Linotype" w:cs="Tahoma"/>
          <w:b/>
          <w:sz w:val="22"/>
          <w:szCs w:val="22"/>
          <w:lang w:val="es-ES"/>
        </w:rPr>
        <w:t>QUINTO. Estudio de Fondo.</w:t>
      </w:r>
    </w:p>
    <w:p w14:paraId="274A3965" w14:textId="77777777" w:rsidR="00CE0B4C" w:rsidRPr="007C0B21" w:rsidRDefault="00CE0B4C" w:rsidP="00147516">
      <w:pPr>
        <w:spacing w:line="360" w:lineRule="auto"/>
        <w:jc w:val="both"/>
        <w:rPr>
          <w:rFonts w:ascii="Palatino Linotype" w:hAnsi="Palatino Linotype" w:cs="Tahoma"/>
          <w:sz w:val="22"/>
          <w:szCs w:val="22"/>
          <w:lang w:val="es-ES"/>
        </w:rPr>
      </w:pPr>
    </w:p>
    <w:p w14:paraId="65889428"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43A8B2C6" w14:textId="77777777" w:rsidR="00CE0B4C" w:rsidRPr="007C0B21" w:rsidRDefault="00CE0B4C" w:rsidP="00147516">
      <w:pPr>
        <w:spacing w:line="360" w:lineRule="auto"/>
        <w:jc w:val="both"/>
        <w:rPr>
          <w:rFonts w:ascii="Palatino Linotype" w:hAnsi="Palatino Linotype" w:cs="Tahoma"/>
          <w:sz w:val="22"/>
          <w:szCs w:val="22"/>
        </w:rPr>
      </w:pPr>
    </w:p>
    <w:p w14:paraId="39DF3384"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7C0B21">
        <w:rPr>
          <w:rFonts w:ascii="Palatino Linotype" w:eastAsia="Calibri" w:hAnsi="Palatino Linotype" w:cs="Tahoma"/>
          <w:bCs/>
          <w:sz w:val="22"/>
          <w:szCs w:val="22"/>
          <w:lang w:eastAsia="en-US"/>
        </w:rPr>
        <w:lastRenderedPageBreak/>
        <w:t xml:space="preserve">clasificada excepcionalmente como reservada temporalmente por razones de interés público, en los términos de las causas legítimas y estrictamente necesarias previstas por esta Ley.  </w:t>
      </w:r>
    </w:p>
    <w:p w14:paraId="42C823C6"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p>
    <w:p w14:paraId="13112E16"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1521BC97"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p>
    <w:p w14:paraId="4A4CA1FB"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eastAsia="Calibri" w:hAnsi="Palatino Linotype" w:cs="Tahoma"/>
          <w:bCs/>
          <w:i/>
          <w:sz w:val="22"/>
          <w:szCs w:val="22"/>
          <w:lang w:eastAsia="en-US"/>
        </w:rPr>
        <w:t>ad hoc</w:t>
      </w:r>
      <w:r w:rsidRPr="007C0B21">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78EEEBB4" w14:textId="77777777" w:rsidR="00CE0B4C" w:rsidRDefault="00CE0B4C" w:rsidP="00147516">
      <w:pPr>
        <w:spacing w:line="360" w:lineRule="auto"/>
        <w:ind w:right="-93"/>
        <w:jc w:val="both"/>
        <w:rPr>
          <w:rFonts w:ascii="Palatino Linotype" w:eastAsia="Calibri" w:hAnsi="Palatino Linotype" w:cs="Tahoma"/>
          <w:bCs/>
          <w:sz w:val="22"/>
          <w:szCs w:val="22"/>
          <w:lang w:eastAsia="en-US"/>
        </w:rPr>
      </w:pPr>
    </w:p>
    <w:p w14:paraId="00D54A36"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8CA9CD" w14:textId="77777777" w:rsidR="00375832" w:rsidRDefault="00375832" w:rsidP="00147516">
      <w:pPr>
        <w:spacing w:line="360" w:lineRule="auto"/>
        <w:contextualSpacing/>
        <w:jc w:val="both"/>
        <w:rPr>
          <w:rFonts w:ascii="Palatino Linotype" w:hAnsi="Palatino Linotype" w:cs="Tahoma"/>
          <w:color w:val="000000" w:themeColor="text1"/>
          <w:sz w:val="22"/>
          <w:szCs w:val="22"/>
        </w:rPr>
      </w:pPr>
    </w:p>
    <w:p w14:paraId="5C5AC915" w14:textId="785FE6B8" w:rsidR="00A511BB" w:rsidRDefault="00A511BB" w:rsidP="002C51F3">
      <w:pPr>
        <w:spacing w:line="360" w:lineRule="auto"/>
        <w:jc w:val="both"/>
        <w:rPr>
          <w:rFonts w:ascii="Palatino Linotype" w:hAnsi="Palatino Linotype" w:cs="Tahoma"/>
          <w:sz w:val="22"/>
          <w:szCs w:val="22"/>
          <w:lang w:val="es-ES"/>
        </w:rPr>
      </w:pPr>
      <w:r w:rsidRPr="007C5905">
        <w:rPr>
          <w:rFonts w:ascii="Palatino Linotype" w:hAnsi="Palatino Linotype" w:cs="Tahoma"/>
          <w:sz w:val="22"/>
          <w:szCs w:val="22"/>
          <w:lang w:val="es-ES"/>
        </w:rPr>
        <w:t xml:space="preserve">Una vez establecido lo anterior, </w:t>
      </w:r>
      <w:r w:rsidR="002C51F3">
        <w:rPr>
          <w:rFonts w:ascii="Palatino Linotype" w:hAnsi="Palatino Linotype" w:cs="Tahoma"/>
          <w:sz w:val="22"/>
          <w:szCs w:val="22"/>
          <w:lang w:val="es-ES"/>
        </w:rPr>
        <w:t xml:space="preserve">es de recordar que el Sujeto Obligado en respuesta a través del </w:t>
      </w:r>
      <w:proofErr w:type="gramStart"/>
      <w:r w:rsidR="00033F01">
        <w:rPr>
          <w:rFonts w:ascii="Palatino Linotype" w:hAnsi="Palatino Linotype" w:cs="Tahoma"/>
          <w:sz w:val="22"/>
          <w:szCs w:val="22"/>
          <w:lang w:val="es-ES"/>
        </w:rPr>
        <w:t>Director</w:t>
      </w:r>
      <w:proofErr w:type="gramEnd"/>
      <w:r w:rsidR="00033F01">
        <w:rPr>
          <w:rFonts w:ascii="Palatino Linotype" w:hAnsi="Palatino Linotype" w:cs="Tahoma"/>
          <w:sz w:val="22"/>
          <w:szCs w:val="22"/>
          <w:lang w:val="es-ES"/>
        </w:rPr>
        <w:t xml:space="preserve"> de Finanzas,</w:t>
      </w:r>
      <w:r w:rsidR="002C51F3">
        <w:rPr>
          <w:rFonts w:ascii="Palatino Linotype" w:hAnsi="Palatino Linotype" w:cs="Tahoma"/>
          <w:sz w:val="22"/>
          <w:szCs w:val="22"/>
          <w:lang w:val="es-ES"/>
        </w:rPr>
        <w:t xml:space="preserve"> señaló que la información no podía ser proporcionada</w:t>
      </w:r>
      <w:r w:rsidR="00EC4211">
        <w:rPr>
          <w:rFonts w:ascii="Palatino Linotype" w:hAnsi="Palatino Linotype" w:cs="Tahoma"/>
          <w:sz w:val="22"/>
          <w:szCs w:val="22"/>
          <w:lang w:val="es-ES"/>
        </w:rPr>
        <w:t xml:space="preserve"> expresando que para ser entregada era necesario realizar el procesamiento de información, por lo que el Particular se inconformó sobre todos los puntos</w:t>
      </w:r>
      <w:r w:rsidR="002C51F3">
        <w:rPr>
          <w:rFonts w:ascii="Palatino Linotype" w:hAnsi="Palatino Linotype" w:cs="Tahoma"/>
          <w:sz w:val="22"/>
          <w:szCs w:val="22"/>
          <w:lang w:val="es-ES"/>
        </w:rPr>
        <w:t>.</w:t>
      </w:r>
    </w:p>
    <w:p w14:paraId="3C76A55E" w14:textId="2EB2EA81" w:rsidR="00A756C6" w:rsidRDefault="00A756C6" w:rsidP="002C51F3">
      <w:pPr>
        <w:spacing w:line="360" w:lineRule="auto"/>
        <w:jc w:val="both"/>
        <w:rPr>
          <w:rFonts w:ascii="Palatino Linotype" w:hAnsi="Palatino Linotype" w:cs="Tahoma"/>
          <w:sz w:val="22"/>
          <w:szCs w:val="22"/>
        </w:rPr>
      </w:pPr>
    </w:p>
    <w:p w14:paraId="508AD055" w14:textId="6ED4124A" w:rsidR="00183D4B" w:rsidRDefault="00A756C6" w:rsidP="00183D4B">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A</w:t>
      </w:r>
      <w:r w:rsidR="00183D4B" w:rsidRPr="004472EA">
        <w:rPr>
          <w:rFonts w:ascii="Palatino Linotype" w:hAnsi="Palatino Linotype" w:cs="Tahoma"/>
          <w:sz w:val="22"/>
          <w:szCs w:val="22"/>
          <w:lang w:val="es-ES"/>
        </w:rPr>
        <w:t xml:space="preserve">hora bien, respecto del </w:t>
      </w:r>
      <w:r w:rsidR="00183D4B">
        <w:rPr>
          <w:rFonts w:ascii="Palatino Linotype" w:hAnsi="Palatino Linotype" w:cs="Tahoma"/>
          <w:b/>
          <w:sz w:val="22"/>
          <w:szCs w:val="22"/>
          <w:lang w:val="es-ES"/>
        </w:rPr>
        <w:t>punto 1</w:t>
      </w:r>
      <w:r w:rsidR="00183D4B" w:rsidRPr="004472EA">
        <w:rPr>
          <w:rFonts w:ascii="Palatino Linotype" w:hAnsi="Palatino Linotype" w:cs="Tahoma"/>
          <w:sz w:val="22"/>
          <w:szCs w:val="22"/>
          <w:lang w:val="es-ES"/>
        </w:rPr>
        <w:t>, “Reportes del Aplicativo “Visor de nómina SAT” de los años 2018 a 2021, en sus tres tipos de presentaciones, de conformidad con la página electrónica del Servic</w:t>
      </w:r>
      <w:r w:rsidR="00183D4B">
        <w:rPr>
          <w:rFonts w:ascii="Palatino Linotype" w:hAnsi="Palatino Linotype" w:cs="Tahoma"/>
          <w:sz w:val="22"/>
          <w:szCs w:val="22"/>
          <w:lang w:val="es-ES"/>
        </w:rPr>
        <w:t>io de Administración Tributaria</w:t>
      </w:r>
      <w:r w:rsidR="00183D4B" w:rsidRPr="004472EA">
        <w:rPr>
          <w:rFonts w:ascii="Palatino Linotype" w:hAnsi="Palatino Linotype" w:cs="Tahoma"/>
          <w:sz w:val="22"/>
          <w:szCs w:val="22"/>
          <w:lang w:val="es-ES"/>
        </w:rPr>
        <w:t>, es una herramienta que permite a los Contribuyentes que hacen pagos por sueldos y salarios, la consulta de los pagos realizados a tus trabajadores de forma acumulada, así como para verificar la información de forma individual de cada uno de tus empleados que les haya expedido un comprobante de nómina, permitiéndote conciliar el impuesto retenido contra el enterado en pagos provisionales.</w:t>
      </w:r>
    </w:p>
    <w:p w14:paraId="78673134" w14:textId="77777777" w:rsidR="00183D4B" w:rsidRDefault="00183D4B" w:rsidP="00183D4B">
      <w:pPr>
        <w:spacing w:line="360" w:lineRule="auto"/>
        <w:jc w:val="both"/>
        <w:rPr>
          <w:rFonts w:ascii="Palatino Linotype" w:hAnsi="Palatino Linotype" w:cs="Tahoma"/>
          <w:sz w:val="22"/>
          <w:szCs w:val="22"/>
          <w:lang w:val="es-ES"/>
        </w:rPr>
      </w:pPr>
    </w:p>
    <w:p w14:paraId="29D7A069" w14:textId="77777777" w:rsidR="00183D4B" w:rsidRDefault="00183D4B" w:rsidP="00183D4B">
      <w:pPr>
        <w:spacing w:line="360" w:lineRule="auto"/>
        <w:jc w:val="both"/>
        <w:rPr>
          <w:rFonts w:ascii="Palatino Linotype" w:hAnsi="Palatino Linotype" w:cs="Tahoma"/>
          <w:sz w:val="22"/>
          <w:szCs w:val="22"/>
          <w:lang w:val="es-ES"/>
        </w:rPr>
      </w:pPr>
      <w:r w:rsidRPr="004472EA">
        <w:rPr>
          <w:rFonts w:ascii="Palatino Linotype" w:hAnsi="Palatino Linotype" w:cs="Tahoma"/>
          <w:sz w:val="22"/>
          <w:szCs w:val="22"/>
          <w:lang w:val="es-ES"/>
        </w:rPr>
        <w:t>La mencionada herramienta que es ofrecida por el Servicio de Administración Tributaria (SAT), a los contribuyentes, a efecto que se dé cumplimiento a los artículo</w:t>
      </w:r>
      <w:r>
        <w:rPr>
          <w:rFonts w:ascii="Palatino Linotype" w:hAnsi="Palatino Linotype" w:cs="Tahoma"/>
          <w:sz w:val="22"/>
          <w:szCs w:val="22"/>
          <w:lang w:val="es-ES"/>
        </w:rPr>
        <w:t>s</w:t>
      </w:r>
      <w:r w:rsidRPr="004472EA">
        <w:rPr>
          <w:rFonts w:ascii="Palatino Linotype" w:hAnsi="Palatino Linotype" w:cs="Tahoma"/>
          <w:sz w:val="22"/>
          <w:szCs w:val="22"/>
          <w:lang w:val="es-ES"/>
        </w:rPr>
        <w:t xml:space="preserve"> 27, fracción V, 96, 97 y 99, fracciones I y III de la Ley del Impuesto Sobre la Renta, los cuales para mayor referencia se procede a citar a continuación:</w:t>
      </w:r>
    </w:p>
    <w:p w14:paraId="5031B42F" w14:textId="77777777" w:rsidR="00183D4B" w:rsidRDefault="00183D4B" w:rsidP="00183D4B">
      <w:pPr>
        <w:spacing w:line="360" w:lineRule="auto"/>
        <w:jc w:val="both"/>
        <w:rPr>
          <w:rFonts w:ascii="Palatino Linotype" w:hAnsi="Palatino Linotype" w:cs="Tahoma"/>
          <w:sz w:val="22"/>
          <w:szCs w:val="22"/>
          <w:lang w:val="es-ES"/>
        </w:rPr>
      </w:pPr>
    </w:p>
    <w:p w14:paraId="1DDA5953"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w:t>
      </w:r>
      <w:r w:rsidRPr="00635E67">
        <w:rPr>
          <w:rFonts w:ascii="Palatino Linotype" w:hAnsi="Palatino Linotype" w:cs="Arial"/>
          <w:b/>
          <w:i/>
          <w:sz w:val="20"/>
        </w:rPr>
        <w:t>Artículo 27</w:t>
      </w:r>
      <w:r w:rsidRPr="00635E67">
        <w:rPr>
          <w:rFonts w:ascii="Palatino Linotype" w:hAnsi="Palatino Linotype" w:cs="Arial"/>
          <w:i/>
          <w:sz w:val="20"/>
        </w:rPr>
        <w:t>. Las deducciones autorizadas en este Título deberán reunir los siguientes requisitos:</w:t>
      </w:r>
    </w:p>
    <w:p w14:paraId="5CA18E5B"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Pr>
          <w:rFonts w:ascii="Palatino Linotype" w:hAnsi="Palatino Linotype" w:cs="Arial"/>
          <w:i/>
          <w:sz w:val="20"/>
        </w:rPr>
        <w:t>I a IV…</w:t>
      </w:r>
    </w:p>
    <w:p w14:paraId="3CDF24A8"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635E67">
        <w:rPr>
          <w:rFonts w:ascii="Palatino Linotype" w:hAnsi="Palatino Linotype" w:cs="Arial"/>
          <w:i/>
          <w:sz w:val="20"/>
        </w:rPr>
        <w:cr/>
        <w:t xml:space="preserve"> </w:t>
      </w:r>
    </w:p>
    <w:p w14:paraId="578E1493"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 xml:space="preserve">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w:t>
      </w:r>
      <w:r w:rsidRPr="00635E67">
        <w:rPr>
          <w:rFonts w:ascii="Palatino Linotype" w:hAnsi="Palatino Linotype" w:cs="Arial"/>
          <w:i/>
          <w:sz w:val="20"/>
        </w:rPr>
        <w:lastRenderedPageBreak/>
        <w:t>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00B8398D" w14:textId="77777777" w:rsidR="00183D4B" w:rsidRDefault="00183D4B" w:rsidP="00183D4B">
      <w:pPr>
        <w:pStyle w:val="Prrafodelista"/>
        <w:spacing w:line="360" w:lineRule="auto"/>
        <w:ind w:left="567" w:right="539"/>
        <w:contextualSpacing w:val="0"/>
        <w:jc w:val="both"/>
        <w:rPr>
          <w:rFonts w:ascii="Palatino Linotype" w:hAnsi="Palatino Linotype" w:cs="Arial"/>
          <w:i/>
          <w:sz w:val="20"/>
        </w:rPr>
      </w:pPr>
    </w:p>
    <w:p w14:paraId="36848A26"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15B4A8ED" w14:textId="77777777" w:rsidR="00183D4B"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b/>
          <w:i/>
          <w:sz w:val="20"/>
        </w:rPr>
        <w:t>VI a XXII</w:t>
      </w:r>
      <w:r>
        <w:rPr>
          <w:rFonts w:ascii="Palatino Linotype" w:hAnsi="Palatino Linotype" w:cs="Arial"/>
          <w:i/>
          <w:sz w:val="20"/>
        </w:rPr>
        <w:t>…</w:t>
      </w:r>
    </w:p>
    <w:p w14:paraId="4EC15839" w14:textId="77777777" w:rsidR="00183D4B" w:rsidRPr="00635E67" w:rsidRDefault="00183D4B" w:rsidP="00183D4B">
      <w:pPr>
        <w:pStyle w:val="Prrafodelista"/>
        <w:spacing w:line="276" w:lineRule="auto"/>
        <w:ind w:left="567" w:right="539"/>
        <w:contextualSpacing w:val="0"/>
        <w:jc w:val="both"/>
        <w:rPr>
          <w:rFonts w:ascii="Palatino Linotype" w:hAnsi="Palatino Linotype" w:cs="Arial"/>
          <w:i/>
          <w:sz w:val="20"/>
        </w:rPr>
      </w:pPr>
    </w:p>
    <w:p w14:paraId="6A627186" w14:textId="77777777" w:rsidR="00183D4B" w:rsidRPr="00635E67" w:rsidRDefault="00183D4B" w:rsidP="00183D4B">
      <w:pPr>
        <w:pStyle w:val="Prrafodelista"/>
        <w:spacing w:line="360" w:lineRule="auto"/>
        <w:ind w:left="567" w:right="539"/>
        <w:contextualSpacing w:val="0"/>
        <w:jc w:val="center"/>
        <w:rPr>
          <w:rFonts w:ascii="Palatino Linotype" w:hAnsi="Palatino Linotype" w:cs="Arial"/>
          <w:b/>
          <w:i/>
          <w:sz w:val="20"/>
        </w:rPr>
      </w:pPr>
      <w:r w:rsidRPr="00635E67">
        <w:rPr>
          <w:rFonts w:ascii="Palatino Linotype" w:hAnsi="Palatino Linotype" w:cs="Arial"/>
          <w:b/>
          <w:i/>
          <w:sz w:val="20"/>
        </w:rPr>
        <w:t>CAPÍTULO I</w:t>
      </w:r>
    </w:p>
    <w:p w14:paraId="5DAA1452" w14:textId="77777777" w:rsidR="00183D4B" w:rsidRPr="00635E67" w:rsidRDefault="00183D4B" w:rsidP="00183D4B">
      <w:pPr>
        <w:pStyle w:val="Prrafodelista"/>
        <w:spacing w:line="360" w:lineRule="auto"/>
        <w:ind w:left="567" w:right="539"/>
        <w:contextualSpacing w:val="0"/>
        <w:jc w:val="center"/>
        <w:rPr>
          <w:rFonts w:ascii="Palatino Linotype" w:hAnsi="Palatino Linotype" w:cs="Arial"/>
          <w:b/>
          <w:i/>
          <w:sz w:val="20"/>
        </w:rPr>
      </w:pPr>
      <w:r w:rsidRPr="00635E67">
        <w:rPr>
          <w:rFonts w:ascii="Palatino Linotype" w:hAnsi="Palatino Linotype" w:cs="Arial"/>
          <w:b/>
          <w:i/>
          <w:sz w:val="20"/>
        </w:rPr>
        <w:t>DE LOS INGRESOS POR SALARIOS Y EN GENERAL POR</w:t>
      </w:r>
    </w:p>
    <w:p w14:paraId="60DA642E" w14:textId="77777777" w:rsidR="00183D4B" w:rsidRPr="00635E67" w:rsidRDefault="00183D4B" w:rsidP="00183D4B">
      <w:pPr>
        <w:pStyle w:val="Prrafodelista"/>
        <w:spacing w:line="360" w:lineRule="auto"/>
        <w:ind w:left="567" w:right="539"/>
        <w:contextualSpacing w:val="0"/>
        <w:jc w:val="center"/>
        <w:rPr>
          <w:rFonts w:ascii="Palatino Linotype" w:hAnsi="Palatino Linotype" w:cs="Arial"/>
          <w:b/>
          <w:i/>
          <w:sz w:val="20"/>
        </w:rPr>
      </w:pPr>
      <w:r w:rsidRPr="00635E67">
        <w:rPr>
          <w:rFonts w:ascii="Palatino Linotype" w:hAnsi="Palatino Linotype" w:cs="Arial"/>
          <w:b/>
          <w:i/>
          <w:sz w:val="20"/>
        </w:rPr>
        <w:t>LA PRESTACIÓN DE UN SERVICIO PERSONAL SUBORDINADO</w:t>
      </w:r>
    </w:p>
    <w:p w14:paraId="3542231C"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p>
    <w:p w14:paraId="4549C050"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b/>
          <w:i/>
          <w:sz w:val="20"/>
        </w:rPr>
        <w:t>Artículo 96.</w:t>
      </w:r>
      <w:r w:rsidRPr="00635E67">
        <w:rPr>
          <w:rFonts w:ascii="Palatino Linotype" w:hAnsi="Palatino Linotype" w:cs="Arial"/>
          <w:i/>
          <w:sz w:val="20"/>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3963A06B"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lastRenderedPageBreak/>
        <w:t>(…)</w:t>
      </w:r>
    </w:p>
    <w:p w14:paraId="3E0DFD2A"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p>
    <w:p w14:paraId="39B61B5C"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Artículo 97. Las personas obligadas a efectuar retenciones en los términos del artículo 96 de esta Ley, calcularán el impuesto anual de cada persona que le hubiere prestado servicios personales subordinados.</w:t>
      </w:r>
      <w:r w:rsidRPr="00635E67">
        <w:rPr>
          <w:rFonts w:ascii="Palatino Linotype" w:hAnsi="Palatino Linotype" w:cs="Arial"/>
          <w:i/>
          <w:sz w:val="20"/>
        </w:rPr>
        <w:cr/>
        <w:t>(…)</w:t>
      </w:r>
    </w:p>
    <w:p w14:paraId="1A446FDE"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p>
    <w:p w14:paraId="4E844A26"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Artículo 99. Quienes hagan pagos por los conceptos a que se refiere este Capítulo, tendrán las siguientes obligaciones:</w:t>
      </w:r>
    </w:p>
    <w:p w14:paraId="441D7DFA"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 Efectuar las retenciones señaladas en el artículo 96 de esta Ley.</w:t>
      </w:r>
    </w:p>
    <w:p w14:paraId="3A76C86C"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II. Calcular el impuesto anual de las personas que les hubieren prestado servicios subordinados, en los términos del artículo 97 de esta Ley.</w:t>
      </w:r>
    </w:p>
    <w:p w14:paraId="79F3A096"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12649407"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IV. 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378F9BFF"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1B605C1B"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lastRenderedPageBreak/>
        <w:t xml:space="preserve">V. Solicitar a las personas que contraten para prestar servicios subordinados, </w:t>
      </w:r>
      <w:proofErr w:type="gramStart"/>
      <w:r w:rsidRPr="00635E67">
        <w:rPr>
          <w:rFonts w:ascii="Palatino Linotype" w:hAnsi="Palatino Linotype" w:cs="Arial"/>
          <w:i/>
          <w:sz w:val="20"/>
        </w:rPr>
        <w:t>les</w:t>
      </w:r>
      <w:proofErr w:type="gramEnd"/>
      <w:r w:rsidRPr="00635E67">
        <w:rPr>
          <w:rFonts w:ascii="Palatino Linotype" w:hAnsi="Palatino Linotype" w:cs="Arial"/>
          <w:i/>
          <w:sz w:val="20"/>
        </w:rPr>
        <w:t xml:space="preserve"> proporcionen los datos necesarios a fin de inscribirlas en el Registro Federal de Contribuyentes, o bien cuando ya hubieran sido inscritas con anterioridad, les proporcionen su clave del citado registro.</w:t>
      </w:r>
    </w:p>
    <w:p w14:paraId="5ABA42CF"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VI.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36A1F895"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VII. 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7ECA4FDB"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Quedan exceptuados de las obligaciones señaladas en este artículo, los organismos internacionales cuando así lo establezcan los tratados o convenios respectivos, y los estados extranjeros.”</w:t>
      </w:r>
    </w:p>
    <w:p w14:paraId="32667BB2" w14:textId="77777777" w:rsidR="00183D4B" w:rsidRDefault="00183D4B" w:rsidP="00183D4B">
      <w:pPr>
        <w:pStyle w:val="Prrafodelista"/>
        <w:spacing w:line="276" w:lineRule="auto"/>
        <w:ind w:left="360" w:right="397"/>
        <w:contextualSpacing w:val="0"/>
        <w:jc w:val="both"/>
        <w:rPr>
          <w:rFonts w:ascii="Palatino Linotype" w:hAnsi="Palatino Linotype" w:cs="Arial"/>
          <w:i/>
          <w:sz w:val="20"/>
        </w:rPr>
      </w:pPr>
    </w:p>
    <w:p w14:paraId="20A42E50" w14:textId="77777777" w:rsidR="00183D4B" w:rsidRDefault="00183D4B" w:rsidP="00183D4B">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En consecuencia dicha herramienta de Visor de Nómina implementada por el Servicio de Administración Tributaria, es para auxiliar a los Contribuyentes que hacen pagos por sueldos y salarios, a efecto que puedan visualizar la información relativa a los pagos efectuados a sus empleados o subordinados, según sea el caso; sin embargo, dichos ordenamientos no exigen como obligación el uso de la misma, toda vez que, únicamente es una herramienta de ayuda de visualización, consecuentemente, existe la posibilidad que los Entes de Gobierno, caso particular el Sujeto Obligado, no haga uso de ella, por lo que </w:t>
      </w:r>
      <w:r>
        <w:rPr>
          <w:rFonts w:ascii="Palatino Linotype" w:hAnsi="Palatino Linotype" w:cs="Tahoma"/>
          <w:sz w:val="22"/>
          <w:szCs w:val="22"/>
          <w:lang w:val="es-ES"/>
        </w:rPr>
        <w:t xml:space="preserve">puede no tener </w:t>
      </w:r>
      <w:r w:rsidRPr="00DA6417">
        <w:rPr>
          <w:rFonts w:ascii="Palatino Linotype" w:hAnsi="Palatino Linotype" w:cs="Tahoma"/>
          <w:sz w:val="22"/>
          <w:szCs w:val="22"/>
          <w:lang w:val="es-ES"/>
        </w:rPr>
        <w:t xml:space="preserve">en sus archivos la información </w:t>
      </w:r>
      <w:r>
        <w:rPr>
          <w:rFonts w:ascii="Palatino Linotype" w:hAnsi="Palatino Linotype" w:cs="Tahoma"/>
          <w:sz w:val="22"/>
          <w:szCs w:val="22"/>
          <w:lang w:val="es-ES"/>
        </w:rPr>
        <w:t>solicitada</w:t>
      </w:r>
      <w:r w:rsidRPr="00DA6417">
        <w:rPr>
          <w:rFonts w:ascii="Palatino Linotype" w:hAnsi="Palatino Linotype" w:cs="Tahoma"/>
          <w:sz w:val="22"/>
          <w:szCs w:val="22"/>
          <w:lang w:val="es-ES"/>
        </w:rPr>
        <w:t>.</w:t>
      </w:r>
    </w:p>
    <w:p w14:paraId="559173F3" w14:textId="77777777" w:rsidR="00183D4B" w:rsidRDefault="00183D4B" w:rsidP="002C51F3">
      <w:pPr>
        <w:spacing w:line="360" w:lineRule="auto"/>
        <w:jc w:val="both"/>
        <w:rPr>
          <w:rFonts w:ascii="Palatino Linotype" w:hAnsi="Palatino Linotype" w:cs="Tahoma"/>
          <w:sz w:val="22"/>
          <w:szCs w:val="22"/>
          <w:lang w:val="es-ES"/>
        </w:rPr>
      </w:pPr>
    </w:p>
    <w:p w14:paraId="481A16A8" w14:textId="43ABD755" w:rsidR="002C51F3" w:rsidRDefault="00183D4B" w:rsidP="002C51F3">
      <w:pPr>
        <w:spacing w:line="360" w:lineRule="auto"/>
        <w:jc w:val="both"/>
        <w:rPr>
          <w:rFonts w:ascii="Palatino Linotype" w:hAnsi="Palatino Linotype" w:cs="Tahoma"/>
          <w:sz w:val="22"/>
          <w:szCs w:val="22"/>
        </w:rPr>
      </w:pPr>
      <w:r>
        <w:rPr>
          <w:rFonts w:ascii="Palatino Linotype" w:hAnsi="Palatino Linotype" w:cs="Tahoma"/>
          <w:sz w:val="22"/>
          <w:szCs w:val="22"/>
        </w:rPr>
        <w:t>Ahora bien, por lo que hace a los siguientes puntos</w:t>
      </w:r>
      <w:r w:rsidR="002C51F3" w:rsidRPr="002C51F3">
        <w:rPr>
          <w:rFonts w:ascii="Palatino Linotype" w:hAnsi="Palatino Linotype" w:cs="Tahoma"/>
          <w:sz w:val="22"/>
          <w:szCs w:val="22"/>
        </w:rPr>
        <w:t>, resulta necesario traer a colación el artículo 123 en sus aparatos A y B, de la Constitución Política de los Estados Unidos Mexicanos, el cual establece las relaciones obrero</w:t>
      </w:r>
      <w:r w:rsidR="00522FC7">
        <w:rPr>
          <w:rFonts w:ascii="Palatino Linotype" w:hAnsi="Palatino Linotype" w:cs="Tahoma"/>
          <w:sz w:val="22"/>
          <w:szCs w:val="22"/>
        </w:rPr>
        <w:t>-</w:t>
      </w:r>
      <w:r w:rsidR="002C51F3" w:rsidRPr="002C51F3">
        <w:rPr>
          <w:rFonts w:ascii="Palatino Linotype" w:hAnsi="Palatino Linotype" w:cs="Tahoma"/>
          <w:sz w:val="22"/>
          <w:szCs w:val="22"/>
        </w:rPr>
        <w:t xml:space="preserve">patronales entre particulares (apartado A) y las relaciones </w:t>
      </w:r>
      <w:r w:rsidR="002C51F3" w:rsidRPr="002C51F3">
        <w:rPr>
          <w:rFonts w:ascii="Palatino Linotype" w:hAnsi="Palatino Linotype" w:cs="Tahoma"/>
          <w:sz w:val="22"/>
          <w:szCs w:val="22"/>
        </w:rPr>
        <w:lastRenderedPageBreak/>
        <w:t>laborales entre las Dependencias de Gobierno con sus servidores públicos (apartado B), el cual se cita para mayor referencia a continuación:</w:t>
      </w:r>
    </w:p>
    <w:p w14:paraId="2BE3FBA8" w14:textId="77777777" w:rsidR="00A511BB" w:rsidRDefault="00A511BB" w:rsidP="00A511BB">
      <w:pPr>
        <w:spacing w:line="360" w:lineRule="auto"/>
        <w:ind w:right="-93"/>
        <w:jc w:val="both"/>
        <w:rPr>
          <w:rFonts w:ascii="Palatino Linotype" w:hAnsi="Palatino Linotype" w:cs="Tahoma"/>
          <w:b/>
          <w:sz w:val="22"/>
          <w:szCs w:val="22"/>
        </w:rPr>
      </w:pPr>
    </w:p>
    <w:p w14:paraId="643A2097"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r w:rsidRPr="002C51F3">
        <w:rPr>
          <w:rFonts w:ascii="Palatino Linotype" w:hAnsi="Palatino Linotype" w:cs="Tahoma"/>
          <w:b/>
          <w:i/>
          <w:szCs w:val="22"/>
        </w:rPr>
        <w:t>Artículo 123</w:t>
      </w:r>
      <w:r w:rsidRPr="002C51F3">
        <w:rPr>
          <w:rFonts w:ascii="Palatino Linotype" w:hAnsi="Palatino Linotype" w:cs="Tahoma"/>
          <w:i/>
          <w:szCs w:val="22"/>
        </w:rPr>
        <w:t>. Toda persona tiene derecho al trabajo digno y socialmente útil; al efecto, se promoverán la creación de empleos y la organización social de trabajo, conforme a la ley.</w:t>
      </w:r>
    </w:p>
    <w:p w14:paraId="2501226A"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El Congreso de la Unión, sin contravenir a las bases siguientes deberá expedir leyes sobre el trabajo, las cuales regirán:</w:t>
      </w:r>
    </w:p>
    <w:p w14:paraId="37920304"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b/>
          <w:i/>
          <w:szCs w:val="22"/>
        </w:rPr>
        <w:t>A</w:t>
      </w:r>
      <w:r w:rsidRPr="002C51F3">
        <w:rPr>
          <w:rFonts w:ascii="Palatino Linotype" w:hAnsi="Palatino Linotype" w:cs="Tahoma"/>
          <w:i/>
          <w:szCs w:val="22"/>
        </w:rPr>
        <w:t>. Entre los obreros, jornaleros, empleados domésticos, artesanos y de una manera general, todo contrato de trabajo:</w:t>
      </w:r>
    </w:p>
    <w:p w14:paraId="778A875E"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p>
    <w:p w14:paraId="187815F7"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b/>
          <w:i/>
          <w:szCs w:val="22"/>
        </w:rPr>
        <w:t>B</w:t>
      </w:r>
      <w:r w:rsidRPr="002C51F3">
        <w:rPr>
          <w:rFonts w:ascii="Palatino Linotype" w:hAnsi="Palatino Linotype" w:cs="Tahoma"/>
          <w:i/>
          <w:szCs w:val="22"/>
        </w:rPr>
        <w:t>. Entre los Poderes de la Unión y sus trabajadores:</w:t>
      </w:r>
    </w:p>
    <w:p w14:paraId="51EF5F19"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p>
    <w:p w14:paraId="67202F07" w14:textId="77777777" w:rsidR="002C51F3" w:rsidRPr="002C51F3" w:rsidRDefault="002C51F3" w:rsidP="002C51F3">
      <w:pPr>
        <w:spacing w:line="360" w:lineRule="auto"/>
        <w:ind w:left="567" w:right="539"/>
        <w:jc w:val="both"/>
        <w:rPr>
          <w:rFonts w:ascii="Palatino Linotype" w:hAnsi="Palatino Linotype" w:cs="Tahoma"/>
          <w:i/>
          <w:szCs w:val="22"/>
        </w:rPr>
      </w:pPr>
    </w:p>
    <w:p w14:paraId="58B8FD6D" w14:textId="77777777" w:rsidR="002C51F3" w:rsidRPr="002C51F3" w:rsidRDefault="002C51F3" w:rsidP="002C51F3">
      <w:pPr>
        <w:spacing w:line="360" w:lineRule="auto"/>
        <w:ind w:right="-93"/>
        <w:jc w:val="both"/>
        <w:rPr>
          <w:rFonts w:ascii="Palatino Linotype" w:hAnsi="Palatino Linotype" w:cs="Tahoma"/>
          <w:sz w:val="22"/>
          <w:szCs w:val="22"/>
        </w:rPr>
      </w:pPr>
      <w:r w:rsidRPr="002C51F3">
        <w:rPr>
          <w:rFonts w:ascii="Palatino Linotype" w:hAnsi="Palatino Linotype" w:cs="Tahoma"/>
          <w:sz w:val="22"/>
          <w:szCs w:val="22"/>
        </w:rPr>
        <w:t>De lo anterior se advierte que, tanto el Instituto Mexicano del Seguro Social (IMSS) y el Instituto del Fondo Nacional de la Vivienda para los Trabajadores (INFONAVIT), se encuentran regulados conforme al apartado A del artículo citado, que regula las relaciones laborales entre particulares, empero el apartado que rige las relaciones labores de los servidores públicos corresponde al apartado B, hechas las precisiones anteriores, se procede en los términos siguientes:</w:t>
      </w:r>
    </w:p>
    <w:p w14:paraId="4BDF2F4A" w14:textId="77777777" w:rsidR="002C51F3" w:rsidRPr="002C51F3" w:rsidRDefault="002C51F3" w:rsidP="002C51F3">
      <w:pPr>
        <w:spacing w:line="360" w:lineRule="auto"/>
        <w:ind w:right="-93"/>
        <w:jc w:val="both"/>
        <w:rPr>
          <w:rFonts w:ascii="Palatino Linotype" w:hAnsi="Palatino Linotype" w:cs="Tahoma"/>
          <w:sz w:val="22"/>
          <w:szCs w:val="22"/>
        </w:rPr>
      </w:pPr>
    </w:p>
    <w:p w14:paraId="4C260AEA" w14:textId="77777777" w:rsidR="002E00B4" w:rsidRPr="002E00B4" w:rsidRDefault="002E00B4" w:rsidP="002E00B4">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Respecto a la opinión de cumplimiento del </w:t>
      </w:r>
      <w:r w:rsidRPr="002E00B4">
        <w:rPr>
          <w:rFonts w:ascii="Palatino Linotype" w:hAnsi="Palatino Linotype" w:cs="Tahoma"/>
          <w:b/>
          <w:sz w:val="22"/>
          <w:szCs w:val="22"/>
          <w:lang w:val="es-ES"/>
        </w:rPr>
        <w:t>Instituto Mexicano del Seguro Social IMSS</w:t>
      </w:r>
      <w:r w:rsidRPr="002E00B4">
        <w:rPr>
          <w:rFonts w:ascii="Palatino Linotype" w:hAnsi="Palatino Linotype" w:cs="Tahoma"/>
          <w:sz w:val="22"/>
          <w:szCs w:val="22"/>
          <w:lang w:val="es-ES"/>
        </w:rPr>
        <w:t xml:space="preserve">, partiremos que de conformidad con el artículo 5 de la Ley del Seguro Social este es un organismo público descentralizado con personalidad jurídica y patrimonio propios, de integración operativa tripartita, debido a que a la misma concurren los sectores público, social y privado, el cual tiene también el carácter de organismo fiscal autónomo. Cuya función </w:t>
      </w:r>
      <w:r w:rsidRPr="002E00B4">
        <w:rPr>
          <w:rFonts w:ascii="Palatino Linotype" w:hAnsi="Palatino Linotype" w:cs="Tahoma"/>
          <w:sz w:val="22"/>
          <w:szCs w:val="22"/>
          <w:lang w:val="es-ES"/>
        </w:rPr>
        <w:lastRenderedPageBreak/>
        <w:t>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6A7D9576" w14:textId="77777777" w:rsidR="002E00B4" w:rsidRDefault="002E00B4" w:rsidP="002E00B4">
      <w:pPr>
        <w:spacing w:line="360" w:lineRule="auto"/>
        <w:jc w:val="both"/>
        <w:rPr>
          <w:rFonts w:ascii="Palatino Linotype" w:hAnsi="Palatino Linotype" w:cs="Tahoma"/>
          <w:sz w:val="22"/>
          <w:szCs w:val="22"/>
          <w:lang w:val="es-ES"/>
        </w:rPr>
      </w:pPr>
    </w:p>
    <w:p w14:paraId="6EDBC3A1" w14:textId="77777777" w:rsidR="00AB1598" w:rsidRDefault="00AB1598" w:rsidP="002E00B4">
      <w:pPr>
        <w:spacing w:line="360" w:lineRule="auto"/>
        <w:jc w:val="both"/>
        <w:rPr>
          <w:rFonts w:ascii="Palatino Linotype" w:hAnsi="Palatino Linotype" w:cs="Tahoma"/>
          <w:sz w:val="22"/>
          <w:szCs w:val="22"/>
        </w:rPr>
      </w:pPr>
      <w:r w:rsidRPr="00AB1598">
        <w:rPr>
          <w:rFonts w:ascii="Palatino Linotype" w:hAnsi="Palatino Linotype" w:cs="Tahoma"/>
          <w:sz w:val="22"/>
          <w:szCs w:val="22"/>
        </w:rPr>
        <w:t>Organismo que si bien se encarga de garantizar el derecho a la seguridad social, lo es en lo que corresponde a los Entes de Gobierno de Nivel Federal; atentos a ello, de conformidad con los artículos 1, 2 y 3 de la Ley de Seguridad Social para los Servidores Públicos del Estado de México y Municipios, podemos apreciar que el Organismo competente para la seguridad social de los servidores públicos del Estado de México y Municipios, se encuentra a cargo del Instituto de Seguridad Social del Estado de México y Municipios (ISSEMyM), se insertan para mayor referencia los artículos a continuación:</w:t>
      </w:r>
    </w:p>
    <w:p w14:paraId="7FECE9AD" w14:textId="77777777" w:rsidR="00AB1598" w:rsidRDefault="00AB1598" w:rsidP="00AB1598">
      <w:pPr>
        <w:spacing w:line="360" w:lineRule="auto"/>
        <w:ind w:left="567" w:right="539"/>
        <w:jc w:val="both"/>
        <w:rPr>
          <w:rFonts w:ascii="Palatino Linotype" w:hAnsi="Palatino Linotype" w:cs="Tahoma"/>
          <w:i/>
          <w:szCs w:val="22"/>
          <w:lang w:val="es-ES"/>
        </w:rPr>
      </w:pPr>
    </w:p>
    <w:p w14:paraId="3ECD8B28" w14:textId="77777777" w:rsidR="00AB1598" w:rsidRPr="00AB1598" w:rsidRDefault="00AB1598" w:rsidP="00AB1598">
      <w:pPr>
        <w:spacing w:line="360" w:lineRule="auto"/>
        <w:ind w:left="567" w:right="539"/>
        <w:contextualSpacing/>
        <w:jc w:val="both"/>
        <w:rPr>
          <w:rFonts w:ascii="Palatino Linotype" w:hAnsi="Palatino Linotype" w:cs="Tahoma"/>
          <w:i/>
          <w:iCs/>
        </w:rPr>
      </w:pPr>
      <w:r w:rsidRPr="00AB1598">
        <w:rPr>
          <w:rFonts w:ascii="Palatino Linotype" w:hAnsi="Palatino Linotype" w:cs="Tahoma"/>
          <w:i/>
          <w:szCs w:val="22"/>
          <w:lang w:val="es-ES"/>
        </w:rPr>
        <w:t>“</w:t>
      </w:r>
      <w:r w:rsidRPr="00AB1598">
        <w:rPr>
          <w:rFonts w:ascii="Palatino Linotype" w:hAnsi="Palatino Linotype" w:cs="Tahoma"/>
          <w:b/>
          <w:i/>
          <w:szCs w:val="22"/>
          <w:lang w:val="es-ES"/>
        </w:rPr>
        <w:t>ARTICULO 1</w:t>
      </w:r>
      <w:r w:rsidRPr="00AB1598">
        <w:rPr>
          <w:rFonts w:ascii="Palatino Linotype" w:hAnsi="Palatino Linotype" w:cs="Tahoma"/>
          <w:i/>
          <w:iCs/>
        </w:rPr>
        <w:t>.- La presente ley es de orden público e interés general y tiene por objeto regular el régimen de seguridad social en favor de los servidores públicos del estado y</w:t>
      </w:r>
    </w:p>
    <w:p w14:paraId="6E605A5D" w14:textId="77777777" w:rsidR="00AB1598" w:rsidRPr="00AB1598" w:rsidRDefault="00AB1598" w:rsidP="00AB1598">
      <w:pPr>
        <w:spacing w:line="360" w:lineRule="auto"/>
        <w:ind w:left="567" w:right="539"/>
        <w:contextualSpacing/>
        <w:jc w:val="both"/>
        <w:rPr>
          <w:rFonts w:ascii="Palatino Linotype" w:hAnsi="Palatino Linotype" w:cs="Tahoma"/>
          <w:i/>
          <w:iCs/>
        </w:rPr>
      </w:pPr>
      <w:r w:rsidRPr="00AB1598">
        <w:rPr>
          <w:rFonts w:ascii="Palatino Linotype" w:hAnsi="Palatino Linotype" w:cs="Tahoma"/>
          <w:i/>
          <w:iCs/>
        </w:rPr>
        <w:t>municipios, así como de sus organismos auxiliares y fideicomisos públicos.</w:t>
      </w:r>
    </w:p>
    <w:p w14:paraId="0177A404" w14:textId="77777777" w:rsidR="00AB1598" w:rsidRDefault="00AB1598" w:rsidP="00AB1598">
      <w:pPr>
        <w:spacing w:line="360" w:lineRule="auto"/>
        <w:ind w:left="567" w:right="539"/>
        <w:jc w:val="both"/>
        <w:rPr>
          <w:rFonts w:ascii="Palatino Linotype" w:hAnsi="Palatino Linotype" w:cs="Tahoma"/>
          <w:b/>
          <w:i/>
          <w:szCs w:val="22"/>
          <w:lang w:val="es-ES"/>
        </w:rPr>
      </w:pPr>
    </w:p>
    <w:p w14:paraId="65DBD53D" w14:textId="77777777" w:rsidR="00AB1598" w:rsidRP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b/>
          <w:i/>
          <w:szCs w:val="22"/>
          <w:lang w:val="es-ES"/>
        </w:rPr>
        <w:t>ARTICULO 2</w:t>
      </w:r>
      <w:r w:rsidRPr="00AB1598">
        <w:rPr>
          <w:rFonts w:ascii="Palatino Linotype" w:hAnsi="Palatino Linotype" w:cs="Tahoma"/>
          <w:i/>
          <w:szCs w:val="22"/>
          <w:lang w:val="es-ES"/>
        </w:rPr>
        <w:t>.- La aplicación y cumplimiento del régimen de seguridad social que regula</w:t>
      </w:r>
      <w:r>
        <w:rPr>
          <w:rFonts w:ascii="Palatino Linotype" w:hAnsi="Palatino Linotype" w:cs="Tahoma"/>
          <w:i/>
          <w:szCs w:val="22"/>
          <w:lang w:val="es-ES"/>
        </w:rPr>
        <w:t xml:space="preserve"> </w:t>
      </w:r>
      <w:r w:rsidRPr="00AB1598">
        <w:rPr>
          <w:rFonts w:ascii="Palatino Linotype" w:hAnsi="Palatino Linotype" w:cs="Tahoma"/>
          <w:i/>
          <w:szCs w:val="22"/>
          <w:lang w:val="es-ES"/>
        </w:rPr>
        <w:t>esta ley, le corresponde al Instituto de Seguridad Social del Estado de México y Municipios,</w:t>
      </w:r>
      <w:r>
        <w:rPr>
          <w:rFonts w:ascii="Palatino Linotype" w:hAnsi="Palatino Linotype" w:cs="Tahoma"/>
          <w:i/>
          <w:szCs w:val="22"/>
          <w:lang w:val="es-ES"/>
        </w:rPr>
        <w:t xml:space="preserve"> </w:t>
      </w:r>
      <w:r w:rsidRPr="00AB1598">
        <w:rPr>
          <w:rFonts w:ascii="Palatino Linotype" w:hAnsi="Palatino Linotype" w:cs="Tahoma"/>
          <w:i/>
          <w:szCs w:val="22"/>
          <w:lang w:val="es-ES"/>
        </w:rPr>
        <w:t>organismo público descentralizado con personalidad jurídica y patrimonio propios.</w:t>
      </w:r>
    </w:p>
    <w:p w14:paraId="3D90704F" w14:textId="77777777" w:rsidR="00AB1598" w:rsidRDefault="00AB1598" w:rsidP="00AB1598">
      <w:pPr>
        <w:spacing w:line="360" w:lineRule="auto"/>
        <w:ind w:left="567" w:right="539"/>
        <w:jc w:val="both"/>
        <w:rPr>
          <w:rFonts w:ascii="Palatino Linotype" w:hAnsi="Palatino Linotype" w:cs="Tahoma"/>
          <w:b/>
          <w:i/>
          <w:szCs w:val="22"/>
          <w:lang w:val="es-ES"/>
        </w:rPr>
      </w:pPr>
    </w:p>
    <w:p w14:paraId="69316242" w14:textId="77777777" w:rsidR="00AB1598" w:rsidRP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b/>
          <w:i/>
          <w:szCs w:val="22"/>
          <w:lang w:val="es-ES"/>
        </w:rPr>
        <w:t>ARTÍCULO 3</w:t>
      </w:r>
      <w:r w:rsidRPr="00AB1598">
        <w:rPr>
          <w:rFonts w:ascii="Palatino Linotype" w:hAnsi="Palatino Linotype" w:cs="Tahoma"/>
          <w:i/>
          <w:szCs w:val="22"/>
          <w:lang w:val="es-ES"/>
        </w:rPr>
        <w:t>.- Son sujetos de esta ley:</w:t>
      </w:r>
    </w:p>
    <w:p w14:paraId="26937CD5" w14:textId="77777777" w:rsidR="00AB1598" w:rsidRP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lastRenderedPageBreak/>
        <w:t>I. Los poderes públicos del estado, los municipios a través de los ayuntamientos y los</w:t>
      </w:r>
      <w:r>
        <w:rPr>
          <w:rFonts w:ascii="Palatino Linotype" w:hAnsi="Palatino Linotype" w:cs="Tahoma"/>
          <w:i/>
          <w:szCs w:val="22"/>
          <w:lang w:val="es-ES"/>
        </w:rPr>
        <w:t xml:space="preserve"> </w:t>
      </w:r>
      <w:r w:rsidRPr="00AB1598">
        <w:rPr>
          <w:rFonts w:ascii="Palatino Linotype" w:hAnsi="Palatino Linotype" w:cs="Tahoma"/>
          <w:i/>
          <w:szCs w:val="22"/>
          <w:lang w:val="es-ES"/>
        </w:rPr>
        <w:t>tribunales administrativos, así como los organismos auxiliares y fideicomisos públicos de</w:t>
      </w:r>
      <w:r>
        <w:rPr>
          <w:rFonts w:ascii="Palatino Linotype" w:hAnsi="Palatino Linotype" w:cs="Tahoma"/>
          <w:i/>
          <w:szCs w:val="22"/>
          <w:lang w:val="es-ES"/>
        </w:rPr>
        <w:t xml:space="preserve"> </w:t>
      </w:r>
      <w:r w:rsidRPr="00AB1598">
        <w:rPr>
          <w:rFonts w:ascii="Palatino Linotype" w:hAnsi="Palatino Linotype" w:cs="Tahoma"/>
          <w:i/>
          <w:szCs w:val="22"/>
          <w:lang w:val="es-ES"/>
        </w:rPr>
        <w:t>carácter estatal y municipal, siempre y cuando éstos últimos no estén afectos a un régimen</w:t>
      </w:r>
      <w:r>
        <w:rPr>
          <w:rFonts w:ascii="Palatino Linotype" w:hAnsi="Palatino Linotype" w:cs="Tahoma"/>
          <w:i/>
          <w:szCs w:val="22"/>
          <w:lang w:val="es-ES"/>
        </w:rPr>
        <w:t xml:space="preserve"> </w:t>
      </w:r>
      <w:r w:rsidRPr="00AB1598">
        <w:rPr>
          <w:rFonts w:ascii="Palatino Linotype" w:hAnsi="Palatino Linotype" w:cs="Tahoma"/>
          <w:i/>
          <w:szCs w:val="22"/>
          <w:lang w:val="es-ES"/>
        </w:rPr>
        <w:t>distinto de seguridad social;</w:t>
      </w:r>
    </w:p>
    <w:p w14:paraId="0328BEB7" w14:textId="77777777" w:rsidR="00AB1598" w:rsidRP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t>II. Los servidores públicos de las instituciones públicas mencionadas en la fracción anterior;</w:t>
      </w:r>
    </w:p>
    <w:p w14:paraId="4D2922F5" w14:textId="77777777" w:rsidR="00AB1598" w:rsidRP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t>III. Los pensionados y pensionistas;</w:t>
      </w:r>
    </w:p>
    <w:p w14:paraId="3E2EFEDA" w14:textId="77777777" w:rsid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t>IV. Los familiares y dependientes económicos de los servidores públicos y de los</w:t>
      </w:r>
      <w:r>
        <w:rPr>
          <w:rFonts w:ascii="Palatino Linotype" w:hAnsi="Palatino Linotype" w:cs="Tahoma"/>
          <w:i/>
          <w:szCs w:val="22"/>
          <w:lang w:val="es-ES"/>
        </w:rPr>
        <w:t xml:space="preserve"> </w:t>
      </w:r>
      <w:r w:rsidRPr="00AB1598">
        <w:rPr>
          <w:rFonts w:ascii="Palatino Linotype" w:hAnsi="Palatino Linotype" w:cs="Tahoma"/>
          <w:i/>
          <w:szCs w:val="22"/>
          <w:lang w:val="es-ES"/>
        </w:rPr>
        <w:t>pensionados.</w:t>
      </w:r>
    </w:p>
    <w:p w14:paraId="2BF3C69D" w14:textId="77777777" w:rsidR="00AB1598" w:rsidRDefault="00AB1598" w:rsidP="00AB1598">
      <w:pPr>
        <w:spacing w:line="360" w:lineRule="auto"/>
        <w:ind w:left="567" w:right="539"/>
        <w:jc w:val="both"/>
        <w:rPr>
          <w:rFonts w:ascii="Palatino Linotype" w:hAnsi="Palatino Linotype" w:cs="Tahoma"/>
          <w:b/>
          <w:i/>
          <w:szCs w:val="22"/>
          <w:lang w:val="es-ES"/>
        </w:rPr>
      </w:pPr>
    </w:p>
    <w:p w14:paraId="42175192" w14:textId="77777777" w:rsidR="00AB1598" w:rsidRP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b/>
          <w:i/>
          <w:szCs w:val="22"/>
          <w:lang w:val="es-ES"/>
        </w:rPr>
        <w:t>ARTICULO 5</w:t>
      </w:r>
      <w:r w:rsidRPr="00AB1598">
        <w:rPr>
          <w:rFonts w:ascii="Palatino Linotype" w:hAnsi="Palatino Linotype" w:cs="Tahoma"/>
          <w:i/>
          <w:szCs w:val="22"/>
          <w:lang w:val="es-ES"/>
        </w:rPr>
        <w:t>.- Para los efectos de esta ley se entiende por:</w:t>
      </w:r>
    </w:p>
    <w:p w14:paraId="13A13465" w14:textId="77777777" w:rsidR="00AB1598" w:rsidRDefault="00AB1598" w:rsidP="00AB1598">
      <w:pPr>
        <w:spacing w:line="360" w:lineRule="auto"/>
        <w:ind w:left="567" w:right="539"/>
        <w:jc w:val="both"/>
        <w:rPr>
          <w:rFonts w:ascii="Palatino Linotype" w:hAnsi="Palatino Linotype" w:cs="Tahoma"/>
          <w:i/>
          <w:szCs w:val="22"/>
        </w:rPr>
      </w:pPr>
      <w:r w:rsidRPr="00AB1598">
        <w:rPr>
          <w:rFonts w:ascii="Palatino Linotype" w:hAnsi="Palatino Linotype" w:cs="Tahoma"/>
          <w:b/>
          <w:i/>
          <w:szCs w:val="22"/>
          <w:lang w:val="es-ES"/>
        </w:rPr>
        <w:t>I. …</w:t>
      </w:r>
      <w:r w:rsidRPr="00AB1598">
        <w:rPr>
          <w:rFonts w:ascii="Palatino Linotype" w:hAnsi="Palatino Linotype" w:cs="Tahoma"/>
          <w:i/>
          <w:szCs w:val="22"/>
          <w:lang w:val="es-ES"/>
        </w:rPr>
        <w:cr/>
      </w:r>
      <w:r w:rsidRPr="00AB1598">
        <w:rPr>
          <w:b/>
        </w:rPr>
        <w:t xml:space="preserve"> </w:t>
      </w:r>
      <w:r w:rsidRPr="00AB1598">
        <w:rPr>
          <w:rFonts w:ascii="Palatino Linotype" w:hAnsi="Palatino Linotype" w:cs="Tahoma"/>
          <w:b/>
          <w:i/>
          <w:szCs w:val="22"/>
        </w:rPr>
        <w:t>II.</w:t>
      </w:r>
      <w:r w:rsidRPr="00AB1598">
        <w:rPr>
          <w:rFonts w:ascii="Palatino Linotype" w:hAnsi="Palatino Linotype" w:cs="Tahoma"/>
          <w:i/>
          <w:szCs w:val="22"/>
        </w:rPr>
        <w:t xml:space="preserve"> Institución pública, a los poderes públicos del estado, los ayuntamientos de los municipios y los tribunales administrativos, así como los organismos auxiliares y fideicomisos públicos de carácter estatal y municipal; </w:t>
      </w:r>
    </w:p>
    <w:p w14:paraId="2A63BED0" w14:textId="77777777" w:rsidR="00AB1598" w:rsidRDefault="00AB1598" w:rsidP="00AB1598">
      <w:pPr>
        <w:spacing w:line="360" w:lineRule="auto"/>
        <w:ind w:left="567" w:right="539"/>
        <w:jc w:val="both"/>
        <w:rPr>
          <w:rFonts w:ascii="Palatino Linotype" w:hAnsi="Palatino Linotype" w:cs="Tahoma"/>
          <w:i/>
          <w:szCs w:val="22"/>
        </w:rPr>
      </w:pPr>
      <w:r w:rsidRPr="00AB1598">
        <w:rPr>
          <w:rFonts w:ascii="Palatino Linotype" w:hAnsi="Palatino Linotype" w:cs="Tahoma"/>
          <w:b/>
          <w:i/>
          <w:szCs w:val="22"/>
        </w:rPr>
        <w:t>III.</w:t>
      </w:r>
      <w:r w:rsidRPr="00AB1598">
        <w:rPr>
          <w:rFonts w:ascii="Palatino Linotype" w:hAnsi="Palatino Linotype" w:cs="Tahoma"/>
          <w:i/>
          <w:szCs w:val="22"/>
        </w:rPr>
        <w:t xml:space="preserve"> Servidor público,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 </w:t>
      </w:r>
    </w:p>
    <w:p w14:paraId="4F9C0D46" w14:textId="77777777" w:rsidR="00AB1598" w:rsidRDefault="00AB1598" w:rsidP="00AB1598">
      <w:pPr>
        <w:spacing w:line="360" w:lineRule="auto"/>
        <w:ind w:left="567" w:right="539"/>
        <w:jc w:val="both"/>
        <w:rPr>
          <w:rFonts w:ascii="Palatino Linotype" w:hAnsi="Palatino Linotype" w:cs="Tahoma"/>
          <w:i/>
          <w:szCs w:val="22"/>
        </w:rPr>
      </w:pPr>
      <w:r>
        <w:rPr>
          <w:rFonts w:ascii="Palatino Linotype" w:hAnsi="Palatino Linotype" w:cs="Tahoma"/>
          <w:i/>
          <w:szCs w:val="22"/>
        </w:rPr>
        <w:t>IV a VI…”</w:t>
      </w:r>
    </w:p>
    <w:p w14:paraId="30B61CDC" w14:textId="77777777" w:rsidR="00AB1598" w:rsidRPr="00AB1598" w:rsidRDefault="00AB1598" w:rsidP="00AB1598">
      <w:pPr>
        <w:spacing w:line="360" w:lineRule="auto"/>
        <w:ind w:left="567" w:right="539"/>
        <w:jc w:val="both"/>
        <w:rPr>
          <w:rFonts w:ascii="Palatino Linotype" w:hAnsi="Palatino Linotype" w:cs="Tahoma"/>
          <w:i/>
          <w:szCs w:val="22"/>
          <w:lang w:val="es-ES"/>
        </w:rPr>
      </w:pPr>
    </w:p>
    <w:p w14:paraId="557DE303" w14:textId="77777777" w:rsidR="00AB1598" w:rsidRDefault="00AB1598" w:rsidP="002E00B4">
      <w:pPr>
        <w:spacing w:line="360" w:lineRule="auto"/>
        <w:jc w:val="both"/>
        <w:rPr>
          <w:rFonts w:ascii="Palatino Linotype" w:hAnsi="Palatino Linotype" w:cs="Tahoma"/>
          <w:sz w:val="22"/>
          <w:szCs w:val="22"/>
        </w:rPr>
      </w:pPr>
      <w:r w:rsidRPr="00AB1598">
        <w:rPr>
          <w:rFonts w:ascii="Palatino Linotype" w:hAnsi="Palatino Linotype" w:cs="Tahoma"/>
          <w:sz w:val="22"/>
          <w:szCs w:val="22"/>
        </w:rPr>
        <w:t>De conformidad con los preceptos legales, se acredita que compete Instituto de Seguridad Social del Estado de México y Municipios (ISSEMyM), regular el régimen de seguridad social en favor de los servidores públicos del estado y municipios, consecuentemente, el Sujeto Obligado resulta incompetente para tener en sus archivos la información relativa a la opinión de cumplimiento de sus obligaciones fiscales en materia de Seguridad Social” emitida por el Instituto Me</w:t>
      </w:r>
      <w:r w:rsidR="00635E67">
        <w:rPr>
          <w:rFonts w:ascii="Palatino Linotype" w:hAnsi="Palatino Linotype" w:cs="Tahoma"/>
          <w:sz w:val="22"/>
          <w:szCs w:val="22"/>
        </w:rPr>
        <w:t>xicano del Seguro Social (IMSS), por lo que no resulta procedente ordenar su entrega</w:t>
      </w:r>
      <w:r w:rsidRPr="00AB1598">
        <w:rPr>
          <w:rFonts w:ascii="Palatino Linotype" w:hAnsi="Palatino Linotype" w:cs="Tahoma"/>
          <w:sz w:val="22"/>
          <w:szCs w:val="22"/>
        </w:rPr>
        <w:t>.</w:t>
      </w:r>
    </w:p>
    <w:p w14:paraId="597AC1AE" w14:textId="77777777" w:rsidR="00AB1598" w:rsidRDefault="00AB1598" w:rsidP="002E00B4">
      <w:pPr>
        <w:spacing w:line="360" w:lineRule="auto"/>
        <w:jc w:val="both"/>
        <w:rPr>
          <w:rFonts w:ascii="Palatino Linotype" w:hAnsi="Palatino Linotype" w:cs="Tahoma"/>
          <w:sz w:val="22"/>
          <w:szCs w:val="22"/>
          <w:lang w:val="es-ES"/>
        </w:rPr>
      </w:pPr>
    </w:p>
    <w:p w14:paraId="55651703" w14:textId="77777777" w:rsidR="002E00B4" w:rsidRDefault="002E00B4" w:rsidP="002E00B4">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En relación con la opinión de cumplimiento emitida por el </w:t>
      </w:r>
      <w:r w:rsidRPr="002E00B4">
        <w:rPr>
          <w:rFonts w:ascii="Palatino Linotype" w:hAnsi="Palatino Linotype" w:cs="Tahoma"/>
          <w:b/>
          <w:sz w:val="22"/>
          <w:szCs w:val="22"/>
          <w:lang w:val="es-ES"/>
        </w:rPr>
        <w:t>Instituto del Fondo Nacional de la Vivienda para los Trabajadores (INFONAVIT)</w:t>
      </w:r>
      <w:r w:rsidRPr="002E00B4">
        <w:rPr>
          <w:rFonts w:ascii="Palatino Linotype" w:hAnsi="Palatino Linotype" w:cs="Tahoma"/>
          <w:sz w:val="22"/>
          <w:szCs w:val="22"/>
          <w:lang w:val="es-ES"/>
        </w:rPr>
        <w:t>, partiremos que de conformidad con el artículo 123 apartado A, fracción XII de la Constitución Política de los Estados Unidos Mexicanos, el cual establece las bases que rigen las relaciones laborales entre las empresas y los particulares, se cita a continuación, para mayor</w:t>
      </w:r>
      <w:r>
        <w:rPr>
          <w:rFonts w:ascii="Palatino Linotype" w:hAnsi="Palatino Linotype" w:cs="Tahoma"/>
          <w:sz w:val="22"/>
          <w:szCs w:val="22"/>
          <w:lang w:val="es-ES"/>
        </w:rPr>
        <w:t xml:space="preserve"> referencia:</w:t>
      </w:r>
    </w:p>
    <w:p w14:paraId="2230B006" w14:textId="77777777" w:rsidR="002E00B4" w:rsidRDefault="002E00B4" w:rsidP="00A511BB">
      <w:pPr>
        <w:spacing w:line="360" w:lineRule="auto"/>
        <w:jc w:val="both"/>
        <w:rPr>
          <w:rFonts w:ascii="Palatino Linotype" w:hAnsi="Palatino Linotype" w:cs="Tahoma"/>
          <w:sz w:val="22"/>
          <w:szCs w:val="22"/>
          <w:lang w:val="es-ES"/>
        </w:rPr>
      </w:pPr>
    </w:p>
    <w:p w14:paraId="40DD992A" w14:textId="77777777" w:rsidR="002E00B4" w:rsidRPr="002E00B4" w:rsidRDefault="002E00B4" w:rsidP="002E00B4">
      <w:pPr>
        <w:spacing w:line="360" w:lineRule="auto"/>
        <w:ind w:left="567" w:right="539"/>
        <w:contextualSpacing/>
        <w:jc w:val="both"/>
        <w:rPr>
          <w:rFonts w:ascii="Palatino Linotype" w:hAnsi="Palatino Linotype" w:cs="Tahoma"/>
          <w:i/>
          <w:iCs/>
        </w:rPr>
      </w:pPr>
      <w:r w:rsidRPr="002E00B4">
        <w:rPr>
          <w:rFonts w:ascii="Palatino Linotype" w:hAnsi="Palatino Linotype" w:cs="Tahoma"/>
          <w:b/>
          <w:i/>
          <w:iCs/>
        </w:rPr>
        <w:t>Artículo 123</w:t>
      </w:r>
      <w:r w:rsidRPr="002E00B4">
        <w:rPr>
          <w:rFonts w:ascii="Palatino Linotype" w:hAnsi="Palatino Linotype" w:cs="Tahoma"/>
          <w:i/>
          <w:iCs/>
        </w:rPr>
        <w:t>. Toda persona tiene derecho al trabajo digno y socialmente útil; al efecto, se promoverán la creación de empleos y la organización social de trabajo, conforme a la ley.</w:t>
      </w:r>
    </w:p>
    <w:p w14:paraId="1049C8F0" w14:textId="77777777" w:rsidR="002E00B4" w:rsidRPr="002E00B4" w:rsidRDefault="002E00B4" w:rsidP="002E00B4">
      <w:pPr>
        <w:spacing w:line="360" w:lineRule="auto"/>
        <w:ind w:left="567" w:right="539"/>
        <w:contextualSpacing/>
        <w:jc w:val="both"/>
        <w:rPr>
          <w:rFonts w:ascii="Palatino Linotype" w:hAnsi="Palatino Linotype" w:cs="Tahoma"/>
          <w:i/>
          <w:iCs/>
        </w:rPr>
      </w:pPr>
      <w:r w:rsidRPr="002E00B4">
        <w:rPr>
          <w:rFonts w:ascii="Palatino Linotype" w:hAnsi="Palatino Linotype" w:cs="Tahoma"/>
          <w:i/>
          <w:iCs/>
        </w:rPr>
        <w:t>El Congreso de la Unión, sin contravenir a las bases siguientes deberá expedir leyes sobre el trabajo, las cuales regirán:</w:t>
      </w:r>
    </w:p>
    <w:p w14:paraId="79AE4925" w14:textId="77777777" w:rsidR="002E00B4" w:rsidRPr="002E00B4" w:rsidRDefault="002E00B4" w:rsidP="002E00B4">
      <w:pPr>
        <w:spacing w:line="360" w:lineRule="auto"/>
        <w:ind w:left="567" w:right="539"/>
        <w:contextualSpacing/>
        <w:jc w:val="both"/>
        <w:rPr>
          <w:rFonts w:ascii="Palatino Linotype" w:hAnsi="Palatino Linotype" w:cs="Tahoma"/>
          <w:i/>
          <w:iCs/>
        </w:rPr>
      </w:pPr>
      <w:r w:rsidRPr="002E00B4">
        <w:rPr>
          <w:rFonts w:ascii="Palatino Linotype" w:hAnsi="Palatino Linotype" w:cs="Tahoma"/>
          <w:b/>
          <w:i/>
          <w:iCs/>
        </w:rPr>
        <w:t>A.</w:t>
      </w:r>
      <w:r w:rsidRPr="002E00B4">
        <w:rPr>
          <w:rFonts w:ascii="Palatino Linotype" w:hAnsi="Palatino Linotype" w:cs="Tahoma"/>
          <w:i/>
          <w:iCs/>
        </w:rPr>
        <w:t xml:space="preserve"> Entre los obreros, jornaleros, empleados domésticos, artesanos y de una manera general, todo contrato de trabajo:</w:t>
      </w:r>
    </w:p>
    <w:p w14:paraId="2E3905DB" w14:textId="77777777" w:rsidR="002E00B4" w:rsidRPr="002E00B4" w:rsidRDefault="002E00B4" w:rsidP="002E00B4">
      <w:pPr>
        <w:spacing w:line="360" w:lineRule="auto"/>
        <w:ind w:left="567" w:right="539"/>
        <w:contextualSpacing/>
        <w:jc w:val="both"/>
        <w:rPr>
          <w:rFonts w:ascii="Palatino Linotype" w:hAnsi="Palatino Linotype" w:cs="Tahoma"/>
          <w:i/>
          <w:iCs/>
        </w:rPr>
      </w:pPr>
      <w:r>
        <w:rPr>
          <w:rFonts w:ascii="Palatino Linotype" w:hAnsi="Palatino Linotype" w:cs="Tahoma"/>
          <w:i/>
          <w:iCs/>
        </w:rPr>
        <w:t>I a XI</w:t>
      </w:r>
      <w:r w:rsidRPr="002E00B4">
        <w:rPr>
          <w:rFonts w:ascii="Palatino Linotype" w:hAnsi="Palatino Linotype" w:cs="Tahoma"/>
          <w:i/>
          <w:iCs/>
        </w:rPr>
        <w:t>…</w:t>
      </w:r>
    </w:p>
    <w:p w14:paraId="5CA26E4F" w14:textId="77777777" w:rsidR="002E00B4" w:rsidRPr="002E00B4" w:rsidRDefault="002E00B4" w:rsidP="002E00B4">
      <w:pPr>
        <w:spacing w:line="360" w:lineRule="auto"/>
        <w:ind w:left="567" w:right="539"/>
        <w:contextualSpacing/>
        <w:jc w:val="both"/>
        <w:rPr>
          <w:rFonts w:ascii="Palatino Linotype" w:hAnsi="Palatino Linotype" w:cs="Tahoma"/>
          <w:i/>
          <w:iCs/>
          <w:u w:val="single"/>
        </w:rPr>
      </w:pPr>
      <w:r w:rsidRPr="002E00B4">
        <w:rPr>
          <w:rFonts w:ascii="Palatino Linotype" w:hAnsi="Palatino Linotype" w:cs="Tahoma"/>
          <w:i/>
          <w:iCs/>
        </w:rPr>
        <w:t xml:space="preserve">XII. Toda empresa agrícola, industrial, minera o de cualquier otra clase de trabajo, estará obligada, según lo determinen las leyes reglamentarias a proporcionar a los trabajadores habitaciones cómodas e higiénicas. </w:t>
      </w:r>
      <w:r w:rsidRPr="002E00B4">
        <w:rPr>
          <w:rFonts w:ascii="Palatino Linotype" w:hAnsi="Palatino Linotype" w:cs="Tahoma"/>
          <w:i/>
          <w:iCs/>
          <w:u w:val="single"/>
        </w:rPr>
        <w:t>Esta obligación se cumplirá mediante las aportaciones que las empresas hagan a un fondo nacional de la vivienda a fin de constituir depósitos en favor de sus trabajadores y establecer un sistema de financiamiento que permita otorgar a éstos crédito barato y suficiente para que adquieran en propiedad tales habitaciones.</w:t>
      </w:r>
    </w:p>
    <w:p w14:paraId="5E6EBF0A" w14:textId="77777777" w:rsidR="002E00B4" w:rsidRPr="002E00B4" w:rsidRDefault="002E00B4" w:rsidP="002E00B4">
      <w:pPr>
        <w:spacing w:line="360" w:lineRule="auto"/>
        <w:ind w:left="567" w:right="539"/>
        <w:contextualSpacing/>
        <w:jc w:val="both"/>
        <w:rPr>
          <w:rFonts w:ascii="Palatino Linotype" w:hAnsi="Palatino Linotype" w:cs="Tahoma"/>
          <w:i/>
          <w:iCs/>
        </w:rPr>
      </w:pPr>
      <w:r w:rsidRPr="002E00B4">
        <w:rPr>
          <w:rFonts w:ascii="Palatino Linotype" w:hAnsi="Palatino Linotype" w:cs="Tahoma"/>
          <w:i/>
          <w:iCs/>
          <w:u w:val="single"/>
        </w:rPr>
        <w:t>Se considera de utilidad social la expedición de una ley para la creación de un organismo integrado por representantes del Gobierno Federal, de los trabajadores y de los patrones, que administre los recursos del fondo nacional de la vivienda. Dicha ley regulará las formas y procedimientos conforme a los cuales los trabajadores podrán adquirir en propiedad las habitaciones antes mencionadas.</w:t>
      </w:r>
      <w:r w:rsidRPr="002E00B4">
        <w:rPr>
          <w:rFonts w:ascii="Palatino Linotype" w:hAnsi="Palatino Linotype" w:cs="Tahoma"/>
          <w:i/>
          <w:iCs/>
        </w:rPr>
        <w:t>”</w:t>
      </w:r>
    </w:p>
    <w:p w14:paraId="59A3C384" w14:textId="77777777" w:rsidR="002E00B4" w:rsidRDefault="002E00B4" w:rsidP="00A511BB">
      <w:pPr>
        <w:spacing w:line="360" w:lineRule="auto"/>
        <w:jc w:val="both"/>
        <w:rPr>
          <w:rFonts w:ascii="Palatino Linotype" w:hAnsi="Palatino Linotype" w:cs="Tahoma"/>
          <w:sz w:val="22"/>
          <w:szCs w:val="22"/>
          <w:lang w:val="es-ES"/>
        </w:rPr>
      </w:pPr>
    </w:p>
    <w:p w14:paraId="7A907378" w14:textId="77777777" w:rsidR="002E00B4" w:rsidRDefault="002E00B4" w:rsidP="00A511BB">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lastRenderedPageBreak/>
        <w:t xml:space="preserve">Precepto legal que concatenado con el contenido de los artículos 2 y 3 de Ley del Instituto del Fondo Nacional de la Vivienda para los Trabajadores, que establece a dicho Instituto como el organismo de servicio social con personalidad jurídica y patrimonio propio, cuyos objetivos son entre otros, administrar los recursos del Fondo Nacional de Vivienda, se cita para </w:t>
      </w:r>
      <w:r w:rsidR="004472EA">
        <w:rPr>
          <w:rFonts w:ascii="Palatino Linotype" w:hAnsi="Palatino Linotype" w:cs="Tahoma"/>
          <w:sz w:val="22"/>
          <w:szCs w:val="22"/>
          <w:lang w:val="es-ES"/>
        </w:rPr>
        <w:t>pronta</w:t>
      </w:r>
      <w:r w:rsidRPr="002E00B4">
        <w:rPr>
          <w:rFonts w:ascii="Palatino Linotype" w:hAnsi="Palatino Linotype" w:cs="Tahoma"/>
          <w:sz w:val="22"/>
          <w:szCs w:val="22"/>
          <w:lang w:val="es-ES"/>
        </w:rPr>
        <w:t xml:space="preserve"> referencia:</w:t>
      </w:r>
    </w:p>
    <w:p w14:paraId="12AABE9A" w14:textId="77777777" w:rsidR="002E00B4" w:rsidRDefault="002E00B4" w:rsidP="00A511BB">
      <w:pPr>
        <w:spacing w:line="360" w:lineRule="auto"/>
        <w:jc w:val="both"/>
        <w:rPr>
          <w:rFonts w:ascii="Palatino Linotype" w:hAnsi="Palatino Linotype" w:cs="Tahoma"/>
          <w:sz w:val="22"/>
          <w:szCs w:val="22"/>
          <w:lang w:val="es-ES"/>
        </w:rPr>
      </w:pPr>
    </w:p>
    <w:p w14:paraId="3B5EE519"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b/>
          <w:i/>
          <w:iCs/>
        </w:rPr>
        <w:t>Artículo 3o.-</w:t>
      </w:r>
      <w:r w:rsidRPr="004472EA">
        <w:rPr>
          <w:rFonts w:ascii="Palatino Linotype" w:hAnsi="Palatino Linotype" w:cs="Tahoma"/>
          <w:i/>
          <w:iCs/>
        </w:rPr>
        <w:t xml:space="preserve"> El Instituto tiene por objeto:</w:t>
      </w:r>
    </w:p>
    <w:p w14:paraId="4287D10A"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 Administrar los recursos del Fondo Nacional de la Vivienda;</w:t>
      </w:r>
    </w:p>
    <w:p w14:paraId="6F6B481E"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II.- Establecer y operar un sistema de financiamiento que permita a los trabajadores obtener crédito barato y suficiente para:</w:t>
      </w:r>
    </w:p>
    <w:p w14:paraId="01BA9ECA"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a</w:t>
      </w:r>
      <w:proofErr w:type="gramStart"/>
      <w:r w:rsidRPr="004472EA">
        <w:rPr>
          <w:rFonts w:ascii="Palatino Linotype" w:hAnsi="Palatino Linotype" w:cs="Tahoma"/>
          <w:i/>
          <w:iCs/>
        </w:rPr>
        <w:t>).-</w:t>
      </w:r>
      <w:proofErr w:type="gramEnd"/>
      <w:r w:rsidRPr="004472EA">
        <w:rPr>
          <w:rFonts w:ascii="Palatino Linotype" w:hAnsi="Palatino Linotype" w:cs="Tahoma"/>
          <w:i/>
          <w:iCs/>
        </w:rPr>
        <w:t xml:space="preserve"> La adquisición en propiedad de habitaciones cómodas e higiénicas,</w:t>
      </w:r>
    </w:p>
    <w:p w14:paraId="6F6A5078"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b</w:t>
      </w:r>
      <w:proofErr w:type="gramStart"/>
      <w:r w:rsidRPr="004472EA">
        <w:rPr>
          <w:rFonts w:ascii="Palatino Linotype" w:hAnsi="Palatino Linotype" w:cs="Tahoma"/>
          <w:i/>
          <w:iCs/>
        </w:rPr>
        <w:t>).-</w:t>
      </w:r>
      <w:proofErr w:type="gramEnd"/>
      <w:r w:rsidRPr="004472EA">
        <w:rPr>
          <w:rFonts w:ascii="Palatino Linotype" w:hAnsi="Palatino Linotype" w:cs="Tahoma"/>
          <w:i/>
          <w:iCs/>
        </w:rPr>
        <w:t xml:space="preserve"> La construcción, reparación, ampliación o mejoramiento de sus habitaciones, y</w:t>
      </w:r>
    </w:p>
    <w:p w14:paraId="5C9E086D" w14:textId="77777777" w:rsidR="004472EA" w:rsidRPr="004472EA" w:rsidRDefault="004472EA" w:rsidP="004472EA">
      <w:pPr>
        <w:spacing w:line="360" w:lineRule="auto"/>
        <w:ind w:left="567" w:right="539"/>
        <w:contextualSpacing/>
        <w:jc w:val="both"/>
        <w:rPr>
          <w:rFonts w:ascii="Palatino Linotype" w:hAnsi="Palatino Linotype" w:cs="Tahoma"/>
          <w:i/>
          <w:iCs/>
        </w:rPr>
      </w:pPr>
      <w:proofErr w:type="gramStart"/>
      <w:r w:rsidRPr="004472EA">
        <w:rPr>
          <w:rFonts w:ascii="Palatino Linotype" w:hAnsi="Palatino Linotype" w:cs="Tahoma"/>
          <w:i/>
          <w:iCs/>
        </w:rPr>
        <w:t>c).-</w:t>
      </w:r>
      <w:proofErr w:type="gramEnd"/>
      <w:r w:rsidRPr="004472EA">
        <w:rPr>
          <w:rFonts w:ascii="Palatino Linotype" w:hAnsi="Palatino Linotype" w:cs="Tahoma"/>
          <w:i/>
          <w:iCs/>
        </w:rPr>
        <w:t xml:space="preserve"> El pago de pasivos contraídos por los conceptos anteriores;</w:t>
      </w:r>
    </w:p>
    <w:p w14:paraId="35B61FAE" w14:textId="77777777" w:rsidR="004472EA" w:rsidRPr="004472EA" w:rsidRDefault="004472EA" w:rsidP="004472EA">
      <w:pPr>
        <w:spacing w:line="360" w:lineRule="auto"/>
        <w:ind w:left="567" w:right="539"/>
        <w:contextualSpacing/>
        <w:jc w:val="both"/>
        <w:rPr>
          <w:rFonts w:ascii="Palatino Linotype" w:hAnsi="Palatino Linotype" w:cs="Tahoma"/>
          <w:i/>
          <w:iCs/>
        </w:rPr>
      </w:pPr>
      <w:proofErr w:type="gramStart"/>
      <w:r w:rsidRPr="004472EA">
        <w:rPr>
          <w:rFonts w:ascii="Palatino Linotype" w:hAnsi="Palatino Linotype" w:cs="Tahoma"/>
          <w:i/>
          <w:iCs/>
        </w:rPr>
        <w:t>d).-</w:t>
      </w:r>
      <w:proofErr w:type="gramEnd"/>
      <w:r w:rsidRPr="004472EA">
        <w:rPr>
          <w:rFonts w:ascii="Palatino Linotype" w:hAnsi="Palatino Linotype" w:cs="Tahoma"/>
          <w:i/>
          <w:iCs/>
        </w:rPr>
        <w:t xml:space="preserve"> La adquisición en propiedad de suelo destinado para la construcción de sus habitaciones;</w:t>
      </w:r>
    </w:p>
    <w:p w14:paraId="26EA2723"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III.- Coordinar y financiar programas de construcción de habitaciones destinadas a ser adquiridas en propiedad por los trabajadores; y</w:t>
      </w:r>
    </w:p>
    <w:p w14:paraId="7FEC23C8"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IV.- Lo demás a que se refiere la fracción XII del Apartado A del Artículo 123 Constitucional y el</w:t>
      </w:r>
    </w:p>
    <w:p w14:paraId="2125A718"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Título Cuarto, Capítulo III de la Ley Federal del Trabajo, así como lo que esta ley establece.</w:t>
      </w:r>
    </w:p>
    <w:p w14:paraId="3C880BE0" w14:textId="77777777" w:rsidR="004472EA" w:rsidRDefault="004472EA" w:rsidP="00A511BB">
      <w:pPr>
        <w:spacing w:line="360" w:lineRule="auto"/>
        <w:jc w:val="both"/>
        <w:rPr>
          <w:rFonts w:ascii="Palatino Linotype" w:hAnsi="Palatino Linotype" w:cs="Tahoma"/>
          <w:sz w:val="22"/>
          <w:szCs w:val="22"/>
          <w:lang w:val="es-ES"/>
        </w:rPr>
      </w:pPr>
    </w:p>
    <w:p w14:paraId="4A3C6724" w14:textId="77777777" w:rsidR="004472EA" w:rsidRDefault="004472EA" w:rsidP="00A511BB">
      <w:pPr>
        <w:spacing w:line="360" w:lineRule="auto"/>
        <w:jc w:val="both"/>
        <w:rPr>
          <w:rFonts w:ascii="Palatino Linotype" w:hAnsi="Palatino Linotype" w:cs="Tahoma"/>
          <w:sz w:val="22"/>
          <w:szCs w:val="22"/>
          <w:lang w:val="es-ES"/>
        </w:rPr>
      </w:pPr>
      <w:r w:rsidRPr="004472EA">
        <w:rPr>
          <w:rFonts w:ascii="Palatino Linotype" w:hAnsi="Palatino Linotype" w:cs="Tahoma"/>
          <w:sz w:val="22"/>
          <w:szCs w:val="22"/>
          <w:lang w:val="es-ES"/>
        </w:rPr>
        <w:t xml:space="preserve">De los preceptos de Ley citados, podemos concluir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al </w:t>
      </w:r>
      <w:r w:rsidR="00A70C49">
        <w:rPr>
          <w:rFonts w:ascii="Palatino Linotype" w:hAnsi="Palatino Linotype" w:cs="Tahoma"/>
          <w:sz w:val="22"/>
          <w:szCs w:val="22"/>
          <w:lang w:val="es-ES"/>
        </w:rPr>
        <w:t>solicitar</w:t>
      </w:r>
      <w:r w:rsidRPr="004472EA">
        <w:rPr>
          <w:rFonts w:ascii="Palatino Linotype" w:hAnsi="Palatino Linotype" w:cs="Tahoma"/>
          <w:sz w:val="22"/>
          <w:szCs w:val="22"/>
          <w:lang w:val="es-ES"/>
        </w:rPr>
        <w:t xml:space="preserve"> </w:t>
      </w:r>
      <w:r w:rsidRPr="004472EA">
        <w:rPr>
          <w:rFonts w:ascii="Palatino Linotype" w:hAnsi="Palatino Linotype" w:cs="Tahoma"/>
          <w:sz w:val="22"/>
          <w:szCs w:val="22"/>
          <w:lang w:val="es-ES"/>
        </w:rPr>
        <w:lastRenderedPageBreak/>
        <w:t>la entrega de la misma, a Entes de Gobierno, no resulta procedente, derivado de no encuadrar en los supuestos de los ordenamientos citados.</w:t>
      </w:r>
    </w:p>
    <w:p w14:paraId="0A4DB6F5" w14:textId="77777777" w:rsidR="004472EA" w:rsidRDefault="004472EA" w:rsidP="00A511BB">
      <w:pPr>
        <w:spacing w:line="360" w:lineRule="auto"/>
        <w:jc w:val="both"/>
        <w:rPr>
          <w:rFonts w:ascii="Palatino Linotype" w:hAnsi="Palatino Linotype" w:cs="Tahoma"/>
          <w:sz w:val="22"/>
          <w:szCs w:val="22"/>
          <w:lang w:val="es-ES"/>
        </w:rPr>
      </w:pPr>
    </w:p>
    <w:p w14:paraId="6270978A" w14:textId="77777777" w:rsidR="00183D4B" w:rsidRPr="002C51F3" w:rsidRDefault="00183D4B" w:rsidP="00183D4B">
      <w:pPr>
        <w:spacing w:line="360" w:lineRule="auto"/>
        <w:ind w:right="-93"/>
        <w:jc w:val="both"/>
        <w:rPr>
          <w:rFonts w:ascii="Palatino Linotype" w:hAnsi="Palatino Linotype" w:cs="Tahoma"/>
          <w:sz w:val="22"/>
          <w:szCs w:val="22"/>
        </w:rPr>
      </w:pPr>
      <w:r w:rsidRPr="002C51F3">
        <w:rPr>
          <w:rFonts w:ascii="Palatino Linotype" w:hAnsi="Palatino Linotype" w:cs="Tahoma"/>
          <w:sz w:val="22"/>
          <w:szCs w:val="22"/>
        </w:rPr>
        <w:t>En lo que corresponde a la opinión de cumplimiento del Servicio de Administración Tributaria (SAT),</w:t>
      </w:r>
      <w:r>
        <w:rPr>
          <w:rFonts w:ascii="Palatino Linotype" w:hAnsi="Palatino Linotype" w:cs="Tahoma"/>
          <w:sz w:val="22"/>
          <w:szCs w:val="22"/>
        </w:rPr>
        <w:t xml:space="preserve"> marcado con el punto 4 en el Considerando Tercero,</w:t>
      </w:r>
      <w:r w:rsidRPr="002C51F3">
        <w:rPr>
          <w:rFonts w:ascii="Palatino Linotype" w:hAnsi="Palatino Linotype" w:cs="Tahoma"/>
          <w:sz w:val="22"/>
          <w:szCs w:val="22"/>
        </w:rPr>
        <w:t xml:space="preserve"> es de señalar que éste es un órgano desconcentrado de la Secretaría de Hacienda y Crédito Público (SHCP), esta </w:t>
      </w:r>
      <w:r>
        <w:rPr>
          <w:rFonts w:ascii="Palatino Linotype" w:hAnsi="Palatino Linotype" w:cs="Tahoma"/>
          <w:sz w:val="22"/>
          <w:szCs w:val="22"/>
        </w:rPr>
        <w:t xml:space="preserve">como </w:t>
      </w:r>
      <w:r w:rsidRPr="002C51F3">
        <w:rPr>
          <w:rFonts w:ascii="Palatino Linotype" w:hAnsi="Palatino Linotype" w:cs="Tahoma"/>
          <w:sz w:val="22"/>
          <w:szCs w:val="22"/>
        </w:rPr>
        <w:t>máxima autoridad fiscal encargada de la determinación y recaudación de impuestos en México. En ese orden de ideas, debemos traer a colación los artículos 27 apartado A, fracción VI, 29, 32-D último párrafo, 32-G del Código Fiscal de la Federación, así como los artículos 94 fracción I y 96 de la Ley del Impuesto sobre la Renta que señalan lo siguiente:</w:t>
      </w:r>
    </w:p>
    <w:p w14:paraId="14726E5D" w14:textId="77777777" w:rsidR="00183D4B" w:rsidRDefault="00183D4B" w:rsidP="00183D4B">
      <w:pPr>
        <w:spacing w:line="360" w:lineRule="auto"/>
        <w:jc w:val="both"/>
        <w:rPr>
          <w:rFonts w:ascii="Palatino Linotype" w:hAnsi="Palatino Linotype" w:cs="Tahoma"/>
          <w:b/>
          <w:sz w:val="22"/>
          <w:szCs w:val="22"/>
          <w:lang w:val="es-ES"/>
        </w:rPr>
      </w:pPr>
    </w:p>
    <w:p w14:paraId="0500A87A"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r w:rsidRPr="002C51F3">
        <w:rPr>
          <w:rFonts w:ascii="Palatino Linotype" w:hAnsi="Palatino Linotype" w:cs="Tahoma"/>
          <w:b/>
          <w:i/>
          <w:szCs w:val="22"/>
        </w:rPr>
        <w:t>Artículo 27.</w:t>
      </w:r>
      <w:r w:rsidRPr="002C51F3">
        <w:rPr>
          <w:rFonts w:ascii="Palatino Linotype" w:hAnsi="Palatino Linotype" w:cs="Tahoma"/>
          <w:i/>
          <w:szCs w:val="22"/>
        </w:rPr>
        <w:t xml:space="preserve"> En materia del Registro Federal de Contribuyentes, se estará a lo siguiente:</w:t>
      </w:r>
    </w:p>
    <w:p w14:paraId="054BF6C3"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A. Sujetos y sus obligaciones específicas:</w:t>
      </w:r>
    </w:p>
    <w:p w14:paraId="4E465149" w14:textId="77777777" w:rsidR="00183D4B" w:rsidRPr="002C51F3" w:rsidRDefault="00183D4B" w:rsidP="00183D4B">
      <w:pPr>
        <w:spacing w:line="360" w:lineRule="auto"/>
        <w:ind w:left="567" w:right="539"/>
        <w:jc w:val="both"/>
        <w:rPr>
          <w:rFonts w:ascii="Palatino Linotype" w:hAnsi="Palatino Linotype" w:cs="Tahoma"/>
          <w:i/>
          <w:szCs w:val="22"/>
        </w:rPr>
      </w:pPr>
      <w:r>
        <w:rPr>
          <w:rFonts w:ascii="Palatino Linotype" w:hAnsi="Palatino Linotype" w:cs="Tahoma"/>
          <w:i/>
          <w:szCs w:val="22"/>
        </w:rPr>
        <w:t>I a V…</w:t>
      </w:r>
    </w:p>
    <w:p w14:paraId="7AA92B11" w14:textId="77777777" w:rsidR="00183D4B"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VI. 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que tengan el carácter de retenedor o de contribuyente, de conformidad con las leyes fiscales, en forma separada del ente público al que pertenezcan, deberán dar cumplimiento a las obligaciones previstas en las fracciones I, II y III del apartado B del presente artículo</w:t>
      </w:r>
      <w:r>
        <w:rPr>
          <w:rFonts w:ascii="Palatino Linotype" w:hAnsi="Palatino Linotype" w:cs="Tahoma"/>
          <w:i/>
          <w:szCs w:val="22"/>
        </w:rPr>
        <w:t>.</w:t>
      </w:r>
    </w:p>
    <w:p w14:paraId="46E62B4E" w14:textId="77777777" w:rsidR="00183D4B" w:rsidRPr="002C51F3" w:rsidRDefault="00183D4B" w:rsidP="00183D4B">
      <w:pPr>
        <w:spacing w:line="360" w:lineRule="auto"/>
        <w:ind w:left="567" w:right="539"/>
        <w:jc w:val="both"/>
        <w:rPr>
          <w:rFonts w:ascii="Palatino Linotype" w:hAnsi="Palatino Linotype" w:cs="Tahoma"/>
          <w:i/>
          <w:szCs w:val="22"/>
        </w:rPr>
      </w:pPr>
      <w:r>
        <w:rPr>
          <w:rFonts w:ascii="Palatino Linotype" w:hAnsi="Palatino Linotype" w:cs="Tahoma"/>
          <w:i/>
          <w:szCs w:val="22"/>
        </w:rPr>
        <w:t>…</w:t>
      </w:r>
      <w:r w:rsidRPr="002C51F3">
        <w:rPr>
          <w:rFonts w:ascii="Palatino Linotype" w:hAnsi="Palatino Linotype" w:cs="Tahoma"/>
          <w:i/>
          <w:szCs w:val="22"/>
        </w:rPr>
        <w:cr/>
      </w:r>
    </w:p>
    <w:p w14:paraId="07181A31"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Artículo 29</w:t>
      </w:r>
      <w:r w:rsidRPr="002C51F3">
        <w:rPr>
          <w:rFonts w:ascii="Palatino Linotype" w:hAnsi="Palatino Linotype" w:cs="Tahoma"/>
          <w:i/>
          <w:szCs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w:t>
      </w:r>
      <w:r w:rsidRPr="002C51F3">
        <w:rPr>
          <w:rFonts w:ascii="Palatino Linotype" w:hAnsi="Palatino Linotype" w:cs="Tahoma"/>
          <w:i/>
          <w:szCs w:val="22"/>
        </w:rPr>
        <w:lastRenderedPageBreak/>
        <w:t>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42B18EE3"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a que se refiere el párrafo anterior deberán cumplir con las obligaciones siguientes:</w:t>
      </w:r>
    </w:p>
    <w:p w14:paraId="30C36013"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w:t>
      </w:r>
      <w:r w:rsidRPr="002C51F3">
        <w:rPr>
          <w:rFonts w:ascii="Palatino Linotype" w:hAnsi="Palatino Linotype" w:cs="Tahoma"/>
          <w:i/>
          <w:szCs w:val="22"/>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524988ED"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II.</w:t>
      </w:r>
      <w:r w:rsidRPr="002C51F3">
        <w:rPr>
          <w:rFonts w:ascii="Palatino Linotype" w:hAnsi="Palatino Linotype" w:cs="Tahoma"/>
          <w:i/>
          <w:szCs w:val="22"/>
        </w:rPr>
        <w:t xml:space="preserve"> Tramitar ante el Servicio de Administración Tributaria el certificado para el uso de los sellos digitales.</w:t>
      </w:r>
    </w:p>
    <w:p w14:paraId="6A16C5A2"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6A8DA61"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16CE7EC0"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La tramitación de un certificado de sello digital sólo podrá efectuarse mediante formato electrónico que cuente con la firma electrónica avanzada de la persona solicitante.</w:t>
      </w:r>
    </w:p>
    <w:p w14:paraId="0AE1587B"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lastRenderedPageBreak/>
        <w:t>III.</w:t>
      </w:r>
      <w:r w:rsidRPr="002C51F3">
        <w:rPr>
          <w:rFonts w:ascii="Palatino Linotype" w:hAnsi="Palatino Linotype" w:cs="Tahoma"/>
          <w:i/>
          <w:szCs w:val="22"/>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020C1A2A"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IV.</w:t>
      </w:r>
      <w:r w:rsidRPr="002C51F3">
        <w:rPr>
          <w:rFonts w:ascii="Palatino Linotype" w:hAnsi="Palatino Linotype" w:cs="Tahoma"/>
          <w:i/>
          <w:szCs w:val="22"/>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25546891"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w:t>
      </w:r>
      <w:r w:rsidRPr="002C51F3">
        <w:rPr>
          <w:rFonts w:ascii="Palatino Linotype" w:hAnsi="Palatino Linotype" w:cs="Tahoma"/>
          <w:i/>
          <w:szCs w:val="22"/>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323C5C12"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b)</w:t>
      </w:r>
      <w:r w:rsidRPr="002C51F3">
        <w:rPr>
          <w:rFonts w:ascii="Palatino Linotype" w:hAnsi="Palatino Linotype" w:cs="Tahoma"/>
          <w:i/>
          <w:szCs w:val="22"/>
        </w:rPr>
        <w:t xml:space="preserve"> Asignar el folio del comprobante fiscal digital.</w:t>
      </w:r>
    </w:p>
    <w:p w14:paraId="50A4DD67"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c)</w:t>
      </w:r>
      <w:r w:rsidRPr="002C51F3">
        <w:rPr>
          <w:rFonts w:ascii="Palatino Linotype" w:hAnsi="Palatino Linotype" w:cs="Tahoma"/>
          <w:i/>
          <w:szCs w:val="22"/>
        </w:rPr>
        <w:t xml:space="preserve"> Incorporar el sello digital del Servicio de Administración Tributaria </w:t>
      </w:r>
    </w:p>
    <w:p w14:paraId="5FCEA177"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V.</w:t>
      </w:r>
      <w:r w:rsidRPr="002C51F3">
        <w:rPr>
          <w:rFonts w:ascii="Palatino Linotype" w:hAnsi="Palatino Linotype" w:cs="Tahoma"/>
          <w:i/>
          <w:szCs w:val="22"/>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15154566"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VI.</w:t>
      </w:r>
      <w:r w:rsidRPr="002C51F3">
        <w:rPr>
          <w:rFonts w:ascii="Palatino Linotype" w:hAnsi="Palatino Linotype" w:cs="Tahoma"/>
          <w:i/>
          <w:szCs w:val="22"/>
        </w:rPr>
        <w:t xml:space="preserve"> Cumplir con las especificaciones que en materia de informática determine el Servicio de Administración Tributaria mediante reglas de carácter general.</w:t>
      </w:r>
    </w:p>
    <w:p w14:paraId="6C14147F"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5963400D" w14:textId="77777777" w:rsidR="00183D4B"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lastRenderedPageBreak/>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4F9D0C90" w14:textId="77777777" w:rsidR="00183D4B" w:rsidRPr="002C51F3" w:rsidRDefault="00183D4B" w:rsidP="00183D4B">
      <w:pPr>
        <w:spacing w:line="360" w:lineRule="auto"/>
        <w:ind w:left="567" w:right="539"/>
        <w:jc w:val="both"/>
        <w:rPr>
          <w:rFonts w:ascii="Palatino Linotype" w:hAnsi="Palatino Linotype" w:cs="Tahoma"/>
          <w:i/>
          <w:szCs w:val="22"/>
        </w:rPr>
      </w:pPr>
    </w:p>
    <w:p w14:paraId="56F7C1FC" w14:textId="77777777" w:rsidR="00183D4B"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9D9B9EF" w14:textId="77777777" w:rsidR="00183D4B" w:rsidRPr="002C51F3" w:rsidRDefault="00183D4B" w:rsidP="00183D4B">
      <w:pPr>
        <w:spacing w:line="360" w:lineRule="auto"/>
        <w:ind w:left="567" w:right="539"/>
        <w:jc w:val="both"/>
        <w:rPr>
          <w:rFonts w:ascii="Palatino Linotype" w:hAnsi="Palatino Linotype" w:cs="Tahoma"/>
          <w:i/>
          <w:szCs w:val="22"/>
        </w:rPr>
      </w:pPr>
    </w:p>
    <w:p w14:paraId="30BEFA6A"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29998043" w14:textId="77777777" w:rsidR="00183D4B" w:rsidRPr="002C51F3" w:rsidRDefault="00183D4B" w:rsidP="00183D4B">
      <w:pPr>
        <w:spacing w:line="360" w:lineRule="auto"/>
        <w:ind w:left="567" w:right="539"/>
        <w:jc w:val="both"/>
        <w:rPr>
          <w:rFonts w:ascii="Palatino Linotype" w:hAnsi="Palatino Linotype" w:cs="Tahoma"/>
          <w:i/>
          <w:szCs w:val="22"/>
        </w:rPr>
      </w:pPr>
    </w:p>
    <w:p w14:paraId="00DA5652"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Artículo 32-D.</w:t>
      </w:r>
      <w:r w:rsidRPr="002C51F3">
        <w:rPr>
          <w:rFonts w:ascii="Palatino Linotype" w:hAnsi="Palatino Linotype" w:cs="Tahoma"/>
          <w:i/>
          <w:szCs w:val="22"/>
        </w:rPr>
        <w:t xml:space="preserv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532E424F" w14:textId="77777777" w:rsidR="00183D4B" w:rsidRPr="002C51F3" w:rsidRDefault="00183D4B" w:rsidP="00183D4B">
      <w:pPr>
        <w:spacing w:line="360" w:lineRule="auto"/>
        <w:ind w:left="567" w:right="539"/>
        <w:jc w:val="both"/>
        <w:rPr>
          <w:rFonts w:ascii="Palatino Linotype" w:hAnsi="Palatino Linotype" w:cs="Tahoma"/>
          <w:i/>
          <w:szCs w:val="22"/>
        </w:rPr>
      </w:pPr>
      <w:r>
        <w:rPr>
          <w:rFonts w:ascii="Palatino Linotype" w:hAnsi="Palatino Linotype" w:cs="Tahoma"/>
          <w:i/>
          <w:szCs w:val="22"/>
        </w:rPr>
        <w:t>I a IX</w:t>
      </w:r>
      <w:r w:rsidRPr="002C51F3">
        <w:rPr>
          <w:rFonts w:ascii="Palatino Linotype" w:hAnsi="Palatino Linotype" w:cs="Tahoma"/>
          <w:i/>
          <w:szCs w:val="22"/>
        </w:rPr>
        <w:t>…</w:t>
      </w:r>
    </w:p>
    <w:p w14:paraId="30B2A539" w14:textId="77777777" w:rsidR="00183D4B" w:rsidRPr="002C51F3" w:rsidRDefault="00183D4B" w:rsidP="00183D4B">
      <w:pPr>
        <w:spacing w:line="360" w:lineRule="auto"/>
        <w:ind w:left="567" w:right="539"/>
        <w:jc w:val="both"/>
        <w:rPr>
          <w:rFonts w:ascii="Palatino Linotype" w:hAnsi="Palatino Linotype" w:cs="Tahoma"/>
          <w:i/>
          <w:szCs w:val="22"/>
        </w:rPr>
      </w:pPr>
      <w:r>
        <w:rPr>
          <w:rFonts w:ascii="Palatino Linotype" w:hAnsi="Palatino Linotype" w:cs="Tahoma"/>
          <w:i/>
          <w:szCs w:val="22"/>
        </w:rPr>
        <w:lastRenderedPageBreak/>
        <w:t>(…)</w:t>
      </w:r>
    </w:p>
    <w:p w14:paraId="50793673"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además de cumplir con lo establecido en las fracciones anteriores.</w:t>
      </w:r>
    </w:p>
    <w:p w14:paraId="552AC333" w14:textId="77777777" w:rsidR="00183D4B" w:rsidRPr="002C51F3" w:rsidRDefault="00183D4B" w:rsidP="00183D4B">
      <w:pPr>
        <w:spacing w:line="360" w:lineRule="auto"/>
        <w:ind w:left="567" w:right="539"/>
        <w:jc w:val="both"/>
        <w:rPr>
          <w:rFonts w:ascii="Palatino Linotype" w:hAnsi="Palatino Linotype" w:cs="Tahoma"/>
          <w:i/>
          <w:szCs w:val="22"/>
        </w:rPr>
      </w:pPr>
    </w:p>
    <w:p w14:paraId="648F6B2B" w14:textId="77777777" w:rsidR="00183D4B"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Artículo 32-G.</w:t>
      </w:r>
      <w:r w:rsidRPr="002C51F3">
        <w:rPr>
          <w:rFonts w:ascii="Palatino Linotype" w:hAnsi="Palatino Linotype" w:cs="Tahoma"/>
          <w:i/>
          <w:szCs w:val="22"/>
        </w:rPr>
        <w:t xml:space="preserve"> La Federación, las Entidades Federativas, el Distrito Federal, y sus Organismos Descentralizados, así como los Municipios, tendrán la obligación de presentar ante las autoridades fiscales, a través de los medios y formatos electrónicos que señale el Servicio de Administración, la información relativa a:</w:t>
      </w:r>
    </w:p>
    <w:p w14:paraId="6D0F432F" w14:textId="77777777" w:rsidR="00183D4B" w:rsidRPr="002C51F3" w:rsidRDefault="00183D4B" w:rsidP="00183D4B">
      <w:pPr>
        <w:spacing w:line="360" w:lineRule="auto"/>
        <w:ind w:left="567" w:right="539"/>
        <w:jc w:val="both"/>
        <w:rPr>
          <w:rFonts w:ascii="Palatino Linotype" w:hAnsi="Palatino Linotype" w:cs="Tahoma"/>
          <w:i/>
          <w:szCs w:val="22"/>
        </w:rPr>
      </w:pPr>
    </w:p>
    <w:p w14:paraId="7D9157DC"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w:t>
      </w:r>
      <w:r w:rsidRPr="002C51F3">
        <w:rPr>
          <w:rFonts w:ascii="Palatino Linotype" w:hAnsi="Palatino Linotype" w:cs="Tahoma"/>
          <w:i/>
          <w:szCs w:val="22"/>
        </w:rPr>
        <w:t xml:space="preserve"> Las personas a las que en el mes inmediato anterior les hubieren efectuado retenciones de impuesto sobre la renta, así como de los residentes en el extranjero a los que les hayan efectuado pagos de acuerdo con lo previsto en el Título V de la Ley del Impuesto sobre la Renta.</w:t>
      </w:r>
    </w:p>
    <w:p w14:paraId="4BE48171"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II.</w:t>
      </w:r>
      <w:r w:rsidRPr="002C51F3">
        <w:rPr>
          <w:rFonts w:ascii="Palatino Linotype" w:hAnsi="Palatino Linotype" w:cs="Tahoma"/>
          <w:i/>
          <w:szCs w:val="22"/>
        </w:rPr>
        <w:t xml:space="preserve">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1846A2E5"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La información a que se refiere el párrafo anterior se deberá presentar a más tardar el día 17 del mes posterior al que corresponda dicha información”</w:t>
      </w:r>
    </w:p>
    <w:p w14:paraId="68E3F2AC" w14:textId="77777777" w:rsidR="00183D4B" w:rsidRPr="002E00B4" w:rsidRDefault="00183D4B" w:rsidP="00183D4B">
      <w:pPr>
        <w:spacing w:line="360" w:lineRule="auto"/>
        <w:ind w:left="567" w:right="539"/>
        <w:jc w:val="both"/>
        <w:rPr>
          <w:rFonts w:ascii="Palatino Linotype" w:hAnsi="Palatino Linotype" w:cs="Tahoma"/>
          <w:szCs w:val="22"/>
        </w:rPr>
      </w:pPr>
      <w:r w:rsidRPr="002E00B4">
        <w:rPr>
          <w:rFonts w:ascii="Palatino Linotype" w:hAnsi="Palatino Linotype" w:cs="Tahoma"/>
          <w:szCs w:val="22"/>
        </w:rPr>
        <w:t>(Énfasis añadido)</w:t>
      </w:r>
    </w:p>
    <w:p w14:paraId="0BE19544" w14:textId="77777777" w:rsidR="00183D4B" w:rsidRPr="002C51F3" w:rsidRDefault="00183D4B" w:rsidP="00183D4B">
      <w:pPr>
        <w:spacing w:line="360" w:lineRule="auto"/>
        <w:ind w:left="567" w:right="539"/>
        <w:jc w:val="both"/>
        <w:rPr>
          <w:rFonts w:ascii="Palatino Linotype" w:hAnsi="Palatino Linotype" w:cs="Tahoma"/>
          <w:i/>
          <w:szCs w:val="22"/>
        </w:rPr>
      </w:pPr>
    </w:p>
    <w:p w14:paraId="682810F1" w14:textId="77777777" w:rsidR="00183D4B" w:rsidRPr="002C51F3" w:rsidRDefault="00183D4B" w:rsidP="00183D4B">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t>Ley del Impuesto sobre la Renta</w:t>
      </w:r>
    </w:p>
    <w:p w14:paraId="641ED314" w14:textId="77777777" w:rsidR="00183D4B" w:rsidRPr="002C51F3" w:rsidRDefault="00183D4B" w:rsidP="00183D4B">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t>CAPÍTULO I</w:t>
      </w:r>
    </w:p>
    <w:p w14:paraId="0D9484D4" w14:textId="77777777" w:rsidR="00183D4B" w:rsidRPr="002C51F3" w:rsidRDefault="00183D4B" w:rsidP="00183D4B">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t>DE LOS INGRESOS POR SALARIOS Y EN GENERAL POR LA</w:t>
      </w:r>
    </w:p>
    <w:p w14:paraId="15B87556" w14:textId="77777777" w:rsidR="00183D4B" w:rsidRPr="002C51F3" w:rsidRDefault="00183D4B" w:rsidP="00183D4B">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lastRenderedPageBreak/>
        <w:t>PRESTACIÓN DE UN SERVICIO PERSONAL SUBORDINADO</w:t>
      </w:r>
    </w:p>
    <w:p w14:paraId="607A202F" w14:textId="77777777" w:rsidR="00183D4B" w:rsidRPr="002C51F3" w:rsidRDefault="00183D4B" w:rsidP="00183D4B">
      <w:pPr>
        <w:spacing w:line="360" w:lineRule="auto"/>
        <w:ind w:left="567" w:right="539"/>
        <w:jc w:val="both"/>
        <w:rPr>
          <w:rFonts w:ascii="Palatino Linotype" w:hAnsi="Palatino Linotype" w:cs="Tahoma"/>
          <w:i/>
          <w:szCs w:val="22"/>
        </w:rPr>
      </w:pPr>
    </w:p>
    <w:p w14:paraId="483190E7"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b/>
          <w:i/>
          <w:szCs w:val="22"/>
        </w:rPr>
        <w:t>Artículo 94</w:t>
      </w:r>
      <w:r w:rsidRPr="002C51F3">
        <w:rPr>
          <w:rFonts w:ascii="Palatino Linotype" w:hAnsi="Palatino Linotype" w:cs="Tahoma"/>
          <w:i/>
          <w:szCs w:val="22"/>
        </w:rPr>
        <w:t>.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3090C1FD"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w:t>
      </w:r>
      <w:r w:rsidRPr="002C51F3">
        <w:rPr>
          <w:rFonts w:ascii="Palatino Linotype" w:hAnsi="Palatino Linotype" w:cs="Tahoma"/>
          <w:i/>
          <w:szCs w:val="22"/>
        </w:rPr>
        <w:t>. Las remuneraciones y demás prestaciones, obtenidas por los funcionarios y trabajadores de la Federación, de las entidades federativas y de los municipios, aun cuando sean por concepto de gastos no sujetos a comprobación, así como los obtenidos por los miembros de las fuerzas armadas.</w:t>
      </w:r>
    </w:p>
    <w:p w14:paraId="3C6ED91B" w14:textId="77777777" w:rsidR="00183D4B"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II a VII</w:t>
      </w:r>
      <w:r>
        <w:rPr>
          <w:rFonts w:ascii="Palatino Linotype" w:hAnsi="Palatino Linotype" w:cs="Tahoma"/>
          <w:i/>
          <w:szCs w:val="22"/>
        </w:rPr>
        <w:t>…</w:t>
      </w:r>
    </w:p>
    <w:p w14:paraId="038BC49E" w14:textId="77777777" w:rsidR="00183D4B" w:rsidRPr="002C51F3" w:rsidRDefault="00183D4B" w:rsidP="00183D4B">
      <w:pPr>
        <w:spacing w:line="360" w:lineRule="auto"/>
        <w:ind w:left="567" w:right="539"/>
        <w:jc w:val="both"/>
        <w:rPr>
          <w:rFonts w:ascii="Palatino Linotype" w:hAnsi="Palatino Linotype" w:cs="Tahoma"/>
          <w:i/>
          <w:szCs w:val="22"/>
        </w:rPr>
      </w:pPr>
    </w:p>
    <w:p w14:paraId="240292C7" w14:textId="77777777" w:rsidR="00183D4B"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Artículo 96</w:t>
      </w:r>
      <w:r w:rsidRPr="002C51F3">
        <w:rPr>
          <w:rFonts w:ascii="Palatino Linotype" w:hAnsi="Palatino Linotype" w:cs="Tahoma"/>
          <w:i/>
          <w:szCs w:val="22"/>
        </w:rPr>
        <w:t>.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11C5AAAC" w14:textId="77777777" w:rsidR="00183D4B" w:rsidRPr="002C51F3" w:rsidRDefault="00183D4B" w:rsidP="00183D4B">
      <w:pPr>
        <w:spacing w:line="360" w:lineRule="auto"/>
        <w:ind w:left="567" w:right="539"/>
        <w:jc w:val="both"/>
        <w:rPr>
          <w:rFonts w:ascii="Palatino Linotype" w:hAnsi="Palatino Linotype" w:cs="Tahoma"/>
          <w:i/>
          <w:szCs w:val="22"/>
        </w:rPr>
      </w:pPr>
      <w:r>
        <w:rPr>
          <w:rFonts w:ascii="Palatino Linotype" w:hAnsi="Palatino Linotype" w:cs="Tahoma"/>
          <w:i/>
          <w:szCs w:val="22"/>
        </w:rPr>
        <w:t>…</w:t>
      </w:r>
    </w:p>
    <w:p w14:paraId="67313BCF" w14:textId="77777777" w:rsidR="00183D4B" w:rsidRPr="00717D41" w:rsidRDefault="00183D4B" w:rsidP="00183D4B">
      <w:pPr>
        <w:ind w:left="567" w:right="567"/>
        <w:rPr>
          <w:rFonts w:ascii="Palatino Linotype" w:eastAsia="Calibri" w:hAnsi="Palatino Linotype"/>
          <w:lang w:val="es-ES_tradnl"/>
        </w:rPr>
      </w:pPr>
      <w:r w:rsidRPr="00717D41">
        <w:rPr>
          <w:rFonts w:ascii="Palatino Linotype" w:eastAsia="Calibri" w:hAnsi="Palatino Linotype"/>
          <w:lang w:val="es-ES_tradnl"/>
        </w:rPr>
        <w:t>(Énfasis añadido)</w:t>
      </w:r>
    </w:p>
    <w:p w14:paraId="66D05E4C" w14:textId="77777777" w:rsidR="00183D4B" w:rsidRPr="002E00B4" w:rsidRDefault="00183D4B" w:rsidP="00183D4B">
      <w:pPr>
        <w:spacing w:line="360" w:lineRule="auto"/>
        <w:jc w:val="both"/>
        <w:rPr>
          <w:rFonts w:ascii="Palatino Linotype" w:hAnsi="Palatino Linotype" w:cs="Tahoma"/>
          <w:sz w:val="22"/>
          <w:szCs w:val="22"/>
          <w:lang w:val="es-ES"/>
        </w:rPr>
      </w:pPr>
    </w:p>
    <w:p w14:paraId="62BE6B3D" w14:textId="77777777" w:rsidR="00183D4B" w:rsidRPr="002E00B4" w:rsidRDefault="00183D4B" w:rsidP="00183D4B">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De conformidad con los artículos citados, se advierte que los Municipios al administrar libremente su hacienda pública municipal, encargándose en lo relativo al pago de los salarios y/o remuneraciones de sus servidores públicos, realiza la retención del Impuesto Sobre la Renta, que debe enterar al Servicio de Administración Tributaria (SAT), de igual manera se encuentran obligados a generar, los Comprobantes Fiscales Digitales por Internet (CFDI), por el pago de los sueldos y salarios a sus trabajadores y por lo que se encuentran obligados de </w:t>
      </w:r>
      <w:r w:rsidRPr="002E00B4">
        <w:rPr>
          <w:rFonts w:ascii="Palatino Linotype" w:hAnsi="Palatino Linotype" w:cs="Tahoma"/>
          <w:sz w:val="22"/>
          <w:szCs w:val="22"/>
          <w:lang w:val="es-ES"/>
        </w:rPr>
        <w:lastRenderedPageBreak/>
        <w:t>presentar ante el Servicio de Administración Tributaria (SAT), la información relativa de las personas a las que les fue efectuada la retención del impuesto sobre la renta.</w:t>
      </w:r>
    </w:p>
    <w:p w14:paraId="3E24F700" w14:textId="77777777" w:rsidR="00183D4B" w:rsidRPr="002E00B4" w:rsidRDefault="00183D4B" w:rsidP="00183D4B">
      <w:pPr>
        <w:spacing w:line="360" w:lineRule="auto"/>
        <w:jc w:val="both"/>
        <w:rPr>
          <w:rFonts w:ascii="Palatino Linotype" w:hAnsi="Palatino Linotype" w:cs="Tahoma"/>
          <w:sz w:val="22"/>
          <w:szCs w:val="22"/>
          <w:lang w:val="es-ES"/>
        </w:rPr>
      </w:pPr>
    </w:p>
    <w:p w14:paraId="2B248DCC" w14:textId="77777777" w:rsidR="00183D4B" w:rsidRDefault="00183D4B" w:rsidP="00183D4B">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Si bien es cierto, de conformidad con el último párrafo del artículo 32-D del Código Fiscal de la Federación señala que 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circunstancia que al encontrarse sujeta a la rendición de cuentas de la administración pública, resulta de interés a la sociedad el conocer si se encuentra al corriente en sus obligaciones fiscales, consecuentemente podemos concluir que resulta dable ordenar la entrega de la opinión de cumplimiento emitida por el Servicio de Administración Tributaria (SAT), a favor del Sujeto Obligado.</w:t>
      </w:r>
    </w:p>
    <w:p w14:paraId="346099EF" w14:textId="77777777" w:rsidR="00183D4B" w:rsidRDefault="00183D4B" w:rsidP="00A511BB">
      <w:pPr>
        <w:spacing w:line="360" w:lineRule="auto"/>
        <w:jc w:val="both"/>
        <w:rPr>
          <w:rFonts w:ascii="Palatino Linotype" w:hAnsi="Palatino Linotype" w:cs="Tahoma"/>
          <w:sz w:val="22"/>
          <w:szCs w:val="22"/>
          <w:lang w:val="es-ES"/>
        </w:rPr>
      </w:pPr>
    </w:p>
    <w:p w14:paraId="78FE42F5" w14:textId="666E6084" w:rsidR="00DA6417" w:rsidRDefault="00DA6417" w:rsidP="00A511BB">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Respecto al </w:t>
      </w:r>
      <w:r w:rsidRPr="00DA6417">
        <w:rPr>
          <w:rFonts w:ascii="Palatino Linotype" w:hAnsi="Palatino Linotype" w:cs="Tahoma"/>
          <w:b/>
          <w:sz w:val="22"/>
          <w:szCs w:val="22"/>
          <w:lang w:val="es-ES"/>
        </w:rPr>
        <w:t>punto 5</w:t>
      </w:r>
      <w:r w:rsidRPr="00DA6417">
        <w:rPr>
          <w:rFonts w:ascii="Palatino Linotype" w:hAnsi="Palatino Linotype" w:cs="Tahoma"/>
          <w:sz w:val="22"/>
          <w:szCs w:val="22"/>
          <w:lang w:val="es-ES"/>
        </w:rPr>
        <w:t xml:space="preserve">, relativo a documentos de trabajo por </w:t>
      </w:r>
      <w:r w:rsidR="00464A12">
        <w:rPr>
          <w:rFonts w:ascii="Palatino Linotype" w:hAnsi="Palatino Linotype" w:cs="Tahoma"/>
          <w:sz w:val="22"/>
          <w:szCs w:val="22"/>
          <w:lang w:val="es-ES"/>
        </w:rPr>
        <w:t>el órgano descentralizado</w:t>
      </w:r>
      <w:r w:rsidRPr="00DA6417">
        <w:rPr>
          <w:rFonts w:ascii="Palatino Linotype" w:hAnsi="Palatino Linotype" w:cs="Tahoma"/>
          <w:sz w:val="22"/>
          <w:szCs w:val="22"/>
          <w:lang w:val="es-ES"/>
        </w:rPr>
        <w:t xml:space="preserve">, que contenga los datos de identificación de ISR, recuperado por mes, del periodo del uno de enero de dos mil diecinueve al treinta y uno de octubre de dos mil veintiuno; apreciamos que el Recurrente </w:t>
      </w:r>
      <w:r w:rsidR="00A70C49">
        <w:rPr>
          <w:rFonts w:ascii="Palatino Linotype" w:hAnsi="Palatino Linotype" w:cs="Tahoma"/>
          <w:sz w:val="22"/>
          <w:szCs w:val="22"/>
          <w:lang w:val="es-ES"/>
        </w:rPr>
        <w:t>solicita</w:t>
      </w:r>
      <w:r w:rsidRPr="00DA6417">
        <w:rPr>
          <w:rFonts w:ascii="Palatino Linotype" w:hAnsi="Palatino Linotype" w:cs="Tahoma"/>
          <w:sz w:val="22"/>
          <w:szCs w:val="22"/>
          <w:lang w:val="es-ES"/>
        </w:rPr>
        <w:t xml:space="preserve"> un documento de tipo específico que contenga desagregada la información en diversos apartados, atentos a ello, se le hace del conocimiento al particular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 deba procesarse la misma a efecto de generar un documento </w:t>
      </w:r>
      <w:r w:rsidRPr="00DA6417">
        <w:rPr>
          <w:rFonts w:ascii="Palatino Linotype" w:hAnsi="Palatino Linotype" w:cs="Tahoma"/>
          <w:sz w:val="22"/>
          <w:szCs w:val="22"/>
          <w:lang w:val="es-ES"/>
        </w:rPr>
        <w:lastRenderedPageBreak/>
        <w:t>que deba entregarse conforme a los intereses de los particulares, sino que debe entregarse el soporte documental en el cual obre.</w:t>
      </w:r>
    </w:p>
    <w:p w14:paraId="4D5BA8BD" w14:textId="77777777" w:rsidR="00DA6417" w:rsidRDefault="00DA6417" w:rsidP="00A511BB">
      <w:pPr>
        <w:spacing w:line="360" w:lineRule="auto"/>
        <w:jc w:val="both"/>
        <w:rPr>
          <w:rFonts w:ascii="Palatino Linotype" w:hAnsi="Palatino Linotype" w:cs="Tahoma"/>
          <w:sz w:val="22"/>
          <w:szCs w:val="22"/>
          <w:lang w:val="es-ES"/>
        </w:rPr>
      </w:pPr>
    </w:p>
    <w:p w14:paraId="50653EB0" w14:textId="77777777" w:rsidR="00DA6417" w:rsidRDefault="00DA6417" w:rsidP="00A511BB">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Acotado lo anterior, del contenido del requerimiento, podemos sintetizar que, el Recurrente </w:t>
      </w:r>
      <w:r>
        <w:rPr>
          <w:rFonts w:ascii="Palatino Linotype" w:hAnsi="Palatino Linotype" w:cs="Tahoma"/>
          <w:sz w:val="22"/>
          <w:szCs w:val="22"/>
          <w:lang w:val="es-ES"/>
        </w:rPr>
        <w:t>solicita</w:t>
      </w:r>
      <w:r w:rsidRPr="00DA6417">
        <w:rPr>
          <w:rFonts w:ascii="Palatino Linotype" w:hAnsi="Palatino Linotype" w:cs="Tahoma"/>
          <w:sz w:val="22"/>
          <w:szCs w:val="22"/>
          <w:lang w:val="es-ES"/>
        </w:rPr>
        <w:t xml:space="preserve">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5722D295" w14:textId="77777777" w:rsidR="00DA6417" w:rsidRDefault="00DA6417" w:rsidP="00A511BB">
      <w:pPr>
        <w:spacing w:line="360" w:lineRule="auto"/>
        <w:jc w:val="both"/>
        <w:rPr>
          <w:rFonts w:ascii="Palatino Linotype" w:hAnsi="Palatino Linotype" w:cs="Tahoma"/>
          <w:sz w:val="22"/>
          <w:szCs w:val="22"/>
          <w:lang w:val="es-ES"/>
        </w:rPr>
      </w:pPr>
    </w:p>
    <w:p w14:paraId="6DF58680" w14:textId="77777777" w:rsidR="00DA6417" w:rsidRPr="00717D41" w:rsidRDefault="00DA6417" w:rsidP="00DA6417">
      <w:pPr>
        <w:spacing w:line="360" w:lineRule="auto"/>
        <w:ind w:left="567" w:right="567"/>
        <w:jc w:val="both"/>
        <w:rPr>
          <w:rFonts w:ascii="Palatino Linotype" w:eastAsia="Calibri" w:hAnsi="Palatino Linotype"/>
          <w:b/>
          <w:i/>
          <w:szCs w:val="24"/>
          <w:lang w:val="es-ES_tradnl"/>
        </w:rPr>
      </w:pPr>
      <w:r w:rsidRPr="00717D41">
        <w:rPr>
          <w:rFonts w:ascii="Palatino Linotype" w:eastAsia="Calibri" w:hAnsi="Palatino Linotype"/>
          <w:i/>
          <w:szCs w:val="24"/>
          <w:lang w:val="es-ES_tradnl"/>
        </w:rPr>
        <w:t>“</w:t>
      </w:r>
      <w:r w:rsidRPr="00717D41">
        <w:rPr>
          <w:rFonts w:ascii="Palatino Linotype" w:eastAsia="Calibri" w:hAnsi="Palatino Linotype"/>
          <w:b/>
          <w:i/>
          <w:szCs w:val="24"/>
          <w:lang w:val="es-ES_tradnl"/>
        </w:rPr>
        <w:t>48. Retenciones del Impuesto Sobre la Renta por Salarios, Honorarios y Arrendamiento</w:t>
      </w:r>
    </w:p>
    <w:p w14:paraId="7F35DDAC" w14:textId="77777777" w:rsidR="00DA6417" w:rsidRPr="00717D41" w:rsidRDefault="00DA6417" w:rsidP="00DA6417">
      <w:pPr>
        <w:spacing w:line="360" w:lineRule="auto"/>
        <w:ind w:left="567" w:right="567"/>
        <w:jc w:val="both"/>
        <w:rPr>
          <w:rFonts w:ascii="Palatino Linotype" w:eastAsia="Calibri" w:hAnsi="Palatino Linotype"/>
          <w:b/>
          <w:i/>
          <w:szCs w:val="24"/>
          <w:lang w:val="es-ES_tradnl"/>
        </w:rPr>
      </w:pPr>
      <w:r w:rsidRPr="00717D41">
        <w:rPr>
          <w:rFonts w:ascii="Palatino Linotype" w:eastAsia="Calibri" w:hAnsi="Palatino Linotype"/>
          <w:b/>
          <w:i/>
          <w:szCs w:val="24"/>
          <w:lang w:val="es-ES_tradnl"/>
        </w:rPr>
        <w:t>Formato: el archivo se presentará en .</w:t>
      </w:r>
      <w:proofErr w:type="spellStart"/>
      <w:r w:rsidRPr="00717D41">
        <w:rPr>
          <w:rFonts w:ascii="Palatino Linotype" w:eastAsia="Calibri" w:hAnsi="Palatino Linotype"/>
          <w:b/>
          <w:i/>
          <w:szCs w:val="24"/>
          <w:lang w:val="es-ES_tradnl"/>
        </w:rPr>
        <w:t>pdf</w:t>
      </w:r>
      <w:proofErr w:type="spellEnd"/>
      <w:r w:rsidRPr="00717D41">
        <w:rPr>
          <w:rFonts w:ascii="Palatino Linotype" w:eastAsia="Calibri" w:hAnsi="Palatino Linotype"/>
          <w:b/>
          <w:i/>
          <w:szCs w:val="24"/>
          <w:lang w:val="es-ES_tradnl"/>
        </w:rPr>
        <w:t xml:space="preserve"> y .xls</w:t>
      </w:r>
    </w:p>
    <w:p w14:paraId="50861561"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Objetivo</w:t>
      </w:r>
      <w:r w:rsidRPr="00717D41">
        <w:rPr>
          <w:rFonts w:ascii="Palatino Linotype" w:eastAsia="Calibri" w:hAnsi="Palatino Linotype"/>
          <w:i/>
          <w:szCs w:val="24"/>
          <w:lang w:val="es-ES_tradnl"/>
        </w:rPr>
        <w:t>: Concentrar toda la información de las Retenciones del Impuesto Sobre la Renta por Salarios, Honorarios y Arrendamiento.</w:t>
      </w:r>
    </w:p>
    <w:p w14:paraId="42EF1ADB"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i/>
          <w:szCs w:val="24"/>
          <w:lang w:val="es-ES_tradnl"/>
        </w:rPr>
        <w:t>Instructivo:</w:t>
      </w:r>
    </w:p>
    <w:p w14:paraId="69E61D9F"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1. Entidad Municipal:</w:t>
      </w:r>
      <w:r w:rsidRPr="00717D41">
        <w:rPr>
          <w:rFonts w:ascii="Palatino Linotype" w:eastAsia="Calibri" w:hAnsi="Palatino Linotype"/>
          <w:i/>
          <w:szCs w:val="24"/>
          <w:lang w:val="es-ES_tradnl"/>
        </w:rPr>
        <w:t xml:space="preserve"> Anotar el nombre de la entidad, seguido del número que le corresponde, por ejemplo: Toluca, 101.</w:t>
      </w:r>
    </w:p>
    <w:p w14:paraId="3C0B4357"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 xml:space="preserve">2. Periodo de Presentación; </w:t>
      </w:r>
      <w:r w:rsidRPr="00717D41">
        <w:rPr>
          <w:rFonts w:ascii="Palatino Linotype" w:eastAsia="Calibri" w:hAnsi="Palatino Linotype"/>
          <w:i/>
          <w:szCs w:val="24"/>
          <w:lang w:val="es-ES_tradnl"/>
        </w:rPr>
        <w:t xml:space="preserve">Indicar a que fecha se presenta la información requisitada. </w:t>
      </w:r>
    </w:p>
    <w:p w14:paraId="17232DA2"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3. ISR Retenido por Salarios:</w:t>
      </w:r>
      <w:r w:rsidRPr="00717D41">
        <w:rPr>
          <w:rFonts w:ascii="Palatino Linotype" w:eastAsia="Calibri" w:hAnsi="Palatino Linotype"/>
          <w:i/>
          <w:szCs w:val="24"/>
          <w:lang w:val="es-ES_tradnl"/>
        </w:rPr>
        <w:t xml:space="preserve"> Anotar en pesos el importe mensual registrado por este concepto durante el ejercicio 2019.</w:t>
      </w:r>
    </w:p>
    <w:p w14:paraId="3B9A6F34"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 xml:space="preserve">4. ISR Retenido por Honorarios: </w:t>
      </w:r>
      <w:r w:rsidRPr="00717D41">
        <w:rPr>
          <w:rFonts w:ascii="Palatino Linotype" w:eastAsia="Calibri" w:hAnsi="Palatino Linotype"/>
          <w:i/>
          <w:szCs w:val="24"/>
          <w:lang w:val="es-ES_tradnl"/>
        </w:rPr>
        <w:t>Colocar en pesos el importe mensual registrado por este concepto durante el ejercicio 2019.</w:t>
      </w:r>
    </w:p>
    <w:p w14:paraId="2EA8DF14"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5. ISR por pago a cuenta de Terceros o Retenciones por Arrendamiento de Inmuebles:</w:t>
      </w:r>
      <w:r w:rsidRPr="00717D41">
        <w:rPr>
          <w:rFonts w:ascii="Palatino Linotype" w:eastAsia="Calibri" w:hAnsi="Palatino Linotype"/>
          <w:i/>
          <w:szCs w:val="24"/>
          <w:lang w:val="es-ES_tradnl"/>
        </w:rPr>
        <w:t xml:space="preserve"> En caso de que la entidad presente retenciones por estos conceptos deberá anotar en pesos el importe mensual registrado por este concepto durante el ejercicio 2019.</w:t>
      </w:r>
    </w:p>
    <w:p w14:paraId="1F82DD28"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lastRenderedPageBreak/>
        <w:t>6.- ISR Retenido por algún otro concepto:</w:t>
      </w:r>
      <w:r w:rsidRPr="00717D41">
        <w:rPr>
          <w:rFonts w:ascii="Palatino Linotype" w:eastAsia="Calibri" w:hAnsi="Palatino Linotype"/>
          <w:i/>
          <w:szCs w:val="24"/>
          <w:lang w:val="es-ES_tradnl"/>
        </w:rPr>
        <w:t xml:space="preserve"> En caso de que la entidad presente retenciones por algún otro concepto no detallado entre los principales, </w:t>
      </w:r>
      <w:proofErr w:type="gramStart"/>
      <w:r w:rsidRPr="00717D41">
        <w:rPr>
          <w:rFonts w:ascii="Palatino Linotype" w:eastAsia="Calibri" w:hAnsi="Palatino Linotype"/>
          <w:i/>
          <w:szCs w:val="24"/>
          <w:lang w:val="es-ES_tradnl"/>
        </w:rPr>
        <w:t>estos deberá</w:t>
      </w:r>
      <w:proofErr w:type="gramEnd"/>
      <w:r w:rsidRPr="00717D41">
        <w:rPr>
          <w:rFonts w:ascii="Palatino Linotype" w:eastAsia="Calibri" w:hAnsi="Palatino Linotype"/>
          <w:i/>
          <w:szCs w:val="24"/>
          <w:lang w:val="es-ES_tradnl"/>
        </w:rPr>
        <w:t xml:space="preserve"> anotarse en pesos el importe mensual registrado por este concepto durante el ejercicio 2019.</w:t>
      </w:r>
    </w:p>
    <w:p w14:paraId="7A6B07AB"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7.- Actualizaciones y Recargos:</w:t>
      </w:r>
      <w:r w:rsidRPr="00717D41">
        <w:rPr>
          <w:rFonts w:ascii="Palatino Linotype" w:eastAsia="Calibri" w:hAnsi="Palatino Linotype"/>
          <w:i/>
          <w:szCs w:val="24"/>
          <w:lang w:val="es-ES_tradnl"/>
        </w:rPr>
        <w:t xml:space="preserve"> En casos de cumplimiento extemporáneo de obligaciones deberán anotar la suma en pesos de las actualizaciones y los recargos que fueron originados al momento de cumplir con la obligación.</w:t>
      </w:r>
    </w:p>
    <w:p w14:paraId="7712178A"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 xml:space="preserve">8.- Subsidio al empleo: </w:t>
      </w:r>
      <w:r w:rsidRPr="00717D41">
        <w:rPr>
          <w:rFonts w:ascii="Palatino Linotype" w:eastAsia="Calibri" w:hAnsi="Palatino Linotype"/>
          <w:i/>
          <w:szCs w:val="24"/>
          <w:lang w:val="es-ES_tradnl"/>
        </w:rPr>
        <w:t>Anotar en pesos el importe mensual registrado por este concepto de ayuda o apoyo que por ley debe pagarle el patrón al trabajador cuando éste último percibe el salario mínimo durante el ejercicio y que se acredito contra el ISR a cargo.</w:t>
      </w:r>
    </w:p>
    <w:p w14:paraId="0C1E030B"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 xml:space="preserve">9.- ISR por pagar; </w:t>
      </w:r>
      <w:r w:rsidRPr="00717D41">
        <w:rPr>
          <w:rFonts w:ascii="Palatino Linotype" w:eastAsia="Calibri" w:hAnsi="Palatino Linotype"/>
          <w:i/>
          <w:szCs w:val="24"/>
          <w:lang w:val="es-ES_tradnl"/>
        </w:rPr>
        <w:t>Operación aritmética que consiste en sumar los conceptos de retención de ISR con las actualizaciones y recargos que en su caso se originaron descontando el subsidio.</w:t>
      </w:r>
    </w:p>
    <w:p w14:paraId="766784D9"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i/>
          <w:szCs w:val="24"/>
          <w:lang w:val="es-ES_tradnl"/>
        </w:rPr>
        <w:t>Refleja el saldo mensual que se debió pagar de las Retenciones del Impuesto Sobre la Renta por Salarios, Honorarios y Arrendamiento del ejercicio 2019.</w:t>
      </w:r>
    </w:p>
    <w:p w14:paraId="7C608073"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10.- Pagos realizados de acuerdo a expediente;</w:t>
      </w:r>
      <w:r w:rsidRPr="00717D41">
        <w:rPr>
          <w:rFonts w:ascii="Palatino Linotype" w:eastAsia="Calibri" w:hAnsi="Palatino Linotype"/>
          <w:i/>
          <w:szCs w:val="24"/>
          <w:lang w:val="es-ES_tradnl"/>
        </w:rPr>
        <w:t xml:space="preserve"> Anotar en pesos el importe correspondiente a cada mes de los pagos efectuados por las Retenciones del Impuesto Sobre la Renta por Salarios, Honorarios y Arrendamiento del ejercicio 2019.</w:t>
      </w:r>
    </w:p>
    <w:p w14:paraId="1D2CB34A"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 xml:space="preserve">11.- Fecha de pago: </w:t>
      </w:r>
      <w:r w:rsidRPr="00717D41">
        <w:rPr>
          <w:rFonts w:ascii="Palatino Linotype" w:eastAsia="Calibri" w:hAnsi="Palatino Linotype"/>
          <w:i/>
          <w:szCs w:val="24"/>
          <w:lang w:val="es-ES_tradnl"/>
        </w:rPr>
        <w:t>Especificar la fecha en que se realizó el pago de dicha obligación.</w:t>
      </w:r>
    </w:p>
    <w:p w14:paraId="56E6ECEE"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12.- Remanente por pagar:</w:t>
      </w:r>
      <w:r w:rsidRPr="00717D41">
        <w:rPr>
          <w:rFonts w:ascii="Palatino Linotype" w:eastAsia="Calibri" w:hAnsi="Palatino Linotype"/>
          <w:i/>
          <w:szCs w:val="24"/>
          <w:lang w:val="es-ES_tradnl"/>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741C5880"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13.- Cuenta Contable:</w:t>
      </w:r>
      <w:r w:rsidRPr="00717D41">
        <w:rPr>
          <w:rFonts w:ascii="Palatino Linotype" w:eastAsia="Calibri" w:hAnsi="Palatino Linotype"/>
          <w:i/>
          <w:szCs w:val="24"/>
          <w:lang w:val="es-ES_tradnl"/>
        </w:rPr>
        <w:t xml:space="preserve"> Anotar las subcuentas a nivel registro de la cuenta contable donde se registró la provisión del pasivo para el pago de las Retenciones del Impuesto Sobre la Renta por Salarios, Honorarios y Arrendamiento del ejercicio 2019.</w:t>
      </w:r>
    </w:p>
    <w:p w14:paraId="7E7C11DE"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14.- Saldo de la Cuenta de pasivo:</w:t>
      </w:r>
      <w:r w:rsidRPr="00717D41">
        <w:rPr>
          <w:rFonts w:ascii="Palatino Linotype" w:eastAsia="Calibri" w:hAnsi="Palatino Linotype"/>
          <w:i/>
          <w:szCs w:val="24"/>
          <w:lang w:val="es-ES_tradnl"/>
        </w:rPr>
        <w:t xml:space="preserve"> Colocar en pesos el saldo de la cuenta de pasivo que reflejan los reportes contables para cada cuenta que le corresponda.</w:t>
      </w:r>
    </w:p>
    <w:p w14:paraId="78C67D16"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lastRenderedPageBreak/>
        <w:t>15. Apartado de Firmas:</w:t>
      </w:r>
      <w:r w:rsidRPr="00717D41">
        <w:rPr>
          <w:rFonts w:ascii="Palatino Linotype" w:eastAsia="Calibri" w:hAnsi="Palatino Linotype"/>
          <w:i/>
          <w:szCs w:val="24"/>
          <w:lang w:val="es-ES_tradnl"/>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71B9B68A" w14:textId="1FEB66E1" w:rsidR="00DA6417"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i/>
          <w:szCs w:val="24"/>
          <w:lang w:val="es-ES_tradnl"/>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232F7FC2" w14:textId="7044F58A" w:rsidR="00702634" w:rsidRDefault="00702634" w:rsidP="00702634">
      <w:pPr>
        <w:spacing w:line="360" w:lineRule="auto"/>
        <w:ind w:right="567"/>
        <w:jc w:val="both"/>
        <w:rPr>
          <w:rFonts w:ascii="Palatino Linotype" w:eastAsia="Calibri" w:hAnsi="Palatino Linotype"/>
          <w:i/>
          <w:szCs w:val="24"/>
          <w:lang w:val="es-ES_tradnl"/>
        </w:rPr>
      </w:pPr>
    </w:p>
    <w:p w14:paraId="159D07EF" w14:textId="041AE4BB" w:rsidR="00702634" w:rsidRDefault="00702634" w:rsidP="00702634">
      <w:pPr>
        <w:spacing w:line="360" w:lineRule="auto"/>
        <w:jc w:val="both"/>
        <w:rPr>
          <w:rFonts w:ascii="Palatino Linotype" w:hAnsi="Palatino Linotype" w:cs="Tahoma"/>
          <w:sz w:val="22"/>
          <w:szCs w:val="22"/>
          <w:lang w:val="es-ES"/>
        </w:rPr>
      </w:pPr>
      <w:r w:rsidRPr="00702634">
        <w:rPr>
          <w:rFonts w:ascii="Palatino Linotype" w:hAnsi="Palatino Linotype" w:cs="Tahoma"/>
          <w:sz w:val="22"/>
          <w:szCs w:val="22"/>
          <w:lang w:val="es-ES"/>
        </w:rPr>
        <w:t xml:space="preserve">Ahora bien, el Sujeto Obligado </w:t>
      </w:r>
      <w:r>
        <w:rPr>
          <w:rFonts w:ascii="Palatino Linotype" w:hAnsi="Palatino Linotype" w:cs="Tahoma"/>
          <w:sz w:val="22"/>
          <w:szCs w:val="22"/>
          <w:lang w:val="es-ES"/>
        </w:rPr>
        <w:t>se inconformó sobre este punto, como si no hubiera sido entregado, de lo que se identifica, que se pronunció entregando una tabla que contiene los siguientes rubros:</w:t>
      </w:r>
    </w:p>
    <w:p w14:paraId="1DBD9C6B" w14:textId="16C599DA" w:rsidR="00702634" w:rsidRDefault="00702634" w:rsidP="00702634">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Mes (Columna 1). Información que abarca de enero del 2019 a octubre del 2021.</w:t>
      </w:r>
    </w:p>
    <w:p w14:paraId="35ABF159" w14:textId="4BFDB3F3" w:rsidR="00702634" w:rsidRDefault="00702634" w:rsidP="00702634">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Año (Columna 2). Información que abarca de enero del 2019 a octubre del 2021.</w:t>
      </w:r>
    </w:p>
    <w:p w14:paraId="5EED5C59" w14:textId="55749EC6" w:rsidR="00702634" w:rsidRDefault="00702634" w:rsidP="00702634">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ISR Salarios Retenidos (Columna 3). Contiene diversas cantidades.</w:t>
      </w:r>
    </w:p>
    <w:p w14:paraId="75FBF7E7" w14:textId="5CD1AC48" w:rsidR="00702634" w:rsidRDefault="00702634" w:rsidP="00702634">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ISR Salarios Enterado (Columna 4). Contiene diversas cantidades.</w:t>
      </w:r>
    </w:p>
    <w:p w14:paraId="72CB3D11" w14:textId="42A0AE79" w:rsidR="00702634" w:rsidRDefault="00702634" w:rsidP="00702634">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ISR Asimilados Retenido (Columna 5). Contiene diversas cantidades</w:t>
      </w:r>
      <w:r w:rsidR="00EE127E">
        <w:rPr>
          <w:rFonts w:ascii="Palatino Linotype" w:hAnsi="Palatino Linotype" w:cs="Tahoma"/>
          <w:sz w:val="22"/>
          <w:szCs w:val="22"/>
          <w:lang w:val="es-ES"/>
        </w:rPr>
        <w:t>, todas en 0.</w:t>
      </w:r>
    </w:p>
    <w:p w14:paraId="08E19E02" w14:textId="13AB99B0" w:rsidR="00EE127E" w:rsidRDefault="00EE127E" w:rsidP="00702634">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ISR Asimilados Enterado (Columna 6). Contiene diversas cantidades, todas en 0.</w:t>
      </w:r>
    </w:p>
    <w:p w14:paraId="6E8FD010" w14:textId="7CEF4665" w:rsidR="00EE127E" w:rsidRDefault="00EE127E" w:rsidP="00702634">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ISR Honorarios y arrendamiento retenido (Columna 7). Contiene diversas cantidades</w:t>
      </w:r>
    </w:p>
    <w:p w14:paraId="1C04DBA9" w14:textId="27DFFC4B" w:rsidR="00EE127E" w:rsidRDefault="00EE127E" w:rsidP="00EE127E">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ISR Honorarios y arrendamiento enterado (Columna 8). Contiene diversas cantidades</w:t>
      </w:r>
    </w:p>
    <w:p w14:paraId="36571256" w14:textId="02C29026" w:rsidR="00EE127E" w:rsidRDefault="00EE127E" w:rsidP="00EE127E">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ISR Participable recuperado a valor histórico (Columna 9). Contiene diversas cantidades, todas en 0.</w:t>
      </w:r>
    </w:p>
    <w:p w14:paraId="4567492E" w14:textId="03CC275B" w:rsidR="00EE127E" w:rsidRDefault="00EE127E" w:rsidP="00EE127E">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Subsidio para el empleo entregado en el mes del trabajador (Columna 10). Contiene diversas cantidades</w:t>
      </w:r>
    </w:p>
    <w:p w14:paraId="266F3EAE" w14:textId="2B751752" w:rsidR="00EE127E" w:rsidRDefault="00EE127E" w:rsidP="00EE127E">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Subsidio para el empleo acreditado en el mes contra las contribuciones que proceda (Columna 11). Contiene diversas cantidades</w:t>
      </w:r>
    </w:p>
    <w:p w14:paraId="026C9E63" w14:textId="77777777" w:rsidR="00EE127E" w:rsidRDefault="00EE127E" w:rsidP="00702634">
      <w:pPr>
        <w:spacing w:line="360" w:lineRule="auto"/>
        <w:jc w:val="both"/>
        <w:rPr>
          <w:rFonts w:ascii="Palatino Linotype" w:hAnsi="Palatino Linotype" w:cs="Tahoma"/>
          <w:sz w:val="22"/>
          <w:szCs w:val="22"/>
          <w:lang w:val="es-ES"/>
        </w:rPr>
      </w:pPr>
    </w:p>
    <w:p w14:paraId="0C76193A" w14:textId="0338E6F0" w:rsidR="009D7E82" w:rsidRDefault="009D7E82" w:rsidP="009D7E82">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Entonces se identifica que la información aportada por el Sujeto Obligado en respuesta ajusta su contenido al </w:t>
      </w:r>
      <w:r w:rsidRPr="00DA6417">
        <w:rPr>
          <w:rFonts w:ascii="Palatino Linotype" w:hAnsi="Palatino Linotype" w:cs="Tahoma"/>
          <w:sz w:val="22"/>
          <w:szCs w:val="22"/>
          <w:lang w:val="es-ES"/>
        </w:rPr>
        <w:t>documento denominado “Retenciones del Impuesto Sobre la Renta por Salarios, Honorarios y Arrendamiento”</w:t>
      </w:r>
      <w:r>
        <w:rPr>
          <w:rFonts w:ascii="Palatino Linotype" w:hAnsi="Palatino Linotype" w:cs="Tahoma"/>
          <w:sz w:val="22"/>
          <w:szCs w:val="22"/>
          <w:lang w:val="es-ES"/>
        </w:rPr>
        <w:t xml:space="preserve">. </w:t>
      </w:r>
    </w:p>
    <w:p w14:paraId="7C9CCE94" w14:textId="61597BB0" w:rsidR="00DA6417" w:rsidRDefault="00702634" w:rsidP="00A511BB">
      <w:pPr>
        <w:spacing w:line="360" w:lineRule="auto"/>
        <w:jc w:val="both"/>
        <w:rPr>
          <w:rFonts w:ascii="Palatino Linotype" w:hAnsi="Palatino Linotype" w:cs="Tahoma"/>
          <w:sz w:val="22"/>
          <w:szCs w:val="22"/>
          <w:lang w:val="es-ES"/>
        </w:rPr>
      </w:pPr>
      <w:r w:rsidRPr="00702634">
        <w:rPr>
          <w:rFonts w:ascii="Palatino Linotype" w:hAnsi="Palatino Linotype" w:cs="Tahoma"/>
          <w:sz w:val="22"/>
          <w:szCs w:val="22"/>
          <w:lang w:val="es-ES"/>
        </w:rPr>
        <w:t xml:space="preserve"> </w:t>
      </w:r>
      <w:r w:rsidR="00DA6417" w:rsidRPr="00717D41">
        <w:rPr>
          <w:rFonts w:ascii="Palatino Linotype" w:eastAsia="Calibri" w:hAnsi="Palatino Linotype"/>
          <w:noProof/>
          <w:sz w:val="24"/>
          <w:szCs w:val="24"/>
          <w:lang w:eastAsia="es-MX"/>
        </w:rPr>
        <w:drawing>
          <wp:inline distT="0" distB="0" distL="0" distR="0" wp14:anchorId="2CB6ED4E" wp14:editId="4B965576">
            <wp:extent cx="5818056" cy="3286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a:extLst>
                        <a:ext uri="{28A0092B-C50C-407E-A947-70E740481C1C}">
                          <a14:useLocalDpi xmlns:a14="http://schemas.microsoft.com/office/drawing/2010/main" val="0"/>
                        </a:ext>
                      </a:extLst>
                    </a:blip>
                    <a:stretch>
                      <a:fillRect/>
                    </a:stretch>
                  </pic:blipFill>
                  <pic:spPr>
                    <a:xfrm>
                      <a:off x="0" y="0"/>
                      <a:ext cx="5823492" cy="3289195"/>
                    </a:xfrm>
                    <a:prstGeom prst="rect">
                      <a:avLst/>
                    </a:prstGeom>
                  </pic:spPr>
                </pic:pic>
              </a:graphicData>
            </a:graphic>
          </wp:inline>
        </w:drawing>
      </w:r>
    </w:p>
    <w:p w14:paraId="112172C0" w14:textId="4E97278C" w:rsidR="009D7E82" w:rsidRDefault="009D7E82" w:rsidP="009D7E82">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Es entonces, que se identifica que este documento, satisface</w:t>
      </w:r>
      <w:r w:rsidRPr="00DA6417">
        <w:rPr>
          <w:rFonts w:ascii="Palatino Linotype" w:hAnsi="Palatino Linotype" w:cs="Tahoma"/>
          <w:sz w:val="22"/>
          <w:szCs w:val="22"/>
          <w:lang w:val="es-ES"/>
        </w:rPr>
        <w:t xml:space="preserve"> el requerimiento del Recurrente, al apreciarse en los apartados del documento, que contiene la información </w:t>
      </w:r>
      <w:r>
        <w:rPr>
          <w:rFonts w:ascii="Palatino Linotype" w:hAnsi="Palatino Linotype" w:cs="Tahoma"/>
          <w:sz w:val="22"/>
          <w:szCs w:val="22"/>
          <w:lang w:val="es-ES"/>
        </w:rPr>
        <w:t>solicitada</w:t>
      </w:r>
      <w:r w:rsidRPr="00DA6417">
        <w:rPr>
          <w:rFonts w:ascii="Palatino Linotype" w:hAnsi="Palatino Linotype" w:cs="Tahoma"/>
          <w:sz w:val="22"/>
          <w:szCs w:val="22"/>
          <w:lang w:val="es-ES"/>
        </w:rPr>
        <w:t>, en consecuencia, el Sujeto Obligado al ser ente fiscalizable por el Órgano Superior de Fiscalización del Estado de México (OSFEM), que lo constriñe a remitir la información referida, se encuentra obligado a tenerla en sus archivos, consecuentemente</w:t>
      </w:r>
      <w:r>
        <w:rPr>
          <w:rFonts w:ascii="Palatino Linotype" w:hAnsi="Palatino Linotype" w:cs="Tahoma"/>
          <w:sz w:val="22"/>
          <w:szCs w:val="22"/>
          <w:lang w:val="es-ES"/>
        </w:rPr>
        <w:t xml:space="preserve">, se tiene por </w:t>
      </w:r>
      <w:r>
        <w:rPr>
          <w:rFonts w:ascii="Palatino Linotype" w:hAnsi="Palatino Linotype" w:cs="Tahoma"/>
          <w:sz w:val="22"/>
          <w:szCs w:val="22"/>
          <w:lang w:val="es-ES"/>
        </w:rPr>
        <w:lastRenderedPageBreak/>
        <w:t>atendido este punto, al cumplir con el contenido del documento y la temporalidad de la información solicitada.</w:t>
      </w:r>
    </w:p>
    <w:p w14:paraId="40EAF763" w14:textId="7AFE2BE1" w:rsidR="009D7E82" w:rsidRDefault="009D7E82" w:rsidP="00A511BB">
      <w:pPr>
        <w:spacing w:line="360" w:lineRule="auto"/>
        <w:jc w:val="both"/>
        <w:rPr>
          <w:rFonts w:ascii="Palatino Linotype" w:hAnsi="Palatino Linotype" w:cs="Tahoma"/>
          <w:sz w:val="22"/>
          <w:szCs w:val="22"/>
          <w:lang w:val="es-ES"/>
        </w:rPr>
      </w:pPr>
    </w:p>
    <w:p w14:paraId="338E90BC" w14:textId="77777777" w:rsidR="00A756C6" w:rsidRDefault="00A756C6" w:rsidP="00A756C6">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Ahora bien, es preciso identificar que el Particular requirió información del Organismo Público Descentralizado para la Prestación de Los Servicios de Agua Potable Alcantarillado y Saneamiento del Municipio de Lerma, sin embargo, también requirió información relativa a sus organismos descentralizados, de los que especificó al DIF, al organismo de Agua, al Instituto de la Mujer, por mencionar algunos. Sobre este punto se identifica que el Sujeto Obligado, es un Organismo Descentralizado, en términos del artículo 31, fracción XXX, inciso b), del Bando Municipal del Ayuntamiento de Lerma 2021, aplicable al presente asunto, en atención a la fecha de presentación de la solicitud, que a la letra contempla:</w:t>
      </w:r>
    </w:p>
    <w:p w14:paraId="7F5346EC" w14:textId="77777777" w:rsidR="00A756C6" w:rsidRDefault="00A756C6" w:rsidP="00A756C6">
      <w:pPr>
        <w:spacing w:line="360" w:lineRule="auto"/>
        <w:jc w:val="both"/>
        <w:rPr>
          <w:rFonts w:ascii="Palatino Linotype" w:hAnsi="Palatino Linotype" w:cs="Tahoma"/>
          <w:sz w:val="22"/>
          <w:szCs w:val="22"/>
          <w:lang w:val="es-ES"/>
        </w:rPr>
      </w:pPr>
    </w:p>
    <w:p w14:paraId="38D4C8A4" w14:textId="77777777" w:rsidR="00A756C6" w:rsidRDefault="00A756C6" w:rsidP="00A756C6">
      <w:pPr>
        <w:spacing w:line="360" w:lineRule="auto"/>
        <w:ind w:left="567" w:right="539"/>
        <w:jc w:val="both"/>
        <w:rPr>
          <w:rFonts w:ascii="Palatino Linotype" w:hAnsi="Palatino Linotype" w:cs="Arial"/>
          <w:i/>
        </w:rPr>
      </w:pPr>
      <w:r>
        <w:rPr>
          <w:rFonts w:ascii="Palatino Linotype" w:hAnsi="Palatino Linotype" w:cs="Arial"/>
          <w:i/>
        </w:rPr>
        <w:t>“</w:t>
      </w:r>
      <w:r w:rsidRPr="00F717D6">
        <w:rPr>
          <w:rFonts w:ascii="Palatino Linotype" w:hAnsi="Palatino Linotype" w:cs="Arial"/>
          <w:i/>
        </w:rPr>
        <w:t xml:space="preserve">Artículo 31. Para el despacho de los asuntos municipales, el Ayuntamiento se auxiliará con las unidades administrativas, organismos </w:t>
      </w:r>
      <w:r>
        <w:rPr>
          <w:rFonts w:ascii="Palatino Linotype" w:hAnsi="Palatino Linotype" w:cs="Arial"/>
          <w:i/>
        </w:rPr>
        <w:t xml:space="preserve">públicos </w:t>
      </w:r>
      <w:r w:rsidRPr="00F717D6">
        <w:rPr>
          <w:rFonts w:ascii="Palatino Linotype" w:hAnsi="Palatino Linotype" w:cs="Arial"/>
          <w:i/>
        </w:rPr>
        <w:t>descentralizados</w:t>
      </w:r>
      <w:r>
        <w:rPr>
          <w:rFonts w:ascii="Palatino Linotype" w:hAnsi="Palatino Linotype" w:cs="Arial"/>
          <w:i/>
        </w:rPr>
        <w:t xml:space="preserve"> </w:t>
      </w:r>
      <w:r w:rsidRPr="00F717D6">
        <w:rPr>
          <w:rFonts w:ascii="Palatino Linotype" w:hAnsi="Palatino Linotype" w:cs="Arial"/>
          <w:i/>
        </w:rPr>
        <w:t xml:space="preserve">y entidades que considere necesarias, las que estarán subordinadas al </w:t>
      </w:r>
      <w:proofErr w:type="gramStart"/>
      <w:r w:rsidRPr="00F717D6">
        <w:rPr>
          <w:rFonts w:ascii="Palatino Linotype" w:hAnsi="Palatino Linotype" w:cs="Arial"/>
          <w:i/>
        </w:rPr>
        <w:t>Presidente</w:t>
      </w:r>
      <w:proofErr w:type="gramEnd"/>
      <w:r w:rsidRPr="00F717D6">
        <w:rPr>
          <w:rFonts w:ascii="Palatino Linotype" w:hAnsi="Palatino Linotype" w:cs="Arial"/>
          <w:i/>
        </w:rPr>
        <w:t xml:space="preserve"> o Presidenta Municipal, mismas que a continuación se enlistan:</w:t>
      </w:r>
    </w:p>
    <w:p w14:paraId="56220DA0" w14:textId="77777777" w:rsidR="00A756C6" w:rsidRDefault="00A756C6" w:rsidP="00A756C6">
      <w:pPr>
        <w:spacing w:line="360" w:lineRule="auto"/>
        <w:ind w:left="567" w:right="539"/>
        <w:jc w:val="both"/>
        <w:rPr>
          <w:rFonts w:ascii="Palatino Linotype" w:hAnsi="Palatino Linotype" w:cs="Arial"/>
          <w:i/>
        </w:rPr>
      </w:pPr>
      <w:r>
        <w:rPr>
          <w:rFonts w:ascii="Palatino Linotype" w:hAnsi="Palatino Linotype" w:cs="Arial"/>
          <w:i/>
        </w:rPr>
        <w:t>I al XXIX…</w:t>
      </w:r>
    </w:p>
    <w:p w14:paraId="737188FD" w14:textId="77777777" w:rsidR="00A756C6" w:rsidRDefault="00A756C6" w:rsidP="00A756C6">
      <w:pPr>
        <w:spacing w:line="360" w:lineRule="auto"/>
        <w:ind w:left="567" w:right="539"/>
        <w:jc w:val="both"/>
        <w:rPr>
          <w:rFonts w:ascii="Palatino Linotype" w:hAnsi="Palatino Linotype" w:cs="Arial"/>
          <w:i/>
        </w:rPr>
      </w:pPr>
      <w:r>
        <w:rPr>
          <w:rFonts w:ascii="Palatino Linotype" w:hAnsi="Palatino Linotype" w:cs="Arial"/>
          <w:i/>
        </w:rPr>
        <w:t xml:space="preserve">XXX. </w:t>
      </w:r>
    </w:p>
    <w:p w14:paraId="65A15841" w14:textId="77777777" w:rsidR="00A756C6" w:rsidRDefault="00A756C6" w:rsidP="00A756C6">
      <w:pPr>
        <w:spacing w:line="360" w:lineRule="auto"/>
        <w:ind w:left="567" w:right="539"/>
        <w:jc w:val="both"/>
        <w:rPr>
          <w:rFonts w:ascii="Palatino Linotype" w:hAnsi="Palatino Linotype" w:cs="Arial"/>
          <w:i/>
        </w:rPr>
      </w:pPr>
      <w:r>
        <w:rPr>
          <w:rFonts w:ascii="Palatino Linotype" w:hAnsi="Palatino Linotype" w:cs="Arial"/>
          <w:i/>
        </w:rPr>
        <w:t>a) …</w:t>
      </w:r>
    </w:p>
    <w:p w14:paraId="79C3A9AD" w14:textId="77777777" w:rsidR="00A756C6" w:rsidRPr="00A756C6" w:rsidRDefault="00A756C6" w:rsidP="00A756C6">
      <w:pPr>
        <w:spacing w:line="360" w:lineRule="auto"/>
        <w:ind w:left="567" w:right="539"/>
        <w:jc w:val="both"/>
        <w:rPr>
          <w:rFonts w:ascii="Palatino Linotype" w:hAnsi="Palatino Linotype" w:cs="Arial"/>
          <w:b/>
          <w:bCs/>
          <w:i/>
        </w:rPr>
      </w:pPr>
      <w:r w:rsidRPr="00A756C6">
        <w:rPr>
          <w:rFonts w:ascii="Palatino Linotype" w:hAnsi="Palatino Linotype" w:cs="Arial"/>
          <w:b/>
          <w:bCs/>
          <w:i/>
        </w:rPr>
        <w:t>b). Organismo Público Descentralizado para la Prestación de los Servicios de Agua Potable, Alcantarillado y Saneamiento del Municipio de Lerma.”</w:t>
      </w:r>
    </w:p>
    <w:p w14:paraId="6251398C" w14:textId="77777777" w:rsidR="00A756C6" w:rsidRDefault="00A756C6" w:rsidP="00A756C6">
      <w:pPr>
        <w:spacing w:line="360" w:lineRule="auto"/>
        <w:ind w:left="567" w:right="539"/>
        <w:jc w:val="both"/>
        <w:rPr>
          <w:rFonts w:ascii="Palatino Linotype" w:hAnsi="Palatino Linotype" w:cs="Arial"/>
          <w:i/>
        </w:rPr>
      </w:pPr>
    </w:p>
    <w:p w14:paraId="4537377C" w14:textId="21B79CDE" w:rsidR="00A756C6" w:rsidRDefault="00A756C6" w:rsidP="00A756C6">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Es en este sentido que resulta evidente que un Organismo Público Descentralizado, forma parte del Ayuntamiento y por ello, no cuenta a su vez con descentralizados que deriven de éste.</w:t>
      </w:r>
    </w:p>
    <w:p w14:paraId="611998AF" w14:textId="72585AAC" w:rsidR="00A756C6" w:rsidRDefault="00A756C6" w:rsidP="00A756C6">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Al respecto, el Instituto Nacional de Transparencia, Acceso a la Información Pública y Protección de Datos Personales (INAI), expresó a través de su criterio 02/20 la necesidad de que esta sea declarada por el Comité de Transparencia del Sujeto Obligado, cuando esta no sea notoria y/o expresa, en los siguientes términos:</w:t>
      </w:r>
    </w:p>
    <w:p w14:paraId="2E034FD6" w14:textId="77777777" w:rsidR="00A756C6" w:rsidRDefault="00A756C6" w:rsidP="00A756C6">
      <w:pPr>
        <w:spacing w:line="360" w:lineRule="auto"/>
        <w:ind w:left="567" w:right="539"/>
        <w:jc w:val="both"/>
        <w:rPr>
          <w:rFonts w:ascii="Palatino Linotype" w:hAnsi="Palatino Linotype" w:cs="Arial"/>
          <w:b/>
          <w:bCs/>
          <w:i/>
        </w:rPr>
      </w:pPr>
    </w:p>
    <w:p w14:paraId="501A8B8C" w14:textId="77777777" w:rsidR="00A756C6" w:rsidRPr="00A5280C" w:rsidRDefault="00A756C6" w:rsidP="00A756C6">
      <w:pPr>
        <w:spacing w:line="360" w:lineRule="auto"/>
        <w:ind w:left="567" w:right="539"/>
        <w:jc w:val="both"/>
        <w:rPr>
          <w:rFonts w:ascii="Palatino Linotype" w:hAnsi="Palatino Linotype" w:cs="Arial"/>
          <w:i/>
        </w:rPr>
      </w:pPr>
      <w:r w:rsidRPr="00A5280C">
        <w:rPr>
          <w:rFonts w:ascii="Palatino Linotype" w:hAnsi="Palatino Linotype" w:cs="Arial"/>
          <w:b/>
          <w:bCs/>
          <w:i/>
        </w:rPr>
        <w:t>Declaración de incompetencia por parte del Comité, cuando no sea notoria o manifiesta</w:t>
      </w:r>
      <w:r w:rsidRPr="00A5280C">
        <w:rPr>
          <w:rFonts w:ascii="Palatino Linotype" w:hAnsi="Palatino Linotype" w:cs="Arial"/>
          <w:i/>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  </w:t>
      </w:r>
    </w:p>
    <w:p w14:paraId="25686CA7" w14:textId="77777777" w:rsidR="00A756C6" w:rsidRDefault="00A756C6" w:rsidP="00A756C6">
      <w:pPr>
        <w:spacing w:line="360" w:lineRule="auto"/>
        <w:jc w:val="both"/>
        <w:rPr>
          <w:rFonts w:ascii="Palatino Linotype" w:hAnsi="Palatino Linotype" w:cs="Tahoma"/>
          <w:sz w:val="22"/>
          <w:szCs w:val="22"/>
          <w:lang w:val="es-ES"/>
        </w:rPr>
      </w:pPr>
    </w:p>
    <w:p w14:paraId="321D00A3" w14:textId="272D34FE" w:rsidR="00A756C6" w:rsidRDefault="00A756C6" w:rsidP="00A756C6">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Entonces declarar la incompetencia depende de la notoriedad de esta, así como de la manifestación del Sujeto Obligado, </w:t>
      </w:r>
      <w:r w:rsidR="00AD0453">
        <w:rPr>
          <w:rFonts w:ascii="Palatino Linotype" w:hAnsi="Palatino Linotype" w:cs="Tahoma"/>
          <w:sz w:val="22"/>
          <w:szCs w:val="22"/>
          <w:lang w:val="es-ES"/>
        </w:rPr>
        <w:t xml:space="preserve">este último aspecto, </w:t>
      </w:r>
      <w:r>
        <w:rPr>
          <w:rFonts w:ascii="Palatino Linotype" w:hAnsi="Palatino Linotype" w:cs="Tahoma"/>
          <w:sz w:val="22"/>
          <w:szCs w:val="22"/>
          <w:lang w:val="es-ES"/>
        </w:rPr>
        <w:t>no aconteció en la especie; por su parte el Instituto de Transparencia, Acceso a la Información Pública y Protección de Datos Personales del Estado de México y Municipios, a través de su criterio 01/19, determinó que para que la declaratoria de incompetencia se deba tener por atendida sin la necesidad de declararla ante el Comité de Transparencia es necesario que esta sea determinada y notificada dentro de los tres días siguientes a la fecha de la solicitud, el cual, por rubro y texto lleva el siguiente:</w:t>
      </w:r>
    </w:p>
    <w:p w14:paraId="1DAE2903" w14:textId="77777777" w:rsidR="00A756C6" w:rsidRDefault="00A756C6" w:rsidP="00A756C6">
      <w:pPr>
        <w:spacing w:line="360" w:lineRule="auto"/>
        <w:jc w:val="both"/>
        <w:rPr>
          <w:rFonts w:ascii="Palatino Linotype" w:hAnsi="Palatino Linotype" w:cs="Tahoma"/>
          <w:sz w:val="22"/>
          <w:szCs w:val="22"/>
          <w:lang w:val="es-ES"/>
        </w:rPr>
      </w:pPr>
    </w:p>
    <w:p w14:paraId="3D68099E" w14:textId="77777777" w:rsidR="00A756C6" w:rsidRPr="007B531B" w:rsidRDefault="00A756C6" w:rsidP="00A756C6">
      <w:pPr>
        <w:spacing w:line="360" w:lineRule="auto"/>
        <w:ind w:left="567" w:right="539"/>
        <w:jc w:val="both"/>
        <w:rPr>
          <w:rFonts w:ascii="Palatino Linotype" w:hAnsi="Palatino Linotype" w:cs="Arial"/>
          <w:i/>
        </w:rPr>
      </w:pPr>
      <w:r w:rsidRPr="007B531B">
        <w:rPr>
          <w:rFonts w:ascii="Palatino Linotype" w:hAnsi="Palatino Linotype" w:cs="Arial"/>
          <w:b/>
          <w:bCs/>
          <w:i/>
        </w:rPr>
        <w:t xml:space="preserve">DECLARATORIA DE INCOMPETENCIA DEL SUJETO OBLIGADO. SUPUESTO PARA CONFIRMARLA POR ACUERDO DEL COMITÉ DE TRANSPARENCIA. </w:t>
      </w:r>
      <w:r w:rsidRPr="007B531B">
        <w:rPr>
          <w:rFonts w:ascii="Palatino Linotype" w:hAnsi="Palatino Linotype" w:cs="Arial"/>
          <w:i/>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w:t>
      </w:r>
      <w:r w:rsidRPr="007B531B">
        <w:rPr>
          <w:rFonts w:ascii="Palatino Linotype" w:hAnsi="Palatino Linotype" w:cs="Arial"/>
          <w:i/>
        </w:rPr>
        <w:lastRenderedPageBreak/>
        <w:t>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5B45CEB5" w14:textId="77777777" w:rsidR="00A756C6" w:rsidRDefault="00A756C6" w:rsidP="00A756C6">
      <w:pPr>
        <w:spacing w:line="360" w:lineRule="auto"/>
        <w:jc w:val="both"/>
        <w:rPr>
          <w:rFonts w:ascii="Palatino Linotype" w:hAnsi="Palatino Linotype" w:cs="Tahoma"/>
          <w:sz w:val="22"/>
          <w:szCs w:val="22"/>
        </w:rPr>
      </w:pPr>
    </w:p>
    <w:p w14:paraId="2017ED91" w14:textId="01AA6674" w:rsidR="00A756C6" w:rsidRDefault="00A756C6" w:rsidP="00A756C6">
      <w:pPr>
        <w:spacing w:line="360" w:lineRule="auto"/>
        <w:jc w:val="both"/>
        <w:rPr>
          <w:rFonts w:ascii="Palatino Linotype" w:hAnsi="Palatino Linotype" w:cs="Tahoma"/>
          <w:sz w:val="22"/>
          <w:szCs w:val="22"/>
        </w:rPr>
      </w:pPr>
      <w:r>
        <w:rPr>
          <w:rFonts w:ascii="Palatino Linotype" w:hAnsi="Palatino Linotype" w:cs="Tahoma"/>
          <w:sz w:val="22"/>
          <w:szCs w:val="22"/>
        </w:rPr>
        <w:t>Entonces, se identifica que el Particular ejerció su derecho de acceso a información, el treinta y uno de enero del dos mil veintidós y el Sujeto Obligado, respondió el veintidós de febrero de la misma anualidad</w:t>
      </w:r>
      <w:r w:rsidR="00AD0453">
        <w:rPr>
          <w:rFonts w:ascii="Palatino Linotype" w:hAnsi="Palatino Linotype" w:cs="Tahoma"/>
          <w:sz w:val="22"/>
          <w:szCs w:val="22"/>
        </w:rPr>
        <w:t xml:space="preserve"> y se hace la precisión de que el Sujeto Obligado, no se pronunció</w:t>
      </w:r>
      <w:r>
        <w:rPr>
          <w:rFonts w:ascii="Palatino Linotype" w:hAnsi="Palatino Linotype" w:cs="Tahoma"/>
          <w:sz w:val="22"/>
          <w:szCs w:val="22"/>
        </w:rPr>
        <w:t xml:space="preserve"> sobre su incompetencia, por ello, deberá declarar la incompetencia ante el Comité de Transparencia del Sujeto Obligado.</w:t>
      </w:r>
    </w:p>
    <w:p w14:paraId="35BF8BCC" w14:textId="77777777" w:rsidR="00FB1B59" w:rsidRPr="00AD0453" w:rsidRDefault="00FB1B59" w:rsidP="00AD0453">
      <w:pPr>
        <w:spacing w:line="360" w:lineRule="auto"/>
        <w:jc w:val="both"/>
        <w:rPr>
          <w:rFonts w:ascii="Palatino Linotype" w:hAnsi="Palatino Linotype" w:cs="Tahoma"/>
          <w:sz w:val="22"/>
          <w:szCs w:val="22"/>
        </w:rPr>
      </w:pPr>
    </w:p>
    <w:p w14:paraId="2F8E3D1E" w14:textId="37B4FFA1" w:rsidR="004B20B1" w:rsidRPr="00AD0453" w:rsidRDefault="004B20B1" w:rsidP="00AD0453">
      <w:pPr>
        <w:spacing w:line="360" w:lineRule="auto"/>
        <w:jc w:val="both"/>
        <w:rPr>
          <w:rFonts w:ascii="Palatino Linotype" w:hAnsi="Palatino Linotype" w:cs="Tahoma"/>
          <w:sz w:val="22"/>
          <w:szCs w:val="22"/>
        </w:rPr>
      </w:pPr>
      <w:r w:rsidRPr="00AD0453">
        <w:rPr>
          <w:rFonts w:ascii="Palatino Linotype" w:hAnsi="Palatino Linotype" w:cs="Tahoma"/>
          <w:sz w:val="22"/>
          <w:szCs w:val="22"/>
        </w:rPr>
        <w:t xml:space="preserve">En ese contexto, los artículos 49, fracción II, 53, fracción III y 167 de la Ley de Transparencia y Acceso a la Información Pública del Estado de México, se desprende que las Unidades de Transparencia son responsables de orientar a los particulares respecto de la dependencia, </w:t>
      </w:r>
      <w:r w:rsidRPr="00AD0453">
        <w:rPr>
          <w:rFonts w:ascii="Palatino Linotype" w:hAnsi="Palatino Linotype" w:cs="Tahoma"/>
          <w:sz w:val="22"/>
          <w:szCs w:val="22"/>
        </w:rPr>
        <w:lastRenderedPageBreak/>
        <w:t xml:space="preserve">entidad u órgano que pudiera tener la información requerida, </w:t>
      </w:r>
      <w:r w:rsidRPr="00AD0453">
        <w:rPr>
          <w:rFonts w:ascii="Palatino Linotype" w:hAnsi="Palatino Linotype" w:cs="Tahoma"/>
          <w:b/>
          <w:bCs/>
          <w:sz w:val="22"/>
          <w:szCs w:val="22"/>
        </w:rPr>
        <w:t>cuando la misma no sea competencia del sujeto obligado ante el cual se formule la solicitud de acceso.</w:t>
      </w:r>
    </w:p>
    <w:p w14:paraId="7ECB65A3" w14:textId="77777777" w:rsidR="004B20B1" w:rsidRPr="006E240A" w:rsidRDefault="004B20B1" w:rsidP="004B20B1">
      <w:pPr>
        <w:spacing w:line="360" w:lineRule="auto"/>
        <w:jc w:val="both"/>
        <w:rPr>
          <w:rFonts w:ascii="Palatino Linotype" w:hAnsi="Palatino Linotype" w:cs="Tahoma"/>
          <w:sz w:val="22"/>
          <w:szCs w:val="22"/>
          <w:highlight w:val="yellow"/>
        </w:rPr>
      </w:pPr>
    </w:p>
    <w:p w14:paraId="5C0711D4" w14:textId="77777777" w:rsidR="004B20B1" w:rsidRPr="00AD0453" w:rsidRDefault="004B20B1" w:rsidP="004B20B1">
      <w:pPr>
        <w:spacing w:line="360" w:lineRule="auto"/>
        <w:jc w:val="both"/>
        <w:rPr>
          <w:rFonts w:ascii="Palatino Linotype" w:hAnsi="Palatino Linotype" w:cs="Tahoma"/>
          <w:sz w:val="22"/>
          <w:szCs w:val="22"/>
        </w:rPr>
      </w:pPr>
      <w:r w:rsidRPr="00AD0453">
        <w:rPr>
          <w:rFonts w:ascii="Palatino Linotype" w:hAnsi="Palatino Linotype" w:cs="Tahoma"/>
          <w:sz w:val="22"/>
          <w:szCs w:val="22"/>
        </w:rPr>
        <w:t xml:space="preserve">Asimismo, que los Comités de Transparencia tienen entre sus atribuciones confirmar, modificar o revocar la </w:t>
      </w:r>
      <w:r w:rsidRPr="00AD0453">
        <w:rPr>
          <w:rFonts w:ascii="Palatino Linotype" w:hAnsi="Palatino Linotype" w:cs="Tahoma"/>
          <w:b/>
          <w:bCs/>
          <w:sz w:val="22"/>
          <w:szCs w:val="22"/>
        </w:rPr>
        <w:t>declaración de incompetencia</w:t>
      </w:r>
      <w:r w:rsidRPr="00AD0453">
        <w:rPr>
          <w:rFonts w:ascii="Palatino Linotype" w:hAnsi="Palatino Linotype" w:cs="Tahoma"/>
          <w:sz w:val="22"/>
          <w:szCs w:val="22"/>
        </w:rPr>
        <w:t xml:space="preserve"> que realicen los titulares de las unidades administrativas.</w:t>
      </w:r>
    </w:p>
    <w:p w14:paraId="1643D659" w14:textId="77777777" w:rsidR="004B20B1" w:rsidRPr="00AD0453" w:rsidRDefault="004B20B1" w:rsidP="00AD0453">
      <w:pPr>
        <w:spacing w:line="360" w:lineRule="auto"/>
        <w:jc w:val="both"/>
        <w:rPr>
          <w:rFonts w:ascii="Palatino Linotype" w:hAnsi="Palatino Linotype" w:cs="Tahoma"/>
          <w:sz w:val="22"/>
          <w:szCs w:val="22"/>
        </w:rPr>
      </w:pPr>
    </w:p>
    <w:p w14:paraId="4382D020" w14:textId="77777777" w:rsidR="004B20B1" w:rsidRPr="00E269CA" w:rsidRDefault="004B20B1" w:rsidP="004B20B1">
      <w:pPr>
        <w:spacing w:line="360" w:lineRule="auto"/>
        <w:jc w:val="both"/>
        <w:rPr>
          <w:rFonts w:ascii="Palatino Linotype" w:hAnsi="Palatino Linotype" w:cs="Arial"/>
          <w:bCs/>
          <w:sz w:val="22"/>
          <w:szCs w:val="22"/>
        </w:rPr>
      </w:pPr>
      <w:r w:rsidRPr="00AD0453">
        <w:rPr>
          <w:rFonts w:ascii="Palatino Linotype" w:hAnsi="Palatino Linotype" w:cs="Tahoma"/>
          <w:sz w:val="22"/>
          <w:szCs w:val="22"/>
        </w:rPr>
        <w:t>Como se logra observar, si bien la Ley de</w:t>
      </w:r>
      <w:r w:rsidRPr="00E269CA">
        <w:rPr>
          <w:rFonts w:ascii="Palatino Linotype" w:hAnsi="Palatino Linotype" w:cs="Tahoma"/>
          <w:sz w:val="22"/>
          <w:szCs w:val="22"/>
        </w:rPr>
        <w:t xml:space="preserve"> la materia, prevé el supuesto de incompetencia para que los sujetos obligados den atención a solitudes de información, también lo es, que no se precisa en que consiste dicho concepto; al respecto</w:t>
      </w:r>
      <w:r w:rsidRPr="00AD0453">
        <w:rPr>
          <w:rFonts w:ascii="Palatino Linotype" w:hAnsi="Palatino Linotype" w:cs="Tahoma"/>
          <w:sz w:val="22"/>
          <w:szCs w:val="22"/>
        </w:rPr>
        <w:t>, según Cabanellas,</w:t>
      </w:r>
      <w:r w:rsidRPr="00E269CA">
        <w:rPr>
          <w:rFonts w:ascii="Palatino Linotype" w:hAnsi="Palatino Linotype" w:cs="Arial"/>
          <w:bCs/>
          <w:sz w:val="22"/>
          <w:szCs w:val="22"/>
        </w:rPr>
        <w:t xml:space="preserve"> Guillermo (1993), en el “Diccionario Jurídico Elemental” (p. 32 y 161), precisó los siguientes conceptos:</w:t>
      </w:r>
    </w:p>
    <w:p w14:paraId="0C773385" w14:textId="77777777" w:rsidR="004B20B1" w:rsidRPr="00E269CA" w:rsidRDefault="004B20B1" w:rsidP="004B20B1">
      <w:pPr>
        <w:spacing w:line="360" w:lineRule="auto"/>
        <w:jc w:val="both"/>
        <w:rPr>
          <w:rFonts w:ascii="Palatino Linotype" w:hAnsi="Palatino Linotype" w:cs="Arial"/>
          <w:bCs/>
          <w:sz w:val="22"/>
          <w:szCs w:val="22"/>
        </w:rPr>
      </w:pPr>
    </w:p>
    <w:p w14:paraId="54002B44" w14:textId="77777777" w:rsidR="004B20B1" w:rsidRPr="00E269CA" w:rsidRDefault="004B20B1" w:rsidP="004B20B1">
      <w:pPr>
        <w:numPr>
          <w:ilvl w:val="0"/>
          <w:numId w:val="24"/>
        </w:numPr>
        <w:spacing w:line="360" w:lineRule="auto"/>
        <w:contextualSpacing/>
        <w:jc w:val="both"/>
        <w:rPr>
          <w:rFonts w:ascii="Palatino Linotype" w:hAnsi="Palatino Linotype" w:cs="Arial"/>
          <w:bCs/>
          <w:sz w:val="22"/>
          <w:szCs w:val="22"/>
        </w:rPr>
      </w:pPr>
      <w:r w:rsidRPr="00E269CA">
        <w:rPr>
          <w:rFonts w:ascii="Palatino Linotype" w:hAnsi="Palatino Linotype" w:cs="Arial"/>
          <w:b/>
          <w:bCs/>
          <w:sz w:val="22"/>
          <w:szCs w:val="22"/>
        </w:rPr>
        <w:t xml:space="preserve">Competencia: </w:t>
      </w:r>
      <w:r w:rsidRPr="00E269CA">
        <w:rPr>
          <w:rFonts w:ascii="Palatino Linotype" w:hAnsi="Palatino Linotype" w:cs="Arial"/>
          <w:bCs/>
          <w:sz w:val="22"/>
          <w:szCs w:val="22"/>
        </w:rPr>
        <w:t>La capacidad de una autoridad para conocer sobre una materia o asunto.</w:t>
      </w:r>
    </w:p>
    <w:p w14:paraId="2588A127" w14:textId="77777777" w:rsidR="004B20B1" w:rsidRPr="00E269CA" w:rsidRDefault="004B20B1" w:rsidP="004B20B1">
      <w:pPr>
        <w:numPr>
          <w:ilvl w:val="0"/>
          <w:numId w:val="24"/>
        </w:numPr>
        <w:spacing w:line="360" w:lineRule="auto"/>
        <w:contextualSpacing/>
        <w:jc w:val="both"/>
        <w:rPr>
          <w:rFonts w:ascii="Palatino Linotype" w:hAnsi="Palatino Linotype" w:cs="Arial"/>
          <w:bCs/>
          <w:sz w:val="22"/>
          <w:szCs w:val="22"/>
        </w:rPr>
      </w:pPr>
      <w:r w:rsidRPr="00E269CA">
        <w:rPr>
          <w:rFonts w:ascii="Palatino Linotype" w:hAnsi="Palatino Linotype" w:cs="Arial"/>
          <w:b/>
          <w:bCs/>
          <w:sz w:val="22"/>
          <w:szCs w:val="22"/>
        </w:rPr>
        <w:t>Incompetencia:</w:t>
      </w:r>
      <w:r w:rsidRPr="00E269CA">
        <w:rPr>
          <w:rFonts w:ascii="Palatino Linotype" w:hAnsi="Palatino Linotype" w:cs="Arial"/>
          <w:bCs/>
          <w:sz w:val="22"/>
          <w:szCs w:val="22"/>
        </w:rPr>
        <w:t xml:space="preserve"> Falta de Competencia.</w:t>
      </w:r>
    </w:p>
    <w:p w14:paraId="059B19A8" w14:textId="77777777" w:rsidR="004B20B1" w:rsidRPr="00E269CA" w:rsidRDefault="004B20B1" w:rsidP="004B20B1">
      <w:pPr>
        <w:spacing w:line="360" w:lineRule="auto"/>
        <w:jc w:val="both"/>
        <w:rPr>
          <w:rFonts w:ascii="Palatino Linotype" w:hAnsi="Palatino Linotype" w:cs="Arial"/>
          <w:sz w:val="22"/>
          <w:szCs w:val="22"/>
        </w:rPr>
      </w:pPr>
    </w:p>
    <w:p w14:paraId="2A33F642" w14:textId="77777777" w:rsidR="004B20B1" w:rsidRPr="00E269CA" w:rsidRDefault="004B20B1" w:rsidP="004B20B1">
      <w:pPr>
        <w:spacing w:line="360" w:lineRule="auto"/>
        <w:jc w:val="both"/>
        <w:rPr>
          <w:rFonts w:ascii="Palatino Linotype" w:hAnsi="Palatino Linotype" w:cs="Tahoma"/>
          <w:sz w:val="22"/>
          <w:szCs w:val="22"/>
        </w:rPr>
      </w:pPr>
      <w:r w:rsidRPr="00E269CA">
        <w:rPr>
          <w:rFonts w:ascii="Palatino Linotype" w:hAnsi="Palatino Linotype" w:cs="Tahoma"/>
          <w:sz w:val="22"/>
          <w:szCs w:val="22"/>
          <w:lang w:val="es-ES_tradnl"/>
        </w:rPr>
        <w:t xml:space="preserve">Por lo que, </w:t>
      </w:r>
      <w:r w:rsidRPr="00E269CA">
        <w:rPr>
          <w:rFonts w:ascii="Palatino Linotype" w:hAnsi="Palatino Linotype" w:cs="Tahoma"/>
          <w:b/>
          <w:sz w:val="22"/>
          <w:szCs w:val="22"/>
          <w:lang w:val="es-ES_tradnl"/>
        </w:rPr>
        <w:t>la incompetencia</w:t>
      </w:r>
      <w:r w:rsidRPr="00E269CA">
        <w:rPr>
          <w:rFonts w:ascii="Palatino Linotype" w:hAnsi="Palatino Linotype" w:cs="Tahoma"/>
          <w:sz w:val="22"/>
          <w:szCs w:val="22"/>
          <w:lang w:val="es-ES_tradnl"/>
        </w:rPr>
        <w:t>, radica en la incapacidad de una autoridad para conocer de un tema o asunto; en el mismo sentido, conviene traer a cuenta tesis</w:t>
      </w:r>
      <w:r w:rsidRPr="00E269CA">
        <w:rPr>
          <w:rFonts w:ascii="Palatino Linotype" w:hAnsi="Palatino Linotype" w:cs="Tahoma"/>
          <w:sz w:val="22"/>
          <w:szCs w:val="22"/>
        </w:rPr>
        <w:t xml:space="preserve"> aislada número III.2o.P.11 K, publicada en el Semanario Judicial de la Federación y su Gaceta, Novena Época, Tomo XV, </w:t>
      </w:r>
      <w:proofErr w:type="gramStart"/>
      <w:r w:rsidRPr="00E269CA">
        <w:rPr>
          <w:rFonts w:ascii="Palatino Linotype" w:hAnsi="Palatino Linotype" w:cs="Tahoma"/>
          <w:sz w:val="22"/>
          <w:szCs w:val="22"/>
        </w:rPr>
        <w:t>Mayo</w:t>
      </w:r>
      <w:proofErr w:type="gramEnd"/>
      <w:r w:rsidRPr="00E269CA">
        <w:rPr>
          <w:rFonts w:ascii="Palatino Linotype" w:hAnsi="Palatino Linotype" w:cs="Tahoma"/>
          <w:sz w:val="22"/>
          <w:szCs w:val="22"/>
        </w:rPr>
        <w:t xml:space="preserve"> de 2002, Pág. 1243, ya que precisa lo siguiente: </w:t>
      </w:r>
    </w:p>
    <w:p w14:paraId="267B0C9B" w14:textId="77777777" w:rsidR="004B20B1" w:rsidRPr="00E269CA" w:rsidRDefault="004B20B1" w:rsidP="004B20B1">
      <w:pPr>
        <w:spacing w:line="360" w:lineRule="auto"/>
        <w:jc w:val="both"/>
        <w:rPr>
          <w:rFonts w:ascii="Palatino Linotype" w:hAnsi="Palatino Linotype" w:cs="Tahoma"/>
          <w:sz w:val="22"/>
          <w:szCs w:val="22"/>
          <w:lang w:val="es-ES_tradnl"/>
        </w:rPr>
      </w:pPr>
    </w:p>
    <w:p w14:paraId="599F6CD9" w14:textId="77777777" w:rsidR="004B20B1" w:rsidRPr="00E269CA" w:rsidRDefault="004B20B1" w:rsidP="004B20B1">
      <w:pPr>
        <w:spacing w:line="360" w:lineRule="auto"/>
        <w:ind w:left="567" w:right="567"/>
        <w:jc w:val="both"/>
        <w:rPr>
          <w:rFonts w:ascii="Palatino Linotype" w:hAnsi="Palatino Linotype" w:cs="Tahoma"/>
          <w:i/>
          <w:lang w:val="es-ES_tradnl"/>
        </w:rPr>
      </w:pPr>
      <w:r w:rsidRPr="00E269CA">
        <w:rPr>
          <w:rFonts w:ascii="Palatino Linotype" w:hAnsi="Palatino Linotype" w:cs="Tahoma"/>
          <w:b/>
          <w:bCs/>
          <w:i/>
          <w:lang w:val="es-ES_tradnl"/>
        </w:rPr>
        <w:t xml:space="preserve">LEGITIMACIÓN DE FUNCIONARIOS PÚBLICOS. LOS TRIBUNALES DE AMPARO, POR ESTAR VINCULADOS CON EL CONCEPTO DE COMPETENCIA A QUE SE REFIERE EL ARTÍCULO 16 CONSTITUCIONAL, NO PUEDEN CONOCER DE AQUÉLLA. </w:t>
      </w:r>
      <w:r w:rsidRPr="00E269CA">
        <w:rPr>
          <w:rFonts w:ascii="Palatino Linotype" w:hAnsi="Palatino Linotype" w:cs="Tahoma"/>
          <w:i/>
          <w:lang w:val="es-ES_tradnl"/>
        </w:rPr>
        <w:t>El artículo </w:t>
      </w:r>
      <w:hyperlink r:id="rId20" w:history="1">
        <w:r w:rsidRPr="00E269CA">
          <w:rPr>
            <w:rFonts w:ascii="Palatino Linotype" w:hAnsi="Palatino Linotype" w:cs="Tahoma"/>
            <w:i/>
            <w:color w:val="0563C1" w:themeColor="hyperlink"/>
            <w:u w:val="single"/>
            <w:lang w:val="es-ES_tradnl"/>
          </w:rPr>
          <w:t>16 constitucional</w:t>
        </w:r>
      </w:hyperlink>
      <w:r w:rsidRPr="00E269CA">
        <w:rPr>
          <w:rFonts w:ascii="Palatino Linotype" w:hAnsi="Palatino Linotype" w:cs="Tahoma"/>
          <w:i/>
          <w:lang w:val="es-ES_tradnl"/>
        </w:rPr>
        <w:t xml:space="preserve"> se refiere a la competencia que tienen las autoridades para </w:t>
      </w:r>
      <w:r w:rsidRPr="00E269CA">
        <w:rPr>
          <w:rFonts w:ascii="Palatino Linotype" w:hAnsi="Palatino Linotype" w:cs="Tahoma"/>
          <w:i/>
          <w:lang w:val="es-ES_tradnl"/>
        </w:rPr>
        <w:lastRenderedPageBreak/>
        <w:t xml:space="preserve">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w:t>
      </w:r>
      <w:r>
        <w:rPr>
          <w:rFonts w:ascii="Palatino Linotype" w:hAnsi="Palatino Linotype" w:cs="Tahoma"/>
          <w:i/>
          <w:lang w:val="es-ES_tradnl"/>
        </w:rPr>
        <w:t>la organización administrativa.</w:t>
      </w:r>
    </w:p>
    <w:p w14:paraId="541FB92A" w14:textId="77777777" w:rsidR="004B20B1" w:rsidRPr="00E269CA" w:rsidRDefault="004B20B1" w:rsidP="004B20B1">
      <w:pPr>
        <w:spacing w:line="360" w:lineRule="auto"/>
        <w:jc w:val="both"/>
        <w:rPr>
          <w:rFonts w:ascii="Palatino Linotype" w:hAnsi="Palatino Linotype" w:cs="Tahoma"/>
          <w:sz w:val="22"/>
          <w:szCs w:val="22"/>
          <w:lang w:val="es-ES_tradnl"/>
        </w:rPr>
      </w:pPr>
    </w:p>
    <w:p w14:paraId="600F7585" w14:textId="77777777" w:rsidR="004B20B1" w:rsidRPr="00E269CA" w:rsidRDefault="004B20B1" w:rsidP="004B20B1">
      <w:pPr>
        <w:spacing w:line="360" w:lineRule="auto"/>
        <w:jc w:val="both"/>
        <w:rPr>
          <w:rFonts w:ascii="Palatino Linotype" w:hAnsi="Palatino Linotype" w:cs="Tahoma"/>
          <w:sz w:val="22"/>
          <w:szCs w:val="22"/>
        </w:rPr>
      </w:pPr>
      <w:r w:rsidRPr="00E269CA">
        <w:rPr>
          <w:rFonts w:ascii="Palatino Linotype" w:hAnsi="Palatino Linotype" w:cs="Tahoma"/>
          <w:sz w:val="22"/>
          <w:szCs w:val="22"/>
          <w:lang w:val="es-ES_tradnl"/>
        </w:rPr>
        <w:t xml:space="preserve">Asimismo, resulta necesario traer a colación, el </w:t>
      </w:r>
      <w:r w:rsidRPr="00E269CA">
        <w:rPr>
          <w:rFonts w:ascii="Palatino Linotype" w:hAnsi="Palatino Linotype" w:cs="Tahoma"/>
          <w:sz w:val="22"/>
          <w:szCs w:val="22"/>
          <w:lang w:val="es-ES"/>
        </w:rPr>
        <w:t xml:space="preserve">Criterio 13/17, </w:t>
      </w:r>
      <w:r w:rsidRPr="00E269CA">
        <w:rPr>
          <w:rFonts w:ascii="Palatino Linotype" w:hAnsi="Palatino Linotype" w:cs="Tahoma"/>
          <w:sz w:val="22"/>
          <w:szCs w:val="22"/>
        </w:rPr>
        <w:t xml:space="preserve">emitido por el Instituto Nacional de Transparencia, Acceso a la Información y Protección de Datos Personales, que dispone lo siguiente: </w:t>
      </w:r>
    </w:p>
    <w:p w14:paraId="4C1C536C" w14:textId="77777777" w:rsidR="004B20B1" w:rsidRPr="00E269CA" w:rsidRDefault="004B20B1" w:rsidP="004B20B1">
      <w:pPr>
        <w:spacing w:line="360" w:lineRule="auto"/>
        <w:jc w:val="both"/>
        <w:rPr>
          <w:rFonts w:ascii="Palatino Linotype" w:hAnsi="Palatino Linotype" w:cs="Tahoma"/>
          <w:sz w:val="22"/>
          <w:szCs w:val="22"/>
        </w:rPr>
      </w:pPr>
    </w:p>
    <w:p w14:paraId="75B9237C" w14:textId="77777777" w:rsidR="004B20B1" w:rsidRPr="00E269CA" w:rsidRDefault="004B20B1" w:rsidP="004B20B1">
      <w:pPr>
        <w:spacing w:line="360" w:lineRule="auto"/>
        <w:ind w:left="567" w:right="567"/>
        <w:jc w:val="both"/>
        <w:rPr>
          <w:rFonts w:ascii="Palatino Linotype" w:hAnsi="Palatino Linotype" w:cs="Tahoma"/>
          <w:i/>
        </w:rPr>
      </w:pPr>
      <w:r w:rsidRPr="00E269CA">
        <w:rPr>
          <w:rFonts w:ascii="Palatino Linotype" w:hAnsi="Palatino Linotype" w:cs="Tahoma"/>
          <w:b/>
          <w:bCs/>
          <w:i/>
        </w:rPr>
        <w:t xml:space="preserve">Incompetencia. </w:t>
      </w:r>
      <w:r w:rsidRPr="00E269CA">
        <w:rPr>
          <w:rFonts w:ascii="Palatino Linotype" w:hAnsi="Palatino Linotype" w:cs="Tahoma"/>
          <w:i/>
        </w:rPr>
        <w:t xml:space="preserve">La incompetencia implica la ausencia de atribuciones del sujeto obligado para poseer la información solicitada; es decir, se trata de una cuestión de derecho, en tanto que no existan facultades para contar con lo requerido; por lo que la incompetencia es una cualidad atribuida al </w:t>
      </w:r>
      <w:r>
        <w:rPr>
          <w:rFonts w:ascii="Palatino Linotype" w:hAnsi="Palatino Linotype" w:cs="Tahoma"/>
          <w:i/>
        </w:rPr>
        <w:t>sujeto obligado que la declara.</w:t>
      </w:r>
    </w:p>
    <w:p w14:paraId="5A93304D" w14:textId="77777777" w:rsidR="004B20B1" w:rsidRPr="00E269CA" w:rsidRDefault="004B20B1" w:rsidP="004B20B1">
      <w:pPr>
        <w:spacing w:line="360" w:lineRule="auto"/>
        <w:jc w:val="both"/>
        <w:rPr>
          <w:rFonts w:ascii="Palatino Linotype" w:hAnsi="Palatino Linotype" w:cs="Tahoma"/>
          <w:sz w:val="22"/>
          <w:szCs w:val="22"/>
          <w:lang w:val="es-ES_tradnl"/>
        </w:rPr>
      </w:pPr>
    </w:p>
    <w:p w14:paraId="5BB0D54F" w14:textId="2E4F9ECB" w:rsidR="004B20B1" w:rsidRPr="00E269CA" w:rsidRDefault="004B20B1" w:rsidP="004B20B1">
      <w:pPr>
        <w:spacing w:line="360" w:lineRule="auto"/>
        <w:jc w:val="both"/>
        <w:rPr>
          <w:rFonts w:ascii="Palatino Linotype" w:hAnsi="Palatino Linotype" w:cs="Tahoma"/>
          <w:sz w:val="22"/>
          <w:szCs w:val="22"/>
          <w:lang w:val="es-ES_tradnl"/>
        </w:rPr>
      </w:pPr>
      <w:r w:rsidRPr="00E269CA">
        <w:rPr>
          <w:rFonts w:ascii="Palatino Linotype" w:hAnsi="Palatino Linotype" w:cs="Tahoma"/>
          <w:sz w:val="22"/>
          <w:szCs w:val="22"/>
          <w:lang w:val="es-ES_tradnl"/>
        </w:rPr>
        <w:t xml:space="preserve">En tal virtud, la </w:t>
      </w:r>
      <w:r w:rsidRPr="00E269CA">
        <w:rPr>
          <w:rFonts w:ascii="Palatino Linotype" w:hAnsi="Palatino Linotype" w:cs="Tahoma"/>
          <w:b/>
          <w:sz w:val="22"/>
          <w:szCs w:val="22"/>
          <w:lang w:val="es-ES_tradnl"/>
        </w:rPr>
        <w:t xml:space="preserve">incompetencia </w:t>
      </w:r>
      <w:r w:rsidRPr="00E269CA">
        <w:rPr>
          <w:rFonts w:ascii="Palatino Linotype" w:hAnsi="Palatino Linotype" w:cs="Tahoma"/>
          <w:sz w:val="22"/>
          <w:szCs w:val="22"/>
          <w:lang w:val="es-ES_tradnl"/>
        </w:rPr>
        <w:t xml:space="preserve">implica </w:t>
      </w:r>
      <w:r w:rsidR="00FB1B59" w:rsidRPr="00E269CA">
        <w:rPr>
          <w:rFonts w:ascii="Palatino Linotype" w:hAnsi="Palatino Linotype" w:cs="Tahoma"/>
          <w:sz w:val="22"/>
          <w:szCs w:val="22"/>
          <w:lang w:val="es-ES_tradnl"/>
        </w:rPr>
        <w:t>que,</w:t>
      </w:r>
      <w:r w:rsidRPr="00E269CA">
        <w:rPr>
          <w:rFonts w:ascii="Palatino Linotype" w:hAnsi="Palatino Linotype" w:cs="Tahoma"/>
          <w:sz w:val="22"/>
          <w:szCs w:val="22"/>
          <w:lang w:val="es-ES_tradnl"/>
        </w:rPr>
        <w:t xml:space="preserve"> de conformidad con las atribuciones conferidas al sujeto obligado, no habría razón por la cual éste deba contar con la información solicitada, en cuyo caso, tendría que orientar al particular para que acuda a la instancia competente.</w:t>
      </w:r>
    </w:p>
    <w:p w14:paraId="29F421A6" w14:textId="77777777" w:rsidR="004B20B1" w:rsidRDefault="004B20B1" w:rsidP="004B20B1">
      <w:pPr>
        <w:spacing w:line="360" w:lineRule="auto"/>
        <w:jc w:val="both"/>
        <w:rPr>
          <w:rFonts w:ascii="Palatino Linotype" w:hAnsi="Palatino Linotype" w:cs="Tahoma"/>
          <w:sz w:val="22"/>
          <w:szCs w:val="22"/>
          <w:lang w:val="es-ES_tradnl"/>
        </w:rPr>
      </w:pPr>
    </w:p>
    <w:p w14:paraId="15BBB101" w14:textId="77777777" w:rsidR="004B20B1" w:rsidRDefault="004B20B1" w:rsidP="004B20B1">
      <w:pPr>
        <w:spacing w:line="360" w:lineRule="auto"/>
        <w:jc w:val="both"/>
        <w:rPr>
          <w:rFonts w:ascii="Palatino Linotype" w:hAnsi="Palatino Linotype" w:cs="Tahoma"/>
          <w:sz w:val="22"/>
          <w:szCs w:val="22"/>
        </w:rPr>
      </w:pPr>
      <w:r>
        <w:rPr>
          <w:rFonts w:ascii="Palatino Linotype" w:hAnsi="Palatino Linotype" w:cs="Tahoma"/>
          <w:sz w:val="22"/>
          <w:szCs w:val="22"/>
          <w:lang w:val="es-ES_tradnl"/>
        </w:rPr>
        <w:t xml:space="preserve">Por lo que, es pertinente que el Sujeto Obligado entregue la declaratoria de incompetencia emitida por el Comité de Transparencia de conformidad con los </w:t>
      </w:r>
      <w:r w:rsidRPr="00E269CA">
        <w:rPr>
          <w:rFonts w:ascii="Palatino Linotype" w:hAnsi="Palatino Linotype" w:cs="Tahoma"/>
          <w:sz w:val="22"/>
          <w:szCs w:val="22"/>
        </w:rPr>
        <w:t xml:space="preserve">artículos 49, fracción II, 53, </w:t>
      </w:r>
      <w:r w:rsidRPr="00E269CA">
        <w:rPr>
          <w:rFonts w:ascii="Palatino Linotype" w:hAnsi="Palatino Linotype" w:cs="Tahoma"/>
          <w:sz w:val="22"/>
          <w:szCs w:val="22"/>
        </w:rPr>
        <w:lastRenderedPageBreak/>
        <w:t>fracción III y 167 de la Ley de Transparencia y Acceso a la Información Pública del Estado de México</w:t>
      </w:r>
      <w:r>
        <w:rPr>
          <w:rFonts w:ascii="Palatino Linotype" w:hAnsi="Palatino Linotype" w:cs="Tahoma"/>
          <w:sz w:val="22"/>
          <w:szCs w:val="22"/>
        </w:rPr>
        <w:t>.</w:t>
      </w:r>
    </w:p>
    <w:p w14:paraId="5C8222B7" w14:textId="77777777" w:rsidR="004B20B1" w:rsidRDefault="004B20B1" w:rsidP="00A511BB">
      <w:pPr>
        <w:spacing w:line="360" w:lineRule="auto"/>
        <w:jc w:val="both"/>
        <w:rPr>
          <w:rFonts w:ascii="Palatino Linotype" w:hAnsi="Palatino Linotype" w:cs="Tahoma"/>
          <w:sz w:val="22"/>
          <w:szCs w:val="22"/>
          <w:lang w:val="es-ES"/>
        </w:rPr>
      </w:pPr>
    </w:p>
    <w:p w14:paraId="077ABEE5" w14:textId="77777777" w:rsidR="00DA6417" w:rsidRPr="00DA6417" w:rsidRDefault="00DA6417" w:rsidP="00DA6417">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Finalmente, respecto del </w:t>
      </w:r>
      <w:r w:rsidRPr="00DA6417">
        <w:rPr>
          <w:rFonts w:ascii="Palatino Linotype" w:hAnsi="Palatino Linotype" w:cs="Tahoma"/>
          <w:b/>
          <w:sz w:val="22"/>
          <w:szCs w:val="22"/>
          <w:lang w:val="es-ES"/>
        </w:rPr>
        <w:t>punto 6</w:t>
      </w:r>
      <w:r w:rsidRPr="00DA6417">
        <w:rPr>
          <w:rFonts w:ascii="Palatino Linotype" w:hAnsi="Palatino Linotype" w:cs="Tahoma"/>
          <w:sz w:val="22"/>
          <w:szCs w:val="22"/>
          <w:lang w:val="es-ES"/>
        </w:rPr>
        <w:t xml:space="preserve">, de la lectura del mismo, se acredita que el Recurrente </w:t>
      </w:r>
      <w:r w:rsidR="00A70C49">
        <w:rPr>
          <w:rFonts w:ascii="Palatino Linotype" w:hAnsi="Palatino Linotype" w:cs="Tahoma"/>
          <w:sz w:val="22"/>
          <w:szCs w:val="22"/>
          <w:lang w:val="es-ES"/>
        </w:rPr>
        <w:t>solicita</w:t>
      </w:r>
      <w:r w:rsidRPr="00DA6417">
        <w:rPr>
          <w:rFonts w:ascii="Palatino Linotype" w:hAnsi="Palatino Linotype" w:cs="Tahoma"/>
          <w:sz w:val="22"/>
          <w:szCs w:val="22"/>
          <w:lang w:val="es-ES"/>
        </w:rPr>
        <w:t xml:space="preserve"> al Sujeto Obligado realice un procesamiento de información, a efecto de poder comprobarse que los servidores públicos no están siendo afectados por errores en el cálculo de impuestos, por lo que a manera de muestra calculen los impuestos anuales de los años 2017, 2018, 2019 y 2020, una vez hecho el procesamiento de la información, deberá realizar un documento de tipo específico que la contenga desagregada conforme a los apartados señalados.</w:t>
      </w:r>
    </w:p>
    <w:p w14:paraId="0AFA06B3" w14:textId="77777777" w:rsidR="00DA6417" w:rsidRPr="00DA6417" w:rsidRDefault="00DA6417" w:rsidP="00DA6417">
      <w:pPr>
        <w:spacing w:line="360" w:lineRule="auto"/>
        <w:jc w:val="both"/>
        <w:rPr>
          <w:rFonts w:ascii="Palatino Linotype" w:hAnsi="Palatino Linotype" w:cs="Tahoma"/>
          <w:sz w:val="22"/>
          <w:szCs w:val="22"/>
          <w:lang w:val="es-ES"/>
        </w:rPr>
      </w:pPr>
    </w:p>
    <w:p w14:paraId="34DFBAA6" w14:textId="77777777" w:rsidR="00DA6417" w:rsidRDefault="00DA6417" w:rsidP="00DA6417">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en el estado que se encuentra y no hacer un procesamiento de la misma, ni presentarla conforme al interés del solicitante; como así lo establece el artículo 12 de la Ley de Transparencia y Acceso a la Información Pública del Estado </w:t>
      </w:r>
      <w:r>
        <w:rPr>
          <w:rFonts w:ascii="Palatino Linotype" w:hAnsi="Palatino Linotype" w:cs="Tahoma"/>
          <w:sz w:val="22"/>
          <w:szCs w:val="22"/>
          <w:lang w:val="es-ES"/>
        </w:rPr>
        <w:t>de México y Municipios.</w:t>
      </w:r>
    </w:p>
    <w:p w14:paraId="06083FEF" w14:textId="77777777" w:rsidR="00DA6417" w:rsidRDefault="00DA6417" w:rsidP="00A511BB">
      <w:pPr>
        <w:spacing w:line="360" w:lineRule="auto"/>
        <w:jc w:val="both"/>
        <w:rPr>
          <w:rFonts w:ascii="Palatino Linotype" w:hAnsi="Palatino Linotype" w:cs="Tahoma"/>
          <w:sz w:val="22"/>
          <w:szCs w:val="22"/>
          <w:lang w:val="es-ES"/>
        </w:rPr>
      </w:pPr>
    </w:p>
    <w:p w14:paraId="05896E32" w14:textId="77777777" w:rsidR="00DA6417" w:rsidRDefault="007A26F3" w:rsidP="00A511BB">
      <w:pPr>
        <w:spacing w:line="360" w:lineRule="auto"/>
        <w:jc w:val="both"/>
        <w:rPr>
          <w:rFonts w:ascii="Palatino Linotype" w:hAnsi="Palatino Linotype" w:cs="Tahoma"/>
          <w:sz w:val="22"/>
          <w:szCs w:val="22"/>
          <w:lang w:val="es-ES"/>
        </w:rPr>
      </w:pPr>
      <w:r w:rsidRPr="007A26F3">
        <w:rPr>
          <w:rFonts w:ascii="Palatino Linotype" w:hAnsi="Palatino Linotype" w:cs="Tahoma"/>
          <w:sz w:val="22"/>
          <w:szCs w:val="22"/>
          <w:lang w:val="es-ES"/>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04553AC0" w14:textId="77777777" w:rsidR="00DA6417" w:rsidRDefault="00DA6417" w:rsidP="00A511BB">
      <w:pPr>
        <w:spacing w:line="360" w:lineRule="auto"/>
        <w:jc w:val="both"/>
        <w:rPr>
          <w:rFonts w:ascii="Palatino Linotype" w:hAnsi="Palatino Linotype" w:cs="Tahoma"/>
          <w:sz w:val="22"/>
          <w:szCs w:val="22"/>
          <w:lang w:val="es-ES"/>
        </w:rPr>
      </w:pPr>
    </w:p>
    <w:p w14:paraId="54BB8F45" w14:textId="77777777" w:rsidR="007A26F3" w:rsidRPr="00401946" w:rsidRDefault="007A26F3" w:rsidP="007A26F3">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bCs/>
          <w:sz w:val="22"/>
          <w:szCs w:val="22"/>
          <w:lang w:eastAsia="en-US"/>
        </w:rPr>
        <w:t>De</w:t>
      </w:r>
      <w:r w:rsidRPr="00401946">
        <w:rPr>
          <w:rFonts w:ascii="Palatino Linotype" w:eastAsia="Calibri" w:hAnsi="Palatino Linotype" w:cs="Tahoma"/>
          <w:iCs/>
          <w:sz w:val="22"/>
          <w:szCs w:val="22"/>
          <w:lang w:val="es-ES" w:eastAsia="es-ES_tradnl"/>
        </w:rPr>
        <w:t xml:space="preserve"> tales circunstancias</w:t>
      </w:r>
      <w:r>
        <w:rPr>
          <w:rFonts w:ascii="Palatino Linotype" w:eastAsia="Calibri" w:hAnsi="Palatino Linotype" w:cs="Tahoma"/>
          <w:iCs/>
          <w:sz w:val="22"/>
          <w:szCs w:val="22"/>
          <w:lang w:val="es-ES" w:eastAsia="es-ES_tradnl"/>
        </w:rPr>
        <w:t>,</w:t>
      </w:r>
      <w:r w:rsidRPr="00401946">
        <w:rPr>
          <w:rFonts w:ascii="Palatino Linotype" w:eastAsia="Calibri" w:hAnsi="Palatino Linotype" w:cs="Tahoma"/>
          <w:iCs/>
          <w:sz w:val="22"/>
          <w:szCs w:val="22"/>
          <w:lang w:val="es-ES" w:eastAsia="es-ES_tradnl"/>
        </w:rPr>
        <w:t xml:space="preserve"> los sujetos obligados únicamente están constreñidos a proporcionar la documentación que obre en sus archivos; por lo que, no están obligados a generar o elaborar documentos </w:t>
      </w:r>
      <w:r w:rsidRPr="00401946">
        <w:rPr>
          <w:rFonts w:ascii="Palatino Linotype" w:eastAsia="Calibri" w:hAnsi="Palatino Linotype" w:cs="Tahoma"/>
          <w:i/>
          <w:iCs/>
          <w:sz w:val="22"/>
          <w:szCs w:val="22"/>
          <w:lang w:val="es-ES" w:eastAsia="es-ES_tradnl"/>
        </w:rPr>
        <w:t>Ad hoc,</w:t>
      </w:r>
      <w:r w:rsidRPr="00401946">
        <w:rPr>
          <w:rFonts w:ascii="Palatino Linotype" w:eastAsia="Calibri" w:hAnsi="Palatino Linotype" w:cs="Tahoma"/>
          <w:iCs/>
          <w:sz w:val="22"/>
          <w:szCs w:val="22"/>
          <w:lang w:val="es-ES" w:eastAsia="es-ES_tradnl"/>
        </w:rPr>
        <w:t xml:space="preserve"> robustece lo anterior el Criterio 3/17 del Instituto Nacional de Transparencia, Acceso a la Información y Protección de Datos Personales que a continuación se cita:</w:t>
      </w:r>
    </w:p>
    <w:p w14:paraId="3A743AC2" w14:textId="77777777" w:rsidR="007A26F3" w:rsidRPr="00401946" w:rsidRDefault="007A26F3" w:rsidP="007A26F3">
      <w:pPr>
        <w:tabs>
          <w:tab w:val="left" w:pos="4962"/>
        </w:tabs>
        <w:spacing w:line="360" w:lineRule="auto"/>
        <w:jc w:val="both"/>
        <w:rPr>
          <w:rFonts w:ascii="Palatino Linotype" w:eastAsia="Calibri" w:hAnsi="Palatino Linotype" w:cs="Tahoma"/>
          <w:iCs/>
          <w:sz w:val="22"/>
          <w:szCs w:val="22"/>
          <w:lang w:val="es-ES" w:eastAsia="es-ES_tradnl"/>
        </w:rPr>
      </w:pPr>
    </w:p>
    <w:p w14:paraId="17FF0583" w14:textId="77777777" w:rsidR="007A26F3" w:rsidRPr="00401946" w:rsidRDefault="007A26F3" w:rsidP="007A26F3">
      <w:pPr>
        <w:spacing w:line="360" w:lineRule="auto"/>
        <w:ind w:left="567" w:right="567"/>
        <w:jc w:val="both"/>
        <w:rPr>
          <w:rFonts w:ascii="Palatino Linotype" w:eastAsia="Arial" w:hAnsi="Palatino Linotype" w:cs="Arial"/>
          <w:i/>
          <w:szCs w:val="22"/>
        </w:rPr>
      </w:pPr>
      <w:r w:rsidRPr="00401946">
        <w:rPr>
          <w:rFonts w:ascii="Palatino Linotype" w:eastAsia="Arial" w:hAnsi="Palatino Linotype" w:cs="Arial"/>
          <w:b/>
          <w:i/>
          <w:szCs w:val="22"/>
        </w:rPr>
        <w:t xml:space="preserve">No existe obligación de elaborar </w:t>
      </w:r>
      <w:r w:rsidRPr="00401946">
        <w:rPr>
          <w:rFonts w:ascii="Palatino Linotype" w:eastAsia="Arial" w:hAnsi="Palatino Linotype" w:cs="Arial"/>
          <w:b/>
          <w:i/>
          <w:spacing w:val="-3"/>
          <w:szCs w:val="22"/>
        </w:rPr>
        <w:t>d</w:t>
      </w:r>
      <w:r w:rsidRPr="00401946">
        <w:rPr>
          <w:rFonts w:ascii="Palatino Linotype" w:eastAsia="Arial" w:hAnsi="Palatino Linotype" w:cs="Arial"/>
          <w:b/>
          <w:i/>
          <w:szCs w:val="22"/>
        </w:rPr>
        <w:t>ocum</w:t>
      </w:r>
      <w:r w:rsidRPr="00401946">
        <w:rPr>
          <w:rFonts w:ascii="Palatino Linotype" w:eastAsia="Arial" w:hAnsi="Palatino Linotype" w:cs="Arial"/>
          <w:b/>
          <w:i/>
          <w:spacing w:val="1"/>
          <w:szCs w:val="22"/>
        </w:rPr>
        <w:t>e</w:t>
      </w:r>
      <w:r w:rsidRPr="00401946">
        <w:rPr>
          <w:rFonts w:ascii="Palatino Linotype" w:eastAsia="Arial" w:hAnsi="Palatino Linotype" w:cs="Arial"/>
          <w:b/>
          <w:i/>
          <w:szCs w:val="22"/>
        </w:rPr>
        <w:t>n</w:t>
      </w:r>
      <w:r w:rsidRPr="00401946">
        <w:rPr>
          <w:rFonts w:ascii="Palatino Linotype" w:eastAsia="Arial" w:hAnsi="Palatino Linotype" w:cs="Arial"/>
          <w:b/>
          <w:i/>
          <w:spacing w:val="-1"/>
          <w:szCs w:val="22"/>
        </w:rPr>
        <w:t>t</w:t>
      </w:r>
      <w:r w:rsidRPr="00401946">
        <w:rPr>
          <w:rFonts w:ascii="Palatino Linotype" w:eastAsia="Arial" w:hAnsi="Palatino Linotype" w:cs="Arial"/>
          <w:b/>
          <w:i/>
          <w:szCs w:val="22"/>
        </w:rPr>
        <w:t xml:space="preserve">os </w:t>
      </w:r>
      <w:r w:rsidRPr="00401946">
        <w:rPr>
          <w:rFonts w:ascii="Palatino Linotype" w:eastAsia="Arial" w:hAnsi="Palatino Linotype" w:cs="Arial"/>
          <w:b/>
          <w:i/>
          <w:spacing w:val="-1"/>
          <w:szCs w:val="22"/>
        </w:rPr>
        <w:t xml:space="preserve">ad </w:t>
      </w:r>
      <w:r w:rsidRPr="00401946">
        <w:rPr>
          <w:rFonts w:ascii="Palatino Linotype" w:eastAsia="Arial" w:hAnsi="Palatino Linotype" w:cs="Arial"/>
          <w:b/>
          <w:i/>
          <w:szCs w:val="22"/>
        </w:rPr>
        <w:t>hoc para atender las sol</w:t>
      </w:r>
      <w:r w:rsidRPr="00401946">
        <w:rPr>
          <w:rFonts w:ascii="Palatino Linotype" w:eastAsia="Arial" w:hAnsi="Palatino Linotype" w:cs="Arial"/>
          <w:b/>
          <w:i/>
          <w:spacing w:val="-2"/>
          <w:szCs w:val="22"/>
        </w:rPr>
        <w:t>i</w:t>
      </w:r>
      <w:r w:rsidRPr="00401946">
        <w:rPr>
          <w:rFonts w:ascii="Palatino Linotype" w:eastAsia="Arial" w:hAnsi="Palatino Linotype" w:cs="Arial"/>
          <w:b/>
          <w:i/>
          <w:spacing w:val="1"/>
          <w:szCs w:val="22"/>
        </w:rPr>
        <w:t>c</w:t>
      </w:r>
      <w:r w:rsidRPr="00401946">
        <w:rPr>
          <w:rFonts w:ascii="Palatino Linotype" w:eastAsia="Arial" w:hAnsi="Palatino Linotype" w:cs="Arial"/>
          <w:b/>
          <w:i/>
          <w:szCs w:val="22"/>
        </w:rPr>
        <w:t xml:space="preserve">itudes de </w:t>
      </w:r>
      <w:r w:rsidRPr="00401946">
        <w:rPr>
          <w:rFonts w:ascii="Palatino Linotype" w:eastAsia="Arial" w:hAnsi="Palatino Linotype" w:cs="Arial"/>
          <w:b/>
          <w:i/>
          <w:spacing w:val="1"/>
          <w:szCs w:val="22"/>
        </w:rPr>
        <w:t>ac</w:t>
      </w:r>
      <w:r w:rsidRPr="00401946">
        <w:rPr>
          <w:rFonts w:ascii="Palatino Linotype" w:eastAsia="Arial" w:hAnsi="Palatino Linotype" w:cs="Arial"/>
          <w:b/>
          <w:i/>
          <w:spacing w:val="-1"/>
          <w:szCs w:val="22"/>
        </w:rPr>
        <w:t>c</w:t>
      </w:r>
      <w:r w:rsidRPr="00401946">
        <w:rPr>
          <w:rFonts w:ascii="Palatino Linotype" w:eastAsia="Arial" w:hAnsi="Palatino Linotype" w:cs="Arial"/>
          <w:b/>
          <w:i/>
          <w:spacing w:val="1"/>
          <w:szCs w:val="22"/>
        </w:rPr>
        <w:t>es</w:t>
      </w:r>
      <w:r w:rsidRPr="00401946">
        <w:rPr>
          <w:rFonts w:ascii="Palatino Linotype" w:eastAsia="Arial" w:hAnsi="Palatino Linotype" w:cs="Arial"/>
          <w:b/>
          <w:i/>
          <w:szCs w:val="22"/>
        </w:rPr>
        <w:t>o a la informa</w:t>
      </w:r>
      <w:r w:rsidRPr="00401946">
        <w:rPr>
          <w:rFonts w:ascii="Palatino Linotype" w:eastAsia="Arial" w:hAnsi="Palatino Linotype" w:cs="Arial"/>
          <w:b/>
          <w:i/>
          <w:spacing w:val="1"/>
          <w:szCs w:val="22"/>
        </w:rPr>
        <w:t>c</w:t>
      </w:r>
      <w:r w:rsidRPr="00401946">
        <w:rPr>
          <w:rFonts w:ascii="Palatino Linotype" w:eastAsia="Arial" w:hAnsi="Palatino Linotype" w:cs="Arial"/>
          <w:b/>
          <w:i/>
          <w:szCs w:val="22"/>
        </w:rPr>
        <w:t>ió</w:t>
      </w:r>
      <w:r w:rsidRPr="00401946">
        <w:rPr>
          <w:rFonts w:ascii="Palatino Linotype" w:eastAsia="Arial" w:hAnsi="Palatino Linotype" w:cs="Arial"/>
          <w:b/>
          <w:i/>
          <w:spacing w:val="-2"/>
          <w:szCs w:val="22"/>
        </w:rPr>
        <w:t>n</w:t>
      </w:r>
      <w:r w:rsidRPr="00401946">
        <w:rPr>
          <w:rFonts w:ascii="Palatino Linotype" w:eastAsia="Arial" w:hAnsi="Palatino Linotype" w:cs="Arial"/>
          <w:b/>
          <w:i/>
          <w:szCs w:val="22"/>
        </w:rPr>
        <w:t xml:space="preserve">. </w:t>
      </w:r>
      <w:r w:rsidRPr="00401946">
        <w:rPr>
          <w:rFonts w:ascii="Palatino Linotype" w:eastAsia="Arial" w:hAnsi="Palatino Linotype" w:cs="Arial"/>
          <w:i/>
          <w:spacing w:val="18"/>
          <w:szCs w:val="22"/>
        </w:rPr>
        <w:t>L</w:t>
      </w:r>
      <w:r w:rsidRPr="00401946">
        <w:rPr>
          <w:rFonts w:ascii="Palatino Linotype" w:eastAsia="Arial" w:hAnsi="Palatino Linotype" w:cs="Arial"/>
          <w:i/>
          <w:spacing w:val="-1"/>
          <w:szCs w:val="22"/>
        </w:rPr>
        <w:t xml:space="preserve">os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rt</w:t>
      </w:r>
      <w:r w:rsidRPr="00401946">
        <w:rPr>
          <w:rFonts w:ascii="Palatino Linotype" w:eastAsia="Arial" w:hAnsi="Palatino Linotype" w:cs="Arial"/>
          <w:i/>
          <w:spacing w:val="-2"/>
          <w:szCs w:val="22"/>
        </w:rPr>
        <w:t>í</w:t>
      </w:r>
      <w:r w:rsidRPr="00401946">
        <w:rPr>
          <w:rFonts w:ascii="Palatino Linotype" w:eastAsia="Arial" w:hAnsi="Palatino Linotype" w:cs="Arial"/>
          <w:i/>
          <w:szCs w:val="22"/>
        </w:rPr>
        <w:t>c</w:t>
      </w:r>
      <w:r w:rsidRPr="00401946">
        <w:rPr>
          <w:rFonts w:ascii="Palatino Linotype" w:eastAsia="Arial" w:hAnsi="Palatino Linotype" w:cs="Arial"/>
          <w:i/>
          <w:spacing w:val="1"/>
          <w:szCs w:val="22"/>
        </w:rPr>
        <w:t>u</w:t>
      </w:r>
      <w:r w:rsidRPr="00401946">
        <w:rPr>
          <w:rFonts w:ascii="Palatino Linotype" w:eastAsia="Arial" w:hAnsi="Palatino Linotype" w:cs="Arial"/>
          <w:i/>
          <w:szCs w:val="22"/>
        </w:rPr>
        <w:t>los</w:t>
      </w:r>
      <w:r w:rsidRPr="00401946">
        <w:rPr>
          <w:rFonts w:ascii="Palatino Linotype" w:eastAsia="Arial" w:hAnsi="Palatino Linotype" w:cs="Arial"/>
          <w:i/>
          <w:spacing w:val="8"/>
          <w:szCs w:val="22"/>
        </w:rPr>
        <w:t xml:space="preserve"> 129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la </w:t>
      </w:r>
      <w:r w:rsidRPr="00401946">
        <w:rPr>
          <w:rFonts w:ascii="Palatino Linotype" w:eastAsia="Arial" w:hAnsi="Palatino Linotype" w:cs="Arial"/>
          <w:i/>
          <w:spacing w:val="-1"/>
          <w:szCs w:val="22"/>
        </w:rPr>
        <w:t>L</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 xml:space="preserve">y General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w:t>
      </w:r>
      <w:r w:rsidRPr="00401946">
        <w:rPr>
          <w:rFonts w:ascii="Palatino Linotype" w:eastAsia="Arial" w:hAnsi="Palatino Linotype" w:cs="Arial"/>
          <w:i/>
          <w:spacing w:val="2"/>
          <w:szCs w:val="22"/>
        </w:rPr>
        <w:t>T</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a</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s</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cia y Acc</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so a la I</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pacing w:val="-3"/>
          <w:szCs w:val="22"/>
        </w:rPr>
        <w:t>r</w:t>
      </w:r>
      <w:r w:rsidRPr="00401946">
        <w:rPr>
          <w:rFonts w:ascii="Palatino Linotype" w:eastAsia="Arial" w:hAnsi="Palatino Linotype" w:cs="Arial"/>
          <w:i/>
          <w:spacing w:val="1"/>
          <w:szCs w:val="22"/>
        </w:rPr>
        <w:t>ma</w:t>
      </w:r>
      <w:r w:rsidRPr="00401946">
        <w:rPr>
          <w:rFonts w:ascii="Palatino Linotype" w:eastAsia="Arial" w:hAnsi="Palatino Linotype" w:cs="Arial"/>
          <w:i/>
          <w:szCs w:val="22"/>
        </w:rPr>
        <w:t>ci</w:t>
      </w:r>
      <w:r w:rsidRPr="00401946">
        <w:rPr>
          <w:rFonts w:ascii="Palatino Linotype" w:eastAsia="Arial" w:hAnsi="Palatino Linotype" w:cs="Arial"/>
          <w:i/>
          <w:spacing w:val="-2"/>
          <w:szCs w:val="22"/>
        </w:rPr>
        <w:t>ó</w:t>
      </w:r>
      <w:r w:rsidRPr="00401946">
        <w:rPr>
          <w:rFonts w:ascii="Palatino Linotype" w:eastAsia="Arial" w:hAnsi="Palatino Linotype" w:cs="Arial"/>
          <w:i/>
          <w:szCs w:val="22"/>
        </w:rPr>
        <w:t xml:space="preserve">n </w:t>
      </w:r>
      <w:r w:rsidRPr="00401946">
        <w:rPr>
          <w:rFonts w:ascii="Palatino Linotype" w:eastAsia="Arial" w:hAnsi="Palatino Linotype" w:cs="Arial"/>
          <w:i/>
          <w:spacing w:val="-2"/>
          <w:szCs w:val="22"/>
        </w:rPr>
        <w:t>P</w:t>
      </w:r>
      <w:r w:rsidRPr="00401946">
        <w:rPr>
          <w:rFonts w:ascii="Palatino Linotype" w:eastAsia="Arial" w:hAnsi="Palatino Linotype" w:cs="Arial"/>
          <w:i/>
          <w:spacing w:val="1"/>
          <w:szCs w:val="22"/>
        </w:rPr>
        <w:t>úb</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 xml:space="preserve">ca y </w:t>
      </w:r>
      <w:r w:rsidRPr="00401946">
        <w:rPr>
          <w:rFonts w:ascii="Palatino Linotype" w:eastAsia="Arial" w:hAnsi="Palatino Linotype" w:cs="Arial"/>
          <w:i/>
          <w:spacing w:val="8"/>
          <w:szCs w:val="22"/>
        </w:rPr>
        <w:t xml:space="preserve">130, párrafo cuarto,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la </w:t>
      </w:r>
      <w:r w:rsidRPr="00401946">
        <w:rPr>
          <w:rFonts w:ascii="Palatino Linotype" w:eastAsia="Arial" w:hAnsi="Palatino Linotype" w:cs="Arial"/>
          <w:i/>
          <w:spacing w:val="-1"/>
          <w:szCs w:val="22"/>
        </w:rPr>
        <w:t>L</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y Fe</w:t>
      </w:r>
      <w:r w:rsidRPr="00401946">
        <w:rPr>
          <w:rFonts w:ascii="Palatino Linotype" w:eastAsia="Arial" w:hAnsi="Palatino Linotype" w:cs="Arial"/>
          <w:i/>
          <w:spacing w:val="1"/>
          <w:szCs w:val="22"/>
        </w:rPr>
        <w:t>de</w:t>
      </w:r>
      <w:r w:rsidRPr="00401946">
        <w:rPr>
          <w:rFonts w:ascii="Palatino Linotype" w:eastAsia="Arial" w:hAnsi="Palatino Linotype" w:cs="Arial"/>
          <w:i/>
          <w:szCs w:val="22"/>
        </w:rPr>
        <w:t xml:space="preserve">ral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w:t>
      </w:r>
      <w:r w:rsidRPr="00401946">
        <w:rPr>
          <w:rFonts w:ascii="Palatino Linotype" w:eastAsia="Arial" w:hAnsi="Palatino Linotype" w:cs="Arial"/>
          <w:i/>
          <w:spacing w:val="2"/>
          <w:szCs w:val="22"/>
        </w:rPr>
        <w:t>T</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a</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s</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cia y Acc</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so a la I</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pacing w:val="-3"/>
          <w:szCs w:val="22"/>
        </w:rPr>
        <w:t>r</w:t>
      </w:r>
      <w:r w:rsidRPr="00401946">
        <w:rPr>
          <w:rFonts w:ascii="Palatino Linotype" w:eastAsia="Arial" w:hAnsi="Palatino Linotype" w:cs="Arial"/>
          <w:i/>
          <w:spacing w:val="1"/>
          <w:szCs w:val="22"/>
        </w:rPr>
        <w:t>ma</w:t>
      </w:r>
      <w:r w:rsidRPr="00401946">
        <w:rPr>
          <w:rFonts w:ascii="Palatino Linotype" w:eastAsia="Arial" w:hAnsi="Palatino Linotype" w:cs="Arial"/>
          <w:i/>
          <w:szCs w:val="22"/>
        </w:rPr>
        <w:t>ci</w:t>
      </w:r>
      <w:r w:rsidRPr="00401946">
        <w:rPr>
          <w:rFonts w:ascii="Palatino Linotype" w:eastAsia="Arial" w:hAnsi="Palatino Linotype" w:cs="Arial"/>
          <w:i/>
          <w:spacing w:val="-2"/>
          <w:szCs w:val="22"/>
        </w:rPr>
        <w:t>ó</w:t>
      </w:r>
      <w:r w:rsidRPr="00401946">
        <w:rPr>
          <w:rFonts w:ascii="Palatino Linotype" w:eastAsia="Arial" w:hAnsi="Palatino Linotype" w:cs="Arial"/>
          <w:i/>
          <w:szCs w:val="22"/>
        </w:rPr>
        <w:t xml:space="preserve">n </w:t>
      </w:r>
      <w:r w:rsidRPr="00401946">
        <w:rPr>
          <w:rFonts w:ascii="Palatino Linotype" w:eastAsia="Arial" w:hAnsi="Palatino Linotype" w:cs="Arial"/>
          <w:i/>
          <w:spacing w:val="-2"/>
          <w:szCs w:val="22"/>
        </w:rPr>
        <w:t>P</w:t>
      </w:r>
      <w:r w:rsidRPr="00401946">
        <w:rPr>
          <w:rFonts w:ascii="Palatino Linotype" w:eastAsia="Arial" w:hAnsi="Palatino Linotype" w:cs="Arial"/>
          <w:i/>
          <w:spacing w:val="1"/>
          <w:szCs w:val="22"/>
        </w:rPr>
        <w:t>úb</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 xml:space="preserve">ca, </w:t>
      </w:r>
      <w:r w:rsidRPr="00401946">
        <w:rPr>
          <w:rFonts w:ascii="Palatino Linotype" w:eastAsia="Arial" w:hAnsi="Palatino Linotype" w:cs="Arial"/>
          <w:i/>
          <w:spacing w:val="-1"/>
          <w:szCs w:val="22"/>
        </w:rPr>
        <w:t>señalan q</w:t>
      </w:r>
      <w:r w:rsidRPr="00401946">
        <w:rPr>
          <w:rFonts w:ascii="Palatino Linotype" w:eastAsia="Arial" w:hAnsi="Palatino Linotype" w:cs="Arial"/>
          <w:i/>
          <w:spacing w:val="1"/>
          <w:szCs w:val="22"/>
        </w:rPr>
        <w:t>u</w:t>
      </w:r>
      <w:r w:rsidRPr="00401946">
        <w:rPr>
          <w:rFonts w:ascii="Palatino Linotype" w:eastAsia="Arial" w:hAnsi="Palatino Linotype"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01946">
        <w:rPr>
          <w:rFonts w:ascii="Palatino Linotype" w:eastAsia="Arial" w:hAnsi="Palatino Linotype" w:cs="Arial"/>
          <w:i/>
          <w:spacing w:val="-1"/>
          <w:szCs w:val="22"/>
        </w:rPr>
        <w:t xml:space="preserve"> sin necesidad de</w:t>
      </w:r>
      <w:r w:rsidRPr="00401946">
        <w:rPr>
          <w:rFonts w:ascii="Palatino Linotype" w:eastAsia="Arial" w:hAnsi="Palatino Linotype" w:cs="Arial"/>
          <w:i/>
          <w:spacing w:val="1"/>
          <w:szCs w:val="22"/>
        </w:rPr>
        <w:t xml:space="preserve"> e</w:t>
      </w:r>
      <w:r w:rsidRPr="00401946">
        <w:rPr>
          <w:rFonts w:ascii="Palatino Linotype" w:eastAsia="Arial" w:hAnsi="Palatino Linotype" w:cs="Arial"/>
          <w:i/>
          <w:szCs w:val="22"/>
        </w:rPr>
        <w:t>la</w:t>
      </w:r>
      <w:r w:rsidRPr="00401946">
        <w:rPr>
          <w:rFonts w:ascii="Palatino Linotype" w:eastAsia="Arial" w:hAnsi="Palatino Linotype" w:cs="Arial"/>
          <w:i/>
          <w:spacing w:val="1"/>
          <w:szCs w:val="22"/>
        </w:rPr>
        <w:t>bo</w:t>
      </w:r>
      <w:r w:rsidRPr="00401946">
        <w:rPr>
          <w:rFonts w:ascii="Palatino Linotype" w:eastAsia="Arial" w:hAnsi="Palatino Linotype" w:cs="Arial"/>
          <w:i/>
          <w:szCs w:val="22"/>
        </w:rPr>
        <w:t xml:space="preserve">rar </w:t>
      </w:r>
      <w:r w:rsidRPr="00401946">
        <w:rPr>
          <w:rFonts w:ascii="Palatino Linotype" w:eastAsia="Arial" w:hAnsi="Palatino Linotype" w:cs="Arial"/>
          <w:i/>
          <w:spacing w:val="1"/>
          <w:szCs w:val="22"/>
        </w:rPr>
        <w:t>do</w:t>
      </w:r>
      <w:r w:rsidRPr="00401946">
        <w:rPr>
          <w:rFonts w:ascii="Palatino Linotype" w:eastAsia="Arial" w:hAnsi="Palatino Linotype" w:cs="Arial"/>
          <w:i/>
          <w:spacing w:val="-2"/>
          <w:szCs w:val="22"/>
        </w:rPr>
        <w:t>c</w:t>
      </w:r>
      <w:r w:rsidRPr="00401946">
        <w:rPr>
          <w:rFonts w:ascii="Palatino Linotype" w:eastAsia="Arial" w:hAnsi="Palatino Linotype" w:cs="Arial"/>
          <w:i/>
          <w:spacing w:val="1"/>
          <w:szCs w:val="22"/>
        </w:rPr>
        <w:t>u</w:t>
      </w:r>
      <w:r w:rsidRPr="00401946">
        <w:rPr>
          <w:rFonts w:ascii="Palatino Linotype" w:eastAsia="Arial" w:hAnsi="Palatino Linotype" w:cs="Arial"/>
          <w:i/>
          <w:spacing w:val="-1"/>
          <w:szCs w:val="22"/>
        </w:rPr>
        <w:t>m</w:t>
      </w:r>
      <w:r w:rsidRPr="00401946">
        <w:rPr>
          <w:rFonts w:ascii="Palatino Linotype" w:eastAsia="Arial" w:hAnsi="Palatino Linotype" w:cs="Arial"/>
          <w:i/>
          <w:spacing w:val="1"/>
          <w:szCs w:val="22"/>
        </w:rPr>
        <w:t>en</w:t>
      </w:r>
      <w:r w:rsidRPr="00401946">
        <w:rPr>
          <w:rFonts w:ascii="Palatino Linotype" w:eastAsia="Arial" w:hAnsi="Palatino Linotype" w:cs="Arial"/>
          <w:i/>
          <w:spacing w:val="-2"/>
          <w:szCs w:val="22"/>
        </w:rPr>
        <w:t>t</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 xml:space="preserve">s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d</w:t>
      </w:r>
      <w:r w:rsidRPr="00401946">
        <w:rPr>
          <w:rFonts w:ascii="Palatino Linotype" w:eastAsia="Arial" w:hAnsi="Palatino Linotype" w:cs="Arial"/>
          <w:i/>
          <w:spacing w:val="1"/>
          <w:szCs w:val="22"/>
        </w:rPr>
        <w:t xml:space="preserve"> ho</w:t>
      </w:r>
      <w:r w:rsidRPr="00401946">
        <w:rPr>
          <w:rFonts w:ascii="Palatino Linotype" w:eastAsia="Arial" w:hAnsi="Palatino Linotype" w:cs="Arial"/>
          <w:i/>
          <w:szCs w:val="22"/>
        </w:rPr>
        <w:t xml:space="preserve">c </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 xml:space="preserve">ra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t</w:t>
      </w:r>
      <w:r w:rsidRPr="00401946">
        <w:rPr>
          <w:rFonts w:ascii="Palatino Linotype" w:eastAsia="Arial" w:hAnsi="Palatino Linotype" w:cs="Arial"/>
          <w:i/>
          <w:spacing w:val="-1"/>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pacing w:val="-1"/>
          <w:szCs w:val="22"/>
        </w:rPr>
        <w:t>d</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r l</w:t>
      </w:r>
      <w:r w:rsidRPr="00401946">
        <w:rPr>
          <w:rFonts w:ascii="Palatino Linotype" w:eastAsia="Arial" w:hAnsi="Palatino Linotype" w:cs="Arial"/>
          <w:i/>
          <w:spacing w:val="-2"/>
          <w:szCs w:val="22"/>
        </w:rPr>
        <w:t>a</w:t>
      </w:r>
      <w:r w:rsidRPr="00401946">
        <w:rPr>
          <w:rFonts w:ascii="Palatino Linotype" w:eastAsia="Arial" w:hAnsi="Palatino Linotype" w:cs="Arial"/>
          <w:i/>
          <w:szCs w:val="22"/>
        </w:rPr>
        <w:t>s s</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cit</w:t>
      </w:r>
      <w:r w:rsidRPr="00401946">
        <w:rPr>
          <w:rFonts w:ascii="Palatino Linotype" w:eastAsia="Arial" w:hAnsi="Palatino Linotype" w:cs="Arial"/>
          <w:i/>
          <w:spacing w:val="1"/>
          <w:szCs w:val="22"/>
        </w:rPr>
        <w:t>ude</w:t>
      </w:r>
      <w:r w:rsidRPr="00401946">
        <w:rPr>
          <w:rFonts w:ascii="Palatino Linotype" w:eastAsia="Arial" w:hAnsi="Palatino Linotype" w:cs="Arial"/>
          <w:i/>
          <w:szCs w:val="22"/>
        </w:rPr>
        <w:t xml:space="preserve">s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e i</w:t>
      </w:r>
      <w:r w:rsidRPr="00401946">
        <w:rPr>
          <w:rFonts w:ascii="Palatino Linotype" w:eastAsia="Arial" w:hAnsi="Palatino Linotype" w:cs="Arial"/>
          <w:i/>
          <w:spacing w:val="-2"/>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r</w:t>
      </w:r>
      <w:r w:rsidRPr="00401946">
        <w:rPr>
          <w:rFonts w:ascii="Palatino Linotype" w:eastAsia="Arial" w:hAnsi="Palatino Linotype" w:cs="Arial"/>
          <w:i/>
          <w:spacing w:val="-1"/>
          <w:szCs w:val="22"/>
        </w:rPr>
        <w:t>m</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ció</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w:t>
      </w:r>
    </w:p>
    <w:p w14:paraId="2D832EAF" w14:textId="77777777" w:rsidR="007A26F3" w:rsidRPr="00401946" w:rsidRDefault="007A26F3" w:rsidP="007A26F3">
      <w:pPr>
        <w:spacing w:line="360" w:lineRule="auto"/>
        <w:jc w:val="both"/>
        <w:rPr>
          <w:rFonts w:ascii="Palatino Linotype" w:eastAsia="Calibri" w:hAnsi="Palatino Linotype" w:cs="Tahoma"/>
          <w:sz w:val="22"/>
          <w:szCs w:val="22"/>
          <w:lang w:eastAsia="es-ES_tradnl"/>
        </w:rPr>
      </w:pPr>
    </w:p>
    <w:p w14:paraId="1CA2BCFA" w14:textId="77777777" w:rsidR="007A26F3" w:rsidRDefault="007A26F3" w:rsidP="007A26F3">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Por lo que, se concluye que los sujetos obligados únicamente proporcionan los documentos que den cuenta de la información solicitada, como obren en sus archivos, sin tener que elaborarlos a las necesidades del Recurrente</w:t>
      </w:r>
    </w:p>
    <w:p w14:paraId="2A388EA6" w14:textId="77777777" w:rsidR="00DA6417" w:rsidRDefault="00DA6417" w:rsidP="00A511BB">
      <w:pPr>
        <w:spacing w:line="360" w:lineRule="auto"/>
        <w:jc w:val="both"/>
        <w:rPr>
          <w:rFonts w:ascii="Palatino Linotype" w:hAnsi="Palatino Linotype" w:cs="Tahoma"/>
          <w:b/>
          <w:sz w:val="22"/>
          <w:szCs w:val="22"/>
          <w:lang w:val="es-ES"/>
        </w:rPr>
      </w:pPr>
    </w:p>
    <w:p w14:paraId="56C54940" w14:textId="77777777" w:rsidR="007A26F3" w:rsidRPr="007A26F3" w:rsidRDefault="007A26F3" w:rsidP="007A26F3">
      <w:pPr>
        <w:spacing w:line="360" w:lineRule="auto"/>
        <w:jc w:val="both"/>
        <w:rPr>
          <w:rFonts w:ascii="Palatino Linotype" w:hAnsi="Palatino Linotype" w:cs="Tahoma"/>
          <w:sz w:val="22"/>
          <w:szCs w:val="22"/>
          <w:lang w:val="es-ES"/>
        </w:rPr>
      </w:pPr>
      <w:r w:rsidRPr="007A26F3">
        <w:rPr>
          <w:rFonts w:ascii="Palatino Linotype" w:hAnsi="Palatino Linotype" w:cs="Tahoma"/>
          <w:sz w:val="22"/>
          <w:szCs w:val="22"/>
          <w:lang w:val="es-ES"/>
        </w:rPr>
        <w:t xml:space="preserve">En esa tesitura, al apreciarse que el Recurrente no desea acceder a un soporte documental, sino que el Sujeto Obligado realice un procesamiento y cálculo de la información, una vez </w:t>
      </w:r>
      <w:r w:rsidRPr="007A26F3">
        <w:rPr>
          <w:rFonts w:ascii="Palatino Linotype" w:hAnsi="Palatino Linotype" w:cs="Tahoma"/>
          <w:sz w:val="22"/>
          <w:szCs w:val="22"/>
          <w:lang w:val="es-ES"/>
        </w:rPr>
        <w:lastRenderedPageBreak/>
        <w:t>realizados, genere un documento que contenga desagregada la información, en apartados específicos; lo cual no resulta exigible, consecuentemente, no resulta dable ordenar su entrega.</w:t>
      </w:r>
    </w:p>
    <w:p w14:paraId="6997F902" w14:textId="77777777" w:rsidR="007A26F3" w:rsidRPr="007A26F3" w:rsidRDefault="007A26F3" w:rsidP="007A26F3">
      <w:pPr>
        <w:spacing w:line="360" w:lineRule="auto"/>
        <w:jc w:val="both"/>
        <w:rPr>
          <w:rFonts w:ascii="Palatino Linotype" w:hAnsi="Palatino Linotype" w:cs="Tahoma"/>
          <w:sz w:val="22"/>
          <w:szCs w:val="22"/>
          <w:lang w:val="es-ES"/>
        </w:rPr>
      </w:pPr>
    </w:p>
    <w:p w14:paraId="0638BCFD" w14:textId="77777777" w:rsidR="007A26F3" w:rsidRPr="007A26F3" w:rsidRDefault="007A26F3" w:rsidP="007A26F3">
      <w:pPr>
        <w:spacing w:line="360" w:lineRule="auto"/>
        <w:jc w:val="both"/>
        <w:rPr>
          <w:rFonts w:ascii="Palatino Linotype" w:hAnsi="Palatino Linotype" w:cs="Tahoma"/>
          <w:sz w:val="22"/>
          <w:szCs w:val="22"/>
          <w:lang w:val="es-ES"/>
        </w:rPr>
      </w:pPr>
      <w:r w:rsidRPr="007A26F3">
        <w:rPr>
          <w:rFonts w:ascii="Palatino Linotype" w:hAnsi="Palatino Linotype" w:cs="Tahoma"/>
          <w:sz w:val="22"/>
          <w:szCs w:val="22"/>
          <w:lang w:val="es-ES"/>
        </w:rPr>
        <w:t>Finalmente, con relación a las modalidad de entrega de la información “…</w:t>
      </w:r>
      <w:proofErr w:type="spellStart"/>
      <w:r w:rsidRPr="007A26F3">
        <w:rPr>
          <w:rFonts w:ascii="Palatino Linotype" w:hAnsi="Palatino Linotype" w:cs="Tahoma"/>
          <w:sz w:val="22"/>
          <w:szCs w:val="22"/>
          <w:lang w:val="es-ES"/>
        </w:rPr>
        <w:t>usb</w:t>
      </w:r>
      <w:proofErr w:type="spellEnd"/>
      <w:r w:rsidRPr="007A26F3">
        <w:rPr>
          <w:rFonts w:ascii="Palatino Linotype" w:hAnsi="Palatino Linotype" w:cs="Tahoma"/>
          <w:sz w:val="22"/>
          <w:szCs w:val="22"/>
          <w:lang w:val="es-ES"/>
        </w:rPr>
        <w:t xml:space="preserve">, </w:t>
      </w:r>
      <w:proofErr w:type="spellStart"/>
      <w:r w:rsidRPr="007A26F3">
        <w:rPr>
          <w:rFonts w:ascii="Palatino Linotype" w:hAnsi="Palatino Linotype" w:cs="Tahoma"/>
          <w:sz w:val="22"/>
          <w:szCs w:val="22"/>
          <w:lang w:val="es-ES"/>
        </w:rPr>
        <w:t>sd</w:t>
      </w:r>
      <w:proofErr w:type="spellEnd"/>
      <w:r w:rsidRPr="007A26F3">
        <w:rPr>
          <w:rFonts w:ascii="Palatino Linotype" w:hAnsi="Palatino Linotype" w:cs="Tahoma"/>
          <w:sz w:val="22"/>
          <w:szCs w:val="22"/>
          <w:lang w:val="es-ES"/>
        </w:rPr>
        <w:t xml:space="preserve"> y </w:t>
      </w:r>
      <w:proofErr w:type="spellStart"/>
      <w:r w:rsidRPr="007A26F3">
        <w:rPr>
          <w:rFonts w:ascii="Palatino Linotype" w:hAnsi="Palatino Linotype" w:cs="Tahoma"/>
          <w:sz w:val="22"/>
          <w:szCs w:val="22"/>
          <w:lang w:val="es-ES"/>
        </w:rPr>
        <w:t>cd-rom</w:t>
      </w:r>
      <w:proofErr w:type="spellEnd"/>
      <w:r w:rsidRPr="007A26F3">
        <w:rPr>
          <w:rFonts w:ascii="Palatino Linotype" w:hAnsi="Palatino Linotype" w:cs="Tahoma"/>
          <w:sz w:val="22"/>
          <w:szCs w:val="22"/>
          <w:lang w:val="es-ES"/>
        </w:rPr>
        <w:t>.” es menester señalar que se encuentran reguladas por el Código Financiero del Estado de México y Municipios en su artículo 148, fracciones III y IV, aplicable al Sujeto Obligado al estar incluido en el Título Cuarto “De los Ingresos de los Municipios”, Capítulo segundo “De los Derechos”, Sección cuarta “De los Derechos por Servicios Prestados por Autoridades Fiscales, Administrativas y de Acceso a la Información Pública”</w:t>
      </w:r>
      <w:r>
        <w:rPr>
          <w:rFonts w:ascii="Palatino Linotype" w:hAnsi="Palatino Linotype" w:cs="Tahoma"/>
          <w:sz w:val="22"/>
          <w:szCs w:val="22"/>
          <w:lang w:val="es-ES"/>
        </w:rPr>
        <w:t>.</w:t>
      </w:r>
    </w:p>
    <w:p w14:paraId="49B6E1AB" w14:textId="77777777" w:rsidR="007A26F3" w:rsidRDefault="007A26F3" w:rsidP="00A511BB">
      <w:pPr>
        <w:spacing w:line="360" w:lineRule="auto"/>
        <w:jc w:val="both"/>
        <w:rPr>
          <w:rFonts w:ascii="Palatino Linotype" w:hAnsi="Palatino Linotype" w:cs="Tahoma"/>
          <w:b/>
          <w:sz w:val="22"/>
          <w:szCs w:val="22"/>
          <w:lang w:val="es-ES"/>
        </w:rPr>
      </w:pPr>
    </w:p>
    <w:p w14:paraId="07FC39F6" w14:textId="470A014E" w:rsidR="007A26F3" w:rsidRDefault="007A26F3" w:rsidP="00A511BB">
      <w:pPr>
        <w:spacing w:line="360" w:lineRule="auto"/>
        <w:jc w:val="both"/>
        <w:rPr>
          <w:rFonts w:ascii="Palatino Linotype" w:hAnsi="Palatino Linotype" w:cs="Tahoma"/>
          <w:sz w:val="22"/>
          <w:szCs w:val="22"/>
          <w:lang w:val="es-ES"/>
        </w:rPr>
      </w:pPr>
      <w:r w:rsidRPr="007A26F3">
        <w:rPr>
          <w:rFonts w:ascii="Palatino Linotype" w:hAnsi="Palatino Linotype" w:cs="Tahoma"/>
          <w:sz w:val="22"/>
          <w:szCs w:val="22"/>
          <w:lang w:val="es-ES"/>
        </w:rPr>
        <w:t xml:space="preserve">Así, se tiene que en el derecho de acceso a la información el cobro por su entrega en medios magnéticos o disco compacto es un derecho que cobra el Estado y sus organismos y su destino es cubrir el gasto público y demás obligaciones a su cargo. No </w:t>
      </w:r>
      <w:r w:rsidR="00FB1B59" w:rsidRPr="007A26F3">
        <w:rPr>
          <w:rFonts w:ascii="Palatino Linotype" w:hAnsi="Palatino Linotype" w:cs="Tahoma"/>
          <w:sz w:val="22"/>
          <w:szCs w:val="22"/>
          <w:lang w:val="es-ES"/>
        </w:rPr>
        <w:t>obstante,</w:t>
      </w:r>
      <w:r w:rsidRPr="007A26F3">
        <w:rPr>
          <w:rFonts w:ascii="Palatino Linotype" w:hAnsi="Palatino Linotype" w:cs="Tahoma"/>
          <w:sz w:val="22"/>
          <w:szCs w:val="22"/>
          <w:lang w:val="es-ES"/>
        </w:rPr>
        <w:t xml:space="preserve"> lo anterior, en el caso en particular su cobró no resultará procedente para el caso de que el solicitante proporcione el medio en el que requiera le sea entregada la información pública.</w:t>
      </w:r>
    </w:p>
    <w:p w14:paraId="724847DD" w14:textId="77777777" w:rsidR="007A26F3" w:rsidRDefault="007A26F3" w:rsidP="00A511BB">
      <w:pPr>
        <w:spacing w:line="360" w:lineRule="auto"/>
        <w:jc w:val="both"/>
        <w:rPr>
          <w:rFonts w:ascii="Palatino Linotype" w:hAnsi="Palatino Linotype" w:cs="Tahoma"/>
          <w:sz w:val="22"/>
          <w:szCs w:val="22"/>
          <w:lang w:val="es-ES"/>
        </w:rPr>
      </w:pPr>
    </w:p>
    <w:p w14:paraId="59F9DDA6" w14:textId="77777777" w:rsidR="007A26F3" w:rsidRPr="009100C0" w:rsidRDefault="007A26F3" w:rsidP="007A26F3">
      <w:pPr>
        <w:spacing w:line="360" w:lineRule="auto"/>
        <w:jc w:val="both"/>
        <w:rPr>
          <w:rFonts w:ascii="Palatino Linotype" w:eastAsia="Calibri" w:hAnsi="Palatino Linotype" w:cs="Tahoma"/>
          <w:b/>
          <w:sz w:val="22"/>
          <w:szCs w:val="22"/>
          <w:lang w:eastAsia="es-ES_tradnl"/>
        </w:rPr>
      </w:pPr>
      <w:r w:rsidRPr="009100C0">
        <w:rPr>
          <w:rFonts w:ascii="Palatino Linotype" w:eastAsia="Calibri" w:hAnsi="Palatino Linotype" w:cs="Tahoma"/>
          <w:b/>
          <w:sz w:val="22"/>
          <w:szCs w:val="22"/>
          <w:lang w:eastAsia="es-ES_tradnl"/>
        </w:rPr>
        <w:t>Versión Pública</w:t>
      </w:r>
    </w:p>
    <w:p w14:paraId="61B90697" w14:textId="77777777" w:rsidR="007A26F3" w:rsidRPr="009100C0" w:rsidRDefault="007A26F3" w:rsidP="007A26F3">
      <w:pPr>
        <w:spacing w:line="360" w:lineRule="auto"/>
        <w:jc w:val="both"/>
        <w:rPr>
          <w:rFonts w:ascii="Palatino Linotype" w:hAnsi="Palatino Linotype"/>
          <w:b/>
          <w:caps/>
          <w:noProof/>
          <w:szCs w:val="22"/>
          <w:lang w:eastAsia="es-MX"/>
        </w:rPr>
      </w:pPr>
    </w:p>
    <w:p w14:paraId="123EAE2B" w14:textId="77777777" w:rsidR="007A26F3" w:rsidRPr="00DF36FF" w:rsidRDefault="007A26F3" w:rsidP="007A26F3">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iCs/>
          <w:sz w:val="22"/>
          <w:szCs w:val="22"/>
          <w:lang w:val="es-ES"/>
        </w:rPr>
        <w:t xml:space="preserve">Como ya se hizo la referencia, entre los documentos solicitados por el Particular se advierte la existencia de datos personales susceptibles de clasificación como confidencial, además de que se advirtió la existencia de información reservada, pues además de facturas, pólizas de cheque, viene la nómina, por lo que, el Sujeto Obligado deberá elaborar las versiones públicas respectivas, </w:t>
      </w:r>
      <w:r w:rsidRPr="00DF36FF">
        <w:rPr>
          <w:rFonts w:ascii="Palatino Linotype" w:hAnsi="Palatino Linotype" w:cs="Tahoma"/>
          <w:bCs/>
          <w:sz w:val="22"/>
          <w:szCs w:val="22"/>
        </w:rPr>
        <w:t>de conformidad con los artículos 49, fracciones II y VIII, 143, fracción I y 149 de la Ley de Transparencia y Acceso a la Información Pública del Estado de México y Municipios.</w:t>
      </w:r>
    </w:p>
    <w:p w14:paraId="09AC5CE6"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34749CA7"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78AA75E0"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3E790FF5"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565EDF7"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7266ECE7"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19B4164"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6C2893AF"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BB6923D"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56151D21" w14:textId="0198696F"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Asimismo, en el artículo 14</w:t>
      </w:r>
      <w:r w:rsidR="00FB1B59">
        <w:rPr>
          <w:rFonts w:ascii="Palatino Linotype" w:hAnsi="Palatino Linotype" w:cs="Tahoma"/>
          <w:bCs/>
          <w:iCs/>
          <w:sz w:val="22"/>
          <w:szCs w:val="22"/>
        </w:rPr>
        <w:t>8</w:t>
      </w:r>
      <w:r w:rsidRPr="00DF36FF">
        <w:rPr>
          <w:rFonts w:ascii="Palatino Linotype" w:hAnsi="Palatino Linotype" w:cs="Tahoma"/>
          <w:bCs/>
          <w:iCs/>
          <w:sz w:val="22"/>
          <w:szCs w:val="22"/>
        </w:rPr>
        <w:t xml:space="preserve"> de la Ley de Transparencia y Acceso a la Información Pública del Estado de México y Municipios, prevé que para que los Sujetos Obligados puedan permitir el acceso a la información confidencial, requieren obtener el consentimiento de los particulares </w:t>
      </w:r>
      <w:r w:rsidRPr="00DF36FF">
        <w:rPr>
          <w:rFonts w:ascii="Palatino Linotype" w:hAnsi="Palatino Linotype" w:cs="Tahoma"/>
          <w:bCs/>
          <w:iCs/>
          <w:sz w:val="22"/>
          <w:szCs w:val="22"/>
        </w:rPr>
        <w:lastRenderedPageBreak/>
        <w:t xml:space="preserve">titulares de la información, excepto cuando i) la información se encuentre en registros públicos o fuentes de acceso público, </w:t>
      </w:r>
      <w:proofErr w:type="spellStart"/>
      <w:r w:rsidRPr="00DF36FF">
        <w:rPr>
          <w:rFonts w:ascii="Palatino Linotype" w:hAnsi="Palatino Linotype" w:cs="Tahoma"/>
          <w:bCs/>
          <w:iCs/>
          <w:sz w:val="22"/>
          <w:szCs w:val="22"/>
        </w:rPr>
        <w:t>ii</w:t>
      </w:r>
      <w:proofErr w:type="spellEnd"/>
      <w:r w:rsidRPr="00DF36FF">
        <w:rPr>
          <w:rFonts w:ascii="Palatino Linotype" w:hAnsi="Palatino Linotype" w:cs="Tahoma"/>
          <w:bCs/>
          <w:iCs/>
          <w:sz w:val="22"/>
          <w:szCs w:val="22"/>
        </w:rPr>
        <w:t xml:space="preserve">) por ley tenga el carácter de pública, </w:t>
      </w:r>
      <w:proofErr w:type="spellStart"/>
      <w:r w:rsidRPr="00DF36FF">
        <w:rPr>
          <w:rFonts w:ascii="Palatino Linotype" w:hAnsi="Palatino Linotype" w:cs="Tahoma"/>
          <w:bCs/>
          <w:iCs/>
          <w:sz w:val="22"/>
          <w:szCs w:val="22"/>
        </w:rPr>
        <w:t>iii</w:t>
      </w:r>
      <w:proofErr w:type="spellEnd"/>
      <w:r w:rsidRPr="00DF36FF">
        <w:rPr>
          <w:rFonts w:ascii="Palatino Linotype" w:hAnsi="Palatino Linotype" w:cs="Tahoma"/>
          <w:bCs/>
          <w:iCs/>
          <w:sz w:val="22"/>
          <w:szCs w:val="22"/>
        </w:rPr>
        <w:t xml:space="preserve">) exista una orden judicial, </w:t>
      </w:r>
      <w:proofErr w:type="spellStart"/>
      <w:r w:rsidRPr="00DF36FF">
        <w:rPr>
          <w:rFonts w:ascii="Palatino Linotype" w:hAnsi="Palatino Linotype" w:cs="Tahoma"/>
          <w:bCs/>
          <w:iCs/>
          <w:sz w:val="22"/>
          <w:szCs w:val="22"/>
        </w:rPr>
        <w:t>iv</w:t>
      </w:r>
      <w:proofErr w:type="spellEnd"/>
      <w:r w:rsidRPr="00DF36FF">
        <w:rPr>
          <w:rFonts w:ascii="Palatino Linotype" w:hAnsi="Palatino Linotype" w:cs="Tahoma"/>
          <w:bCs/>
          <w:iCs/>
          <w:sz w:val="22"/>
          <w:szCs w:val="22"/>
        </w:rPr>
        <w:t>) por razones de seguridad nacional y salubridad general o v) para proteger los derechos de terceros o cuando se transmita entre sujetos obligados en términos de los tratados y los acuerdos interinstitucionales.</w:t>
      </w:r>
    </w:p>
    <w:p w14:paraId="030B5548"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64D359E9"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1B2D26AD"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2E317BF6" w14:textId="77777777" w:rsidR="007A26F3" w:rsidRPr="00DF36FF" w:rsidRDefault="007A26F3" w:rsidP="007A26F3">
      <w:pPr>
        <w:numPr>
          <w:ilvl w:val="0"/>
          <w:numId w:val="16"/>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3B6D604A" w14:textId="77777777" w:rsidR="007A26F3" w:rsidRPr="00DF36FF" w:rsidRDefault="007A26F3" w:rsidP="007A26F3">
      <w:pPr>
        <w:numPr>
          <w:ilvl w:val="0"/>
          <w:numId w:val="16"/>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Para la difusión de los datos, se requiera el consentimiento del titular. </w:t>
      </w:r>
    </w:p>
    <w:p w14:paraId="6E13BB24"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05FF4021"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C4BE2C5"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76475C8E"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Además, en el artículo 5° de dicho ordenamiento jurídico, establece que es la Ley aplicable para todo tratamiento de datos personales.</w:t>
      </w:r>
    </w:p>
    <w:p w14:paraId="2AB6AE3F"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3D4767B3"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7621C6F"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09E9C96F"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8E16B95"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2AE91F2D"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C5DD857"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47415706"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De tal suerte, las instituciones públicas tienen la doble responsabilidad, por un lado, de proteger los datos personales y por otro, darles publicidad cuando la relevancia de esos datos sea de interés público.</w:t>
      </w:r>
    </w:p>
    <w:p w14:paraId="30B45DB8"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127C1BD6"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E4498DD"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68A931FF"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DEFEA10"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37F34D44"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BE8014C"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5E86810C" w14:textId="77777777" w:rsidR="007A26F3" w:rsidRDefault="007A26F3" w:rsidP="007A26F3">
      <w:pPr>
        <w:tabs>
          <w:tab w:val="left" w:pos="709"/>
        </w:tabs>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DF36FF">
        <w:rPr>
          <w:rFonts w:ascii="Palatino Linotype" w:hAnsi="Palatino Linotype" w:cs="Tahoma"/>
          <w:b/>
          <w:bCs/>
          <w:iCs/>
          <w:sz w:val="22"/>
          <w:szCs w:val="22"/>
        </w:rPr>
        <w:t>Registro Federal de Contribuyentes</w:t>
      </w:r>
      <w:r>
        <w:rPr>
          <w:rFonts w:ascii="Palatino Linotype" w:hAnsi="Palatino Linotype" w:cs="Tahoma"/>
          <w:bCs/>
          <w:iCs/>
          <w:sz w:val="22"/>
          <w:szCs w:val="22"/>
        </w:rPr>
        <w:t xml:space="preserve"> (RFC),</w:t>
      </w:r>
      <w:r w:rsidRPr="00DF36FF">
        <w:rPr>
          <w:rFonts w:ascii="Palatino Linotype" w:hAnsi="Palatino Linotype" w:cs="Tahoma"/>
          <w:bCs/>
          <w:iCs/>
          <w:sz w:val="22"/>
          <w:szCs w:val="22"/>
        </w:rPr>
        <w:t xml:space="preserve"> </w:t>
      </w:r>
      <w:r w:rsidRPr="00DF36FF">
        <w:rPr>
          <w:rFonts w:ascii="Palatino Linotype" w:hAnsi="Palatino Linotype" w:cs="Tahoma"/>
          <w:b/>
          <w:bCs/>
          <w:iCs/>
          <w:sz w:val="22"/>
          <w:szCs w:val="22"/>
        </w:rPr>
        <w:t>Clave Única de Registro de Población</w:t>
      </w:r>
      <w:r w:rsidR="003875C6">
        <w:rPr>
          <w:rFonts w:ascii="Palatino Linotype" w:hAnsi="Palatino Linotype" w:cs="Tahoma"/>
          <w:bCs/>
          <w:iCs/>
          <w:sz w:val="22"/>
          <w:szCs w:val="22"/>
        </w:rPr>
        <w:t xml:space="preserve"> (CURP)</w:t>
      </w:r>
      <w:r w:rsidRPr="00DF36FF">
        <w:rPr>
          <w:rFonts w:ascii="Palatino Linotype" w:hAnsi="Palatino Linotype" w:cs="Tahoma"/>
          <w:bCs/>
          <w:iCs/>
          <w:sz w:val="22"/>
          <w:szCs w:val="22"/>
        </w:rPr>
        <w:t xml:space="preserve">. </w:t>
      </w:r>
    </w:p>
    <w:p w14:paraId="69118B4A" w14:textId="77777777" w:rsidR="007A26F3" w:rsidRPr="00DF36FF" w:rsidRDefault="007A26F3" w:rsidP="007A26F3">
      <w:pPr>
        <w:tabs>
          <w:tab w:val="left" w:pos="709"/>
        </w:tabs>
        <w:spacing w:line="360" w:lineRule="auto"/>
        <w:contextualSpacing/>
        <w:jc w:val="both"/>
        <w:rPr>
          <w:rFonts w:ascii="Palatino Linotype" w:hAnsi="Palatino Linotype" w:cs="Tahoma"/>
          <w:bCs/>
          <w:iCs/>
          <w:sz w:val="22"/>
          <w:szCs w:val="22"/>
        </w:rPr>
      </w:pPr>
    </w:p>
    <w:p w14:paraId="61197F3B" w14:textId="77777777" w:rsidR="007A26F3" w:rsidRPr="00DF36FF" w:rsidRDefault="007A26F3" w:rsidP="007A26F3">
      <w:pPr>
        <w:numPr>
          <w:ilvl w:val="0"/>
          <w:numId w:val="15"/>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
          <w:bCs/>
          <w:iCs/>
          <w:sz w:val="22"/>
          <w:szCs w:val="22"/>
        </w:rPr>
        <w:t xml:space="preserve">Registro Federal de Contribuyentes (RFC) </w:t>
      </w:r>
    </w:p>
    <w:p w14:paraId="2A32E31C" w14:textId="77777777" w:rsidR="007A26F3" w:rsidRPr="00DF36FF" w:rsidRDefault="007A26F3" w:rsidP="007A26F3">
      <w:pPr>
        <w:spacing w:line="360" w:lineRule="auto"/>
        <w:ind w:left="720"/>
        <w:contextualSpacing/>
        <w:jc w:val="both"/>
        <w:rPr>
          <w:rFonts w:ascii="Palatino Linotype" w:hAnsi="Palatino Linotype" w:cs="Tahoma"/>
          <w:bCs/>
          <w:iCs/>
          <w:sz w:val="22"/>
          <w:szCs w:val="22"/>
        </w:rPr>
      </w:pPr>
    </w:p>
    <w:p w14:paraId="7D3F797E"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724CC31"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29BA1931"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w:t>
      </w:r>
      <w:r w:rsidRPr="00DF36FF">
        <w:rPr>
          <w:rFonts w:ascii="Palatino Linotype" w:hAnsi="Palatino Linotype" w:cs="Tahoma"/>
          <w:bCs/>
          <w:iCs/>
          <w:sz w:val="22"/>
          <w:szCs w:val="22"/>
        </w:rPr>
        <w:lastRenderedPageBreak/>
        <w:t xml:space="preserve">titular, más una </w:t>
      </w:r>
      <w:proofErr w:type="spellStart"/>
      <w:r w:rsidRPr="00DF36FF">
        <w:rPr>
          <w:rFonts w:ascii="Palatino Linotype" w:hAnsi="Palatino Linotype" w:cs="Tahoma"/>
          <w:bCs/>
          <w:iCs/>
          <w:sz w:val="22"/>
          <w:szCs w:val="22"/>
        </w:rPr>
        <w:t>homoclave</w:t>
      </w:r>
      <w:proofErr w:type="spellEnd"/>
      <w:r w:rsidRPr="00DF36FF">
        <w:rPr>
          <w:rFonts w:ascii="Palatino Linotype" w:hAnsi="Palatino Linotype" w:cs="Tahoma"/>
          <w:bCs/>
          <w:iCs/>
          <w:sz w:val="22"/>
          <w:szCs w:val="22"/>
        </w:rPr>
        <w:t xml:space="preserve"> que establece el sistema automático del Servicio de Administración Tributaria.</w:t>
      </w:r>
    </w:p>
    <w:p w14:paraId="636538C7"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3D400B2D"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CF991DE"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6D5DC74A"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41B35353"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1790714B"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1B57116E"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764471DD" w14:textId="77777777" w:rsidR="007A26F3" w:rsidRPr="006D28A9" w:rsidRDefault="007A26F3" w:rsidP="007A26F3">
      <w:pPr>
        <w:spacing w:line="360" w:lineRule="auto"/>
        <w:ind w:left="567" w:right="539"/>
        <w:contextualSpacing/>
        <w:jc w:val="both"/>
        <w:rPr>
          <w:rFonts w:ascii="Palatino Linotype" w:hAnsi="Palatino Linotype" w:cs="Tahoma"/>
          <w:bCs/>
          <w:i/>
          <w:iCs/>
        </w:rPr>
      </w:pPr>
      <w:r w:rsidRPr="006D28A9">
        <w:rPr>
          <w:rFonts w:ascii="Palatino Linotype" w:hAnsi="Palatino Linotype" w:cs="Tahoma"/>
          <w:b/>
          <w:bCs/>
          <w:i/>
          <w:iCs/>
        </w:rPr>
        <w:t>Registro Federal de Contribuyentes (RFC) de personas físicas</w:t>
      </w:r>
      <w:r w:rsidRPr="006D28A9">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3AD1215F" w14:textId="77777777" w:rsidR="007A26F3" w:rsidRPr="00DF36FF" w:rsidRDefault="007A26F3" w:rsidP="007A26F3">
      <w:pPr>
        <w:spacing w:line="360" w:lineRule="auto"/>
        <w:contextualSpacing/>
        <w:jc w:val="both"/>
        <w:rPr>
          <w:rFonts w:ascii="Palatino Linotype" w:hAnsi="Palatino Linotype" w:cs="Tahoma"/>
          <w:bCs/>
          <w:i/>
          <w:iCs/>
          <w:sz w:val="22"/>
          <w:szCs w:val="22"/>
        </w:rPr>
      </w:pPr>
    </w:p>
    <w:p w14:paraId="03FA1D8C"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 xml:space="preserve">De tal suerte, el Registro Federal de Contribuyentes de los servidores públicos no guarda relación con la transparencia de los recursos públicos, así como tampoco con el desempeño laboral que pueda tener una persona, </w:t>
      </w:r>
      <w:r w:rsidRPr="00DF36FF">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2D4C23C8"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5D0571AB" w14:textId="77777777" w:rsidR="007A26F3" w:rsidRPr="00DF36FF" w:rsidRDefault="007A26F3" w:rsidP="007A26F3">
      <w:pPr>
        <w:numPr>
          <w:ilvl w:val="0"/>
          <w:numId w:val="15"/>
        </w:numPr>
        <w:spacing w:line="360" w:lineRule="auto"/>
        <w:contextualSpacing/>
        <w:jc w:val="both"/>
        <w:rPr>
          <w:rFonts w:ascii="Palatino Linotype" w:hAnsi="Palatino Linotype" w:cs="Tahoma"/>
          <w:b/>
          <w:sz w:val="22"/>
          <w:szCs w:val="22"/>
        </w:rPr>
      </w:pPr>
      <w:r w:rsidRPr="00DF36FF">
        <w:rPr>
          <w:rFonts w:ascii="Palatino Linotype" w:hAnsi="Palatino Linotype" w:cs="Tahoma"/>
          <w:b/>
          <w:sz w:val="22"/>
          <w:szCs w:val="22"/>
        </w:rPr>
        <w:t>Clave Única de Registro de Población (CURP).</w:t>
      </w:r>
    </w:p>
    <w:p w14:paraId="34E687EF"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0AF9BB5D"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2995829A"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67C0210A" w14:textId="77777777" w:rsidR="007A26F3"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0C06754"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0048F489"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9D9D848"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054AF197"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De conformidad con lo precisado por la propia Secretaría de Gobernación en la dirección </w:t>
      </w:r>
      <w:hyperlink r:id="rId21" w:history="1">
        <w:r w:rsidRPr="00DF36FF">
          <w:rPr>
            <w:rStyle w:val="Hipervnculo"/>
            <w:rFonts w:ascii="Palatino Linotype" w:hAnsi="Palatino Linotype" w:cs="Tahoma"/>
            <w:sz w:val="22"/>
            <w:szCs w:val="22"/>
            <w:lang w:eastAsia="es-MX"/>
          </w:rPr>
          <w:t>https://consultas.curp.gob.mx/CurpSP/html/informacionecurpPS.html</w:t>
        </w:r>
      </w:hyperlink>
      <w:r w:rsidRPr="00DF36FF">
        <w:rPr>
          <w:rFonts w:ascii="Palatino Linotype" w:hAnsi="Palatino Linotype" w:cs="Tahoma"/>
          <w:sz w:val="22"/>
          <w:szCs w:val="22"/>
          <w:lang w:eastAsia="es-MX"/>
        </w:rPr>
        <w:t xml:space="preserve">, la Clave Única del Registro de Población –CURP-, es un instrumento de registro que se asigna a todas las </w:t>
      </w:r>
      <w:r w:rsidRPr="00DF36FF">
        <w:rPr>
          <w:rFonts w:ascii="Palatino Linotype" w:hAnsi="Palatino Linotype" w:cs="Tahoma"/>
          <w:sz w:val="22"/>
          <w:szCs w:val="22"/>
          <w:lang w:eastAsia="es-MX"/>
        </w:rPr>
        <w:lastRenderedPageBreak/>
        <w:t xml:space="preserve">personas que viven en el territorio nacional, así como a los mexicanos que residen en el extranjero y se compone de dieciocho elementos, representados por letras y números, que </w:t>
      </w:r>
      <w:r w:rsidRPr="00DF36FF">
        <w:rPr>
          <w:rFonts w:ascii="Palatino Linotype" w:hAnsi="Palatino Linotype" w:cs="Tahoma"/>
          <w:b/>
          <w:sz w:val="22"/>
          <w:szCs w:val="22"/>
          <w:lang w:eastAsia="es-MX"/>
        </w:rPr>
        <w:t>se generan a partir de los datos contenidos en el documento probatorio de la identidad</w:t>
      </w:r>
      <w:r w:rsidRPr="00DF36FF">
        <w:rPr>
          <w:rFonts w:ascii="Palatino Linotype" w:hAnsi="Palatino Linotype" w:cs="Tahoma"/>
          <w:sz w:val="22"/>
          <w:szCs w:val="22"/>
          <w:lang w:eastAsia="es-MX"/>
        </w:rPr>
        <w:t xml:space="preserve"> </w:t>
      </w:r>
      <w:r w:rsidRPr="00DF36FF">
        <w:rPr>
          <w:rFonts w:ascii="Palatino Linotype" w:hAnsi="Palatino Linotype" w:cs="Tahoma"/>
          <w:b/>
          <w:sz w:val="22"/>
          <w:szCs w:val="22"/>
          <w:lang w:eastAsia="es-MX"/>
        </w:rPr>
        <w:t xml:space="preserve">del interesado </w:t>
      </w:r>
      <w:r w:rsidRPr="00DF36FF">
        <w:rPr>
          <w:rFonts w:ascii="Palatino Linotype" w:hAnsi="Palatino Linotype" w:cs="Tahoma"/>
          <w:sz w:val="22"/>
          <w:szCs w:val="22"/>
          <w:lang w:eastAsia="es-MX"/>
        </w:rPr>
        <w:t>(acta de nacimiento, carta de naturalización o documento migratorio) de la siguiente forma:</w:t>
      </w:r>
    </w:p>
    <w:p w14:paraId="2722EEE3"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0233382A"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primero y segundo apellidos, así como al nombre de pila.</w:t>
      </w:r>
    </w:p>
    <w:p w14:paraId="01FE4A99"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fecha de nacimiento.</w:t>
      </w:r>
    </w:p>
    <w:p w14:paraId="138090ED"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sexo.</w:t>
      </w:r>
    </w:p>
    <w:p w14:paraId="46448732"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entidad federativa de nacimiento.</w:t>
      </w:r>
    </w:p>
    <w:p w14:paraId="4E0356BC"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71233C31"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6FC91218"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0FC80AF3" w14:textId="77777777" w:rsidR="007A26F3" w:rsidRPr="00DF36FF" w:rsidRDefault="007A26F3" w:rsidP="007A26F3">
      <w:pPr>
        <w:spacing w:line="360" w:lineRule="auto"/>
        <w:contextualSpacing/>
        <w:jc w:val="both"/>
        <w:rPr>
          <w:rFonts w:ascii="Palatino Linotype" w:hAnsi="Palatino Linotype" w:cs="Tahoma"/>
          <w:sz w:val="22"/>
          <w:szCs w:val="22"/>
        </w:rPr>
      </w:pPr>
      <w:r w:rsidRPr="00DF36FF">
        <w:rPr>
          <w:rFonts w:ascii="Palatino Linotype" w:hAnsi="Palatino Linotype" w:cs="Tahoma"/>
          <w:sz w:val="22"/>
          <w:szCs w:val="22"/>
        </w:rPr>
        <w:t xml:space="preserve">Como se desprende de lo anterior, la </w:t>
      </w:r>
      <w:r w:rsidRPr="00DF36FF">
        <w:rPr>
          <w:rFonts w:ascii="Palatino Linotype" w:hAnsi="Palatino Linotype" w:cs="Tahoma"/>
          <w:sz w:val="22"/>
          <w:szCs w:val="22"/>
          <w:lang w:eastAsia="es-MX"/>
        </w:rPr>
        <w:t>Clave Única de Registro de Población</w:t>
      </w:r>
      <w:r w:rsidRPr="00DF36FF">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858B2DF" w14:textId="77777777" w:rsidR="007A26F3" w:rsidRPr="00DF36FF" w:rsidRDefault="007A26F3" w:rsidP="007A26F3">
      <w:pPr>
        <w:spacing w:line="360" w:lineRule="auto"/>
        <w:contextualSpacing/>
        <w:jc w:val="both"/>
        <w:rPr>
          <w:rFonts w:ascii="Palatino Linotype" w:hAnsi="Palatino Linotype" w:cs="Tahoma"/>
          <w:sz w:val="22"/>
          <w:szCs w:val="22"/>
        </w:rPr>
      </w:pPr>
    </w:p>
    <w:p w14:paraId="4DD2B707"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3684DF7F" w14:textId="5DF85D27" w:rsidR="007A26F3" w:rsidRPr="006D28A9" w:rsidRDefault="007A26F3" w:rsidP="007A26F3">
      <w:pPr>
        <w:autoSpaceDE w:val="0"/>
        <w:autoSpaceDN w:val="0"/>
        <w:adjustRightInd w:val="0"/>
        <w:spacing w:line="360" w:lineRule="auto"/>
        <w:ind w:left="567" w:right="539"/>
        <w:contextualSpacing/>
        <w:jc w:val="both"/>
        <w:rPr>
          <w:rFonts w:ascii="Palatino Linotype" w:eastAsia="Calibri" w:hAnsi="Palatino Linotype" w:cs="Tahoma"/>
          <w:i/>
          <w:color w:val="000000"/>
        </w:rPr>
      </w:pPr>
      <w:r w:rsidRPr="006D28A9">
        <w:rPr>
          <w:rFonts w:ascii="Palatino Linotype" w:eastAsia="Calibri" w:hAnsi="Palatino Linotype" w:cs="Tahoma"/>
          <w:b/>
          <w:bCs/>
          <w:i/>
          <w:color w:val="000000"/>
        </w:rPr>
        <w:lastRenderedPageBreak/>
        <w:t xml:space="preserve">Clave Única de Registro de Población (CURP) es un dato personal confidencial. </w:t>
      </w:r>
      <w:r w:rsidRPr="006D28A9">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r w:rsidR="00FB1B59" w:rsidRPr="006D28A9">
        <w:rPr>
          <w:rFonts w:ascii="Palatino Linotype" w:eastAsia="Calibri" w:hAnsi="Palatino Linotype" w:cs="Tahoma"/>
          <w:i/>
          <w:color w:val="000000"/>
        </w:rPr>
        <w:t>los artículos anteriormente señalados</w:t>
      </w:r>
      <w:r w:rsidRPr="006D28A9">
        <w:rPr>
          <w:rFonts w:ascii="Palatino Linotype" w:eastAsia="Calibri" w:hAnsi="Palatino Linotype" w:cs="Tahoma"/>
          <w:i/>
          <w:color w:val="000000"/>
        </w:rPr>
        <w:t xml:space="preserve">. </w:t>
      </w:r>
    </w:p>
    <w:p w14:paraId="227ECECD" w14:textId="77777777" w:rsidR="007A26F3" w:rsidRPr="00DF36FF" w:rsidRDefault="007A26F3" w:rsidP="007A26F3">
      <w:pPr>
        <w:spacing w:line="360" w:lineRule="auto"/>
        <w:contextualSpacing/>
        <w:jc w:val="both"/>
        <w:rPr>
          <w:rFonts w:ascii="Palatino Linotype" w:hAnsi="Palatino Linotype" w:cs="Tahoma"/>
          <w:sz w:val="22"/>
          <w:szCs w:val="22"/>
        </w:rPr>
      </w:pPr>
    </w:p>
    <w:p w14:paraId="75D042C5" w14:textId="77777777" w:rsidR="007A26F3" w:rsidRPr="00DF36FF" w:rsidRDefault="007A26F3" w:rsidP="007A26F3">
      <w:pPr>
        <w:spacing w:line="360" w:lineRule="auto"/>
        <w:contextualSpacing/>
        <w:jc w:val="both"/>
        <w:rPr>
          <w:rFonts w:ascii="Palatino Linotype" w:hAnsi="Palatino Linotype" w:cs="Tahoma"/>
          <w:b/>
          <w:sz w:val="22"/>
          <w:szCs w:val="22"/>
        </w:rPr>
      </w:pPr>
      <w:r w:rsidRPr="00DF36FF">
        <w:rPr>
          <w:rFonts w:ascii="Palatino Linotype" w:hAnsi="Palatino Linotype" w:cs="Tahoma"/>
          <w:sz w:val="22"/>
          <w:szCs w:val="22"/>
        </w:rPr>
        <w:t xml:space="preserve">De acuerdo con lo anterior, </w:t>
      </w:r>
      <w:r w:rsidRPr="00DF36FF">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519E7787" w14:textId="77777777" w:rsidR="007A26F3" w:rsidRDefault="007A26F3" w:rsidP="007A26F3">
      <w:pPr>
        <w:spacing w:line="360" w:lineRule="auto"/>
        <w:contextualSpacing/>
        <w:jc w:val="both"/>
        <w:rPr>
          <w:rFonts w:ascii="Palatino Linotype" w:hAnsi="Palatino Linotype" w:cs="Tahoma"/>
          <w:sz w:val="22"/>
          <w:szCs w:val="22"/>
          <w:lang w:eastAsia="es-MX"/>
        </w:rPr>
      </w:pPr>
    </w:p>
    <w:p w14:paraId="475C488A" w14:textId="77777777" w:rsidR="00A511BB" w:rsidRDefault="00A511BB" w:rsidP="00A511BB">
      <w:pPr>
        <w:spacing w:line="360" w:lineRule="auto"/>
        <w:jc w:val="both"/>
        <w:rPr>
          <w:rFonts w:ascii="Palatino Linotype" w:hAnsi="Palatino Linotype" w:cs="Tahoma"/>
          <w:b/>
          <w:sz w:val="22"/>
          <w:szCs w:val="22"/>
          <w:lang w:val="es-ES"/>
        </w:rPr>
      </w:pPr>
      <w:r w:rsidRPr="00CB26C0">
        <w:rPr>
          <w:rFonts w:ascii="Palatino Linotype" w:hAnsi="Palatino Linotype" w:cs="Tahoma"/>
          <w:b/>
          <w:sz w:val="22"/>
          <w:szCs w:val="22"/>
          <w:lang w:val="es-ES"/>
        </w:rPr>
        <w:t xml:space="preserve">SEXTO. Decisión. </w:t>
      </w:r>
    </w:p>
    <w:p w14:paraId="3A57AF73" w14:textId="77777777" w:rsidR="00A511BB" w:rsidRDefault="00A511BB" w:rsidP="00A511BB">
      <w:pPr>
        <w:spacing w:line="360" w:lineRule="auto"/>
        <w:jc w:val="both"/>
        <w:rPr>
          <w:rFonts w:ascii="Palatino Linotype" w:hAnsi="Palatino Linotype" w:cs="Tahoma"/>
          <w:b/>
          <w:sz w:val="22"/>
          <w:szCs w:val="22"/>
          <w:lang w:val="es-ES"/>
        </w:rPr>
      </w:pPr>
    </w:p>
    <w:p w14:paraId="50F29609" w14:textId="3557EF79" w:rsidR="0013455B" w:rsidRPr="00717D41" w:rsidRDefault="0013455B" w:rsidP="0013455B">
      <w:pPr>
        <w:autoSpaceDE w:val="0"/>
        <w:autoSpaceDN w:val="0"/>
        <w:adjustRightInd w:val="0"/>
        <w:spacing w:line="360" w:lineRule="auto"/>
        <w:ind w:right="49"/>
        <w:jc w:val="both"/>
        <w:rPr>
          <w:rFonts w:ascii="Palatino Linotype" w:hAnsi="Palatino Linotype" w:cs="Arial"/>
          <w:sz w:val="24"/>
          <w:szCs w:val="24"/>
          <w:lang w:val="es-ES"/>
        </w:rPr>
      </w:pPr>
      <w:r w:rsidRPr="009100C0">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9100C0">
        <w:rPr>
          <w:rFonts w:ascii="Palatino Linotype" w:hAnsi="Palatino Linotype"/>
          <w:b/>
          <w:sz w:val="22"/>
          <w:szCs w:val="22"/>
        </w:rPr>
        <w:t xml:space="preserve"> </w:t>
      </w:r>
      <w:r w:rsidR="00426AAC">
        <w:rPr>
          <w:rFonts w:ascii="Palatino Linotype" w:hAnsi="Palatino Linotype"/>
          <w:b/>
          <w:sz w:val="22"/>
          <w:szCs w:val="22"/>
        </w:rPr>
        <w:t>MODIFICAR</w:t>
      </w:r>
      <w:r>
        <w:rPr>
          <w:rFonts w:ascii="Palatino Linotype" w:hAnsi="Palatino Linotype"/>
          <w:b/>
          <w:sz w:val="22"/>
          <w:szCs w:val="22"/>
        </w:rPr>
        <w:t xml:space="preserve"> </w:t>
      </w:r>
      <w:r w:rsidRPr="009100C0">
        <w:rPr>
          <w:rFonts w:ascii="Palatino Linotype" w:hAnsi="Palatino Linotype"/>
          <w:sz w:val="22"/>
          <w:szCs w:val="22"/>
        </w:rPr>
        <w:t>la respuesta otorgada por el Sujeto Obligado</w:t>
      </w:r>
      <w:r w:rsidRPr="009100C0">
        <w:rPr>
          <w:rFonts w:ascii="Palatino Linotype" w:hAnsi="Palatino Linotype"/>
          <w:b/>
          <w:sz w:val="22"/>
          <w:szCs w:val="22"/>
        </w:rPr>
        <w:t xml:space="preserve"> </w:t>
      </w:r>
      <w:r w:rsidRPr="009100C0">
        <w:rPr>
          <w:rFonts w:ascii="Palatino Linotype" w:hAnsi="Palatino Linotype"/>
          <w:bCs/>
          <w:sz w:val="22"/>
          <w:szCs w:val="22"/>
        </w:rPr>
        <w:t xml:space="preserve">a la solicitud de información </w:t>
      </w:r>
      <w:r w:rsidR="00117F37">
        <w:rPr>
          <w:rFonts w:ascii="Palatino Linotype" w:hAnsi="Palatino Linotype"/>
          <w:b/>
          <w:bCs/>
          <w:sz w:val="22"/>
          <w:szCs w:val="22"/>
        </w:rPr>
        <w:t>00002/OASLERMA/IP/2022</w:t>
      </w:r>
      <w:r w:rsidRPr="00A224E5">
        <w:rPr>
          <w:rFonts w:ascii="Palatino Linotype" w:hAnsi="Palatino Linotype"/>
          <w:b/>
          <w:bCs/>
          <w:sz w:val="22"/>
          <w:szCs w:val="22"/>
        </w:rPr>
        <w:t>,</w:t>
      </w:r>
      <w:r w:rsidRPr="009100C0">
        <w:rPr>
          <w:rFonts w:ascii="Palatino Linotype" w:hAnsi="Palatino Linotype"/>
          <w:b/>
          <w:bCs/>
          <w:sz w:val="22"/>
          <w:szCs w:val="22"/>
        </w:rPr>
        <w:t xml:space="preserve"> </w:t>
      </w:r>
      <w:r w:rsidRPr="009100C0">
        <w:rPr>
          <w:rFonts w:ascii="Palatino Linotype" w:hAnsi="Palatino Linotype"/>
          <w:sz w:val="22"/>
          <w:szCs w:val="22"/>
        </w:rPr>
        <w:t>por resultar</w:t>
      </w:r>
      <w:r>
        <w:rPr>
          <w:rFonts w:ascii="Palatino Linotype" w:hAnsi="Palatino Linotype"/>
          <w:sz w:val="22"/>
          <w:szCs w:val="22"/>
        </w:rPr>
        <w:t xml:space="preserve"> parcialmente </w:t>
      </w:r>
      <w:r w:rsidRPr="009100C0">
        <w:rPr>
          <w:rFonts w:ascii="Palatino Linotype" w:hAnsi="Palatino Linotype"/>
          <w:sz w:val="22"/>
          <w:szCs w:val="22"/>
        </w:rPr>
        <w:t xml:space="preserve">fundadas las razones o motivos de inconformidad hechos </w:t>
      </w:r>
      <w:r w:rsidRPr="009100C0">
        <w:rPr>
          <w:rFonts w:ascii="Palatino Linotype" w:hAnsi="Palatino Linotype" w:cs="Tahoma"/>
          <w:sz w:val="22"/>
          <w:szCs w:val="22"/>
        </w:rPr>
        <w:t>valer</w:t>
      </w:r>
      <w:r w:rsidRPr="009100C0">
        <w:rPr>
          <w:rFonts w:ascii="Palatino Linotype" w:hAnsi="Palatino Linotype"/>
          <w:sz w:val="22"/>
          <w:szCs w:val="22"/>
        </w:rPr>
        <w:t xml:space="preserve"> por el Recurrente, en el Recurso de Revisión</w:t>
      </w:r>
      <w:r w:rsidRPr="009100C0">
        <w:rPr>
          <w:rFonts w:ascii="Palatino Linotype" w:hAnsi="Palatino Linotype" w:cs="Tahoma"/>
          <w:b/>
          <w:bCs/>
          <w:color w:val="0D0D0D" w:themeColor="text1" w:themeTint="F2"/>
          <w:sz w:val="22"/>
          <w:szCs w:val="22"/>
        </w:rPr>
        <w:t xml:space="preserve"> </w:t>
      </w:r>
      <w:r w:rsidR="00AD0453">
        <w:rPr>
          <w:rFonts w:ascii="Palatino Linotype" w:hAnsi="Palatino Linotype" w:cs="Tahoma"/>
          <w:b/>
          <w:bCs/>
          <w:color w:val="0D0D0D" w:themeColor="text1" w:themeTint="F2"/>
          <w:sz w:val="22"/>
          <w:szCs w:val="22"/>
        </w:rPr>
        <w:t>01116/INFOEM/IP/RR/2022</w:t>
      </w:r>
      <w:r w:rsidRPr="009100C0">
        <w:rPr>
          <w:rFonts w:ascii="Palatino Linotype" w:hAnsi="Palatino Linotype" w:cs="Tahoma"/>
          <w:b/>
          <w:bCs/>
          <w:color w:val="0D0D0D" w:themeColor="text1" w:themeTint="F2"/>
          <w:sz w:val="22"/>
          <w:szCs w:val="22"/>
        </w:rPr>
        <w:t>,</w:t>
      </w:r>
      <w:r w:rsidRPr="009100C0">
        <w:rPr>
          <w:rFonts w:ascii="Palatino Linotype" w:hAnsi="Palatino Linotype"/>
          <w:sz w:val="22"/>
          <w:szCs w:val="22"/>
        </w:rPr>
        <w:t xml:space="preserve"> en consecuencia procede </w:t>
      </w:r>
      <w:r w:rsidRPr="009100C0">
        <w:rPr>
          <w:rFonts w:ascii="Palatino Linotype" w:hAnsi="Palatino Linotype" w:cs="Tahoma"/>
          <w:b/>
          <w:sz w:val="22"/>
          <w:szCs w:val="22"/>
        </w:rPr>
        <w:t>ORDENAR</w:t>
      </w:r>
      <w:r w:rsidRPr="009100C0">
        <w:rPr>
          <w:rFonts w:ascii="Palatino Linotype" w:hAnsi="Palatino Linotype" w:cs="Tahoma"/>
          <w:sz w:val="22"/>
          <w:szCs w:val="22"/>
        </w:rPr>
        <w:t xml:space="preserve">, </w:t>
      </w:r>
      <w:r w:rsidRPr="009100C0">
        <w:rPr>
          <w:rFonts w:ascii="Palatino Linotype" w:hAnsi="Palatino Linotype" w:cs="Tahoma"/>
          <w:bCs/>
          <w:iCs/>
          <w:sz w:val="22"/>
          <w:szCs w:val="22"/>
          <w:lang w:val="es-ES_tradnl"/>
        </w:rPr>
        <w:t xml:space="preserve">conceda </w:t>
      </w:r>
      <w:r>
        <w:rPr>
          <w:rFonts w:ascii="Palatino Linotype" w:hAnsi="Palatino Linotype" w:cs="Tahoma"/>
          <w:bCs/>
          <w:iCs/>
          <w:sz w:val="22"/>
          <w:szCs w:val="22"/>
          <w:lang w:val="es-ES_tradnl"/>
        </w:rPr>
        <w:t xml:space="preserve">en su caso en versión pública a través del Sistema de Acceso a la Información Mexiquense (SAIMEX) </w:t>
      </w:r>
      <w:r w:rsidRPr="007721C1">
        <w:rPr>
          <w:rFonts w:ascii="Palatino Linotype" w:hAnsi="Palatino Linotype" w:cs="Arial"/>
          <w:sz w:val="24"/>
          <w:szCs w:val="24"/>
        </w:rPr>
        <w:t xml:space="preserve">correo </w:t>
      </w:r>
      <w:r w:rsidRPr="007721C1">
        <w:rPr>
          <w:rFonts w:ascii="Palatino Linotype" w:hAnsi="Palatino Linotype" w:cs="Arial"/>
          <w:sz w:val="24"/>
          <w:szCs w:val="24"/>
        </w:rPr>
        <w:lastRenderedPageBreak/>
        <w:t>electrónico, medios magnéticos y CD</w:t>
      </w:r>
      <w:r>
        <w:rPr>
          <w:rFonts w:ascii="Palatino Linotype" w:hAnsi="Palatino Linotype" w:cs="Arial"/>
          <w:sz w:val="24"/>
          <w:szCs w:val="24"/>
        </w:rPr>
        <w:t>-ROM</w:t>
      </w:r>
      <w:r w:rsidRPr="00717D41">
        <w:rPr>
          <w:rFonts w:ascii="Palatino Linotype" w:hAnsi="Palatino Linotype" w:cs="Arial"/>
          <w:sz w:val="24"/>
          <w:szCs w:val="24"/>
          <w:lang w:val="es-ES"/>
        </w:rPr>
        <w:t>, el soporte documental en el que obre lo siguiente:</w:t>
      </w:r>
    </w:p>
    <w:p w14:paraId="0572A726" w14:textId="77777777" w:rsidR="0013455B" w:rsidRDefault="0013455B" w:rsidP="0013455B">
      <w:pPr>
        <w:tabs>
          <w:tab w:val="left" w:pos="4962"/>
        </w:tabs>
        <w:spacing w:line="360" w:lineRule="auto"/>
        <w:jc w:val="both"/>
        <w:rPr>
          <w:rFonts w:ascii="Palatino Linotype" w:hAnsi="Palatino Linotype" w:cs="Tahoma"/>
          <w:bCs/>
          <w:iCs/>
          <w:sz w:val="22"/>
          <w:szCs w:val="22"/>
          <w:lang w:val="es-ES_tradnl"/>
        </w:rPr>
      </w:pPr>
    </w:p>
    <w:p w14:paraId="1A83020C" w14:textId="77777777" w:rsidR="0013455B" w:rsidRPr="00717D41" w:rsidRDefault="0013455B" w:rsidP="0013455B">
      <w:pPr>
        <w:pStyle w:val="Prrafodelista"/>
        <w:numPr>
          <w:ilvl w:val="0"/>
          <w:numId w:val="20"/>
        </w:numPr>
        <w:spacing w:line="360" w:lineRule="auto"/>
        <w:contextualSpacing w:val="0"/>
        <w:jc w:val="both"/>
        <w:rPr>
          <w:rFonts w:ascii="Palatino Linotype" w:hAnsi="Palatino Linotype" w:cs="Arial"/>
        </w:rPr>
      </w:pPr>
      <w:r w:rsidRPr="00717D41">
        <w:rPr>
          <w:rFonts w:ascii="Palatino Linotype" w:hAnsi="Palatino Linotype" w:cs="Arial"/>
        </w:rPr>
        <w:t xml:space="preserve">Reportes del aplicativo “Visor de nómina del SAT” por los años 2018, 2019, 2020, y 2021 en sus tres presentaciones: </w:t>
      </w:r>
    </w:p>
    <w:p w14:paraId="2EF24467" w14:textId="77777777" w:rsidR="0013455B" w:rsidRPr="00717D41" w:rsidRDefault="0013455B" w:rsidP="0013455B">
      <w:pPr>
        <w:pStyle w:val="Prrafodelista"/>
        <w:numPr>
          <w:ilvl w:val="1"/>
          <w:numId w:val="21"/>
        </w:numPr>
        <w:spacing w:line="360" w:lineRule="auto"/>
        <w:contextualSpacing w:val="0"/>
        <w:jc w:val="both"/>
        <w:rPr>
          <w:rFonts w:ascii="Palatino Linotype" w:hAnsi="Palatino Linotype" w:cs="Arial"/>
        </w:rPr>
      </w:pPr>
      <w:r w:rsidRPr="00717D41">
        <w:rPr>
          <w:rFonts w:ascii="Palatino Linotype" w:hAnsi="Palatino Linotype" w:cs="Arial"/>
        </w:rPr>
        <w:t xml:space="preserve">Vista anual acumulada. </w:t>
      </w:r>
    </w:p>
    <w:p w14:paraId="1F36E62E" w14:textId="77777777" w:rsidR="0013455B" w:rsidRPr="00717D41" w:rsidRDefault="0013455B" w:rsidP="0013455B">
      <w:pPr>
        <w:pStyle w:val="Prrafodelista"/>
        <w:numPr>
          <w:ilvl w:val="1"/>
          <w:numId w:val="21"/>
        </w:numPr>
        <w:spacing w:line="360" w:lineRule="auto"/>
        <w:contextualSpacing w:val="0"/>
        <w:jc w:val="both"/>
        <w:rPr>
          <w:rFonts w:ascii="Palatino Linotype" w:hAnsi="Palatino Linotype" w:cs="Arial"/>
        </w:rPr>
      </w:pPr>
      <w:r w:rsidRPr="00717D41">
        <w:rPr>
          <w:rFonts w:ascii="Palatino Linotype" w:hAnsi="Palatino Linotype" w:cs="Arial"/>
        </w:rPr>
        <w:t xml:space="preserve">Detalle mensual. </w:t>
      </w:r>
    </w:p>
    <w:p w14:paraId="1829467C" w14:textId="77777777" w:rsidR="0013455B" w:rsidRPr="00717D41" w:rsidRDefault="0013455B" w:rsidP="0013455B">
      <w:pPr>
        <w:pStyle w:val="Prrafodelista"/>
        <w:numPr>
          <w:ilvl w:val="1"/>
          <w:numId w:val="21"/>
        </w:numPr>
        <w:spacing w:line="360" w:lineRule="auto"/>
        <w:contextualSpacing w:val="0"/>
        <w:jc w:val="both"/>
        <w:rPr>
          <w:rFonts w:ascii="Palatino Linotype" w:hAnsi="Palatino Linotype" w:cs="Arial"/>
        </w:rPr>
      </w:pPr>
      <w:r w:rsidRPr="00717D41">
        <w:rPr>
          <w:rFonts w:ascii="Palatino Linotype" w:hAnsi="Palatino Linotype" w:cs="Arial"/>
        </w:rPr>
        <w:t xml:space="preserve">Detalle diferencias sueldos y salarios. </w:t>
      </w:r>
    </w:p>
    <w:p w14:paraId="0281B960" w14:textId="77777777" w:rsidR="0013455B" w:rsidRPr="008D206F" w:rsidRDefault="0013455B" w:rsidP="0013455B">
      <w:pPr>
        <w:pStyle w:val="Prrafodelista"/>
        <w:numPr>
          <w:ilvl w:val="0"/>
          <w:numId w:val="20"/>
        </w:numPr>
        <w:spacing w:line="360" w:lineRule="auto"/>
        <w:contextualSpacing w:val="0"/>
        <w:jc w:val="both"/>
        <w:rPr>
          <w:rFonts w:ascii="Palatino Linotype" w:hAnsi="Palatino Linotype" w:cs="Arial"/>
        </w:rPr>
      </w:pPr>
      <w:r w:rsidRPr="008D206F">
        <w:rPr>
          <w:rFonts w:ascii="Palatino Linotype" w:hAnsi="Palatino Linotype" w:cs="Arial"/>
        </w:rPr>
        <w:t>La opinión de no adeudo en el cumplimiento de obligaciones fiscales emitida por el Servicio de Administración Tributaria (SAT);</w:t>
      </w:r>
    </w:p>
    <w:p w14:paraId="45B13F70" w14:textId="77777777" w:rsidR="0013455B" w:rsidRDefault="0013455B" w:rsidP="0013455B">
      <w:pPr>
        <w:pStyle w:val="Prrafodelista"/>
        <w:numPr>
          <w:ilvl w:val="0"/>
          <w:numId w:val="20"/>
        </w:numPr>
        <w:spacing w:line="360" w:lineRule="auto"/>
        <w:contextualSpacing w:val="0"/>
        <w:jc w:val="both"/>
        <w:rPr>
          <w:rFonts w:ascii="Palatino Linotype" w:hAnsi="Palatino Linotype" w:cs="Arial"/>
        </w:rPr>
      </w:pPr>
      <w:r w:rsidRPr="00717D41">
        <w:rPr>
          <w:rFonts w:ascii="Palatino Linotype" w:hAnsi="Palatino Linotype" w:cs="Arial"/>
        </w:rPr>
        <w:t xml:space="preserve">Retenciones del Impuesto Sobre la Renta por Salarios, Honorarios y Arrendamiento del periodo del 01 de enero de 2019, hasta el 31 de octubre de 2021 </w:t>
      </w:r>
    </w:p>
    <w:p w14:paraId="3BDB81EF" w14:textId="77777777" w:rsidR="006F4E68" w:rsidRPr="00C257C7" w:rsidRDefault="006F4E68" w:rsidP="006F4E68">
      <w:pPr>
        <w:pStyle w:val="Prrafodelista"/>
        <w:numPr>
          <w:ilvl w:val="0"/>
          <w:numId w:val="20"/>
        </w:numPr>
        <w:spacing w:line="360" w:lineRule="auto"/>
        <w:jc w:val="both"/>
        <w:rPr>
          <w:rFonts w:ascii="Palatino Linotype" w:hAnsi="Palatino Linotype" w:cs="Tahoma"/>
          <w:szCs w:val="22"/>
          <w:lang w:val="es-ES"/>
        </w:rPr>
      </w:pPr>
      <w:r w:rsidRPr="00C257C7">
        <w:rPr>
          <w:rFonts w:ascii="Palatino Linotype" w:hAnsi="Palatino Linotype" w:cs="Tahoma"/>
          <w:szCs w:val="22"/>
          <w:lang w:val="es-ES"/>
        </w:rPr>
        <w:t>El Acuerdo de Incompetencia donde el Comité de Transparencia, confirme que el Sujeto Obligado no resulta competente para conocer la información</w:t>
      </w:r>
      <w:r>
        <w:rPr>
          <w:rFonts w:ascii="Palatino Linotype" w:hAnsi="Palatino Linotype" w:cs="Tahoma"/>
          <w:szCs w:val="22"/>
          <w:lang w:val="es-ES"/>
        </w:rPr>
        <w:t xml:space="preserve"> de los organismos descentralizados señalados en el </w:t>
      </w:r>
      <w:r w:rsidRPr="006F4E68">
        <w:rPr>
          <w:rFonts w:ascii="Palatino Linotype" w:hAnsi="Palatino Linotype" w:cs="Tahoma"/>
          <w:b/>
          <w:szCs w:val="22"/>
          <w:lang w:val="es-ES"/>
        </w:rPr>
        <w:t>CONSIDERANDO QUINTO</w:t>
      </w:r>
      <w:r w:rsidRPr="00C257C7">
        <w:rPr>
          <w:rFonts w:ascii="Palatino Linotype" w:hAnsi="Palatino Linotype" w:cs="Tahoma"/>
          <w:szCs w:val="22"/>
          <w:lang w:val="es-ES"/>
        </w:rPr>
        <w:t>, de conformidad con los artículos 49, fracción II y 167de la Ley de Transparencia y Acceso a la Información Pública del Estado de México y Municipios.</w:t>
      </w:r>
    </w:p>
    <w:p w14:paraId="6F147AEC" w14:textId="77777777" w:rsidR="0013455B" w:rsidRDefault="0013455B" w:rsidP="0013455B">
      <w:pPr>
        <w:tabs>
          <w:tab w:val="left" w:pos="4962"/>
        </w:tabs>
        <w:spacing w:line="360" w:lineRule="auto"/>
        <w:jc w:val="both"/>
        <w:rPr>
          <w:rFonts w:ascii="Palatino Linotype" w:hAnsi="Palatino Linotype" w:cs="Tahoma"/>
          <w:bCs/>
          <w:iCs/>
          <w:sz w:val="22"/>
          <w:szCs w:val="22"/>
          <w:lang w:val="es-ES_tradnl"/>
        </w:rPr>
      </w:pPr>
    </w:p>
    <w:p w14:paraId="7FBCAC69" w14:textId="77777777" w:rsidR="0013455B" w:rsidRPr="00F55329" w:rsidRDefault="0013455B" w:rsidP="0013455B">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042F41F1"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p>
    <w:p w14:paraId="24016F87"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r w:rsidRPr="0013455B">
        <w:rPr>
          <w:rFonts w:ascii="Palatino Linotype" w:eastAsia="Calibri" w:hAnsi="Palatino Linotype" w:cs="Tahoma"/>
          <w:bCs/>
          <w:sz w:val="22"/>
          <w:szCs w:val="22"/>
          <w:lang w:eastAsia="en-US"/>
        </w:rPr>
        <w:lastRenderedPageBreak/>
        <w:t xml:space="preserve">Para la expedición de la información en medios magnéticos (con costo) y CD-ROM (con costo), el Sujeto Obligado deberá informar al Recurrente mediante SAIMEX el procedimiento exacto y detallado para su obtención (lugar, días, horas hábiles, etc.), debiendo acreditar El Sujeto Obligado la entrega de la información al Recurrente. Para el caso de que el </w:t>
      </w:r>
      <w:r w:rsidR="001A6CBB" w:rsidRPr="0013455B">
        <w:rPr>
          <w:rFonts w:ascii="Palatino Linotype" w:eastAsia="Calibri" w:hAnsi="Palatino Linotype" w:cs="Tahoma"/>
          <w:bCs/>
          <w:sz w:val="22"/>
          <w:szCs w:val="22"/>
          <w:lang w:eastAsia="en-US"/>
        </w:rPr>
        <w:t xml:space="preserve">Particular </w:t>
      </w:r>
      <w:r w:rsidRPr="0013455B">
        <w:rPr>
          <w:rFonts w:ascii="Palatino Linotype" w:eastAsia="Calibri" w:hAnsi="Palatino Linotype" w:cs="Tahoma"/>
          <w:bCs/>
          <w:sz w:val="22"/>
          <w:szCs w:val="22"/>
          <w:lang w:eastAsia="en-US"/>
        </w:rPr>
        <w:t>proporcione a la autoridad municipal el medio magnético o CD-ROM en el que requiera le sea entregada la información pública no habrá costo que cubrir.</w:t>
      </w:r>
    </w:p>
    <w:p w14:paraId="662051A0"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p>
    <w:p w14:paraId="00E86130"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r w:rsidRPr="0013455B">
        <w:rPr>
          <w:rFonts w:ascii="Palatino Linotype" w:eastAsia="Calibri" w:hAnsi="Palatino Linotype" w:cs="Tahoma"/>
          <w:bCs/>
          <w:sz w:val="22"/>
          <w:szCs w:val="22"/>
          <w:lang w:eastAsia="en-US"/>
        </w:rPr>
        <w:t xml:space="preserve">Respecto del </w:t>
      </w:r>
      <w:r w:rsidR="001A6CBB">
        <w:rPr>
          <w:rFonts w:ascii="Palatino Linotype" w:eastAsia="Calibri" w:hAnsi="Palatino Linotype" w:cs="Tahoma"/>
          <w:bCs/>
          <w:sz w:val="22"/>
          <w:szCs w:val="22"/>
          <w:lang w:eastAsia="en-US"/>
        </w:rPr>
        <w:t>punto 1</w:t>
      </w:r>
      <w:r w:rsidRPr="0013455B">
        <w:rPr>
          <w:rFonts w:ascii="Palatino Linotype" w:eastAsia="Calibri" w:hAnsi="Palatino Linotype" w:cs="Tahoma"/>
          <w:bCs/>
          <w:sz w:val="22"/>
          <w:szCs w:val="22"/>
          <w:lang w:eastAsia="en-US"/>
        </w:rPr>
        <w:t>, en el supuesto que una vez agotada la búsqueda de la información, se acredite no contar con la misma, deberá hacerlo del conocimiento del Recurrente, en términos del artículo 19 de la Ley de Transparencia local.</w:t>
      </w:r>
    </w:p>
    <w:p w14:paraId="6DE51DCA"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p>
    <w:p w14:paraId="09B4C6CC" w14:textId="77777777" w:rsidR="0013455B" w:rsidRDefault="0013455B" w:rsidP="0013455B">
      <w:pPr>
        <w:spacing w:line="360" w:lineRule="auto"/>
        <w:jc w:val="both"/>
        <w:rPr>
          <w:rFonts w:ascii="Palatino Linotype" w:hAnsi="Palatino Linotype" w:cs="Tahoma"/>
          <w:b/>
          <w:bCs/>
          <w:sz w:val="22"/>
          <w:szCs w:val="22"/>
        </w:rPr>
      </w:pPr>
      <w:r w:rsidRPr="009100C0">
        <w:rPr>
          <w:rFonts w:ascii="Palatino Linotype" w:hAnsi="Palatino Linotype" w:cs="Tahoma"/>
          <w:b/>
          <w:bCs/>
          <w:sz w:val="22"/>
          <w:szCs w:val="22"/>
        </w:rPr>
        <w:t>Términos de la Resolución para el Recurrente:</w:t>
      </w:r>
    </w:p>
    <w:p w14:paraId="773B3B3A" w14:textId="77777777" w:rsidR="0013455B" w:rsidRPr="009100C0" w:rsidRDefault="0013455B" w:rsidP="0013455B">
      <w:pPr>
        <w:spacing w:line="360" w:lineRule="auto"/>
        <w:jc w:val="both"/>
        <w:rPr>
          <w:rFonts w:ascii="Palatino Linotype" w:hAnsi="Palatino Linotype" w:cs="Tahoma"/>
          <w:b/>
          <w:bCs/>
          <w:sz w:val="22"/>
          <w:szCs w:val="22"/>
        </w:rPr>
      </w:pPr>
    </w:p>
    <w:p w14:paraId="365C05F9" w14:textId="77777777" w:rsidR="0013455B" w:rsidRPr="009100C0" w:rsidRDefault="0013455B" w:rsidP="0013455B">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14:paraId="035DFC80" w14:textId="77777777" w:rsidR="0013455B" w:rsidRDefault="0013455B" w:rsidP="0013455B">
      <w:pPr>
        <w:spacing w:line="360" w:lineRule="auto"/>
        <w:jc w:val="both"/>
        <w:rPr>
          <w:rFonts w:ascii="Palatino Linotype" w:hAnsi="Palatino Linotype" w:cs="Tahoma"/>
          <w:bCs/>
          <w:sz w:val="22"/>
          <w:szCs w:val="22"/>
          <w:u w:val="single"/>
        </w:rPr>
      </w:pPr>
    </w:p>
    <w:p w14:paraId="47AC6236" w14:textId="12493736" w:rsidR="0013455B" w:rsidRDefault="0013455B" w:rsidP="0013455B">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sidR="003829DF">
        <w:rPr>
          <w:rFonts w:ascii="Palatino Linotype" w:hAnsi="Palatino Linotype" w:cs="Tahoma"/>
          <w:bCs/>
          <w:sz w:val="22"/>
          <w:szCs w:val="22"/>
          <w:u w:val="single"/>
        </w:rPr>
        <w:t>MODIFICAR</w:t>
      </w:r>
      <w:r>
        <w:rPr>
          <w:rFonts w:ascii="Palatino Linotype" w:hAnsi="Palatino Linotype" w:cs="Tahoma"/>
          <w:bCs/>
          <w:sz w:val="22"/>
          <w:szCs w:val="22"/>
          <w:u w:val="single"/>
        </w:rPr>
        <w:t xml:space="preserve">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Pr>
          <w:rFonts w:ascii="Palatino Linotype" w:hAnsi="Palatino Linotype" w:cs="Tahoma"/>
          <w:bCs/>
          <w:sz w:val="22"/>
          <w:szCs w:val="22"/>
          <w:u w:val="single"/>
        </w:rPr>
        <w:t>el Sujeto Obligado no entregó la documentación solicitada, ya que no señaló de manera clara y precisa los impedimentos para proporcionarle la información, aunado a que es información de interés público, por lo que procede la entrega del o los documentos solicitados, en su caso en versión pública.</w:t>
      </w:r>
    </w:p>
    <w:p w14:paraId="3B4095CC" w14:textId="77777777" w:rsidR="0013455B" w:rsidRPr="00905EC8" w:rsidRDefault="0013455B" w:rsidP="0013455B">
      <w:pPr>
        <w:spacing w:line="360" w:lineRule="auto"/>
        <w:jc w:val="both"/>
        <w:rPr>
          <w:rFonts w:ascii="Palatino Linotype" w:hAnsi="Palatino Linotype" w:cs="Tahoma"/>
          <w:bCs/>
          <w:sz w:val="22"/>
          <w:szCs w:val="22"/>
          <w:u w:val="single"/>
        </w:rPr>
      </w:pPr>
    </w:p>
    <w:p w14:paraId="37BF8754" w14:textId="77777777" w:rsidR="0013455B" w:rsidRPr="009100C0" w:rsidRDefault="0013455B" w:rsidP="0013455B">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49B781A6" w14:textId="77777777" w:rsidR="0013455B" w:rsidRPr="007B1A35" w:rsidRDefault="0013455B" w:rsidP="0013455B">
      <w:pPr>
        <w:spacing w:line="360" w:lineRule="auto"/>
        <w:jc w:val="both"/>
        <w:rPr>
          <w:rFonts w:ascii="Palatino Linotype" w:hAnsi="Palatino Linotype" w:cs="Tahoma"/>
          <w:bCs/>
          <w:color w:val="000000"/>
          <w:sz w:val="22"/>
          <w:szCs w:val="22"/>
        </w:rPr>
      </w:pPr>
    </w:p>
    <w:p w14:paraId="1FF598DF" w14:textId="77777777" w:rsidR="0013455B" w:rsidRPr="00014834" w:rsidRDefault="0013455B" w:rsidP="0013455B">
      <w:pPr>
        <w:spacing w:line="360" w:lineRule="auto"/>
        <w:jc w:val="both"/>
        <w:rPr>
          <w:rFonts w:ascii="Palatino Linotype" w:eastAsia="Calibri" w:hAnsi="Palatino Linotype" w:cs="Tahoma"/>
          <w:bCs/>
          <w:sz w:val="22"/>
          <w:lang w:eastAsia="en-US"/>
        </w:rPr>
      </w:pPr>
      <w:r w:rsidRPr="00014834">
        <w:rPr>
          <w:rFonts w:ascii="Palatino Linotype" w:eastAsia="Calibri" w:hAnsi="Palatino Linotype" w:cs="Tahoma"/>
          <w:bCs/>
          <w:sz w:val="22"/>
          <w:lang w:eastAsia="en-US"/>
        </w:rPr>
        <w:t>Por lo expuesto y fundado, este Pleno:</w:t>
      </w:r>
    </w:p>
    <w:p w14:paraId="2BF65524" w14:textId="77777777" w:rsidR="0013455B" w:rsidRPr="00871BE0" w:rsidRDefault="0013455B" w:rsidP="0013455B">
      <w:pPr>
        <w:spacing w:line="360" w:lineRule="auto"/>
        <w:ind w:right="-93"/>
        <w:jc w:val="both"/>
        <w:rPr>
          <w:rFonts w:ascii="Palatino Linotype" w:hAnsi="Palatino Linotype" w:cs="Tahoma"/>
          <w:sz w:val="22"/>
          <w:szCs w:val="22"/>
        </w:rPr>
      </w:pPr>
    </w:p>
    <w:p w14:paraId="242D0D69" w14:textId="77777777" w:rsidR="0013455B" w:rsidRPr="00733CE0" w:rsidRDefault="0013455B" w:rsidP="0013455B">
      <w:pPr>
        <w:spacing w:line="360" w:lineRule="auto"/>
        <w:contextualSpacing/>
        <w:jc w:val="center"/>
        <w:rPr>
          <w:rFonts w:ascii="Palatino Linotype" w:eastAsia="Calibri" w:hAnsi="Palatino Linotype" w:cs="Tahoma"/>
          <w:b/>
          <w:bCs/>
          <w:sz w:val="22"/>
          <w:szCs w:val="22"/>
          <w:lang w:eastAsia="en-US"/>
        </w:rPr>
      </w:pPr>
      <w:r w:rsidRPr="00733CE0">
        <w:rPr>
          <w:rFonts w:ascii="Palatino Linotype" w:eastAsia="Calibri" w:hAnsi="Palatino Linotype" w:cs="Tahoma"/>
          <w:b/>
          <w:bCs/>
          <w:sz w:val="22"/>
          <w:szCs w:val="22"/>
          <w:lang w:eastAsia="en-US"/>
        </w:rPr>
        <w:t>R E S U E L V E</w:t>
      </w:r>
    </w:p>
    <w:p w14:paraId="6F684BFC" w14:textId="77777777" w:rsidR="0013455B" w:rsidRPr="00733CE0" w:rsidRDefault="0013455B" w:rsidP="0013455B">
      <w:pPr>
        <w:spacing w:line="360" w:lineRule="auto"/>
        <w:contextualSpacing/>
        <w:jc w:val="center"/>
        <w:rPr>
          <w:rFonts w:ascii="Palatino Linotype" w:hAnsi="Palatino Linotype" w:cs="Tahoma"/>
          <w:b/>
          <w:bCs/>
          <w:sz w:val="22"/>
          <w:szCs w:val="22"/>
        </w:rPr>
      </w:pPr>
    </w:p>
    <w:p w14:paraId="0F37F065" w14:textId="1D45E592" w:rsidR="0013455B" w:rsidRPr="00733CE0" w:rsidRDefault="0013455B" w:rsidP="0013455B">
      <w:pPr>
        <w:spacing w:line="360" w:lineRule="auto"/>
        <w:contextualSpacing/>
        <w:jc w:val="both"/>
        <w:rPr>
          <w:rFonts w:ascii="Palatino Linotype" w:eastAsia="Calibri" w:hAnsi="Palatino Linotype"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sidR="00B16DA5">
        <w:rPr>
          <w:rFonts w:ascii="Palatino Linotype" w:hAnsi="Palatino Linotype" w:cs="Tahoma"/>
          <w:b/>
          <w:bCs/>
          <w:sz w:val="22"/>
          <w:szCs w:val="22"/>
        </w:rPr>
        <w:t>MODIFICA</w:t>
      </w:r>
      <w:r w:rsidRPr="00733CE0">
        <w:rPr>
          <w:rFonts w:ascii="Palatino Linotype" w:hAnsi="Palatino Linotype" w:cs="Tahoma"/>
          <w:bCs/>
          <w:sz w:val="22"/>
          <w:szCs w:val="22"/>
        </w:rPr>
        <w:t xml:space="preserve"> la respuesta entregada por </w:t>
      </w:r>
      <w:r>
        <w:rPr>
          <w:rFonts w:ascii="Palatino Linotype" w:hAnsi="Palatino Linotype" w:cs="Tahoma"/>
          <w:bCs/>
          <w:sz w:val="22"/>
          <w:szCs w:val="22"/>
        </w:rPr>
        <w:t>e</w:t>
      </w:r>
      <w:r w:rsidRPr="00733CE0">
        <w:rPr>
          <w:rFonts w:ascii="Palatino Linotype" w:hAnsi="Palatino Linotype" w:cs="Tahoma"/>
          <w:bCs/>
          <w:sz w:val="22"/>
          <w:szCs w:val="22"/>
        </w:rPr>
        <w:t>l</w:t>
      </w:r>
      <w:r>
        <w:rPr>
          <w:rFonts w:ascii="Palatino Linotype" w:hAnsi="Palatino Linotype" w:cs="Tahoma"/>
          <w:bCs/>
          <w:sz w:val="22"/>
          <w:szCs w:val="22"/>
        </w:rPr>
        <w:t xml:space="preserve"> </w:t>
      </w:r>
      <w:r w:rsidR="00117F37">
        <w:rPr>
          <w:rFonts w:ascii="Palatino Linotype" w:hAnsi="Palatino Linotype" w:cs="Tahoma"/>
          <w:b/>
          <w:bCs/>
          <w:sz w:val="22"/>
          <w:szCs w:val="22"/>
        </w:rPr>
        <w:t xml:space="preserve">Organismo Público Descentralizado para la Prestación de </w:t>
      </w:r>
      <w:r w:rsidR="005B04C3">
        <w:rPr>
          <w:rFonts w:ascii="Palatino Linotype" w:hAnsi="Palatino Linotype" w:cs="Tahoma"/>
          <w:b/>
          <w:bCs/>
          <w:sz w:val="22"/>
          <w:szCs w:val="22"/>
        </w:rPr>
        <w:t>l</w:t>
      </w:r>
      <w:r w:rsidR="00117F37">
        <w:rPr>
          <w:rFonts w:ascii="Palatino Linotype" w:hAnsi="Palatino Linotype" w:cs="Tahoma"/>
          <w:b/>
          <w:bCs/>
          <w:sz w:val="22"/>
          <w:szCs w:val="22"/>
        </w:rPr>
        <w:t>os Servicios de Agua Potable Alcantarillado y Saneamiento del Municipio de Lerma</w:t>
      </w:r>
      <w:r>
        <w:rPr>
          <w:rFonts w:ascii="Palatino Linotype" w:hAnsi="Palatino Linotype" w:cs="Tahoma"/>
          <w:b/>
          <w:bCs/>
          <w:sz w:val="22"/>
          <w:szCs w:val="22"/>
        </w:rPr>
        <w:t xml:space="preserve"> </w:t>
      </w:r>
      <w:r w:rsidRPr="00B16DA5">
        <w:rPr>
          <w:rFonts w:ascii="Palatino Linotype" w:eastAsia="Calibri" w:hAnsi="Palatino Linotype" w:cs="Tahoma"/>
          <w:sz w:val="22"/>
          <w:szCs w:val="22"/>
          <w:lang w:eastAsia="en-US"/>
        </w:rPr>
        <w:t>a</w:t>
      </w:r>
      <w:r w:rsidRPr="00733CE0">
        <w:rPr>
          <w:rFonts w:ascii="Palatino Linotype" w:hAnsi="Palatino Linotype" w:cs="Tahoma"/>
          <w:bCs/>
          <w:sz w:val="22"/>
          <w:szCs w:val="22"/>
        </w:rPr>
        <w:t xml:space="preserve"> la solicitud de información </w:t>
      </w:r>
      <w:r w:rsidR="00117F37">
        <w:rPr>
          <w:rFonts w:ascii="Palatino Linotype" w:hAnsi="Palatino Linotype"/>
          <w:b/>
          <w:bCs/>
          <w:sz w:val="22"/>
          <w:szCs w:val="22"/>
        </w:rPr>
        <w:t>00002/OASLERMA/IP/2022</w:t>
      </w:r>
      <w:r>
        <w:rPr>
          <w:rFonts w:ascii="Palatino Linotype" w:hAnsi="Palatino Linotype"/>
          <w:b/>
          <w:bCs/>
          <w:sz w:val="22"/>
          <w:szCs w:val="22"/>
        </w:rPr>
        <w:t xml:space="preserve"> </w:t>
      </w:r>
      <w:r w:rsidRPr="00733CE0">
        <w:rPr>
          <w:rFonts w:ascii="Palatino Linotype" w:hAnsi="Palatino Linotype"/>
          <w:bCs/>
          <w:sz w:val="22"/>
          <w:szCs w:val="22"/>
        </w:rPr>
        <w:t xml:space="preserve">por resultar </w:t>
      </w:r>
      <w:r>
        <w:rPr>
          <w:rFonts w:ascii="Palatino Linotype" w:hAnsi="Palatino Linotype"/>
          <w:bCs/>
          <w:sz w:val="22"/>
          <w:szCs w:val="22"/>
        </w:rPr>
        <w:t xml:space="preserve">parcialmente </w:t>
      </w:r>
      <w:r w:rsidRPr="00733CE0">
        <w:rPr>
          <w:rFonts w:ascii="Palatino Linotype" w:hAnsi="Palatino Linotype"/>
          <w:b/>
          <w:bCs/>
          <w:sz w:val="22"/>
          <w:szCs w:val="22"/>
        </w:rPr>
        <w:t>FUNDADAS</w:t>
      </w:r>
      <w:r w:rsidRPr="00733CE0">
        <w:rPr>
          <w:rFonts w:ascii="Palatino Linotype" w:hAnsi="Palatino Linotype" w:cs="Tahoma"/>
          <w:bCs/>
          <w:sz w:val="22"/>
          <w:szCs w:val="22"/>
        </w:rPr>
        <w:t xml:space="preserve"> </w:t>
      </w:r>
      <w:r w:rsidRPr="00733CE0">
        <w:rPr>
          <w:rFonts w:ascii="Palatino Linotype" w:eastAsia="Calibri" w:hAnsi="Palatino Linotype" w:cs="Tahoma"/>
          <w:bCs/>
          <w:sz w:val="22"/>
          <w:szCs w:val="22"/>
          <w:lang w:eastAsia="en-US"/>
        </w:rPr>
        <w:t xml:space="preserve">las razones o motivos de inconformidad hechos valer por </w:t>
      </w:r>
      <w:r>
        <w:rPr>
          <w:rFonts w:ascii="Palatino Linotype" w:eastAsia="Calibri" w:hAnsi="Palatino Linotype" w:cs="Tahoma"/>
          <w:bCs/>
          <w:sz w:val="22"/>
          <w:szCs w:val="22"/>
          <w:lang w:eastAsia="en-US"/>
        </w:rPr>
        <w:t>el</w:t>
      </w:r>
      <w:r w:rsidRPr="00733CE0">
        <w:rPr>
          <w:rFonts w:ascii="Palatino Linotype" w:eastAsia="Calibri" w:hAnsi="Palatino Linotype" w:cs="Tahoma"/>
          <w:bCs/>
          <w:sz w:val="22"/>
          <w:szCs w:val="22"/>
          <w:lang w:eastAsia="en-US"/>
        </w:rPr>
        <w:t xml:space="preserve"> Recurrente en el Recurso de Revisión </w:t>
      </w:r>
      <w:r w:rsidR="00AD0453">
        <w:rPr>
          <w:rFonts w:ascii="Palatino Linotype" w:hAnsi="Palatino Linotype" w:cs="Tahoma"/>
          <w:b/>
          <w:bCs/>
          <w:color w:val="0D0D0D" w:themeColor="text1" w:themeTint="F2"/>
          <w:sz w:val="22"/>
          <w:szCs w:val="22"/>
        </w:rPr>
        <w:t>01116/INFOEM/IP/RR/2022</w:t>
      </w:r>
      <w:r w:rsidRPr="00733CE0">
        <w:rPr>
          <w:rFonts w:ascii="Palatino Linotype" w:eastAsia="Calibri" w:hAnsi="Palatino Linotype" w:cs="Tahoma"/>
          <w:bCs/>
          <w:sz w:val="22"/>
          <w:szCs w:val="22"/>
          <w:lang w:eastAsia="en-US"/>
        </w:rPr>
        <w:t xml:space="preserve">, en términos de los considerandos </w:t>
      </w:r>
      <w:r w:rsidRPr="005B04C3">
        <w:rPr>
          <w:rFonts w:ascii="Palatino Linotype" w:eastAsia="Calibri" w:hAnsi="Palatino Linotype" w:cs="Tahoma"/>
          <w:sz w:val="22"/>
          <w:szCs w:val="22"/>
          <w:lang w:eastAsia="en-US"/>
        </w:rPr>
        <w:t>QUINTO y SEXTO</w:t>
      </w:r>
      <w:r w:rsidRPr="00733CE0">
        <w:rPr>
          <w:rFonts w:ascii="Palatino Linotype" w:eastAsia="Calibri" w:hAnsi="Palatino Linotype" w:cs="Tahoma"/>
          <w:bCs/>
          <w:sz w:val="22"/>
          <w:szCs w:val="22"/>
          <w:lang w:eastAsia="en-US"/>
        </w:rPr>
        <w:t xml:space="preserve"> de la presente Resolución.</w:t>
      </w:r>
    </w:p>
    <w:p w14:paraId="700E1141" w14:textId="77777777" w:rsidR="0013455B" w:rsidRPr="00733CE0" w:rsidRDefault="0013455B" w:rsidP="0013455B">
      <w:pPr>
        <w:spacing w:line="360" w:lineRule="auto"/>
        <w:contextualSpacing/>
        <w:jc w:val="both"/>
        <w:rPr>
          <w:rFonts w:ascii="Palatino Linotype" w:hAnsi="Palatino Linotype" w:cs="Tahoma"/>
          <w:bCs/>
          <w:sz w:val="22"/>
          <w:szCs w:val="22"/>
        </w:rPr>
      </w:pPr>
    </w:p>
    <w:p w14:paraId="66B8DE27" w14:textId="42742D31" w:rsidR="0013455B" w:rsidRPr="00717D41" w:rsidRDefault="0013455B" w:rsidP="0013455B">
      <w:pPr>
        <w:autoSpaceDE w:val="0"/>
        <w:autoSpaceDN w:val="0"/>
        <w:adjustRightInd w:val="0"/>
        <w:spacing w:line="360" w:lineRule="auto"/>
        <w:ind w:right="49"/>
        <w:jc w:val="both"/>
        <w:rPr>
          <w:rFonts w:ascii="Palatino Linotype" w:hAnsi="Palatino Linotype" w:cs="Arial"/>
          <w:sz w:val="24"/>
          <w:szCs w:val="24"/>
          <w:lang w:val="es-ES"/>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 xml:space="preserve">al </w:t>
      </w:r>
      <w:r w:rsidR="00117F37">
        <w:rPr>
          <w:rFonts w:ascii="Palatino Linotype" w:eastAsia="Calibri" w:hAnsi="Palatino Linotype" w:cs="Tahoma"/>
          <w:b/>
          <w:bCs/>
          <w:sz w:val="22"/>
          <w:szCs w:val="22"/>
          <w:lang w:eastAsia="en-US"/>
        </w:rPr>
        <w:t xml:space="preserve">Organismo Público Descentralizado para la Prestación de </w:t>
      </w:r>
      <w:r w:rsidR="005B04C3">
        <w:rPr>
          <w:rFonts w:ascii="Palatino Linotype" w:eastAsia="Calibri" w:hAnsi="Palatino Linotype" w:cs="Tahoma"/>
          <w:b/>
          <w:bCs/>
          <w:sz w:val="22"/>
          <w:szCs w:val="22"/>
          <w:lang w:eastAsia="en-US"/>
        </w:rPr>
        <w:t>l</w:t>
      </w:r>
      <w:r w:rsidR="00117F37">
        <w:rPr>
          <w:rFonts w:ascii="Palatino Linotype" w:eastAsia="Calibri" w:hAnsi="Palatino Linotype" w:cs="Tahoma"/>
          <w:b/>
          <w:bCs/>
          <w:sz w:val="22"/>
          <w:szCs w:val="22"/>
          <w:lang w:eastAsia="en-US"/>
        </w:rPr>
        <w:t>os Servicios de Agua Potable Alcantarillado y Saneamiento del Municipio de Lerma</w:t>
      </w:r>
      <w:r w:rsidRPr="00733CE0">
        <w:rPr>
          <w:rFonts w:ascii="Palatino Linotype" w:hAnsi="Palatino Linotype" w:cs="Tahoma"/>
          <w:sz w:val="22"/>
          <w:szCs w:val="22"/>
        </w:rPr>
        <w:t xml:space="preserve">, a efecto de que, previa búsqueda exhaustiva y razonable en los archivos de sus áreas competentes, remita </w:t>
      </w:r>
      <w:r w:rsidRPr="009100C0">
        <w:rPr>
          <w:rFonts w:ascii="Palatino Linotype" w:hAnsi="Palatino Linotype" w:cs="Tahoma"/>
          <w:bCs/>
          <w:iCs/>
          <w:sz w:val="22"/>
          <w:szCs w:val="22"/>
          <w:lang w:val="es-ES_tradnl"/>
        </w:rPr>
        <w:t>de ser procedente en versión pública</w:t>
      </w:r>
      <w:r>
        <w:rPr>
          <w:rFonts w:ascii="Palatino Linotype" w:hAnsi="Palatino Linotype" w:cs="Tahoma"/>
          <w:bCs/>
          <w:iCs/>
          <w:sz w:val="22"/>
          <w:szCs w:val="22"/>
          <w:lang w:val="es-ES_tradnl"/>
        </w:rPr>
        <w:t xml:space="preserve">, </w:t>
      </w:r>
      <w:r w:rsidRPr="00733CE0">
        <w:rPr>
          <w:rFonts w:ascii="Palatino Linotype" w:hAnsi="Palatino Linotype" w:cs="Tahoma"/>
          <w:bCs/>
          <w:iCs/>
          <w:sz w:val="22"/>
          <w:szCs w:val="22"/>
        </w:rPr>
        <w:t xml:space="preserve">a través </w:t>
      </w:r>
      <w:r>
        <w:rPr>
          <w:rFonts w:ascii="Palatino Linotype" w:hAnsi="Palatino Linotype" w:cs="Tahoma"/>
          <w:bCs/>
          <w:iCs/>
          <w:sz w:val="22"/>
          <w:szCs w:val="22"/>
          <w:lang w:val="es-ES_tradnl"/>
        </w:rPr>
        <w:t xml:space="preserve">del Sistema de Acceso a la Información Mexiquense (SAIMEX) </w:t>
      </w:r>
      <w:r w:rsidRPr="007721C1">
        <w:rPr>
          <w:rFonts w:ascii="Palatino Linotype" w:hAnsi="Palatino Linotype" w:cs="Arial"/>
          <w:sz w:val="24"/>
          <w:szCs w:val="24"/>
        </w:rPr>
        <w:t>correo electrónico, medios magnéticos y CD</w:t>
      </w:r>
      <w:r>
        <w:rPr>
          <w:rFonts w:ascii="Palatino Linotype" w:hAnsi="Palatino Linotype" w:cs="Arial"/>
          <w:sz w:val="24"/>
          <w:szCs w:val="24"/>
        </w:rPr>
        <w:t>-ROM</w:t>
      </w:r>
      <w:r w:rsidRPr="00717D41">
        <w:rPr>
          <w:rFonts w:ascii="Palatino Linotype" w:hAnsi="Palatino Linotype" w:cs="Arial"/>
          <w:sz w:val="24"/>
          <w:szCs w:val="24"/>
          <w:lang w:val="es-ES"/>
        </w:rPr>
        <w:t>, el soporte documental en el que obre lo siguiente:</w:t>
      </w:r>
    </w:p>
    <w:p w14:paraId="5D2F5B9A" w14:textId="77777777" w:rsidR="0013455B" w:rsidRDefault="0013455B" w:rsidP="0013455B">
      <w:pPr>
        <w:tabs>
          <w:tab w:val="left" w:pos="4962"/>
        </w:tabs>
        <w:spacing w:line="360" w:lineRule="auto"/>
        <w:jc w:val="both"/>
        <w:rPr>
          <w:rFonts w:ascii="Palatino Linotype" w:hAnsi="Palatino Linotype" w:cs="Tahoma"/>
          <w:bCs/>
          <w:iCs/>
          <w:sz w:val="22"/>
          <w:szCs w:val="22"/>
          <w:lang w:val="es-ES_tradnl"/>
        </w:rPr>
      </w:pPr>
    </w:p>
    <w:p w14:paraId="7CDA1030" w14:textId="77777777" w:rsidR="0013455B" w:rsidRPr="00717D41" w:rsidRDefault="0013455B" w:rsidP="00895106">
      <w:pPr>
        <w:pStyle w:val="Prrafodelista"/>
        <w:numPr>
          <w:ilvl w:val="0"/>
          <w:numId w:val="22"/>
        </w:numPr>
        <w:spacing w:line="360" w:lineRule="auto"/>
        <w:ind w:left="709" w:right="539"/>
        <w:contextualSpacing w:val="0"/>
        <w:jc w:val="both"/>
        <w:rPr>
          <w:rFonts w:ascii="Palatino Linotype" w:hAnsi="Palatino Linotype" w:cs="Arial"/>
        </w:rPr>
      </w:pPr>
      <w:r w:rsidRPr="00717D41">
        <w:rPr>
          <w:rFonts w:ascii="Palatino Linotype" w:hAnsi="Palatino Linotype" w:cs="Arial"/>
        </w:rPr>
        <w:t xml:space="preserve">Reportes del aplicativo “Visor de nómina del SAT” por los años 2018, 2019, 2020, y 2021 en sus tres presentaciones: </w:t>
      </w:r>
    </w:p>
    <w:p w14:paraId="54ABFB32" w14:textId="77777777" w:rsidR="0013455B" w:rsidRPr="00717D41" w:rsidRDefault="0013455B" w:rsidP="00895106">
      <w:pPr>
        <w:pStyle w:val="Prrafodelista"/>
        <w:numPr>
          <w:ilvl w:val="1"/>
          <w:numId w:val="23"/>
        </w:numPr>
        <w:spacing w:line="360" w:lineRule="auto"/>
        <w:ind w:left="1418" w:right="539"/>
        <w:contextualSpacing w:val="0"/>
        <w:jc w:val="both"/>
        <w:rPr>
          <w:rFonts w:ascii="Palatino Linotype" w:hAnsi="Palatino Linotype" w:cs="Arial"/>
        </w:rPr>
      </w:pPr>
      <w:r w:rsidRPr="00717D41">
        <w:rPr>
          <w:rFonts w:ascii="Palatino Linotype" w:hAnsi="Palatino Linotype" w:cs="Arial"/>
        </w:rPr>
        <w:t xml:space="preserve">Vista anual acumulada. </w:t>
      </w:r>
    </w:p>
    <w:p w14:paraId="64D08D72" w14:textId="77777777" w:rsidR="0013455B" w:rsidRPr="00717D41" w:rsidRDefault="0013455B" w:rsidP="00895106">
      <w:pPr>
        <w:pStyle w:val="Prrafodelista"/>
        <w:numPr>
          <w:ilvl w:val="1"/>
          <w:numId w:val="23"/>
        </w:numPr>
        <w:spacing w:line="360" w:lineRule="auto"/>
        <w:ind w:left="1418" w:right="539"/>
        <w:contextualSpacing w:val="0"/>
        <w:jc w:val="both"/>
        <w:rPr>
          <w:rFonts w:ascii="Palatino Linotype" w:hAnsi="Palatino Linotype" w:cs="Arial"/>
        </w:rPr>
      </w:pPr>
      <w:r w:rsidRPr="00717D41">
        <w:rPr>
          <w:rFonts w:ascii="Palatino Linotype" w:hAnsi="Palatino Linotype" w:cs="Arial"/>
        </w:rPr>
        <w:t xml:space="preserve">Detalle mensual. </w:t>
      </w:r>
    </w:p>
    <w:p w14:paraId="2FCF37EA" w14:textId="1D84D879" w:rsidR="0013455B" w:rsidRDefault="0013455B" w:rsidP="00895106">
      <w:pPr>
        <w:pStyle w:val="Prrafodelista"/>
        <w:numPr>
          <w:ilvl w:val="1"/>
          <w:numId w:val="23"/>
        </w:numPr>
        <w:spacing w:line="360" w:lineRule="auto"/>
        <w:ind w:left="1418" w:right="539"/>
        <w:contextualSpacing w:val="0"/>
        <w:jc w:val="both"/>
        <w:rPr>
          <w:rFonts w:ascii="Palatino Linotype" w:hAnsi="Palatino Linotype" w:cs="Arial"/>
        </w:rPr>
      </w:pPr>
      <w:r w:rsidRPr="00717D41">
        <w:rPr>
          <w:rFonts w:ascii="Palatino Linotype" w:hAnsi="Palatino Linotype" w:cs="Arial"/>
        </w:rPr>
        <w:lastRenderedPageBreak/>
        <w:t xml:space="preserve">Detalle diferencias sueldos y salarios. </w:t>
      </w:r>
    </w:p>
    <w:p w14:paraId="0C7169E9" w14:textId="77777777" w:rsidR="00B16DA5" w:rsidRPr="00717D41" w:rsidRDefault="00B16DA5" w:rsidP="00B16DA5">
      <w:pPr>
        <w:pStyle w:val="Prrafodelista"/>
        <w:spacing w:line="360" w:lineRule="auto"/>
        <w:ind w:left="1418" w:right="539"/>
        <w:contextualSpacing w:val="0"/>
        <w:jc w:val="both"/>
        <w:rPr>
          <w:rFonts w:ascii="Palatino Linotype" w:hAnsi="Palatino Linotype" w:cs="Arial"/>
        </w:rPr>
      </w:pPr>
    </w:p>
    <w:p w14:paraId="3BA0DC42" w14:textId="77777777" w:rsidR="0013455B" w:rsidRPr="008D206F" w:rsidRDefault="0013455B" w:rsidP="00895106">
      <w:pPr>
        <w:pStyle w:val="Prrafodelista"/>
        <w:numPr>
          <w:ilvl w:val="0"/>
          <w:numId w:val="22"/>
        </w:numPr>
        <w:spacing w:line="360" w:lineRule="auto"/>
        <w:ind w:left="709" w:right="539"/>
        <w:contextualSpacing w:val="0"/>
        <w:jc w:val="both"/>
        <w:rPr>
          <w:rFonts w:ascii="Palatino Linotype" w:hAnsi="Palatino Linotype" w:cs="Arial"/>
        </w:rPr>
      </w:pPr>
      <w:r w:rsidRPr="008D206F">
        <w:rPr>
          <w:rFonts w:ascii="Palatino Linotype" w:hAnsi="Palatino Linotype" w:cs="Arial"/>
        </w:rPr>
        <w:t>La opinión de no adeudo en el cumplimiento de obligaciones fiscales emitida por el Servicio de Administración Tributaria (SAT);</w:t>
      </w:r>
    </w:p>
    <w:p w14:paraId="2B9626E3" w14:textId="77777777" w:rsidR="0013455B" w:rsidRDefault="0013455B" w:rsidP="0013455B">
      <w:pPr>
        <w:tabs>
          <w:tab w:val="left" w:pos="4962"/>
        </w:tabs>
        <w:spacing w:line="360" w:lineRule="auto"/>
        <w:jc w:val="both"/>
        <w:rPr>
          <w:rFonts w:ascii="Palatino Linotype" w:hAnsi="Palatino Linotype" w:cs="Tahoma"/>
          <w:bCs/>
          <w:iCs/>
          <w:sz w:val="22"/>
          <w:szCs w:val="22"/>
          <w:lang w:val="es-ES_tradnl"/>
        </w:rPr>
      </w:pPr>
    </w:p>
    <w:p w14:paraId="3A5E94A1" w14:textId="39A1C77E" w:rsidR="0013455B" w:rsidRPr="00F55329" w:rsidRDefault="005B04C3" w:rsidP="0013455B">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Pr>
          <w:rFonts w:ascii="Palatino Linotype" w:hAnsi="Palatino Linotype" w:cs="Tahoma"/>
          <w:sz w:val="22"/>
          <w:szCs w:val="22"/>
          <w:lang w:val="es-ES"/>
        </w:rPr>
        <w:t>De ser necesarias, j</w:t>
      </w:r>
      <w:r w:rsidR="0013455B" w:rsidRPr="007D6750">
        <w:rPr>
          <w:rFonts w:ascii="Palatino Linotype" w:hAnsi="Palatino Linotype" w:cs="Tahoma"/>
          <w:sz w:val="22"/>
          <w:szCs w:val="22"/>
          <w:lang w:val="es-ES"/>
        </w:rPr>
        <w:t>unto con las versiones públicas que se entreguen, se deberá proporcionar el Acuerdo de Clasificación donde el Comité de Transparencia, confirme la eliminación de los datos y documentos confidenciales, de conformidad con los art</w:t>
      </w:r>
      <w:r w:rsidR="0013455B">
        <w:rPr>
          <w:rFonts w:ascii="Palatino Linotype" w:hAnsi="Palatino Linotype" w:cs="Tahoma"/>
          <w:sz w:val="22"/>
          <w:szCs w:val="22"/>
          <w:lang w:val="es-ES"/>
        </w:rPr>
        <w:t>ículos 49, fracciones II y VIII</w:t>
      </w:r>
      <w:r w:rsidR="0013455B" w:rsidRPr="007D6750">
        <w:rPr>
          <w:rFonts w:ascii="Palatino Linotype" w:hAnsi="Palatino Linotype" w:cs="Tahoma"/>
          <w:sz w:val="22"/>
          <w:szCs w:val="22"/>
          <w:lang w:val="es-ES"/>
        </w:rPr>
        <w:t xml:space="preserve"> </w:t>
      </w:r>
      <w:r w:rsidR="0013455B" w:rsidRPr="00F55329">
        <w:rPr>
          <w:rFonts w:ascii="Palatino Linotype" w:eastAsia="Calibri" w:hAnsi="Palatino Linotype" w:cs="Tahoma"/>
          <w:bCs/>
          <w:iCs/>
          <w:color w:val="000000"/>
          <w:sz w:val="22"/>
          <w:szCs w:val="22"/>
          <w:lang w:eastAsia="en-US"/>
        </w:rPr>
        <w:t>y 132, fracción II</w:t>
      </w:r>
      <w:r>
        <w:rPr>
          <w:rFonts w:ascii="Palatino Linotype" w:eastAsia="Calibri" w:hAnsi="Palatino Linotype" w:cs="Tahoma"/>
          <w:bCs/>
          <w:iCs/>
          <w:color w:val="000000"/>
          <w:sz w:val="22"/>
          <w:szCs w:val="22"/>
          <w:lang w:eastAsia="en-US"/>
        </w:rPr>
        <w:t>, 143, fracción I y 149</w:t>
      </w:r>
      <w:r w:rsidR="0013455B" w:rsidRPr="00F55329">
        <w:rPr>
          <w:rFonts w:ascii="Palatino Linotype" w:eastAsia="Calibri" w:hAnsi="Palatino Linotype" w:cs="Tahoma"/>
          <w:bCs/>
          <w:iCs/>
          <w:color w:val="000000"/>
          <w:sz w:val="22"/>
          <w:szCs w:val="22"/>
          <w:lang w:eastAsia="en-US"/>
        </w:rPr>
        <w:t xml:space="preserve"> de la Ley de Transparencia y Acceso a la Información Pública del Estado de México y Municipios.</w:t>
      </w:r>
    </w:p>
    <w:p w14:paraId="5978A6E0"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p>
    <w:p w14:paraId="04A6B6AC" w14:textId="15BE2FB3" w:rsidR="0013455B" w:rsidRDefault="0013455B" w:rsidP="0013455B">
      <w:pPr>
        <w:spacing w:line="360" w:lineRule="auto"/>
        <w:ind w:right="-93"/>
        <w:jc w:val="both"/>
        <w:rPr>
          <w:rFonts w:ascii="Palatino Linotype" w:eastAsia="Calibri" w:hAnsi="Palatino Linotype" w:cs="Tahoma"/>
          <w:bCs/>
          <w:sz w:val="22"/>
          <w:szCs w:val="22"/>
          <w:lang w:eastAsia="en-US"/>
        </w:rPr>
      </w:pPr>
      <w:r w:rsidRPr="0013455B">
        <w:rPr>
          <w:rFonts w:ascii="Palatino Linotype" w:eastAsia="Calibri" w:hAnsi="Palatino Linotype" w:cs="Tahoma"/>
          <w:bCs/>
          <w:sz w:val="22"/>
          <w:szCs w:val="22"/>
          <w:lang w:eastAsia="en-US"/>
        </w:rPr>
        <w:t>Para la expedición de la información en medios magnéticos y CD-ROM, el Sujeto Obligado deberá informar al Recurrente mediante SAIMEX el procedimiento exacto y detallado para su obtención (lugar, días, horas hábiles,</w:t>
      </w:r>
      <w:r w:rsidR="005B04C3">
        <w:rPr>
          <w:rFonts w:ascii="Palatino Linotype" w:eastAsia="Calibri" w:hAnsi="Palatino Linotype" w:cs="Tahoma"/>
          <w:bCs/>
          <w:sz w:val="22"/>
          <w:szCs w:val="22"/>
          <w:lang w:eastAsia="en-US"/>
        </w:rPr>
        <w:t xml:space="preserve"> procedimiento para el pago de derechos, servidor público que le atenderá,</w:t>
      </w:r>
      <w:r w:rsidRPr="0013455B">
        <w:rPr>
          <w:rFonts w:ascii="Palatino Linotype" w:eastAsia="Calibri" w:hAnsi="Palatino Linotype" w:cs="Tahoma"/>
          <w:bCs/>
          <w:sz w:val="22"/>
          <w:szCs w:val="22"/>
          <w:lang w:eastAsia="en-US"/>
        </w:rPr>
        <w:t xml:space="preserve"> etc</w:t>
      </w:r>
      <w:r w:rsidR="001A6CBB">
        <w:rPr>
          <w:rFonts w:ascii="Palatino Linotype" w:eastAsia="Calibri" w:hAnsi="Palatino Linotype" w:cs="Tahoma"/>
          <w:bCs/>
          <w:sz w:val="22"/>
          <w:szCs w:val="22"/>
          <w:lang w:eastAsia="en-US"/>
        </w:rPr>
        <w:t>.)</w:t>
      </w:r>
      <w:r w:rsidRPr="0013455B">
        <w:rPr>
          <w:rFonts w:ascii="Palatino Linotype" w:eastAsia="Calibri" w:hAnsi="Palatino Linotype" w:cs="Tahoma"/>
          <w:bCs/>
          <w:sz w:val="22"/>
          <w:szCs w:val="22"/>
          <w:lang w:eastAsia="en-US"/>
        </w:rPr>
        <w:t xml:space="preserve">. Para el caso de que el </w:t>
      </w:r>
      <w:r w:rsidR="001A6CBB" w:rsidRPr="0013455B">
        <w:rPr>
          <w:rFonts w:ascii="Palatino Linotype" w:eastAsia="Calibri" w:hAnsi="Palatino Linotype" w:cs="Tahoma"/>
          <w:bCs/>
          <w:sz w:val="22"/>
          <w:szCs w:val="22"/>
          <w:lang w:eastAsia="en-US"/>
        </w:rPr>
        <w:t xml:space="preserve">Particular </w:t>
      </w:r>
      <w:r w:rsidRPr="0013455B">
        <w:rPr>
          <w:rFonts w:ascii="Palatino Linotype" w:eastAsia="Calibri" w:hAnsi="Palatino Linotype" w:cs="Tahoma"/>
          <w:bCs/>
          <w:sz w:val="22"/>
          <w:szCs w:val="22"/>
          <w:lang w:eastAsia="en-US"/>
        </w:rPr>
        <w:t>proporcione a la autoridad municipal el medio magnético o CD-ROM en el que requiera le sea entregada la información pública no habrá costo que cubrir.</w:t>
      </w:r>
    </w:p>
    <w:p w14:paraId="0ABA890E"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p>
    <w:p w14:paraId="312883C7" w14:textId="46CFC746" w:rsidR="0013455B" w:rsidRDefault="0013455B" w:rsidP="0013455B">
      <w:pPr>
        <w:spacing w:line="360" w:lineRule="auto"/>
        <w:ind w:right="-93"/>
        <w:jc w:val="both"/>
        <w:rPr>
          <w:rFonts w:ascii="Palatino Linotype" w:eastAsia="Calibri" w:hAnsi="Palatino Linotype" w:cs="Tahoma"/>
          <w:bCs/>
          <w:sz w:val="22"/>
          <w:szCs w:val="22"/>
          <w:lang w:eastAsia="en-US"/>
        </w:rPr>
      </w:pPr>
      <w:r w:rsidRPr="0013455B">
        <w:rPr>
          <w:rFonts w:ascii="Palatino Linotype" w:eastAsia="Calibri" w:hAnsi="Palatino Linotype" w:cs="Tahoma"/>
          <w:bCs/>
          <w:sz w:val="22"/>
          <w:szCs w:val="22"/>
          <w:lang w:eastAsia="en-US"/>
        </w:rPr>
        <w:t>Respecto del</w:t>
      </w:r>
      <w:r w:rsidR="001A6CBB">
        <w:rPr>
          <w:rFonts w:ascii="Palatino Linotype" w:eastAsia="Calibri" w:hAnsi="Palatino Linotype" w:cs="Tahoma"/>
          <w:bCs/>
          <w:sz w:val="22"/>
          <w:szCs w:val="22"/>
          <w:lang w:eastAsia="en-US"/>
        </w:rPr>
        <w:t xml:space="preserve"> punto 1</w:t>
      </w:r>
      <w:r w:rsidRPr="0013455B">
        <w:rPr>
          <w:rFonts w:ascii="Palatino Linotype" w:eastAsia="Calibri" w:hAnsi="Palatino Linotype" w:cs="Tahoma"/>
          <w:bCs/>
          <w:sz w:val="22"/>
          <w:szCs w:val="22"/>
          <w:lang w:eastAsia="en-US"/>
        </w:rPr>
        <w:t xml:space="preserve">, en el supuesto que una vez agotada la búsqueda de la información, se acredite no contar con la misma, deberá hacerlo del conocimiento del Recurrente, </w:t>
      </w:r>
      <w:r w:rsidR="005B04C3">
        <w:rPr>
          <w:rFonts w:ascii="Palatino Linotype" w:eastAsia="Calibri" w:hAnsi="Palatino Linotype" w:cs="Tahoma"/>
          <w:bCs/>
          <w:sz w:val="22"/>
          <w:szCs w:val="22"/>
          <w:lang w:eastAsia="en-US"/>
        </w:rPr>
        <w:t>de manera precisa y clara.</w:t>
      </w:r>
    </w:p>
    <w:p w14:paraId="7A542AC7" w14:textId="77777777" w:rsidR="0013455B" w:rsidRDefault="0013455B" w:rsidP="0013455B">
      <w:pPr>
        <w:tabs>
          <w:tab w:val="left" w:pos="4962"/>
        </w:tabs>
        <w:spacing w:line="360" w:lineRule="auto"/>
        <w:jc w:val="both"/>
        <w:rPr>
          <w:rFonts w:ascii="Palatino Linotype" w:hAnsi="Palatino Linotype" w:cs="Tahoma"/>
          <w:bCs/>
          <w:iCs/>
          <w:sz w:val="22"/>
          <w:szCs w:val="22"/>
          <w:lang w:val="es-ES_tradnl"/>
        </w:rPr>
      </w:pPr>
    </w:p>
    <w:p w14:paraId="09FA0B0F" w14:textId="77777777" w:rsidR="0013455B" w:rsidRPr="00733CE0" w:rsidRDefault="0013455B" w:rsidP="0013455B">
      <w:pPr>
        <w:spacing w:line="360" w:lineRule="auto"/>
        <w:contextualSpacing/>
        <w:jc w:val="both"/>
        <w:rPr>
          <w:rFonts w:ascii="Palatino Linotype" w:hAnsi="Palatino Linotype" w:cs="Tahoma"/>
          <w:sz w:val="22"/>
          <w:szCs w:val="22"/>
        </w:rPr>
      </w:pPr>
      <w:r w:rsidRPr="00733CE0">
        <w:rPr>
          <w:rFonts w:ascii="Palatino Linotype" w:eastAsia="Calibri" w:hAnsi="Palatino Linotype" w:cs="Tahoma"/>
          <w:b/>
          <w:bCs/>
          <w:sz w:val="22"/>
          <w:szCs w:val="22"/>
          <w:lang w:eastAsia="en-US"/>
        </w:rPr>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w:t>
      </w:r>
      <w:r w:rsidRPr="00733CE0">
        <w:rPr>
          <w:rFonts w:ascii="Palatino Linotype" w:hAnsi="Palatino Linotype" w:cs="Tahoma"/>
          <w:sz w:val="22"/>
          <w:szCs w:val="22"/>
        </w:rPr>
        <w:lastRenderedPageBreak/>
        <w:t xml:space="preserve">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14:paraId="5886EE2D" w14:textId="77777777" w:rsidR="0013455B" w:rsidRPr="00733CE0" w:rsidRDefault="0013455B" w:rsidP="0013455B">
      <w:pPr>
        <w:spacing w:line="360" w:lineRule="auto"/>
        <w:contextualSpacing/>
        <w:jc w:val="both"/>
        <w:rPr>
          <w:rFonts w:ascii="Palatino Linotype" w:hAnsi="Palatino Linotype" w:cs="Tahoma"/>
          <w:sz w:val="22"/>
          <w:szCs w:val="22"/>
        </w:rPr>
      </w:pPr>
    </w:p>
    <w:p w14:paraId="4B6C293C" w14:textId="77777777" w:rsidR="0013455B" w:rsidRPr="00733CE0" w:rsidRDefault="0013455B" w:rsidP="0013455B">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F76CA6D" w14:textId="77777777" w:rsidR="0013455B" w:rsidRPr="00733CE0" w:rsidRDefault="0013455B" w:rsidP="0013455B">
      <w:pPr>
        <w:spacing w:line="360" w:lineRule="auto"/>
        <w:contextualSpacing/>
        <w:jc w:val="both"/>
        <w:rPr>
          <w:rFonts w:ascii="Palatino Linotype" w:eastAsia="Calibri" w:hAnsi="Palatino Linotype" w:cs="Tahoma"/>
          <w:color w:val="000000"/>
          <w:sz w:val="22"/>
          <w:szCs w:val="22"/>
          <w:lang w:val="es-ES" w:eastAsia="es-MX"/>
        </w:rPr>
      </w:pPr>
    </w:p>
    <w:p w14:paraId="5B407317" w14:textId="77777777" w:rsidR="0013455B" w:rsidRDefault="0013455B" w:rsidP="0013455B">
      <w:pPr>
        <w:spacing w:line="360" w:lineRule="auto"/>
        <w:contextualSpacing/>
        <w:jc w:val="both"/>
        <w:rPr>
          <w:rFonts w:ascii="Palatino Linotype" w:hAnsi="Palatino Linotype" w:cs="Tahoma"/>
          <w:color w:val="000000" w:themeColor="text1"/>
          <w:sz w:val="22"/>
          <w:szCs w:val="22"/>
        </w:rPr>
      </w:pPr>
      <w:r w:rsidRPr="00733CE0">
        <w:rPr>
          <w:rFonts w:ascii="Palatino Linotype" w:eastAsia="Calibri" w:hAnsi="Palatino Linotype" w:cs="Tahoma"/>
          <w:b/>
          <w:color w:val="000000" w:themeColor="text1"/>
          <w:sz w:val="22"/>
          <w:szCs w:val="22"/>
          <w:lang w:eastAsia="es-MX"/>
        </w:rPr>
        <w:t>CUARTO</w:t>
      </w:r>
      <w:r w:rsidRPr="00733CE0">
        <w:rPr>
          <w:rFonts w:ascii="Palatino Linotype" w:eastAsia="Calibri" w:hAnsi="Palatino Linotype"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eastAsia="Calibri" w:hAnsi="Palatino Linotype" w:cs="Tahoma"/>
          <w:bCs/>
          <w:color w:val="000000" w:themeColor="text1"/>
          <w:sz w:val="22"/>
          <w:szCs w:val="22"/>
          <w:lang w:eastAsia="en-US"/>
        </w:rPr>
        <w:t>Sistema de Acceso a la Información Mexiquense (SAIMEX)</w:t>
      </w:r>
      <w:r w:rsidR="00013C33">
        <w:rPr>
          <w:rFonts w:ascii="Palatino Linotype" w:eastAsia="Calibri" w:hAnsi="Palatino Linotype" w:cs="Tahoma"/>
          <w:bCs/>
          <w:color w:val="000000" w:themeColor="text1"/>
          <w:sz w:val="22"/>
          <w:szCs w:val="22"/>
          <w:lang w:eastAsia="en-US"/>
        </w:rPr>
        <w:t xml:space="preserve"> </w:t>
      </w:r>
      <w:r w:rsidR="00013C33">
        <w:rPr>
          <w:rFonts w:ascii="Palatino Linotype" w:hAnsi="Palatino Linotype" w:cs="Tahoma"/>
          <w:color w:val="000000" w:themeColor="text1"/>
          <w:sz w:val="22"/>
          <w:szCs w:val="22"/>
        </w:rPr>
        <w:t>y por correo electrónico,</w:t>
      </w:r>
      <w:r w:rsidRPr="00733CE0">
        <w:rPr>
          <w:rFonts w:ascii="Palatino Linotype" w:hAnsi="Palatino Linotype" w:cs="Tahoma"/>
          <w:color w:val="000000" w:themeColor="text1"/>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28C1BBC" w14:textId="77777777" w:rsidR="0013455B" w:rsidRPr="00CB26C0" w:rsidRDefault="0013455B" w:rsidP="00A511BB">
      <w:pPr>
        <w:spacing w:line="360" w:lineRule="auto"/>
        <w:jc w:val="both"/>
        <w:rPr>
          <w:rFonts w:ascii="Palatino Linotype" w:hAnsi="Palatino Linotype" w:cs="Tahoma"/>
          <w:b/>
          <w:sz w:val="22"/>
          <w:szCs w:val="22"/>
          <w:lang w:val="es-ES"/>
        </w:rPr>
      </w:pPr>
    </w:p>
    <w:p w14:paraId="2A350319" w14:textId="6565C407" w:rsidR="00BE0C47" w:rsidRDefault="00C92916" w:rsidP="00BE0C47">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259E6">
        <w:rPr>
          <w:rFonts w:ascii="Palatino Linotype" w:hAnsi="Palatino Linotype" w:cs="Tahoma"/>
          <w:sz w:val="22"/>
          <w:szCs w:val="22"/>
          <w:lang w:eastAsia="es-MX"/>
        </w:rPr>
        <w:t>,</w:t>
      </w:r>
      <w:r w:rsidRPr="00C92916">
        <w:rPr>
          <w:rFonts w:ascii="Palatino Linotype" w:hAnsi="Palatino Linotype" w:cs="Tahoma"/>
          <w:sz w:val="22"/>
          <w:szCs w:val="22"/>
          <w:lang w:eastAsia="es-MX"/>
        </w:rPr>
        <w:t xml:space="preserve"> LUIS GUSTAVO PARRA NORIEGA Y GUADALUPE RAMÍREZ PEÑA, EN LA </w:t>
      </w:r>
      <w:r w:rsidR="008939CF">
        <w:rPr>
          <w:rFonts w:ascii="Palatino Linotype" w:hAnsi="Palatino Linotype" w:cs="Tahoma"/>
          <w:sz w:val="22"/>
          <w:szCs w:val="22"/>
          <w:lang w:eastAsia="es-MX"/>
        </w:rPr>
        <w:t xml:space="preserve">DÉCIMA </w:t>
      </w:r>
      <w:r w:rsidR="00117F37">
        <w:rPr>
          <w:rFonts w:ascii="Palatino Linotype" w:hAnsi="Palatino Linotype" w:cs="Tahoma"/>
          <w:sz w:val="22"/>
          <w:szCs w:val="22"/>
          <w:lang w:eastAsia="es-MX"/>
        </w:rPr>
        <w:t>OCTAVA</w:t>
      </w:r>
      <w:r w:rsidR="00C67C44">
        <w:rPr>
          <w:rFonts w:ascii="Palatino Linotype" w:hAnsi="Palatino Linotype" w:cs="Tahoma"/>
          <w:sz w:val="22"/>
          <w:szCs w:val="22"/>
          <w:lang w:eastAsia="es-MX"/>
        </w:rPr>
        <w:t xml:space="preserve"> </w:t>
      </w:r>
      <w:r w:rsidRPr="00C92916">
        <w:rPr>
          <w:rFonts w:ascii="Palatino Linotype" w:hAnsi="Palatino Linotype" w:cs="Tahoma"/>
          <w:sz w:val="22"/>
          <w:szCs w:val="22"/>
          <w:lang w:eastAsia="es-MX"/>
        </w:rPr>
        <w:t xml:space="preserve">SESIÓN ORDINARIA, CELEBRADA EL </w:t>
      </w:r>
      <w:r w:rsidR="00117F37">
        <w:rPr>
          <w:rFonts w:ascii="Palatino Linotype" w:hAnsi="Palatino Linotype" w:cs="Tahoma"/>
          <w:sz w:val="22"/>
          <w:szCs w:val="22"/>
          <w:lang w:eastAsia="es-MX"/>
        </w:rPr>
        <w:t>DIECIOCHO</w:t>
      </w:r>
      <w:r w:rsidR="001A6CBB">
        <w:rPr>
          <w:rFonts w:ascii="Palatino Linotype" w:hAnsi="Palatino Linotype" w:cs="Tahoma"/>
          <w:sz w:val="22"/>
          <w:szCs w:val="22"/>
          <w:lang w:eastAsia="es-MX"/>
        </w:rPr>
        <w:t xml:space="preserve"> </w:t>
      </w:r>
      <w:r w:rsidR="00A511BB">
        <w:rPr>
          <w:rFonts w:ascii="Palatino Linotype" w:hAnsi="Palatino Linotype" w:cs="Tahoma"/>
          <w:sz w:val="22"/>
          <w:szCs w:val="22"/>
          <w:lang w:eastAsia="es-MX"/>
        </w:rPr>
        <w:t xml:space="preserve">DE </w:t>
      </w:r>
      <w:r w:rsidR="00117F37">
        <w:rPr>
          <w:rFonts w:ascii="Palatino Linotype" w:hAnsi="Palatino Linotype" w:cs="Tahoma"/>
          <w:sz w:val="22"/>
          <w:szCs w:val="22"/>
          <w:lang w:eastAsia="es-MX"/>
        </w:rPr>
        <w:t>MAYO</w:t>
      </w:r>
      <w:r w:rsidR="00A511BB">
        <w:rPr>
          <w:rFonts w:ascii="Palatino Linotype" w:hAnsi="Palatino Linotype" w:cs="Tahoma"/>
          <w:sz w:val="22"/>
          <w:szCs w:val="22"/>
          <w:lang w:eastAsia="es-MX"/>
        </w:rPr>
        <w:t xml:space="preserve"> </w:t>
      </w:r>
      <w:r w:rsidR="00A27BA0">
        <w:rPr>
          <w:rFonts w:ascii="Palatino Linotype" w:hAnsi="Palatino Linotype" w:cs="Tahoma"/>
          <w:sz w:val="22"/>
          <w:szCs w:val="22"/>
          <w:lang w:eastAsia="es-MX"/>
        </w:rPr>
        <w:t>DE DOS MIL VEINTIDÓS</w:t>
      </w:r>
      <w:r w:rsidRPr="00C92916">
        <w:rPr>
          <w:rFonts w:ascii="Palatino Linotype" w:hAnsi="Palatino Linotype" w:cs="Tahoma"/>
          <w:sz w:val="22"/>
          <w:szCs w:val="22"/>
          <w:lang w:eastAsia="es-MX"/>
        </w:rPr>
        <w:t>, ANTE EL SECRETARIO TÉCNICO DEL PLENO, ALEXIS TAPIA RAMÍREZ.</w:t>
      </w:r>
      <w:r w:rsidR="00BE0C47">
        <w:rPr>
          <w:rFonts w:ascii="Palatino Linotype" w:hAnsi="Palatino Linotype" w:cs="Tahoma"/>
          <w:sz w:val="22"/>
          <w:szCs w:val="22"/>
        </w:rPr>
        <w:br w:type="page"/>
      </w:r>
    </w:p>
    <w:p w14:paraId="0B34767C" w14:textId="77777777" w:rsidR="003A1DF0" w:rsidRPr="003A1DF0" w:rsidRDefault="003A1DF0" w:rsidP="00147516">
      <w:pPr>
        <w:spacing w:line="360" w:lineRule="auto"/>
        <w:contextualSpacing/>
        <w:jc w:val="both"/>
        <w:rPr>
          <w:rFonts w:ascii="Palatino Linotype" w:hAnsi="Palatino Linotype" w:cs="Tahoma"/>
          <w:sz w:val="22"/>
          <w:szCs w:val="22"/>
        </w:rPr>
      </w:pPr>
    </w:p>
    <w:sectPr w:rsidR="003A1DF0" w:rsidRPr="003A1DF0" w:rsidSect="00DB7E5F">
      <w:headerReference w:type="even" r:id="rId22"/>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FB1F1" w14:textId="77777777" w:rsidR="004617AA" w:rsidRDefault="004617AA" w:rsidP="00B31222">
      <w:r>
        <w:separator/>
      </w:r>
    </w:p>
  </w:endnote>
  <w:endnote w:type="continuationSeparator" w:id="0">
    <w:p w14:paraId="50149D03" w14:textId="77777777" w:rsidR="004617AA" w:rsidRDefault="004617AA" w:rsidP="00B31222">
      <w:r>
        <w:continuationSeparator/>
      </w:r>
    </w:p>
  </w:endnote>
  <w:endnote w:type="continuationNotice" w:id="1">
    <w:p w14:paraId="24EC4B8C" w14:textId="77777777" w:rsidR="004617AA" w:rsidRDefault="004617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Content>
      <w:sdt>
        <w:sdtPr>
          <w:id w:val="1485205317"/>
          <w:docPartObj>
            <w:docPartGallery w:val="Page Numbers (Top of Page)"/>
            <w:docPartUnique/>
          </w:docPartObj>
        </w:sdtPr>
        <w:sdtContent>
          <w:p w14:paraId="3132BB1B" w14:textId="77777777" w:rsidR="004B20B1" w:rsidRDefault="004B20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6DFB">
              <w:rPr>
                <w:b/>
                <w:bCs/>
                <w:noProof/>
              </w:rPr>
              <w:t>50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6DFB">
              <w:rPr>
                <w:b/>
                <w:bCs/>
                <w:noProof/>
              </w:rPr>
              <w:t>50</w:t>
            </w:r>
            <w:r>
              <w:rPr>
                <w:b/>
                <w:bCs/>
                <w:sz w:val="24"/>
                <w:szCs w:val="24"/>
              </w:rPr>
              <w:fldChar w:fldCharType="end"/>
            </w:r>
          </w:p>
        </w:sdtContent>
      </w:sdt>
    </w:sdtContent>
  </w:sdt>
  <w:p w14:paraId="0240D088" w14:textId="77777777" w:rsidR="004B20B1" w:rsidRDefault="004B20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9E22" w14:textId="77777777" w:rsidR="004B20B1" w:rsidRDefault="004B20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6DF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6DFB">
      <w:rPr>
        <w:b/>
        <w:bCs/>
        <w:noProof/>
      </w:rPr>
      <w:t>50</w:t>
    </w:r>
    <w:r>
      <w:rPr>
        <w:b/>
        <w:bCs/>
        <w:sz w:val="24"/>
        <w:szCs w:val="24"/>
      </w:rPr>
      <w:fldChar w:fldCharType="end"/>
    </w:r>
  </w:p>
  <w:p w14:paraId="363B5CB0" w14:textId="77777777" w:rsidR="004B20B1" w:rsidRDefault="004B20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0213D" w14:textId="77777777" w:rsidR="004617AA" w:rsidRDefault="004617AA" w:rsidP="00B31222">
      <w:r>
        <w:separator/>
      </w:r>
    </w:p>
  </w:footnote>
  <w:footnote w:type="continuationSeparator" w:id="0">
    <w:p w14:paraId="053D2A0F" w14:textId="77777777" w:rsidR="004617AA" w:rsidRDefault="004617AA" w:rsidP="00B31222">
      <w:r>
        <w:continuationSeparator/>
      </w:r>
    </w:p>
  </w:footnote>
  <w:footnote w:type="continuationNotice" w:id="1">
    <w:p w14:paraId="44A8E1B7" w14:textId="77777777" w:rsidR="004617AA" w:rsidRDefault="004617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90B9" w14:textId="77777777" w:rsidR="004B20B1" w:rsidRDefault="00000000">
    <w:pPr>
      <w:pStyle w:val="Encabezado"/>
    </w:pPr>
    <w:r>
      <w:rPr>
        <w:noProof/>
        <w:lang w:eastAsia="es-MX"/>
      </w:rPr>
      <w:pict w14:anchorId="04820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6"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4B20B1" w:rsidRPr="005C106F" w14:paraId="673AFB50" w14:textId="77777777" w:rsidTr="00202DB8">
      <w:trPr>
        <w:trHeight w:val="1435"/>
      </w:trPr>
      <w:tc>
        <w:tcPr>
          <w:tcW w:w="2835" w:type="dxa"/>
          <w:shd w:val="clear" w:color="auto" w:fill="auto"/>
        </w:tcPr>
        <w:p w14:paraId="4E4F66EF" w14:textId="77777777" w:rsidR="004B20B1" w:rsidRPr="005C106F" w:rsidRDefault="004B20B1"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0B957FD8" wp14:editId="015644C2">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572CC360" w14:textId="77777777" w:rsidR="004B20B1" w:rsidRDefault="004B20B1"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4B20B1" w14:paraId="7E1073EA" w14:textId="77777777" w:rsidTr="00DF3BE8">
            <w:trPr>
              <w:trHeight w:val="144"/>
            </w:trPr>
            <w:tc>
              <w:tcPr>
                <w:tcW w:w="2589" w:type="dxa"/>
              </w:tcPr>
              <w:p w14:paraId="6B5030EF" w14:textId="77777777" w:rsidR="004B20B1" w:rsidRPr="00431A70" w:rsidRDefault="004B20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7E7232B6" w14:textId="72FFBFC4" w:rsidR="004B20B1" w:rsidRPr="00431A70" w:rsidRDefault="00117F37" w:rsidP="00E5267D">
                <w:pPr>
                  <w:tabs>
                    <w:tab w:val="right" w:pos="8838"/>
                  </w:tabs>
                  <w:ind w:left="-106"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01116</w:t>
                </w:r>
                <w:r w:rsidR="004B20B1" w:rsidRPr="001A412B">
                  <w:rPr>
                    <w:rFonts w:ascii="Palatino Linotype" w:eastAsia="Calibri" w:hAnsi="Palatino Linotype" w:cs="Tahoma"/>
                    <w:b/>
                    <w:bCs/>
                    <w:sz w:val="22"/>
                    <w:szCs w:val="22"/>
                    <w:lang w:val="es-MX" w:eastAsia="en-US"/>
                  </w:rPr>
                  <w:t>/INFOEM/IP/RR/202</w:t>
                </w:r>
                <w:r w:rsidR="004B20B1">
                  <w:rPr>
                    <w:rFonts w:ascii="Palatino Linotype" w:eastAsia="Calibri" w:hAnsi="Palatino Linotype" w:cs="Tahoma"/>
                    <w:b/>
                    <w:bCs/>
                    <w:sz w:val="22"/>
                    <w:szCs w:val="22"/>
                    <w:lang w:val="es-MX" w:eastAsia="en-US"/>
                  </w:rPr>
                  <w:t>2</w:t>
                </w:r>
              </w:p>
            </w:tc>
          </w:tr>
          <w:tr w:rsidR="004B20B1" w14:paraId="1C6DD0B3" w14:textId="77777777" w:rsidTr="00DF3BE8">
            <w:trPr>
              <w:trHeight w:val="283"/>
            </w:trPr>
            <w:tc>
              <w:tcPr>
                <w:tcW w:w="2589" w:type="dxa"/>
              </w:tcPr>
              <w:p w14:paraId="583BC554" w14:textId="77777777" w:rsidR="004B20B1" w:rsidRPr="00431A70" w:rsidRDefault="004B20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080E01F5" w14:textId="24C22A21" w:rsidR="004B20B1" w:rsidRPr="005F13CF" w:rsidRDefault="00117F37" w:rsidP="005F13CF">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 xml:space="preserve">Organismo Público Descentralizado para la Prestación de </w:t>
                </w:r>
                <w:r w:rsidR="0001793E">
                  <w:rPr>
                    <w:rFonts w:ascii="Palatino Linotype" w:eastAsia="Calibri" w:hAnsi="Palatino Linotype" w:cs="Tahoma"/>
                    <w:bCs/>
                    <w:sz w:val="22"/>
                    <w:szCs w:val="22"/>
                    <w:lang w:val="es-MX" w:eastAsia="en-US"/>
                  </w:rPr>
                  <w:t>l</w:t>
                </w:r>
                <w:r>
                  <w:rPr>
                    <w:rFonts w:ascii="Palatino Linotype" w:eastAsia="Calibri" w:hAnsi="Palatino Linotype" w:cs="Tahoma"/>
                    <w:bCs/>
                    <w:sz w:val="22"/>
                    <w:szCs w:val="22"/>
                    <w:lang w:val="es-MX" w:eastAsia="en-US"/>
                  </w:rPr>
                  <w:t>os Servicios de Agua Potable Alcantarillado y Saneamiento del Municipio de Lerma</w:t>
                </w:r>
              </w:p>
            </w:tc>
          </w:tr>
          <w:tr w:rsidR="004B20B1" w14:paraId="6C35C1F1" w14:textId="77777777" w:rsidTr="00DF3BE8">
            <w:trPr>
              <w:trHeight w:val="283"/>
            </w:trPr>
            <w:tc>
              <w:tcPr>
                <w:tcW w:w="2589" w:type="dxa"/>
              </w:tcPr>
              <w:p w14:paraId="3BEC1B73" w14:textId="77777777" w:rsidR="004B20B1" w:rsidRPr="00431A70" w:rsidRDefault="004B20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6BE5DBFF" w14:textId="77777777" w:rsidR="004B20B1" w:rsidRPr="00431A70" w:rsidRDefault="004B20B1"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655E2193" w14:textId="77777777" w:rsidR="004B20B1" w:rsidRPr="005C106F" w:rsidRDefault="004B20B1" w:rsidP="005743D2">
          <w:pPr>
            <w:tabs>
              <w:tab w:val="right" w:pos="8838"/>
            </w:tabs>
            <w:ind w:left="-28"/>
            <w:jc w:val="both"/>
            <w:rPr>
              <w:rFonts w:ascii="Arial" w:eastAsia="Calibri" w:hAnsi="Arial" w:cs="Arial"/>
              <w:b/>
              <w:sz w:val="22"/>
              <w:szCs w:val="22"/>
              <w:lang w:eastAsia="en-US"/>
            </w:rPr>
          </w:pPr>
        </w:p>
      </w:tc>
    </w:tr>
  </w:tbl>
  <w:p w14:paraId="5CC81004" w14:textId="77777777" w:rsidR="004B20B1" w:rsidRPr="00A25151" w:rsidRDefault="004B20B1" w:rsidP="00EF4A64">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4B20B1" w:rsidRPr="00330DA7" w14:paraId="1FA9E23C" w14:textId="77777777" w:rsidTr="723BB34A">
      <w:trPr>
        <w:trHeight w:val="1435"/>
      </w:trPr>
      <w:tc>
        <w:tcPr>
          <w:tcW w:w="2835" w:type="dxa"/>
          <w:shd w:val="clear" w:color="auto" w:fill="auto"/>
        </w:tcPr>
        <w:p w14:paraId="2C73513A" w14:textId="77777777" w:rsidR="004B20B1" w:rsidRPr="00330DA7" w:rsidRDefault="004B20B1"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65987E4C" wp14:editId="26320FD1">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4B20B1" w:rsidRPr="00431A70" w14:paraId="610EE5F9" w14:textId="77777777" w:rsidTr="723BB34A">
            <w:trPr>
              <w:trHeight w:val="144"/>
            </w:trPr>
            <w:tc>
              <w:tcPr>
                <w:tcW w:w="2589" w:type="dxa"/>
              </w:tcPr>
              <w:p w14:paraId="5EFFEEAF" w14:textId="77777777" w:rsidR="004B20B1" w:rsidRPr="00431A70" w:rsidRDefault="004B20B1"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1B748B40" w14:textId="0F03A298" w:rsidR="004B20B1" w:rsidRPr="00B71321" w:rsidRDefault="007406AA" w:rsidP="00B71321">
                <w:pPr>
                  <w:tabs>
                    <w:tab w:val="left" w:pos="3122"/>
                    <w:tab w:val="right" w:pos="8838"/>
                  </w:tabs>
                  <w:ind w:left="-106" w:right="-105"/>
                  <w:jc w:val="both"/>
                  <w:rPr>
                    <w:rFonts w:ascii="Palatino Linotype" w:eastAsia="Calibri" w:hAnsi="Palatino Linotype" w:cs="Tahoma"/>
                    <w:bCs/>
                    <w:sz w:val="22"/>
                    <w:szCs w:val="22"/>
                    <w:lang w:eastAsia="en-US"/>
                  </w:rPr>
                </w:pPr>
                <w:r w:rsidRPr="00B71321">
                  <w:rPr>
                    <w:rFonts w:ascii="Palatino Linotype" w:eastAsia="Calibri" w:hAnsi="Palatino Linotype" w:cs="Tahoma"/>
                    <w:bCs/>
                    <w:sz w:val="22"/>
                    <w:szCs w:val="22"/>
                    <w:lang w:eastAsia="en-US"/>
                  </w:rPr>
                  <w:t>0</w:t>
                </w:r>
                <w:r w:rsidR="00003318">
                  <w:rPr>
                    <w:rFonts w:ascii="Palatino Linotype" w:eastAsia="Calibri" w:hAnsi="Palatino Linotype" w:cs="Tahoma"/>
                    <w:bCs/>
                    <w:sz w:val="22"/>
                    <w:szCs w:val="22"/>
                    <w:lang w:eastAsia="en-US"/>
                  </w:rPr>
                  <w:t>1116</w:t>
                </w:r>
                <w:r w:rsidR="004B20B1" w:rsidRPr="00B71321">
                  <w:rPr>
                    <w:rFonts w:ascii="Palatino Linotype" w:eastAsia="Calibri" w:hAnsi="Palatino Linotype" w:cs="Tahoma"/>
                    <w:bCs/>
                    <w:sz w:val="22"/>
                    <w:szCs w:val="22"/>
                    <w:lang w:eastAsia="en-US"/>
                  </w:rPr>
                  <w:t xml:space="preserve">/INFOEM/IP/RR/2022 </w:t>
                </w:r>
              </w:p>
            </w:tc>
          </w:tr>
          <w:tr w:rsidR="004B20B1" w:rsidRPr="00286D0C" w14:paraId="20C098AE" w14:textId="77777777" w:rsidTr="723BB34A">
            <w:trPr>
              <w:trHeight w:val="144"/>
            </w:trPr>
            <w:tc>
              <w:tcPr>
                <w:tcW w:w="2589" w:type="dxa"/>
              </w:tcPr>
              <w:p w14:paraId="1399657D" w14:textId="77777777" w:rsidR="004B20B1" w:rsidRPr="00431A70" w:rsidRDefault="004B20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7ED732B0" w14:textId="25DC0B95" w:rsidR="004B20B1" w:rsidRPr="00286D0C" w:rsidRDefault="723BB34A" w:rsidP="723BB34A">
                <w:pPr>
                  <w:tabs>
                    <w:tab w:val="left" w:pos="3122"/>
                    <w:tab w:val="right" w:pos="8838"/>
                  </w:tabs>
                  <w:ind w:left="-106" w:right="-105"/>
                  <w:jc w:val="both"/>
                  <w:rPr>
                    <w:rFonts w:ascii="Palatino Linotype" w:eastAsia="Calibri" w:hAnsi="Palatino Linotype" w:cs="Tahoma"/>
                    <w:sz w:val="22"/>
                    <w:szCs w:val="22"/>
                    <w:highlight w:val="black"/>
                    <w:lang w:eastAsia="en-US"/>
                  </w:rPr>
                </w:pPr>
                <w:r w:rsidRPr="723BB34A">
                  <w:rPr>
                    <w:rFonts w:ascii="Palatino Linotype" w:eastAsia="Calibri" w:hAnsi="Palatino Linotype" w:cs="Tahoma"/>
                    <w:sz w:val="22"/>
                    <w:szCs w:val="22"/>
                    <w:highlight w:val="black"/>
                    <w:lang w:eastAsia="en-US"/>
                  </w:rPr>
                  <w:t>XXXXXXXXXXXXXXX</w:t>
                </w:r>
              </w:p>
            </w:tc>
          </w:tr>
          <w:tr w:rsidR="004B20B1" w:rsidRPr="00431A70" w14:paraId="5FA33F87" w14:textId="77777777" w:rsidTr="723BB34A">
            <w:trPr>
              <w:trHeight w:val="283"/>
            </w:trPr>
            <w:tc>
              <w:tcPr>
                <w:tcW w:w="2589" w:type="dxa"/>
              </w:tcPr>
              <w:p w14:paraId="17ADFFBD" w14:textId="77777777" w:rsidR="004B20B1" w:rsidRPr="00431A70" w:rsidRDefault="004B20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0938B5CD" w14:textId="64FF1CB7" w:rsidR="004B20B1" w:rsidRPr="005F13CF" w:rsidRDefault="00117F37" w:rsidP="00B71321">
                <w:pPr>
                  <w:tabs>
                    <w:tab w:val="left" w:pos="3122"/>
                    <w:tab w:val="right" w:pos="8838"/>
                  </w:tabs>
                  <w:ind w:left="-106" w:right="-105"/>
                  <w:jc w:val="both"/>
                  <w:rPr>
                    <w:rFonts w:ascii="Palatino Linotype" w:eastAsia="Calibri" w:hAnsi="Palatino Linotype" w:cs="Tahoma"/>
                    <w:bCs/>
                    <w:sz w:val="22"/>
                    <w:szCs w:val="22"/>
                    <w:lang w:eastAsia="en-US"/>
                  </w:rPr>
                </w:pPr>
                <w:r w:rsidRPr="00117F37">
                  <w:rPr>
                    <w:rFonts w:ascii="Palatino Linotype" w:eastAsia="Calibri" w:hAnsi="Palatino Linotype" w:cs="Tahoma"/>
                    <w:bCs/>
                    <w:sz w:val="22"/>
                    <w:szCs w:val="22"/>
                    <w:lang w:eastAsia="en-US"/>
                  </w:rPr>
                  <w:t xml:space="preserve">Organismo Público Descentralizado para la Prestación de </w:t>
                </w:r>
                <w:r w:rsidR="00A03864">
                  <w:rPr>
                    <w:rFonts w:ascii="Palatino Linotype" w:eastAsia="Calibri" w:hAnsi="Palatino Linotype" w:cs="Tahoma"/>
                    <w:bCs/>
                    <w:sz w:val="22"/>
                    <w:szCs w:val="22"/>
                    <w:lang w:eastAsia="en-US"/>
                  </w:rPr>
                  <w:t>l</w:t>
                </w:r>
                <w:r w:rsidRPr="00117F37">
                  <w:rPr>
                    <w:rFonts w:ascii="Palatino Linotype" w:eastAsia="Calibri" w:hAnsi="Palatino Linotype" w:cs="Tahoma"/>
                    <w:bCs/>
                    <w:sz w:val="22"/>
                    <w:szCs w:val="22"/>
                    <w:lang w:eastAsia="en-US"/>
                  </w:rPr>
                  <w:t>os Servicios de Agua Potable Alcantarillado y Saneamiento del Municipio de Lerma</w:t>
                </w:r>
              </w:p>
            </w:tc>
          </w:tr>
          <w:tr w:rsidR="004B20B1" w:rsidRPr="00431A70" w14:paraId="51B1A6A2" w14:textId="77777777" w:rsidTr="723BB34A">
            <w:trPr>
              <w:trHeight w:val="283"/>
            </w:trPr>
            <w:tc>
              <w:tcPr>
                <w:tcW w:w="2589" w:type="dxa"/>
              </w:tcPr>
              <w:p w14:paraId="14C917E1" w14:textId="77777777" w:rsidR="004B20B1" w:rsidRPr="00431A70" w:rsidRDefault="004B20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01A5D38E" w14:textId="77777777" w:rsidR="004B20B1" w:rsidRPr="00431A70" w:rsidRDefault="004B20B1"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27526999" w14:textId="77777777" w:rsidR="004B20B1" w:rsidRPr="00330DA7" w:rsidRDefault="004B20B1" w:rsidP="00DB7E5F">
          <w:pPr>
            <w:tabs>
              <w:tab w:val="right" w:pos="8838"/>
            </w:tabs>
            <w:ind w:left="-28"/>
            <w:jc w:val="both"/>
            <w:rPr>
              <w:rFonts w:ascii="Arial" w:eastAsia="Calibri" w:hAnsi="Arial" w:cs="Arial"/>
              <w:b/>
              <w:sz w:val="22"/>
              <w:szCs w:val="22"/>
              <w:lang w:eastAsia="en-US"/>
            </w:rPr>
          </w:pPr>
        </w:p>
      </w:tc>
    </w:tr>
  </w:tbl>
  <w:p w14:paraId="5358CE7E" w14:textId="77777777" w:rsidR="004B20B1" w:rsidRPr="00330DA7" w:rsidRDefault="004B20B1"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069D5"/>
    <w:multiLevelType w:val="multilevel"/>
    <w:tmpl w:val="C25844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2050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4971E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8D0321"/>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AB65E81"/>
    <w:multiLevelType w:val="hybridMultilevel"/>
    <w:tmpl w:val="A5A2E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AC4498"/>
    <w:multiLevelType w:val="hybridMultilevel"/>
    <w:tmpl w:val="A8A67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8D5793"/>
    <w:multiLevelType w:val="multilevel"/>
    <w:tmpl w:val="E084B7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3616682"/>
    <w:multiLevelType w:val="hybridMultilevel"/>
    <w:tmpl w:val="A8A67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B30A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3130B6"/>
    <w:multiLevelType w:val="multilevel"/>
    <w:tmpl w:val="C18235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82355F"/>
    <w:multiLevelType w:val="multilevel"/>
    <w:tmpl w:val="080A001F"/>
    <w:lvl w:ilvl="0">
      <w:start w:val="1"/>
      <w:numFmt w:val="decimal"/>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19" w15:restartNumberingAfterBreak="0">
    <w:nsid w:val="46E57F9C"/>
    <w:multiLevelType w:val="hybridMultilevel"/>
    <w:tmpl w:val="9C3E9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A392BE4"/>
    <w:multiLevelType w:val="hybridMultilevel"/>
    <w:tmpl w:val="2E9EC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772AC6"/>
    <w:multiLevelType w:val="hybridMultilevel"/>
    <w:tmpl w:val="565A2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5228"/>
    <w:multiLevelType w:val="hybridMultilevel"/>
    <w:tmpl w:val="8FFEA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15:restartNumberingAfterBreak="0">
    <w:nsid w:val="530D625A"/>
    <w:multiLevelType w:val="hybridMultilevel"/>
    <w:tmpl w:val="CEC64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E0736D"/>
    <w:multiLevelType w:val="hybridMultilevel"/>
    <w:tmpl w:val="6C1CC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2606A9"/>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7CFB773F"/>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627590191">
    <w:abstractNumId w:val="0"/>
  </w:num>
  <w:num w:numId="2" w16cid:durableId="862017321">
    <w:abstractNumId w:val="25"/>
  </w:num>
  <w:num w:numId="3" w16cid:durableId="1630891019">
    <w:abstractNumId w:val="22"/>
  </w:num>
  <w:num w:numId="4" w16cid:durableId="1876117382">
    <w:abstractNumId w:val="16"/>
  </w:num>
  <w:num w:numId="5" w16cid:durableId="1848136001">
    <w:abstractNumId w:val="14"/>
  </w:num>
  <w:num w:numId="6" w16cid:durableId="439302404">
    <w:abstractNumId w:val="1"/>
  </w:num>
  <w:num w:numId="7" w16cid:durableId="1718553237">
    <w:abstractNumId w:val="10"/>
  </w:num>
  <w:num w:numId="8" w16cid:durableId="1221360865">
    <w:abstractNumId w:val="15"/>
  </w:num>
  <w:num w:numId="9" w16cid:durableId="5133504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6072013">
    <w:abstractNumId w:val="7"/>
  </w:num>
  <w:num w:numId="11" w16cid:durableId="383263072">
    <w:abstractNumId w:val="20"/>
  </w:num>
  <w:num w:numId="12" w16cid:durableId="875388374">
    <w:abstractNumId w:val="21"/>
  </w:num>
  <w:num w:numId="13" w16cid:durableId="1347057382">
    <w:abstractNumId w:val="5"/>
  </w:num>
  <w:num w:numId="14" w16cid:durableId="1727029467">
    <w:abstractNumId w:val="28"/>
  </w:num>
  <w:num w:numId="15" w16cid:durableId="1926300200">
    <w:abstractNumId w:val="3"/>
  </w:num>
  <w:num w:numId="16" w16cid:durableId="15737384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1316928">
    <w:abstractNumId w:val="4"/>
  </w:num>
  <w:num w:numId="18" w16cid:durableId="931356887">
    <w:abstractNumId w:val="8"/>
  </w:num>
  <w:num w:numId="19" w16cid:durableId="823618661">
    <w:abstractNumId w:val="11"/>
  </w:num>
  <w:num w:numId="20" w16cid:durableId="1829205202">
    <w:abstractNumId w:val="13"/>
  </w:num>
  <w:num w:numId="21" w16cid:durableId="1455514593">
    <w:abstractNumId w:val="26"/>
  </w:num>
  <w:num w:numId="22" w16cid:durableId="231354115">
    <w:abstractNumId w:val="18"/>
  </w:num>
  <w:num w:numId="23" w16cid:durableId="723061136">
    <w:abstractNumId w:val="6"/>
  </w:num>
  <w:num w:numId="24" w16cid:durableId="1964381953">
    <w:abstractNumId w:val="23"/>
  </w:num>
  <w:num w:numId="25" w16cid:durableId="770590868">
    <w:abstractNumId w:val="19"/>
  </w:num>
  <w:num w:numId="26" w16cid:durableId="984089141">
    <w:abstractNumId w:val="9"/>
  </w:num>
  <w:num w:numId="27" w16cid:durableId="1024674582">
    <w:abstractNumId w:val="2"/>
  </w:num>
  <w:num w:numId="28" w16cid:durableId="1893423953">
    <w:abstractNumId w:val="17"/>
  </w:num>
  <w:num w:numId="29" w16cid:durableId="132130159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18"/>
    <w:rsid w:val="0000339F"/>
    <w:rsid w:val="00003AAE"/>
    <w:rsid w:val="00004263"/>
    <w:rsid w:val="0000485A"/>
    <w:rsid w:val="00006543"/>
    <w:rsid w:val="00010426"/>
    <w:rsid w:val="000106AE"/>
    <w:rsid w:val="0001126C"/>
    <w:rsid w:val="00013291"/>
    <w:rsid w:val="00013A19"/>
    <w:rsid w:val="00013C33"/>
    <w:rsid w:val="00013C8D"/>
    <w:rsid w:val="0001402B"/>
    <w:rsid w:val="00014465"/>
    <w:rsid w:val="00014BC5"/>
    <w:rsid w:val="00015D5C"/>
    <w:rsid w:val="00016A4A"/>
    <w:rsid w:val="00017858"/>
    <w:rsid w:val="0001793E"/>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42"/>
    <w:rsid w:val="000313A7"/>
    <w:rsid w:val="00032F5B"/>
    <w:rsid w:val="00033086"/>
    <w:rsid w:val="00033F01"/>
    <w:rsid w:val="00034E9D"/>
    <w:rsid w:val="00035F9E"/>
    <w:rsid w:val="000373BC"/>
    <w:rsid w:val="000378BC"/>
    <w:rsid w:val="00037B34"/>
    <w:rsid w:val="00037F4B"/>
    <w:rsid w:val="000415F1"/>
    <w:rsid w:val="00043009"/>
    <w:rsid w:val="0004380E"/>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0BE1"/>
    <w:rsid w:val="00061F79"/>
    <w:rsid w:val="000620E1"/>
    <w:rsid w:val="000633F1"/>
    <w:rsid w:val="00063514"/>
    <w:rsid w:val="000640BD"/>
    <w:rsid w:val="00064855"/>
    <w:rsid w:val="000648B3"/>
    <w:rsid w:val="0006654C"/>
    <w:rsid w:val="000666FD"/>
    <w:rsid w:val="00066DFB"/>
    <w:rsid w:val="000672AA"/>
    <w:rsid w:val="00070738"/>
    <w:rsid w:val="00071A4A"/>
    <w:rsid w:val="0007204D"/>
    <w:rsid w:val="00072AD9"/>
    <w:rsid w:val="00073C50"/>
    <w:rsid w:val="000749A5"/>
    <w:rsid w:val="00074C07"/>
    <w:rsid w:val="00075542"/>
    <w:rsid w:val="000758B2"/>
    <w:rsid w:val="000765EA"/>
    <w:rsid w:val="000778B2"/>
    <w:rsid w:val="000805CC"/>
    <w:rsid w:val="000813B0"/>
    <w:rsid w:val="0008148B"/>
    <w:rsid w:val="00081756"/>
    <w:rsid w:val="00081C1C"/>
    <w:rsid w:val="00082BDA"/>
    <w:rsid w:val="000851BA"/>
    <w:rsid w:val="00086A01"/>
    <w:rsid w:val="0008787B"/>
    <w:rsid w:val="000910AA"/>
    <w:rsid w:val="00091672"/>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41F6"/>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3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409"/>
    <w:rsid w:val="0013455B"/>
    <w:rsid w:val="001346BA"/>
    <w:rsid w:val="00135955"/>
    <w:rsid w:val="00136051"/>
    <w:rsid w:val="00136073"/>
    <w:rsid w:val="0013647C"/>
    <w:rsid w:val="0013791C"/>
    <w:rsid w:val="00137B8F"/>
    <w:rsid w:val="0014037C"/>
    <w:rsid w:val="00141895"/>
    <w:rsid w:val="00141CDA"/>
    <w:rsid w:val="00142312"/>
    <w:rsid w:val="0014307A"/>
    <w:rsid w:val="00143357"/>
    <w:rsid w:val="00144363"/>
    <w:rsid w:val="00144D0B"/>
    <w:rsid w:val="00144FA7"/>
    <w:rsid w:val="001460EE"/>
    <w:rsid w:val="0014682A"/>
    <w:rsid w:val="00147516"/>
    <w:rsid w:val="00147566"/>
    <w:rsid w:val="00147666"/>
    <w:rsid w:val="00147887"/>
    <w:rsid w:val="00147D1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C07"/>
    <w:rsid w:val="00180208"/>
    <w:rsid w:val="00180365"/>
    <w:rsid w:val="00180DE9"/>
    <w:rsid w:val="001821D9"/>
    <w:rsid w:val="001824D6"/>
    <w:rsid w:val="00182D6C"/>
    <w:rsid w:val="00182DCE"/>
    <w:rsid w:val="00182F0F"/>
    <w:rsid w:val="001832D9"/>
    <w:rsid w:val="00183D24"/>
    <w:rsid w:val="00183D4B"/>
    <w:rsid w:val="001851A6"/>
    <w:rsid w:val="00186AC2"/>
    <w:rsid w:val="00187211"/>
    <w:rsid w:val="001872B5"/>
    <w:rsid w:val="001875A7"/>
    <w:rsid w:val="001879E1"/>
    <w:rsid w:val="00190E90"/>
    <w:rsid w:val="00190F5F"/>
    <w:rsid w:val="0019295F"/>
    <w:rsid w:val="0019389B"/>
    <w:rsid w:val="00196522"/>
    <w:rsid w:val="001A1B94"/>
    <w:rsid w:val="001A22F5"/>
    <w:rsid w:val="001A3231"/>
    <w:rsid w:val="001A3887"/>
    <w:rsid w:val="001A3AF1"/>
    <w:rsid w:val="001A412B"/>
    <w:rsid w:val="001A4B83"/>
    <w:rsid w:val="001A4BBA"/>
    <w:rsid w:val="001A5BDB"/>
    <w:rsid w:val="001A5DF5"/>
    <w:rsid w:val="001A6CBB"/>
    <w:rsid w:val="001A7153"/>
    <w:rsid w:val="001A769E"/>
    <w:rsid w:val="001A7FD2"/>
    <w:rsid w:val="001B04B4"/>
    <w:rsid w:val="001B0D53"/>
    <w:rsid w:val="001B107D"/>
    <w:rsid w:val="001B1997"/>
    <w:rsid w:val="001B2CD9"/>
    <w:rsid w:val="001B2EA3"/>
    <w:rsid w:val="001B38FF"/>
    <w:rsid w:val="001B4549"/>
    <w:rsid w:val="001B5E2A"/>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3086"/>
    <w:rsid w:val="001D3CA3"/>
    <w:rsid w:val="001D5A6D"/>
    <w:rsid w:val="001D67AC"/>
    <w:rsid w:val="001D7012"/>
    <w:rsid w:val="001D733A"/>
    <w:rsid w:val="001D7530"/>
    <w:rsid w:val="001D7974"/>
    <w:rsid w:val="001D7BD2"/>
    <w:rsid w:val="001E04FC"/>
    <w:rsid w:val="001E05F1"/>
    <w:rsid w:val="001E0C19"/>
    <w:rsid w:val="001E211D"/>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3F3C"/>
    <w:rsid w:val="0020427C"/>
    <w:rsid w:val="002051ED"/>
    <w:rsid w:val="002060B4"/>
    <w:rsid w:val="00206EC9"/>
    <w:rsid w:val="002072EE"/>
    <w:rsid w:val="00207736"/>
    <w:rsid w:val="002079D3"/>
    <w:rsid w:val="00207F5A"/>
    <w:rsid w:val="00210222"/>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74E"/>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972"/>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7146"/>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BF5"/>
    <w:rsid w:val="00260FEC"/>
    <w:rsid w:val="0026108A"/>
    <w:rsid w:val="00261DD6"/>
    <w:rsid w:val="00262408"/>
    <w:rsid w:val="00263DDD"/>
    <w:rsid w:val="002657E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C2"/>
    <w:rsid w:val="00281A35"/>
    <w:rsid w:val="00281AD9"/>
    <w:rsid w:val="002825EB"/>
    <w:rsid w:val="00283068"/>
    <w:rsid w:val="0028388B"/>
    <w:rsid w:val="00284486"/>
    <w:rsid w:val="00285118"/>
    <w:rsid w:val="00285644"/>
    <w:rsid w:val="0028581E"/>
    <w:rsid w:val="0028601B"/>
    <w:rsid w:val="002862DB"/>
    <w:rsid w:val="0028682F"/>
    <w:rsid w:val="00286D0C"/>
    <w:rsid w:val="00287034"/>
    <w:rsid w:val="00287738"/>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1A5"/>
    <w:rsid w:val="002B226E"/>
    <w:rsid w:val="002B3285"/>
    <w:rsid w:val="002B46D4"/>
    <w:rsid w:val="002B4C49"/>
    <w:rsid w:val="002B54CF"/>
    <w:rsid w:val="002B57F5"/>
    <w:rsid w:val="002B5BE0"/>
    <w:rsid w:val="002B5F50"/>
    <w:rsid w:val="002B70C7"/>
    <w:rsid w:val="002C06E4"/>
    <w:rsid w:val="002C1F2C"/>
    <w:rsid w:val="002C284D"/>
    <w:rsid w:val="002C3F5F"/>
    <w:rsid w:val="002C4046"/>
    <w:rsid w:val="002C431E"/>
    <w:rsid w:val="002C458A"/>
    <w:rsid w:val="002C46EE"/>
    <w:rsid w:val="002C51F3"/>
    <w:rsid w:val="002C63FA"/>
    <w:rsid w:val="002C662C"/>
    <w:rsid w:val="002C6BDE"/>
    <w:rsid w:val="002C7D95"/>
    <w:rsid w:val="002D1BE4"/>
    <w:rsid w:val="002D1D6C"/>
    <w:rsid w:val="002D33B0"/>
    <w:rsid w:val="002D3962"/>
    <w:rsid w:val="002D438B"/>
    <w:rsid w:val="002D4C3D"/>
    <w:rsid w:val="002D6323"/>
    <w:rsid w:val="002E00B4"/>
    <w:rsid w:val="002E1218"/>
    <w:rsid w:val="002E1C48"/>
    <w:rsid w:val="002E2418"/>
    <w:rsid w:val="002E2DDD"/>
    <w:rsid w:val="002E3755"/>
    <w:rsid w:val="002E3FCF"/>
    <w:rsid w:val="002E4059"/>
    <w:rsid w:val="002E5015"/>
    <w:rsid w:val="002E5739"/>
    <w:rsid w:val="002E586F"/>
    <w:rsid w:val="002E6FFD"/>
    <w:rsid w:val="002E7343"/>
    <w:rsid w:val="002E7ACF"/>
    <w:rsid w:val="002F072D"/>
    <w:rsid w:val="002F0C1A"/>
    <w:rsid w:val="002F0CE9"/>
    <w:rsid w:val="002F1E5A"/>
    <w:rsid w:val="002F3BD0"/>
    <w:rsid w:val="002F58D8"/>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6A5"/>
    <w:rsid w:val="003416E2"/>
    <w:rsid w:val="003417A1"/>
    <w:rsid w:val="00341E21"/>
    <w:rsid w:val="00341E6C"/>
    <w:rsid w:val="00343B91"/>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41"/>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29DF"/>
    <w:rsid w:val="0038358D"/>
    <w:rsid w:val="00383BDB"/>
    <w:rsid w:val="0038438A"/>
    <w:rsid w:val="003864D2"/>
    <w:rsid w:val="00386AFB"/>
    <w:rsid w:val="003875C6"/>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1997"/>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A93"/>
    <w:rsid w:val="004100AA"/>
    <w:rsid w:val="00410CD2"/>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6448"/>
    <w:rsid w:val="00426613"/>
    <w:rsid w:val="00426AAC"/>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2EA"/>
    <w:rsid w:val="00447C98"/>
    <w:rsid w:val="00447F7D"/>
    <w:rsid w:val="004506B1"/>
    <w:rsid w:val="004506BF"/>
    <w:rsid w:val="004524C9"/>
    <w:rsid w:val="0045371C"/>
    <w:rsid w:val="00453729"/>
    <w:rsid w:val="0045411C"/>
    <w:rsid w:val="004544CD"/>
    <w:rsid w:val="00454DE4"/>
    <w:rsid w:val="00460032"/>
    <w:rsid w:val="0046048A"/>
    <w:rsid w:val="004617AA"/>
    <w:rsid w:val="00461E53"/>
    <w:rsid w:val="00463F50"/>
    <w:rsid w:val="00464A12"/>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EE9"/>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0B1"/>
    <w:rsid w:val="004B2A07"/>
    <w:rsid w:val="004B3992"/>
    <w:rsid w:val="004B3F2D"/>
    <w:rsid w:val="004B591D"/>
    <w:rsid w:val="004B7542"/>
    <w:rsid w:val="004B769A"/>
    <w:rsid w:val="004B7DB2"/>
    <w:rsid w:val="004B7E7A"/>
    <w:rsid w:val="004C14AC"/>
    <w:rsid w:val="004C30D4"/>
    <w:rsid w:val="004C4ACC"/>
    <w:rsid w:val="004C6F68"/>
    <w:rsid w:val="004C7E83"/>
    <w:rsid w:val="004D0E1D"/>
    <w:rsid w:val="004D151D"/>
    <w:rsid w:val="004D18DE"/>
    <w:rsid w:val="004D19CC"/>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0E3C"/>
    <w:rsid w:val="004F26C4"/>
    <w:rsid w:val="004F2C69"/>
    <w:rsid w:val="004F2D88"/>
    <w:rsid w:val="004F3134"/>
    <w:rsid w:val="004F3156"/>
    <w:rsid w:val="004F3D21"/>
    <w:rsid w:val="004F4D64"/>
    <w:rsid w:val="004F582B"/>
    <w:rsid w:val="004F60EF"/>
    <w:rsid w:val="004F637B"/>
    <w:rsid w:val="004F6532"/>
    <w:rsid w:val="004F6E78"/>
    <w:rsid w:val="00501150"/>
    <w:rsid w:val="00501276"/>
    <w:rsid w:val="005014BB"/>
    <w:rsid w:val="00501A0B"/>
    <w:rsid w:val="00502502"/>
    <w:rsid w:val="005028CC"/>
    <w:rsid w:val="005036C3"/>
    <w:rsid w:val="005070C3"/>
    <w:rsid w:val="00510D32"/>
    <w:rsid w:val="00510E39"/>
    <w:rsid w:val="00511FA0"/>
    <w:rsid w:val="0051276F"/>
    <w:rsid w:val="005130AC"/>
    <w:rsid w:val="00517427"/>
    <w:rsid w:val="00520C2F"/>
    <w:rsid w:val="005220BE"/>
    <w:rsid w:val="005223C0"/>
    <w:rsid w:val="00522FC7"/>
    <w:rsid w:val="00523D57"/>
    <w:rsid w:val="00524076"/>
    <w:rsid w:val="005242AD"/>
    <w:rsid w:val="0052622D"/>
    <w:rsid w:val="00526575"/>
    <w:rsid w:val="0052716F"/>
    <w:rsid w:val="00527DAD"/>
    <w:rsid w:val="005308B8"/>
    <w:rsid w:val="00530F7C"/>
    <w:rsid w:val="00532035"/>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4D8A"/>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4C3"/>
    <w:rsid w:val="005B08E6"/>
    <w:rsid w:val="005B0D7C"/>
    <w:rsid w:val="005B0E86"/>
    <w:rsid w:val="005B2B96"/>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1051A"/>
    <w:rsid w:val="00610656"/>
    <w:rsid w:val="00610DF8"/>
    <w:rsid w:val="0061115C"/>
    <w:rsid w:val="006119F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5E67"/>
    <w:rsid w:val="00636904"/>
    <w:rsid w:val="00636D9C"/>
    <w:rsid w:val="00637179"/>
    <w:rsid w:val="00637EC0"/>
    <w:rsid w:val="0064182B"/>
    <w:rsid w:val="006418ED"/>
    <w:rsid w:val="00642B13"/>
    <w:rsid w:val="0064309D"/>
    <w:rsid w:val="006431FF"/>
    <w:rsid w:val="00643534"/>
    <w:rsid w:val="00644B26"/>
    <w:rsid w:val="00645F7D"/>
    <w:rsid w:val="00645F85"/>
    <w:rsid w:val="00646100"/>
    <w:rsid w:val="00646C1B"/>
    <w:rsid w:val="006476CA"/>
    <w:rsid w:val="00650554"/>
    <w:rsid w:val="00650BF8"/>
    <w:rsid w:val="0065303D"/>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1C75"/>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125B"/>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6C3"/>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FEB"/>
    <w:rsid w:val="006C4E8F"/>
    <w:rsid w:val="006C5817"/>
    <w:rsid w:val="006C5AE1"/>
    <w:rsid w:val="006C6180"/>
    <w:rsid w:val="006C6FE3"/>
    <w:rsid w:val="006C7416"/>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240A"/>
    <w:rsid w:val="006E4723"/>
    <w:rsid w:val="006E716F"/>
    <w:rsid w:val="006E7DA9"/>
    <w:rsid w:val="006E7DEE"/>
    <w:rsid w:val="006F01E7"/>
    <w:rsid w:val="006F0FD7"/>
    <w:rsid w:val="006F1F3A"/>
    <w:rsid w:val="006F4E68"/>
    <w:rsid w:val="006F6CA7"/>
    <w:rsid w:val="006F7EB8"/>
    <w:rsid w:val="007007DA"/>
    <w:rsid w:val="00700825"/>
    <w:rsid w:val="0070094A"/>
    <w:rsid w:val="00702634"/>
    <w:rsid w:val="00702DD7"/>
    <w:rsid w:val="00704085"/>
    <w:rsid w:val="00704138"/>
    <w:rsid w:val="00704305"/>
    <w:rsid w:val="007043CB"/>
    <w:rsid w:val="0070476D"/>
    <w:rsid w:val="007047D3"/>
    <w:rsid w:val="00704B24"/>
    <w:rsid w:val="00705663"/>
    <w:rsid w:val="00705C40"/>
    <w:rsid w:val="007105D8"/>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6AA"/>
    <w:rsid w:val="00740C8C"/>
    <w:rsid w:val="00741745"/>
    <w:rsid w:val="00741AC4"/>
    <w:rsid w:val="007429E1"/>
    <w:rsid w:val="00742CA5"/>
    <w:rsid w:val="00743CA7"/>
    <w:rsid w:val="0074489F"/>
    <w:rsid w:val="0074594A"/>
    <w:rsid w:val="00746642"/>
    <w:rsid w:val="00746BF0"/>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834"/>
    <w:rsid w:val="00785461"/>
    <w:rsid w:val="00785A0A"/>
    <w:rsid w:val="00785DC5"/>
    <w:rsid w:val="0078639C"/>
    <w:rsid w:val="00786B36"/>
    <w:rsid w:val="00786F25"/>
    <w:rsid w:val="00786FF3"/>
    <w:rsid w:val="007875F5"/>
    <w:rsid w:val="007876CF"/>
    <w:rsid w:val="00787B77"/>
    <w:rsid w:val="00790309"/>
    <w:rsid w:val="00790E33"/>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9F"/>
    <w:rsid w:val="007A24FC"/>
    <w:rsid w:val="007A26F3"/>
    <w:rsid w:val="007A2F67"/>
    <w:rsid w:val="007A3918"/>
    <w:rsid w:val="007A3B65"/>
    <w:rsid w:val="007A409E"/>
    <w:rsid w:val="007A4296"/>
    <w:rsid w:val="007A43AB"/>
    <w:rsid w:val="007A5398"/>
    <w:rsid w:val="007A5C59"/>
    <w:rsid w:val="007B00A0"/>
    <w:rsid w:val="007B0C10"/>
    <w:rsid w:val="007B0E89"/>
    <w:rsid w:val="007B1661"/>
    <w:rsid w:val="007B2C38"/>
    <w:rsid w:val="007B2E54"/>
    <w:rsid w:val="007B31B9"/>
    <w:rsid w:val="007B38DE"/>
    <w:rsid w:val="007B531B"/>
    <w:rsid w:val="007B56A8"/>
    <w:rsid w:val="007B7498"/>
    <w:rsid w:val="007B77DC"/>
    <w:rsid w:val="007B7AEE"/>
    <w:rsid w:val="007C02F6"/>
    <w:rsid w:val="007C0D24"/>
    <w:rsid w:val="007C15D1"/>
    <w:rsid w:val="007C5C9B"/>
    <w:rsid w:val="007C6C24"/>
    <w:rsid w:val="007C71CF"/>
    <w:rsid w:val="007C7EB6"/>
    <w:rsid w:val="007D12D8"/>
    <w:rsid w:val="007D1BCD"/>
    <w:rsid w:val="007D2BE6"/>
    <w:rsid w:val="007D2F75"/>
    <w:rsid w:val="007D48A3"/>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991"/>
    <w:rsid w:val="007E5C53"/>
    <w:rsid w:val="007E5C74"/>
    <w:rsid w:val="007E6649"/>
    <w:rsid w:val="007E69BB"/>
    <w:rsid w:val="007E6AB8"/>
    <w:rsid w:val="007E70FD"/>
    <w:rsid w:val="007E728E"/>
    <w:rsid w:val="007E7E96"/>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7232"/>
    <w:rsid w:val="00807627"/>
    <w:rsid w:val="00807982"/>
    <w:rsid w:val="00807B88"/>
    <w:rsid w:val="00811CA6"/>
    <w:rsid w:val="00811FE9"/>
    <w:rsid w:val="0081283F"/>
    <w:rsid w:val="00812A28"/>
    <w:rsid w:val="00812C0C"/>
    <w:rsid w:val="0081376F"/>
    <w:rsid w:val="00813AD9"/>
    <w:rsid w:val="0081480A"/>
    <w:rsid w:val="00815998"/>
    <w:rsid w:val="00816051"/>
    <w:rsid w:val="00816C59"/>
    <w:rsid w:val="0081793A"/>
    <w:rsid w:val="00817F96"/>
    <w:rsid w:val="008202EB"/>
    <w:rsid w:val="008202EE"/>
    <w:rsid w:val="0082060B"/>
    <w:rsid w:val="0082074D"/>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5106"/>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A3F"/>
    <w:rsid w:val="008D3CAF"/>
    <w:rsid w:val="008D44D9"/>
    <w:rsid w:val="008D4C39"/>
    <w:rsid w:val="008D654B"/>
    <w:rsid w:val="008D6B34"/>
    <w:rsid w:val="008D6F2C"/>
    <w:rsid w:val="008D7E0D"/>
    <w:rsid w:val="008D7EDB"/>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26F7"/>
    <w:rsid w:val="0096463B"/>
    <w:rsid w:val="00967035"/>
    <w:rsid w:val="00967869"/>
    <w:rsid w:val="0096796E"/>
    <w:rsid w:val="009702DB"/>
    <w:rsid w:val="00970BEB"/>
    <w:rsid w:val="00971F54"/>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328"/>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1EB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672"/>
    <w:rsid w:val="009D69C6"/>
    <w:rsid w:val="009D6F70"/>
    <w:rsid w:val="009D7501"/>
    <w:rsid w:val="009D7975"/>
    <w:rsid w:val="009D7E82"/>
    <w:rsid w:val="009E10E1"/>
    <w:rsid w:val="009E3966"/>
    <w:rsid w:val="009E3C52"/>
    <w:rsid w:val="009E3EA5"/>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864"/>
    <w:rsid w:val="00A03A1B"/>
    <w:rsid w:val="00A048C7"/>
    <w:rsid w:val="00A0598E"/>
    <w:rsid w:val="00A05E08"/>
    <w:rsid w:val="00A06844"/>
    <w:rsid w:val="00A06A2C"/>
    <w:rsid w:val="00A06CC5"/>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838"/>
    <w:rsid w:val="00A50EC5"/>
    <w:rsid w:val="00A511BB"/>
    <w:rsid w:val="00A5280C"/>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829"/>
    <w:rsid w:val="00A6697B"/>
    <w:rsid w:val="00A70C49"/>
    <w:rsid w:val="00A719AA"/>
    <w:rsid w:val="00A71E94"/>
    <w:rsid w:val="00A731B5"/>
    <w:rsid w:val="00A73DE3"/>
    <w:rsid w:val="00A747F9"/>
    <w:rsid w:val="00A74C2D"/>
    <w:rsid w:val="00A756C6"/>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DED"/>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EFD"/>
    <w:rsid w:val="00AA7F48"/>
    <w:rsid w:val="00AB010D"/>
    <w:rsid w:val="00AB0749"/>
    <w:rsid w:val="00AB1598"/>
    <w:rsid w:val="00AB2617"/>
    <w:rsid w:val="00AB2C53"/>
    <w:rsid w:val="00AB37BE"/>
    <w:rsid w:val="00AB5936"/>
    <w:rsid w:val="00AB6595"/>
    <w:rsid w:val="00AB76D8"/>
    <w:rsid w:val="00AB7760"/>
    <w:rsid w:val="00AB7E6A"/>
    <w:rsid w:val="00AC193A"/>
    <w:rsid w:val="00AC1977"/>
    <w:rsid w:val="00AC1B50"/>
    <w:rsid w:val="00AC1B61"/>
    <w:rsid w:val="00AC28E0"/>
    <w:rsid w:val="00AC2C6E"/>
    <w:rsid w:val="00AC3A3F"/>
    <w:rsid w:val="00AC41CA"/>
    <w:rsid w:val="00AC5363"/>
    <w:rsid w:val="00AC5EE6"/>
    <w:rsid w:val="00AC6B75"/>
    <w:rsid w:val="00AC6C2F"/>
    <w:rsid w:val="00AC706C"/>
    <w:rsid w:val="00AD0453"/>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7F12"/>
    <w:rsid w:val="00B07FE3"/>
    <w:rsid w:val="00B10BAE"/>
    <w:rsid w:val="00B11CB3"/>
    <w:rsid w:val="00B12451"/>
    <w:rsid w:val="00B12A0A"/>
    <w:rsid w:val="00B14154"/>
    <w:rsid w:val="00B1415B"/>
    <w:rsid w:val="00B15278"/>
    <w:rsid w:val="00B164F6"/>
    <w:rsid w:val="00B16DA5"/>
    <w:rsid w:val="00B222A2"/>
    <w:rsid w:val="00B233F4"/>
    <w:rsid w:val="00B234EC"/>
    <w:rsid w:val="00B267E1"/>
    <w:rsid w:val="00B273B5"/>
    <w:rsid w:val="00B274AE"/>
    <w:rsid w:val="00B274BF"/>
    <w:rsid w:val="00B304B7"/>
    <w:rsid w:val="00B31222"/>
    <w:rsid w:val="00B31516"/>
    <w:rsid w:val="00B318C9"/>
    <w:rsid w:val="00B31FDB"/>
    <w:rsid w:val="00B33EEF"/>
    <w:rsid w:val="00B348F1"/>
    <w:rsid w:val="00B379C3"/>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95A"/>
    <w:rsid w:val="00B54AAB"/>
    <w:rsid w:val="00B553BA"/>
    <w:rsid w:val="00B57690"/>
    <w:rsid w:val="00B577A3"/>
    <w:rsid w:val="00B6144B"/>
    <w:rsid w:val="00B61577"/>
    <w:rsid w:val="00B6170F"/>
    <w:rsid w:val="00B625C9"/>
    <w:rsid w:val="00B63796"/>
    <w:rsid w:val="00B64641"/>
    <w:rsid w:val="00B66A77"/>
    <w:rsid w:val="00B675DD"/>
    <w:rsid w:val="00B704AA"/>
    <w:rsid w:val="00B70B2A"/>
    <w:rsid w:val="00B71321"/>
    <w:rsid w:val="00B71F2C"/>
    <w:rsid w:val="00B7262F"/>
    <w:rsid w:val="00B726C3"/>
    <w:rsid w:val="00B727C5"/>
    <w:rsid w:val="00B73031"/>
    <w:rsid w:val="00B73911"/>
    <w:rsid w:val="00B73FD4"/>
    <w:rsid w:val="00B74DCE"/>
    <w:rsid w:val="00B74FC5"/>
    <w:rsid w:val="00B75A6C"/>
    <w:rsid w:val="00B77614"/>
    <w:rsid w:val="00B8029A"/>
    <w:rsid w:val="00B827B3"/>
    <w:rsid w:val="00B82F2D"/>
    <w:rsid w:val="00B83274"/>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958"/>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458"/>
    <w:rsid w:val="00BC758B"/>
    <w:rsid w:val="00BC79C3"/>
    <w:rsid w:val="00BC7D51"/>
    <w:rsid w:val="00BD1045"/>
    <w:rsid w:val="00BD2183"/>
    <w:rsid w:val="00BD2EAC"/>
    <w:rsid w:val="00BD4BB3"/>
    <w:rsid w:val="00BD4EAE"/>
    <w:rsid w:val="00BD5C33"/>
    <w:rsid w:val="00BD6804"/>
    <w:rsid w:val="00BD7F11"/>
    <w:rsid w:val="00BE0C47"/>
    <w:rsid w:val="00BE17C6"/>
    <w:rsid w:val="00BE2498"/>
    <w:rsid w:val="00BE2BD3"/>
    <w:rsid w:val="00BE2E7C"/>
    <w:rsid w:val="00BE4843"/>
    <w:rsid w:val="00BE4865"/>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2DD8"/>
    <w:rsid w:val="00C03070"/>
    <w:rsid w:val="00C06B11"/>
    <w:rsid w:val="00C06BCB"/>
    <w:rsid w:val="00C100E3"/>
    <w:rsid w:val="00C10FCF"/>
    <w:rsid w:val="00C11870"/>
    <w:rsid w:val="00C12810"/>
    <w:rsid w:val="00C12D84"/>
    <w:rsid w:val="00C13B88"/>
    <w:rsid w:val="00C14CF4"/>
    <w:rsid w:val="00C15B35"/>
    <w:rsid w:val="00C16877"/>
    <w:rsid w:val="00C16B4B"/>
    <w:rsid w:val="00C1729D"/>
    <w:rsid w:val="00C17427"/>
    <w:rsid w:val="00C1797D"/>
    <w:rsid w:val="00C20C00"/>
    <w:rsid w:val="00C210FD"/>
    <w:rsid w:val="00C2141B"/>
    <w:rsid w:val="00C2165D"/>
    <w:rsid w:val="00C22901"/>
    <w:rsid w:val="00C22969"/>
    <w:rsid w:val="00C22C44"/>
    <w:rsid w:val="00C22E49"/>
    <w:rsid w:val="00C2404F"/>
    <w:rsid w:val="00C24F30"/>
    <w:rsid w:val="00C25238"/>
    <w:rsid w:val="00C2682F"/>
    <w:rsid w:val="00C26853"/>
    <w:rsid w:val="00C2770D"/>
    <w:rsid w:val="00C305F2"/>
    <w:rsid w:val="00C318DD"/>
    <w:rsid w:val="00C31F8B"/>
    <w:rsid w:val="00C3253F"/>
    <w:rsid w:val="00C3345C"/>
    <w:rsid w:val="00C33886"/>
    <w:rsid w:val="00C35A5E"/>
    <w:rsid w:val="00C364D0"/>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3547"/>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DFB"/>
    <w:rsid w:val="00CA2C6A"/>
    <w:rsid w:val="00CA2D01"/>
    <w:rsid w:val="00CA308F"/>
    <w:rsid w:val="00CA3730"/>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321"/>
    <w:rsid w:val="00CF3AEC"/>
    <w:rsid w:val="00CF3B92"/>
    <w:rsid w:val="00CF4012"/>
    <w:rsid w:val="00CF43D5"/>
    <w:rsid w:val="00CF517B"/>
    <w:rsid w:val="00CF5F40"/>
    <w:rsid w:val="00CF73F3"/>
    <w:rsid w:val="00D0060A"/>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48B1"/>
    <w:rsid w:val="00D24DD5"/>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CF9"/>
    <w:rsid w:val="00D72648"/>
    <w:rsid w:val="00D72EAC"/>
    <w:rsid w:val="00D73BC4"/>
    <w:rsid w:val="00D74344"/>
    <w:rsid w:val="00D7675E"/>
    <w:rsid w:val="00D80080"/>
    <w:rsid w:val="00D807FB"/>
    <w:rsid w:val="00D80F9D"/>
    <w:rsid w:val="00D80FFB"/>
    <w:rsid w:val="00D81BAE"/>
    <w:rsid w:val="00D82A34"/>
    <w:rsid w:val="00D84B17"/>
    <w:rsid w:val="00D8507D"/>
    <w:rsid w:val="00D8568E"/>
    <w:rsid w:val="00D86692"/>
    <w:rsid w:val="00D86735"/>
    <w:rsid w:val="00D8718E"/>
    <w:rsid w:val="00D871FB"/>
    <w:rsid w:val="00D90C9D"/>
    <w:rsid w:val="00D90E57"/>
    <w:rsid w:val="00D91910"/>
    <w:rsid w:val="00D91AA8"/>
    <w:rsid w:val="00D92062"/>
    <w:rsid w:val="00D925A8"/>
    <w:rsid w:val="00D92FF3"/>
    <w:rsid w:val="00D930D2"/>
    <w:rsid w:val="00D93761"/>
    <w:rsid w:val="00D944A6"/>
    <w:rsid w:val="00D948AF"/>
    <w:rsid w:val="00D9559A"/>
    <w:rsid w:val="00D95B5F"/>
    <w:rsid w:val="00D96FC3"/>
    <w:rsid w:val="00DA00CC"/>
    <w:rsid w:val="00DA0839"/>
    <w:rsid w:val="00DA0EE6"/>
    <w:rsid w:val="00DA1248"/>
    <w:rsid w:val="00DA12C3"/>
    <w:rsid w:val="00DA1878"/>
    <w:rsid w:val="00DA22B5"/>
    <w:rsid w:val="00DA3A68"/>
    <w:rsid w:val="00DA495D"/>
    <w:rsid w:val="00DA4C0A"/>
    <w:rsid w:val="00DA4F15"/>
    <w:rsid w:val="00DA5280"/>
    <w:rsid w:val="00DA5DCA"/>
    <w:rsid w:val="00DA600C"/>
    <w:rsid w:val="00DA6417"/>
    <w:rsid w:val="00DA7BA0"/>
    <w:rsid w:val="00DA7D03"/>
    <w:rsid w:val="00DB132B"/>
    <w:rsid w:val="00DB3319"/>
    <w:rsid w:val="00DB400B"/>
    <w:rsid w:val="00DB42EB"/>
    <w:rsid w:val="00DB42F5"/>
    <w:rsid w:val="00DB43A2"/>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FE4"/>
    <w:rsid w:val="00DD23C5"/>
    <w:rsid w:val="00DD3A92"/>
    <w:rsid w:val="00DD3B58"/>
    <w:rsid w:val="00DD4022"/>
    <w:rsid w:val="00DD78B2"/>
    <w:rsid w:val="00DE0DE9"/>
    <w:rsid w:val="00DE1746"/>
    <w:rsid w:val="00DE2004"/>
    <w:rsid w:val="00DE2966"/>
    <w:rsid w:val="00DE40E0"/>
    <w:rsid w:val="00DE4107"/>
    <w:rsid w:val="00DE6E6F"/>
    <w:rsid w:val="00DE736A"/>
    <w:rsid w:val="00DF0127"/>
    <w:rsid w:val="00DF04ED"/>
    <w:rsid w:val="00DF0B5E"/>
    <w:rsid w:val="00DF0ED5"/>
    <w:rsid w:val="00DF382D"/>
    <w:rsid w:val="00DF3BE8"/>
    <w:rsid w:val="00DF3F0D"/>
    <w:rsid w:val="00DF5CF5"/>
    <w:rsid w:val="00DF72D9"/>
    <w:rsid w:val="00DF7B69"/>
    <w:rsid w:val="00DF7EC8"/>
    <w:rsid w:val="00E00D4F"/>
    <w:rsid w:val="00E0164B"/>
    <w:rsid w:val="00E0218A"/>
    <w:rsid w:val="00E028ED"/>
    <w:rsid w:val="00E02E7F"/>
    <w:rsid w:val="00E03E52"/>
    <w:rsid w:val="00E0499F"/>
    <w:rsid w:val="00E04AA2"/>
    <w:rsid w:val="00E053F6"/>
    <w:rsid w:val="00E05B27"/>
    <w:rsid w:val="00E05F7B"/>
    <w:rsid w:val="00E06909"/>
    <w:rsid w:val="00E07080"/>
    <w:rsid w:val="00E07D4B"/>
    <w:rsid w:val="00E1022F"/>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B38"/>
    <w:rsid w:val="00E56663"/>
    <w:rsid w:val="00E57CE2"/>
    <w:rsid w:val="00E60967"/>
    <w:rsid w:val="00E617BD"/>
    <w:rsid w:val="00E617DF"/>
    <w:rsid w:val="00E61E05"/>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3B5"/>
    <w:rsid w:val="00EA6C10"/>
    <w:rsid w:val="00EA7A52"/>
    <w:rsid w:val="00EB07CF"/>
    <w:rsid w:val="00EB112C"/>
    <w:rsid w:val="00EB2A73"/>
    <w:rsid w:val="00EB2E80"/>
    <w:rsid w:val="00EB397F"/>
    <w:rsid w:val="00EB3A2C"/>
    <w:rsid w:val="00EB3B88"/>
    <w:rsid w:val="00EB4900"/>
    <w:rsid w:val="00EB64EC"/>
    <w:rsid w:val="00EC044E"/>
    <w:rsid w:val="00EC0C14"/>
    <w:rsid w:val="00EC10DA"/>
    <w:rsid w:val="00EC25AE"/>
    <w:rsid w:val="00EC2B42"/>
    <w:rsid w:val="00EC2B82"/>
    <w:rsid w:val="00EC3B8F"/>
    <w:rsid w:val="00EC4211"/>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27E"/>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367"/>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7D8"/>
    <w:rsid w:val="00F25CFE"/>
    <w:rsid w:val="00F26CBF"/>
    <w:rsid w:val="00F27918"/>
    <w:rsid w:val="00F304E8"/>
    <w:rsid w:val="00F30562"/>
    <w:rsid w:val="00F30C80"/>
    <w:rsid w:val="00F31128"/>
    <w:rsid w:val="00F31FE9"/>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B33"/>
    <w:rsid w:val="00F541B8"/>
    <w:rsid w:val="00F563D6"/>
    <w:rsid w:val="00F56B6D"/>
    <w:rsid w:val="00F56CC2"/>
    <w:rsid w:val="00F56F47"/>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D6"/>
    <w:rsid w:val="00F717E6"/>
    <w:rsid w:val="00F71D2E"/>
    <w:rsid w:val="00F7216B"/>
    <w:rsid w:val="00F7264A"/>
    <w:rsid w:val="00F72E5E"/>
    <w:rsid w:val="00F73751"/>
    <w:rsid w:val="00F75EAD"/>
    <w:rsid w:val="00F77022"/>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71D7"/>
    <w:rsid w:val="00F87649"/>
    <w:rsid w:val="00F9173A"/>
    <w:rsid w:val="00F91800"/>
    <w:rsid w:val="00F937CF"/>
    <w:rsid w:val="00F93C90"/>
    <w:rsid w:val="00F94A68"/>
    <w:rsid w:val="00F94B81"/>
    <w:rsid w:val="00F94E99"/>
    <w:rsid w:val="00F9650A"/>
    <w:rsid w:val="00F967C7"/>
    <w:rsid w:val="00F9792B"/>
    <w:rsid w:val="00FA0437"/>
    <w:rsid w:val="00FA0DFA"/>
    <w:rsid w:val="00FA0EFE"/>
    <w:rsid w:val="00FA233F"/>
    <w:rsid w:val="00FA2E05"/>
    <w:rsid w:val="00FA354E"/>
    <w:rsid w:val="00FA3DF0"/>
    <w:rsid w:val="00FA47AD"/>
    <w:rsid w:val="00FA4AAE"/>
    <w:rsid w:val="00FA61A8"/>
    <w:rsid w:val="00FA6D2D"/>
    <w:rsid w:val="00FA6F8F"/>
    <w:rsid w:val="00FA7D57"/>
    <w:rsid w:val="00FB0008"/>
    <w:rsid w:val="00FB071C"/>
    <w:rsid w:val="00FB1557"/>
    <w:rsid w:val="00FB1ACE"/>
    <w:rsid w:val="00FB1B59"/>
    <w:rsid w:val="00FB2144"/>
    <w:rsid w:val="00FB3EA0"/>
    <w:rsid w:val="00FB4292"/>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 w:val="723BB34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C3557"/>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3F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64727723">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18896835">
      <w:bodyDiv w:val="1"/>
      <w:marLeft w:val="0"/>
      <w:marRight w:val="0"/>
      <w:marTop w:val="0"/>
      <w:marBottom w:val="0"/>
      <w:divBdr>
        <w:top w:val="none" w:sz="0" w:space="0" w:color="auto"/>
        <w:left w:val="none" w:sz="0" w:space="0" w:color="auto"/>
        <w:bottom w:val="none" w:sz="0" w:space="0" w:color="auto"/>
        <w:right w:val="none" w:sz="0" w:space="0" w:color="auto"/>
      </w:divBdr>
    </w:div>
    <w:div w:id="1025401879">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20847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163454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javascript:AbrirModal(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FCC6F-74E3-4899-9B03-D2837C4CA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15169</Words>
  <Characters>83430</Characters>
  <Application>Microsoft Office Word</Application>
  <DocSecurity>0</DocSecurity>
  <Lines>695</Lines>
  <Paragraphs>196</Paragraphs>
  <ScaleCrop>false</ScaleCrop>
  <Company>Hewlett-Packard Company</Company>
  <LinksUpToDate>false</LinksUpToDate>
  <CharactersWithSpaces>98403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dc:creator>
  <cp:keywords/>
  <dc:description/>
  <cp:lastModifiedBy>Juan</cp:lastModifiedBy>
  <cp:revision>15</cp:revision>
  <cp:lastPrinted>2020-01-16T18:20:00Z</cp:lastPrinted>
  <dcterms:created xsi:type="dcterms:W3CDTF">2022-05-13T00:41:00Z</dcterms:created>
  <dcterms:modified xsi:type="dcterms:W3CDTF">2022-08-02T18:19:00Z</dcterms:modified>
</cp:coreProperties>
</file>