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F8E67" w14:textId="222A9891"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757C88">
        <w:rPr>
          <w:rFonts w:ascii="Palatino Linotype" w:hAnsi="Palatino Linotype" w:cs="Arial"/>
          <w:color w:val="000000"/>
          <w:lang w:eastAsia="es-MX"/>
        </w:rPr>
        <w:t>veinticuatro</w:t>
      </w:r>
      <w:r w:rsidR="0049360F">
        <w:rPr>
          <w:rFonts w:ascii="Palatino Linotype" w:hAnsi="Palatino Linotype" w:cs="Arial"/>
          <w:color w:val="000000"/>
          <w:lang w:eastAsia="es-MX"/>
        </w:rPr>
        <w:t xml:space="preserve"> de agosto</w:t>
      </w:r>
      <w:r w:rsidR="00620A1D">
        <w:rPr>
          <w:rFonts w:ascii="Palatino Linotype" w:hAnsi="Palatino Linotype" w:cs="Arial"/>
          <w:color w:val="000000"/>
          <w:lang w:eastAsia="es-MX"/>
        </w:rPr>
        <w:t xml:space="preserve"> de dos mil veintidós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669EC9E4"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49360F" w:rsidRPr="0049360F">
        <w:rPr>
          <w:rFonts w:ascii="Palatino Linotype" w:hAnsi="Palatino Linotype" w:cs="Arial"/>
          <w:b/>
          <w:bCs/>
          <w:lang w:eastAsia="es-MX"/>
        </w:rPr>
        <w:t>07675/INFOEM/IP/RR/2022</w:t>
      </w:r>
      <w:r w:rsidR="000D4CB2" w:rsidRPr="00B21190">
        <w:rPr>
          <w:rFonts w:ascii="Palatino Linotype" w:hAnsi="Palatino Linotype" w:cs="Arial"/>
        </w:rPr>
        <w:t xml:space="preserve">, </w:t>
      </w:r>
      <w:r w:rsidR="00154698" w:rsidRPr="007C3942">
        <w:rPr>
          <w:rFonts w:ascii="Palatino Linotype" w:hAnsi="Palatino Linotype" w:cs="Arial"/>
        </w:rPr>
        <w:t>interpuesto por</w:t>
      </w:r>
      <w:r w:rsidR="00154698">
        <w:rPr>
          <w:rFonts w:ascii="Palatino Linotype" w:hAnsi="Palatino Linotype" w:cs="Arial"/>
        </w:rPr>
        <w:t xml:space="preserve"> el </w:t>
      </w:r>
      <w:r w:rsidR="009E1A55">
        <w:rPr>
          <w:rFonts w:ascii="Palatino Linotype" w:hAnsi="Palatino Linotype" w:cs="Arial"/>
          <w:b/>
        </w:rPr>
        <w:t>XXXXXXXXXXXXXXXXXXX</w:t>
      </w:r>
      <w:r w:rsidR="00154698" w:rsidRPr="007C3942">
        <w:rPr>
          <w:rFonts w:ascii="Palatino Linotype" w:hAnsi="Palatino Linotype" w:cs="Arial"/>
        </w:rPr>
        <w:t xml:space="preserve">, quien en lo sucesivo y para efectos prácticos se le denominara </w:t>
      </w:r>
      <w:r w:rsidR="00154698">
        <w:rPr>
          <w:rFonts w:ascii="Palatino Linotype" w:hAnsi="Palatino Linotype" w:cs="Arial"/>
          <w:b/>
        </w:rPr>
        <w:t>el</w:t>
      </w:r>
      <w:r w:rsidR="00154698" w:rsidRPr="007C3942">
        <w:rPr>
          <w:rFonts w:ascii="Palatino Linotype" w:hAnsi="Palatino Linotype" w:cs="Arial"/>
          <w:b/>
        </w:rPr>
        <w:t xml:space="preserve"> 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1A7EEE">
        <w:rPr>
          <w:rFonts w:ascii="Palatino Linotype" w:hAnsi="Palatino Linotype" w:cs="Arial"/>
        </w:rPr>
        <w:t>l</w:t>
      </w:r>
      <w:r w:rsidRPr="00B21190">
        <w:rPr>
          <w:rFonts w:ascii="Palatino Linotype" w:hAnsi="Palatino Linotype" w:cs="Arial"/>
        </w:rPr>
        <w:t xml:space="preserve"> </w:t>
      </w:r>
      <w:r w:rsidR="0049360F" w:rsidRPr="0049360F">
        <w:rPr>
          <w:rFonts w:ascii="Palatino Linotype" w:hAnsi="Palatino Linotype" w:cs="Arial"/>
          <w:b/>
        </w:rPr>
        <w:t>Ayuntamiento de Metepec</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28AFFFD9"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1F4610">
        <w:rPr>
          <w:rFonts w:ascii="Palatino Linotype" w:hAnsi="Palatino Linotype" w:cs="Arial"/>
        </w:rPr>
        <w:t>dieciocho de abril</w:t>
      </w:r>
      <w:r w:rsidR="00620A1D">
        <w:rPr>
          <w:rFonts w:ascii="Palatino Linotype" w:hAnsi="Palatino Linotype" w:cs="Arial"/>
        </w:rPr>
        <w:t xml:space="preserve"> de dos mil veintidós</w:t>
      </w:r>
      <w:r>
        <w:rPr>
          <w:rFonts w:ascii="Palatino Linotype" w:hAnsi="Palatino Linotype" w:cs="Arial"/>
        </w:rPr>
        <w:t xml:space="preserve">, </w:t>
      </w:r>
      <w:r w:rsidR="00A1656C">
        <w:rPr>
          <w:rFonts w:ascii="Palatino Linotype" w:hAnsi="Palatino Linotype" w:cs="Arial"/>
          <w:b/>
        </w:rPr>
        <w:t>el</w:t>
      </w:r>
      <w:r>
        <w:rPr>
          <w:rFonts w:ascii="Palatino Linotype" w:hAnsi="Palatino Linotype" w:cs="Arial"/>
          <w:b/>
        </w:rPr>
        <w:t xml:space="preserve"> Recurrente</w:t>
      </w:r>
      <w:r>
        <w:rPr>
          <w:rFonts w:ascii="Palatino Linotype" w:hAnsi="Palatino Linotype" w:cs="Arial"/>
        </w:rPr>
        <w:t xml:space="preserve">, </w:t>
      </w:r>
      <w:r w:rsidR="001A7EEE" w:rsidRPr="00C35F18">
        <w:rPr>
          <w:rFonts w:ascii="Palatino Linotype" w:hAnsi="Palatino Linotype"/>
        </w:rPr>
        <w:t>presentó a través del Sistema de Acceso a la Información Mexiquense (</w:t>
      </w:r>
      <w:r w:rsidR="001A7EEE" w:rsidRPr="00C35F18">
        <w:rPr>
          <w:rFonts w:ascii="Palatino Linotype" w:hAnsi="Palatino Linotype"/>
          <w:b/>
        </w:rPr>
        <w:t>SAIMEX)</w:t>
      </w:r>
      <w:r w:rsidR="001A7EEE" w:rsidRPr="00C35F18">
        <w:rPr>
          <w:rFonts w:ascii="Palatino Linotype" w:hAnsi="Palatino Linotype"/>
        </w:rPr>
        <w:t xml:space="preserve"> ante el </w:t>
      </w:r>
      <w:r w:rsidR="001A7EEE" w:rsidRPr="00A1656C">
        <w:rPr>
          <w:rFonts w:ascii="Palatino Linotype" w:hAnsi="Palatino Linotype"/>
          <w:b/>
        </w:rPr>
        <w:t>Sujeto Obligado</w:t>
      </w:r>
      <w:r w:rsidR="001A7EEE" w:rsidRPr="00C35F18">
        <w:rPr>
          <w:rFonts w:ascii="Palatino Linotype" w:hAnsi="Palatino Linotype"/>
        </w:rPr>
        <w:t>, solicitud de acceso a la información pública, registrada bajo el número de expediente</w:t>
      </w:r>
      <w:r w:rsidR="001A7EEE">
        <w:rPr>
          <w:rFonts w:ascii="Palatino Linotype" w:hAnsi="Palatino Linotype"/>
          <w:b/>
        </w:rPr>
        <w:t xml:space="preserve"> </w:t>
      </w:r>
      <w:r w:rsidR="001F4610" w:rsidRPr="001F4610">
        <w:rPr>
          <w:rFonts w:ascii="Palatino Linotype" w:hAnsi="Palatino Linotype" w:cs="Arial"/>
          <w:b/>
        </w:rPr>
        <w:t>03194/METEPEC/IP/2022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14B6EDFD" w14:textId="77777777" w:rsidR="0014624E" w:rsidRDefault="0014624E" w:rsidP="0014624E">
      <w:pPr>
        <w:ind w:right="851"/>
        <w:jc w:val="both"/>
        <w:rPr>
          <w:rFonts w:ascii="Palatino Linotype" w:hAnsi="Palatino Linotype"/>
          <w:i/>
          <w:lang w:val="es-ES_tradnl"/>
        </w:rPr>
      </w:pPr>
    </w:p>
    <w:p w14:paraId="61689946" w14:textId="42918B64" w:rsidR="00AE61AD" w:rsidRPr="0014624E" w:rsidRDefault="008D6D96" w:rsidP="0014624E">
      <w:pPr>
        <w:ind w:left="851" w:right="851"/>
        <w:jc w:val="both"/>
        <w:rPr>
          <w:rFonts w:ascii="Palatino Linotype" w:hAnsi="Palatino Linotype"/>
          <w:i/>
          <w:lang w:val="es-ES_tradnl"/>
        </w:rPr>
      </w:pPr>
      <w:r w:rsidRPr="006B26E3">
        <w:rPr>
          <w:rFonts w:ascii="Palatino Linotype" w:hAnsi="Palatino Linotype"/>
          <w:i/>
          <w:lang w:val="es-ES_tradnl"/>
        </w:rPr>
        <w:t>“</w:t>
      </w:r>
      <w:r w:rsidR="001F4610" w:rsidRPr="001F4610">
        <w:rPr>
          <w:rFonts w:ascii="Palatino Linotype" w:hAnsi="Palatino Linotype"/>
          <w:i/>
          <w:lang w:val="es-ES_tradnl"/>
        </w:rPr>
        <w:t>Solicito información de la administración.</w:t>
      </w:r>
      <w:r w:rsidRPr="006B26E3">
        <w:rPr>
          <w:rFonts w:ascii="Palatino Linotype" w:hAnsi="Palatino Linotype"/>
          <w:i/>
          <w:lang w:val="es-ES_tradnl"/>
        </w:rPr>
        <w:t>”</w:t>
      </w:r>
      <w:r w:rsidRPr="006B26E3">
        <w:rPr>
          <w:rFonts w:ascii="Palatino Linotype" w:hAnsi="Palatino Linotype"/>
          <w:lang w:val="es-ES_tradnl"/>
        </w:rPr>
        <w:t xml:space="preserve"> [Sic]</w:t>
      </w:r>
    </w:p>
    <w:p w14:paraId="046012B5" w14:textId="77777777" w:rsidR="001F4610" w:rsidRDefault="001F4610" w:rsidP="0049360F">
      <w:pPr>
        <w:pStyle w:val="Citas"/>
        <w:spacing w:before="0" w:after="0"/>
        <w:ind w:left="0" w:right="0"/>
        <w:rPr>
          <w:i w:val="0"/>
          <w:iCs/>
          <w:sz w:val="24"/>
          <w:szCs w:val="24"/>
        </w:rPr>
      </w:pPr>
    </w:p>
    <w:p w14:paraId="4B1D6725" w14:textId="1AD25EC6" w:rsidR="0049360F" w:rsidRDefault="0049360F" w:rsidP="0049360F">
      <w:pPr>
        <w:pStyle w:val="Citas"/>
        <w:spacing w:before="0" w:after="0"/>
        <w:ind w:left="0" w:right="0"/>
        <w:rPr>
          <w:i w:val="0"/>
          <w:iCs/>
          <w:sz w:val="24"/>
          <w:szCs w:val="24"/>
        </w:rPr>
      </w:pPr>
      <w:r>
        <w:rPr>
          <w:i w:val="0"/>
          <w:iCs/>
          <w:sz w:val="24"/>
          <w:szCs w:val="24"/>
        </w:rPr>
        <w:t xml:space="preserve">De forma complementaria, el particular adjuntó el documento electrónico </w:t>
      </w:r>
      <w:r>
        <w:rPr>
          <w:b/>
          <w:i w:val="0"/>
          <w:iCs/>
          <w:sz w:val="24"/>
          <w:szCs w:val="24"/>
        </w:rPr>
        <w:t>“</w:t>
      </w:r>
      <w:r w:rsidR="001F4610" w:rsidRPr="001F4610">
        <w:rPr>
          <w:b/>
          <w:sz w:val="24"/>
          <w:szCs w:val="24"/>
        </w:rPr>
        <w:t>Solicitud de transparencia.docx</w:t>
      </w:r>
      <w:r>
        <w:rPr>
          <w:b/>
          <w:i w:val="0"/>
          <w:iCs/>
          <w:sz w:val="24"/>
          <w:szCs w:val="24"/>
        </w:rPr>
        <w:t xml:space="preserve">” </w:t>
      </w:r>
      <w:r>
        <w:rPr>
          <w:i w:val="0"/>
          <w:iCs/>
          <w:sz w:val="24"/>
          <w:szCs w:val="24"/>
        </w:rPr>
        <w:t>cuyo contenido literal es el siguiente:</w:t>
      </w:r>
    </w:p>
    <w:p w14:paraId="6BAFC37F" w14:textId="50EBD67F" w:rsidR="001F4610" w:rsidRDefault="001F4610" w:rsidP="0049360F">
      <w:pPr>
        <w:pStyle w:val="Citas"/>
        <w:spacing w:before="0" w:after="0"/>
        <w:ind w:left="0" w:right="0"/>
        <w:rPr>
          <w:i w:val="0"/>
          <w:iCs/>
          <w:sz w:val="24"/>
          <w:szCs w:val="24"/>
        </w:rPr>
      </w:pPr>
    </w:p>
    <w:p w14:paraId="036133F5" w14:textId="77777777" w:rsidR="001F4610" w:rsidRPr="001F4610" w:rsidRDefault="001F4610" w:rsidP="001F4610">
      <w:pPr>
        <w:spacing w:after="200" w:line="276" w:lineRule="auto"/>
        <w:ind w:left="142" w:hanging="10"/>
        <w:jc w:val="both"/>
        <w:rPr>
          <w:rFonts w:ascii="Arial" w:eastAsiaTheme="minorHAnsi" w:hAnsi="Arial" w:cs="Arial"/>
          <w:lang w:val="es-MX" w:eastAsia="en-US"/>
        </w:rPr>
      </w:pPr>
      <w:r w:rsidRPr="001F4610">
        <w:rPr>
          <w:rFonts w:ascii="Arial" w:eastAsiaTheme="minorHAnsi" w:hAnsi="Arial" w:cs="Arial"/>
          <w:lang w:val="es-MX" w:eastAsia="en-US"/>
        </w:rPr>
        <w:t>Cuáles son los ingresos que reporta haber recibido la tesorería municipal por concepto del pago de sanciones por faltas administrativas cometidas por personas presentadas ante los oficiales calificadores</w:t>
      </w:r>
    </w:p>
    <w:p w14:paraId="43130244" w14:textId="77777777" w:rsidR="001F4610" w:rsidRPr="001F4610" w:rsidRDefault="001F4610" w:rsidP="001F4610">
      <w:pPr>
        <w:spacing w:after="200" w:line="276" w:lineRule="auto"/>
        <w:ind w:left="142" w:hanging="10"/>
        <w:jc w:val="both"/>
        <w:rPr>
          <w:rFonts w:ascii="Arial" w:eastAsiaTheme="minorHAnsi" w:hAnsi="Arial" w:cs="Arial"/>
          <w:lang w:val="es-MX" w:eastAsia="en-US"/>
        </w:rPr>
      </w:pPr>
      <w:r w:rsidRPr="001F4610">
        <w:rPr>
          <w:rFonts w:ascii="Arial" w:eastAsiaTheme="minorHAnsi" w:hAnsi="Arial" w:cs="Arial"/>
          <w:lang w:val="es-MX" w:eastAsia="en-US"/>
        </w:rPr>
        <w:t>¿Cuántas licencias de funcionamiento de unidades económicas se han expedido desde el inicio de la administración?</w:t>
      </w:r>
    </w:p>
    <w:p w14:paraId="4B4AC761" w14:textId="77777777" w:rsidR="001F4610" w:rsidRPr="001F4610" w:rsidRDefault="001F4610" w:rsidP="001F4610">
      <w:pPr>
        <w:spacing w:after="200" w:line="276" w:lineRule="auto"/>
        <w:ind w:left="142" w:hanging="10"/>
        <w:jc w:val="both"/>
        <w:rPr>
          <w:rFonts w:ascii="Arial" w:eastAsiaTheme="minorHAnsi" w:hAnsi="Arial" w:cs="Arial"/>
          <w:lang w:val="es-MX" w:eastAsia="en-US"/>
        </w:rPr>
      </w:pPr>
      <w:r w:rsidRPr="001F4610">
        <w:rPr>
          <w:rFonts w:ascii="Arial" w:eastAsiaTheme="minorHAnsi" w:hAnsi="Arial" w:cs="Arial"/>
          <w:lang w:val="es-MX" w:eastAsia="en-US"/>
        </w:rPr>
        <w:t>¿Cuáles son los requisitos para tramitar una licencia de funcionamiento de unidades económica desreguladas?</w:t>
      </w:r>
    </w:p>
    <w:p w14:paraId="0ECFB93F" w14:textId="77777777" w:rsidR="001F4610" w:rsidRPr="001F4610" w:rsidRDefault="001F4610" w:rsidP="001F4610">
      <w:pPr>
        <w:spacing w:after="200" w:line="276" w:lineRule="auto"/>
        <w:ind w:left="142" w:hanging="10"/>
        <w:jc w:val="both"/>
        <w:rPr>
          <w:rFonts w:ascii="Arial" w:eastAsiaTheme="minorHAnsi" w:hAnsi="Arial" w:cs="Arial"/>
          <w:lang w:val="es-MX" w:eastAsia="en-US"/>
        </w:rPr>
      </w:pPr>
      <w:r w:rsidRPr="001F4610">
        <w:rPr>
          <w:rFonts w:ascii="Arial" w:eastAsiaTheme="minorHAnsi" w:hAnsi="Arial" w:cs="Arial"/>
          <w:lang w:val="es-MX" w:eastAsia="en-US"/>
        </w:rPr>
        <w:t>¿Cuántas licencias de funcionamiento se encuentran vigentes para unidades económicas actualmente?</w:t>
      </w:r>
    </w:p>
    <w:p w14:paraId="520253AB" w14:textId="77777777" w:rsidR="001F4610" w:rsidRPr="001F4610" w:rsidRDefault="001F4610" w:rsidP="001F4610">
      <w:pPr>
        <w:spacing w:after="200" w:line="276" w:lineRule="auto"/>
        <w:ind w:left="142" w:hanging="10"/>
        <w:jc w:val="both"/>
        <w:rPr>
          <w:rFonts w:ascii="Arial" w:eastAsiaTheme="minorHAnsi" w:hAnsi="Arial" w:cs="Arial"/>
          <w:lang w:val="es-MX" w:eastAsia="en-US"/>
        </w:rPr>
      </w:pPr>
      <w:r w:rsidRPr="001F4610">
        <w:rPr>
          <w:rFonts w:ascii="Arial" w:eastAsiaTheme="minorHAnsi" w:hAnsi="Arial" w:cs="Arial"/>
          <w:lang w:val="es-MX" w:eastAsia="en-US"/>
        </w:rPr>
        <w:t>¿Cuántas unidades económicas se encuentran registradas en el Registro Municipal de Unidades Económicas?</w:t>
      </w:r>
    </w:p>
    <w:p w14:paraId="47BDCB2B" w14:textId="7D296FE3" w:rsidR="0049360F" w:rsidRPr="001F4610" w:rsidRDefault="001F4610" w:rsidP="001F4610">
      <w:pPr>
        <w:spacing w:after="200" w:line="276" w:lineRule="auto"/>
        <w:ind w:left="142" w:hanging="10"/>
        <w:jc w:val="both"/>
        <w:rPr>
          <w:rFonts w:ascii="Arial" w:eastAsiaTheme="minorHAnsi" w:hAnsi="Arial" w:cs="Arial"/>
          <w:lang w:val="es-MX" w:eastAsia="en-US"/>
        </w:rPr>
      </w:pPr>
      <w:r w:rsidRPr="001F4610">
        <w:rPr>
          <w:rFonts w:ascii="Arial" w:eastAsiaTheme="minorHAnsi" w:hAnsi="Arial" w:cs="Arial"/>
          <w:lang w:val="es-MX" w:eastAsia="en-US"/>
        </w:rPr>
        <w:t>Solicitud  de una copia de las actas de la instalación y sesiones de las comisiones edilicias municipales que se hayan realizado a la fecha de recepción de la presente.</w:t>
      </w:r>
    </w:p>
    <w:p w14:paraId="356B4AF2" w14:textId="77777777" w:rsidR="0049360F" w:rsidRDefault="0049360F" w:rsidP="001A7EEE">
      <w:pPr>
        <w:spacing w:line="360" w:lineRule="auto"/>
        <w:jc w:val="both"/>
        <w:rPr>
          <w:rFonts w:ascii="Palatino Linotype" w:hAnsi="Palatino Linotype"/>
          <w:lang w:val="es-ES_tradnl"/>
        </w:rPr>
      </w:pPr>
    </w:p>
    <w:p w14:paraId="7793FDA5" w14:textId="57280597" w:rsidR="001770BD" w:rsidRDefault="001A7EEE" w:rsidP="001A7EEE">
      <w:pPr>
        <w:spacing w:line="360" w:lineRule="auto"/>
        <w:jc w:val="both"/>
        <w:rPr>
          <w:rFonts w:ascii="Palatino Linotype" w:hAnsi="Palatino Linotype"/>
          <w:lang w:val="es-ES_tradnl"/>
        </w:rPr>
      </w:pPr>
      <w:r w:rsidRPr="001A7EEE">
        <w:rPr>
          <w:rFonts w:ascii="Palatino Linotype" w:hAnsi="Palatino Linotype"/>
          <w:lang w:val="es-ES_tradnl"/>
        </w:rPr>
        <w:t xml:space="preserve">Modalidad de entrega: </w:t>
      </w:r>
      <w:r w:rsidRPr="001A7EEE">
        <w:rPr>
          <w:rFonts w:ascii="Palatino Linotype" w:hAnsi="Palatino Linotype"/>
          <w:b/>
          <w:lang w:val="es-ES_tradnl"/>
        </w:rPr>
        <w:t>A través del SAIMEX.</w:t>
      </w:r>
    </w:p>
    <w:p w14:paraId="5D68C8B1" w14:textId="77777777" w:rsidR="001A7EEE" w:rsidRPr="001A7EEE" w:rsidRDefault="001A7EEE" w:rsidP="001A7EEE">
      <w:pPr>
        <w:spacing w:line="360" w:lineRule="auto"/>
        <w:jc w:val="both"/>
        <w:rPr>
          <w:rFonts w:ascii="Palatino Linotype" w:hAnsi="Palatino Linotype"/>
          <w:lang w:val="es-ES_tradnl"/>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10912DEB"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1F4610">
        <w:rPr>
          <w:rFonts w:ascii="Palatino Linotype" w:hAnsi="Palatino Linotype" w:cs="Arial"/>
        </w:rPr>
        <w:t>veintiocho de abril</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33A928DC" w14:textId="77777777" w:rsidR="001F4610" w:rsidRPr="001F4610" w:rsidRDefault="008D6D96" w:rsidP="001F4610">
      <w:pPr>
        <w:ind w:left="851" w:right="851"/>
        <w:jc w:val="right"/>
        <w:rPr>
          <w:rFonts w:ascii="Palatino Linotype" w:hAnsi="Palatino Linotype" w:cs="Arial"/>
          <w:i/>
        </w:rPr>
      </w:pPr>
      <w:r w:rsidRPr="006E2D8D">
        <w:rPr>
          <w:rFonts w:ascii="Palatino Linotype" w:hAnsi="Palatino Linotype" w:cs="Arial"/>
          <w:i/>
        </w:rPr>
        <w:t xml:space="preserve"> “</w:t>
      </w:r>
      <w:r w:rsidR="001F4610" w:rsidRPr="001F4610">
        <w:rPr>
          <w:rFonts w:ascii="Palatino Linotype" w:hAnsi="Palatino Linotype" w:cs="Arial"/>
          <w:i/>
        </w:rPr>
        <w:t xml:space="preserve">Folio de la solicitud: </w:t>
      </w:r>
      <w:r w:rsidR="001F4610" w:rsidRPr="001F4610">
        <w:rPr>
          <w:rFonts w:ascii="Palatino Linotype" w:hAnsi="Palatino Linotype" w:cs="Arial"/>
          <w:b/>
          <w:bCs/>
          <w:i/>
        </w:rPr>
        <w:t>03194/METEPEC/IP/2022</w:t>
      </w:r>
    </w:p>
    <w:p w14:paraId="7ED11B29" w14:textId="77777777" w:rsidR="001F4610" w:rsidRDefault="001F4610" w:rsidP="001F4610">
      <w:pPr>
        <w:ind w:left="851" w:right="851"/>
        <w:jc w:val="both"/>
        <w:rPr>
          <w:rFonts w:ascii="Palatino Linotype" w:hAnsi="Palatino Linotype" w:cs="Arial"/>
          <w:i/>
        </w:rPr>
      </w:pPr>
    </w:p>
    <w:p w14:paraId="7B916239" w14:textId="370BE51D" w:rsidR="001F4610" w:rsidRDefault="001F4610" w:rsidP="001F4610">
      <w:pPr>
        <w:ind w:left="851" w:right="851"/>
        <w:jc w:val="both"/>
        <w:rPr>
          <w:rFonts w:ascii="Palatino Linotype" w:hAnsi="Palatino Linotype" w:cs="Arial"/>
          <w:i/>
        </w:rPr>
      </w:pPr>
      <w:r w:rsidRPr="001F4610">
        <w:rPr>
          <w:rFonts w:ascii="Palatino Linotype" w:hAnsi="Palatino Linotype" w:cs="Arial"/>
          <w:i/>
        </w:rPr>
        <w:t xml:space="preserve">En respuesta a la solicitud recibida, nos permitimos hacer de su conocimiento que con fundamento en el artículo 53, Fracciones: II, V y VI de la Ley de </w:t>
      </w:r>
      <w:r w:rsidRPr="001F4610">
        <w:rPr>
          <w:rFonts w:ascii="Palatino Linotype" w:hAnsi="Palatino Linotype" w:cs="Arial"/>
          <w:i/>
        </w:rPr>
        <w:lastRenderedPageBreak/>
        <w:t>Transparencia y Acceso a la Información Pública del Estado de México y Municipios, le contestamos que:</w:t>
      </w:r>
    </w:p>
    <w:p w14:paraId="5E614EB1" w14:textId="77777777" w:rsidR="001F4610" w:rsidRPr="001F4610" w:rsidRDefault="001F4610" w:rsidP="001F4610">
      <w:pPr>
        <w:ind w:left="851" w:right="851"/>
        <w:jc w:val="both"/>
        <w:rPr>
          <w:rFonts w:ascii="Palatino Linotype" w:hAnsi="Palatino Linotype" w:cs="Arial"/>
          <w:i/>
        </w:rPr>
      </w:pPr>
    </w:p>
    <w:p w14:paraId="137230E7" w14:textId="77777777" w:rsidR="001F4610" w:rsidRPr="001F4610" w:rsidRDefault="001F4610" w:rsidP="001F4610">
      <w:pPr>
        <w:ind w:left="851" w:right="851"/>
        <w:jc w:val="both"/>
        <w:rPr>
          <w:rFonts w:ascii="Palatino Linotype" w:hAnsi="Palatino Linotype" w:cs="Arial"/>
          <w:i/>
        </w:rPr>
      </w:pPr>
      <w:r w:rsidRPr="001F4610">
        <w:rPr>
          <w:rFonts w:ascii="Palatino Linotype" w:hAnsi="Palatino Linotype" w:cs="Arial"/>
          <w:i/>
        </w:rPr>
        <w:t>C. SOLICITANTE P R E S E N T E. En respuesta a la solicitud número 03194/METEPEC/IP/2022,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775F496C" w14:textId="77777777" w:rsidR="001F4610" w:rsidRDefault="001F4610" w:rsidP="001F4610">
      <w:pPr>
        <w:ind w:left="851" w:right="851"/>
        <w:jc w:val="both"/>
        <w:rPr>
          <w:rFonts w:ascii="Palatino Linotype" w:hAnsi="Palatino Linotype" w:cs="Arial"/>
          <w:i/>
        </w:rPr>
      </w:pPr>
    </w:p>
    <w:p w14:paraId="1ECABBB4" w14:textId="5614CF3D" w:rsidR="001F4610" w:rsidRPr="001F4610" w:rsidRDefault="001F4610" w:rsidP="001F4610">
      <w:pPr>
        <w:ind w:left="851" w:right="851"/>
        <w:jc w:val="both"/>
        <w:rPr>
          <w:rFonts w:ascii="Palatino Linotype" w:hAnsi="Palatino Linotype" w:cs="Arial"/>
          <w:i/>
        </w:rPr>
      </w:pPr>
      <w:r w:rsidRPr="001F4610">
        <w:rPr>
          <w:rFonts w:ascii="Palatino Linotype" w:hAnsi="Palatino Linotype" w:cs="Arial"/>
          <w:i/>
        </w:rPr>
        <w:t>ATENTAMENTE</w:t>
      </w:r>
    </w:p>
    <w:p w14:paraId="3D71D1C1" w14:textId="628F9B31" w:rsidR="008D6D96" w:rsidRPr="002246A2" w:rsidRDefault="001F4610" w:rsidP="001F4610">
      <w:pPr>
        <w:ind w:left="851" w:right="851"/>
        <w:jc w:val="both"/>
        <w:rPr>
          <w:rFonts w:ascii="Palatino Linotype" w:hAnsi="Palatino Linotype" w:cs="Arial"/>
          <w:i/>
        </w:rPr>
      </w:pPr>
      <w:r w:rsidRPr="001F4610">
        <w:rPr>
          <w:rFonts w:ascii="Palatino Linotype" w:hAnsi="Palatino Linotype" w:cs="Arial"/>
          <w:i/>
        </w:rPr>
        <w:t>Lic. Gerardo Arturo Ozuna Martínez</w:t>
      </w:r>
      <w:r w:rsidR="008D6D96" w:rsidRPr="006E2D8D">
        <w:rPr>
          <w:rFonts w:ascii="Palatino Linotype" w:hAnsi="Palatino Linotype" w:cs="Arial"/>
          <w:i/>
        </w:rPr>
        <w:t>”</w:t>
      </w:r>
    </w:p>
    <w:p w14:paraId="30630136" w14:textId="77777777" w:rsidR="00F46230" w:rsidRPr="00B21190" w:rsidRDefault="00F46230" w:rsidP="003D0754">
      <w:pPr>
        <w:pStyle w:val="Sinespaciado"/>
      </w:pPr>
    </w:p>
    <w:p w14:paraId="06BBE747" w14:textId="3194BBD7" w:rsidR="004213E0" w:rsidRPr="00BF5A90" w:rsidRDefault="004213E0" w:rsidP="004213E0">
      <w:pPr>
        <w:spacing w:before="240" w:line="360" w:lineRule="auto"/>
        <w:jc w:val="both"/>
        <w:rPr>
          <w:rFonts w:ascii="Palatino Linotype" w:hAnsi="Palatino Linotype"/>
          <w:color w:val="000000"/>
        </w:rPr>
      </w:pPr>
      <w:r>
        <w:rPr>
          <w:rFonts w:ascii="Palatino Linotype" w:hAnsi="Palatino Linotype"/>
          <w:color w:val="000000"/>
        </w:rPr>
        <w:t xml:space="preserve">Para tal efecto, </w:t>
      </w:r>
      <w:r w:rsidRPr="004213E0">
        <w:rPr>
          <w:rFonts w:ascii="Palatino Linotype" w:hAnsi="Palatino Linotype"/>
          <w:b/>
          <w:color w:val="000000"/>
        </w:rPr>
        <w:t>el Sujeto Obligado</w:t>
      </w:r>
      <w:r>
        <w:rPr>
          <w:rFonts w:ascii="Palatino Linotype" w:hAnsi="Palatino Linotype"/>
          <w:color w:val="000000"/>
        </w:rPr>
        <w:t xml:space="preserve"> adjuntó el archivo electrónico denominado </w:t>
      </w:r>
      <w:bookmarkStart w:id="0" w:name="_Hlk99652498"/>
      <w:r w:rsidRPr="00BB0886">
        <w:rPr>
          <w:rFonts w:ascii="Palatino Linotype" w:hAnsi="Palatino Linotype"/>
          <w:b/>
          <w:bCs/>
          <w:i/>
          <w:iCs/>
          <w:color w:val="000000"/>
        </w:rPr>
        <w:t>“</w:t>
      </w:r>
      <w:r w:rsidR="001F4610" w:rsidRPr="001F4610">
        <w:rPr>
          <w:rFonts w:ascii="Palatino Linotype" w:hAnsi="Palatino Linotype"/>
          <w:b/>
          <w:bCs/>
          <w:i/>
          <w:iCs/>
          <w:color w:val="000000"/>
        </w:rPr>
        <w:t>03194.PDF</w:t>
      </w:r>
      <w:r w:rsidRPr="00BB0886">
        <w:rPr>
          <w:rFonts w:ascii="Palatino Linotype" w:hAnsi="Palatino Linotype"/>
          <w:b/>
          <w:bCs/>
          <w:i/>
          <w:iCs/>
          <w:color w:val="000000"/>
        </w:rPr>
        <w:t>”</w:t>
      </w:r>
      <w:bookmarkEnd w:id="0"/>
      <w:r>
        <w:rPr>
          <w:rFonts w:ascii="Palatino Linotype" w:hAnsi="Palatino Linotype"/>
          <w:color w:val="000000"/>
        </w:rPr>
        <w:t>; mismo que no se inserta en el presente apartado</w:t>
      </w:r>
      <w:r w:rsidRPr="00F670C8">
        <w:rPr>
          <w:rFonts w:ascii="Palatino Linotype" w:hAnsi="Palatino Linotype"/>
          <w:color w:val="000000"/>
        </w:rPr>
        <w:t xml:space="preserve"> por ser del conocimiento de las partes, </w:t>
      </w:r>
      <w:r>
        <w:rPr>
          <w:rFonts w:ascii="Palatino Linotype" w:hAnsi="Palatino Linotype"/>
          <w:color w:val="000000"/>
        </w:rPr>
        <w:t>sin embargo,</w:t>
      </w:r>
      <w:r w:rsidRPr="00F670C8">
        <w:rPr>
          <w:rFonts w:ascii="Palatino Linotype" w:hAnsi="Palatino Linotype"/>
          <w:color w:val="000000"/>
        </w:rPr>
        <w:t xml:space="preserve"> habrá de hacerse el análisis y estudio correspondiente en párrafos posteriores.</w:t>
      </w:r>
    </w:p>
    <w:p w14:paraId="0889F64F" w14:textId="77777777" w:rsidR="00154698" w:rsidRDefault="00154698" w:rsidP="003D0754">
      <w:pPr>
        <w:spacing w:line="360" w:lineRule="auto"/>
        <w:jc w:val="both"/>
        <w:rPr>
          <w:rFonts w:ascii="Palatino Linotype" w:hAnsi="Palatino Linotype" w:cs="Arial"/>
          <w:b/>
          <w:sz w:val="28"/>
        </w:rPr>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5FA33F1D"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A1656C">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C21C00">
        <w:rPr>
          <w:rFonts w:ascii="Palatino Linotype" w:hAnsi="Palatino Linotype" w:cs="Arial"/>
        </w:rPr>
        <w:t>once de mayo</w:t>
      </w:r>
      <w:r w:rsidR="001B0A88">
        <w:rPr>
          <w:rFonts w:ascii="Palatino Linotype" w:hAnsi="Palatino Linotype" w:cs="Arial"/>
        </w:rPr>
        <w:t xml:space="preserve"> de dos mil veintidós</w:t>
      </w:r>
      <w:r w:rsidRPr="00B21190">
        <w:rPr>
          <w:rFonts w:ascii="Palatino Linotype" w:hAnsi="Palatino Linotype" w:cs="Arial"/>
        </w:rPr>
        <w:t xml:space="preserve">, </w:t>
      </w:r>
      <w:r w:rsidR="001B0A88">
        <w:rPr>
          <w:rFonts w:ascii="Palatino Linotype" w:hAnsi="Palatino Linotype" w:cs="Arial"/>
        </w:rPr>
        <w:t>quedando</w:t>
      </w:r>
      <w:r w:rsidRPr="00B21190">
        <w:rPr>
          <w:rFonts w:ascii="Palatino Linotype" w:hAnsi="Palatino Linotype" w:cs="Arial"/>
        </w:rPr>
        <w:t xml:space="preserve"> registrado</w:t>
      </w:r>
      <w:r w:rsidRPr="00B21190">
        <w:rPr>
          <w:rFonts w:ascii="Palatino Linotype" w:hAnsi="Palatino Linotype" w:cs="Arial"/>
          <w:b/>
        </w:rPr>
        <w:t xml:space="preserve"> </w:t>
      </w:r>
      <w:r w:rsidRPr="00B21190">
        <w:rPr>
          <w:rFonts w:ascii="Palatino Linotype" w:hAnsi="Palatino Linotype" w:cs="Arial"/>
        </w:rPr>
        <w:t xml:space="preserve">en el </w:t>
      </w:r>
      <w:r w:rsidRPr="00B21190">
        <w:rPr>
          <w:rFonts w:ascii="Palatino Linotype" w:hAnsi="Palatino Linotype" w:cs="Arial"/>
        </w:rPr>
        <w:lastRenderedPageBreak/>
        <w:t>sistema electrónico con el expediente número</w:t>
      </w:r>
      <w:r w:rsidR="00ED72E2" w:rsidRPr="00ED72E2">
        <w:t xml:space="preserve"> </w:t>
      </w:r>
      <w:r w:rsidR="00C21C00" w:rsidRPr="00C21C00">
        <w:rPr>
          <w:rFonts w:ascii="Palatino Linotype" w:hAnsi="Palatino Linotype" w:cs="Arial"/>
          <w:b/>
          <w:bCs/>
          <w:lang w:eastAsia="es-MX"/>
        </w:rPr>
        <w:t>07675/INFOEM/IP/RR/2022</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003E133A"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C21C00" w:rsidRPr="00C21C00">
        <w:rPr>
          <w:rFonts w:ascii="Palatino Linotype" w:hAnsi="Palatino Linotype" w:cs="Arial"/>
          <w:bCs/>
          <w:i/>
        </w:rPr>
        <w:t>Se realizó una solicitud de acceso a la información pública el día 18-04-2022 en la cual se realizaron una serie de preguntas al Ayuntamiento de Metepec, el sujeto obligado. Siendo estas preguntas de carácter administrativo y de orden público. Posterior a ello se presentó por parte del Ayuntamiento de Metepec el L.F.B. GERARDO ARTURO OZUNA MARTINEZ, se responde a la solicitud el día 28 de Abril del 2022 con ciertas deficiencias que impiden ejercer mi derecho al acceso a la información garantizados en los artículos 6 y 8 constitucionales así como los artículos 4 y 6 de la Ley General de Transparencia y Acceso a la Información Pública. Por lo que el sujeto obligado ha incurrido en uno de los motivos para presentar un Recurso de revisión consagrado en el artículo 179 fracción V.</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602EBD7F"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C21C00" w:rsidRPr="00C21C00">
        <w:rPr>
          <w:rFonts w:ascii="Palatino Linotype" w:hAnsi="Palatino Linotype" w:cs="Arial"/>
          <w:bCs/>
          <w:i/>
        </w:rPr>
        <w:t>1. La resolución incumple con el Artículo 160 de La Ley de Transparencia y Acceso a la Información Pública del Estado de México y Municipios. 2. La resolución incumple con el Artículo 177 de La Ley de Transparencia y Acceso a la Información Pública del Estado de México y Municipios, al no especificar el derecho y plazo que tienen para promover recurso de revisión. 3. De igual manera la resolución incumple con el Articulo 92 de La Ley de Transparencia y Acceso a la Información Pública del Estado de México y Municipios, ya que el sujeto obligado no pone a disposición de una manera clara y sencilla la información solicitada que se especifica en este mismo artículo. 4. Así mismo, el sujeto incurre en una de las causas de incumplimiento de las obligaciones establecidas en la Ley de Transparencia y Acceso a la Información Pública del Estado de México y Municipios, especificada en el Artículo 222, Fracción III y X. 5. Y finalmente el sujeto obligado incumple con su función expresada en el artículo 53 Fracción V de la Ley de Transparencia y Acceso a la Información Pública del Estado de México y Municipios.</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lastRenderedPageBreak/>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2F676C3C" w14:textId="31B08E32" w:rsidR="0014624E" w:rsidRPr="00C21C00" w:rsidRDefault="001B0A88" w:rsidP="003D0754">
      <w:pPr>
        <w:spacing w:line="360" w:lineRule="auto"/>
        <w:jc w:val="both"/>
        <w:rPr>
          <w:rFonts w:ascii="Palatino Linotype" w:eastAsiaTheme="minorHAnsi" w:hAnsi="Palatino Linotype" w:cs="Arial"/>
          <w:lang w:val="es-MX" w:eastAsia="en-US"/>
        </w:rPr>
      </w:pPr>
      <w:r w:rsidRPr="001B0A88">
        <w:rPr>
          <w:rFonts w:ascii="Palatino Linotype" w:eastAsiaTheme="minorHAnsi" w:hAnsi="Palatino Linotype" w:cs="Arial"/>
          <w:lang w:val="es-MX" w:eastAsia="en-US"/>
        </w:rPr>
        <w:t xml:space="preserve">Medio de impugnación que le fue turnado al </w:t>
      </w:r>
      <w:r w:rsidRPr="001B0A88">
        <w:rPr>
          <w:rFonts w:ascii="Palatino Linotype" w:eastAsiaTheme="minorHAnsi" w:hAnsi="Palatino Linotype" w:cs="Arial"/>
          <w:b/>
          <w:bCs/>
          <w:lang w:val="es-MX" w:eastAsia="en-US"/>
        </w:rPr>
        <w:t>Comisionado</w:t>
      </w:r>
      <w:r w:rsidR="009F3DA1">
        <w:rPr>
          <w:rFonts w:ascii="Palatino Linotype" w:eastAsiaTheme="minorHAnsi" w:hAnsi="Palatino Linotype" w:cs="Arial"/>
          <w:b/>
          <w:bCs/>
          <w:lang w:val="es-MX" w:eastAsia="en-US"/>
        </w:rPr>
        <w:t xml:space="preserve"> Presidente</w:t>
      </w:r>
      <w:r w:rsidRPr="001B0A88">
        <w:rPr>
          <w:rFonts w:ascii="Palatino Linotype" w:eastAsiaTheme="minorHAnsi" w:hAnsi="Palatino Linotype" w:cs="Arial"/>
          <w:b/>
          <w:bCs/>
          <w:lang w:val="es-MX" w:eastAsia="en-US"/>
        </w:rPr>
        <w:t xml:space="preserve"> José Martínez Vilchis</w:t>
      </w:r>
      <w:r w:rsidRPr="001B0A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21C00">
        <w:rPr>
          <w:rFonts w:ascii="Palatino Linotype" w:eastAsiaTheme="minorHAnsi" w:hAnsi="Palatino Linotype" w:cs="Arial"/>
        </w:rPr>
        <w:t>diecisiete de mayo</w:t>
      </w:r>
      <w:r>
        <w:rPr>
          <w:rFonts w:ascii="Palatino Linotype" w:eastAsiaTheme="minorHAnsi" w:hAnsi="Palatino Linotype" w:cs="Arial"/>
          <w:lang w:val="es-MX" w:eastAsia="en-US"/>
        </w:rPr>
        <w:t xml:space="preserve"> de dos mil veintidós</w:t>
      </w:r>
      <w:r w:rsidRPr="001B0A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61C4F54" w14:textId="77777777" w:rsidR="0014624E" w:rsidRDefault="0014624E" w:rsidP="003D0754">
      <w:pPr>
        <w:spacing w:line="360" w:lineRule="auto"/>
        <w:jc w:val="both"/>
        <w:rPr>
          <w:rFonts w:ascii="Palatino Linotype" w:hAnsi="Palatino Linotype" w:cs="Arial"/>
          <w:b/>
          <w:sz w:val="28"/>
        </w:rPr>
      </w:pPr>
    </w:p>
    <w:p w14:paraId="51BD16D2" w14:textId="2DB00E2B"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7C7236B3" w14:textId="5D4BF4F8" w:rsidR="004213E0" w:rsidRDefault="004213E0" w:rsidP="004213E0">
      <w:pPr>
        <w:spacing w:line="360" w:lineRule="auto"/>
        <w:jc w:val="both"/>
        <w:rPr>
          <w:rFonts w:ascii="Palatino Linotype" w:eastAsiaTheme="minorHAnsi" w:hAnsi="Palatino Linotype" w:cs="Arial"/>
        </w:rPr>
      </w:pPr>
      <w:r w:rsidRPr="00C557D7">
        <w:rPr>
          <w:rFonts w:ascii="Palatino Linotype" w:eastAsiaTheme="minorHAnsi" w:hAnsi="Palatino Linotype" w:cs="Arial"/>
        </w:rPr>
        <w:t xml:space="preserve">Así, una vez transcurrido el término legal referido se destaca que </w:t>
      </w:r>
      <w:r w:rsidRPr="00C557D7">
        <w:rPr>
          <w:rFonts w:ascii="Palatino Linotype" w:eastAsiaTheme="minorHAnsi" w:hAnsi="Palatino Linotype" w:cs="Arial"/>
          <w:b/>
        </w:rPr>
        <w:t>El Sujeto Obligado</w:t>
      </w:r>
      <w:r w:rsidRPr="00C557D7">
        <w:rPr>
          <w:rFonts w:ascii="Palatino Linotype" w:eastAsiaTheme="minorHAnsi" w:hAnsi="Palatino Linotype" w:cs="Arial"/>
        </w:rPr>
        <w:t xml:space="preserve"> fue omiso en remitir su Informe Justificado; por su parte </w:t>
      </w:r>
      <w:r>
        <w:rPr>
          <w:rFonts w:ascii="Palatino Linotype" w:eastAsiaTheme="minorHAnsi" w:hAnsi="Palatino Linotype" w:cs="Arial"/>
          <w:b/>
          <w:bCs/>
        </w:rPr>
        <w:t>el</w:t>
      </w:r>
      <w:r>
        <w:rPr>
          <w:rFonts w:ascii="Palatino Linotype" w:eastAsiaTheme="minorHAnsi" w:hAnsi="Palatino Linotype" w:cs="Arial"/>
        </w:rPr>
        <w:t xml:space="preserve"> R</w:t>
      </w:r>
      <w:r w:rsidRPr="00C557D7">
        <w:rPr>
          <w:rFonts w:ascii="Palatino Linotype" w:eastAsiaTheme="minorHAnsi" w:hAnsi="Palatino Linotype" w:cs="Arial"/>
          <w:b/>
        </w:rPr>
        <w:t>ecurrente</w:t>
      </w:r>
      <w:r w:rsidRPr="00C557D7">
        <w:rPr>
          <w:rFonts w:ascii="Palatino Linotype" w:eastAsiaTheme="minorHAnsi" w:hAnsi="Palatino Linotype" w:cs="Arial"/>
        </w:rPr>
        <w:t>, tampoco realizó manifestación alguna, de conformidad con la siguiente imagen:</w:t>
      </w:r>
    </w:p>
    <w:p w14:paraId="4601C202" w14:textId="4C7CA07D" w:rsidR="00C21C00" w:rsidRDefault="00C21C00" w:rsidP="004213E0">
      <w:pPr>
        <w:spacing w:line="360" w:lineRule="auto"/>
        <w:jc w:val="both"/>
        <w:rPr>
          <w:rFonts w:ascii="Palatino Linotype" w:eastAsiaTheme="minorHAnsi" w:hAnsi="Palatino Linotype" w:cs="Arial"/>
        </w:rPr>
      </w:pPr>
    </w:p>
    <w:p w14:paraId="6F75496E" w14:textId="018EF45B" w:rsidR="00945712" w:rsidRPr="00C557D7" w:rsidRDefault="00C21C00" w:rsidP="004213E0">
      <w:pPr>
        <w:spacing w:line="360" w:lineRule="auto"/>
        <w:jc w:val="both"/>
        <w:rPr>
          <w:rFonts w:ascii="Palatino Linotype" w:eastAsiaTheme="minorHAnsi" w:hAnsi="Palatino Linotype" w:cs="Arial"/>
        </w:rPr>
      </w:pPr>
      <w:r w:rsidRPr="00C21C00">
        <w:rPr>
          <w:rFonts w:ascii="Palatino Linotype" w:eastAsiaTheme="minorHAnsi" w:hAnsi="Palatino Linotype" w:cs="Arial"/>
          <w:noProof/>
          <w:lang w:val="es-MX" w:eastAsia="es-MX"/>
        </w:rPr>
        <w:drawing>
          <wp:inline distT="0" distB="0" distL="0" distR="0" wp14:anchorId="7E6E06FF" wp14:editId="67D76BEF">
            <wp:extent cx="5760720" cy="1677670"/>
            <wp:effectExtent l="190500" t="190500" r="182880" b="1892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77670"/>
                    </a:xfrm>
                    <a:prstGeom prst="rect">
                      <a:avLst/>
                    </a:prstGeom>
                    <a:noFill/>
                    <a:ln>
                      <a:noFill/>
                    </a:ln>
                    <a:effectLst>
                      <a:outerShdw blurRad="190500" algn="ctr" rotWithShape="0">
                        <a:prstClr val="black">
                          <a:alpha val="70000"/>
                        </a:prstClr>
                      </a:outerShdw>
                    </a:effectLst>
                  </pic:spPr>
                </pic:pic>
              </a:graphicData>
            </a:graphic>
          </wp:inline>
        </w:drawing>
      </w:r>
    </w:p>
    <w:p w14:paraId="1C65A440" w14:textId="77777777" w:rsidR="00E01F39" w:rsidRPr="00D27E5B" w:rsidRDefault="00E01F39"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2EF79D19" w14:textId="79388C0A" w:rsidR="00F1409B" w:rsidRPr="0014624E" w:rsidRDefault="009F3DA1" w:rsidP="0014624E">
      <w:pPr>
        <w:spacing w:line="360" w:lineRule="auto"/>
        <w:jc w:val="both"/>
        <w:rPr>
          <w:rFonts w:ascii="Palatino Linotype" w:hAnsi="Palatino Linotype"/>
        </w:rPr>
      </w:pPr>
      <w:r>
        <w:rPr>
          <w:rFonts w:ascii="Palatino Linotype" w:hAnsi="Palatino Linotype"/>
        </w:rPr>
        <w:lastRenderedPageBreak/>
        <w:t>U</w:t>
      </w:r>
      <w:r w:rsidR="00D27E5B" w:rsidRPr="00D27E5B">
        <w:rPr>
          <w:rFonts w:ascii="Palatino Linotype" w:hAnsi="Palatino Linotype"/>
        </w:rPr>
        <w:t xml:space="preserve">na vez transcurrido el término legal, se decretó el cierre de instrucción en fecha </w:t>
      </w:r>
      <w:r w:rsidR="00945712">
        <w:rPr>
          <w:rFonts w:ascii="Palatino Linotype" w:hAnsi="Palatino Linotype"/>
        </w:rPr>
        <w:t>dieciséis de junio</w:t>
      </w:r>
      <w:r w:rsidR="001B0A88">
        <w:rPr>
          <w:rFonts w:ascii="Palatino Linotype" w:hAnsi="Palatino Linotype"/>
        </w:rPr>
        <w:t xml:space="preserve"> de dos mil veintidós</w:t>
      </w:r>
      <w:r w:rsidR="00D27E5B"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35747670" w14:textId="77777777" w:rsidR="00F1409B" w:rsidRDefault="00F1409B" w:rsidP="005874D3">
      <w:pPr>
        <w:spacing w:line="360" w:lineRule="auto"/>
        <w:rPr>
          <w:rFonts w:ascii="Palatino Linotype" w:hAnsi="Palatino Linotype"/>
          <w:b/>
          <w:sz w:val="28"/>
          <w:szCs w:val="28"/>
        </w:rPr>
      </w:pPr>
    </w:p>
    <w:p w14:paraId="248AB90E" w14:textId="6C528991" w:rsidR="005874D3" w:rsidRPr="005874D3" w:rsidRDefault="005874D3" w:rsidP="005874D3">
      <w:pPr>
        <w:spacing w:line="360" w:lineRule="auto"/>
        <w:rPr>
          <w:rFonts w:ascii="Palatino Linotype" w:hAnsi="Palatino Linotype"/>
          <w:b/>
          <w:sz w:val="28"/>
          <w:szCs w:val="28"/>
          <w:lang w:val="es-ES_tradnl"/>
        </w:rPr>
      </w:pPr>
      <w:r w:rsidRPr="005874D3">
        <w:rPr>
          <w:rFonts w:ascii="Palatino Linotype" w:hAnsi="Palatino Linotype"/>
          <w:b/>
          <w:sz w:val="28"/>
          <w:szCs w:val="28"/>
        </w:rPr>
        <w:t>SÉPTIMO. De la ampliación del término para resolver.</w:t>
      </w:r>
    </w:p>
    <w:p w14:paraId="28B35C15" w14:textId="58EF406F" w:rsidR="0045589A" w:rsidRDefault="005874D3" w:rsidP="004213E0">
      <w:pPr>
        <w:spacing w:line="360" w:lineRule="auto"/>
        <w:jc w:val="both"/>
        <w:rPr>
          <w:rFonts w:ascii="Palatino Linotype" w:hAnsi="Palatino Linotype"/>
        </w:rPr>
      </w:pPr>
      <w:r w:rsidRPr="00FE7E4C">
        <w:rPr>
          <w:rFonts w:ascii="Palatino Linotype" w:hAnsi="Palatino Linotype"/>
        </w:rPr>
        <w:t xml:space="preserve">En fecha </w:t>
      </w:r>
      <w:r w:rsidR="00945712">
        <w:rPr>
          <w:rFonts w:ascii="Palatino Linotype" w:hAnsi="Palatino Linotype"/>
        </w:rPr>
        <w:t>cinco de julio de dos mil veintidós</w:t>
      </w:r>
      <w:r w:rsidRPr="00FE7E4C">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57EFD32E" w14:textId="26857357" w:rsidR="00F1409B" w:rsidRDefault="00F1409B" w:rsidP="004213E0">
      <w:pPr>
        <w:spacing w:line="360" w:lineRule="auto"/>
        <w:jc w:val="both"/>
        <w:rPr>
          <w:rFonts w:ascii="Palatino Linotype" w:hAnsi="Palatino Linotype"/>
        </w:rPr>
      </w:pPr>
    </w:p>
    <w:p w14:paraId="6304A5F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Este organismo garante no pasa por alto justificar, </w:t>
      </w:r>
      <w:r w:rsidRPr="00B01D73">
        <w:rPr>
          <w:rFonts w:ascii="Palatino Linotype" w:hAnsi="Palatino Linotype" w:cstheme="majorHAnsi"/>
          <w:bCs/>
        </w:rPr>
        <w:t xml:space="preserve">que el plazo para emitir resolución en el presente asunto </w:t>
      </w:r>
      <w:r w:rsidRPr="00B01D73">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60B8F2"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DA3F42E"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Por ello, es menester precisar que si bien se ha excedido el plazo para resolver el presente medio de impugnación, de conformidad con la ley de la materia, </w:t>
      </w:r>
      <w:r w:rsidRPr="00B01D73">
        <w:rPr>
          <w:rFonts w:ascii="Palatino Linotype" w:hAnsi="Palatino Linotype" w:cstheme="majorHAnsi"/>
          <w:bCs/>
        </w:rPr>
        <w:t>el plazo para emitir resolución</w:t>
      </w:r>
      <w:r w:rsidRPr="00B01D73">
        <w:rPr>
          <w:rFonts w:ascii="Palatino Linotype" w:hAnsi="Palatino Linotype" w:cstheme="majorHAnsi"/>
        </w:rPr>
        <w:t xml:space="preserve"> se encuentra justificado en los elementos para medir su razonabilidad de asuntos conforme a los parámetros establecidos por diversos órganos </w:t>
      </w:r>
      <w:r w:rsidRPr="00B01D73">
        <w:rPr>
          <w:rFonts w:ascii="Palatino Linotype" w:hAnsi="Palatino Linotype" w:cstheme="majorHAnsi"/>
        </w:rPr>
        <w:lastRenderedPageBreak/>
        <w:t>jurisdiccionales federales, aplicables también en procedimientos análogos, como el que nos ocupa.</w:t>
      </w:r>
    </w:p>
    <w:p w14:paraId="25DB6181"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C384EB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303C1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207EED98"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06D978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75A7EB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75BD060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F9E286A"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a)      Complejidad del asunto: La complejidad de la prueba, la pluralidad de sujetos procesales, el tiempo transcurrido, las características y contexto del recurso.</w:t>
      </w:r>
    </w:p>
    <w:p w14:paraId="218168EA" w14:textId="77777777" w:rsidR="006375BF" w:rsidRPr="00B01D73" w:rsidRDefault="006375BF" w:rsidP="006375BF">
      <w:pPr>
        <w:spacing w:after="240" w:line="276" w:lineRule="auto"/>
        <w:ind w:firstLine="708"/>
        <w:jc w:val="both"/>
        <w:rPr>
          <w:rFonts w:ascii="Palatino Linotype" w:hAnsi="Palatino Linotype" w:cstheme="majorHAnsi"/>
        </w:rPr>
      </w:pPr>
      <w:r w:rsidRPr="00B01D73">
        <w:rPr>
          <w:rFonts w:ascii="Palatino Linotype" w:hAnsi="Palatino Linotype" w:cstheme="majorHAnsi"/>
        </w:rPr>
        <w:t>b)     Actividad Procesal del interesado: Acciones u omisiones del interesado.</w:t>
      </w:r>
    </w:p>
    <w:p w14:paraId="7CA29CF7"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c)      Conducta de la Autoridad: Las Acciones u omisiones realizadas en el procedimiento. Así como si la autoridad actuó con la debida diligencia.</w:t>
      </w:r>
    </w:p>
    <w:p w14:paraId="056CA645"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lastRenderedPageBreak/>
        <w:t>d) La afectación generada en la situación jurídica de la persona involucrada en el proceso: Violación a sus derechos humanos.</w:t>
      </w:r>
    </w:p>
    <w:p w14:paraId="34336654" w14:textId="77777777" w:rsidR="006375BF" w:rsidRPr="00B01D73" w:rsidRDefault="006375BF" w:rsidP="006375BF">
      <w:pPr>
        <w:spacing w:line="360" w:lineRule="auto"/>
        <w:jc w:val="both"/>
        <w:rPr>
          <w:rFonts w:ascii="Palatino Linotype" w:hAnsi="Palatino Linotype" w:cstheme="majorHAnsi"/>
        </w:rPr>
      </w:pPr>
    </w:p>
    <w:p w14:paraId="32E98660"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D4CCE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55C5339F"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95A511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8E51879"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B01D73">
        <w:rPr>
          <w:rFonts w:ascii="Palatino Linotype" w:hAnsi="Palatino Linotype" w:cstheme="majorHAnsi"/>
        </w:rPr>
        <w:lastRenderedPageBreak/>
        <w:t>desahogadas por las partes; lo que impide la tramitación de los recursos dentro de los términos legales previamente establecidos por la Ley, por tratarse de causas de fuerza mayor.</w:t>
      </w:r>
    </w:p>
    <w:p w14:paraId="37E8BA3E" w14:textId="77777777" w:rsidR="006375BF" w:rsidRPr="00B01D73" w:rsidRDefault="006375BF" w:rsidP="006375BF">
      <w:pPr>
        <w:spacing w:line="360" w:lineRule="auto"/>
        <w:jc w:val="both"/>
        <w:rPr>
          <w:rFonts w:ascii="Palatino Linotype" w:hAnsi="Palatino Linotype" w:cstheme="majorHAnsi"/>
        </w:rPr>
      </w:pPr>
    </w:p>
    <w:p w14:paraId="763D9FA8"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3522E6A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16F7101A"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1F3165DA"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51D1CB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08E334A8" w14:textId="77777777" w:rsidR="006375BF" w:rsidRPr="00B01D73" w:rsidRDefault="006375BF" w:rsidP="006375BF">
      <w:pPr>
        <w:spacing w:line="360" w:lineRule="auto"/>
        <w:jc w:val="both"/>
        <w:rPr>
          <w:rFonts w:ascii="Palatino Linotype" w:hAnsi="Palatino Linotype" w:cstheme="majorHAnsi"/>
        </w:rPr>
      </w:pPr>
    </w:p>
    <w:p w14:paraId="68A68C19" w14:textId="1B3A2E45" w:rsidR="00F1409B" w:rsidRDefault="006375BF" w:rsidP="006375BF">
      <w:pPr>
        <w:spacing w:line="360" w:lineRule="auto"/>
        <w:jc w:val="both"/>
        <w:rPr>
          <w:rFonts w:ascii="Palatino Linotype" w:hAnsi="Palatino Linotype" w:cstheme="majorHAnsi"/>
          <w:bCs/>
        </w:rPr>
      </w:pPr>
      <w:r w:rsidRPr="00B01D73">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220DD3F3" w14:textId="77777777" w:rsidR="006375BF" w:rsidRPr="004213E0" w:rsidRDefault="006375BF" w:rsidP="006375BF">
      <w:pPr>
        <w:spacing w:line="360" w:lineRule="auto"/>
        <w:jc w:val="both"/>
        <w:rPr>
          <w:rFonts w:ascii="Palatino Linotype" w:eastAsia="Palatino Linotype" w:hAnsi="Palatino Linotype" w:cs="Palatino Linotype"/>
          <w:color w:val="000000"/>
          <w:lang w:eastAsia="es-MX"/>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03E052D2" w14:textId="77777777" w:rsidR="0045589A" w:rsidRDefault="0045589A" w:rsidP="007B1512">
      <w:pPr>
        <w:spacing w:line="360" w:lineRule="auto"/>
        <w:jc w:val="both"/>
        <w:rPr>
          <w:rFonts w:ascii="Palatino Linotype" w:hAnsi="Palatino Linotype" w:cs="Arial"/>
          <w:b/>
          <w:sz w:val="28"/>
        </w:rPr>
      </w:pP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lastRenderedPageBreak/>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6DC94A69" w14:textId="514C6FCD" w:rsidR="003708E1" w:rsidRPr="000D7B51" w:rsidRDefault="001B0A88" w:rsidP="000D7B51">
      <w:pPr>
        <w:spacing w:line="360" w:lineRule="auto"/>
        <w:jc w:val="both"/>
        <w:rPr>
          <w:rFonts w:ascii="Palatino Linotype" w:hAnsi="Palatino Linotype"/>
          <w:lang w:val="es-MX"/>
        </w:rPr>
      </w:pPr>
      <w:r w:rsidRPr="001B0A88">
        <w:rPr>
          <w:rFonts w:ascii="Palatino Linotype" w:hAnsi="Palatino Linotype"/>
          <w:lang w:val="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A7CBC5" w14:textId="77777777" w:rsidR="00FF39C1"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177DF" w:rsidRDefault="003708E1" w:rsidP="00B177DF">
      <w:pPr>
        <w:pStyle w:val="Prrafodelista"/>
        <w:autoSpaceDE w:val="0"/>
        <w:autoSpaceDN w:val="0"/>
        <w:adjustRightInd w:val="0"/>
        <w:spacing w:line="360" w:lineRule="auto"/>
        <w:ind w:left="0"/>
        <w:jc w:val="both"/>
        <w:rPr>
          <w:rFonts w:ascii="Palatino Linotype" w:hAnsi="Palatino Linotype" w:cs="Arial"/>
        </w:rPr>
      </w:pPr>
    </w:p>
    <w:p w14:paraId="361C0705" w14:textId="18855099" w:rsidR="00912A21" w:rsidRPr="00597C13" w:rsidRDefault="00B177DF" w:rsidP="00B177D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lastRenderedPageBreak/>
        <w:t>TERCERO</w:t>
      </w:r>
      <w:r w:rsidR="00912A21" w:rsidRPr="0006149A">
        <w:rPr>
          <w:rFonts w:ascii="Palatino Linotype" w:hAnsi="Palatino Linotype" w:cs="Arial"/>
          <w:b/>
        </w:rPr>
        <w:t xml:space="preserve">. </w:t>
      </w:r>
      <w:r w:rsidR="00912A21"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533DC85" w:rsidR="00912A21" w:rsidRPr="0006149A" w:rsidRDefault="00B177DF"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912A21" w:rsidRPr="0006149A">
        <w:rPr>
          <w:rFonts w:ascii="Palatino Linotype" w:hAnsi="Palatino Linotype" w:cs="Arial"/>
          <w:b/>
          <w:sz w:val="28"/>
          <w:szCs w:val="28"/>
        </w:rPr>
        <w:t>.</w:t>
      </w:r>
      <w:r w:rsidR="00912A21" w:rsidRPr="0006149A">
        <w:rPr>
          <w:rFonts w:ascii="Palatino Linotype" w:hAnsi="Palatino Linotype" w:cs="Arial"/>
          <w:sz w:val="28"/>
          <w:szCs w:val="28"/>
        </w:rPr>
        <w:t xml:space="preserve"> </w:t>
      </w:r>
      <w:r w:rsidR="00912A21" w:rsidRPr="0006149A">
        <w:rPr>
          <w:rFonts w:ascii="Palatino Linotype" w:hAnsi="Palatino Linotype" w:cs="Arial"/>
          <w:b/>
          <w:sz w:val="28"/>
        </w:rPr>
        <w:t>Estudio y resolución del asunto</w:t>
      </w:r>
      <w:r w:rsidR="00912A21" w:rsidRPr="0006149A">
        <w:rPr>
          <w:rFonts w:ascii="Palatino Linotype" w:hAnsi="Palatino Linotype" w:cs="Arial"/>
          <w:b/>
        </w:rPr>
        <w:t>.</w:t>
      </w:r>
    </w:p>
    <w:p w14:paraId="7FC5BFEC" w14:textId="2C8B16FC" w:rsidR="00FF39C1" w:rsidRDefault="00912A21" w:rsidP="00B177DF">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EFD81D5" w14:textId="77777777" w:rsidR="0014624E" w:rsidRPr="00B177DF" w:rsidRDefault="0014624E" w:rsidP="00B177DF">
      <w:pPr>
        <w:pStyle w:val="Prrafodelista"/>
        <w:autoSpaceDE w:val="0"/>
        <w:autoSpaceDN w:val="0"/>
        <w:adjustRightInd w:val="0"/>
        <w:spacing w:line="360" w:lineRule="auto"/>
        <w:ind w:left="0"/>
        <w:jc w:val="both"/>
        <w:rPr>
          <w:rFonts w:ascii="Palatino Linotype" w:hAnsi="Palatino Linotype" w:cs="Arial"/>
        </w:rPr>
      </w:pPr>
    </w:p>
    <w:p w14:paraId="6060CDF9" w14:textId="1A58B0D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FF39C1">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FF39C1">
        <w:rPr>
          <w:rFonts w:ascii="Palatino Linotype" w:eastAsiaTheme="minorHAnsi" w:hAnsi="Palatino Linotype" w:cs="Arial"/>
          <w:b/>
          <w:lang w:val="es-MX" w:eastAsia="en-US"/>
        </w:rPr>
        <w:t xml:space="preserve">el Sujeto </w:t>
      </w:r>
      <w:r w:rsidRPr="00FF39C1">
        <w:rPr>
          <w:rFonts w:ascii="Palatino Linotype" w:eastAsiaTheme="minorHAnsi" w:hAnsi="Palatino Linotype" w:cs="Arial"/>
          <w:b/>
          <w:lang w:val="es-MX" w:eastAsia="en-US"/>
        </w:rPr>
        <w:lastRenderedPageBreak/>
        <w:t>Obligado</w:t>
      </w:r>
      <w:r w:rsidRPr="00FF39C1">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Pr>
          <w:rFonts w:ascii="Palatino Linotype" w:eastAsiaTheme="minorHAnsi" w:hAnsi="Palatino Linotype" w:cs="Arial"/>
          <w:lang w:val="es-MX" w:eastAsia="en-US"/>
        </w:rPr>
        <w:t>la</w:t>
      </w:r>
      <w:r w:rsidRPr="00FF39C1">
        <w:rPr>
          <w:rFonts w:ascii="Palatino Linotype" w:eastAsiaTheme="minorHAnsi" w:hAnsi="Palatino Linotype" w:cs="Arial"/>
          <w:lang w:val="es-MX" w:eastAsia="en-US"/>
        </w:rPr>
        <w:t xml:space="preserve">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55DEB2AB" w14:textId="76A972D6" w:rsidR="009232E7" w:rsidRPr="009E626E" w:rsidRDefault="00847043" w:rsidP="009E626E">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w:t>
      </w:r>
      <w:r w:rsidR="00C526F3">
        <w:rPr>
          <w:rFonts w:ascii="Palatino Linotype" w:hAnsi="Palatino Linotype" w:cs="Arial"/>
        </w:rPr>
        <w:t>el</w:t>
      </w:r>
      <w:r w:rsidRPr="00847043">
        <w:rPr>
          <w:rFonts w:ascii="Palatino Linotype" w:hAnsi="Palatino Linotype" w:cs="Arial"/>
        </w:rPr>
        <w:t xml:space="preserve">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w:t>
      </w:r>
      <w:r w:rsidR="009E626E">
        <w:rPr>
          <w:rFonts w:ascii="Palatino Linotype" w:hAnsi="Palatino Linotype" w:cs="Arial"/>
        </w:rPr>
        <w:t>, medularmente</w:t>
      </w:r>
      <w:r w:rsidR="00760FCC">
        <w:rPr>
          <w:rFonts w:ascii="Palatino Linotype" w:hAnsi="Palatino Linotype"/>
        </w:rPr>
        <w:t>,</w:t>
      </w:r>
      <w:r w:rsidR="00BD1BFE">
        <w:rPr>
          <w:rFonts w:ascii="Palatino Linotype" w:hAnsi="Palatino Linotype"/>
        </w:rPr>
        <w:t xml:space="preserve"> </w:t>
      </w:r>
      <w:bookmarkStart w:id="1" w:name="_Hlk111664219"/>
      <w:r w:rsidR="00BD1BFE">
        <w:rPr>
          <w:rFonts w:ascii="Palatino Linotype" w:hAnsi="Palatino Linotype"/>
        </w:rPr>
        <w:t xml:space="preserve">del periodo comprendido del 01 de enero al </w:t>
      </w:r>
      <w:r w:rsidR="009E626E">
        <w:rPr>
          <w:rFonts w:ascii="Palatino Linotype" w:hAnsi="Palatino Linotype"/>
        </w:rPr>
        <w:t>18 de abril</w:t>
      </w:r>
      <w:r w:rsidR="00BD1BFE">
        <w:rPr>
          <w:rFonts w:ascii="Palatino Linotype" w:hAnsi="Palatino Linotype"/>
        </w:rPr>
        <w:t xml:space="preserve"> de 2022,</w:t>
      </w:r>
      <w:r w:rsidR="00293EFD">
        <w:rPr>
          <w:rFonts w:ascii="Palatino Linotype" w:hAnsi="Palatino Linotype"/>
        </w:rPr>
        <w:t xml:space="preserve"> </w:t>
      </w:r>
      <w:r w:rsidR="00494245">
        <w:rPr>
          <w:rFonts w:ascii="Palatino Linotype" w:hAnsi="Palatino Linotype"/>
        </w:rPr>
        <w:t xml:space="preserve">el o los documentos en donde conste </w:t>
      </w:r>
      <w:r w:rsidR="009232E7">
        <w:rPr>
          <w:rFonts w:ascii="Palatino Linotype" w:hAnsi="Palatino Linotype"/>
        </w:rPr>
        <w:t>lo siguiente</w:t>
      </w:r>
      <w:r w:rsidR="009232E7" w:rsidRPr="00E152F9">
        <w:rPr>
          <w:rFonts w:ascii="Palatino Linotype" w:hAnsi="Palatino Linotype"/>
        </w:rPr>
        <w:t>:</w:t>
      </w:r>
    </w:p>
    <w:p w14:paraId="7305C1F8" w14:textId="2553CF22" w:rsidR="009E626E" w:rsidRPr="009E626E" w:rsidRDefault="009E626E" w:rsidP="00494245">
      <w:pPr>
        <w:pStyle w:val="Prrafodelista"/>
        <w:numPr>
          <w:ilvl w:val="0"/>
          <w:numId w:val="17"/>
        </w:numPr>
        <w:spacing w:before="120" w:after="120" w:line="360" w:lineRule="auto"/>
        <w:ind w:left="714" w:hanging="357"/>
        <w:jc w:val="both"/>
        <w:rPr>
          <w:rFonts w:ascii="Palatino Linotype" w:hAnsi="Palatino Linotype"/>
        </w:rPr>
      </w:pPr>
      <w:bookmarkStart w:id="2" w:name="_Hlk96702671"/>
      <w:bookmarkStart w:id="3" w:name="_Hlk99657083"/>
      <w:r>
        <w:rPr>
          <w:rFonts w:ascii="Palatino Linotype" w:hAnsi="Palatino Linotype"/>
        </w:rPr>
        <w:lastRenderedPageBreak/>
        <w:t>Monto del</w:t>
      </w:r>
      <w:r w:rsidRPr="009E626E">
        <w:rPr>
          <w:rFonts w:ascii="Palatino Linotype" w:hAnsi="Palatino Linotype"/>
        </w:rPr>
        <w:t xml:space="preserve"> ingreso </w:t>
      </w:r>
      <w:r w:rsidR="00494245">
        <w:rPr>
          <w:rFonts w:ascii="Palatino Linotype" w:hAnsi="Palatino Linotype"/>
        </w:rPr>
        <w:t>en</w:t>
      </w:r>
      <w:r w:rsidRPr="009E626E">
        <w:rPr>
          <w:rFonts w:ascii="Palatino Linotype" w:hAnsi="Palatino Linotype"/>
        </w:rPr>
        <w:t xml:space="preserve"> la </w:t>
      </w:r>
      <w:r w:rsidR="00494245">
        <w:rPr>
          <w:rFonts w:ascii="Palatino Linotype" w:hAnsi="Palatino Linotype"/>
        </w:rPr>
        <w:t>T</w:t>
      </w:r>
      <w:r w:rsidRPr="009E626E">
        <w:rPr>
          <w:rFonts w:ascii="Palatino Linotype" w:hAnsi="Palatino Linotype"/>
        </w:rPr>
        <w:t xml:space="preserve">esorería </w:t>
      </w:r>
      <w:r w:rsidR="00494245">
        <w:rPr>
          <w:rFonts w:ascii="Palatino Linotype" w:hAnsi="Palatino Linotype"/>
        </w:rPr>
        <w:t>M</w:t>
      </w:r>
      <w:r w:rsidRPr="009E626E">
        <w:rPr>
          <w:rFonts w:ascii="Palatino Linotype" w:hAnsi="Palatino Linotype"/>
        </w:rPr>
        <w:t>unicipal por concepto del pago de sanciones por faltas administrativas cometidas por personas presentadas ante los oficiales calificadores</w:t>
      </w:r>
      <w:r w:rsidR="00494245">
        <w:rPr>
          <w:rFonts w:ascii="Palatino Linotype" w:hAnsi="Palatino Linotype"/>
        </w:rPr>
        <w:t>.</w:t>
      </w:r>
    </w:p>
    <w:p w14:paraId="3EEF45B9" w14:textId="6694BBF3" w:rsidR="009E626E" w:rsidRPr="009E626E" w:rsidRDefault="00494245" w:rsidP="00494245">
      <w:pPr>
        <w:pStyle w:val="Prrafodelista"/>
        <w:numPr>
          <w:ilvl w:val="0"/>
          <w:numId w:val="17"/>
        </w:numPr>
        <w:spacing w:before="120" w:after="120" w:line="360" w:lineRule="auto"/>
        <w:ind w:left="714" w:hanging="357"/>
        <w:jc w:val="both"/>
        <w:rPr>
          <w:rFonts w:ascii="Palatino Linotype" w:hAnsi="Palatino Linotype"/>
        </w:rPr>
      </w:pPr>
      <w:r>
        <w:rPr>
          <w:rFonts w:ascii="Palatino Linotype" w:hAnsi="Palatino Linotype"/>
        </w:rPr>
        <w:t>Cantidad de</w:t>
      </w:r>
      <w:r w:rsidR="009E626E" w:rsidRPr="009E626E">
        <w:rPr>
          <w:rFonts w:ascii="Palatino Linotype" w:hAnsi="Palatino Linotype"/>
        </w:rPr>
        <w:t xml:space="preserve"> licencias de funcionamiento</w:t>
      </w:r>
      <w:r>
        <w:rPr>
          <w:rFonts w:ascii="Palatino Linotype" w:hAnsi="Palatino Linotype"/>
        </w:rPr>
        <w:t xml:space="preserve"> expedidas a</w:t>
      </w:r>
      <w:r w:rsidR="009E626E" w:rsidRPr="009E626E">
        <w:rPr>
          <w:rFonts w:ascii="Palatino Linotype" w:hAnsi="Palatino Linotype"/>
        </w:rPr>
        <w:t xml:space="preserve"> unidades económicas</w:t>
      </w:r>
      <w:r>
        <w:rPr>
          <w:rFonts w:ascii="Palatino Linotype" w:hAnsi="Palatino Linotype"/>
        </w:rPr>
        <w:t>.</w:t>
      </w:r>
    </w:p>
    <w:p w14:paraId="7C52A325" w14:textId="2E686395" w:rsidR="009E626E" w:rsidRPr="009E626E" w:rsidRDefault="00494245" w:rsidP="00494245">
      <w:pPr>
        <w:pStyle w:val="Prrafodelista"/>
        <w:numPr>
          <w:ilvl w:val="0"/>
          <w:numId w:val="17"/>
        </w:numPr>
        <w:spacing w:before="120" w:after="120" w:line="360" w:lineRule="auto"/>
        <w:ind w:left="714" w:hanging="357"/>
        <w:jc w:val="both"/>
        <w:rPr>
          <w:rFonts w:ascii="Palatino Linotype" w:hAnsi="Palatino Linotype"/>
        </w:rPr>
      </w:pPr>
      <w:r>
        <w:rPr>
          <w:rFonts w:ascii="Palatino Linotype" w:hAnsi="Palatino Linotype"/>
        </w:rPr>
        <w:t>R</w:t>
      </w:r>
      <w:r w:rsidR="009E626E" w:rsidRPr="009E626E">
        <w:rPr>
          <w:rFonts w:ascii="Palatino Linotype" w:hAnsi="Palatino Linotype"/>
        </w:rPr>
        <w:t>equisitos para tramitar una licencia de funcionamiento de unidades económica desreguladas</w:t>
      </w:r>
      <w:r>
        <w:rPr>
          <w:rFonts w:ascii="Palatino Linotype" w:hAnsi="Palatino Linotype"/>
        </w:rPr>
        <w:t>.</w:t>
      </w:r>
    </w:p>
    <w:p w14:paraId="0949B396" w14:textId="19602638" w:rsidR="009E626E" w:rsidRPr="009E626E" w:rsidRDefault="00494245" w:rsidP="00494245">
      <w:pPr>
        <w:pStyle w:val="Prrafodelista"/>
        <w:numPr>
          <w:ilvl w:val="0"/>
          <w:numId w:val="17"/>
        </w:numPr>
        <w:spacing w:before="120" w:after="120" w:line="360" w:lineRule="auto"/>
        <w:ind w:left="714" w:hanging="357"/>
        <w:jc w:val="both"/>
        <w:rPr>
          <w:rFonts w:ascii="Palatino Linotype" w:hAnsi="Palatino Linotype"/>
        </w:rPr>
      </w:pPr>
      <w:r>
        <w:rPr>
          <w:rFonts w:ascii="Palatino Linotype" w:hAnsi="Palatino Linotype"/>
        </w:rPr>
        <w:t>Cantidad de</w:t>
      </w:r>
      <w:r w:rsidR="009E626E" w:rsidRPr="009E626E">
        <w:rPr>
          <w:rFonts w:ascii="Palatino Linotype" w:hAnsi="Palatino Linotype"/>
        </w:rPr>
        <w:t xml:space="preserve"> licencias de funcionamiento vigentes </w:t>
      </w:r>
      <w:r>
        <w:rPr>
          <w:rFonts w:ascii="Palatino Linotype" w:hAnsi="Palatino Linotype"/>
        </w:rPr>
        <w:t>expedidas a</w:t>
      </w:r>
      <w:r w:rsidR="009E626E" w:rsidRPr="009E626E">
        <w:rPr>
          <w:rFonts w:ascii="Palatino Linotype" w:hAnsi="Palatino Linotype"/>
        </w:rPr>
        <w:t xml:space="preserve"> unidades económicas</w:t>
      </w:r>
      <w:r>
        <w:rPr>
          <w:rFonts w:ascii="Palatino Linotype" w:hAnsi="Palatino Linotype"/>
        </w:rPr>
        <w:t>.</w:t>
      </w:r>
    </w:p>
    <w:p w14:paraId="42A4F383" w14:textId="77777777" w:rsidR="005A4CCF" w:rsidRDefault="00494245" w:rsidP="005A4CCF">
      <w:pPr>
        <w:pStyle w:val="Prrafodelista"/>
        <w:numPr>
          <w:ilvl w:val="0"/>
          <w:numId w:val="17"/>
        </w:numPr>
        <w:spacing w:before="120" w:after="120" w:line="360" w:lineRule="auto"/>
        <w:ind w:left="714" w:hanging="357"/>
        <w:jc w:val="both"/>
        <w:rPr>
          <w:rFonts w:ascii="Palatino Linotype" w:hAnsi="Palatino Linotype"/>
        </w:rPr>
      </w:pPr>
      <w:r>
        <w:rPr>
          <w:rFonts w:ascii="Palatino Linotype" w:hAnsi="Palatino Linotype"/>
        </w:rPr>
        <w:t>Cantidad de</w:t>
      </w:r>
      <w:r w:rsidR="009E626E" w:rsidRPr="009E626E">
        <w:rPr>
          <w:rFonts w:ascii="Palatino Linotype" w:hAnsi="Palatino Linotype"/>
        </w:rPr>
        <w:t xml:space="preserve"> unidades económicas</w:t>
      </w:r>
      <w:r>
        <w:rPr>
          <w:rFonts w:ascii="Palatino Linotype" w:hAnsi="Palatino Linotype"/>
        </w:rPr>
        <w:t xml:space="preserve"> que</w:t>
      </w:r>
      <w:r w:rsidR="009E626E" w:rsidRPr="009E626E">
        <w:rPr>
          <w:rFonts w:ascii="Palatino Linotype" w:hAnsi="Palatino Linotype"/>
        </w:rPr>
        <w:t xml:space="preserve"> se encuentran registradas en el Registro Municipal de Unidades Económicas</w:t>
      </w:r>
      <w:r>
        <w:rPr>
          <w:rFonts w:ascii="Palatino Linotype" w:hAnsi="Palatino Linotype"/>
        </w:rPr>
        <w:t>.</w:t>
      </w:r>
    </w:p>
    <w:p w14:paraId="4DFF4AA0" w14:textId="61061D75" w:rsidR="009232E7" w:rsidRPr="005A4CCF" w:rsidRDefault="00494245" w:rsidP="005A4CCF">
      <w:pPr>
        <w:pStyle w:val="Prrafodelista"/>
        <w:numPr>
          <w:ilvl w:val="0"/>
          <w:numId w:val="17"/>
        </w:numPr>
        <w:spacing w:before="120" w:after="120" w:line="360" w:lineRule="auto"/>
        <w:ind w:left="714" w:hanging="357"/>
        <w:jc w:val="both"/>
        <w:rPr>
          <w:rFonts w:ascii="Palatino Linotype" w:hAnsi="Palatino Linotype"/>
        </w:rPr>
      </w:pPr>
      <w:r w:rsidRPr="005A4CCF">
        <w:rPr>
          <w:rFonts w:ascii="Palatino Linotype" w:hAnsi="Palatino Linotype"/>
        </w:rPr>
        <w:t>A</w:t>
      </w:r>
      <w:r w:rsidR="009E626E" w:rsidRPr="005A4CCF">
        <w:rPr>
          <w:rFonts w:ascii="Palatino Linotype" w:hAnsi="Palatino Linotype"/>
        </w:rPr>
        <w:t>ctas de la instalación</w:t>
      </w:r>
      <w:r w:rsidR="00E37429" w:rsidRPr="005A4CCF">
        <w:rPr>
          <w:rFonts w:ascii="Palatino Linotype" w:hAnsi="Palatino Linotype"/>
        </w:rPr>
        <w:t xml:space="preserve"> y de sesiones</w:t>
      </w:r>
      <w:r w:rsidR="009E626E" w:rsidRPr="005A4CCF">
        <w:rPr>
          <w:rFonts w:ascii="Palatino Linotype" w:hAnsi="Palatino Linotype"/>
        </w:rPr>
        <w:t xml:space="preserve"> </w:t>
      </w:r>
      <w:r w:rsidR="00E37429" w:rsidRPr="005A4CCF">
        <w:rPr>
          <w:rFonts w:ascii="Palatino Linotype" w:hAnsi="Palatino Linotype"/>
        </w:rPr>
        <w:t>de</w:t>
      </w:r>
      <w:r w:rsidR="009E626E" w:rsidRPr="005A4CCF">
        <w:rPr>
          <w:rFonts w:ascii="Palatino Linotype" w:hAnsi="Palatino Linotype"/>
        </w:rPr>
        <w:t xml:space="preserve"> las </w:t>
      </w:r>
      <w:r w:rsidRPr="005A4CCF">
        <w:rPr>
          <w:rFonts w:ascii="Palatino Linotype" w:hAnsi="Palatino Linotype"/>
        </w:rPr>
        <w:t>C</w:t>
      </w:r>
      <w:r w:rsidR="009E626E" w:rsidRPr="005A4CCF">
        <w:rPr>
          <w:rFonts w:ascii="Palatino Linotype" w:hAnsi="Palatino Linotype"/>
        </w:rPr>
        <w:t xml:space="preserve">omisiones </w:t>
      </w:r>
      <w:r w:rsidRPr="005A4CCF">
        <w:rPr>
          <w:rFonts w:ascii="Palatino Linotype" w:hAnsi="Palatino Linotype"/>
        </w:rPr>
        <w:t>E</w:t>
      </w:r>
      <w:r w:rsidR="009E626E" w:rsidRPr="005A4CCF">
        <w:rPr>
          <w:rFonts w:ascii="Palatino Linotype" w:hAnsi="Palatino Linotype"/>
        </w:rPr>
        <w:t xml:space="preserve">dilicias </w:t>
      </w:r>
      <w:r w:rsidRPr="005A4CCF">
        <w:rPr>
          <w:rFonts w:ascii="Palatino Linotype" w:hAnsi="Palatino Linotype"/>
        </w:rPr>
        <w:t>M</w:t>
      </w:r>
      <w:r w:rsidR="009E626E" w:rsidRPr="005A4CCF">
        <w:rPr>
          <w:rFonts w:ascii="Palatino Linotype" w:hAnsi="Palatino Linotype"/>
        </w:rPr>
        <w:t>unicipales que se hayan realizado</w:t>
      </w:r>
      <w:bookmarkEnd w:id="2"/>
      <w:bookmarkEnd w:id="3"/>
      <w:r w:rsidR="00E37429" w:rsidRPr="005A4CCF">
        <w:rPr>
          <w:rFonts w:ascii="Palatino Linotype" w:hAnsi="Palatino Linotype"/>
        </w:rPr>
        <w:t>.</w:t>
      </w:r>
    </w:p>
    <w:bookmarkEnd w:id="1"/>
    <w:p w14:paraId="3ACCC5BB" w14:textId="77777777" w:rsidR="00E37429" w:rsidRPr="00E37429" w:rsidRDefault="00E37429" w:rsidP="00E37429">
      <w:pPr>
        <w:pStyle w:val="Prrafodelista"/>
        <w:spacing w:before="120" w:after="120" w:line="360" w:lineRule="auto"/>
        <w:ind w:left="0"/>
        <w:contextualSpacing/>
        <w:jc w:val="both"/>
        <w:rPr>
          <w:rFonts w:ascii="Palatino Linotype" w:hAnsi="Palatino Linotype"/>
          <w:color w:val="000000"/>
          <w:lang w:val="es-ES_tradnl"/>
        </w:rPr>
      </w:pPr>
    </w:p>
    <w:p w14:paraId="4CD6D194" w14:textId="41B6D807" w:rsidR="00470D24" w:rsidRDefault="00470D24" w:rsidP="00470D24">
      <w:pPr>
        <w:spacing w:after="240" w:line="360" w:lineRule="auto"/>
        <w:jc w:val="both"/>
        <w:rPr>
          <w:rFonts w:ascii="Palatino Linotype" w:eastAsia="Calibri" w:hAnsi="Palatino Linotype"/>
          <w:b/>
        </w:rPr>
      </w:pPr>
      <w:r>
        <w:rPr>
          <w:rFonts w:ascii="Palatino Linotype" w:eastAsia="Calibri" w:hAnsi="Palatino Linotype"/>
        </w:rPr>
        <w:t>Consecuentemente, el</w:t>
      </w:r>
      <w:r w:rsidRPr="00B26FB2">
        <w:rPr>
          <w:rFonts w:ascii="Palatino Linotype" w:eastAsia="Calibri" w:hAnsi="Palatino Linotype"/>
        </w:rPr>
        <w:t xml:space="preserve"> </w:t>
      </w:r>
      <w:r w:rsidRPr="00B26FB2">
        <w:rPr>
          <w:rFonts w:ascii="Palatino Linotype" w:eastAsia="Calibri" w:hAnsi="Palatino Linotype"/>
          <w:b/>
        </w:rPr>
        <w:t>Sujeto Obligado</w:t>
      </w:r>
      <w:r w:rsidRPr="00B26FB2">
        <w:rPr>
          <w:rFonts w:ascii="Palatino Linotype" w:eastAsia="Calibri" w:hAnsi="Palatino Linotype"/>
        </w:rPr>
        <w:t xml:space="preserve"> emitió respuesta a la solicitud de información con número de folio </w:t>
      </w:r>
      <w:r w:rsidR="00806396" w:rsidRPr="00806396">
        <w:rPr>
          <w:rFonts w:ascii="Palatino Linotype" w:eastAsia="Calibri" w:hAnsi="Palatino Linotype"/>
          <w:b/>
        </w:rPr>
        <w:t>03194/METEPEC/IP/2022</w:t>
      </w:r>
      <w:r w:rsidRPr="00B26FB2">
        <w:rPr>
          <w:rFonts w:ascii="Palatino Linotype" w:eastAsia="Calibri" w:hAnsi="Palatino Linotype"/>
          <w:b/>
        </w:rPr>
        <w:t>,</w:t>
      </w:r>
      <w:r>
        <w:rPr>
          <w:rFonts w:ascii="Palatino Linotype" w:eastAsia="Calibri" w:hAnsi="Palatino Linotype"/>
          <w:b/>
        </w:rPr>
        <w:t xml:space="preserve"> </w:t>
      </w:r>
      <w:r w:rsidRPr="00E74021">
        <w:rPr>
          <w:rFonts w:ascii="Palatino Linotype" w:eastAsia="Calibri" w:hAnsi="Palatino Linotype"/>
          <w:bCs/>
        </w:rPr>
        <w:t>informando</w:t>
      </w:r>
      <w:r w:rsidR="00806396">
        <w:rPr>
          <w:rFonts w:ascii="Palatino Linotype" w:eastAsia="Calibri" w:hAnsi="Palatino Linotype"/>
          <w:bCs/>
        </w:rPr>
        <w:t xml:space="preserve"> mediante el oficio número UT/MET/768/2022, signado por el</w:t>
      </w:r>
      <w:r w:rsidRPr="00E74021">
        <w:rPr>
          <w:rFonts w:ascii="Palatino Linotype" w:eastAsia="Calibri" w:hAnsi="Palatino Linotype"/>
          <w:bCs/>
        </w:rPr>
        <w:t xml:space="preserve"> </w:t>
      </w:r>
      <w:r>
        <w:rPr>
          <w:rFonts w:ascii="Palatino Linotype" w:eastAsia="Calibri" w:hAnsi="Palatino Linotype"/>
          <w:bCs/>
        </w:rPr>
        <w:t>Titular de la Unidad de Transparencia del Sujeto Obligado</w:t>
      </w:r>
      <w:r w:rsidR="00806396">
        <w:rPr>
          <w:rFonts w:ascii="Palatino Linotype" w:eastAsia="Calibri" w:hAnsi="Palatino Linotype"/>
          <w:bCs/>
        </w:rPr>
        <w:t>,</w:t>
      </w:r>
      <w:r w:rsidRPr="00E74021">
        <w:rPr>
          <w:rFonts w:ascii="Palatino Linotype" w:eastAsia="Calibri" w:hAnsi="Palatino Linotype"/>
          <w:bCs/>
        </w:rPr>
        <w:t xml:space="preserve"> </w:t>
      </w:r>
      <w:r>
        <w:rPr>
          <w:rFonts w:ascii="Palatino Linotype" w:eastAsia="Calibri" w:hAnsi="Palatino Linotype"/>
        </w:rPr>
        <w:t xml:space="preserve">que </w:t>
      </w:r>
      <w:r w:rsidR="006922E4">
        <w:rPr>
          <w:rFonts w:ascii="Palatino Linotype" w:eastAsia="Calibri" w:hAnsi="Palatino Linotype"/>
        </w:rPr>
        <w:t xml:space="preserve">la información solicitada es una obligación común, contenida en el artículo 92 de la Ley de Transparencia y Acceso a la Información Pública del Estado de México por lo que direcciona a la página web de la Información Pública de Oficio de los sujetos obligados, proporcionando la liga electrónica: </w:t>
      </w:r>
      <w:r w:rsidRPr="00FC158D">
        <w:rPr>
          <w:rFonts w:ascii="Palatino Linotype" w:eastAsia="Calibri" w:hAnsi="Palatino Linotype"/>
        </w:rPr>
        <w:t xml:space="preserve"> </w:t>
      </w:r>
      <w:bookmarkStart w:id="4" w:name="_Hlk75442892"/>
      <w:r w:rsidR="006922E4">
        <w:rPr>
          <w:rFonts w:ascii="Palatino Linotype" w:eastAsia="Calibri" w:hAnsi="Palatino Linotype"/>
        </w:rPr>
        <w:fldChar w:fldCharType="begin"/>
      </w:r>
      <w:r w:rsidR="006922E4">
        <w:rPr>
          <w:rFonts w:ascii="Palatino Linotype" w:eastAsia="Calibri" w:hAnsi="Palatino Linotype"/>
        </w:rPr>
        <w:instrText xml:space="preserve"> HYPERLINK "</w:instrText>
      </w:r>
      <w:r w:rsidR="006922E4" w:rsidRPr="006922E4">
        <w:rPr>
          <w:rFonts w:ascii="Palatino Linotype" w:eastAsia="Calibri" w:hAnsi="Palatino Linotype"/>
        </w:rPr>
        <w:instrText>https://www.ipomex.org.mx/ipo3/lgt/indice/metepec.web</w:instrText>
      </w:r>
      <w:r w:rsidR="006922E4">
        <w:rPr>
          <w:rFonts w:ascii="Palatino Linotype" w:eastAsia="Calibri" w:hAnsi="Palatino Linotype"/>
        </w:rPr>
        <w:instrText xml:space="preserve">" </w:instrText>
      </w:r>
      <w:r w:rsidR="006922E4">
        <w:rPr>
          <w:rFonts w:ascii="Palatino Linotype" w:eastAsia="Calibri" w:hAnsi="Palatino Linotype"/>
        </w:rPr>
        <w:fldChar w:fldCharType="separate"/>
      </w:r>
      <w:r w:rsidR="006922E4" w:rsidRPr="004C3C82">
        <w:rPr>
          <w:rStyle w:val="Hipervnculo"/>
          <w:rFonts w:ascii="Palatino Linotype" w:eastAsia="Calibri" w:hAnsi="Palatino Linotype"/>
        </w:rPr>
        <w:t>https://www.ipomex.org.mx/ipo3/lgt/indice/metepec.web</w:t>
      </w:r>
      <w:r w:rsidR="006922E4">
        <w:rPr>
          <w:rFonts w:ascii="Palatino Linotype" w:eastAsia="Calibri" w:hAnsi="Palatino Linotype"/>
        </w:rPr>
        <w:fldChar w:fldCharType="end"/>
      </w:r>
      <w:bookmarkEnd w:id="4"/>
      <w:r>
        <w:rPr>
          <w:rFonts w:ascii="Palatino Linotype" w:eastAsia="Calibri" w:hAnsi="Palatino Linotype"/>
        </w:rPr>
        <w:t>.</w:t>
      </w:r>
    </w:p>
    <w:p w14:paraId="6832FF04" w14:textId="77777777" w:rsidR="00470D24" w:rsidRPr="008A5D92" w:rsidRDefault="00470D24" w:rsidP="00470D24">
      <w:pPr>
        <w:spacing w:line="360" w:lineRule="auto"/>
        <w:jc w:val="both"/>
        <w:rPr>
          <w:rFonts w:ascii="Palatino Linotype" w:hAnsi="Palatino Linotype" w:cs="Arial"/>
          <w:b/>
        </w:rPr>
      </w:pPr>
    </w:p>
    <w:p w14:paraId="076E3E02" w14:textId="47964D9B" w:rsidR="00470D24" w:rsidRDefault="00470D24" w:rsidP="00470D24">
      <w:pPr>
        <w:spacing w:line="360" w:lineRule="auto"/>
        <w:ind w:right="141"/>
        <w:jc w:val="both"/>
        <w:rPr>
          <w:rFonts w:ascii="Palatino Linotype" w:hAnsi="Palatino Linotype" w:cs="Arial"/>
          <w:bCs/>
        </w:rPr>
      </w:pPr>
      <w:r w:rsidRPr="008A5D92">
        <w:rPr>
          <w:rFonts w:ascii="Palatino Linotype" w:hAnsi="Palatino Linotype" w:cs="Arial"/>
          <w:bCs/>
        </w:rPr>
        <w:lastRenderedPageBreak/>
        <w:t xml:space="preserve">Es así que derivado de la respuesta emitida por </w:t>
      </w:r>
      <w:r w:rsidRPr="008A5D92">
        <w:rPr>
          <w:rFonts w:ascii="Palatino Linotype" w:hAnsi="Palatino Linotype" w:cs="Arial"/>
          <w:b/>
          <w:bCs/>
        </w:rPr>
        <w:t>El Sujeto Obligado</w:t>
      </w:r>
      <w:r w:rsidRPr="008A5D92">
        <w:rPr>
          <w:rFonts w:ascii="Palatino Linotype" w:hAnsi="Palatino Linotype" w:cs="Arial"/>
          <w:bCs/>
        </w:rPr>
        <w:t xml:space="preserve">, </w:t>
      </w:r>
      <w:r w:rsidR="00F0085D">
        <w:rPr>
          <w:rFonts w:ascii="Palatino Linotype" w:hAnsi="Palatino Linotype" w:cs="Arial"/>
          <w:b/>
          <w:bCs/>
        </w:rPr>
        <w:t>el</w:t>
      </w:r>
      <w:r w:rsidRPr="008A5D92">
        <w:rPr>
          <w:rFonts w:ascii="Palatino Linotype" w:hAnsi="Palatino Linotype" w:cs="Arial"/>
          <w:b/>
          <w:bCs/>
        </w:rPr>
        <w:t xml:space="preserve"> Recurrente</w:t>
      </w:r>
      <w:r w:rsidRPr="008A5D92">
        <w:rPr>
          <w:rFonts w:ascii="Palatino Linotype" w:hAnsi="Palatino Linotype" w:cs="Arial"/>
          <w:bCs/>
        </w:rPr>
        <w:t>, interpuso el presente recurso de revisión, señalando como razones o motivos de inconformidad</w:t>
      </w:r>
      <w:r>
        <w:rPr>
          <w:rFonts w:ascii="Palatino Linotype" w:hAnsi="Palatino Linotype" w:cs="Arial"/>
          <w:bCs/>
        </w:rPr>
        <w:t>, medularment</w:t>
      </w:r>
      <w:r w:rsidR="00F0085D">
        <w:rPr>
          <w:rFonts w:ascii="Palatino Linotype" w:hAnsi="Palatino Linotype" w:cs="Arial"/>
          <w:bCs/>
        </w:rPr>
        <w:t>e</w:t>
      </w:r>
      <w:r w:rsidRPr="008A5D92">
        <w:rPr>
          <w:rFonts w:ascii="Palatino Linotype" w:hAnsi="Palatino Linotype" w:cs="Arial"/>
          <w:bCs/>
        </w:rPr>
        <w:t xml:space="preserve"> que: </w:t>
      </w:r>
      <w:r w:rsidRPr="008A5D92">
        <w:rPr>
          <w:rFonts w:ascii="Palatino Linotype" w:hAnsi="Palatino Linotype" w:cs="Arial"/>
          <w:bCs/>
          <w:i/>
        </w:rPr>
        <w:t>“</w:t>
      </w:r>
      <w:r>
        <w:rPr>
          <w:rFonts w:ascii="Palatino Linotype" w:hAnsi="Palatino Linotype" w:cs="Arial"/>
          <w:bCs/>
          <w:i/>
        </w:rPr>
        <w:t>…</w:t>
      </w:r>
      <w:r w:rsidR="00F0085D" w:rsidRPr="00F0085D">
        <w:rPr>
          <w:rFonts w:ascii="Palatino Linotype" w:hAnsi="Palatino Linotype" w:cs="Arial"/>
          <w:b/>
          <w:bCs/>
          <w:i/>
          <w:u w:val="single"/>
        </w:rPr>
        <w:t>1. La resolución incumple con el Artículo 160 de La Ley de Transparencia y Acceso a la Información Pública del Estado de México y Municipios. 2. La resolución incumple con el Artículo 177 de La Ley de Transparencia y Acceso a la Información Pública del Estado de México y Municipios, al no especificar el derecho y plazo que tienen para promover recurso de revisión. 3. De igual manera la resolución incumple con el Articulo 92 de La Ley de Transparencia y Acceso a la Información Pública del Estado de México y Municipios, ya que el sujeto obligado no pone a disposición de una manera clara y sencilla la información solicitada que se especifica en este mismo artículo. 4. Así mismo, el sujeto incurre en una de las causas de incumplimiento de las obligaciones establecidas en la Ley de Transparencia y Acceso a la Información Pública del Estado de México y Municipios, especificada en el Artículo 222, Fracción III y X. 5. Y finalmente el sujeto obligado incumple con su función expresada en el artículo 53 Fracción V de la Ley de Transparencia y Acceso a la Información Pública del Estado de México y Municipios.</w:t>
      </w:r>
      <w:r w:rsidRPr="005F7C80">
        <w:rPr>
          <w:rFonts w:ascii="Palatino Linotype" w:hAnsi="Palatino Linotype" w:cs="Arial"/>
          <w:b/>
          <w:bCs/>
          <w:i/>
          <w:u w:val="single"/>
        </w:rPr>
        <w:t>”</w:t>
      </w:r>
      <w:r>
        <w:rPr>
          <w:rFonts w:ascii="Palatino Linotype" w:hAnsi="Palatino Linotype" w:cs="Arial"/>
          <w:bCs/>
        </w:rPr>
        <w:t>.</w:t>
      </w:r>
    </w:p>
    <w:p w14:paraId="2B4D8860" w14:textId="77777777" w:rsidR="00470D24" w:rsidRDefault="00470D24" w:rsidP="00470D24">
      <w:pPr>
        <w:spacing w:line="360" w:lineRule="auto"/>
        <w:ind w:right="141"/>
        <w:jc w:val="both"/>
        <w:rPr>
          <w:rFonts w:ascii="Palatino Linotype" w:hAnsi="Palatino Linotype" w:cs="Arial"/>
          <w:bCs/>
        </w:rPr>
      </w:pPr>
    </w:p>
    <w:p w14:paraId="5875A6D0" w14:textId="38E258AA" w:rsidR="00470D24" w:rsidRDefault="00470D24" w:rsidP="00470D24">
      <w:pPr>
        <w:spacing w:line="360" w:lineRule="auto"/>
        <w:ind w:right="141"/>
        <w:jc w:val="both"/>
        <w:rPr>
          <w:rFonts w:ascii="Palatino Linotype" w:hAnsi="Palatino Linotype"/>
          <w:lang w:eastAsia="es-MX"/>
        </w:rPr>
      </w:pPr>
      <w:r w:rsidRPr="001B0708">
        <w:rPr>
          <w:rFonts w:ascii="Palatino Linotype" w:hAnsi="Palatino Linotype"/>
          <w:lang w:eastAsia="es-MX"/>
        </w:rPr>
        <w:t xml:space="preserve">Así, este Órgano Garante estima que las razones o motivos de </w:t>
      </w:r>
      <w:r>
        <w:rPr>
          <w:rFonts w:ascii="Palatino Linotype" w:hAnsi="Palatino Linotype"/>
          <w:lang w:eastAsia="es-MX"/>
        </w:rPr>
        <w:t xml:space="preserve">inconformidad hechos valer por </w:t>
      </w:r>
      <w:r w:rsidR="00F0085D">
        <w:rPr>
          <w:rFonts w:ascii="Palatino Linotype" w:hAnsi="Palatino Linotype"/>
          <w:b/>
          <w:lang w:eastAsia="es-MX"/>
        </w:rPr>
        <w:t>el</w:t>
      </w:r>
      <w:r w:rsidRPr="001B0708">
        <w:rPr>
          <w:rFonts w:ascii="Palatino Linotype" w:hAnsi="Palatino Linotype"/>
          <w:b/>
          <w:lang w:eastAsia="es-MX"/>
        </w:rPr>
        <w:t xml:space="preserve"> Recurrente</w:t>
      </w:r>
      <w:r w:rsidRPr="001B0708">
        <w:rPr>
          <w:rFonts w:ascii="Palatino Linotype" w:hAnsi="Palatino Linotype"/>
          <w:lang w:eastAsia="es-MX"/>
        </w:rPr>
        <w:t xml:space="preserve"> son fundados, tomando en cuenta las siguientes consideraciones de hecho y de derecho:</w:t>
      </w:r>
    </w:p>
    <w:p w14:paraId="348D4E88" w14:textId="77777777" w:rsidR="00470D24" w:rsidRDefault="00470D24" w:rsidP="00470D24">
      <w:pPr>
        <w:spacing w:line="360" w:lineRule="auto"/>
        <w:ind w:right="141"/>
        <w:jc w:val="both"/>
        <w:rPr>
          <w:rFonts w:ascii="Palatino Linotype" w:hAnsi="Palatino Linotype"/>
          <w:lang w:eastAsia="es-MX"/>
        </w:rPr>
      </w:pPr>
    </w:p>
    <w:p w14:paraId="2C0A907F" w14:textId="77777777" w:rsidR="00470D24" w:rsidRPr="000D7F2B" w:rsidRDefault="00470D24" w:rsidP="00470D24">
      <w:pPr>
        <w:spacing w:line="360" w:lineRule="auto"/>
        <w:jc w:val="both"/>
        <w:rPr>
          <w:rFonts w:ascii="Palatino Linotype" w:hAnsi="Palatino Linotype"/>
          <w:color w:val="000000"/>
        </w:rPr>
      </w:pPr>
      <w:r>
        <w:rPr>
          <w:rFonts w:ascii="Palatino Linotype" w:hAnsi="Palatino Linotype"/>
        </w:rPr>
        <w:t>En Primer</w:t>
      </w:r>
      <w:r w:rsidRPr="000D7F2B">
        <w:rPr>
          <w:rFonts w:ascii="Palatino Linotype" w:hAnsi="Palatino Linotype"/>
        </w:rPr>
        <w:t xml:space="preserve"> lugar </w:t>
      </w:r>
      <w:r w:rsidRPr="000D7F2B">
        <w:rPr>
          <w:rFonts w:ascii="Palatino Linotype" w:hAnsi="Palatino Linotype"/>
          <w:color w:val="000000"/>
        </w:rPr>
        <w:t xml:space="preserve">es de advertirse lo siguiente: nuestra Carta Magna dispone que para el ejercicio del derecho de acceso a la información los Estados deben observar diversos </w:t>
      </w:r>
      <w:r w:rsidRPr="000D7F2B">
        <w:rPr>
          <w:rFonts w:ascii="Palatino Linotype" w:hAnsi="Palatino Linotype"/>
          <w:color w:val="000000"/>
        </w:rPr>
        <w:lastRenderedPageBreak/>
        <w:t>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C5630DA" w14:textId="77777777" w:rsidR="00470D24" w:rsidRPr="000D7F2B" w:rsidRDefault="00470D24" w:rsidP="00470D24">
      <w:pPr>
        <w:spacing w:line="360" w:lineRule="auto"/>
        <w:jc w:val="both"/>
        <w:rPr>
          <w:rFonts w:ascii="Palatino Linotype" w:hAnsi="Palatino Linotype"/>
          <w:color w:val="000000"/>
        </w:rPr>
      </w:pPr>
    </w:p>
    <w:p w14:paraId="019CF770" w14:textId="77777777" w:rsidR="00470D24" w:rsidRPr="000D7F2B" w:rsidRDefault="00470D24" w:rsidP="00470D24">
      <w:pPr>
        <w:ind w:left="851" w:right="851"/>
        <w:jc w:val="both"/>
        <w:rPr>
          <w:rFonts w:ascii="Palatino Linotype" w:hAnsi="Palatino Linotype"/>
          <w:b/>
          <w:i/>
        </w:rPr>
      </w:pPr>
      <w:r w:rsidRPr="000D7F2B">
        <w:rPr>
          <w:rFonts w:ascii="Palatino Linotype" w:hAnsi="Palatino Linotype"/>
          <w:b/>
          <w:i/>
        </w:rPr>
        <w:t>Artículo 6</w:t>
      </w:r>
    </w:p>
    <w:p w14:paraId="7DCD27CD" w14:textId="77777777" w:rsidR="00470D24" w:rsidRPr="000D7F2B" w:rsidRDefault="00470D24" w:rsidP="00470D24">
      <w:pPr>
        <w:ind w:left="851" w:right="851"/>
        <w:jc w:val="both"/>
        <w:rPr>
          <w:rFonts w:ascii="Palatino Linotype" w:hAnsi="Palatino Linotype"/>
          <w:i/>
        </w:rPr>
      </w:pPr>
      <w:r w:rsidRPr="000D7F2B">
        <w:rPr>
          <w:rFonts w:ascii="Palatino Linotype" w:hAnsi="Palatino Linotype"/>
          <w:i/>
        </w:rPr>
        <w:t>…</w:t>
      </w:r>
    </w:p>
    <w:p w14:paraId="427CD271" w14:textId="77777777" w:rsidR="00470D24" w:rsidRPr="000D7F2B" w:rsidRDefault="00470D24" w:rsidP="00470D24">
      <w:pPr>
        <w:ind w:left="851" w:right="851"/>
        <w:jc w:val="both"/>
        <w:rPr>
          <w:rFonts w:ascii="Palatino Linotype" w:hAnsi="Palatino Linotype"/>
          <w:i/>
        </w:rPr>
      </w:pPr>
      <w:r w:rsidRPr="000D7F2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49A21EE1" w14:textId="77777777" w:rsidR="00470D24" w:rsidRPr="000D7F2B" w:rsidRDefault="00470D24" w:rsidP="00470D24">
      <w:pPr>
        <w:ind w:left="851" w:right="851"/>
        <w:jc w:val="both"/>
        <w:rPr>
          <w:rFonts w:ascii="Palatino Linotype" w:hAnsi="Palatino Linotype"/>
          <w:i/>
        </w:rPr>
      </w:pPr>
    </w:p>
    <w:p w14:paraId="6B8771CE" w14:textId="77777777" w:rsidR="00470D24" w:rsidRPr="000D7F2B" w:rsidRDefault="00470D24" w:rsidP="00470D24">
      <w:pPr>
        <w:numPr>
          <w:ilvl w:val="0"/>
          <w:numId w:val="41"/>
        </w:numPr>
        <w:ind w:left="851" w:right="851"/>
        <w:jc w:val="both"/>
        <w:rPr>
          <w:rFonts w:ascii="Palatino Linotype" w:hAnsi="Palatino Linotype"/>
          <w:i/>
        </w:rPr>
      </w:pPr>
      <w:r w:rsidRPr="000D7F2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25E465" w14:textId="77777777" w:rsidR="00470D24" w:rsidRPr="000D7F2B" w:rsidRDefault="00470D24" w:rsidP="00470D24">
      <w:pPr>
        <w:spacing w:line="360" w:lineRule="auto"/>
        <w:jc w:val="both"/>
        <w:rPr>
          <w:rFonts w:ascii="Palatino Linotype" w:hAnsi="Palatino Linotype"/>
        </w:rPr>
      </w:pPr>
    </w:p>
    <w:p w14:paraId="4648F1C0" w14:textId="4CB59150" w:rsidR="00470D24" w:rsidRPr="00243902" w:rsidRDefault="00470D24" w:rsidP="00243902">
      <w:pPr>
        <w:spacing w:line="360" w:lineRule="auto"/>
        <w:jc w:val="both"/>
        <w:rPr>
          <w:rFonts w:ascii="Palatino Linotype" w:hAnsi="Palatino Linotype" w:cs="Arial"/>
        </w:rPr>
      </w:pPr>
      <w:r w:rsidRPr="000D7F2B">
        <w:rPr>
          <w:rFonts w:ascii="Palatino Linotype" w:hAnsi="Palatino Linotype" w:cs="Arial"/>
        </w:rPr>
        <w:t xml:space="preserve">Ahora bien, en atención a lo dispuesto por los artículos 3, fracción XI y 12 </w:t>
      </w:r>
      <w:r w:rsidRPr="000D7F2B">
        <w:rPr>
          <w:rFonts w:ascii="Palatino Linotype" w:hAnsi="Palatino Linotype" w:cs="Arial"/>
          <w:bCs/>
        </w:rPr>
        <w:t>de la Ley de Transparencia y Acceso a la Información Pública del Estado de México y Municipios</w:t>
      </w:r>
      <w:r w:rsidRPr="000D7F2B">
        <w:rPr>
          <w:rFonts w:ascii="Palatino Linotype" w:hAnsi="Palatino Linotype" w:cs="Arial"/>
        </w:rPr>
        <w:t>, los cuales son del tenor literal siguiente:</w:t>
      </w:r>
    </w:p>
    <w:p w14:paraId="776F1D00" w14:textId="77777777" w:rsidR="00470D24" w:rsidRPr="000D7F2B" w:rsidRDefault="00470D24" w:rsidP="00470D24">
      <w:pPr>
        <w:ind w:left="851" w:right="851"/>
        <w:jc w:val="both"/>
        <w:rPr>
          <w:rFonts w:ascii="Palatino Linotype" w:hAnsi="Palatino Linotype"/>
          <w:i/>
        </w:rPr>
      </w:pPr>
      <w:r w:rsidRPr="000D7F2B">
        <w:rPr>
          <w:rFonts w:ascii="Palatino Linotype" w:hAnsi="Palatino Linotype"/>
          <w:b/>
          <w:bCs/>
          <w:i/>
        </w:rPr>
        <w:lastRenderedPageBreak/>
        <w:t xml:space="preserve">Artículo 3.- </w:t>
      </w:r>
      <w:r w:rsidRPr="000D7F2B">
        <w:rPr>
          <w:rFonts w:ascii="Palatino Linotype" w:hAnsi="Palatino Linotype"/>
          <w:i/>
        </w:rPr>
        <w:t>Para los efectos de la presente Ley se entenderá por:</w:t>
      </w:r>
    </w:p>
    <w:p w14:paraId="7CB8896C" w14:textId="77777777" w:rsidR="00470D24" w:rsidRPr="000D7F2B" w:rsidRDefault="00470D24" w:rsidP="00470D24">
      <w:pPr>
        <w:ind w:left="851" w:right="851"/>
        <w:jc w:val="both"/>
        <w:rPr>
          <w:rFonts w:ascii="Palatino Linotype" w:hAnsi="Palatino Linotype"/>
          <w:i/>
        </w:rPr>
      </w:pPr>
      <w:r w:rsidRPr="000D7F2B">
        <w:rPr>
          <w:rFonts w:ascii="Palatino Linotype" w:hAnsi="Palatino Linotype"/>
          <w:i/>
        </w:rPr>
        <w:t>…</w:t>
      </w:r>
    </w:p>
    <w:p w14:paraId="4E7D0153" w14:textId="77777777" w:rsidR="00470D24" w:rsidRPr="000D7F2B" w:rsidRDefault="00470D24" w:rsidP="00470D24">
      <w:pPr>
        <w:ind w:left="851" w:right="851"/>
        <w:jc w:val="both"/>
        <w:rPr>
          <w:rFonts w:ascii="Palatino Linotype" w:hAnsi="Palatino Linotype"/>
          <w:i/>
        </w:rPr>
      </w:pPr>
      <w:r w:rsidRPr="000D7F2B">
        <w:rPr>
          <w:rFonts w:ascii="Palatino Linotype" w:hAnsi="Palatino Linotype"/>
          <w:b/>
          <w:i/>
        </w:rPr>
        <w:t>XI.</w:t>
      </w:r>
      <w:r w:rsidRPr="000D7F2B">
        <w:rPr>
          <w:rFonts w:ascii="Palatino Linotype" w:hAnsi="Palatino Linotype"/>
          <w:i/>
        </w:rPr>
        <w:t xml:space="preserve"> </w:t>
      </w:r>
      <w:r w:rsidRPr="000D7F2B">
        <w:rPr>
          <w:rFonts w:ascii="Palatino Linotype" w:hAnsi="Palatino Linotype"/>
          <w:b/>
          <w:i/>
        </w:rPr>
        <w:t>Documento:</w:t>
      </w:r>
      <w:r w:rsidRPr="000D7F2B">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0D7F2B">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0D7F2B">
        <w:rPr>
          <w:rFonts w:ascii="Palatino Linotype" w:hAnsi="Palatino Linotype"/>
          <w:i/>
        </w:rPr>
        <w:t xml:space="preserve"> Los documentos podrán estar en cualquier medio, sea escrito, impreso, sonoro, visual, electrónico, informático u holográfico;</w:t>
      </w:r>
    </w:p>
    <w:p w14:paraId="2CA8A831" w14:textId="77777777" w:rsidR="00470D24" w:rsidRPr="000D7F2B" w:rsidRDefault="00470D24" w:rsidP="00470D24">
      <w:pPr>
        <w:ind w:left="851" w:right="851"/>
        <w:jc w:val="both"/>
        <w:rPr>
          <w:rFonts w:ascii="Palatino Linotype" w:hAnsi="Palatino Linotype"/>
          <w:i/>
        </w:rPr>
      </w:pPr>
    </w:p>
    <w:p w14:paraId="5D492DE0" w14:textId="77777777" w:rsidR="00470D24" w:rsidRPr="000D7F2B" w:rsidRDefault="00470D24" w:rsidP="00470D24">
      <w:pPr>
        <w:ind w:left="851" w:right="851"/>
        <w:jc w:val="both"/>
        <w:rPr>
          <w:rFonts w:ascii="Palatino Linotype" w:hAnsi="Palatino Linotype"/>
          <w:bCs/>
          <w:i/>
        </w:rPr>
      </w:pPr>
      <w:r w:rsidRPr="000D7F2B">
        <w:rPr>
          <w:rFonts w:ascii="Palatino Linotype" w:hAnsi="Palatino Linotype"/>
          <w:b/>
          <w:bCs/>
          <w:i/>
        </w:rPr>
        <w:t>Artículo 4.</w:t>
      </w:r>
      <w:r w:rsidRPr="000D7F2B">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B71CE8E" w14:textId="77777777" w:rsidR="00470D24" w:rsidRPr="000D7F2B" w:rsidRDefault="00470D24" w:rsidP="00470D24">
      <w:pPr>
        <w:ind w:left="851" w:right="851"/>
        <w:jc w:val="both"/>
        <w:rPr>
          <w:rFonts w:ascii="Palatino Linotype" w:hAnsi="Palatino Linotype"/>
          <w:bCs/>
          <w:i/>
        </w:rPr>
      </w:pPr>
    </w:p>
    <w:p w14:paraId="380DF1CE" w14:textId="77777777" w:rsidR="00470D24" w:rsidRPr="000D7F2B" w:rsidRDefault="00470D24" w:rsidP="00470D24">
      <w:pPr>
        <w:ind w:left="851" w:right="851"/>
        <w:jc w:val="both"/>
        <w:rPr>
          <w:rFonts w:ascii="Palatino Linotype" w:hAnsi="Palatino Linotype"/>
          <w:bCs/>
          <w:i/>
        </w:rPr>
      </w:pPr>
      <w:r w:rsidRPr="000D7F2B">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0D7F2B">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A024BF9" w14:textId="77777777" w:rsidR="00470D24" w:rsidRPr="000D7F2B" w:rsidRDefault="00470D24" w:rsidP="00470D24">
      <w:pPr>
        <w:ind w:left="851" w:right="851"/>
        <w:jc w:val="both"/>
        <w:rPr>
          <w:rFonts w:ascii="Palatino Linotype" w:hAnsi="Palatino Linotype"/>
          <w:bCs/>
          <w:i/>
        </w:rPr>
      </w:pPr>
    </w:p>
    <w:p w14:paraId="152944A9" w14:textId="77777777" w:rsidR="00470D24" w:rsidRPr="000D7F2B" w:rsidRDefault="00470D24" w:rsidP="00470D24">
      <w:pPr>
        <w:ind w:left="851" w:right="851"/>
        <w:jc w:val="both"/>
        <w:rPr>
          <w:rFonts w:ascii="Palatino Linotype" w:hAnsi="Palatino Linotype"/>
          <w:bCs/>
          <w:i/>
        </w:rPr>
      </w:pPr>
      <w:r w:rsidRPr="000D7F2B">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6B3BB985" w14:textId="77777777" w:rsidR="00470D24" w:rsidRPr="000D7F2B" w:rsidRDefault="00470D24" w:rsidP="00470D24">
      <w:pPr>
        <w:ind w:left="851" w:right="851"/>
        <w:jc w:val="both"/>
        <w:rPr>
          <w:rFonts w:ascii="Palatino Linotype" w:hAnsi="Palatino Linotype"/>
          <w:i/>
        </w:rPr>
      </w:pPr>
    </w:p>
    <w:p w14:paraId="6D491102" w14:textId="77777777" w:rsidR="00470D24" w:rsidRPr="000D7F2B" w:rsidRDefault="00470D24" w:rsidP="00470D24">
      <w:pPr>
        <w:ind w:left="851" w:right="851"/>
        <w:jc w:val="both"/>
        <w:rPr>
          <w:rFonts w:ascii="Palatino Linotype" w:hAnsi="Palatino Linotype"/>
          <w:i/>
        </w:rPr>
      </w:pPr>
      <w:r w:rsidRPr="000D7F2B">
        <w:rPr>
          <w:rFonts w:ascii="Palatino Linotype" w:hAnsi="Palatino Linotype"/>
          <w:b/>
          <w:i/>
        </w:rPr>
        <w:t>Artículo 12.</w:t>
      </w:r>
      <w:r w:rsidRPr="000D7F2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71E76EF" w14:textId="77777777" w:rsidR="00470D24" w:rsidRPr="000D7F2B" w:rsidRDefault="00470D24" w:rsidP="00470D24">
      <w:pPr>
        <w:ind w:left="851" w:right="851"/>
        <w:jc w:val="both"/>
        <w:rPr>
          <w:rFonts w:ascii="Palatino Linotype" w:hAnsi="Palatino Linotype"/>
          <w:i/>
        </w:rPr>
      </w:pPr>
    </w:p>
    <w:p w14:paraId="56C57661" w14:textId="77777777" w:rsidR="00470D24" w:rsidRPr="000D7F2B" w:rsidRDefault="00470D24" w:rsidP="00470D24">
      <w:pPr>
        <w:ind w:left="851" w:right="851"/>
        <w:jc w:val="both"/>
        <w:rPr>
          <w:rFonts w:ascii="Palatino Linotype" w:hAnsi="Palatino Linotype"/>
          <w:i/>
          <w:u w:val="single"/>
        </w:rPr>
      </w:pPr>
      <w:r w:rsidRPr="000D7F2B">
        <w:rPr>
          <w:rFonts w:ascii="Palatino Linotype" w:hAnsi="Palatino Linotype"/>
          <w:b/>
          <w:i/>
          <w:u w:val="single"/>
        </w:rPr>
        <w:t xml:space="preserve">Los sujetos obligados sólo proporcionarán la información pública que se les requiera y que obre en sus archivos y en el estado en que ésta se </w:t>
      </w:r>
      <w:r w:rsidRPr="000D7F2B">
        <w:rPr>
          <w:rFonts w:ascii="Palatino Linotype" w:hAnsi="Palatino Linotype"/>
          <w:b/>
          <w:i/>
          <w:u w:val="single"/>
        </w:rPr>
        <w:lastRenderedPageBreak/>
        <w:t>encuentre. La obligación de proporcionar información no comprende el procesamiento de la misma, ni el presentarla conforme al interés del solicitante; no estarán obligados a generarla, resumirla, efectuar cálculos o practicar investigaciones</w:t>
      </w:r>
      <w:r w:rsidRPr="000D7F2B">
        <w:rPr>
          <w:rFonts w:ascii="Palatino Linotype" w:hAnsi="Palatino Linotype"/>
          <w:i/>
        </w:rPr>
        <w:t>.</w:t>
      </w:r>
    </w:p>
    <w:p w14:paraId="705B52FC" w14:textId="77777777" w:rsidR="00470D24" w:rsidRPr="000D7F2B" w:rsidRDefault="00470D24" w:rsidP="00470D24">
      <w:pPr>
        <w:spacing w:line="360" w:lineRule="auto"/>
        <w:jc w:val="both"/>
        <w:rPr>
          <w:rFonts w:ascii="Palatino Linotype" w:hAnsi="Palatino Linotype"/>
        </w:rPr>
      </w:pPr>
    </w:p>
    <w:p w14:paraId="7A8B6F06" w14:textId="77777777" w:rsidR="00470D24" w:rsidRDefault="00470D24" w:rsidP="00470D24">
      <w:pPr>
        <w:spacing w:line="360" w:lineRule="auto"/>
        <w:jc w:val="both"/>
        <w:rPr>
          <w:rFonts w:ascii="Palatino Linotype" w:hAnsi="Palatino Linotype" w:cs="Arial"/>
        </w:rPr>
      </w:pPr>
      <w:r w:rsidRPr="000D7F2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22F4585" w14:textId="77777777" w:rsidR="00470D24" w:rsidRDefault="00470D24" w:rsidP="00470D24">
      <w:pPr>
        <w:spacing w:line="360" w:lineRule="auto"/>
        <w:jc w:val="both"/>
        <w:rPr>
          <w:rFonts w:ascii="Palatino Linotype" w:hAnsi="Palatino Linotype" w:cs="Arial"/>
        </w:rPr>
      </w:pPr>
    </w:p>
    <w:p w14:paraId="7A8AE165" w14:textId="77777777" w:rsidR="00470D24" w:rsidRPr="00271622" w:rsidRDefault="00470D24" w:rsidP="00470D24">
      <w:pPr>
        <w:spacing w:line="360" w:lineRule="auto"/>
        <w:jc w:val="both"/>
        <w:rPr>
          <w:rFonts w:ascii="Palatino Linotype" w:eastAsia="Calibri" w:hAnsi="Palatino Linotype"/>
        </w:rPr>
      </w:pPr>
      <w:r w:rsidRPr="00271622">
        <w:rPr>
          <w:rFonts w:ascii="Palatino Linotype" w:hAnsi="Palatino Linotype"/>
        </w:rPr>
        <w:t xml:space="preserve">En </w:t>
      </w:r>
      <w:r>
        <w:rPr>
          <w:rFonts w:ascii="Palatino Linotype" w:hAnsi="Palatino Linotype"/>
        </w:rPr>
        <w:t>segundo</w:t>
      </w:r>
      <w:r w:rsidRPr="00271622">
        <w:rPr>
          <w:rFonts w:ascii="Palatino Linotype" w:hAnsi="Palatino Linotype"/>
        </w:rPr>
        <w:t xml:space="preserve"> término, es de precisar que </w:t>
      </w:r>
      <w:r w:rsidRPr="00271622">
        <w:rPr>
          <w:rFonts w:ascii="Palatino Linotype" w:eastAsia="Calibri" w:hAnsi="Palatino Linotype"/>
        </w:rPr>
        <w:t xml:space="preserve">se obvia el análisis de la competencia por parte del </w:t>
      </w:r>
      <w:r w:rsidRPr="00271622">
        <w:rPr>
          <w:rFonts w:ascii="Palatino Linotype" w:eastAsia="Calibri" w:hAnsi="Palatino Linotype"/>
          <w:b/>
        </w:rPr>
        <w:t>Sujeto Obligado</w:t>
      </w:r>
      <w:r w:rsidRPr="00271622">
        <w:rPr>
          <w:rFonts w:ascii="Palatino Linotype" w:eastAsia="Calibri" w:hAnsi="Palatino Linotype"/>
        </w:rPr>
        <w:t>, para generar, administrar o poseer la información solicitada, dado que éste ha asumido la misma, mediante su respuesta a la solicitud de información.</w:t>
      </w:r>
    </w:p>
    <w:p w14:paraId="3CF5D6FA" w14:textId="77777777" w:rsidR="00470D24" w:rsidRPr="00271622" w:rsidRDefault="00470D24" w:rsidP="00470D24">
      <w:pPr>
        <w:spacing w:line="360" w:lineRule="auto"/>
        <w:jc w:val="both"/>
        <w:rPr>
          <w:rFonts w:ascii="Palatino Linotype" w:eastAsia="Calibri" w:hAnsi="Palatino Linotype"/>
        </w:rPr>
      </w:pPr>
    </w:p>
    <w:p w14:paraId="3E451541" w14:textId="77777777" w:rsidR="00470D24" w:rsidRPr="00271622" w:rsidRDefault="00470D24" w:rsidP="00470D24">
      <w:pPr>
        <w:spacing w:line="360" w:lineRule="auto"/>
        <w:jc w:val="both"/>
        <w:rPr>
          <w:rFonts w:ascii="Palatino Linotype" w:hAnsi="Palatino Linotype"/>
        </w:rPr>
      </w:pPr>
      <w:r w:rsidRPr="00271622">
        <w:rPr>
          <w:rFonts w:ascii="Palatino Linotype" w:eastAsia="Calibri" w:hAnsi="Palatino Linotype"/>
        </w:rPr>
        <w:t xml:space="preserve">En efecto, el hecho de que el </w:t>
      </w:r>
      <w:r w:rsidRPr="00271622">
        <w:rPr>
          <w:rFonts w:ascii="Palatino Linotype" w:eastAsia="Calibri" w:hAnsi="Palatino Linotype"/>
          <w:b/>
        </w:rPr>
        <w:t xml:space="preserve">Sujeto Obligado </w:t>
      </w:r>
      <w:r w:rsidRPr="00271622">
        <w:rPr>
          <w:rFonts w:ascii="Palatino Linotype" w:eastAsia="Calibri" w:hAnsi="Palatino Linotype"/>
        </w:rPr>
        <w:t>haya asumido la información implica que la genera, posee o administra, en ejercicio de sus funciones de derecho público</w:t>
      </w:r>
      <w:r w:rsidRPr="00271622">
        <w:rPr>
          <w:rFonts w:ascii="Palatino Linotype" w:hAnsi="Palatino Linotype"/>
        </w:rPr>
        <w:t xml:space="preserve">,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7B4D2FAF" w14:textId="77777777" w:rsidR="00470D24" w:rsidRPr="00271622" w:rsidRDefault="00470D24" w:rsidP="00470D24">
      <w:pPr>
        <w:spacing w:line="360" w:lineRule="auto"/>
        <w:jc w:val="both"/>
        <w:rPr>
          <w:rFonts w:ascii="Palatino Linotype" w:eastAsia="Calibri" w:hAnsi="Palatino Linotype"/>
        </w:rPr>
      </w:pPr>
    </w:p>
    <w:p w14:paraId="5B2B3AF1" w14:textId="77777777" w:rsidR="00470D24" w:rsidRDefault="00470D24" w:rsidP="00470D24">
      <w:pPr>
        <w:spacing w:line="360" w:lineRule="auto"/>
        <w:jc w:val="both"/>
        <w:rPr>
          <w:rFonts w:ascii="Palatino Linotype" w:hAnsi="Palatino Linotype"/>
        </w:rPr>
      </w:pPr>
      <w:r w:rsidRPr="00271622">
        <w:rPr>
          <w:rFonts w:ascii="Palatino Linotype" w:hAnsi="Palatino Linotype"/>
        </w:rPr>
        <w:t xml:space="preserve">De hecho, el estudio de la naturaleza jurídica de la información pública solicitada, tiene por objeto determinar si ésta la genera, posee o administra el </w:t>
      </w:r>
      <w:r w:rsidRPr="00271622">
        <w:rPr>
          <w:rFonts w:ascii="Palatino Linotype" w:hAnsi="Palatino Linotype"/>
          <w:b/>
        </w:rPr>
        <w:t>Sujeto Obligado</w:t>
      </w:r>
      <w:r w:rsidRPr="00271622">
        <w:rPr>
          <w:rFonts w:ascii="Palatino Linotype" w:hAnsi="Palatino Linotype"/>
        </w:rPr>
        <w:t xml:space="preserve">; sin </w:t>
      </w:r>
      <w:r w:rsidRPr="00271622">
        <w:rPr>
          <w:rFonts w:ascii="Palatino Linotype" w:hAnsi="Palatino Linotype"/>
        </w:rPr>
        <w:lastRenderedPageBreak/>
        <w:t xml:space="preserve">embargo, en aquellos casos en que éste la asume, implica en automático que la genera, posee o administra; por consiguiente, a nada práctico nos conduciría su estudio, ya que se insiste la información pública solicitada, ya fue asumida por el </w:t>
      </w:r>
      <w:r w:rsidRPr="00271622">
        <w:rPr>
          <w:rFonts w:ascii="Palatino Linotype" w:hAnsi="Palatino Linotype"/>
          <w:b/>
        </w:rPr>
        <w:t>Sujeto Obligado</w:t>
      </w:r>
      <w:r w:rsidRPr="00271622">
        <w:rPr>
          <w:rFonts w:ascii="Palatino Linotype" w:hAnsi="Palatino Linotype"/>
        </w:rPr>
        <w:t>.</w:t>
      </w:r>
    </w:p>
    <w:p w14:paraId="24811ED2" w14:textId="77777777" w:rsidR="00470D24" w:rsidRDefault="00470D24" w:rsidP="00470D24">
      <w:pPr>
        <w:spacing w:line="360" w:lineRule="auto"/>
        <w:jc w:val="both"/>
        <w:rPr>
          <w:rFonts w:ascii="Palatino Linotype" w:hAnsi="Palatino Linotype"/>
        </w:rPr>
      </w:pPr>
    </w:p>
    <w:p w14:paraId="08882E04" w14:textId="3400F5B2" w:rsidR="00470D24" w:rsidRDefault="00470D24" w:rsidP="00470D24">
      <w:pPr>
        <w:spacing w:line="360" w:lineRule="auto"/>
        <w:jc w:val="both"/>
        <w:rPr>
          <w:rFonts w:ascii="Palatino Linotype" w:hAnsi="Palatino Linotype"/>
        </w:rPr>
      </w:pPr>
      <w:r w:rsidRPr="00271622">
        <w:rPr>
          <w:rFonts w:ascii="Palatino Linotype" w:hAnsi="Palatino Linotype"/>
        </w:rPr>
        <w:t xml:space="preserve">Ahora bien, </w:t>
      </w:r>
      <w:r>
        <w:rPr>
          <w:rFonts w:ascii="Palatino Linotype" w:hAnsi="Palatino Linotype"/>
        </w:rPr>
        <w:t>en atención a los requerimientos formulados por el particular, el Sujeto Obligado remitió mediante</w:t>
      </w:r>
      <w:r w:rsidRPr="00271622">
        <w:rPr>
          <w:rFonts w:ascii="Palatino Linotype" w:hAnsi="Palatino Linotype"/>
        </w:rPr>
        <w:t xml:space="preserve"> respuesta primigenia</w:t>
      </w:r>
      <w:r>
        <w:rPr>
          <w:rFonts w:ascii="Palatino Linotype" w:hAnsi="Palatino Linotype"/>
        </w:rPr>
        <w:t xml:space="preserve"> la </w:t>
      </w:r>
      <w:r w:rsidR="00243902">
        <w:rPr>
          <w:rFonts w:ascii="Palatino Linotype" w:hAnsi="Palatino Linotype"/>
        </w:rPr>
        <w:t>dirección</w:t>
      </w:r>
      <w:r>
        <w:rPr>
          <w:rFonts w:ascii="Palatino Linotype" w:hAnsi="Palatino Linotype"/>
        </w:rPr>
        <w:t xml:space="preserve"> electrónic</w:t>
      </w:r>
      <w:r w:rsidR="00F0085D">
        <w:rPr>
          <w:rFonts w:ascii="Palatino Linotype" w:hAnsi="Palatino Linotype"/>
        </w:rPr>
        <w:t xml:space="preserve">a: </w:t>
      </w:r>
      <w:hyperlink r:id="rId9" w:history="1">
        <w:r w:rsidR="00F0085D" w:rsidRPr="004C3C82">
          <w:rPr>
            <w:rStyle w:val="Hipervnculo"/>
            <w:rFonts w:ascii="Palatino Linotype" w:hAnsi="Palatino Linotype"/>
          </w:rPr>
          <w:t>https://www.ipomex.org.mx/ipo3/lgt/indice/metepec.web</w:t>
        </w:r>
      </w:hyperlink>
      <w:r w:rsidR="00F0085D">
        <w:rPr>
          <w:rFonts w:ascii="Palatino Linotype" w:hAnsi="Palatino Linotype"/>
        </w:rPr>
        <w:t xml:space="preserve"> </w:t>
      </w:r>
      <w:r w:rsidRPr="00271622">
        <w:rPr>
          <w:rFonts w:ascii="Palatino Linotype" w:hAnsi="Palatino Linotype"/>
        </w:rPr>
        <w:t xml:space="preserve">por lo que esta Ponencia procedió a verificar lo </w:t>
      </w:r>
      <w:r>
        <w:rPr>
          <w:rFonts w:ascii="Palatino Linotype" w:hAnsi="Palatino Linotype"/>
        </w:rPr>
        <w:t>manifestado</w:t>
      </w:r>
      <w:r w:rsidRPr="00271622">
        <w:rPr>
          <w:rFonts w:ascii="Palatino Linotype" w:hAnsi="Palatino Linotype"/>
        </w:rPr>
        <w:t xml:space="preserve"> por el Sujeto Obligado ingresando a </w:t>
      </w:r>
      <w:r w:rsidR="00F0085D">
        <w:rPr>
          <w:rFonts w:ascii="Palatino Linotype" w:hAnsi="Palatino Linotype"/>
        </w:rPr>
        <w:t xml:space="preserve">dicha </w:t>
      </w:r>
      <w:r>
        <w:rPr>
          <w:rFonts w:ascii="Palatino Linotype" w:hAnsi="Palatino Linotype"/>
        </w:rPr>
        <w:t>direccione</w:t>
      </w:r>
      <w:r w:rsidRPr="00271622">
        <w:rPr>
          <w:rFonts w:ascii="Palatino Linotype" w:hAnsi="Palatino Linotype"/>
        </w:rPr>
        <w:t>; no obstante, este Instituto estima que no se ha colmado a plenitud el derecho de acceso a la información pública del particular en razón de que la liga</w:t>
      </w:r>
      <w:r>
        <w:rPr>
          <w:rFonts w:ascii="Palatino Linotype" w:hAnsi="Palatino Linotype"/>
        </w:rPr>
        <w:t>s</w:t>
      </w:r>
      <w:r w:rsidRPr="00271622">
        <w:rPr>
          <w:rFonts w:ascii="Palatino Linotype" w:hAnsi="Palatino Linotype"/>
        </w:rPr>
        <w:t xml:space="preserve"> mencionada</w:t>
      </w:r>
      <w:r>
        <w:rPr>
          <w:rFonts w:ascii="Palatino Linotype" w:hAnsi="Palatino Linotype"/>
        </w:rPr>
        <w:t>s</w:t>
      </w:r>
      <w:r w:rsidRPr="00271622">
        <w:rPr>
          <w:rFonts w:ascii="Palatino Linotype" w:hAnsi="Palatino Linotype"/>
        </w:rPr>
        <w:t xml:space="preserve"> por el Sujeto Obligado únicamente lo direcciona al portal </w:t>
      </w:r>
      <w:r>
        <w:rPr>
          <w:rFonts w:ascii="Palatino Linotype" w:hAnsi="Palatino Linotype"/>
        </w:rPr>
        <w:t xml:space="preserve">de Información Pública de Oficio Mexiquense </w:t>
      </w:r>
      <w:r w:rsidRPr="00271622">
        <w:rPr>
          <w:rFonts w:ascii="Palatino Linotype" w:hAnsi="Palatino Linotype"/>
        </w:rPr>
        <w:t>del Sujeto Obligado, sin especificar el procedimiento de acceso a los datos solicitados</w:t>
      </w:r>
      <w:r>
        <w:rPr>
          <w:rFonts w:ascii="Palatino Linotype" w:hAnsi="Palatino Linotype"/>
        </w:rPr>
        <w:t xml:space="preserve">, como se puede apreciar de las siguientes imágenes ilustrativas: </w:t>
      </w:r>
    </w:p>
    <w:p w14:paraId="23DE6A82" w14:textId="25BC70CC" w:rsidR="00243902" w:rsidRDefault="00243902" w:rsidP="00243902">
      <w:pPr>
        <w:spacing w:line="360" w:lineRule="auto"/>
        <w:jc w:val="center"/>
        <w:rPr>
          <w:rFonts w:ascii="Palatino Linotype" w:hAnsi="Palatino Linotype"/>
        </w:rPr>
      </w:pPr>
      <w:r w:rsidRPr="00243902">
        <w:rPr>
          <w:rFonts w:ascii="Palatino Linotype" w:hAnsi="Palatino Linotype"/>
          <w:noProof/>
          <w:lang w:val="es-MX" w:eastAsia="es-MX"/>
        </w:rPr>
        <w:drawing>
          <wp:inline distT="0" distB="0" distL="0" distR="0" wp14:anchorId="493FFAAE" wp14:editId="4BCB27CF">
            <wp:extent cx="3543300" cy="28277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52648" cy="2835225"/>
                    </a:xfrm>
                    <a:prstGeom prst="rect">
                      <a:avLst/>
                    </a:prstGeom>
                  </pic:spPr>
                </pic:pic>
              </a:graphicData>
            </a:graphic>
          </wp:inline>
        </w:drawing>
      </w:r>
    </w:p>
    <w:p w14:paraId="78B6248B" w14:textId="14DDADE0" w:rsidR="00470D24" w:rsidRPr="00271622" w:rsidRDefault="00470D24" w:rsidP="00243902">
      <w:pPr>
        <w:spacing w:line="360" w:lineRule="auto"/>
        <w:rPr>
          <w:rFonts w:ascii="Palatino Linotype" w:hAnsi="Palatino Linotype"/>
        </w:rPr>
      </w:pPr>
    </w:p>
    <w:p w14:paraId="7EA4D104" w14:textId="77777777" w:rsidR="00470D24" w:rsidRPr="00271622" w:rsidRDefault="00470D24" w:rsidP="00470D24">
      <w:pPr>
        <w:spacing w:line="360" w:lineRule="auto"/>
        <w:jc w:val="both"/>
        <w:rPr>
          <w:rFonts w:ascii="Palatino Linotype" w:hAnsi="Palatino Linotype"/>
        </w:rPr>
      </w:pPr>
      <w:r w:rsidRPr="00271622">
        <w:rPr>
          <w:rFonts w:ascii="Palatino Linotype" w:hAnsi="Palatino Linotype"/>
        </w:rPr>
        <w:t>Lo anterior es así en virtud de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13F395A5" w14:textId="77777777" w:rsidR="00470D24" w:rsidRPr="00271622" w:rsidRDefault="00470D24" w:rsidP="00470D24">
      <w:pPr>
        <w:spacing w:line="360" w:lineRule="auto"/>
        <w:jc w:val="both"/>
        <w:rPr>
          <w:rFonts w:ascii="Palatino Linotype" w:hAnsi="Palatino Linotype"/>
        </w:rPr>
      </w:pPr>
    </w:p>
    <w:p w14:paraId="02C092EB" w14:textId="77777777" w:rsidR="00470D24" w:rsidRPr="00271622" w:rsidRDefault="00470D24" w:rsidP="00470D24">
      <w:pPr>
        <w:ind w:left="567" w:right="616"/>
        <w:jc w:val="both"/>
        <w:rPr>
          <w:rFonts w:ascii="Palatino Linotype" w:hAnsi="Palatino Linotype"/>
          <w:i/>
        </w:rPr>
      </w:pPr>
      <w:r w:rsidRPr="00271622">
        <w:rPr>
          <w:rFonts w:ascii="Palatino Linotype" w:hAnsi="Palatino Linotype"/>
          <w:b/>
          <w:i/>
        </w:rPr>
        <w:t>Artículo 11.</w:t>
      </w:r>
      <w:r w:rsidRPr="00271622">
        <w:rPr>
          <w:rFonts w:ascii="Palatino Linotype" w:hAnsi="Palatino Linotype"/>
          <w:i/>
        </w:rPr>
        <w:t xml:space="preserve"> </w:t>
      </w:r>
      <w:r w:rsidRPr="00271622">
        <w:rPr>
          <w:rFonts w:ascii="Palatino Linotype" w:hAnsi="Palatino Linotype"/>
          <w:b/>
          <w:i/>
          <w:u w:val="single"/>
        </w:rPr>
        <w:t>En la generación, publicación y entrega de información se deberá garantizar que ésta sea accesible, actualizada, completa, congruente, confiable, verificable, veraz, integral, oportuna y expedita</w:t>
      </w:r>
      <w:r w:rsidRPr="00271622">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30D0E8C9" w14:textId="77777777" w:rsidR="00470D24" w:rsidRPr="00271622" w:rsidRDefault="00470D24" w:rsidP="00470D24">
      <w:pPr>
        <w:ind w:left="567" w:right="616"/>
        <w:jc w:val="both"/>
        <w:rPr>
          <w:rFonts w:ascii="Palatino Linotype" w:hAnsi="Palatino Linotype"/>
          <w:i/>
        </w:rPr>
      </w:pPr>
      <w:r w:rsidRPr="00271622">
        <w:rPr>
          <w:rFonts w:ascii="Palatino Linotype" w:hAnsi="Palatino Linotype"/>
          <w:i/>
        </w:rPr>
        <w:t>[…]</w:t>
      </w:r>
    </w:p>
    <w:p w14:paraId="597F2F54" w14:textId="77777777" w:rsidR="00470D24" w:rsidRPr="00271622" w:rsidRDefault="00470D24" w:rsidP="00470D24">
      <w:pPr>
        <w:ind w:left="567" w:right="616"/>
        <w:jc w:val="both"/>
        <w:rPr>
          <w:rFonts w:ascii="Palatino Linotype" w:hAnsi="Palatino Linotype"/>
          <w:i/>
        </w:rPr>
      </w:pPr>
    </w:p>
    <w:p w14:paraId="7F477EDB" w14:textId="77777777" w:rsidR="00470D24" w:rsidRPr="00271622" w:rsidRDefault="00470D24" w:rsidP="00470D24">
      <w:pPr>
        <w:ind w:left="567" w:right="616"/>
        <w:jc w:val="both"/>
        <w:rPr>
          <w:rFonts w:ascii="Palatino Linotype" w:hAnsi="Palatino Linotype"/>
        </w:rPr>
      </w:pPr>
      <w:r w:rsidRPr="00271622">
        <w:rPr>
          <w:rFonts w:ascii="Palatino Linotype" w:hAnsi="Palatino Linotype"/>
          <w:b/>
          <w:i/>
        </w:rPr>
        <w:t>Artículo 161.</w:t>
      </w:r>
      <w:r w:rsidRPr="00271622">
        <w:rPr>
          <w:rFonts w:ascii="Palatino Linotype" w:hAnsi="Palatino Linotype"/>
          <w:i/>
        </w:rPr>
        <w:t xml:space="preserve"> </w:t>
      </w:r>
      <w:r w:rsidRPr="00271622">
        <w:rPr>
          <w:rFonts w:ascii="Palatino Linotype" w:hAnsi="Palatino Linotype"/>
          <w:b/>
          <w:i/>
          <w:u w:val="single"/>
        </w:rPr>
        <w:t>Cuando la información requerida por el solicitante ya esté disponible al público</w:t>
      </w:r>
      <w:r w:rsidRPr="00271622">
        <w:rPr>
          <w:rFonts w:ascii="Palatino Linotype" w:hAnsi="Palatino Linotype"/>
          <w:i/>
        </w:rPr>
        <w:t xml:space="preserve"> en medios impresos, tales como libros, compendios, trípticos, registros públicos, </w:t>
      </w:r>
      <w:r w:rsidRPr="00271622">
        <w:rPr>
          <w:rFonts w:ascii="Palatino Linotype" w:hAnsi="Palatino Linotype"/>
          <w:b/>
          <w:i/>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74DA937D" w14:textId="77777777" w:rsidR="00470D24" w:rsidRPr="00271622" w:rsidRDefault="00470D24" w:rsidP="00470D24">
      <w:pPr>
        <w:spacing w:line="360" w:lineRule="auto"/>
        <w:jc w:val="both"/>
        <w:rPr>
          <w:rFonts w:ascii="Palatino Linotype" w:hAnsi="Palatino Linotype"/>
        </w:rPr>
      </w:pPr>
    </w:p>
    <w:p w14:paraId="00590D0A" w14:textId="77777777" w:rsidR="00470D24" w:rsidRPr="00271622" w:rsidRDefault="00470D24" w:rsidP="00470D24">
      <w:pPr>
        <w:spacing w:line="360" w:lineRule="auto"/>
        <w:jc w:val="both"/>
        <w:rPr>
          <w:rFonts w:ascii="Palatino Linotype" w:hAnsi="Palatino Linotype"/>
        </w:rPr>
      </w:pPr>
      <w:r w:rsidRPr="00271622">
        <w:rPr>
          <w:rFonts w:ascii="Palatino Linotype" w:hAnsi="Palatino Linotype"/>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w:t>
      </w:r>
      <w:r w:rsidRPr="00271622">
        <w:rPr>
          <w:rFonts w:ascii="Palatino Linotype" w:hAnsi="Palatino Linotype"/>
        </w:rPr>
        <w:lastRenderedPageBreak/>
        <w:t>formatos electrónicos, entre otros, haciéndole saber al solicitante como podrá consultar, reproducir o adquirir la información, en un plazo no mayor a cinco días hábiles, comprendiendo:</w:t>
      </w:r>
    </w:p>
    <w:p w14:paraId="7355D806" w14:textId="77777777" w:rsidR="00470D24" w:rsidRPr="00271622" w:rsidRDefault="00470D24" w:rsidP="00470D24">
      <w:pPr>
        <w:spacing w:line="360" w:lineRule="auto"/>
        <w:jc w:val="both"/>
        <w:rPr>
          <w:rFonts w:ascii="Palatino Linotype" w:hAnsi="Palatino Linotype"/>
        </w:rPr>
      </w:pPr>
    </w:p>
    <w:p w14:paraId="3F4D6281" w14:textId="77777777" w:rsidR="00470D24" w:rsidRPr="00271622" w:rsidRDefault="00470D24" w:rsidP="00470D24">
      <w:pPr>
        <w:numPr>
          <w:ilvl w:val="0"/>
          <w:numId w:val="43"/>
        </w:numPr>
        <w:ind w:left="1134" w:hanging="567"/>
        <w:jc w:val="both"/>
        <w:rPr>
          <w:rFonts w:ascii="Palatino Linotype" w:hAnsi="Palatino Linotype"/>
        </w:rPr>
      </w:pPr>
      <w:r w:rsidRPr="00271622">
        <w:rPr>
          <w:rFonts w:ascii="Palatino Linotype" w:hAnsi="Palatino Linotype"/>
        </w:rPr>
        <w:t>La fuente</w:t>
      </w:r>
    </w:p>
    <w:p w14:paraId="16C8CE8D" w14:textId="77777777" w:rsidR="00470D24" w:rsidRPr="00271622" w:rsidRDefault="00470D24" w:rsidP="00470D24">
      <w:pPr>
        <w:numPr>
          <w:ilvl w:val="0"/>
          <w:numId w:val="43"/>
        </w:numPr>
        <w:ind w:left="1134" w:hanging="567"/>
        <w:jc w:val="both"/>
        <w:rPr>
          <w:rFonts w:ascii="Palatino Linotype" w:hAnsi="Palatino Linotype"/>
        </w:rPr>
      </w:pPr>
      <w:r w:rsidRPr="00271622">
        <w:rPr>
          <w:rFonts w:ascii="Palatino Linotype" w:hAnsi="Palatino Linotype"/>
        </w:rPr>
        <w:t>El lugar y</w:t>
      </w:r>
    </w:p>
    <w:p w14:paraId="30A8A8FA" w14:textId="77777777" w:rsidR="00470D24" w:rsidRPr="00271622" w:rsidRDefault="00470D24" w:rsidP="00470D24">
      <w:pPr>
        <w:numPr>
          <w:ilvl w:val="0"/>
          <w:numId w:val="43"/>
        </w:numPr>
        <w:ind w:left="1134" w:hanging="567"/>
        <w:jc w:val="both"/>
        <w:rPr>
          <w:rFonts w:ascii="Palatino Linotype" w:hAnsi="Palatino Linotype"/>
        </w:rPr>
      </w:pPr>
      <w:r w:rsidRPr="00271622">
        <w:rPr>
          <w:rFonts w:ascii="Palatino Linotype" w:hAnsi="Palatino Linotype"/>
        </w:rPr>
        <w:t xml:space="preserve">La forma </w:t>
      </w:r>
    </w:p>
    <w:p w14:paraId="516749AC" w14:textId="77777777" w:rsidR="00470D24" w:rsidRPr="00271622" w:rsidRDefault="00470D24" w:rsidP="00470D24">
      <w:pPr>
        <w:spacing w:line="360" w:lineRule="auto"/>
        <w:jc w:val="both"/>
        <w:rPr>
          <w:rFonts w:ascii="Palatino Linotype" w:hAnsi="Palatino Linotype"/>
        </w:rPr>
      </w:pPr>
    </w:p>
    <w:p w14:paraId="028236F0" w14:textId="77777777" w:rsidR="00470D24" w:rsidRPr="00271622" w:rsidRDefault="00470D24" w:rsidP="00470D24">
      <w:pPr>
        <w:spacing w:line="360" w:lineRule="auto"/>
        <w:jc w:val="both"/>
        <w:rPr>
          <w:rFonts w:ascii="Palatino Linotype" w:hAnsi="Palatino Linotype"/>
        </w:rPr>
      </w:pPr>
      <w:r w:rsidRPr="00271622">
        <w:rPr>
          <w:rFonts w:ascii="Palatino Linotype" w:hAnsi="Palatino Linotype"/>
        </w:rPr>
        <w:t>Asimismo, se establece que la fuente de la información deberá ser:</w:t>
      </w:r>
    </w:p>
    <w:p w14:paraId="5882346E" w14:textId="77777777" w:rsidR="00470D24" w:rsidRPr="00271622" w:rsidRDefault="00470D24" w:rsidP="00470D24">
      <w:pPr>
        <w:spacing w:line="360" w:lineRule="auto"/>
        <w:jc w:val="both"/>
        <w:rPr>
          <w:rFonts w:ascii="Palatino Linotype" w:hAnsi="Palatino Linotype"/>
        </w:rPr>
      </w:pPr>
    </w:p>
    <w:p w14:paraId="1622565A" w14:textId="77777777" w:rsidR="00470D24" w:rsidRPr="00271622" w:rsidRDefault="00470D24" w:rsidP="00470D24">
      <w:pPr>
        <w:numPr>
          <w:ilvl w:val="0"/>
          <w:numId w:val="44"/>
        </w:numPr>
        <w:ind w:left="1134" w:hanging="556"/>
        <w:jc w:val="both"/>
        <w:rPr>
          <w:rFonts w:ascii="Palatino Linotype" w:hAnsi="Palatino Linotype"/>
        </w:rPr>
      </w:pPr>
      <w:r w:rsidRPr="00271622">
        <w:rPr>
          <w:rFonts w:ascii="Palatino Linotype" w:hAnsi="Palatino Linotype"/>
        </w:rPr>
        <w:t>Precisa</w:t>
      </w:r>
    </w:p>
    <w:p w14:paraId="3E5784E0" w14:textId="77777777" w:rsidR="00470D24" w:rsidRPr="00271622" w:rsidRDefault="00470D24" w:rsidP="00470D24">
      <w:pPr>
        <w:numPr>
          <w:ilvl w:val="0"/>
          <w:numId w:val="44"/>
        </w:numPr>
        <w:ind w:left="1134" w:hanging="556"/>
        <w:jc w:val="both"/>
        <w:rPr>
          <w:rFonts w:ascii="Palatino Linotype" w:hAnsi="Palatino Linotype"/>
        </w:rPr>
      </w:pPr>
      <w:r w:rsidRPr="00271622">
        <w:rPr>
          <w:rFonts w:ascii="Palatino Linotype" w:hAnsi="Palatino Linotype"/>
        </w:rPr>
        <w:t>Concreta</w:t>
      </w:r>
    </w:p>
    <w:p w14:paraId="3E915879" w14:textId="77777777" w:rsidR="00470D24" w:rsidRPr="00271622" w:rsidRDefault="00470D24" w:rsidP="00470D24">
      <w:pPr>
        <w:numPr>
          <w:ilvl w:val="0"/>
          <w:numId w:val="44"/>
        </w:numPr>
        <w:ind w:left="1134" w:hanging="556"/>
        <w:jc w:val="both"/>
        <w:rPr>
          <w:rFonts w:ascii="Palatino Linotype" w:hAnsi="Palatino Linotype"/>
        </w:rPr>
      </w:pPr>
      <w:r w:rsidRPr="00271622">
        <w:rPr>
          <w:rFonts w:ascii="Palatino Linotype" w:hAnsi="Palatino Linotype"/>
          <w:b/>
        </w:rPr>
        <w:t>Y no debe implicar que el solicitante realice una búsqueda en toda la información que se encuentre disponible</w:t>
      </w:r>
      <w:r w:rsidRPr="00271622">
        <w:rPr>
          <w:rFonts w:ascii="Palatino Linotype" w:hAnsi="Palatino Linotype"/>
        </w:rPr>
        <w:t>.</w:t>
      </w:r>
    </w:p>
    <w:p w14:paraId="68FBDE4A" w14:textId="77777777" w:rsidR="00470D24" w:rsidRPr="00271622" w:rsidRDefault="00470D24" w:rsidP="00470D24">
      <w:pPr>
        <w:spacing w:line="360" w:lineRule="auto"/>
        <w:jc w:val="both"/>
        <w:rPr>
          <w:rFonts w:ascii="Palatino Linotype" w:hAnsi="Palatino Linotype"/>
        </w:rPr>
      </w:pPr>
    </w:p>
    <w:p w14:paraId="06E7DD6E" w14:textId="06A4339F" w:rsidR="00470D24" w:rsidRDefault="00470D24" w:rsidP="00470D24">
      <w:pPr>
        <w:spacing w:line="360" w:lineRule="auto"/>
        <w:jc w:val="both"/>
        <w:rPr>
          <w:rFonts w:ascii="Palatino Linotype" w:hAnsi="Palatino Linotype"/>
        </w:rPr>
      </w:pPr>
      <w:r w:rsidRPr="00271622">
        <w:rPr>
          <w:rFonts w:ascii="Palatino Linotype" w:hAnsi="Palatino Linotype"/>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w:t>
      </w:r>
      <w:r w:rsidR="003C79DD">
        <w:rPr>
          <w:rFonts w:ascii="Palatino Linotype" w:hAnsi="Palatino Linotype"/>
        </w:rPr>
        <w:t xml:space="preserve">en el </w:t>
      </w:r>
      <w:r w:rsidR="003C79DD" w:rsidRPr="003C79DD">
        <w:rPr>
          <w:rFonts w:ascii="Palatino Linotype" w:hAnsi="Palatino Linotype"/>
        </w:rPr>
        <w:t>portal de Información Pública de Oficio Mexiquense</w:t>
      </w:r>
      <w:r w:rsidR="003C79DD">
        <w:rPr>
          <w:rFonts w:ascii="Palatino Linotype" w:hAnsi="Palatino Linotype"/>
        </w:rPr>
        <w:t>,</w:t>
      </w:r>
      <w:r w:rsidRPr="00271622">
        <w:rPr>
          <w:rFonts w:ascii="Palatino Linotype" w:hAnsi="Palatino Linotype"/>
        </w:rPr>
        <w:t xml:space="preserve"> sin que señalara puntualmente el procedimiento que el particular debe seguir para acceder a la información requerida, lo que implica que  la fuente no es precisa porque su fuente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08267465" w14:textId="47AA277F" w:rsidR="00470D24" w:rsidRDefault="00470D24" w:rsidP="00470D24">
      <w:pPr>
        <w:spacing w:line="360" w:lineRule="auto"/>
        <w:ind w:right="51"/>
        <w:jc w:val="both"/>
        <w:rPr>
          <w:rFonts w:ascii="Palatino Linotype" w:hAnsi="Palatino Linotype" w:cs="Arial"/>
        </w:rPr>
      </w:pPr>
      <w:r w:rsidRPr="003604C6">
        <w:rPr>
          <w:rFonts w:ascii="Palatino Linotype" w:eastAsia="Arial Unicode MS" w:hAnsi="Palatino Linotype" w:cs="Arial"/>
        </w:rPr>
        <w:lastRenderedPageBreak/>
        <w:t xml:space="preserve">Por lo anteriormente expuesto, se concluye que el </w:t>
      </w:r>
      <w:r w:rsidRPr="003604C6">
        <w:rPr>
          <w:rFonts w:ascii="Palatino Linotype" w:eastAsia="Arial Unicode MS" w:hAnsi="Palatino Linotype" w:cs="Arial"/>
          <w:b/>
        </w:rPr>
        <w:t>Sujeto Obligado</w:t>
      </w:r>
      <w:r w:rsidRPr="003604C6">
        <w:rPr>
          <w:rFonts w:ascii="Palatino Linotype" w:eastAsia="Arial Unicode MS" w:hAnsi="Palatino Linotype" w:cs="Arial"/>
        </w:rPr>
        <w:t xml:space="preserve"> no colmó las pretensiones realizadas por el particular, con dichas instrucciones para acceder a la información solicitada en la multirreferida página de internet; no obstante</w:t>
      </w:r>
      <w:r w:rsidRPr="003604C6">
        <w:rPr>
          <w:rFonts w:ascii="Palatino Linotype" w:hAnsi="Palatino Linotype" w:cs="Arial"/>
          <w:color w:val="000000" w:themeColor="text1"/>
        </w:rPr>
        <w:t xml:space="preserve">, no pasa desapercibido para esta ponencia que el plazo transcurrido entre la solicitud de información y la respuesta del </w:t>
      </w:r>
      <w:r w:rsidRPr="003604C6">
        <w:rPr>
          <w:rFonts w:ascii="Palatino Linotype" w:hAnsi="Palatino Linotype" w:cs="Arial"/>
          <w:b/>
          <w:color w:val="000000" w:themeColor="text1"/>
        </w:rPr>
        <w:t>Sujeto Obligado</w:t>
      </w:r>
      <w:r w:rsidRPr="003604C6">
        <w:rPr>
          <w:rFonts w:ascii="Palatino Linotype" w:hAnsi="Palatino Linotype" w:cs="Arial"/>
          <w:color w:val="000000" w:themeColor="text1"/>
        </w:rPr>
        <w:t xml:space="preserve"> fue de </w:t>
      </w:r>
      <w:r w:rsidR="003C79DD">
        <w:rPr>
          <w:rFonts w:ascii="Palatino Linotype" w:hAnsi="Palatino Linotype" w:cs="Arial"/>
          <w:b/>
          <w:i/>
          <w:color w:val="000000" w:themeColor="text1"/>
        </w:rPr>
        <w:t>ocho</w:t>
      </w:r>
      <w:r w:rsidRPr="003604C6">
        <w:rPr>
          <w:rFonts w:ascii="Palatino Linotype" w:hAnsi="Palatino Linotype" w:cs="Arial"/>
          <w:b/>
          <w:i/>
          <w:color w:val="000000" w:themeColor="text1"/>
        </w:rPr>
        <w:t xml:space="preserve"> días hábiles</w:t>
      </w:r>
      <w:r w:rsidRPr="003604C6">
        <w:rPr>
          <w:rFonts w:ascii="Palatino Linotype" w:hAnsi="Palatino Linotype" w:cs="Arial"/>
          <w:color w:val="000000" w:themeColor="text1"/>
        </w:rPr>
        <w:t xml:space="preserve">; al respecto, el artículo 161, de la Ley de Transparencia local indica que cuando la información requerida esté disponible en internet, el </w:t>
      </w:r>
      <w:r w:rsidRPr="003604C6">
        <w:rPr>
          <w:rFonts w:ascii="Palatino Linotype" w:hAnsi="Palatino Linotype" w:cs="Arial"/>
          <w:b/>
          <w:color w:val="000000" w:themeColor="text1"/>
        </w:rPr>
        <w:t>Sujeto Obligado</w:t>
      </w:r>
      <w:r w:rsidRPr="003604C6">
        <w:rPr>
          <w:rFonts w:ascii="Palatino Linotype" w:hAnsi="Palatino Linotype" w:cs="Arial"/>
          <w:color w:val="000000" w:themeColor="text1"/>
        </w:rPr>
        <w:t xml:space="preserve"> </w:t>
      </w:r>
      <w:r w:rsidRPr="003604C6">
        <w:rPr>
          <w:rFonts w:ascii="Palatino Linotype" w:hAnsi="Palatino Linotype" w:cs="Arial"/>
          <w:b/>
          <w:i/>
          <w:color w:val="000000" w:themeColor="text1"/>
          <w:u w:val="single"/>
        </w:rPr>
        <w:t>deberá hacerlo saber al solicitante en un plazo no mayor a cinco días hábiles</w:t>
      </w:r>
      <w:r w:rsidRPr="003604C6">
        <w:rPr>
          <w:rFonts w:ascii="Palatino Linotype" w:hAnsi="Palatino Linotype" w:cs="Arial"/>
          <w:color w:val="000000" w:themeColor="text1"/>
        </w:rPr>
        <w:t xml:space="preserve">; bajo esa premisa, la respuesta del </w:t>
      </w:r>
      <w:r w:rsidRPr="003604C6">
        <w:rPr>
          <w:rFonts w:ascii="Palatino Linotype" w:hAnsi="Palatino Linotype" w:cs="Arial"/>
          <w:b/>
          <w:color w:val="000000" w:themeColor="text1"/>
        </w:rPr>
        <w:t>Sujeto Obligado</w:t>
      </w:r>
      <w:r w:rsidRPr="003604C6">
        <w:rPr>
          <w:rFonts w:ascii="Palatino Linotype" w:hAnsi="Palatino Linotype" w:cs="Arial"/>
          <w:color w:val="000000" w:themeColor="text1"/>
        </w:rPr>
        <w:t xml:space="preserve"> </w:t>
      </w:r>
      <w:r w:rsidRPr="003604C6">
        <w:rPr>
          <w:rFonts w:ascii="Palatino Linotype" w:hAnsi="Palatino Linotype" w:cs="Arial"/>
        </w:rPr>
        <w:t>vulneró el referido disposi</w:t>
      </w:r>
      <w:r>
        <w:rPr>
          <w:rFonts w:ascii="Palatino Linotype" w:hAnsi="Palatino Linotype" w:cs="Arial"/>
        </w:rPr>
        <w:t>tivo de la Ley de Transparencia.</w:t>
      </w:r>
    </w:p>
    <w:p w14:paraId="464BF958" w14:textId="77777777" w:rsidR="00470D24" w:rsidRPr="00271622" w:rsidRDefault="00470D24" w:rsidP="00470D24">
      <w:pPr>
        <w:spacing w:line="360" w:lineRule="auto"/>
        <w:jc w:val="both"/>
        <w:rPr>
          <w:rFonts w:ascii="Palatino Linotype" w:hAnsi="Palatino Linotype"/>
        </w:rPr>
      </w:pPr>
    </w:p>
    <w:p w14:paraId="6BA976B7" w14:textId="77777777" w:rsidR="00470D24" w:rsidRDefault="00470D24" w:rsidP="00470D24">
      <w:pPr>
        <w:spacing w:line="360" w:lineRule="auto"/>
        <w:jc w:val="both"/>
        <w:rPr>
          <w:rFonts w:ascii="Palatino Linotype" w:hAnsi="Palatino Linotype"/>
        </w:rPr>
      </w:pPr>
      <w:r w:rsidRPr="00271622">
        <w:rPr>
          <w:rFonts w:ascii="Palatino Linotype" w:hAnsi="Palatino Linotype"/>
        </w:rPr>
        <w:t>De tal forma que este Instituto estima que el Sujeto Obligado incumplió lo establecido en la Ley de la Materia, por lo cual es procedente revocar la respuesta a la solicitud del particular y ordenar la entrega de la información requerida.</w:t>
      </w:r>
    </w:p>
    <w:p w14:paraId="5F3C2AD6" w14:textId="77777777" w:rsidR="00470D24" w:rsidRPr="00913085" w:rsidRDefault="00470D24" w:rsidP="00470D24">
      <w:pPr>
        <w:spacing w:line="360" w:lineRule="auto"/>
        <w:jc w:val="both"/>
        <w:rPr>
          <w:rFonts w:ascii="Palatino Linotype" w:eastAsia="Calibri" w:hAnsi="Palatino Linotype"/>
        </w:rPr>
      </w:pPr>
    </w:p>
    <w:p w14:paraId="6CAD880A" w14:textId="67ED9717" w:rsidR="00031AED" w:rsidRPr="009E626E" w:rsidRDefault="00470D24" w:rsidP="00031AE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Con base en lo anteriormente expuesto, se acredita de manera fehaciente que </w:t>
      </w:r>
      <w:r>
        <w:rPr>
          <w:rFonts w:ascii="Palatino Linotype" w:hAnsi="Palatino Linotype" w:cs="Arial"/>
          <w:b/>
        </w:rPr>
        <w:t xml:space="preserve">el Sujeto Obligado </w:t>
      </w:r>
      <w:r>
        <w:rPr>
          <w:rFonts w:ascii="Palatino Linotype" w:hAnsi="Palatino Linotype" w:cs="Arial"/>
        </w:rPr>
        <w:t xml:space="preserve">no colmó el derecho de acceso a la información pública. Consecuentemente resulta dable ordenar la entrega, en versión pública de ser procedente, </w:t>
      </w:r>
      <w:r w:rsidR="00F87C1F">
        <w:rPr>
          <w:rFonts w:ascii="Palatino Linotype" w:hAnsi="Palatino Linotype"/>
        </w:rPr>
        <w:t>d</w:t>
      </w:r>
      <w:r w:rsidR="00031AED">
        <w:rPr>
          <w:rFonts w:ascii="Palatino Linotype" w:hAnsi="Palatino Linotype"/>
        </w:rPr>
        <w:t>el o los documentos en donde conste lo siguiente</w:t>
      </w:r>
      <w:r w:rsidR="00031AED" w:rsidRPr="00E152F9">
        <w:rPr>
          <w:rFonts w:ascii="Palatino Linotype" w:hAnsi="Palatino Linotype"/>
        </w:rPr>
        <w:t>:</w:t>
      </w:r>
    </w:p>
    <w:p w14:paraId="44898351" w14:textId="77777777" w:rsidR="00F87C1F" w:rsidRPr="00031AED" w:rsidRDefault="00F87C1F" w:rsidP="00F87C1F">
      <w:pPr>
        <w:pStyle w:val="Prrafodelista"/>
        <w:numPr>
          <w:ilvl w:val="0"/>
          <w:numId w:val="47"/>
        </w:numPr>
        <w:spacing w:before="120" w:after="120" w:line="360" w:lineRule="auto"/>
        <w:jc w:val="both"/>
        <w:rPr>
          <w:rFonts w:ascii="Palatino Linotype" w:hAnsi="Palatino Linotype"/>
          <w:i/>
          <w:iCs/>
        </w:rPr>
      </w:pPr>
      <w:r w:rsidRPr="00031AED">
        <w:rPr>
          <w:rFonts w:ascii="Palatino Linotype" w:hAnsi="Palatino Linotype"/>
          <w:i/>
          <w:iCs/>
        </w:rPr>
        <w:t xml:space="preserve">Monto del ingreso </w:t>
      </w:r>
      <w:r>
        <w:rPr>
          <w:rFonts w:ascii="Palatino Linotype" w:hAnsi="Palatino Linotype"/>
          <w:i/>
          <w:iCs/>
        </w:rPr>
        <w:t xml:space="preserve">recaudado </w:t>
      </w:r>
      <w:r w:rsidRPr="00031AED">
        <w:rPr>
          <w:rFonts w:ascii="Palatino Linotype" w:hAnsi="Palatino Linotype"/>
          <w:i/>
          <w:iCs/>
        </w:rPr>
        <w:t>en la Tesorería Municipal por concepto del pago de sanciones por faltas administrativas cometidas por personas presentadas a</w:t>
      </w:r>
      <w:r>
        <w:rPr>
          <w:rFonts w:ascii="Palatino Linotype" w:hAnsi="Palatino Linotype"/>
          <w:i/>
          <w:iCs/>
        </w:rPr>
        <w:t xml:space="preserve">nte los oficiales calificadores </w:t>
      </w:r>
      <w:r w:rsidRPr="00F2688E">
        <w:rPr>
          <w:rFonts w:ascii="Palatino Linotype" w:hAnsi="Palatino Linotype"/>
          <w:i/>
          <w:iCs/>
        </w:rPr>
        <w:t>del periodo comprendido del 01 de enero al 18 de abril de 2022</w:t>
      </w:r>
      <w:r>
        <w:rPr>
          <w:rFonts w:ascii="Palatino Linotype" w:hAnsi="Palatino Linotype"/>
          <w:i/>
          <w:iCs/>
        </w:rPr>
        <w:t>.</w:t>
      </w:r>
    </w:p>
    <w:p w14:paraId="6A7F8E91" w14:textId="77777777" w:rsidR="00F87C1F" w:rsidRDefault="00F87C1F" w:rsidP="00F87C1F">
      <w:pPr>
        <w:pStyle w:val="Prrafodelista"/>
        <w:numPr>
          <w:ilvl w:val="0"/>
          <w:numId w:val="47"/>
        </w:numPr>
        <w:spacing w:before="120" w:after="120" w:line="360" w:lineRule="auto"/>
        <w:ind w:left="714" w:hanging="357"/>
        <w:jc w:val="both"/>
        <w:rPr>
          <w:rFonts w:ascii="Palatino Linotype" w:hAnsi="Palatino Linotype"/>
          <w:i/>
          <w:iCs/>
        </w:rPr>
      </w:pPr>
      <w:r w:rsidRPr="00F2688E">
        <w:rPr>
          <w:rFonts w:ascii="Palatino Linotype" w:hAnsi="Palatino Linotype"/>
          <w:i/>
          <w:iCs/>
        </w:rPr>
        <w:t>Cantidad de licencias de funcionamiento expedidas a unidades económicas en el periodo comprendido del 01 de enero al 18 de abril de 2022.</w:t>
      </w:r>
    </w:p>
    <w:p w14:paraId="3A8D5034" w14:textId="77777777" w:rsidR="00F87C1F" w:rsidRPr="00F2688E" w:rsidRDefault="00F87C1F" w:rsidP="00F87C1F">
      <w:pPr>
        <w:pStyle w:val="Prrafodelista"/>
        <w:numPr>
          <w:ilvl w:val="0"/>
          <w:numId w:val="47"/>
        </w:numPr>
        <w:spacing w:before="120" w:after="120" w:line="360" w:lineRule="auto"/>
        <w:ind w:left="714" w:hanging="357"/>
        <w:jc w:val="both"/>
        <w:rPr>
          <w:rFonts w:ascii="Palatino Linotype" w:hAnsi="Palatino Linotype"/>
          <w:i/>
          <w:iCs/>
        </w:rPr>
      </w:pPr>
      <w:r w:rsidRPr="00F2688E">
        <w:rPr>
          <w:rFonts w:ascii="Palatino Linotype" w:hAnsi="Palatino Linotype"/>
          <w:i/>
          <w:iCs/>
        </w:rPr>
        <w:lastRenderedPageBreak/>
        <w:t>Requisitos para tramitar una licencia de funcionamiento de unidades económicas</w:t>
      </w:r>
      <w:r>
        <w:rPr>
          <w:rFonts w:ascii="Palatino Linotype" w:hAnsi="Palatino Linotype"/>
          <w:i/>
          <w:iCs/>
        </w:rPr>
        <w:t xml:space="preserve"> vigentes</w:t>
      </w:r>
      <w:r w:rsidRPr="00F2688E">
        <w:t xml:space="preserve"> </w:t>
      </w:r>
      <w:r w:rsidRPr="00F2688E">
        <w:rPr>
          <w:rFonts w:ascii="Palatino Linotype" w:hAnsi="Palatino Linotype"/>
          <w:i/>
          <w:iCs/>
        </w:rPr>
        <w:t>al 18 de abril de 2022.</w:t>
      </w:r>
    </w:p>
    <w:p w14:paraId="5A4ABA93" w14:textId="77777777" w:rsidR="00F87C1F" w:rsidRPr="00031AED" w:rsidRDefault="00F87C1F" w:rsidP="00F87C1F">
      <w:pPr>
        <w:pStyle w:val="Prrafodelista"/>
        <w:numPr>
          <w:ilvl w:val="0"/>
          <w:numId w:val="47"/>
        </w:numPr>
        <w:spacing w:before="120" w:after="120" w:line="360" w:lineRule="auto"/>
        <w:ind w:left="714" w:hanging="357"/>
        <w:jc w:val="both"/>
        <w:rPr>
          <w:rFonts w:ascii="Palatino Linotype" w:hAnsi="Palatino Linotype"/>
          <w:i/>
          <w:iCs/>
        </w:rPr>
      </w:pPr>
      <w:r w:rsidRPr="00031AED">
        <w:rPr>
          <w:rFonts w:ascii="Palatino Linotype" w:hAnsi="Palatino Linotype"/>
          <w:i/>
          <w:iCs/>
        </w:rPr>
        <w:t xml:space="preserve">Cantidad de licencias de funcionamiento </w:t>
      </w:r>
      <w:r>
        <w:rPr>
          <w:rFonts w:ascii="Palatino Linotype" w:hAnsi="Palatino Linotype"/>
          <w:i/>
          <w:iCs/>
        </w:rPr>
        <w:t xml:space="preserve">expedidas a unidades económicas vigentes </w:t>
      </w:r>
      <w:r w:rsidRPr="00F2688E">
        <w:rPr>
          <w:rFonts w:ascii="Palatino Linotype" w:hAnsi="Palatino Linotype"/>
          <w:i/>
          <w:iCs/>
        </w:rPr>
        <w:t>al 18 de abril de 2022</w:t>
      </w:r>
      <w:r>
        <w:rPr>
          <w:rFonts w:ascii="Palatino Linotype" w:hAnsi="Palatino Linotype"/>
          <w:i/>
          <w:iCs/>
        </w:rPr>
        <w:t>.</w:t>
      </w:r>
    </w:p>
    <w:p w14:paraId="7FE47184" w14:textId="77777777" w:rsidR="00F87C1F" w:rsidRPr="00031AED" w:rsidRDefault="00F87C1F" w:rsidP="00F87C1F">
      <w:pPr>
        <w:pStyle w:val="Prrafodelista"/>
        <w:numPr>
          <w:ilvl w:val="0"/>
          <w:numId w:val="47"/>
        </w:numPr>
        <w:spacing w:before="120" w:after="120" w:line="360" w:lineRule="auto"/>
        <w:ind w:left="714" w:hanging="357"/>
        <w:jc w:val="both"/>
        <w:rPr>
          <w:rFonts w:ascii="Palatino Linotype" w:hAnsi="Palatino Linotype"/>
          <w:i/>
          <w:iCs/>
        </w:rPr>
      </w:pPr>
      <w:r w:rsidRPr="00031AED">
        <w:rPr>
          <w:rFonts w:ascii="Palatino Linotype" w:hAnsi="Palatino Linotype"/>
          <w:i/>
          <w:iCs/>
        </w:rPr>
        <w:t>Cantidad de unidades económicas que se encuentran registradas en el Registro M</w:t>
      </w:r>
      <w:r>
        <w:rPr>
          <w:rFonts w:ascii="Palatino Linotype" w:hAnsi="Palatino Linotype"/>
          <w:i/>
          <w:iCs/>
        </w:rPr>
        <w:t>unicipal de Unidades Económicas</w:t>
      </w:r>
      <w:r w:rsidRPr="00F2688E">
        <w:rPr>
          <w:rFonts w:ascii="Palatino Linotype" w:hAnsi="Palatino Linotype"/>
          <w:i/>
          <w:iCs/>
        </w:rPr>
        <w:t xml:space="preserve"> al 18 de abril de 2022</w:t>
      </w:r>
      <w:r>
        <w:rPr>
          <w:rFonts w:ascii="Palatino Linotype" w:hAnsi="Palatino Linotype"/>
          <w:i/>
          <w:iCs/>
        </w:rPr>
        <w:t>.</w:t>
      </w:r>
    </w:p>
    <w:p w14:paraId="79E3C62B" w14:textId="77777777" w:rsidR="00F87C1F" w:rsidRPr="00B6337D" w:rsidRDefault="00F87C1F" w:rsidP="00F87C1F">
      <w:pPr>
        <w:pStyle w:val="Prrafodelista"/>
        <w:numPr>
          <w:ilvl w:val="0"/>
          <w:numId w:val="47"/>
        </w:numPr>
        <w:spacing w:before="120" w:after="120" w:line="360" w:lineRule="auto"/>
        <w:jc w:val="both"/>
        <w:rPr>
          <w:rFonts w:ascii="Palatino Linotype" w:hAnsi="Palatino Linotype"/>
          <w:i/>
          <w:iCs/>
        </w:rPr>
      </w:pPr>
      <w:r w:rsidRPr="00031AED">
        <w:rPr>
          <w:rFonts w:ascii="Palatino Linotype" w:hAnsi="Palatino Linotype"/>
          <w:i/>
          <w:iCs/>
        </w:rPr>
        <w:t>Actas de la instalación y de sesiones de las Comisiones Edilicias Mun</w:t>
      </w:r>
      <w:r>
        <w:rPr>
          <w:rFonts w:ascii="Palatino Linotype" w:hAnsi="Palatino Linotype"/>
          <w:i/>
          <w:iCs/>
        </w:rPr>
        <w:t>icipales que se hayan realizado en el</w:t>
      </w:r>
      <w:r w:rsidRPr="00F2688E">
        <w:t xml:space="preserve"> </w:t>
      </w:r>
      <w:r w:rsidRPr="00F2688E">
        <w:rPr>
          <w:rFonts w:ascii="Palatino Linotype" w:hAnsi="Palatino Linotype"/>
          <w:i/>
          <w:iCs/>
        </w:rPr>
        <w:t>periodo comprendido del 01 de enero al 18 de abril de 2022</w:t>
      </w:r>
      <w:r>
        <w:rPr>
          <w:rFonts w:ascii="Palatino Linotype" w:hAnsi="Palatino Linotype"/>
          <w:i/>
          <w:iCs/>
        </w:rPr>
        <w:t>.</w:t>
      </w:r>
    </w:p>
    <w:p w14:paraId="749649EF" w14:textId="77777777" w:rsidR="00B6337D" w:rsidRDefault="00B6337D" w:rsidP="00031AED">
      <w:pPr>
        <w:pStyle w:val="Sinespaciado"/>
        <w:spacing w:line="360" w:lineRule="auto"/>
        <w:jc w:val="both"/>
        <w:rPr>
          <w:rFonts w:ascii="Palatino Linotype" w:hAnsi="Palatino Linotype"/>
          <w:b/>
          <w:sz w:val="28"/>
          <w:szCs w:val="28"/>
        </w:rPr>
      </w:pPr>
    </w:p>
    <w:p w14:paraId="7DB63E53" w14:textId="7A5A4858" w:rsidR="00470D24" w:rsidRDefault="00470D24" w:rsidP="00031AED">
      <w:pPr>
        <w:pStyle w:val="Sinespaciado"/>
        <w:spacing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5381E99E" w14:textId="77777777" w:rsidR="00470D24" w:rsidRPr="001571EB" w:rsidRDefault="00470D24" w:rsidP="00470D24">
      <w:pPr>
        <w:tabs>
          <w:tab w:val="left" w:pos="7938"/>
        </w:tabs>
        <w:spacing w:before="240" w:after="240" w:line="360" w:lineRule="auto"/>
        <w:jc w:val="both"/>
        <w:rPr>
          <w:rFonts w:ascii="Palatino Linotype" w:eastAsia="Arial Unicode MS" w:hAnsi="Palatino Linotype" w:cs="Arial"/>
        </w:rPr>
      </w:pPr>
      <w:r>
        <w:rPr>
          <w:rFonts w:ascii="Palatino Linotype" w:eastAsia="Arial Unicode MS" w:hAnsi="Palatino Linotype" w:cs="Arial"/>
        </w:rPr>
        <w:t>N</w:t>
      </w:r>
      <w:r w:rsidRPr="001571EB">
        <w:rPr>
          <w:rFonts w:ascii="Palatino Linotype" w:eastAsia="Arial Unicode MS" w:hAnsi="Palatino Linotype" w:cs="Arial"/>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9EC28CB" w14:textId="77777777" w:rsidR="00470D24" w:rsidRPr="00E60DEF" w:rsidRDefault="00470D24" w:rsidP="00470D2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3E5B7C8" w14:textId="77777777" w:rsidR="00470D24" w:rsidRPr="00E60DEF" w:rsidRDefault="00470D24" w:rsidP="00470D2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EC84ACD" w14:textId="77777777" w:rsidR="00470D24" w:rsidRPr="001571EB" w:rsidRDefault="00470D24" w:rsidP="00470D2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4EA5777" w14:textId="77777777" w:rsidR="00470D24" w:rsidRPr="001571EB" w:rsidRDefault="00470D24" w:rsidP="00470D2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D2A4487" w14:textId="77777777" w:rsidR="00470D24" w:rsidRPr="001571EB" w:rsidRDefault="00470D24" w:rsidP="00470D2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993AFC7" w14:textId="77777777" w:rsidR="00470D24" w:rsidRPr="001571EB" w:rsidRDefault="00470D24" w:rsidP="00470D2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1CB6319" w14:textId="77777777" w:rsidR="00470D24" w:rsidRPr="001571EB" w:rsidRDefault="00470D24" w:rsidP="00470D2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2A58F05" w14:textId="77777777" w:rsidR="00470D24" w:rsidRPr="001571EB" w:rsidRDefault="00470D24" w:rsidP="00470D2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46CA3F6" w14:textId="77777777" w:rsidR="00470D24" w:rsidRPr="001571EB" w:rsidRDefault="00470D24" w:rsidP="00470D2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6DAD27B" w14:textId="77777777" w:rsidR="00470D24" w:rsidRPr="00E60DEF" w:rsidRDefault="00470D24" w:rsidP="00470D2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3C9A8C7" w14:textId="77777777" w:rsidR="00470D24" w:rsidRPr="001571EB" w:rsidRDefault="00470D24" w:rsidP="00470D24">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A5CA9F2" w14:textId="77777777" w:rsidR="00470D24" w:rsidRPr="00E60DEF" w:rsidRDefault="00470D24" w:rsidP="00470D24">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w:t>
      </w:r>
      <w:r w:rsidRPr="00E60DEF">
        <w:rPr>
          <w:rFonts w:ascii="Palatino Linotype" w:hAnsi="Palatino Linotype" w:cs="Arial"/>
          <w:i/>
        </w:rPr>
        <w:lastRenderedPageBreak/>
        <w:t>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FF05F9D" w14:textId="77777777" w:rsidR="00470D24" w:rsidRPr="001571EB" w:rsidRDefault="00470D24" w:rsidP="00470D24">
      <w:pPr>
        <w:ind w:left="851" w:right="851"/>
        <w:jc w:val="both"/>
        <w:rPr>
          <w:rFonts w:ascii="Palatino Linotype" w:hAnsi="Palatino Linotype" w:cs="Arial"/>
          <w:b/>
          <w:i/>
          <w:u w:val="single"/>
        </w:rPr>
      </w:pPr>
    </w:p>
    <w:p w14:paraId="6390D470" w14:textId="77777777" w:rsidR="00470D24" w:rsidRPr="001571EB" w:rsidRDefault="00470D24" w:rsidP="00470D24">
      <w:pPr>
        <w:spacing w:line="360" w:lineRule="auto"/>
        <w:ind w:right="51"/>
        <w:jc w:val="both"/>
        <w:rPr>
          <w:rFonts w:ascii="Palatino Linotype" w:hAnsi="Palatino Linotype" w:cs="Arial"/>
        </w:rPr>
      </w:pPr>
      <w:r w:rsidRPr="001571EB">
        <w:rPr>
          <w:rFonts w:ascii="Palatino Linotype" w:eastAsia="Arial Unicode MS" w:hAnsi="Palatino Linotype" w:cs="Arial"/>
        </w:rPr>
        <w:t xml:space="preserve">Verbigracia, previo a poner a disposición la información correspondiente debe considerarse que tiene carácter de confidencial </w:t>
      </w:r>
      <w:r w:rsidRPr="001571EB">
        <w:rPr>
          <w:rFonts w:ascii="Palatino Linotype" w:hAnsi="Palatino Linotype" w:cs="Arial"/>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632B4B0" w14:textId="77777777" w:rsidR="00470D24" w:rsidRPr="001571EB" w:rsidRDefault="00470D24" w:rsidP="00470D24">
      <w:pPr>
        <w:autoSpaceDE w:val="0"/>
        <w:autoSpaceDN w:val="0"/>
        <w:adjustRightInd w:val="0"/>
        <w:spacing w:before="240" w:after="240" w:line="360" w:lineRule="auto"/>
        <w:ind w:right="-91"/>
        <w:jc w:val="both"/>
        <w:rPr>
          <w:rFonts w:ascii="Palatino Linotype" w:hAnsi="Palatino Linotype" w:cs="Arial"/>
          <w:lang w:eastAsia="es-MX"/>
        </w:rPr>
      </w:pPr>
      <w:r w:rsidRPr="001571EB">
        <w:rPr>
          <w:rFonts w:ascii="Palatino Linotype" w:hAnsi="Palatino Linotype" w:cs="Arial"/>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24AA246" w14:textId="77777777" w:rsidR="00470D24" w:rsidRPr="001571EB" w:rsidRDefault="00470D24" w:rsidP="00470D24">
      <w:pPr>
        <w:spacing w:before="240" w:after="240" w:line="360" w:lineRule="auto"/>
        <w:ind w:right="-91"/>
        <w:jc w:val="both"/>
        <w:rPr>
          <w:rFonts w:ascii="Palatino Linotype" w:hAnsi="Palatino Linotype" w:cs="Arial"/>
          <w:lang w:eastAsia="es-MX"/>
        </w:rPr>
      </w:pPr>
      <w:r w:rsidRPr="001571EB">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4402535" w14:textId="77777777" w:rsidR="00470D24" w:rsidRDefault="00470D24" w:rsidP="00470D24">
      <w:pPr>
        <w:spacing w:before="240" w:after="240" w:line="360" w:lineRule="auto"/>
        <w:ind w:right="-91"/>
        <w:jc w:val="both"/>
        <w:rPr>
          <w:rFonts w:ascii="Palatino Linotype" w:hAnsi="Palatino Linotype" w:cs="Arial"/>
          <w:lang w:eastAsia="es-MX"/>
        </w:rPr>
      </w:pPr>
      <w:r w:rsidRPr="001571EB">
        <w:rPr>
          <w:rFonts w:ascii="Palatino Linotype" w:hAnsi="Palatino Linotype" w:cs="Arial"/>
          <w:lang w:eastAsia="es-MX"/>
        </w:rPr>
        <w:t xml:space="preserve">Lo anterior es compartido por el ahora </w:t>
      </w:r>
      <w:r w:rsidRPr="001571EB">
        <w:rPr>
          <w:rFonts w:ascii="Palatino Linotype" w:hAnsi="Palatino Linotype" w:cs="Arial"/>
          <w:b/>
          <w:bCs/>
          <w:lang w:eastAsia="es-MX"/>
        </w:rPr>
        <w:t>Instituto Nacional de Transparencia, Acceso a la Información y Protección de Datos Personales</w:t>
      </w:r>
      <w:r w:rsidRPr="001571EB">
        <w:rPr>
          <w:rFonts w:ascii="Palatino Linotype" w:hAnsi="Palatino Linotype" w:cs="Arial"/>
          <w:lang w:eastAsia="es-MX"/>
        </w:rPr>
        <w:t xml:space="preserve"> (INAI), conforme al criterio </w:t>
      </w:r>
      <w:r w:rsidRPr="00E60DEF">
        <w:rPr>
          <w:rFonts w:ascii="Palatino Linotype" w:hAnsi="Palatino Linotype" w:cs="Arial"/>
          <w:b/>
          <w:lang w:eastAsia="es-MX"/>
        </w:rPr>
        <w:t>19/17,</w:t>
      </w:r>
      <w:r w:rsidRPr="001571EB">
        <w:rPr>
          <w:rFonts w:ascii="Palatino Linotype" w:hAnsi="Palatino Linotype" w:cs="Arial"/>
          <w:lang w:eastAsia="es-MX"/>
        </w:rPr>
        <w:t xml:space="preserve"> el cual es del tenor literal siguiente:</w:t>
      </w:r>
    </w:p>
    <w:p w14:paraId="4BE02A8F" w14:textId="77777777" w:rsidR="00470D24" w:rsidRDefault="00470D24" w:rsidP="00470D24">
      <w:pPr>
        <w:autoSpaceDE w:val="0"/>
        <w:autoSpaceDN w:val="0"/>
        <w:adjustRightInd w:val="0"/>
        <w:spacing w:before="240" w:line="360" w:lineRule="auto"/>
        <w:ind w:left="851" w:right="851"/>
        <w:jc w:val="center"/>
        <w:rPr>
          <w:rFonts w:ascii="Palatino Linotype" w:hAnsi="Palatino Linotype" w:cs="Arial"/>
          <w:b/>
          <w:bCs/>
          <w:i/>
        </w:rPr>
      </w:pPr>
      <w:r w:rsidRPr="001571EB">
        <w:rPr>
          <w:rFonts w:ascii="Palatino Linotype" w:hAnsi="Palatino Linotype" w:cs="Arial"/>
          <w:bCs/>
          <w:i/>
        </w:rPr>
        <w:t>“</w:t>
      </w:r>
      <w:r w:rsidRPr="001571EB">
        <w:rPr>
          <w:rFonts w:ascii="Palatino Linotype" w:hAnsi="Palatino Linotype" w:cs="Arial"/>
          <w:b/>
          <w:bCs/>
          <w:i/>
        </w:rPr>
        <w:t>REGISTRO FEDERAL DE CONTRIBUYENTES (RFC) DE PERSONAS FÍSICAS.</w:t>
      </w:r>
    </w:p>
    <w:p w14:paraId="71CD94A6" w14:textId="77777777" w:rsidR="00470D24" w:rsidRPr="001571EB" w:rsidRDefault="00470D24" w:rsidP="00470D24">
      <w:pPr>
        <w:autoSpaceDE w:val="0"/>
        <w:autoSpaceDN w:val="0"/>
        <w:adjustRightInd w:val="0"/>
        <w:spacing w:before="240" w:line="360" w:lineRule="auto"/>
        <w:ind w:left="851" w:right="851"/>
        <w:jc w:val="both"/>
        <w:rPr>
          <w:rFonts w:ascii="Palatino Linotype" w:hAnsi="Palatino Linotype" w:cs="Arial"/>
          <w:bCs/>
          <w:i/>
        </w:rPr>
      </w:pPr>
      <w:r w:rsidRPr="001571EB">
        <w:rPr>
          <w:rFonts w:ascii="Palatino Linotype" w:hAnsi="Palatino Linotype" w:cs="Arial"/>
          <w:bCs/>
          <w:i/>
        </w:rPr>
        <w:lastRenderedPageBreak/>
        <w:t>El RFC es una clave de carácter fiscal, única e irrepetible, que permite identificar al titular, su edad y fecha de nacimiento, por lo que es un dato personal de carácter confidencial.</w:t>
      </w:r>
    </w:p>
    <w:p w14:paraId="76CCA94D" w14:textId="77777777" w:rsidR="00470D24" w:rsidRPr="001571EB" w:rsidRDefault="00470D24" w:rsidP="00470D24">
      <w:pPr>
        <w:autoSpaceDE w:val="0"/>
        <w:autoSpaceDN w:val="0"/>
        <w:adjustRightInd w:val="0"/>
        <w:spacing w:before="240" w:line="360" w:lineRule="auto"/>
        <w:ind w:left="851" w:right="851"/>
        <w:jc w:val="both"/>
        <w:rPr>
          <w:rFonts w:ascii="Palatino Linotype" w:hAnsi="Palatino Linotype" w:cs="Arial"/>
          <w:b/>
          <w:i/>
        </w:rPr>
      </w:pPr>
      <w:r w:rsidRPr="001571EB">
        <w:rPr>
          <w:rFonts w:ascii="Palatino Linotype" w:hAnsi="Palatino Linotype" w:cs="Arial"/>
          <w:b/>
          <w:i/>
        </w:rPr>
        <w:t>Resoluciones:</w:t>
      </w:r>
    </w:p>
    <w:p w14:paraId="2487D8B3" w14:textId="77777777" w:rsidR="00470D24" w:rsidRPr="001571EB" w:rsidRDefault="00470D24" w:rsidP="00470D24">
      <w:pPr>
        <w:autoSpaceDE w:val="0"/>
        <w:autoSpaceDN w:val="0"/>
        <w:adjustRightInd w:val="0"/>
        <w:spacing w:before="240" w:line="360" w:lineRule="auto"/>
        <w:ind w:left="851" w:right="851"/>
        <w:jc w:val="both"/>
        <w:rPr>
          <w:rFonts w:ascii="Palatino Linotype" w:hAnsi="Palatino Linotype" w:cs="Arial"/>
          <w:i/>
        </w:rPr>
      </w:pPr>
      <w:r w:rsidRPr="001571EB">
        <w:rPr>
          <w:rFonts w:ascii="Palatino Linotype" w:hAnsi="Palatino Linotype" w:cs="Arial"/>
          <w:b/>
          <w:i/>
        </w:rPr>
        <w:t xml:space="preserve">RRA 0189/17. </w:t>
      </w:r>
      <w:r w:rsidRPr="001571EB">
        <w:rPr>
          <w:rFonts w:ascii="Palatino Linotype" w:hAnsi="Palatino Linotype" w:cs="Arial"/>
          <w:i/>
        </w:rPr>
        <w:t>Morena. 08 de febrero de 2017. Por unanimidad. Comisionado Ponente Joel Salas Suárez.</w:t>
      </w:r>
    </w:p>
    <w:p w14:paraId="0A9109E5" w14:textId="77777777" w:rsidR="00470D24" w:rsidRPr="001571EB" w:rsidRDefault="00470D24" w:rsidP="00470D24">
      <w:pPr>
        <w:autoSpaceDE w:val="0"/>
        <w:autoSpaceDN w:val="0"/>
        <w:adjustRightInd w:val="0"/>
        <w:spacing w:before="240" w:line="360" w:lineRule="auto"/>
        <w:ind w:left="851" w:right="851"/>
        <w:jc w:val="both"/>
        <w:rPr>
          <w:rFonts w:ascii="Palatino Linotype" w:hAnsi="Palatino Linotype" w:cs="Arial"/>
          <w:i/>
        </w:rPr>
      </w:pPr>
      <w:r w:rsidRPr="001571EB">
        <w:rPr>
          <w:rFonts w:ascii="Palatino Linotype" w:hAnsi="Palatino Linotype" w:cs="Arial"/>
          <w:b/>
          <w:i/>
        </w:rPr>
        <w:t xml:space="preserve">RRA </w:t>
      </w:r>
      <w:r w:rsidRPr="001571EB">
        <w:rPr>
          <w:rFonts w:ascii="Palatino Linotype" w:hAnsi="Palatino Linotype" w:cs="Arial"/>
          <w:b/>
          <w:bCs/>
          <w:i/>
        </w:rPr>
        <w:t>0677</w:t>
      </w:r>
      <w:r w:rsidRPr="001571EB">
        <w:rPr>
          <w:rFonts w:ascii="Palatino Linotype" w:hAnsi="Palatino Linotype" w:cs="Arial"/>
          <w:b/>
          <w:i/>
        </w:rPr>
        <w:t xml:space="preserve">/17. </w:t>
      </w:r>
      <w:r w:rsidRPr="001571EB">
        <w:rPr>
          <w:rFonts w:ascii="Palatino Linotype" w:hAnsi="Palatino Linotype" w:cs="Arial"/>
          <w:i/>
        </w:rPr>
        <w:t xml:space="preserve">Universidad Nacional Autónoma de México. 08 de marzo de 2017. Por unanimidad. Comisionado Ponente </w:t>
      </w:r>
      <w:proofErr w:type="spellStart"/>
      <w:r w:rsidRPr="001571EB">
        <w:rPr>
          <w:rFonts w:ascii="Palatino Linotype" w:hAnsi="Palatino Linotype" w:cs="Arial"/>
          <w:i/>
        </w:rPr>
        <w:t>Rosendoevgueni</w:t>
      </w:r>
      <w:proofErr w:type="spellEnd"/>
      <w:r w:rsidRPr="001571EB">
        <w:rPr>
          <w:rFonts w:ascii="Palatino Linotype" w:hAnsi="Palatino Linotype" w:cs="Arial"/>
          <w:i/>
        </w:rPr>
        <w:t xml:space="preserve"> Monterrey </w:t>
      </w:r>
      <w:proofErr w:type="spellStart"/>
      <w:r w:rsidRPr="001571EB">
        <w:rPr>
          <w:rFonts w:ascii="Palatino Linotype" w:hAnsi="Palatino Linotype" w:cs="Arial"/>
          <w:i/>
        </w:rPr>
        <w:t>Chepov</w:t>
      </w:r>
      <w:proofErr w:type="spellEnd"/>
      <w:r w:rsidRPr="001571EB">
        <w:rPr>
          <w:rFonts w:ascii="Palatino Linotype" w:hAnsi="Palatino Linotype" w:cs="Arial"/>
          <w:i/>
        </w:rPr>
        <w:t>.</w:t>
      </w:r>
      <w:r w:rsidRPr="001571EB">
        <w:rPr>
          <w:rFonts w:ascii="Palatino Linotype" w:hAnsi="Palatino Linotype" w:cs="Arial"/>
          <w:b/>
          <w:i/>
        </w:rPr>
        <w:t xml:space="preserve"> </w:t>
      </w:r>
    </w:p>
    <w:p w14:paraId="793558E0" w14:textId="77777777" w:rsidR="00470D24" w:rsidRPr="00EE0180" w:rsidRDefault="00470D24" w:rsidP="00470D24">
      <w:pPr>
        <w:autoSpaceDE w:val="0"/>
        <w:autoSpaceDN w:val="0"/>
        <w:adjustRightInd w:val="0"/>
        <w:spacing w:before="240" w:line="360" w:lineRule="auto"/>
        <w:ind w:left="851" w:right="851"/>
        <w:jc w:val="both"/>
        <w:rPr>
          <w:rFonts w:ascii="Palatino Linotype" w:hAnsi="Palatino Linotype" w:cs="Arial"/>
          <w:b/>
          <w:i/>
        </w:rPr>
      </w:pPr>
      <w:r w:rsidRPr="001571EB">
        <w:rPr>
          <w:rFonts w:ascii="Palatino Linotype" w:hAnsi="Palatino Linotype" w:cs="Arial"/>
          <w:b/>
          <w:i/>
        </w:rPr>
        <w:t>RRA</w:t>
      </w:r>
      <w:r w:rsidRPr="001571EB">
        <w:rPr>
          <w:rFonts w:ascii="Palatino Linotype" w:hAnsi="Palatino Linotype" w:cs="Arial"/>
          <w:i/>
        </w:rPr>
        <w:t xml:space="preserve"> </w:t>
      </w:r>
      <w:r w:rsidRPr="001571EB">
        <w:rPr>
          <w:rFonts w:ascii="Palatino Linotype" w:hAnsi="Palatino Linotype" w:cs="Arial"/>
          <w:b/>
          <w:i/>
        </w:rPr>
        <w:t xml:space="preserve">1564/17. </w:t>
      </w:r>
      <w:r w:rsidRPr="001571EB">
        <w:rPr>
          <w:rFonts w:ascii="Palatino Linotype" w:hAnsi="Palatino Linotype" w:cs="Arial"/>
          <w:i/>
        </w:rPr>
        <w:t>Tribunal Electoral del Poder Judicial de la Federación. 26 de abril de 2017. Por unanimidad. Comisionado Ponente Oscar Mauricio Guerra Ford.</w:t>
      </w:r>
      <w:r>
        <w:rPr>
          <w:rFonts w:ascii="Palatino Linotype" w:hAnsi="Palatino Linotype" w:cs="Arial"/>
          <w:i/>
        </w:rPr>
        <w:t xml:space="preserve">” </w:t>
      </w:r>
      <w:r>
        <w:rPr>
          <w:rFonts w:ascii="Palatino Linotype" w:hAnsi="Palatino Linotype" w:cs="Arial"/>
          <w:b/>
          <w:i/>
        </w:rPr>
        <w:t>[Sic]</w:t>
      </w:r>
    </w:p>
    <w:p w14:paraId="0E9F7C8B" w14:textId="77777777" w:rsidR="00470D24" w:rsidRPr="001571EB" w:rsidRDefault="00470D24" w:rsidP="00470D24">
      <w:pPr>
        <w:autoSpaceDE w:val="0"/>
        <w:autoSpaceDN w:val="0"/>
        <w:adjustRightInd w:val="0"/>
        <w:spacing w:before="120" w:after="120"/>
        <w:ind w:left="567" w:right="850"/>
        <w:jc w:val="both"/>
        <w:rPr>
          <w:rFonts w:ascii="Palatino Linotype" w:hAnsi="Palatino Linotype" w:cs="Arial"/>
          <w:i/>
        </w:rPr>
      </w:pPr>
    </w:p>
    <w:p w14:paraId="17799B05" w14:textId="77777777" w:rsidR="00470D24" w:rsidRPr="001571EB" w:rsidRDefault="00470D24" w:rsidP="00470D24">
      <w:pPr>
        <w:spacing w:before="240" w:after="240" w:line="360" w:lineRule="auto"/>
        <w:jc w:val="both"/>
        <w:rPr>
          <w:rFonts w:ascii="Palatino Linotype" w:hAnsi="Palatino Linotype" w:cs="Arial"/>
          <w:lang w:eastAsia="es-MX"/>
        </w:rPr>
      </w:pPr>
      <w:r w:rsidRPr="001571EB">
        <w:rPr>
          <w:rFonts w:ascii="Palatino Linotype" w:hAnsi="Palatino Linotype" w:cs="Arial"/>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lang w:eastAsia="es-MX"/>
        </w:rPr>
        <w:t>homoclave</w:t>
      </w:r>
      <w:proofErr w:type="spellEnd"/>
      <w:r w:rsidRPr="001571EB">
        <w:rPr>
          <w:rFonts w:ascii="Palatino Linotype" w:hAnsi="Palatino Linotype" w:cs="Arial"/>
          <w:lang w:eastAsia="es-MX"/>
        </w:rPr>
        <w:t>, la cual es única e irrepetible y determina justamente la identificación de dicha persona para efectos fiscales, por lo éste constituye un dato personal que concierne a una persona física identificada e identificable.</w:t>
      </w:r>
    </w:p>
    <w:p w14:paraId="2F3CBCF9" w14:textId="77777777" w:rsidR="00470D24" w:rsidRPr="001571EB" w:rsidRDefault="00470D24" w:rsidP="00470D24">
      <w:pPr>
        <w:spacing w:before="240" w:after="240" w:line="360" w:lineRule="auto"/>
        <w:jc w:val="both"/>
        <w:rPr>
          <w:rFonts w:ascii="Palatino Linotype" w:eastAsia="Calibri" w:hAnsi="Palatino Linotype" w:cs="Arial"/>
          <w:lang w:eastAsia="es-MX"/>
        </w:rPr>
      </w:pPr>
      <w:r w:rsidRPr="001571EB">
        <w:rPr>
          <w:rFonts w:ascii="Palatino Linotype" w:hAnsi="Palatino Linotype" w:cs="Arial"/>
          <w:lang w:eastAsia="es-MX"/>
        </w:rPr>
        <w:t xml:space="preserve">En cuanto a la </w:t>
      </w:r>
      <w:r w:rsidRPr="001571EB">
        <w:rPr>
          <w:rFonts w:ascii="Palatino Linotype" w:hAnsi="Palatino Linotype" w:cs="Arial"/>
        </w:rPr>
        <w:t xml:space="preserve">Clave Única de Registro de Población (CURP) en virtud de que éste se </w:t>
      </w:r>
      <w:r w:rsidRPr="001571EB">
        <w:rPr>
          <w:rFonts w:ascii="Palatino Linotype" w:eastAsia="Calibri" w:hAnsi="Palatino Linotype" w:cs="Arial"/>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lang w:eastAsia="es-MX"/>
        </w:rPr>
        <w:lastRenderedPageBreak/>
        <w:t>información que permite distinguirlo del resto de los habitantes, se considera que es de carácter confidencial.</w:t>
      </w:r>
    </w:p>
    <w:p w14:paraId="482A721A" w14:textId="77777777" w:rsidR="00470D24" w:rsidRPr="001571EB" w:rsidRDefault="00470D24" w:rsidP="00470D24">
      <w:pPr>
        <w:spacing w:before="240" w:after="240" w:line="360" w:lineRule="auto"/>
        <w:ind w:right="-91"/>
        <w:jc w:val="both"/>
        <w:rPr>
          <w:rFonts w:ascii="Palatino Linotype" w:hAnsi="Palatino Linotype" w:cs="Arial"/>
        </w:rPr>
      </w:pPr>
      <w:r w:rsidRPr="001571EB">
        <w:rPr>
          <w:rFonts w:ascii="Palatino Linotype" w:hAnsi="Palatino Linotype" w:cs="Arial"/>
        </w:rPr>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hAnsi="Palatino Linotype" w:cs="Arial"/>
        </w:rPr>
        <w:t xml:space="preserve">criterio número 18/17 el cual refiere: </w:t>
      </w:r>
    </w:p>
    <w:p w14:paraId="1F681A87" w14:textId="77777777" w:rsidR="00470D24" w:rsidRDefault="00470D24" w:rsidP="00470D24">
      <w:pPr>
        <w:autoSpaceDE w:val="0"/>
        <w:autoSpaceDN w:val="0"/>
        <w:adjustRightInd w:val="0"/>
        <w:spacing w:before="240" w:line="360" w:lineRule="auto"/>
        <w:ind w:left="851" w:right="851"/>
        <w:jc w:val="center"/>
        <w:rPr>
          <w:rFonts w:ascii="Palatino Linotype" w:hAnsi="Palatino Linotype" w:cs="Arial"/>
          <w:b/>
          <w:bCs/>
          <w:i/>
          <w:lang w:eastAsia="es-MX"/>
        </w:rPr>
      </w:pPr>
      <w:r w:rsidRPr="001571EB">
        <w:rPr>
          <w:rFonts w:ascii="Palatino Linotype" w:hAnsi="Palatino Linotype" w:cs="Arial"/>
          <w:bCs/>
          <w:i/>
          <w:lang w:eastAsia="es-MX"/>
        </w:rPr>
        <w:t>“</w:t>
      </w:r>
      <w:r w:rsidRPr="001571EB">
        <w:rPr>
          <w:rFonts w:ascii="Palatino Linotype" w:hAnsi="Palatino Linotype" w:cs="Arial"/>
          <w:b/>
          <w:bCs/>
          <w:i/>
          <w:lang w:eastAsia="es-MX"/>
        </w:rPr>
        <w:t>CLAVE ÚNICA DE REGISTRO DE POBLACIÓN (CURP).</w:t>
      </w:r>
    </w:p>
    <w:p w14:paraId="77CE60AA" w14:textId="77777777" w:rsidR="00470D24" w:rsidRPr="001571EB" w:rsidRDefault="00470D24" w:rsidP="00470D24">
      <w:pPr>
        <w:autoSpaceDE w:val="0"/>
        <w:autoSpaceDN w:val="0"/>
        <w:adjustRightInd w:val="0"/>
        <w:spacing w:before="240"/>
        <w:ind w:left="851" w:right="851"/>
        <w:jc w:val="both"/>
        <w:rPr>
          <w:rFonts w:ascii="Palatino Linotype" w:hAnsi="Palatino Linotype" w:cs="Arial"/>
          <w:b/>
          <w:bCs/>
          <w:i/>
          <w:lang w:eastAsia="es-MX"/>
        </w:rPr>
      </w:pPr>
      <w:r w:rsidRPr="001571EB">
        <w:rPr>
          <w:rFonts w:ascii="Palatino Linotype"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35F5FBB" w14:textId="77777777" w:rsidR="00470D24" w:rsidRPr="001571EB" w:rsidRDefault="00470D24" w:rsidP="00470D24">
      <w:pPr>
        <w:autoSpaceDE w:val="0"/>
        <w:autoSpaceDN w:val="0"/>
        <w:adjustRightInd w:val="0"/>
        <w:spacing w:before="240"/>
        <w:ind w:left="851" w:right="851"/>
        <w:jc w:val="both"/>
        <w:rPr>
          <w:rFonts w:ascii="Palatino Linotype" w:hAnsi="Palatino Linotype" w:cs="Arial"/>
          <w:b/>
          <w:i/>
          <w:lang w:eastAsia="es-MX"/>
        </w:rPr>
      </w:pPr>
      <w:r w:rsidRPr="001571EB">
        <w:rPr>
          <w:rFonts w:ascii="Palatino Linotype" w:hAnsi="Palatino Linotype" w:cs="Arial"/>
          <w:i/>
          <w:lang w:eastAsia="es-MX"/>
        </w:rPr>
        <w:t xml:space="preserve"> </w:t>
      </w:r>
      <w:r w:rsidRPr="001571EB">
        <w:rPr>
          <w:rFonts w:ascii="Palatino Linotype" w:hAnsi="Palatino Linotype" w:cs="Arial"/>
          <w:b/>
          <w:i/>
          <w:lang w:eastAsia="es-MX"/>
        </w:rPr>
        <w:t>Resoluciones:</w:t>
      </w:r>
    </w:p>
    <w:p w14:paraId="3CE85A15" w14:textId="77777777" w:rsidR="00470D24" w:rsidRPr="001571EB" w:rsidRDefault="00470D24" w:rsidP="00470D24">
      <w:pPr>
        <w:autoSpaceDE w:val="0"/>
        <w:autoSpaceDN w:val="0"/>
        <w:adjustRightInd w:val="0"/>
        <w:spacing w:before="240"/>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3995/16. </w:t>
      </w:r>
      <w:r w:rsidRPr="001571EB">
        <w:rPr>
          <w:rFonts w:ascii="Palatino Linotype" w:hAnsi="Palatino Linotype" w:cs="Arial"/>
          <w:i/>
          <w:lang w:eastAsia="es-MX"/>
        </w:rPr>
        <w:t xml:space="preserve">Secretaría de la Defensa Nacional. 1 de febrero de 2017. Por unanimidad. Comisionado Ponente </w:t>
      </w:r>
      <w:proofErr w:type="spellStart"/>
      <w:r w:rsidRPr="001571EB">
        <w:rPr>
          <w:rFonts w:ascii="Palatino Linotype" w:hAnsi="Palatino Linotype" w:cs="Arial"/>
          <w:i/>
          <w:lang w:eastAsia="es-MX"/>
        </w:rPr>
        <w:t>Rosendoevgueni</w:t>
      </w:r>
      <w:proofErr w:type="spellEnd"/>
      <w:r w:rsidRPr="001571EB">
        <w:rPr>
          <w:rFonts w:ascii="Palatino Linotype" w:hAnsi="Palatino Linotype" w:cs="Arial"/>
          <w:i/>
          <w:lang w:eastAsia="es-MX"/>
        </w:rPr>
        <w:t xml:space="preserve"> Monterrey </w:t>
      </w:r>
      <w:proofErr w:type="spellStart"/>
      <w:r w:rsidRPr="001571EB">
        <w:rPr>
          <w:rFonts w:ascii="Palatino Linotype" w:hAnsi="Palatino Linotype" w:cs="Arial"/>
          <w:i/>
          <w:lang w:eastAsia="es-MX"/>
        </w:rPr>
        <w:t>Chepov</w:t>
      </w:r>
      <w:proofErr w:type="spellEnd"/>
      <w:r w:rsidRPr="001571EB">
        <w:rPr>
          <w:rFonts w:ascii="Palatino Linotype" w:hAnsi="Palatino Linotype" w:cs="Arial"/>
          <w:i/>
          <w:lang w:eastAsia="es-MX"/>
        </w:rPr>
        <w:t>.</w:t>
      </w:r>
    </w:p>
    <w:p w14:paraId="38D4A69B" w14:textId="77777777" w:rsidR="00470D24" w:rsidRPr="001571EB" w:rsidRDefault="00470D24" w:rsidP="00470D24">
      <w:pPr>
        <w:autoSpaceDE w:val="0"/>
        <w:autoSpaceDN w:val="0"/>
        <w:adjustRightInd w:val="0"/>
        <w:spacing w:before="240"/>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w:t>
      </w:r>
      <w:r w:rsidRPr="001571EB">
        <w:rPr>
          <w:rFonts w:ascii="Palatino Linotype" w:hAnsi="Palatino Linotype" w:cs="Arial"/>
          <w:b/>
          <w:bCs/>
          <w:i/>
          <w:lang w:eastAsia="es-MX"/>
        </w:rPr>
        <w:t xml:space="preserve">0937/17. </w:t>
      </w:r>
      <w:r w:rsidRPr="001571EB">
        <w:rPr>
          <w:rFonts w:ascii="Palatino Linotype" w:hAnsi="Palatino Linotype" w:cs="Arial"/>
          <w:bCs/>
          <w:i/>
          <w:lang w:eastAsia="es-MX"/>
        </w:rPr>
        <w:t xml:space="preserve">Senado de la República. </w:t>
      </w:r>
      <w:r w:rsidRPr="001571EB">
        <w:rPr>
          <w:rFonts w:ascii="Palatino Linotype" w:hAnsi="Palatino Linotype" w:cs="Arial"/>
          <w:bCs/>
          <w:i/>
          <w:lang w:val="es-ES_tradnl" w:eastAsia="es-MX"/>
        </w:rPr>
        <w:t xml:space="preserve">15 de marzo de 2017. Por unanimidad. Comisionada Ponente Ximena Puente de la Mora. </w:t>
      </w:r>
    </w:p>
    <w:p w14:paraId="51084D04" w14:textId="77777777" w:rsidR="00470D24" w:rsidRPr="00EE0180" w:rsidRDefault="00470D24" w:rsidP="00470D24">
      <w:pPr>
        <w:autoSpaceDE w:val="0"/>
        <w:autoSpaceDN w:val="0"/>
        <w:adjustRightInd w:val="0"/>
        <w:spacing w:before="240"/>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0478/17. </w:t>
      </w:r>
      <w:r w:rsidRPr="001571EB">
        <w:rPr>
          <w:rFonts w:ascii="Palatino Linotype" w:hAnsi="Palatino Linotype" w:cs="Arial"/>
          <w:i/>
          <w:lang w:eastAsia="es-MX"/>
        </w:rPr>
        <w:t>Secretaría de Relaciones Exteriores. 26 de abril de 2017. Por unanimidad. Comisionada Ponente Areli Cano Guadiana.</w:t>
      </w:r>
      <w:r>
        <w:rPr>
          <w:rFonts w:ascii="Palatino Linotype" w:hAnsi="Palatino Linotype" w:cs="Arial"/>
          <w:i/>
          <w:lang w:eastAsia="es-MX"/>
        </w:rPr>
        <w:t xml:space="preserve">” </w:t>
      </w:r>
      <w:r>
        <w:rPr>
          <w:rFonts w:ascii="Palatino Linotype" w:hAnsi="Palatino Linotype" w:cs="Arial"/>
          <w:b/>
          <w:i/>
          <w:lang w:eastAsia="es-MX"/>
        </w:rPr>
        <w:t>[Sic]</w:t>
      </w:r>
    </w:p>
    <w:p w14:paraId="467F81F2" w14:textId="77777777" w:rsidR="00470D24" w:rsidRPr="001571EB" w:rsidRDefault="00470D24" w:rsidP="00470D24">
      <w:pPr>
        <w:spacing w:line="360" w:lineRule="auto"/>
        <w:jc w:val="both"/>
        <w:rPr>
          <w:rFonts w:ascii="Palatino Linotype" w:hAnsi="Palatino Linotype" w:cs="Arial"/>
        </w:rPr>
      </w:pPr>
    </w:p>
    <w:p w14:paraId="24A9058B" w14:textId="77777777" w:rsidR="00470D24" w:rsidRDefault="00470D24" w:rsidP="00470D24">
      <w:pPr>
        <w:spacing w:line="360" w:lineRule="auto"/>
        <w:ind w:right="51"/>
        <w:jc w:val="both"/>
        <w:rPr>
          <w:rFonts w:ascii="Palatino Linotype" w:hAnsi="Palatino Linotype" w:cs="Arial"/>
        </w:rPr>
      </w:pPr>
      <w:r w:rsidRPr="001571EB">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1571EB">
        <w:rPr>
          <w:rFonts w:ascii="Palatino Linotype" w:hAnsi="Palatino Linotype" w:cs="Arial"/>
        </w:rPr>
        <w:lastRenderedPageBreak/>
        <w:t xml:space="preserve">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51C19A8" w14:textId="77777777" w:rsidR="003C0835" w:rsidRPr="003C0835" w:rsidRDefault="003C0835" w:rsidP="00EA16D9">
      <w:pPr>
        <w:autoSpaceDE w:val="0"/>
        <w:autoSpaceDN w:val="0"/>
        <w:adjustRightInd w:val="0"/>
        <w:spacing w:line="360" w:lineRule="auto"/>
        <w:jc w:val="both"/>
        <w:rPr>
          <w:rFonts w:ascii="Palatino Linotype" w:eastAsiaTheme="minorHAnsi" w:hAnsi="Palatino Linotype" w:cs="Arial"/>
          <w:szCs w:val="22"/>
          <w:lang w:val="es-MX" w:eastAsia="en-US"/>
        </w:rPr>
      </w:pPr>
    </w:p>
    <w:p w14:paraId="359FC8D1" w14:textId="494FD9BD" w:rsidR="00BD34CA" w:rsidRDefault="003C0835" w:rsidP="00EA16D9">
      <w:pPr>
        <w:tabs>
          <w:tab w:val="left" w:pos="709"/>
        </w:tabs>
        <w:spacing w:line="360" w:lineRule="auto"/>
        <w:ind w:right="51"/>
        <w:jc w:val="both"/>
        <w:rPr>
          <w:rFonts w:ascii="Palatino Linotype" w:eastAsiaTheme="minorHAnsi" w:hAnsi="Palatino Linotype" w:cs="Arial"/>
          <w:szCs w:val="22"/>
          <w:lang w:val="es-MX" w:eastAsia="en-US"/>
        </w:rPr>
      </w:pPr>
      <w:r w:rsidRPr="003C0835">
        <w:rPr>
          <w:rFonts w:ascii="Palatino Linotype" w:hAnsi="Palatino Linotype" w:cstheme="minorBidi"/>
          <w:lang w:val="es-MX" w:eastAsia="en-US"/>
        </w:rPr>
        <w:t xml:space="preserve">Así, en mérito de lo expuesto en líneas anteriores </w:t>
      </w:r>
      <w:r w:rsidRPr="003C0835">
        <w:rPr>
          <w:rFonts w:ascii="Palatino Linotype" w:hAnsi="Palatino Linotype" w:cstheme="minorBidi"/>
          <w:noProof/>
          <w:lang w:val="es-MX" w:eastAsia="es-MX"/>
        </w:rPr>
        <w:t xml:space="preserve">resultan </w:t>
      </w:r>
      <w:r w:rsidR="00BD34CA">
        <w:rPr>
          <w:rFonts w:ascii="Palatino Linotype" w:hAnsi="Palatino Linotype" w:cstheme="minorBidi"/>
          <w:noProof/>
          <w:lang w:val="es-MX" w:eastAsia="es-MX"/>
        </w:rPr>
        <w:t xml:space="preserve"> parcialmente </w:t>
      </w:r>
      <w:r w:rsidRPr="003C0835">
        <w:rPr>
          <w:rFonts w:ascii="Palatino Linotype" w:hAnsi="Palatino Linotype" w:cstheme="minorBidi"/>
          <w:noProof/>
          <w:lang w:val="es-MX" w:eastAsia="es-MX"/>
        </w:rPr>
        <w:t xml:space="preserve">fundadas las razones o motivos de inconformidad que arguye </w:t>
      </w:r>
      <w:r w:rsidR="00EA16D9">
        <w:rPr>
          <w:rFonts w:ascii="Palatino Linotype" w:hAnsi="Palatino Linotype" w:cstheme="minorBidi"/>
          <w:noProof/>
          <w:lang w:val="es-MX" w:eastAsia="es-MX"/>
        </w:rPr>
        <w:t>El</w:t>
      </w:r>
      <w:r w:rsidRPr="003C0835">
        <w:rPr>
          <w:rFonts w:ascii="Palatino Linotype" w:hAnsi="Palatino Linotype" w:cstheme="minorBidi"/>
          <w:noProof/>
          <w:lang w:val="es-MX" w:eastAsia="es-MX"/>
        </w:rPr>
        <w:t xml:space="preserve"> </w:t>
      </w:r>
      <w:r w:rsidRPr="003C0835">
        <w:rPr>
          <w:rFonts w:ascii="Palatino Linotype" w:hAnsi="Palatino Linotype" w:cstheme="minorBidi"/>
          <w:b/>
          <w:noProof/>
          <w:lang w:val="es-MX" w:eastAsia="es-MX"/>
        </w:rPr>
        <w:t>Recurrente</w:t>
      </w:r>
      <w:r w:rsidRPr="003C0835">
        <w:rPr>
          <w:rFonts w:ascii="Palatino Linotype" w:hAnsi="Palatino Linotype" w:cstheme="minorBidi"/>
          <w:noProof/>
          <w:lang w:val="es-MX" w:eastAsia="es-MX"/>
        </w:rPr>
        <w:t xml:space="preserve">; </w:t>
      </w:r>
      <w:r w:rsidR="00BD34CA" w:rsidRPr="00BD34CA">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434741">
        <w:rPr>
          <w:rFonts w:ascii="Palatino Linotype" w:eastAsiaTheme="minorHAnsi" w:hAnsi="Palatino Linotype" w:cstheme="minorBidi"/>
          <w:b/>
          <w:lang w:val="es-MX" w:eastAsia="en-US"/>
        </w:rPr>
        <w:t>REVOCA</w:t>
      </w:r>
      <w:r w:rsidR="00BD34CA" w:rsidRPr="00BD34CA">
        <w:rPr>
          <w:rFonts w:ascii="Palatino Linotype" w:eastAsiaTheme="minorHAnsi" w:hAnsi="Palatino Linotype" w:cstheme="minorBidi"/>
          <w:b/>
          <w:lang w:val="es-MX" w:eastAsia="en-US"/>
        </w:rPr>
        <w:t xml:space="preserve"> </w:t>
      </w:r>
      <w:r w:rsidR="00BD34CA" w:rsidRPr="00BD34CA">
        <w:rPr>
          <w:rFonts w:ascii="Palatino Linotype" w:eastAsiaTheme="minorHAnsi" w:hAnsi="Palatino Linotype" w:cstheme="minorBidi"/>
          <w:lang w:val="es-MX" w:eastAsia="en-US"/>
        </w:rPr>
        <w:t xml:space="preserve">la respuesta a la solicitud de información </w:t>
      </w:r>
      <w:r w:rsidR="00B6337D" w:rsidRPr="00B6337D">
        <w:rPr>
          <w:rFonts w:ascii="Palatino Linotype" w:eastAsiaTheme="minorHAnsi" w:hAnsi="Palatino Linotype" w:cs="Arial"/>
          <w:b/>
          <w:szCs w:val="22"/>
          <w:lang w:val="es-MX" w:eastAsia="en-US"/>
        </w:rPr>
        <w:t>03194/METEPEC/IP/2022</w:t>
      </w:r>
      <w:r w:rsidR="00BD34CA" w:rsidRPr="00BD34CA">
        <w:rPr>
          <w:rFonts w:ascii="Palatino Linotype" w:eastAsiaTheme="minorHAnsi" w:hAnsi="Palatino Linotype" w:cs="Arial"/>
          <w:b/>
          <w:szCs w:val="22"/>
          <w:lang w:val="es-MX" w:eastAsia="en-US"/>
        </w:rPr>
        <w:t xml:space="preserve">, </w:t>
      </w:r>
      <w:r w:rsidR="00BD34CA" w:rsidRPr="00BD34CA">
        <w:rPr>
          <w:rFonts w:ascii="Palatino Linotype" w:eastAsiaTheme="minorHAnsi" w:hAnsi="Palatino Linotype" w:cs="Arial"/>
          <w:szCs w:val="22"/>
          <w:lang w:val="es-MX" w:eastAsia="en-US"/>
        </w:rPr>
        <w:t xml:space="preserve">que han sido materia del presente fallo. </w:t>
      </w:r>
    </w:p>
    <w:p w14:paraId="08539A09" w14:textId="77777777" w:rsidR="00EA16D9" w:rsidRPr="00BD34CA" w:rsidRDefault="00EA16D9" w:rsidP="00EA16D9">
      <w:pPr>
        <w:tabs>
          <w:tab w:val="left" w:pos="709"/>
        </w:tabs>
        <w:spacing w:line="360" w:lineRule="auto"/>
        <w:ind w:right="51"/>
        <w:jc w:val="both"/>
        <w:rPr>
          <w:rFonts w:ascii="Palatino Linotype" w:eastAsiaTheme="minorHAnsi" w:hAnsi="Palatino Linotype" w:cstheme="minorBidi"/>
          <w:lang w:val="es-MX" w:eastAsia="en-US"/>
        </w:rPr>
      </w:pPr>
    </w:p>
    <w:p w14:paraId="7111D109" w14:textId="2D6496EE" w:rsidR="006A2320" w:rsidRPr="006A2320" w:rsidRDefault="00BD34CA" w:rsidP="00EA16D9">
      <w:pPr>
        <w:spacing w:before="240" w:after="240" w:line="360" w:lineRule="auto"/>
        <w:jc w:val="both"/>
        <w:rPr>
          <w:rFonts w:ascii="Palatino Linotype" w:hAnsi="Palatino Linotype"/>
        </w:rPr>
      </w:pPr>
      <w:r w:rsidRPr="00BD34CA">
        <w:rPr>
          <w:rFonts w:ascii="Palatino Linotype" w:hAnsi="Palatino Linotype"/>
        </w:rPr>
        <w:t xml:space="preserve">Por lo antes expuesto y fundado es de resolverse y, </w:t>
      </w: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5EC122EB" w14:textId="45242D97"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r w:rsidRPr="00BD34CA">
        <w:rPr>
          <w:rFonts w:ascii="Palatino Linotype" w:eastAsiaTheme="minorHAnsi" w:hAnsi="Palatino Linotype" w:cs="Arial"/>
          <w:b/>
          <w:lang w:val="es-ES_tradnl" w:eastAsia="en-US"/>
        </w:rPr>
        <w:t>PRIMERO.</w:t>
      </w:r>
      <w:r w:rsidRPr="00BD34CA">
        <w:rPr>
          <w:rFonts w:ascii="Palatino Linotype" w:eastAsiaTheme="minorHAnsi" w:hAnsi="Palatino Linotype" w:cs="Arial"/>
          <w:lang w:val="es-ES_tradnl" w:eastAsia="en-US"/>
        </w:rPr>
        <w:t xml:space="preserve"> </w:t>
      </w:r>
      <w:r w:rsidRPr="00BD34CA">
        <w:rPr>
          <w:rFonts w:ascii="Palatino Linotype" w:eastAsiaTheme="minorHAnsi" w:hAnsi="Palatino Linotype" w:cs="Arial"/>
          <w:lang w:val="es-MX" w:eastAsia="en-US"/>
        </w:rPr>
        <w:t xml:space="preserve">Se </w:t>
      </w:r>
      <w:r w:rsidR="00434741">
        <w:rPr>
          <w:rFonts w:ascii="Palatino Linotype" w:eastAsiaTheme="minorHAnsi" w:hAnsi="Palatino Linotype" w:cs="Arial"/>
          <w:b/>
          <w:lang w:val="es-MX" w:eastAsia="en-US"/>
        </w:rPr>
        <w:t>REVOCA</w:t>
      </w:r>
      <w:r w:rsidRPr="00BD34CA">
        <w:rPr>
          <w:rFonts w:ascii="Palatino Linotype" w:eastAsiaTheme="minorHAnsi" w:hAnsi="Palatino Linotype" w:cs="Arial"/>
          <w:b/>
          <w:lang w:val="es-MX" w:eastAsia="en-US"/>
        </w:rPr>
        <w:t xml:space="preserve"> </w:t>
      </w:r>
      <w:r w:rsidRPr="00BD34CA">
        <w:rPr>
          <w:rFonts w:ascii="Palatino Linotype" w:eastAsiaTheme="minorHAnsi" w:hAnsi="Palatino Linotype" w:cs="Arial"/>
          <w:lang w:val="es-MX" w:eastAsia="en-US"/>
        </w:rPr>
        <w:t xml:space="preserve">la respuesta entregada por </w:t>
      </w:r>
      <w:r w:rsidRPr="00BD34CA">
        <w:rPr>
          <w:rFonts w:ascii="Palatino Linotype" w:eastAsiaTheme="minorHAnsi" w:hAnsi="Palatino Linotype" w:cs="Arial"/>
          <w:b/>
          <w:lang w:val="es-MX" w:eastAsia="en-US"/>
        </w:rPr>
        <w:t xml:space="preserve">El Sujeto Obligado, </w:t>
      </w:r>
      <w:r w:rsidRPr="00BD34CA">
        <w:rPr>
          <w:rFonts w:ascii="Palatino Linotype" w:eastAsiaTheme="minorHAnsi" w:hAnsi="Palatino Linotype" w:cs="Arial"/>
          <w:lang w:val="es-MX" w:eastAsia="en-US"/>
        </w:rPr>
        <w:t xml:space="preserve">a la solicitud de información número </w:t>
      </w:r>
      <w:r w:rsidR="00B6337D" w:rsidRPr="00B6337D">
        <w:rPr>
          <w:rFonts w:ascii="Palatino Linotype" w:eastAsiaTheme="minorHAnsi" w:hAnsi="Palatino Linotype" w:cs="Arial"/>
          <w:b/>
          <w:szCs w:val="22"/>
          <w:lang w:val="es-MX" w:eastAsia="en-US"/>
        </w:rPr>
        <w:t>03194/METEPEC/IP/2022</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por resultar fundados los motivos de inconformidad que arguye </w:t>
      </w:r>
      <w:r w:rsidR="00E13557">
        <w:rPr>
          <w:rFonts w:ascii="Palatino Linotype" w:eastAsiaTheme="minorHAnsi" w:hAnsi="Palatino Linotype" w:cs="Arial"/>
          <w:b/>
          <w:szCs w:val="22"/>
          <w:lang w:val="es-MX" w:eastAsia="en-US"/>
        </w:rPr>
        <w:t>el</w:t>
      </w:r>
      <w:r w:rsidRPr="00BD34CA">
        <w:rPr>
          <w:rFonts w:ascii="Palatino Linotype" w:eastAsiaTheme="minorHAnsi" w:hAnsi="Palatino Linotype" w:cs="Arial"/>
          <w:b/>
          <w:szCs w:val="22"/>
          <w:lang w:val="es-MX" w:eastAsia="en-US"/>
        </w:rPr>
        <w:t xml:space="preserve"> Recurrente, </w:t>
      </w:r>
      <w:r w:rsidRPr="00BD34CA">
        <w:rPr>
          <w:rFonts w:ascii="Palatino Linotype" w:eastAsiaTheme="minorHAnsi" w:hAnsi="Palatino Linotype" w:cs="Arial"/>
          <w:szCs w:val="22"/>
          <w:lang w:val="es-MX" w:eastAsia="en-US"/>
        </w:rPr>
        <w:t xml:space="preserve">en términos del </w:t>
      </w:r>
      <w:r w:rsidRPr="00BD34CA">
        <w:rPr>
          <w:rFonts w:ascii="Palatino Linotype" w:eastAsiaTheme="minorHAnsi" w:hAnsi="Palatino Linotype" w:cs="Arial"/>
          <w:b/>
          <w:szCs w:val="22"/>
          <w:lang w:val="es-MX" w:eastAsia="en-US"/>
        </w:rPr>
        <w:t xml:space="preserve">Considerando </w:t>
      </w:r>
      <w:r w:rsidR="00434741">
        <w:rPr>
          <w:rFonts w:ascii="Palatino Linotype" w:eastAsiaTheme="minorHAnsi" w:hAnsi="Palatino Linotype" w:cs="Arial"/>
          <w:b/>
          <w:szCs w:val="22"/>
          <w:lang w:val="es-MX" w:eastAsia="en-US"/>
        </w:rPr>
        <w:t>CUARTO</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de la presente resolución. </w:t>
      </w:r>
    </w:p>
    <w:p w14:paraId="3265734E" w14:textId="77777777"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p>
    <w:p w14:paraId="31436310" w14:textId="6856FCAC" w:rsidR="00434741" w:rsidRDefault="00BD34CA" w:rsidP="00434741">
      <w:pPr>
        <w:spacing w:after="240" w:line="360" w:lineRule="auto"/>
        <w:jc w:val="both"/>
        <w:rPr>
          <w:rFonts w:ascii="Palatino Linotype" w:hAnsi="Palatino Linotype"/>
        </w:rPr>
      </w:pPr>
      <w:r w:rsidRPr="00BD34CA">
        <w:rPr>
          <w:rFonts w:ascii="Palatino Linotype" w:eastAsiaTheme="minorHAnsi" w:hAnsi="Palatino Linotype" w:cs="Arial"/>
          <w:b/>
          <w:lang w:val="es-ES_tradnl" w:eastAsia="en-US"/>
        </w:rPr>
        <w:lastRenderedPageBreak/>
        <w:t>SEGUNDO.</w:t>
      </w:r>
      <w:r w:rsidRPr="00BD34CA">
        <w:rPr>
          <w:rFonts w:ascii="Palatino Linotype" w:eastAsiaTheme="minorHAnsi" w:hAnsi="Palatino Linotype" w:cs="Arial"/>
          <w:lang w:val="es-MX" w:eastAsia="en-US"/>
        </w:rPr>
        <w:t xml:space="preserve"> </w:t>
      </w:r>
      <w:r>
        <w:rPr>
          <w:rFonts w:ascii="Palatino Linotype" w:hAnsi="Palatino Linotype" w:cs="Arial"/>
        </w:rPr>
        <w:t xml:space="preserve">Se </w:t>
      </w:r>
      <w:r>
        <w:rPr>
          <w:rFonts w:ascii="Palatino Linotype" w:hAnsi="Palatino Linotype" w:cs="Arial"/>
          <w:b/>
        </w:rPr>
        <w:t xml:space="preserve">ORDENA </w:t>
      </w:r>
      <w:r>
        <w:rPr>
          <w:rFonts w:ascii="Palatino Linotype" w:hAnsi="Palatino Linotype" w:cs="Arial"/>
        </w:rPr>
        <w:t xml:space="preserve">al </w:t>
      </w:r>
      <w:r>
        <w:rPr>
          <w:rFonts w:ascii="Palatino Linotype" w:hAnsi="Palatino Linotype" w:cs="Arial"/>
          <w:b/>
        </w:rPr>
        <w:t xml:space="preserve">Sujeto Obligado </w:t>
      </w:r>
      <w:r>
        <w:rPr>
          <w:rFonts w:ascii="Palatino Linotype" w:hAnsi="Palatino Linotype" w:cs="Arial"/>
        </w:rPr>
        <w:t>haga entrega a</w:t>
      </w:r>
      <w:r w:rsidR="00E13557">
        <w:rPr>
          <w:rFonts w:ascii="Palatino Linotype" w:hAnsi="Palatino Linotype" w:cs="Arial"/>
        </w:rPr>
        <w:t>l</w:t>
      </w:r>
      <w:r>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a través del Sistema de Acceso a la Información Mexiquense (SAIMEX)</w:t>
      </w:r>
      <w:r>
        <w:rPr>
          <w:rFonts w:ascii="Palatino Linotype" w:hAnsi="Palatino Linotype"/>
          <w:lang w:val="es-ES_tradnl"/>
        </w:rPr>
        <w:t xml:space="preserve">, en términos del </w:t>
      </w:r>
      <w:r>
        <w:rPr>
          <w:rFonts w:ascii="Palatino Linotype" w:hAnsi="Palatino Linotype"/>
          <w:bCs/>
          <w:lang w:val="es-ES_tradnl"/>
        </w:rPr>
        <w:t>Considerando</w:t>
      </w:r>
      <w:r>
        <w:rPr>
          <w:rFonts w:ascii="Palatino Linotype" w:hAnsi="Palatino Linotype"/>
          <w:b/>
          <w:lang w:val="es-ES_tradnl"/>
        </w:rPr>
        <w:t xml:space="preserve"> </w:t>
      </w:r>
      <w:r w:rsidR="00434741">
        <w:rPr>
          <w:rFonts w:ascii="Palatino Linotype" w:hAnsi="Palatino Linotype"/>
          <w:b/>
          <w:lang w:val="es-ES_tradnl"/>
        </w:rPr>
        <w:t>CUARTO</w:t>
      </w:r>
      <w:r>
        <w:rPr>
          <w:rFonts w:ascii="Palatino Linotype" w:hAnsi="Palatino Linotype"/>
        </w:rPr>
        <w:t xml:space="preserve"> de la presente resolución</w:t>
      </w:r>
      <w:r>
        <w:rPr>
          <w:rFonts w:ascii="Palatino Linotype" w:hAnsi="Palatino Linotype"/>
          <w:lang w:val="es-ES_tradnl"/>
        </w:rPr>
        <w:t xml:space="preserve">, </w:t>
      </w:r>
      <w:r w:rsidR="00E13557">
        <w:rPr>
          <w:rFonts w:ascii="Palatino Linotype" w:hAnsi="Palatino Linotype"/>
          <w:lang w:val="es-ES_tradnl"/>
        </w:rPr>
        <w:t>en versión pública</w:t>
      </w:r>
      <w:r w:rsidR="00B6337D">
        <w:rPr>
          <w:rFonts w:ascii="Palatino Linotype" w:hAnsi="Palatino Linotype"/>
          <w:lang w:val="es-ES_tradnl"/>
        </w:rPr>
        <w:t xml:space="preserve"> de ser procedente</w:t>
      </w:r>
      <w:r w:rsidR="00E13557">
        <w:rPr>
          <w:rFonts w:ascii="Palatino Linotype" w:hAnsi="Palatino Linotype"/>
          <w:lang w:val="es-ES_tradnl"/>
        </w:rPr>
        <w:t xml:space="preserve">, </w:t>
      </w:r>
      <w:r w:rsidR="00F2688E">
        <w:rPr>
          <w:rFonts w:ascii="Palatino Linotype" w:hAnsi="Palatino Linotype"/>
        </w:rPr>
        <w:t>d</w:t>
      </w:r>
      <w:r w:rsidR="00B6337D" w:rsidRPr="00B6337D">
        <w:rPr>
          <w:rFonts w:ascii="Palatino Linotype" w:hAnsi="Palatino Linotype"/>
        </w:rPr>
        <w:t>el o los documentos en donde conste lo siguiente</w:t>
      </w:r>
      <w:r w:rsidR="00434741" w:rsidRPr="00E152F9">
        <w:rPr>
          <w:rFonts w:ascii="Palatino Linotype" w:hAnsi="Palatino Linotype"/>
        </w:rPr>
        <w:t>:</w:t>
      </w:r>
    </w:p>
    <w:p w14:paraId="746452BF" w14:textId="732805D7" w:rsidR="00B6337D" w:rsidRPr="00031AED" w:rsidRDefault="00B6337D" w:rsidP="001875F7">
      <w:pPr>
        <w:pStyle w:val="Prrafodelista"/>
        <w:numPr>
          <w:ilvl w:val="0"/>
          <w:numId w:val="48"/>
        </w:numPr>
        <w:spacing w:before="120" w:after="120" w:line="360" w:lineRule="auto"/>
        <w:jc w:val="both"/>
        <w:rPr>
          <w:rFonts w:ascii="Palatino Linotype" w:hAnsi="Palatino Linotype"/>
          <w:i/>
          <w:iCs/>
        </w:rPr>
      </w:pPr>
      <w:r w:rsidRPr="00031AED">
        <w:rPr>
          <w:rFonts w:ascii="Palatino Linotype" w:hAnsi="Palatino Linotype"/>
          <w:i/>
          <w:iCs/>
        </w:rPr>
        <w:t xml:space="preserve">Monto del ingreso </w:t>
      </w:r>
      <w:r w:rsidR="00F2688E">
        <w:rPr>
          <w:rFonts w:ascii="Palatino Linotype" w:hAnsi="Palatino Linotype"/>
          <w:i/>
          <w:iCs/>
        </w:rPr>
        <w:t xml:space="preserve">recaudado </w:t>
      </w:r>
      <w:r w:rsidRPr="00031AED">
        <w:rPr>
          <w:rFonts w:ascii="Palatino Linotype" w:hAnsi="Palatino Linotype"/>
          <w:i/>
          <w:iCs/>
        </w:rPr>
        <w:t>en la Tesorería Municipal por concepto del pago de sanciones por faltas administrativas cometidas por personas presentadas a</w:t>
      </w:r>
      <w:r w:rsidR="00F2688E">
        <w:rPr>
          <w:rFonts w:ascii="Palatino Linotype" w:hAnsi="Palatino Linotype"/>
          <w:i/>
          <w:iCs/>
        </w:rPr>
        <w:t xml:space="preserve">nte los oficiales calificadores </w:t>
      </w:r>
      <w:r w:rsidR="00F2688E" w:rsidRPr="00F2688E">
        <w:rPr>
          <w:rFonts w:ascii="Palatino Linotype" w:hAnsi="Palatino Linotype"/>
          <w:i/>
          <w:iCs/>
        </w:rPr>
        <w:t>del periodo comprendido del 01 de enero al 18 de abril de 2022</w:t>
      </w:r>
      <w:r w:rsidR="007F6A7C">
        <w:rPr>
          <w:rFonts w:ascii="Palatino Linotype" w:hAnsi="Palatino Linotype"/>
          <w:i/>
          <w:iCs/>
        </w:rPr>
        <w:t>.</w:t>
      </w:r>
    </w:p>
    <w:p w14:paraId="7C229437" w14:textId="77777777" w:rsidR="00F2688E" w:rsidRDefault="00B6337D" w:rsidP="001875F7">
      <w:pPr>
        <w:pStyle w:val="Prrafodelista"/>
        <w:numPr>
          <w:ilvl w:val="0"/>
          <w:numId w:val="48"/>
        </w:numPr>
        <w:spacing w:before="120" w:after="120" w:line="360" w:lineRule="auto"/>
        <w:ind w:left="714" w:hanging="357"/>
        <w:jc w:val="both"/>
        <w:rPr>
          <w:rFonts w:ascii="Palatino Linotype" w:hAnsi="Palatino Linotype"/>
          <w:i/>
          <w:iCs/>
        </w:rPr>
      </w:pPr>
      <w:r w:rsidRPr="00F2688E">
        <w:rPr>
          <w:rFonts w:ascii="Palatino Linotype" w:hAnsi="Palatino Linotype"/>
          <w:i/>
          <w:iCs/>
        </w:rPr>
        <w:t xml:space="preserve">Cantidad de licencias de funcionamiento </w:t>
      </w:r>
      <w:r w:rsidR="00F2688E" w:rsidRPr="00F2688E">
        <w:rPr>
          <w:rFonts w:ascii="Palatino Linotype" w:hAnsi="Palatino Linotype"/>
          <w:i/>
          <w:iCs/>
        </w:rPr>
        <w:t>expedidas a unidades económicas en el periodo comprendido del 01 de enero al 18 de abril de 2022.</w:t>
      </w:r>
    </w:p>
    <w:p w14:paraId="473EE235" w14:textId="3D31FA41" w:rsidR="00B6337D" w:rsidRPr="00F2688E" w:rsidRDefault="00B6337D" w:rsidP="001875F7">
      <w:pPr>
        <w:pStyle w:val="Prrafodelista"/>
        <w:numPr>
          <w:ilvl w:val="0"/>
          <w:numId w:val="48"/>
        </w:numPr>
        <w:spacing w:before="120" w:after="120" w:line="360" w:lineRule="auto"/>
        <w:ind w:left="714" w:hanging="357"/>
        <w:jc w:val="both"/>
        <w:rPr>
          <w:rFonts w:ascii="Palatino Linotype" w:hAnsi="Palatino Linotype"/>
          <w:i/>
          <w:iCs/>
        </w:rPr>
      </w:pPr>
      <w:r w:rsidRPr="00F2688E">
        <w:rPr>
          <w:rFonts w:ascii="Palatino Linotype" w:hAnsi="Palatino Linotype"/>
          <w:i/>
          <w:iCs/>
        </w:rPr>
        <w:t>Requisitos para tramitar una licencia de funci</w:t>
      </w:r>
      <w:r w:rsidR="00AD5B62" w:rsidRPr="00F2688E">
        <w:rPr>
          <w:rFonts w:ascii="Palatino Linotype" w:hAnsi="Palatino Linotype"/>
          <w:i/>
          <w:iCs/>
        </w:rPr>
        <w:t>onamiento de unidades económicas</w:t>
      </w:r>
      <w:r w:rsidR="00F2688E">
        <w:rPr>
          <w:rFonts w:ascii="Palatino Linotype" w:hAnsi="Palatino Linotype"/>
          <w:i/>
          <w:iCs/>
        </w:rPr>
        <w:t xml:space="preserve"> vigentes</w:t>
      </w:r>
      <w:r w:rsidR="00F2688E" w:rsidRPr="00F2688E">
        <w:t xml:space="preserve"> </w:t>
      </w:r>
      <w:r w:rsidR="00F2688E" w:rsidRPr="00F2688E">
        <w:rPr>
          <w:rFonts w:ascii="Palatino Linotype" w:hAnsi="Palatino Linotype"/>
          <w:i/>
          <w:iCs/>
        </w:rPr>
        <w:t>al 18 de abril de 2022.</w:t>
      </w:r>
    </w:p>
    <w:p w14:paraId="5278E445" w14:textId="1BAAC02B" w:rsidR="00B6337D" w:rsidRPr="00031AED" w:rsidRDefault="00B6337D" w:rsidP="001875F7">
      <w:pPr>
        <w:pStyle w:val="Prrafodelista"/>
        <w:numPr>
          <w:ilvl w:val="0"/>
          <w:numId w:val="48"/>
        </w:numPr>
        <w:spacing w:before="120" w:after="120" w:line="360" w:lineRule="auto"/>
        <w:ind w:left="714" w:hanging="357"/>
        <w:jc w:val="both"/>
        <w:rPr>
          <w:rFonts w:ascii="Palatino Linotype" w:hAnsi="Palatino Linotype"/>
          <w:i/>
          <w:iCs/>
        </w:rPr>
      </w:pPr>
      <w:r w:rsidRPr="00031AED">
        <w:rPr>
          <w:rFonts w:ascii="Palatino Linotype" w:hAnsi="Palatino Linotype"/>
          <w:i/>
          <w:iCs/>
        </w:rPr>
        <w:t xml:space="preserve">Cantidad de licencias de funcionamiento </w:t>
      </w:r>
      <w:r w:rsidR="00F2688E">
        <w:rPr>
          <w:rFonts w:ascii="Palatino Linotype" w:hAnsi="Palatino Linotype"/>
          <w:i/>
          <w:iCs/>
        </w:rPr>
        <w:t xml:space="preserve">expedidas a unidades económicas vigentes </w:t>
      </w:r>
      <w:r w:rsidR="00F2688E" w:rsidRPr="00F2688E">
        <w:rPr>
          <w:rFonts w:ascii="Palatino Linotype" w:hAnsi="Palatino Linotype"/>
          <w:i/>
          <w:iCs/>
        </w:rPr>
        <w:t>al 18 de abril de 2022</w:t>
      </w:r>
      <w:r w:rsidR="00F2688E">
        <w:rPr>
          <w:rFonts w:ascii="Palatino Linotype" w:hAnsi="Palatino Linotype"/>
          <w:i/>
          <w:iCs/>
        </w:rPr>
        <w:t>.</w:t>
      </w:r>
    </w:p>
    <w:p w14:paraId="02D9FCD1" w14:textId="20416C3E" w:rsidR="00B6337D" w:rsidRPr="00031AED" w:rsidRDefault="00B6337D" w:rsidP="001875F7">
      <w:pPr>
        <w:pStyle w:val="Prrafodelista"/>
        <w:numPr>
          <w:ilvl w:val="0"/>
          <w:numId w:val="48"/>
        </w:numPr>
        <w:spacing w:before="120" w:after="120" w:line="360" w:lineRule="auto"/>
        <w:ind w:left="714" w:hanging="357"/>
        <w:jc w:val="both"/>
        <w:rPr>
          <w:rFonts w:ascii="Palatino Linotype" w:hAnsi="Palatino Linotype"/>
          <w:i/>
          <w:iCs/>
        </w:rPr>
      </w:pPr>
      <w:r w:rsidRPr="00031AED">
        <w:rPr>
          <w:rFonts w:ascii="Palatino Linotype" w:hAnsi="Palatino Linotype"/>
          <w:i/>
          <w:iCs/>
        </w:rPr>
        <w:t>Cantidad de unidades económicas que se encuentran registradas en el Registro M</w:t>
      </w:r>
      <w:r w:rsidR="00F2688E">
        <w:rPr>
          <w:rFonts w:ascii="Palatino Linotype" w:hAnsi="Palatino Linotype"/>
          <w:i/>
          <w:iCs/>
        </w:rPr>
        <w:t>unicipal de Unidades Económicas</w:t>
      </w:r>
      <w:r w:rsidR="00F2688E" w:rsidRPr="00F2688E">
        <w:rPr>
          <w:rFonts w:ascii="Palatino Linotype" w:hAnsi="Palatino Linotype"/>
          <w:i/>
          <w:iCs/>
        </w:rPr>
        <w:t xml:space="preserve"> al 18 de abril de 2022</w:t>
      </w:r>
      <w:r w:rsidR="00F2688E">
        <w:rPr>
          <w:rFonts w:ascii="Palatino Linotype" w:hAnsi="Palatino Linotype"/>
          <w:i/>
          <w:iCs/>
        </w:rPr>
        <w:t>.</w:t>
      </w:r>
    </w:p>
    <w:p w14:paraId="7D939BA4" w14:textId="3B97B0C8" w:rsidR="00434741" w:rsidRPr="00B6337D" w:rsidRDefault="00B6337D" w:rsidP="001875F7">
      <w:pPr>
        <w:pStyle w:val="Prrafodelista"/>
        <w:numPr>
          <w:ilvl w:val="0"/>
          <w:numId w:val="48"/>
        </w:numPr>
        <w:spacing w:before="120" w:after="120" w:line="360" w:lineRule="auto"/>
        <w:jc w:val="both"/>
        <w:rPr>
          <w:rFonts w:ascii="Palatino Linotype" w:hAnsi="Palatino Linotype"/>
          <w:i/>
          <w:iCs/>
        </w:rPr>
      </w:pPr>
      <w:r w:rsidRPr="00031AED">
        <w:rPr>
          <w:rFonts w:ascii="Palatino Linotype" w:hAnsi="Palatino Linotype"/>
          <w:i/>
          <w:iCs/>
        </w:rPr>
        <w:t>Actas de la instalación y de sesiones de las Comisiones Edilicias Mun</w:t>
      </w:r>
      <w:r w:rsidR="00F2688E">
        <w:rPr>
          <w:rFonts w:ascii="Palatino Linotype" w:hAnsi="Palatino Linotype"/>
          <w:i/>
          <w:iCs/>
        </w:rPr>
        <w:t>icipales que se hayan realizado en el</w:t>
      </w:r>
      <w:r w:rsidR="00F2688E" w:rsidRPr="00F2688E">
        <w:t xml:space="preserve"> </w:t>
      </w:r>
      <w:r w:rsidR="00F2688E" w:rsidRPr="00F2688E">
        <w:rPr>
          <w:rFonts w:ascii="Palatino Linotype" w:hAnsi="Palatino Linotype"/>
          <w:i/>
          <w:iCs/>
        </w:rPr>
        <w:t>periodo comprendido del 01 de enero al 18 de abril de 2022</w:t>
      </w:r>
      <w:r w:rsidR="00F2688E">
        <w:rPr>
          <w:rFonts w:ascii="Palatino Linotype" w:hAnsi="Palatino Linotype"/>
          <w:i/>
          <w:iCs/>
        </w:rPr>
        <w:t>.</w:t>
      </w:r>
    </w:p>
    <w:p w14:paraId="2A3911BF" w14:textId="42716FAF" w:rsidR="00BD34CA" w:rsidRPr="00F1409B" w:rsidRDefault="00E13557" w:rsidP="00F1409B">
      <w:pPr>
        <w:autoSpaceDE w:val="0"/>
        <w:autoSpaceDN w:val="0"/>
        <w:adjustRightInd w:val="0"/>
        <w:spacing w:before="240" w:after="160" w:line="360" w:lineRule="auto"/>
        <w:ind w:right="4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A6A96F0" w14:textId="4F014A9C" w:rsidR="00BD34CA" w:rsidRP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r w:rsidRPr="00BD34CA">
        <w:rPr>
          <w:rFonts w:ascii="Palatino Linotype" w:eastAsiaTheme="minorHAnsi" w:hAnsi="Palatino Linotype" w:cs="Arial"/>
          <w:b/>
          <w:lang w:val="es-MX" w:eastAsia="en-US"/>
        </w:rPr>
        <w:lastRenderedPageBreak/>
        <w:t>TERCERO. Notifíquese</w:t>
      </w:r>
      <w:r w:rsidRPr="00BD34CA">
        <w:rPr>
          <w:rFonts w:ascii="Palatino Linotype" w:eastAsiaTheme="minorHAnsi" w:hAnsi="Palatino Linotype" w:cs="Arial"/>
          <w:b/>
          <w:i/>
          <w:lang w:val="es-MX" w:eastAsia="en-US"/>
        </w:rPr>
        <w:t xml:space="preserve"> </w:t>
      </w:r>
      <w:r w:rsidRPr="00BD34CA">
        <w:rPr>
          <w:rFonts w:ascii="Palatino Linotype" w:eastAsiaTheme="minorHAnsi" w:hAnsi="Palatino Linotype" w:cs="Arial"/>
          <w:lang w:val="es-MX" w:eastAsia="en-US"/>
        </w:rPr>
        <w:t>al Titular de la Unidad de Transparencia del</w:t>
      </w:r>
      <w:r w:rsidRPr="00BD34CA">
        <w:rPr>
          <w:rFonts w:ascii="Palatino Linotype" w:eastAsiaTheme="minorHAnsi" w:hAnsi="Palatino Linotype" w:cs="Arial"/>
          <w:b/>
          <w:lang w:val="es-MX" w:eastAsia="en-US"/>
        </w:rPr>
        <w:t xml:space="preserve"> </w:t>
      </w:r>
      <w:r w:rsidR="00CB298F" w:rsidRPr="00CB298F">
        <w:rPr>
          <w:rFonts w:ascii="Palatino Linotype" w:eastAsiaTheme="minorHAnsi" w:hAnsi="Palatino Linotype" w:cs="Arial"/>
          <w:b/>
          <w:lang w:val="es-MX" w:eastAsia="en-US"/>
        </w:rPr>
        <w:t>Sujeto Obligado</w:t>
      </w:r>
      <w:r w:rsidRPr="00BD34CA">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62D6B21" w14:textId="77777777" w:rsidR="00BD34CA" w:rsidRP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p>
    <w:p w14:paraId="677380B7" w14:textId="77777777" w:rsidR="00BD34CA" w:rsidRPr="00BD34CA" w:rsidRDefault="00BD34CA" w:rsidP="00BD34CA">
      <w:pPr>
        <w:autoSpaceDE w:val="0"/>
        <w:autoSpaceDN w:val="0"/>
        <w:adjustRightInd w:val="0"/>
        <w:spacing w:line="360" w:lineRule="auto"/>
        <w:jc w:val="both"/>
        <w:rPr>
          <w:rFonts w:ascii="Palatino Linotype" w:hAnsi="Palatino Linotype" w:cs="Arial"/>
        </w:rPr>
      </w:pPr>
      <w:r w:rsidRPr="00BD34CA">
        <w:rPr>
          <w:rFonts w:ascii="Palatino Linotype" w:hAnsi="Palatino Linotype" w:cs="Arial"/>
          <w:b/>
          <w:lang w:val="es-MX"/>
        </w:rPr>
        <w:t xml:space="preserve">CUARTO. </w:t>
      </w:r>
      <w:r w:rsidRPr="00BD34CA">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51DE15E" w14:textId="77777777" w:rsidR="00BD34CA" w:rsidRPr="00BD34CA" w:rsidRDefault="00BD34CA" w:rsidP="00BD34CA">
      <w:pPr>
        <w:autoSpaceDE w:val="0"/>
        <w:autoSpaceDN w:val="0"/>
        <w:adjustRightInd w:val="0"/>
        <w:spacing w:line="360" w:lineRule="auto"/>
        <w:jc w:val="both"/>
        <w:rPr>
          <w:rFonts w:ascii="Palatino Linotype" w:hAnsi="Palatino Linotype" w:cs="Arial"/>
        </w:rPr>
      </w:pPr>
    </w:p>
    <w:p w14:paraId="765BBAC5" w14:textId="77777777" w:rsidR="00BD34CA" w:rsidRPr="00BD34CA" w:rsidRDefault="00BD34CA" w:rsidP="00BD34CA">
      <w:pPr>
        <w:spacing w:line="360" w:lineRule="auto"/>
        <w:jc w:val="both"/>
        <w:rPr>
          <w:rFonts w:ascii="Palatino Linotype" w:hAnsi="Palatino Linotype" w:cs="Arial"/>
          <w:b/>
          <w:lang w:val="es-MX"/>
        </w:rPr>
      </w:pPr>
    </w:p>
    <w:p w14:paraId="38191FC9" w14:textId="5C159147" w:rsidR="00BD34CA" w:rsidRDefault="00BD34CA" w:rsidP="00BD34CA">
      <w:pPr>
        <w:spacing w:line="360" w:lineRule="auto"/>
        <w:jc w:val="both"/>
        <w:rPr>
          <w:rFonts w:ascii="Palatino Linotype" w:hAnsi="Palatino Linotype"/>
          <w:color w:val="222222"/>
          <w:shd w:val="clear" w:color="auto" w:fill="FFFFFF"/>
          <w:lang w:val="es-MX"/>
        </w:rPr>
      </w:pPr>
      <w:r w:rsidRPr="00BD34CA">
        <w:rPr>
          <w:rFonts w:ascii="Palatino Linotype" w:hAnsi="Palatino Linotype" w:cs="Arial"/>
          <w:b/>
          <w:lang w:val="es-MX"/>
        </w:rPr>
        <w:t xml:space="preserve">QUINTO. </w:t>
      </w:r>
      <w:r w:rsidR="00CB298F" w:rsidRPr="00BD34CA">
        <w:rPr>
          <w:rFonts w:ascii="Palatino Linotype" w:hAnsi="Palatino Linotype" w:cs="Arial"/>
          <w:b/>
          <w:lang w:val="es-MX"/>
        </w:rPr>
        <w:t>Notifíquese</w:t>
      </w:r>
      <w:r w:rsidRPr="00BD34CA">
        <w:rPr>
          <w:rFonts w:ascii="Palatino Linotype" w:hAnsi="Palatino Linotype" w:cs="Arial"/>
          <w:b/>
          <w:lang w:val="es-MX"/>
        </w:rPr>
        <w:t xml:space="preserve"> </w:t>
      </w:r>
      <w:r w:rsidRPr="00BD34CA">
        <w:rPr>
          <w:rFonts w:ascii="Palatino Linotype" w:hAnsi="Palatino Linotype" w:cs="Arial"/>
          <w:lang w:val="es-MX"/>
        </w:rPr>
        <w:t>la presente resolución a</w:t>
      </w:r>
      <w:r w:rsidR="00CB298F">
        <w:rPr>
          <w:rFonts w:ascii="Palatino Linotype" w:hAnsi="Palatino Linotype" w:cs="Arial"/>
          <w:lang w:val="es-MX"/>
        </w:rPr>
        <w:t xml:space="preserve"> </w:t>
      </w:r>
      <w:r w:rsidR="00CB298F" w:rsidRPr="00CB298F">
        <w:rPr>
          <w:rFonts w:ascii="Palatino Linotype" w:hAnsi="Palatino Linotype" w:cs="Arial"/>
          <w:b/>
          <w:bCs/>
          <w:lang w:val="es-MX"/>
        </w:rPr>
        <w:t>La</w:t>
      </w:r>
      <w:r w:rsidRPr="00BD34CA">
        <w:rPr>
          <w:rFonts w:ascii="Palatino Linotype" w:hAnsi="Palatino Linotype" w:cs="Arial"/>
          <w:b/>
          <w:bCs/>
          <w:lang w:val="es-MX"/>
        </w:rPr>
        <w:t xml:space="preserve"> </w:t>
      </w:r>
      <w:r w:rsidR="00CB298F" w:rsidRPr="00BD34CA">
        <w:rPr>
          <w:rFonts w:ascii="Palatino Linotype" w:hAnsi="Palatino Linotype" w:cs="Arial"/>
          <w:b/>
          <w:lang w:val="es-MX"/>
        </w:rPr>
        <w:t>Recurrente</w:t>
      </w:r>
      <w:r w:rsidRPr="00BD34CA">
        <w:rPr>
          <w:rFonts w:ascii="Palatino Linotype" w:hAnsi="Palatino Linotype" w:cs="Arial"/>
          <w:lang w:val="es-MX"/>
        </w:rPr>
        <w:t xml:space="preserve"> vía </w:t>
      </w:r>
      <w:r w:rsidRPr="00BD34CA">
        <w:rPr>
          <w:rFonts w:ascii="Palatino Linotype" w:eastAsiaTheme="minorHAnsi" w:hAnsi="Palatino Linotype" w:cs="Arial"/>
          <w:lang w:val="es-MX" w:eastAsia="en-US"/>
        </w:rPr>
        <w:t>Sistema de Acceso a la Información Mexiquense (</w:t>
      </w:r>
      <w:r w:rsidRPr="00BD34CA">
        <w:rPr>
          <w:rFonts w:ascii="Palatino Linotype" w:eastAsiaTheme="minorHAnsi" w:hAnsi="Palatino Linotype" w:cs="Arial"/>
          <w:b/>
          <w:lang w:val="es-MX" w:eastAsia="en-US"/>
        </w:rPr>
        <w:t>SAIMEX)</w:t>
      </w:r>
      <w:r w:rsidRPr="00BD34CA">
        <w:rPr>
          <w:rFonts w:ascii="Palatino Linotype" w:eastAsiaTheme="minorHAnsi" w:hAnsi="Palatino Linotype" w:cs="Arial"/>
          <w:lang w:val="es-MX" w:eastAsia="en-US"/>
        </w:rPr>
        <w:t xml:space="preserve"> </w:t>
      </w:r>
      <w:r w:rsidRPr="00BD34CA">
        <w:rPr>
          <w:rFonts w:ascii="Palatino Linotype" w:hAnsi="Palatino Linotype" w:cs="Arial"/>
          <w:lang w:val="es-MX"/>
        </w:rPr>
        <w:t xml:space="preserve">y hágase de su conocimiento que, </w:t>
      </w:r>
      <w:r w:rsidRPr="00BD34CA">
        <w:rPr>
          <w:rFonts w:ascii="Palatino Linotype" w:hAnsi="Palatino Linotype"/>
          <w:color w:val="222222"/>
          <w:shd w:val="clear" w:color="auto" w:fill="FFFFFF"/>
          <w:lang w:val="es-MX"/>
        </w:rPr>
        <w:t>de conformidad con lo establecido en el artículo 196, de la Ley de Transparencia y Acceso a la Información Pública del Estado de México y Municipios, podrá promover el Juicio de Amparo en los términos de las leyes aplicables.</w:t>
      </w:r>
    </w:p>
    <w:p w14:paraId="3404B296" w14:textId="77777777" w:rsidR="003C0CD8" w:rsidRPr="00BD34CA" w:rsidRDefault="003C0CD8" w:rsidP="00BD34CA">
      <w:pPr>
        <w:spacing w:line="360" w:lineRule="auto"/>
        <w:jc w:val="both"/>
        <w:rPr>
          <w:rFonts w:ascii="Palatino Linotype" w:hAnsi="Palatino Linotype"/>
          <w:color w:val="222222"/>
          <w:shd w:val="clear" w:color="auto" w:fill="FFFFFF"/>
          <w:lang w:val="es-MX"/>
        </w:rPr>
      </w:pPr>
    </w:p>
    <w:p w14:paraId="291F5581" w14:textId="77777777" w:rsidR="0083604D" w:rsidRDefault="0083604D" w:rsidP="0083604D">
      <w:pPr>
        <w:spacing w:line="360" w:lineRule="auto"/>
        <w:jc w:val="both"/>
        <w:rPr>
          <w:rFonts w:ascii="Palatino Linotype" w:eastAsiaTheme="minorHAnsi" w:hAnsi="Palatino Linotype" w:cstheme="minorBidi"/>
          <w:lang w:val="es-MX" w:eastAsia="en-US"/>
        </w:rPr>
      </w:pPr>
    </w:p>
    <w:p w14:paraId="2CA59F8D" w14:textId="62760234" w:rsidR="009F74E7" w:rsidRPr="00925243" w:rsidRDefault="008B5C47" w:rsidP="0083604D">
      <w:pPr>
        <w:spacing w:line="360" w:lineRule="auto"/>
        <w:jc w:val="both"/>
        <w:rPr>
          <w:rFonts w:ascii="Palatino Linotype" w:hAnsi="Palatino Linotype" w:cs="Arial"/>
        </w:rPr>
      </w:pPr>
      <w:r w:rsidRPr="00DB5147">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w:t>
      </w:r>
      <w:r w:rsidRPr="00DB5147">
        <w:rPr>
          <w:rFonts w:ascii="Palatino Linotype" w:hAnsi="Palatino Linotype"/>
        </w:rPr>
        <w:lastRenderedPageBreak/>
        <w:t xml:space="preserve">POR LOS COMISIONADOS JOSÉ MARTÍNEZ VILCHIS, MARÍA DEL ROSARIO MEJÍA AYALA, SHARON CRISTINA MORALES MARTÍNEZ, LUIS GUSTAVO PARRA NORIEGA </w:t>
      </w:r>
      <w:r w:rsidR="00C94A1D">
        <w:rPr>
          <w:rFonts w:ascii="Palatino Linotype" w:hAnsi="Palatino Linotype"/>
        </w:rPr>
        <w:t xml:space="preserve"> </w:t>
      </w:r>
      <w:r w:rsidRPr="00DB5147">
        <w:rPr>
          <w:rFonts w:ascii="Palatino Linotype" w:hAnsi="Palatino Linotype"/>
        </w:rPr>
        <w:t xml:space="preserve">Y GUADALUPE RAMÍREZ PEÑA; EN LA </w:t>
      </w:r>
      <w:r w:rsidR="00D466A4">
        <w:rPr>
          <w:rFonts w:ascii="Palatino Linotype" w:hAnsi="Palatino Linotype"/>
        </w:rPr>
        <w:t>TRIGÉSI</w:t>
      </w:r>
      <w:r w:rsidR="00E135E2">
        <w:rPr>
          <w:rFonts w:ascii="Palatino Linotype" w:hAnsi="Palatino Linotype"/>
        </w:rPr>
        <w:t>MA</w:t>
      </w:r>
      <w:r w:rsidRPr="00DB5147">
        <w:rPr>
          <w:rFonts w:ascii="Palatino Linotype" w:hAnsi="Palatino Linotype"/>
        </w:rPr>
        <w:t xml:space="preserve"> SESIÓN ORDINARIA CELEBRADA EL </w:t>
      </w:r>
      <w:r w:rsidR="00757C88">
        <w:rPr>
          <w:rFonts w:ascii="Palatino Linotype" w:hAnsi="Palatino Linotype"/>
        </w:rPr>
        <w:t>VEINTICUATRO</w:t>
      </w:r>
      <w:r w:rsidR="00E135E2">
        <w:rPr>
          <w:rFonts w:ascii="Palatino Linotype" w:hAnsi="Palatino Linotype"/>
        </w:rPr>
        <w:t xml:space="preserve"> DE AGOSTO</w:t>
      </w:r>
      <w:r w:rsidR="009D5B53">
        <w:rPr>
          <w:rFonts w:ascii="Palatino Linotype" w:hAnsi="Palatino Linotype"/>
        </w:rPr>
        <w:t xml:space="preserve"> DE DOS MIL VEINTIDÓS</w:t>
      </w:r>
      <w:r w:rsidRPr="00DB5147">
        <w:rPr>
          <w:rFonts w:ascii="Palatino Linotype" w:hAnsi="Palatino Linotype"/>
        </w:rPr>
        <w:t>, ANTE EL SECRETARIO TÉCNICO DEL PLENO, ALEXIS TAPIA RAMÍREZ</w:t>
      </w:r>
      <w:r w:rsidR="00A839B2">
        <w:rPr>
          <w:rFonts w:ascii="Palatino Linotype" w:hAnsi="Palatino Linotype" w:cs="Arial"/>
        </w:rPr>
        <w:t>------------</w:t>
      </w:r>
      <w:r w:rsidR="00F1409B">
        <w:rPr>
          <w:rFonts w:ascii="Palatino Linotype" w:hAnsi="Palatino Linotype" w:cs="Arial"/>
        </w:rPr>
        <w:t>----------------------------------------------------------------------------------------------------------------------------------------------------------------------------------------------------------------------------------------------------------------------------------------------------------------------------------------------------------------------------------------------------------------------------------------------------------------------------------------------------------------------------------------------------------------------------------------------------------------------------------------------------------------------------</w:t>
      </w:r>
      <w:r w:rsidR="006375BF">
        <w:rPr>
          <w:rFonts w:ascii="Palatino Linotype" w:hAnsi="Palatino Linotype" w:cs="Arial"/>
        </w:rPr>
        <w:t>-----------------------------------------------------------------------------------------------------------------------------------------------------------------------------------------------------------------------------------------------------------------------------------------------------------------------------------------------------------------------------------------------------------------------------------------------------------------------------------------------------------------------------------------------------------------------------------------------------------------------------------------------------------------------------------------------------------------------------------------------------------------------------------------------------------------------------------------------------------------------------</w:t>
      </w:r>
      <w:bookmarkStart w:id="5" w:name="_GoBack"/>
      <w:bookmarkEnd w:id="5"/>
      <w:r w:rsidR="006375BF">
        <w:rPr>
          <w:rFonts w:ascii="Palatino Linotype" w:hAnsi="Palatino Linotype" w:cs="Arial"/>
        </w:rPr>
        <w:t>---------------------------------------------------------------------------------------------------------------------------------------------------------------------------------------------------------------------------------------------------------------------------------------------------------------------------------------------------------------------------------------------------------------------------------------------------------------------------------------------------------------------</w:t>
      </w:r>
      <w:r w:rsidR="00757C88">
        <w:rPr>
          <w:rFonts w:ascii="Palatino Linotype" w:hAnsi="Palatino Linotype" w:cs="Arial"/>
        </w:rPr>
        <w:t>----------</w:t>
      </w:r>
    </w:p>
    <w:p w14:paraId="1C94BE23" w14:textId="77777777"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BE435" w14:textId="77777777" w:rsidR="00BC62AD" w:rsidRDefault="00BC62AD" w:rsidP="00D34057">
      <w:r>
        <w:separator/>
      </w:r>
    </w:p>
  </w:endnote>
  <w:endnote w:type="continuationSeparator" w:id="0">
    <w:p w14:paraId="24A0DFBE" w14:textId="77777777" w:rsidR="00BC62AD" w:rsidRDefault="00BC62AD"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527A" w14:textId="25654D03"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7277">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D7277">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55C8" w14:textId="7FBB5343"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3D7277">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3D7277">
      <w:rPr>
        <w:rFonts w:ascii="Palatino Linotype" w:hAnsi="Palatino Linotype"/>
        <w:b/>
        <w:bCs/>
        <w:noProof/>
        <w:sz w:val="20"/>
      </w:rPr>
      <w:t>32</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83C32" w14:textId="77777777" w:rsidR="00BC62AD" w:rsidRDefault="00BC62AD" w:rsidP="00D34057">
      <w:r>
        <w:separator/>
      </w:r>
    </w:p>
  </w:footnote>
  <w:footnote w:type="continuationSeparator" w:id="0">
    <w:p w14:paraId="081959CE" w14:textId="77777777" w:rsidR="00BC62AD" w:rsidRDefault="00BC62AD"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2D19" w14:textId="147B7F01" w:rsidR="00A01730" w:rsidRDefault="00BC62AD">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4C4B7DE5" w:rsidR="00A01730" w:rsidRDefault="0049360F" w:rsidP="00564DB2">
          <w:pPr>
            <w:spacing w:after="120" w:line="256" w:lineRule="auto"/>
            <w:ind w:left="-486" w:right="214" w:firstLine="1585"/>
            <w:jc w:val="right"/>
            <w:rPr>
              <w:rFonts w:ascii="Palatino Linotype" w:hAnsi="Palatino Linotype" w:cs="Arial"/>
              <w:szCs w:val="20"/>
            </w:rPr>
          </w:pPr>
          <w:r w:rsidRPr="0049360F">
            <w:rPr>
              <w:rFonts w:ascii="Palatino Linotype" w:hAnsi="Palatino Linotype" w:cs="Arial"/>
              <w:bCs/>
              <w:lang w:eastAsia="es-MX"/>
            </w:rPr>
            <w:t>07675/INFOEM/IP/RR/2022</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01BF361F" w:rsidR="00A01730" w:rsidRDefault="0049360F" w:rsidP="00E31501">
          <w:pPr>
            <w:spacing w:line="256" w:lineRule="auto"/>
            <w:ind w:left="-72" w:right="214" w:firstLine="284"/>
            <w:jc w:val="right"/>
            <w:rPr>
              <w:rFonts w:ascii="Palatino Linotype" w:hAnsi="Palatino Linotype" w:cs="Arial"/>
              <w:szCs w:val="20"/>
            </w:rPr>
          </w:pPr>
          <w:r w:rsidRPr="0049360F">
            <w:rPr>
              <w:rFonts w:ascii="Palatino Linotype" w:hAnsi="Palatino Linotype" w:cs="Arial"/>
              <w:szCs w:val="20"/>
            </w:rPr>
            <w:t>Ayuntamiento de Metepec</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09CA3827" w:rsidR="00A01730" w:rsidRPr="00B4142F" w:rsidRDefault="0049360F" w:rsidP="004558D1">
          <w:pPr>
            <w:spacing w:after="120" w:line="256" w:lineRule="auto"/>
            <w:ind w:left="-486" w:right="214" w:firstLine="1408"/>
            <w:jc w:val="right"/>
            <w:rPr>
              <w:rFonts w:ascii="Palatino Linotype" w:hAnsi="Palatino Linotype" w:cs="Arial"/>
              <w:szCs w:val="20"/>
            </w:rPr>
          </w:pPr>
          <w:r w:rsidRPr="0049360F">
            <w:rPr>
              <w:rFonts w:ascii="Palatino Linotype" w:hAnsi="Palatino Linotype" w:cs="Arial"/>
              <w:bCs/>
              <w:lang w:eastAsia="es-MX"/>
            </w:rPr>
            <w:t>07675/INFOEM/IP/RR/2022</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36D9C270" w:rsidR="00A01730" w:rsidRPr="00F06FED" w:rsidRDefault="009E1A55"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A01730" w14:paraId="3016720F" w14:textId="77777777" w:rsidTr="00564DB2">
      <w:trPr>
        <w:trHeight w:val="242"/>
      </w:trPr>
      <w:tc>
        <w:tcPr>
          <w:tcW w:w="5529" w:type="dxa"/>
          <w:hideMark/>
        </w:tcPr>
        <w:p w14:paraId="5A512D3D" w14:textId="77777777" w:rsidR="00A01730" w:rsidRDefault="00A01730"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72FA1E09" w:rsidR="00A01730" w:rsidRDefault="0049360F" w:rsidP="001A7EEE">
          <w:pPr>
            <w:spacing w:line="256" w:lineRule="auto"/>
            <w:ind w:left="-495" w:right="214" w:firstLine="843"/>
            <w:jc w:val="right"/>
            <w:rPr>
              <w:rFonts w:ascii="Palatino Linotype" w:hAnsi="Palatino Linotype" w:cs="Arial"/>
              <w:szCs w:val="20"/>
            </w:rPr>
          </w:pPr>
          <w:r w:rsidRPr="0049360F">
            <w:rPr>
              <w:rFonts w:ascii="Palatino Linotype" w:hAnsi="Palatino Linotype" w:cs="Arial"/>
              <w:szCs w:val="20"/>
            </w:rPr>
            <w:t>Ayuntamiento de Metepec</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BC62AD">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B86759"/>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B3518E"/>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D204BA"/>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C63F78"/>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3" w15:restartNumberingAfterBreak="0">
    <w:nsid w:val="3888780E"/>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577291F"/>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100ADC"/>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3"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4"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8"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7FD26A93"/>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7"/>
  </w:num>
  <w:num w:numId="2">
    <w:abstractNumId w:val="11"/>
  </w:num>
  <w:num w:numId="3">
    <w:abstractNumId w:val="30"/>
  </w:num>
  <w:num w:numId="4">
    <w:abstractNumId w:val="29"/>
  </w:num>
  <w:num w:numId="5">
    <w:abstractNumId w:val="42"/>
  </w:num>
  <w:num w:numId="6">
    <w:abstractNumId w:val="33"/>
  </w:num>
  <w:num w:numId="7">
    <w:abstractNumId w:val="24"/>
  </w:num>
  <w:num w:numId="8">
    <w:abstractNumId w:val="35"/>
  </w:num>
  <w:num w:numId="9">
    <w:abstractNumId w:val="22"/>
  </w:num>
  <w:num w:numId="10">
    <w:abstractNumId w:val="21"/>
  </w:num>
  <w:num w:numId="11">
    <w:abstractNumId w:val="0"/>
  </w:num>
  <w:num w:numId="12">
    <w:abstractNumId w:val="19"/>
  </w:num>
  <w:num w:numId="13">
    <w:abstractNumId w:val="14"/>
  </w:num>
  <w:num w:numId="14">
    <w:abstractNumId w:val="18"/>
  </w:num>
  <w:num w:numId="15">
    <w:abstractNumId w:val="41"/>
  </w:num>
  <w:num w:numId="16">
    <w:abstractNumId w:val="34"/>
  </w:num>
  <w:num w:numId="17">
    <w:abstractNumId w:val="5"/>
  </w:num>
  <w:num w:numId="18">
    <w:abstractNumId w:val="16"/>
  </w:num>
  <w:num w:numId="19">
    <w:abstractNumId w:val="9"/>
  </w:num>
  <w:num w:numId="20">
    <w:abstractNumId w:val="25"/>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5"/>
  </w:num>
  <w:num w:numId="24">
    <w:abstractNumId w:val="1"/>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0"/>
  </w:num>
  <w:num w:numId="28">
    <w:abstractNumId w:val="26"/>
  </w:num>
  <w:num w:numId="29">
    <w:abstractNumId w:val="17"/>
  </w:num>
  <w:num w:numId="30">
    <w:abstractNumId w:val="36"/>
  </w:num>
  <w:num w:numId="31">
    <w:abstractNumId w:val="38"/>
  </w:num>
  <w:num w:numId="32">
    <w:abstractNumId w:val="3"/>
  </w:num>
  <w:num w:numId="33">
    <w:abstractNumId w:val="28"/>
  </w:num>
  <w:num w:numId="34">
    <w:abstractNumId w:val="39"/>
  </w:num>
  <w:num w:numId="35">
    <w:abstractNumId w:val="40"/>
  </w:num>
  <w:num w:numId="36">
    <w:abstractNumId w:val="6"/>
  </w:num>
  <w:num w:numId="37">
    <w:abstractNumId w:val="8"/>
  </w:num>
  <w:num w:numId="38">
    <w:abstractNumId w:val="13"/>
  </w:num>
  <w:num w:numId="39">
    <w:abstractNumId w:val="12"/>
  </w:num>
  <w:num w:numId="40">
    <w:abstractNumId w:val="43"/>
  </w:num>
  <w:num w:numId="41">
    <w:abstractNumId w:val="20"/>
  </w:num>
  <w:num w:numId="42">
    <w:abstractNumId w:val="7"/>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44"/>
  </w:num>
  <w:num w:numId="47">
    <w:abstractNumId w:val="23"/>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6EB1"/>
    <w:rsid w:val="00031AED"/>
    <w:rsid w:val="00041A17"/>
    <w:rsid w:val="0005033A"/>
    <w:rsid w:val="00050780"/>
    <w:rsid w:val="00055AB9"/>
    <w:rsid w:val="000A5A65"/>
    <w:rsid w:val="000A74DB"/>
    <w:rsid w:val="000B1582"/>
    <w:rsid w:val="000C7DA1"/>
    <w:rsid w:val="000D006F"/>
    <w:rsid w:val="000D072C"/>
    <w:rsid w:val="000D4CB2"/>
    <w:rsid w:val="000D6FBA"/>
    <w:rsid w:val="000D7B51"/>
    <w:rsid w:val="000E269D"/>
    <w:rsid w:val="000E7C06"/>
    <w:rsid w:val="000F43D7"/>
    <w:rsid w:val="000F46D8"/>
    <w:rsid w:val="000F5CBE"/>
    <w:rsid w:val="000F6CA6"/>
    <w:rsid w:val="00117E65"/>
    <w:rsid w:val="00120096"/>
    <w:rsid w:val="0012374B"/>
    <w:rsid w:val="00123D11"/>
    <w:rsid w:val="00123ECE"/>
    <w:rsid w:val="00134DCA"/>
    <w:rsid w:val="00135F23"/>
    <w:rsid w:val="0014089B"/>
    <w:rsid w:val="00140DDF"/>
    <w:rsid w:val="00141116"/>
    <w:rsid w:val="00143708"/>
    <w:rsid w:val="00143843"/>
    <w:rsid w:val="00145E75"/>
    <w:rsid w:val="0014624E"/>
    <w:rsid w:val="00146720"/>
    <w:rsid w:val="001479E7"/>
    <w:rsid w:val="00152971"/>
    <w:rsid w:val="001545AD"/>
    <w:rsid w:val="00154698"/>
    <w:rsid w:val="00154E6B"/>
    <w:rsid w:val="00155F3D"/>
    <w:rsid w:val="00157778"/>
    <w:rsid w:val="001615BA"/>
    <w:rsid w:val="001629FB"/>
    <w:rsid w:val="001679F1"/>
    <w:rsid w:val="001705F4"/>
    <w:rsid w:val="00174621"/>
    <w:rsid w:val="001770BD"/>
    <w:rsid w:val="00181245"/>
    <w:rsid w:val="001875F7"/>
    <w:rsid w:val="00194E28"/>
    <w:rsid w:val="001A7973"/>
    <w:rsid w:val="001A7EEE"/>
    <w:rsid w:val="001B0A88"/>
    <w:rsid w:val="001B36E9"/>
    <w:rsid w:val="001B7694"/>
    <w:rsid w:val="001C0E3D"/>
    <w:rsid w:val="001C2774"/>
    <w:rsid w:val="001D40B1"/>
    <w:rsid w:val="001D6B18"/>
    <w:rsid w:val="001E111C"/>
    <w:rsid w:val="001E7A89"/>
    <w:rsid w:val="001F4610"/>
    <w:rsid w:val="00215429"/>
    <w:rsid w:val="00226E72"/>
    <w:rsid w:val="00226EEE"/>
    <w:rsid w:val="002321C1"/>
    <w:rsid w:val="002349F8"/>
    <w:rsid w:val="00234D61"/>
    <w:rsid w:val="002379F2"/>
    <w:rsid w:val="00243902"/>
    <w:rsid w:val="002468A3"/>
    <w:rsid w:val="0025394E"/>
    <w:rsid w:val="00256703"/>
    <w:rsid w:val="0025795D"/>
    <w:rsid w:val="00265D78"/>
    <w:rsid w:val="00267078"/>
    <w:rsid w:val="00272D2A"/>
    <w:rsid w:val="0028416A"/>
    <w:rsid w:val="00286BF3"/>
    <w:rsid w:val="00293EFD"/>
    <w:rsid w:val="00293F6E"/>
    <w:rsid w:val="00295210"/>
    <w:rsid w:val="0029757B"/>
    <w:rsid w:val="002A6EFB"/>
    <w:rsid w:val="002A7856"/>
    <w:rsid w:val="002B1BB7"/>
    <w:rsid w:val="002B2253"/>
    <w:rsid w:val="002B2B95"/>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6441"/>
    <w:rsid w:val="003073EB"/>
    <w:rsid w:val="00311AA7"/>
    <w:rsid w:val="0032099F"/>
    <w:rsid w:val="00322DC7"/>
    <w:rsid w:val="003242C7"/>
    <w:rsid w:val="003313D8"/>
    <w:rsid w:val="00344F6E"/>
    <w:rsid w:val="00346625"/>
    <w:rsid w:val="00351D4E"/>
    <w:rsid w:val="00354DDE"/>
    <w:rsid w:val="003559E1"/>
    <w:rsid w:val="00360BBA"/>
    <w:rsid w:val="00362E23"/>
    <w:rsid w:val="003708E1"/>
    <w:rsid w:val="003756A5"/>
    <w:rsid w:val="00382978"/>
    <w:rsid w:val="00384CF0"/>
    <w:rsid w:val="00386844"/>
    <w:rsid w:val="003A1A28"/>
    <w:rsid w:val="003A5AE4"/>
    <w:rsid w:val="003B38F1"/>
    <w:rsid w:val="003B3DD4"/>
    <w:rsid w:val="003B6A9D"/>
    <w:rsid w:val="003C0538"/>
    <w:rsid w:val="003C0835"/>
    <w:rsid w:val="003C0CD8"/>
    <w:rsid w:val="003C49D6"/>
    <w:rsid w:val="003C79DD"/>
    <w:rsid w:val="003D002D"/>
    <w:rsid w:val="003D0754"/>
    <w:rsid w:val="003D7277"/>
    <w:rsid w:val="003F3CC8"/>
    <w:rsid w:val="003F66C2"/>
    <w:rsid w:val="003F7CE8"/>
    <w:rsid w:val="004041CE"/>
    <w:rsid w:val="0040778F"/>
    <w:rsid w:val="0041558F"/>
    <w:rsid w:val="00416CE7"/>
    <w:rsid w:val="004204BB"/>
    <w:rsid w:val="0042060D"/>
    <w:rsid w:val="00420D92"/>
    <w:rsid w:val="004213E0"/>
    <w:rsid w:val="004302BF"/>
    <w:rsid w:val="004308D7"/>
    <w:rsid w:val="00431689"/>
    <w:rsid w:val="00434741"/>
    <w:rsid w:val="00437943"/>
    <w:rsid w:val="0044308F"/>
    <w:rsid w:val="0044703B"/>
    <w:rsid w:val="00450A1F"/>
    <w:rsid w:val="0045589A"/>
    <w:rsid w:val="004558D1"/>
    <w:rsid w:val="00457A19"/>
    <w:rsid w:val="00460121"/>
    <w:rsid w:val="00461FBD"/>
    <w:rsid w:val="00467861"/>
    <w:rsid w:val="00470D24"/>
    <w:rsid w:val="0047331F"/>
    <w:rsid w:val="00473A6A"/>
    <w:rsid w:val="00475335"/>
    <w:rsid w:val="00477598"/>
    <w:rsid w:val="004805B8"/>
    <w:rsid w:val="00480FEA"/>
    <w:rsid w:val="004838E7"/>
    <w:rsid w:val="00487E32"/>
    <w:rsid w:val="00490AAB"/>
    <w:rsid w:val="0049360F"/>
    <w:rsid w:val="00494245"/>
    <w:rsid w:val="004A2087"/>
    <w:rsid w:val="004A2EA2"/>
    <w:rsid w:val="004A451E"/>
    <w:rsid w:val="004B2123"/>
    <w:rsid w:val="004B3A7C"/>
    <w:rsid w:val="004B6B78"/>
    <w:rsid w:val="004C191E"/>
    <w:rsid w:val="004D1CAA"/>
    <w:rsid w:val="004D498F"/>
    <w:rsid w:val="004D55BA"/>
    <w:rsid w:val="004E3064"/>
    <w:rsid w:val="004E7A5E"/>
    <w:rsid w:val="004F3954"/>
    <w:rsid w:val="004F643D"/>
    <w:rsid w:val="004F77EA"/>
    <w:rsid w:val="005035F7"/>
    <w:rsid w:val="0050427F"/>
    <w:rsid w:val="005107A4"/>
    <w:rsid w:val="005151C4"/>
    <w:rsid w:val="00517C9B"/>
    <w:rsid w:val="005219ED"/>
    <w:rsid w:val="00525C26"/>
    <w:rsid w:val="00526EC4"/>
    <w:rsid w:val="0053007F"/>
    <w:rsid w:val="005414FD"/>
    <w:rsid w:val="00542301"/>
    <w:rsid w:val="00544ADD"/>
    <w:rsid w:val="0055620B"/>
    <w:rsid w:val="00557B3B"/>
    <w:rsid w:val="00564DB2"/>
    <w:rsid w:val="005733EB"/>
    <w:rsid w:val="00573B4F"/>
    <w:rsid w:val="00574BF4"/>
    <w:rsid w:val="0058088A"/>
    <w:rsid w:val="00585BF1"/>
    <w:rsid w:val="005874D3"/>
    <w:rsid w:val="00594FEE"/>
    <w:rsid w:val="00597C13"/>
    <w:rsid w:val="005A14A4"/>
    <w:rsid w:val="005A4CCF"/>
    <w:rsid w:val="005B0651"/>
    <w:rsid w:val="005B201D"/>
    <w:rsid w:val="005B4D50"/>
    <w:rsid w:val="005B5976"/>
    <w:rsid w:val="005B7C1F"/>
    <w:rsid w:val="005C3D98"/>
    <w:rsid w:val="005E1C1B"/>
    <w:rsid w:val="005E50F1"/>
    <w:rsid w:val="005F3ED2"/>
    <w:rsid w:val="005F4AAF"/>
    <w:rsid w:val="006002BC"/>
    <w:rsid w:val="006004A4"/>
    <w:rsid w:val="00601482"/>
    <w:rsid w:val="00601557"/>
    <w:rsid w:val="006054E7"/>
    <w:rsid w:val="00606E07"/>
    <w:rsid w:val="00620A1D"/>
    <w:rsid w:val="00622C8D"/>
    <w:rsid w:val="0062301B"/>
    <w:rsid w:val="00627C77"/>
    <w:rsid w:val="006301EC"/>
    <w:rsid w:val="00630FBE"/>
    <w:rsid w:val="00633AB9"/>
    <w:rsid w:val="006375BF"/>
    <w:rsid w:val="00640746"/>
    <w:rsid w:val="00642DC5"/>
    <w:rsid w:val="00646183"/>
    <w:rsid w:val="00646421"/>
    <w:rsid w:val="00646635"/>
    <w:rsid w:val="00654C45"/>
    <w:rsid w:val="00656B46"/>
    <w:rsid w:val="00657723"/>
    <w:rsid w:val="00662B52"/>
    <w:rsid w:val="00666716"/>
    <w:rsid w:val="00666B5B"/>
    <w:rsid w:val="00674D6A"/>
    <w:rsid w:val="0067790D"/>
    <w:rsid w:val="006802F0"/>
    <w:rsid w:val="00687016"/>
    <w:rsid w:val="00690103"/>
    <w:rsid w:val="006922E4"/>
    <w:rsid w:val="006A2320"/>
    <w:rsid w:val="006A64E6"/>
    <w:rsid w:val="006A66EE"/>
    <w:rsid w:val="006C2453"/>
    <w:rsid w:val="006D364F"/>
    <w:rsid w:val="006D566D"/>
    <w:rsid w:val="006E1F36"/>
    <w:rsid w:val="006E6DD9"/>
    <w:rsid w:val="006F612C"/>
    <w:rsid w:val="007017C7"/>
    <w:rsid w:val="0070231E"/>
    <w:rsid w:val="00703D66"/>
    <w:rsid w:val="00706E31"/>
    <w:rsid w:val="00722BF3"/>
    <w:rsid w:val="00725027"/>
    <w:rsid w:val="007250E5"/>
    <w:rsid w:val="00725339"/>
    <w:rsid w:val="00727C75"/>
    <w:rsid w:val="0073045F"/>
    <w:rsid w:val="00730A9F"/>
    <w:rsid w:val="007340F0"/>
    <w:rsid w:val="0073583C"/>
    <w:rsid w:val="007358E0"/>
    <w:rsid w:val="00742B13"/>
    <w:rsid w:val="0074301E"/>
    <w:rsid w:val="00746E27"/>
    <w:rsid w:val="007476C5"/>
    <w:rsid w:val="0075184E"/>
    <w:rsid w:val="00751C25"/>
    <w:rsid w:val="0075245B"/>
    <w:rsid w:val="00755A9B"/>
    <w:rsid w:val="00757C88"/>
    <w:rsid w:val="00757DBC"/>
    <w:rsid w:val="00760FCC"/>
    <w:rsid w:val="0076305A"/>
    <w:rsid w:val="0076744D"/>
    <w:rsid w:val="0076759C"/>
    <w:rsid w:val="0078004C"/>
    <w:rsid w:val="00783FD2"/>
    <w:rsid w:val="00793527"/>
    <w:rsid w:val="007B1512"/>
    <w:rsid w:val="007C0315"/>
    <w:rsid w:val="007C07B0"/>
    <w:rsid w:val="007C4C2E"/>
    <w:rsid w:val="007D0A9E"/>
    <w:rsid w:val="007D7483"/>
    <w:rsid w:val="007E1970"/>
    <w:rsid w:val="007E47E1"/>
    <w:rsid w:val="007F2A5E"/>
    <w:rsid w:val="007F6A7C"/>
    <w:rsid w:val="008016AF"/>
    <w:rsid w:val="00803FC8"/>
    <w:rsid w:val="008058B1"/>
    <w:rsid w:val="00805DE1"/>
    <w:rsid w:val="00806396"/>
    <w:rsid w:val="00806692"/>
    <w:rsid w:val="008067B5"/>
    <w:rsid w:val="0080743D"/>
    <w:rsid w:val="00812043"/>
    <w:rsid w:val="00814736"/>
    <w:rsid w:val="0081573E"/>
    <w:rsid w:val="00816560"/>
    <w:rsid w:val="008171C2"/>
    <w:rsid w:val="00817C1C"/>
    <w:rsid w:val="00820DE3"/>
    <w:rsid w:val="00827428"/>
    <w:rsid w:val="00827C8B"/>
    <w:rsid w:val="0083125A"/>
    <w:rsid w:val="0083604D"/>
    <w:rsid w:val="00841CCD"/>
    <w:rsid w:val="0084347C"/>
    <w:rsid w:val="00847043"/>
    <w:rsid w:val="00855E9B"/>
    <w:rsid w:val="00871E5C"/>
    <w:rsid w:val="008740B7"/>
    <w:rsid w:val="008746A2"/>
    <w:rsid w:val="0087697C"/>
    <w:rsid w:val="00877448"/>
    <w:rsid w:val="00881E67"/>
    <w:rsid w:val="00882B8D"/>
    <w:rsid w:val="008852D8"/>
    <w:rsid w:val="00893D32"/>
    <w:rsid w:val="008942E1"/>
    <w:rsid w:val="008A38A0"/>
    <w:rsid w:val="008A42CC"/>
    <w:rsid w:val="008B1CE5"/>
    <w:rsid w:val="008B22AA"/>
    <w:rsid w:val="008B2EF8"/>
    <w:rsid w:val="008B5C47"/>
    <w:rsid w:val="008B7EC0"/>
    <w:rsid w:val="008C25D5"/>
    <w:rsid w:val="008C5F81"/>
    <w:rsid w:val="008D6D96"/>
    <w:rsid w:val="008D7CE1"/>
    <w:rsid w:val="008D7CEE"/>
    <w:rsid w:val="008E40A8"/>
    <w:rsid w:val="008E5AAE"/>
    <w:rsid w:val="008E5D5B"/>
    <w:rsid w:val="008F2868"/>
    <w:rsid w:val="008F4C6F"/>
    <w:rsid w:val="00902C13"/>
    <w:rsid w:val="009050DE"/>
    <w:rsid w:val="00905A21"/>
    <w:rsid w:val="009118E2"/>
    <w:rsid w:val="009126FE"/>
    <w:rsid w:val="00912A21"/>
    <w:rsid w:val="0091562A"/>
    <w:rsid w:val="00916EEF"/>
    <w:rsid w:val="00917CAA"/>
    <w:rsid w:val="009232E7"/>
    <w:rsid w:val="00925243"/>
    <w:rsid w:val="00926051"/>
    <w:rsid w:val="00936C99"/>
    <w:rsid w:val="00940A28"/>
    <w:rsid w:val="00943148"/>
    <w:rsid w:val="009440E4"/>
    <w:rsid w:val="00945712"/>
    <w:rsid w:val="00950110"/>
    <w:rsid w:val="00951B8F"/>
    <w:rsid w:val="0095372B"/>
    <w:rsid w:val="0096145B"/>
    <w:rsid w:val="00970051"/>
    <w:rsid w:val="00970E3E"/>
    <w:rsid w:val="00972636"/>
    <w:rsid w:val="00993420"/>
    <w:rsid w:val="00993A72"/>
    <w:rsid w:val="00995F88"/>
    <w:rsid w:val="00996492"/>
    <w:rsid w:val="009A00AB"/>
    <w:rsid w:val="009A02FC"/>
    <w:rsid w:val="009A3EDE"/>
    <w:rsid w:val="009A58C5"/>
    <w:rsid w:val="009B26E5"/>
    <w:rsid w:val="009C304A"/>
    <w:rsid w:val="009C30F5"/>
    <w:rsid w:val="009C3C39"/>
    <w:rsid w:val="009C717B"/>
    <w:rsid w:val="009D1003"/>
    <w:rsid w:val="009D5B53"/>
    <w:rsid w:val="009D62BD"/>
    <w:rsid w:val="009D7D7B"/>
    <w:rsid w:val="009E1A55"/>
    <w:rsid w:val="009E1DDC"/>
    <w:rsid w:val="009E205A"/>
    <w:rsid w:val="009E626E"/>
    <w:rsid w:val="009E6C93"/>
    <w:rsid w:val="009E71C1"/>
    <w:rsid w:val="009F3DA1"/>
    <w:rsid w:val="009F42F3"/>
    <w:rsid w:val="009F46A9"/>
    <w:rsid w:val="009F47DC"/>
    <w:rsid w:val="009F74E7"/>
    <w:rsid w:val="00A008B6"/>
    <w:rsid w:val="00A01730"/>
    <w:rsid w:val="00A01C97"/>
    <w:rsid w:val="00A10127"/>
    <w:rsid w:val="00A12134"/>
    <w:rsid w:val="00A14C42"/>
    <w:rsid w:val="00A1656C"/>
    <w:rsid w:val="00A1684F"/>
    <w:rsid w:val="00A16B84"/>
    <w:rsid w:val="00A17DC9"/>
    <w:rsid w:val="00A27E33"/>
    <w:rsid w:val="00A35B6F"/>
    <w:rsid w:val="00A37185"/>
    <w:rsid w:val="00A41464"/>
    <w:rsid w:val="00A45E2B"/>
    <w:rsid w:val="00A47E40"/>
    <w:rsid w:val="00A51186"/>
    <w:rsid w:val="00A54243"/>
    <w:rsid w:val="00A56017"/>
    <w:rsid w:val="00A56F06"/>
    <w:rsid w:val="00A573AC"/>
    <w:rsid w:val="00A57715"/>
    <w:rsid w:val="00A57ED7"/>
    <w:rsid w:val="00A618C1"/>
    <w:rsid w:val="00A7407A"/>
    <w:rsid w:val="00A74EA8"/>
    <w:rsid w:val="00A752BF"/>
    <w:rsid w:val="00A76C35"/>
    <w:rsid w:val="00A839B2"/>
    <w:rsid w:val="00A8418B"/>
    <w:rsid w:val="00A864B6"/>
    <w:rsid w:val="00A87485"/>
    <w:rsid w:val="00A93170"/>
    <w:rsid w:val="00AA0796"/>
    <w:rsid w:val="00AA2D91"/>
    <w:rsid w:val="00AA4F99"/>
    <w:rsid w:val="00AB0C41"/>
    <w:rsid w:val="00AB0F1D"/>
    <w:rsid w:val="00AB1B2E"/>
    <w:rsid w:val="00AB2C4C"/>
    <w:rsid w:val="00AB76DF"/>
    <w:rsid w:val="00AC1823"/>
    <w:rsid w:val="00AC3F77"/>
    <w:rsid w:val="00AC4340"/>
    <w:rsid w:val="00AD5B62"/>
    <w:rsid w:val="00AE478F"/>
    <w:rsid w:val="00AE5F6D"/>
    <w:rsid w:val="00AE61AD"/>
    <w:rsid w:val="00AF1B80"/>
    <w:rsid w:val="00B0487B"/>
    <w:rsid w:val="00B12105"/>
    <w:rsid w:val="00B16194"/>
    <w:rsid w:val="00B177DF"/>
    <w:rsid w:val="00B21190"/>
    <w:rsid w:val="00B235E2"/>
    <w:rsid w:val="00B26EBF"/>
    <w:rsid w:val="00B32668"/>
    <w:rsid w:val="00B35972"/>
    <w:rsid w:val="00B42E2D"/>
    <w:rsid w:val="00B453B2"/>
    <w:rsid w:val="00B468C8"/>
    <w:rsid w:val="00B47551"/>
    <w:rsid w:val="00B506F8"/>
    <w:rsid w:val="00B52B1E"/>
    <w:rsid w:val="00B52E68"/>
    <w:rsid w:val="00B53702"/>
    <w:rsid w:val="00B57B32"/>
    <w:rsid w:val="00B61E37"/>
    <w:rsid w:val="00B6337D"/>
    <w:rsid w:val="00B66344"/>
    <w:rsid w:val="00B72016"/>
    <w:rsid w:val="00B727AB"/>
    <w:rsid w:val="00B73FCF"/>
    <w:rsid w:val="00B75105"/>
    <w:rsid w:val="00B75B02"/>
    <w:rsid w:val="00B9730E"/>
    <w:rsid w:val="00BA06F7"/>
    <w:rsid w:val="00BB0886"/>
    <w:rsid w:val="00BB0BEB"/>
    <w:rsid w:val="00BB1A6E"/>
    <w:rsid w:val="00BB2EF0"/>
    <w:rsid w:val="00BB4154"/>
    <w:rsid w:val="00BB7570"/>
    <w:rsid w:val="00BB778C"/>
    <w:rsid w:val="00BB796F"/>
    <w:rsid w:val="00BC62AD"/>
    <w:rsid w:val="00BC73E3"/>
    <w:rsid w:val="00BD1BFE"/>
    <w:rsid w:val="00BD28E3"/>
    <w:rsid w:val="00BD34CA"/>
    <w:rsid w:val="00BD6588"/>
    <w:rsid w:val="00BE3B14"/>
    <w:rsid w:val="00BF1FC0"/>
    <w:rsid w:val="00BF390A"/>
    <w:rsid w:val="00C00060"/>
    <w:rsid w:val="00C0064B"/>
    <w:rsid w:val="00C06C9A"/>
    <w:rsid w:val="00C07D77"/>
    <w:rsid w:val="00C156B4"/>
    <w:rsid w:val="00C20508"/>
    <w:rsid w:val="00C21C00"/>
    <w:rsid w:val="00C26FE0"/>
    <w:rsid w:val="00C31533"/>
    <w:rsid w:val="00C31842"/>
    <w:rsid w:val="00C34327"/>
    <w:rsid w:val="00C42C80"/>
    <w:rsid w:val="00C44875"/>
    <w:rsid w:val="00C526F3"/>
    <w:rsid w:val="00C531E1"/>
    <w:rsid w:val="00C557D7"/>
    <w:rsid w:val="00C57CB5"/>
    <w:rsid w:val="00C61705"/>
    <w:rsid w:val="00C6304A"/>
    <w:rsid w:val="00C6788F"/>
    <w:rsid w:val="00C77741"/>
    <w:rsid w:val="00C812E3"/>
    <w:rsid w:val="00C81700"/>
    <w:rsid w:val="00C82261"/>
    <w:rsid w:val="00C848BA"/>
    <w:rsid w:val="00C87CEB"/>
    <w:rsid w:val="00C90E54"/>
    <w:rsid w:val="00C92FAC"/>
    <w:rsid w:val="00C93295"/>
    <w:rsid w:val="00C94A1D"/>
    <w:rsid w:val="00C94B65"/>
    <w:rsid w:val="00CA261F"/>
    <w:rsid w:val="00CA2B5E"/>
    <w:rsid w:val="00CA3D77"/>
    <w:rsid w:val="00CB1908"/>
    <w:rsid w:val="00CB298F"/>
    <w:rsid w:val="00CB4146"/>
    <w:rsid w:val="00CB5255"/>
    <w:rsid w:val="00CB7DC4"/>
    <w:rsid w:val="00CC279E"/>
    <w:rsid w:val="00CC416B"/>
    <w:rsid w:val="00CC5DBE"/>
    <w:rsid w:val="00CC6F3C"/>
    <w:rsid w:val="00CD0423"/>
    <w:rsid w:val="00CD51C8"/>
    <w:rsid w:val="00CE02B6"/>
    <w:rsid w:val="00CE4919"/>
    <w:rsid w:val="00CE7764"/>
    <w:rsid w:val="00CF70A0"/>
    <w:rsid w:val="00CF74A7"/>
    <w:rsid w:val="00D0788F"/>
    <w:rsid w:val="00D10308"/>
    <w:rsid w:val="00D106BD"/>
    <w:rsid w:val="00D10F02"/>
    <w:rsid w:val="00D20C1D"/>
    <w:rsid w:val="00D21C12"/>
    <w:rsid w:val="00D25134"/>
    <w:rsid w:val="00D27E5B"/>
    <w:rsid w:val="00D34057"/>
    <w:rsid w:val="00D35EAB"/>
    <w:rsid w:val="00D36682"/>
    <w:rsid w:val="00D42D55"/>
    <w:rsid w:val="00D466A4"/>
    <w:rsid w:val="00D52625"/>
    <w:rsid w:val="00D536F1"/>
    <w:rsid w:val="00D53DDC"/>
    <w:rsid w:val="00D623CE"/>
    <w:rsid w:val="00D64AF1"/>
    <w:rsid w:val="00D67A0D"/>
    <w:rsid w:val="00D67BEC"/>
    <w:rsid w:val="00D74B7C"/>
    <w:rsid w:val="00D800F2"/>
    <w:rsid w:val="00D93767"/>
    <w:rsid w:val="00D95458"/>
    <w:rsid w:val="00D96EF8"/>
    <w:rsid w:val="00DA323F"/>
    <w:rsid w:val="00DA43AD"/>
    <w:rsid w:val="00DC1136"/>
    <w:rsid w:val="00DC357D"/>
    <w:rsid w:val="00DD13E2"/>
    <w:rsid w:val="00DD3491"/>
    <w:rsid w:val="00DD6010"/>
    <w:rsid w:val="00DD67F5"/>
    <w:rsid w:val="00DD7C88"/>
    <w:rsid w:val="00DE2F9E"/>
    <w:rsid w:val="00E00254"/>
    <w:rsid w:val="00E017CE"/>
    <w:rsid w:val="00E01F39"/>
    <w:rsid w:val="00E024BE"/>
    <w:rsid w:val="00E02FE0"/>
    <w:rsid w:val="00E106B3"/>
    <w:rsid w:val="00E127E6"/>
    <w:rsid w:val="00E131A8"/>
    <w:rsid w:val="00E13557"/>
    <w:rsid w:val="00E135E2"/>
    <w:rsid w:val="00E1740E"/>
    <w:rsid w:val="00E213F7"/>
    <w:rsid w:val="00E2233C"/>
    <w:rsid w:val="00E2616D"/>
    <w:rsid w:val="00E26437"/>
    <w:rsid w:val="00E27B09"/>
    <w:rsid w:val="00E31501"/>
    <w:rsid w:val="00E3262B"/>
    <w:rsid w:val="00E354EB"/>
    <w:rsid w:val="00E36016"/>
    <w:rsid w:val="00E37429"/>
    <w:rsid w:val="00E41748"/>
    <w:rsid w:val="00E43997"/>
    <w:rsid w:val="00E44452"/>
    <w:rsid w:val="00E45777"/>
    <w:rsid w:val="00E53540"/>
    <w:rsid w:val="00E53C06"/>
    <w:rsid w:val="00E746BE"/>
    <w:rsid w:val="00E82F11"/>
    <w:rsid w:val="00E91313"/>
    <w:rsid w:val="00E91EE4"/>
    <w:rsid w:val="00E9595C"/>
    <w:rsid w:val="00EA16D9"/>
    <w:rsid w:val="00EA218A"/>
    <w:rsid w:val="00EA3297"/>
    <w:rsid w:val="00EA3EE4"/>
    <w:rsid w:val="00EA53C7"/>
    <w:rsid w:val="00EA6CEA"/>
    <w:rsid w:val="00EB1226"/>
    <w:rsid w:val="00EB231C"/>
    <w:rsid w:val="00EB5A3A"/>
    <w:rsid w:val="00EC2430"/>
    <w:rsid w:val="00EC61B4"/>
    <w:rsid w:val="00ED224E"/>
    <w:rsid w:val="00ED27AB"/>
    <w:rsid w:val="00ED33BB"/>
    <w:rsid w:val="00ED5CA3"/>
    <w:rsid w:val="00ED660D"/>
    <w:rsid w:val="00ED6C96"/>
    <w:rsid w:val="00ED72E2"/>
    <w:rsid w:val="00EE5D6D"/>
    <w:rsid w:val="00EF3C28"/>
    <w:rsid w:val="00EF6999"/>
    <w:rsid w:val="00EF738F"/>
    <w:rsid w:val="00EF75F7"/>
    <w:rsid w:val="00F0085D"/>
    <w:rsid w:val="00F01DC1"/>
    <w:rsid w:val="00F06299"/>
    <w:rsid w:val="00F11AD3"/>
    <w:rsid w:val="00F1409B"/>
    <w:rsid w:val="00F16EF8"/>
    <w:rsid w:val="00F20A68"/>
    <w:rsid w:val="00F21527"/>
    <w:rsid w:val="00F23C36"/>
    <w:rsid w:val="00F2688E"/>
    <w:rsid w:val="00F3632E"/>
    <w:rsid w:val="00F36BA8"/>
    <w:rsid w:val="00F41928"/>
    <w:rsid w:val="00F457C8"/>
    <w:rsid w:val="00F46230"/>
    <w:rsid w:val="00F50059"/>
    <w:rsid w:val="00F57746"/>
    <w:rsid w:val="00F60ECB"/>
    <w:rsid w:val="00F735E8"/>
    <w:rsid w:val="00F75B1E"/>
    <w:rsid w:val="00F87C1F"/>
    <w:rsid w:val="00F912B7"/>
    <w:rsid w:val="00F91528"/>
    <w:rsid w:val="00F96E94"/>
    <w:rsid w:val="00FA0539"/>
    <w:rsid w:val="00FA4896"/>
    <w:rsid w:val="00FA751D"/>
    <w:rsid w:val="00FB3270"/>
    <w:rsid w:val="00FB40BC"/>
    <w:rsid w:val="00FC28CC"/>
    <w:rsid w:val="00FC3BBC"/>
    <w:rsid w:val="00FC4B95"/>
    <w:rsid w:val="00FD1200"/>
    <w:rsid w:val="00FD7CA5"/>
    <w:rsid w:val="00FE23C7"/>
    <w:rsid w:val="00FE343A"/>
    <w:rsid w:val="00FE459F"/>
    <w:rsid w:val="00FE5B53"/>
    <w:rsid w:val="00FF14FE"/>
    <w:rsid w:val="00FF39C1"/>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customStyle="1" w:styleId="Citas">
    <w:name w:val="Citas"/>
    <w:basedOn w:val="Normal"/>
    <w:qFormat/>
    <w:rsid w:val="0049360F"/>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2">
    <w:name w:val="Mención sin resolver2"/>
    <w:basedOn w:val="Fuentedeprrafopredeter"/>
    <w:uiPriority w:val="99"/>
    <w:semiHidden/>
    <w:unhideWhenUsed/>
    <w:rsid w:val="00692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27703388">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pomex.org.mx/ipo3/lgt/indice/metepec.web"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DEB0-20C9-4CAB-B195-0E938D6B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32</Pages>
  <Words>6998</Words>
  <Characters>38489</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24</cp:revision>
  <cp:lastPrinted>2018-04-05T14:31:00Z</cp:lastPrinted>
  <dcterms:created xsi:type="dcterms:W3CDTF">2022-08-18T01:06:00Z</dcterms:created>
  <dcterms:modified xsi:type="dcterms:W3CDTF">2022-09-11T20:43:00Z</dcterms:modified>
</cp:coreProperties>
</file>