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532" w:rsidRDefault="00454DC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veinticuatro de marzo de dos mil veintidós.</w:t>
      </w:r>
    </w:p>
    <w:p w:rsidR="00305532" w:rsidRDefault="00454DC7" w:rsidP="0008014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00654/INFOEM/IP/RR/2022</w:t>
      </w:r>
      <w:r>
        <w:rPr>
          <w:rFonts w:ascii="Palatino Linotype" w:eastAsia="Palatino Linotype" w:hAnsi="Palatino Linotype" w:cs="Palatino Linotype"/>
          <w:sz w:val="24"/>
          <w:szCs w:val="24"/>
        </w:rPr>
        <w:t xml:space="preserve">, interpuesto por </w:t>
      </w:r>
      <w:r w:rsidR="0008014C">
        <w:rPr>
          <w:rFonts w:ascii="Palatino Linotype" w:eastAsia="Palatino Linotype" w:hAnsi="Palatino Linotype" w:cs="Palatino Linotype"/>
          <w:sz w:val="24"/>
          <w:szCs w:val="24"/>
        </w:rPr>
        <w:t xml:space="preserve">xxxxxxx xxxxxxx xxxxxxx </w:t>
      </w:r>
      <w:bookmarkStart w:id="0" w:name="_GoBack"/>
      <w:bookmarkEnd w:id="0"/>
      <w:r w:rsidR="0008014C" w:rsidRPr="0008014C">
        <w:rPr>
          <w:rFonts w:ascii="Palatino Linotype" w:eastAsia="Palatino Linotype" w:hAnsi="Palatino Linotype" w:cs="Palatino Linotype"/>
          <w:sz w:val="24"/>
          <w:szCs w:val="24"/>
        </w:rPr>
        <w:t>Ayuntamiento de Villa Guerrero</w:t>
      </w:r>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00029/VIGUERR</w:t>
      </w:r>
      <w:r>
        <w:rPr>
          <w:rFonts w:ascii="Palatino Linotype" w:eastAsia="Palatino Linotype" w:hAnsi="Palatino Linotype" w:cs="Palatino Linotype"/>
          <w:b/>
          <w:color w:val="000000"/>
          <w:sz w:val="24"/>
          <w:szCs w:val="24"/>
        </w:rPr>
        <w:t>E/IP/2022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 Ayuntamiento de Villa Guerrero,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305532" w:rsidRDefault="00454DC7">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305532" w:rsidRDefault="00454DC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fecha dieciocho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w:t>
      </w:r>
      <w:r>
        <w:rPr>
          <w:rFonts w:ascii="Palatino Linotype" w:eastAsia="Palatino Linotype" w:hAnsi="Palatino Linotype" w:cs="Palatino Linotype"/>
          <w:sz w:val="24"/>
          <w:szCs w:val="24"/>
        </w:rPr>
        <w:t>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FF0000"/>
        </w:rPr>
        <w:t> </w:t>
      </w:r>
      <w:r>
        <w:rPr>
          <w:rFonts w:ascii="Palatino Linotype" w:eastAsia="Palatino Linotype" w:hAnsi="Palatino Linotype" w:cs="Palatino Linotype"/>
          <w:b/>
          <w:color w:val="000000"/>
          <w:sz w:val="24"/>
          <w:szCs w:val="24"/>
        </w:rPr>
        <w:t>00029/VIGUERRE/IP/2022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w:t>
      </w:r>
      <w:r>
        <w:rPr>
          <w:rFonts w:ascii="Palatino Linotype" w:eastAsia="Palatino Linotype" w:hAnsi="Palatino Linotype" w:cs="Palatino Linotype"/>
          <w:sz w:val="24"/>
          <w:szCs w:val="24"/>
        </w:rPr>
        <w:t>r siguiente:</w:t>
      </w:r>
    </w:p>
    <w:p w:rsidR="00305532" w:rsidRDefault="00454DC7">
      <w:pPr>
        <w:spacing w:before="240" w:after="240" w:line="276" w:lineRule="auto"/>
        <w:ind w:left="851" w:right="900"/>
        <w:jc w:val="both"/>
        <w:rPr>
          <w:rFonts w:ascii="Palatino Linotype" w:eastAsia="Palatino Linotype" w:hAnsi="Palatino Linotype" w:cs="Palatino Linotype"/>
          <w:i/>
          <w:sz w:val="40"/>
          <w:szCs w:val="40"/>
        </w:rPr>
      </w:pPr>
      <w:r>
        <w:rPr>
          <w:rFonts w:ascii="Palatino Linotype" w:eastAsia="Palatino Linotype" w:hAnsi="Palatino Linotype" w:cs="Palatino Linotype"/>
          <w:i/>
          <w:color w:val="000000"/>
        </w:rPr>
        <w:t>“Solicito a la oficina de recursos Humanos me conteste si labora para el ayuntamiento el c. JOSE JAVIR TRUJILLO VERA en la administración 2022-2024? y si no trabaja en esta administración, hacer constar que laboro en la administraciones 2016-2</w:t>
      </w:r>
      <w:r>
        <w:rPr>
          <w:rFonts w:ascii="Palatino Linotype" w:eastAsia="Palatino Linotype" w:hAnsi="Palatino Linotype" w:cs="Palatino Linotype"/>
          <w:i/>
          <w:color w:val="000000"/>
        </w:rPr>
        <w:t>018 y 2019-2021. “(Sic)</w:t>
      </w:r>
    </w:p>
    <w:p w:rsidR="00305532" w:rsidRDefault="00454DC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305532" w:rsidRDefault="00454DC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2. DE LA RESPUESTA DEL SUJETO OBLIGADO. </w:t>
      </w:r>
      <w:r>
        <w:rPr>
          <w:rFonts w:ascii="Palatino Linotype" w:eastAsia="Palatino Linotype" w:hAnsi="Palatino Linotype" w:cs="Palatino Linotype"/>
          <w:sz w:val="24"/>
          <w:szCs w:val="24"/>
        </w:rPr>
        <w:t xml:space="preserve">Con fechas tres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respectivamente otorgó, a través del SAIMEX, respuestas a la solicitud de acceso</w:t>
      </w:r>
      <w:r>
        <w:rPr>
          <w:rFonts w:ascii="Palatino Linotype" w:eastAsia="Palatino Linotype" w:hAnsi="Palatino Linotype" w:cs="Palatino Linotype"/>
          <w:sz w:val="24"/>
          <w:szCs w:val="24"/>
        </w:rPr>
        <w:t xml:space="preserve"> a la información de la siguiente manera:</w:t>
      </w:r>
      <w:r>
        <w:rPr>
          <w:rFonts w:ascii="Palatino Linotype" w:eastAsia="Palatino Linotype" w:hAnsi="Palatino Linotype" w:cs="Palatino Linotype"/>
        </w:rPr>
        <w:t xml:space="preserve"> </w:t>
      </w:r>
    </w:p>
    <w:p w:rsidR="00305532" w:rsidRDefault="00454DC7">
      <w:pPr>
        <w:spacing w:before="240" w:after="240" w:line="276" w:lineRule="auto"/>
        <w:ind w:left="851" w:right="900"/>
        <w:jc w:val="both"/>
        <w:rPr>
          <w:rFonts w:ascii="Palatino Linotype" w:eastAsia="Palatino Linotype" w:hAnsi="Palatino Linotype" w:cs="Palatino Linotype"/>
          <w:i/>
        </w:rPr>
      </w:pPr>
      <w:bookmarkStart w:id="1" w:name="_heading=h.gjdgxs" w:colFirst="0" w:colLast="0"/>
      <w:bookmarkEnd w:id="1"/>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CIUDADANO PRESENTE Con fundamento en lo establecido en los artículos 12, 23 fracción IV, 53, y demás relativos aplicables a la Ley de Transparencia y Acceso a la Información Pública del Estado de México, y en atención a su solicitud 0029/VIGUERRE/IP/2022, </w:t>
      </w:r>
      <w:r>
        <w:rPr>
          <w:rFonts w:ascii="Palatino Linotype" w:eastAsia="Palatino Linotype" w:hAnsi="Palatino Linotype" w:cs="Palatino Linotype"/>
          <w:i/>
        </w:rPr>
        <w:t>sírvase encontrar la respuesta otorgada por el Servidor Público Habilitado donde se presume existe la información pública solicitada. Finalmente, se hace de su conocimiento, que tiene derecho a interponer recurso de revisión sobre este acto, de conformidad</w:t>
      </w:r>
      <w:r>
        <w:rPr>
          <w:rFonts w:ascii="Palatino Linotype" w:eastAsia="Palatino Linotype" w:hAnsi="Palatino Linotype" w:cs="Palatino Linotype"/>
          <w:i/>
        </w:rPr>
        <w:t xml:space="preserve"> a lo dispuesto en los artículos 127, 128, 129 y 130 de la Ley de Protección de Datos Personales en Posesión de Sujetos Obligados del Estado de México y Municipios, así como en los artículos 176, 177 y 178 de la Ley de Transparencia y Acceso a la Informaci</w:t>
      </w:r>
      <w:r>
        <w:rPr>
          <w:rFonts w:ascii="Palatino Linotype" w:eastAsia="Palatino Linotype" w:hAnsi="Palatino Linotype" w:cs="Palatino Linotype"/>
          <w:i/>
        </w:rPr>
        <w:t xml:space="preserve">ón Pública del Estado de México y Municipios, en un término de 15 (quince) días hábiles, contados a partir del día hábil siguiente de que haya surtido efectos la notificación. ATENTAMENTE L.D. MARICELA RAMIREZ COTERO TITULAR DE LA UNIDAD DE TRANSPARENCIA, </w:t>
      </w:r>
      <w:r>
        <w:rPr>
          <w:rFonts w:ascii="Palatino Linotype" w:eastAsia="Palatino Linotype" w:hAnsi="Palatino Linotype" w:cs="Palatino Linotype"/>
          <w:i/>
        </w:rPr>
        <w:t>ACCESO A LA INFORMACIÓN PÚBLICA Y PROTECCIÓN DE DATOS PERSONALES.</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L. D. MARICELA RAMIREZ COTERO” (sic) </w:t>
      </w:r>
    </w:p>
    <w:p w:rsidR="00305532" w:rsidRDefault="00454DC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el archivo electrónico denominado “</w:t>
      </w:r>
      <w:hyperlink r:id="rId8">
        <w:r>
          <w:rPr>
            <w:rFonts w:ascii="Palatino Linotype" w:eastAsia="Palatino Linotype" w:hAnsi="Palatino Linotype" w:cs="Palatino Linotype"/>
            <w:b/>
            <w:color w:val="000000"/>
            <w:sz w:val="24"/>
            <w:szCs w:val="24"/>
            <w:u w:val="single"/>
          </w:rPr>
          <w:t>RESPUESTA SOL 29-VILLAGUERRE-IP-2022.pdf</w:t>
        </w:r>
      </w:hyperlink>
      <w:r>
        <w:rPr>
          <w:rFonts w:ascii="Palatino Linotype" w:eastAsia="Palatino Linotype" w:hAnsi="Palatino Linotype" w:cs="Palatino Linotype"/>
          <w:color w:val="000000"/>
          <w:sz w:val="24"/>
          <w:szCs w:val="24"/>
        </w:rPr>
        <w:t xml:space="preserve">” el cual contiene el oficio de fecha veinticuatro de enero de dos mil veintidós, signado por la C. Ana Isabel </w:t>
      </w:r>
      <w:r>
        <w:rPr>
          <w:rFonts w:ascii="Palatino Linotype" w:eastAsia="Palatino Linotype" w:hAnsi="Palatino Linotype" w:cs="Palatino Linotype"/>
          <w:color w:val="000000"/>
          <w:sz w:val="24"/>
          <w:szCs w:val="24"/>
        </w:rPr>
        <w:lastRenderedPageBreak/>
        <w:t>Martínez Díaz Leal, servidora pública habilitada de recursos humanos, tal com</w:t>
      </w:r>
      <w:r>
        <w:rPr>
          <w:rFonts w:ascii="Palatino Linotype" w:eastAsia="Palatino Linotype" w:hAnsi="Palatino Linotype" w:cs="Palatino Linotype"/>
          <w:color w:val="000000"/>
          <w:sz w:val="24"/>
          <w:szCs w:val="24"/>
        </w:rPr>
        <w:t>o se observa a continuación:</w:t>
      </w:r>
    </w:p>
    <w:p w:rsidR="00305532" w:rsidRDefault="00454DC7">
      <w:pPr>
        <w:spacing w:before="240" w:after="240" w:line="360" w:lineRule="auto"/>
        <w:jc w:val="center"/>
        <w:rPr>
          <w:rFonts w:ascii="Arial" w:eastAsia="Arial" w:hAnsi="Arial" w:cs="Arial"/>
          <w:b/>
          <w:color w:val="333333"/>
          <w:sz w:val="15"/>
          <w:szCs w:val="15"/>
        </w:rPr>
      </w:pPr>
      <w:r>
        <w:rPr>
          <w:noProof/>
        </w:rPr>
        <w:drawing>
          <wp:inline distT="0" distB="0" distL="0" distR="0">
            <wp:extent cx="4987757" cy="6003364"/>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8866" t="13881" r="23624" b="5853"/>
                    <a:stretch>
                      <a:fillRect/>
                    </a:stretch>
                  </pic:blipFill>
                  <pic:spPr>
                    <a:xfrm>
                      <a:off x="0" y="0"/>
                      <a:ext cx="4987757" cy="6003364"/>
                    </a:xfrm>
                    <a:prstGeom prst="rect">
                      <a:avLst/>
                    </a:prstGeom>
                    <a:ln/>
                  </pic:spPr>
                </pic:pic>
              </a:graphicData>
            </a:graphic>
          </wp:inline>
        </w:drawing>
      </w:r>
    </w:p>
    <w:p w:rsidR="00305532" w:rsidRDefault="00454DC7">
      <w:pPr>
        <w:spacing w:before="240" w:after="240" w:line="360" w:lineRule="auto"/>
        <w:rPr>
          <w:rFonts w:ascii="Arial" w:eastAsia="Arial" w:hAnsi="Arial" w:cs="Arial"/>
          <w:b/>
          <w:color w:val="333333"/>
          <w:sz w:val="15"/>
          <w:szCs w:val="15"/>
        </w:rPr>
      </w:pPr>
      <w:r>
        <w:rPr>
          <w:noProof/>
        </w:rPr>
        <w:lastRenderedPageBreak/>
        <w:drawing>
          <wp:inline distT="0" distB="0" distL="0" distR="0">
            <wp:extent cx="5525072" cy="5397766"/>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9035" t="16596" r="24134" b="19432"/>
                    <a:stretch>
                      <a:fillRect/>
                    </a:stretch>
                  </pic:blipFill>
                  <pic:spPr>
                    <a:xfrm>
                      <a:off x="0" y="0"/>
                      <a:ext cx="5525072" cy="5397766"/>
                    </a:xfrm>
                    <a:prstGeom prst="rect">
                      <a:avLst/>
                    </a:prstGeom>
                    <a:ln/>
                  </pic:spPr>
                </pic:pic>
              </a:graphicData>
            </a:graphic>
          </wp:inline>
        </w:drawing>
      </w:r>
    </w:p>
    <w:p w:rsidR="00305532" w:rsidRDefault="00454DC7">
      <w:pPr>
        <w:spacing w:before="240" w:after="24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 xml:space="preserve">Inconforme con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interpuso el recurso de revisión, en fecha nueve de febrero dos mil veintidós,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00654/INFOEM/IP/RR/2022</w:t>
      </w:r>
      <w:r>
        <w:rPr>
          <w:rFonts w:ascii="Palatino Linotype" w:eastAsia="Palatino Linotype" w:hAnsi="Palatino Linotype" w:cs="Palatino Linotype"/>
          <w:sz w:val="24"/>
          <w:szCs w:val="24"/>
        </w:rPr>
        <w:t>, en el cual manifiesta, lo siguiente:</w:t>
      </w:r>
    </w:p>
    <w:p w:rsidR="00305532" w:rsidRDefault="00454DC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Acto Impugnado:</w:t>
      </w:r>
    </w:p>
    <w:p w:rsidR="00305532" w:rsidRDefault="00454DC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lastRenderedPageBreak/>
        <w:t>“Negativa de la información” [Sic]</w:t>
      </w:r>
    </w:p>
    <w:p w:rsidR="00305532" w:rsidRDefault="00454DC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w:t>
      </w:r>
    </w:p>
    <w:p w:rsidR="00305532" w:rsidRDefault="00454DC7">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“No tienen la atención con la ciudadanía El nombre es JOSÉ JAVIER TRUJILLO VERA que poco profesional eres titular de la unidad de transparencia se nota tu falta de profesionalismo por solo una letra. Es que no quieren proporcionar la información” [Sic]</w:t>
      </w:r>
    </w:p>
    <w:p w:rsidR="00305532" w:rsidRDefault="00454DC7">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4.</w:t>
      </w:r>
      <w:r>
        <w:rPr>
          <w:rFonts w:ascii="Palatino Linotype" w:eastAsia="Palatino Linotype" w:hAnsi="Palatino Linotype" w:cs="Palatino Linotype"/>
          <w:b/>
          <w:sz w:val="28"/>
          <w:szCs w:val="28"/>
        </w:rPr>
        <w:t xml:space="preserve"> TURNO. </w:t>
      </w: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00654/INFOEM/IP/RR/2022 </w:t>
      </w:r>
      <w:r>
        <w:rPr>
          <w:rFonts w:ascii="Palatino Linotype" w:eastAsia="Palatino Linotype" w:hAnsi="Palatino Linotype" w:cs="Palatino Linotype"/>
          <w:sz w:val="24"/>
          <w:szCs w:val="24"/>
        </w:rPr>
        <w:t xml:space="preserve">fue turnado en fecha nueve de febrero de dos mil veintidós a la Comisionada Ponente </w:t>
      </w:r>
      <w:r>
        <w:rPr>
          <w:rFonts w:ascii="Palatino Linotype" w:eastAsia="Palatino Linotype" w:hAnsi="Palatino Linotype" w:cs="Palatino Linotype"/>
          <w:b/>
          <w:sz w:val="24"/>
          <w:szCs w:val="24"/>
        </w:rPr>
        <w:t>Guada</w:t>
      </w:r>
      <w:r>
        <w:rPr>
          <w:rFonts w:ascii="Palatino Linotype" w:eastAsia="Palatino Linotype" w:hAnsi="Palatino Linotype" w:cs="Palatino Linotype"/>
          <w:b/>
          <w:sz w:val="24"/>
          <w:szCs w:val="24"/>
        </w:rPr>
        <w:t>lupe Ramírez Peña</w:t>
      </w:r>
      <w:r>
        <w:rPr>
          <w:rFonts w:ascii="Palatino Linotype" w:eastAsia="Palatino Linotype" w:hAnsi="Palatino Linotype" w:cs="Palatino Linotype"/>
          <w:sz w:val="24"/>
          <w:szCs w:val="24"/>
        </w:rPr>
        <w:t>; a efecto de presentar al Pleno el proyecto de resolución correspondiente.</w:t>
      </w:r>
    </w:p>
    <w:p w:rsidR="00305532" w:rsidRDefault="00454DC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En fecha catorce de febrero del año dos mil veintidós, en términos de lo dispuesto en el artículo 185 fracciones I, II y IV de la Ley de Transparencia</w:t>
      </w:r>
      <w:r>
        <w:rPr>
          <w:rFonts w:ascii="Palatino Linotype" w:eastAsia="Palatino Linotype" w:hAnsi="Palatino Linotype" w:cs="Palatino Linotype"/>
          <w:sz w:val="24"/>
          <w:szCs w:val="24"/>
        </w:rPr>
        <w:t xml:space="preserve"> y Acceso a la Información Pública del Estado de México y Municipios, se admitió a trámite el recurso de revisión al rubro indicado.</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El veintidós de febrero de dos mil veintidós, se recibió, a través del Sistema de</w:t>
      </w:r>
      <w:r>
        <w:rPr>
          <w:rFonts w:ascii="Palatino Linotype" w:eastAsia="Palatino Linotype" w:hAnsi="Palatino Linotype" w:cs="Palatino Linotype"/>
          <w:sz w:val="24"/>
          <w:szCs w:val="24"/>
        </w:rPr>
        <w:t xml:space="preserv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mediante el siguiente archivo: </w:t>
      </w:r>
    </w:p>
    <w:p w:rsidR="00305532" w:rsidRDefault="00454DC7">
      <w:pPr>
        <w:spacing w:before="240" w:after="240" w:line="360" w:lineRule="auto"/>
        <w:jc w:val="both"/>
        <w:rPr>
          <w:rFonts w:ascii="Palatino Linotype" w:eastAsia="Palatino Linotype" w:hAnsi="Palatino Linotype" w:cs="Palatino Linotype"/>
          <w:sz w:val="24"/>
          <w:szCs w:val="24"/>
        </w:rPr>
      </w:pPr>
      <w:hyperlink r:id="rId11">
        <w:r>
          <w:rPr>
            <w:rFonts w:ascii="Palatino Linotype" w:eastAsia="Palatino Linotype" w:hAnsi="Palatino Linotype" w:cs="Palatino Linotype"/>
            <w:b/>
            <w:i/>
            <w:color w:val="000000"/>
            <w:sz w:val="24"/>
            <w:szCs w:val="24"/>
            <w:u w:val="single"/>
          </w:rPr>
          <w:t>“manifestaciones RR 654.pdf</w:t>
        </w:r>
      </w:hyperlink>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 xml:space="preserve">Contiene un oficio de fecha veintidós de febrero de dos mil veintidós, signado por la L.D. Maricela Ramírez Cotero, Titular de la Unidad de Transparencia y Acceso a la Información Pública y Protección de Datos </w:t>
      </w:r>
      <w:r>
        <w:rPr>
          <w:rFonts w:ascii="Palatino Linotype" w:eastAsia="Palatino Linotype" w:hAnsi="Palatino Linotype" w:cs="Palatino Linotype"/>
          <w:color w:val="000000"/>
          <w:sz w:val="24"/>
          <w:szCs w:val="24"/>
        </w:rPr>
        <w:lastRenderedPageBreak/>
        <w:t>Personales, mediante el cual refiere que las m</w:t>
      </w:r>
      <w:r>
        <w:rPr>
          <w:rFonts w:ascii="Palatino Linotype" w:eastAsia="Palatino Linotype" w:hAnsi="Palatino Linotype" w:cs="Palatino Linotype"/>
          <w:color w:val="000000"/>
          <w:sz w:val="24"/>
          <w:szCs w:val="24"/>
        </w:rPr>
        <w:t xml:space="preserve">anifestaciones vertidas a su persona son de índole subjetivas, tal como se advierte a continuación: </w:t>
      </w:r>
    </w:p>
    <w:p w:rsidR="00305532" w:rsidRDefault="00454DC7">
      <w:pPr>
        <w:spacing w:before="240" w:after="240" w:line="360" w:lineRule="auto"/>
        <w:jc w:val="center"/>
        <w:rPr>
          <w:rFonts w:ascii="Palatino Linotype" w:eastAsia="Palatino Linotype" w:hAnsi="Palatino Linotype" w:cs="Palatino Linotype"/>
          <w:i/>
          <w:color w:val="000000"/>
          <w:sz w:val="24"/>
          <w:szCs w:val="24"/>
        </w:rPr>
      </w:pPr>
      <w:r>
        <w:rPr>
          <w:noProof/>
        </w:rPr>
        <w:drawing>
          <wp:inline distT="0" distB="0" distL="0" distR="0">
            <wp:extent cx="4614265" cy="5805042"/>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9206" t="12794" r="23965" b="4827"/>
                    <a:stretch>
                      <a:fillRect/>
                    </a:stretch>
                  </pic:blipFill>
                  <pic:spPr>
                    <a:xfrm>
                      <a:off x="0" y="0"/>
                      <a:ext cx="4614265" cy="5805042"/>
                    </a:xfrm>
                    <a:prstGeom prst="rect">
                      <a:avLst/>
                    </a:prstGeom>
                    <a:ln/>
                  </pic:spPr>
                </pic:pic>
              </a:graphicData>
            </a:graphic>
          </wp:inline>
        </w:drawing>
      </w:r>
    </w:p>
    <w:p w:rsidR="00305532" w:rsidRDefault="00305532">
      <w:pPr>
        <w:spacing w:before="240" w:after="240" w:line="360" w:lineRule="auto"/>
        <w:rPr>
          <w:rFonts w:ascii="Palatino Linotype" w:eastAsia="Palatino Linotype" w:hAnsi="Palatino Linotype" w:cs="Palatino Linotype"/>
          <w:b/>
          <w:sz w:val="24"/>
          <w:szCs w:val="24"/>
        </w:rPr>
      </w:pPr>
    </w:p>
    <w:p w:rsidR="00305532" w:rsidRDefault="00454DC7">
      <w:pPr>
        <w:spacing w:before="240" w:after="240" w:line="360" w:lineRule="auto"/>
        <w:ind w:right="-234"/>
        <w:jc w:val="both"/>
        <w:rPr>
          <w:rFonts w:ascii="Palatino Linotype" w:eastAsia="Palatino Linotype" w:hAnsi="Palatino Linotype" w:cs="Palatino Linotype"/>
          <w:b/>
          <w:sz w:val="24"/>
          <w:szCs w:val="24"/>
        </w:rPr>
      </w:pPr>
      <w:r>
        <w:rPr>
          <w:noProof/>
        </w:rPr>
        <w:lastRenderedPageBreak/>
        <w:drawing>
          <wp:inline distT="0" distB="0" distL="0" distR="0">
            <wp:extent cx="5522804" cy="6006761"/>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40733" t="18709" r="26341" b="17622"/>
                    <a:stretch>
                      <a:fillRect/>
                    </a:stretch>
                  </pic:blipFill>
                  <pic:spPr>
                    <a:xfrm>
                      <a:off x="0" y="0"/>
                      <a:ext cx="5522804" cy="6006761"/>
                    </a:xfrm>
                    <a:prstGeom prst="rect">
                      <a:avLst/>
                    </a:prstGeom>
                    <a:ln/>
                  </pic:spPr>
                </pic:pic>
              </a:graphicData>
            </a:graphic>
          </wp:inline>
        </w:drawing>
      </w:r>
    </w:p>
    <w:p w:rsidR="00305532" w:rsidRDefault="00454DC7">
      <w:pPr>
        <w:spacing w:before="240" w:after="24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7. DEL CIERRE DE INSTRUCCIÓN. </w:t>
      </w:r>
      <w:r>
        <w:rPr>
          <w:rFonts w:ascii="Palatino Linotype" w:eastAsia="Palatino Linotype" w:hAnsi="Palatino Linotype" w:cs="Palatino Linotype"/>
          <w:sz w:val="24"/>
          <w:szCs w:val="24"/>
        </w:rPr>
        <w:t>El dieciséis de marzo de dos mil veintidós, al no existir diligencias pendientes por desahogar, se emitió el acuerdo por</w:t>
      </w:r>
      <w:r>
        <w:rPr>
          <w:rFonts w:ascii="Palatino Linotype" w:eastAsia="Palatino Linotype" w:hAnsi="Palatino Linotype" w:cs="Palatino Linotype"/>
          <w:sz w:val="24"/>
          <w:szCs w:val="24"/>
        </w:rPr>
        <w:t xml:space="preserve"> medio del cual se declaró cerrada la instrucción y se determinó pasar el expediente a resolución, en </w:t>
      </w:r>
      <w:r>
        <w:rPr>
          <w:rFonts w:ascii="Palatino Linotype" w:eastAsia="Palatino Linotype" w:hAnsi="Palatino Linotype" w:cs="Palatino Linotype"/>
          <w:sz w:val="24"/>
          <w:szCs w:val="24"/>
        </w:rPr>
        <w:lastRenderedPageBreak/>
        <w:t xml:space="preserve">términos del artículo 185 fracción VI y VIII de la Ley de Transparencia y Acceso a la Información Pública del Estado de México y Municipios, iniciando el </w:t>
      </w:r>
      <w:r>
        <w:rPr>
          <w:rFonts w:ascii="Palatino Linotype" w:eastAsia="Palatino Linotype" w:hAnsi="Palatino Linotype" w:cs="Palatino Linotype"/>
          <w:sz w:val="24"/>
          <w:szCs w:val="24"/>
        </w:rPr>
        <w:t>término legal para dictar resolución definitiva del asunto.</w:t>
      </w:r>
    </w:p>
    <w:p w:rsidR="00305532" w:rsidRDefault="00454DC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w:t>
      </w:r>
      <w:r>
        <w:rPr>
          <w:rFonts w:ascii="Palatino Linotype" w:eastAsia="Palatino Linotype" w:hAnsi="Palatino Linotype" w:cs="Palatino Linotype"/>
          <w:sz w:val="24"/>
          <w:szCs w:val="24"/>
        </w:rPr>
        <w:t xml:space="preserve"> y resolver el presente recurso de revisión, conforme a lo dispuesto en los artículos 6, apartado A, fracción IV, de la Constitución Política de los Estados Unidos Mexicanos; 5, párrafos trigésimo, trigésimo primero y trigésimo segundo, fracciones IV y V, </w:t>
      </w:r>
      <w:r>
        <w:rPr>
          <w:rFonts w:ascii="Palatino Linotype" w:eastAsia="Palatino Linotype" w:hAnsi="Palatino Linotype" w:cs="Palatino Linotype"/>
          <w:sz w:val="24"/>
          <w:szCs w:val="24"/>
        </w:rPr>
        <w:t>de la Constitución Política del Estado Libre y Soberano de México; artículos 1, 2 fracción II, 13, 29, 36 fracciones I y II, 176, 178, 179, 181 párrafo tercero y 185, 186 y 188 de la Ley de Transparencia y Acceso a la Información Pública del Estado de Méxi</w:t>
      </w:r>
      <w:r>
        <w:rPr>
          <w:rFonts w:ascii="Palatino Linotype" w:eastAsia="Palatino Linotype" w:hAnsi="Palatino Linotype" w:cs="Palatino Linotype"/>
          <w:sz w:val="24"/>
          <w:szCs w:val="24"/>
        </w:rPr>
        <w:t>co y Municipios; y 10, 7, 9 fracciones I y XXIV y 11, del Reglamento Interior del Instituto de Transparencia, Acceso a la Información Pública y Protección de Datos Personales del Estado de México y Municipios.</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SEGUNDO. Oportunidad y Procedibilidad. </w:t>
      </w:r>
      <w:r>
        <w:rPr>
          <w:rFonts w:ascii="Palatino Linotype" w:eastAsia="Palatino Linotype" w:hAnsi="Palatino Linotype" w:cs="Palatino Linotype"/>
          <w:sz w:val="24"/>
          <w:szCs w:val="24"/>
        </w:rPr>
        <w:t xml:space="preserve">Previo </w:t>
      </w:r>
      <w:r>
        <w:rPr>
          <w:rFonts w:ascii="Palatino Linotype" w:eastAsia="Palatino Linotype" w:hAnsi="Palatino Linotype" w:cs="Palatino Linotype"/>
          <w:sz w:val="24"/>
          <w:szCs w:val="24"/>
        </w:rPr>
        <w:t xml:space="preserve">al estudio del fondo del asunto, se procede a analizar los requisitos de oportunidad y procedibilidad que debe reunir el recurso de revisión interpuesto, previstos en los artículos 178 y 180 de la Ley de Transparencia y Acceso a la Información Pública del </w:t>
      </w:r>
      <w:r>
        <w:rPr>
          <w:rFonts w:ascii="Palatino Linotype" w:eastAsia="Palatino Linotype" w:hAnsi="Palatino Linotype" w:cs="Palatino Linotype"/>
          <w:sz w:val="24"/>
          <w:szCs w:val="24"/>
        </w:rPr>
        <w:t>Estado de México y Municipios</w:t>
      </w:r>
    </w:p>
    <w:p w:rsidR="00305532" w:rsidRDefault="00454DC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de México y Municipios, contados a partir de la</w:t>
      </w:r>
      <w:r>
        <w:rPr>
          <w:rFonts w:ascii="Palatino Linotype" w:eastAsia="Palatino Linotype" w:hAnsi="Palatino Linotype" w:cs="Palatino Linotype"/>
          <w:sz w:val="24"/>
          <w:szCs w:val="24"/>
        </w:rPr>
        <w:t xml:space="preserve"> fecha en que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emitió la respuesta, toda vez que ésta fue pronunciada el día tres de febrero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el nueve de febrero de dos mil veintidós, esto es al tercer día</w:t>
      </w:r>
      <w:r>
        <w:rPr>
          <w:rFonts w:ascii="Palatino Linotype" w:eastAsia="Palatino Linotype" w:hAnsi="Palatino Linotype" w:cs="Palatino Linotype"/>
          <w:sz w:val="24"/>
          <w:szCs w:val="24"/>
        </w:rPr>
        <w:t xml:space="preserve"> hábil de haber recibido la respuesta. </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éste se encuentra dentro de los</w:t>
      </w:r>
      <w:r>
        <w:rPr>
          <w:rFonts w:ascii="Palatino Linotype" w:eastAsia="Palatino Linotype" w:hAnsi="Palatino Linotype" w:cs="Palatino Linotype"/>
          <w:sz w:val="24"/>
          <w:szCs w:val="24"/>
        </w:rPr>
        <w:t xml:space="preserve"> márgenes temporales previstos en el citado precepto legal.</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también, por cuanto hace a la procedibilidad del recurso de revisión, una vez realizado el análisis del formato de interposición del mismo, se concluye la acreditación plena de los elementos f</w:t>
      </w:r>
      <w:r>
        <w:rPr>
          <w:rFonts w:ascii="Palatino Linotype" w:eastAsia="Palatino Linotype" w:hAnsi="Palatino Linotype" w:cs="Palatino Linotype"/>
          <w:sz w:val="24"/>
          <w:szCs w:val="24"/>
        </w:rPr>
        <w:t>ormales precisados por el artículo 180 de la Ley de Transparencia y Acceso a la Información Pública del Estado de México y Municipios, en atención a que fue presentado mediante el formato visible en el SAIMEX.</w:t>
      </w:r>
    </w:p>
    <w:p w:rsidR="00305532" w:rsidRDefault="00454DC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resulta procedente la interposició</w:t>
      </w:r>
      <w:r>
        <w:rPr>
          <w:rFonts w:ascii="Palatino Linotype" w:eastAsia="Palatino Linotype" w:hAnsi="Palatino Linotype" w:cs="Palatino Linotype"/>
          <w:sz w:val="24"/>
          <w:szCs w:val="24"/>
        </w:rPr>
        <w:t>n del recurso, según lo aducido por</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fracciones I y V de la Ley de Transparencia y Acceso a la Información Pública del Estado de México y Municipios; que a la letra dice:</w:t>
      </w:r>
    </w:p>
    <w:p w:rsidR="00305532" w:rsidRDefault="0030553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p>
    <w:p w:rsidR="00305532" w:rsidRDefault="00454DC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305532" w:rsidRDefault="00454DC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5532" w:rsidRDefault="00454DC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w:t>
      </w:r>
      <w:r>
        <w:rPr>
          <w:rFonts w:ascii="Palatino Linotype" w:eastAsia="Palatino Linotype" w:hAnsi="Palatino Linotype" w:cs="Palatino Linotype"/>
          <w:i/>
        </w:rPr>
        <w:t>da;</w:t>
      </w:r>
    </w:p>
    <w:p w:rsidR="00305532" w:rsidRDefault="00454DC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(Sic)</w:t>
      </w:r>
    </w:p>
    <w:p w:rsidR="00305532" w:rsidRDefault="00454DC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TERCERO. Materia de la Revisión. </w:t>
      </w:r>
      <w:r>
        <w:rPr>
          <w:rFonts w:ascii="Palatino Linotype" w:eastAsia="Palatino Linotype" w:hAnsi="Palatino Linotype" w:cs="Palatino Linotype"/>
          <w:sz w:val="24"/>
          <w:szCs w:val="24"/>
        </w:rPr>
        <w:t>Una vez realizado el análisis de las constancias y documentos que obran en expediente electrónico, en que se actúa, se advierte que el tema sobre el que este Órgano Garante de Transparencia y Acceso a la Inform</w:t>
      </w:r>
      <w:r>
        <w:rPr>
          <w:rFonts w:ascii="Palatino Linotype" w:eastAsia="Palatino Linotype" w:hAnsi="Palatino Linotype" w:cs="Palatino Linotype"/>
          <w:sz w:val="24"/>
          <w:szCs w:val="24"/>
        </w:rPr>
        <w:t xml:space="preserve">ación se pronunciará será: verificar si la respuesta otorgada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es adecuada y suficiente para satisfacer el derecho de acceso a la información pública del recurrente, o en su defecto, en caso de ser procedente, ordenar la entrega de in</w:t>
      </w:r>
      <w:r>
        <w:rPr>
          <w:rFonts w:ascii="Palatino Linotype" w:eastAsia="Palatino Linotype" w:hAnsi="Palatino Linotype" w:cs="Palatino Linotype"/>
          <w:sz w:val="24"/>
          <w:szCs w:val="24"/>
        </w:rPr>
        <w:t>formación oportuna.</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bookmarkStart w:id="2" w:name="_heading=h.3rdcrjn" w:colFirst="0" w:colLast="0"/>
      <w:bookmarkEnd w:id="2"/>
      <w:r>
        <w:rPr>
          <w:rFonts w:ascii="Palatino Linotype" w:eastAsia="Palatino Linotype" w:hAnsi="Palatino Linotype" w:cs="Palatino Linotype"/>
          <w:b/>
          <w:color w:val="000000"/>
          <w:sz w:val="28"/>
          <w:szCs w:val="28"/>
        </w:rPr>
        <w:t xml:space="preserve">CUARTO. Estudio y resolución del Asunto.  </w:t>
      </w:r>
      <w:r>
        <w:rPr>
          <w:rFonts w:ascii="Palatino Linotype" w:eastAsia="Palatino Linotype" w:hAnsi="Palatino Linotype" w:cs="Palatino Linotype"/>
          <w:color w:val="000000"/>
          <w:sz w:val="24"/>
          <w:szCs w:val="24"/>
        </w:rPr>
        <w:t xml:space="preserve">Ahora bien, la solicitud de información motivo del Recurso de Revisión que ahora se resuelve, se advierte que la parte solicitante requirió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lo siguiente:</w:t>
      </w:r>
    </w:p>
    <w:p w:rsidR="00305532" w:rsidRDefault="00454DC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 labora el C. JOSE JAVIR TRUJILLO VERA en la administración 2022-2024.</w:t>
      </w:r>
    </w:p>
    <w:p w:rsidR="00305532" w:rsidRDefault="00454DC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40"/>
          <w:szCs w:val="40"/>
        </w:rPr>
      </w:pPr>
      <w:r>
        <w:rPr>
          <w:rFonts w:ascii="Palatino Linotype" w:eastAsia="Palatino Linotype" w:hAnsi="Palatino Linotype" w:cs="Palatino Linotype"/>
          <w:color w:val="000000"/>
          <w:sz w:val="24"/>
          <w:szCs w:val="24"/>
        </w:rPr>
        <w:t>Si no trabaja en esta administración, hacer constar que laboró en las administraciones 2016-2018 y 2019-2021.</w:t>
      </w:r>
    </w:p>
    <w:p w:rsidR="00305532" w:rsidRDefault="00454DC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sz w:val="24"/>
          <w:szCs w:val="24"/>
        </w:rPr>
        <w:lastRenderedPageBreak/>
        <w:t xml:space="preserve">Ahora bien, en respuesta al requerimiento formulado por el particular,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u w:val="single"/>
        </w:rPr>
        <w:t xml:space="preserve">dio respuesta a la solicitud de información, mediante </w:t>
      </w:r>
      <w:r>
        <w:rPr>
          <w:rFonts w:ascii="Palatino Linotype" w:eastAsia="Palatino Linotype" w:hAnsi="Palatino Linotype" w:cs="Palatino Linotype"/>
          <w:color w:val="000000"/>
          <w:sz w:val="24"/>
          <w:szCs w:val="24"/>
        </w:rPr>
        <w:t>oficio de fecha veinticuatro de enero de dos mil veintidós, signado por la C. Ana Isabel Martínez Díaz Leal, ser</w:t>
      </w:r>
      <w:r>
        <w:rPr>
          <w:rFonts w:ascii="Palatino Linotype" w:eastAsia="Palatino Linotype" w:hAnsi="Palatino Linotype" w:cs="Palatino Linotype"/>
          <w:color w:val="000000"/>
          <w:sz w:val="24"/>
          <w:szCs w:val="24"/>
        </w:rPr>
        <w:t>vidora pública habilitada de recursos humanos, refiriendo que no existe registro de algún servidor público de nombre</w:t>
      </w:r>
      <w:r>
        <w:rPr>
          <w:rFonts w:ascii="Palatino Linotype" w:eastAsia="Palatino Linotype" w:hAnsi="Palatino Linotype" w:cs="Palatino Linotype"/>
          <w:b/>
          <w:color w:val="000000"/>
          <w:sz w:val="24"/>
          <w:szCs w:val="24"/>
          <w:u w:val="single"/>
        </w:rPr>
        <w:t xml:space="preserve"> JOSE JAVIR TRUJILLO VERA</w:t>
      </w:r>
      <w:r>
        <w:rPr>
          <w:rFonts w:ascii="Palatino Linotype" w:eastAsia="Palatino Linotype" w:hAnsi="Palatino Linotype" w:cs="Palatino Linotype"/>
          <w:color w:val="000000"/>
          <w:sz w:val="24"/>
          <w:szCs w:val="24"/>
        </w:rPr>
        <w:t xml:space="preserve">, por lo que se encuentra impedida en proporcionarle datos de antigüedad o referencia alguna. </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Conocida la respuesta por el</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al no estar conforme con los términos de la misma, interpuso el recurso de revisión en cuestión en el cual menciona que señalando que le niegan la información requerida. </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mismo, una vez notificado el recurso de </w:t>
      </w:r>
      <w:r>
        <w:rPr>
          <w:rFonts w:ascii="Palatino Linotype" w:eastAsia="Palatino Linotype" w:hAnsi="Palatino Linotype" w:cs="Palatino Linotype"/>
          <w:color w:val="000000"/>
          <w:sz w:val="24"/>
          <w:szCs w:val="24"/>
        </w:rPr>
        <w:t xml:space="preserve">revisión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remitió su informe justificado, mediante el oficio de fecha veintidós de febrero de dos mil veintidós, signado por la L.D. Maricela Ramírez Cotero, Titular de la Unidad de Transparencia y Acceso a la Información Pública y Prote</w:t>
      </w:r>
      <w:r>
        <w:rPr>
          <w:rFonts w:ascii="Palatino Linotype" w:eastAsia="Palatino Linotype" w:hAnsi="Palatino Linotype" w:cs="Palatino Linotype"/>
          <w:color w:val="000000"/>
          <w:sz w:val="24"/>
          <w:szCs w:val="24"/>
        </w:rPr>
        <w:t xml:space="preserve">cción de Datos Personales, mediante el cual refiere que las manifestaciones vertidas a su persona son de índole subjetivas toda vez que son ofensivas, despectivas o difamatorias de igual manera 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en emitir sus manifestaciones.  </w:t>
      </w:r>
      <w:r>
        <w:rPr>
          <w:rFonts w:ascii="Palatino Linotype" w:eastAsia="Palatino Linotype" w:hAnsi="Palatino Linotype" w:cs="Palatino Linotype"/>
          <w:color w:val="000000"/>
          <w:sz w:val="24"/>
          <w:szCs w:val="24"/>
        </w:rPr>
        <w:t xml:space="preserve"> </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 contexto, del análisis de las constancias que integran el expediente en que se actúa, así como de la materia sobre la que versa la solicitud de acceso a la información pública, se advierte que los motivos de inconformidad acontecen fundados, en ra</w:t>
      </w:r>
      <w:r>
        <w:rPr>
          <w:rFonts w:ascii="Palatino Linotype" w:eastAsia="Palatino Linotype" w:hAnsi="Palatino Linotype" w:cs="Palatino Linotype"/>
          <w:sz w:val="24"/>
          <w:szCs w:val="24"/>
        </w:rPr>
        <w:t>zón de las consideraciones de derecho que a continuación se exponen:</w:t>
      </w:r>
    </w:p>
    <w:p w:rsidR="00305532" w:rsidRDefault="00454DC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primera instancia, debe resaltarse que el derecho de acceso a información pública, es un derecho humano, mismo que en términos del artículo 1° de la Constitución Política de los Estado</w:t>
      </w:r>
      <w:r>
        <w:rPr>
          <w:rFonts w:ascii="Palatino Linotype" w:eastAsia="Palatino Linotype" w:hAnsi="Palatino Linotype" w:cs="Palatino Linotype"/>
          <w:sz w:val="24"/>
          <w:szCs w:val="24"/>
        </w:rPr>
        <w:t>s Unidos Mexicanos, toda autoridad tiene la ineludible obligación de promoverlo, respetarlo, protegerlo y garantizarlo, lo que deriva en que se deben reparar las violaciones al derecho humano en cuestión, incluso se prevé que se deberán interpretar las nor</w:t>
      </w:r>
      <w:r>
        <w:rPr>
          <w:rFonts w:ascii="Palatino Linotype" w:eastAsia="Palatino Linotype" w:hAnsi="Palatino Linotype" w:cs="Palatino Linotype"/>
          <w:sz w:val="24"/>
          <w:szCs w:val="24"/>
        </w:rPr>
        <w:t xml:space="preserve">mas favoreciendo en todo tiempo a las personas con la protección más amplia. </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mismo, resulta indispensable referir que el derecho de acceso a la información pública implica que cualquier persona pueda acceder y conocer la información contenida en los d</w:t>
      </w:r>
      <w:r>
        <w:rPr>
          <w:rFonts w:ascii="Palatino Linotype" w:eastAsia="Palatino Linotype" w:hAnsi="Palatino Linotype" w:cs="Palatino Linotype"/>
          <w:sz w:val="24"/>
          <w:szCs w:val="24"/>
        </w:rPr>
        <w:t xml:space="preserve">ocumentos que se encuentran en posesión de los Sujetos Obligados. </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manera que, la obligación de acceso a la información se tendrá por cumplida cuando el solicitante tenga a su disposición la información requerida, o cuando realice su consulta en el luga</w:t>
      </w:r>
      <w:r>
        <w:rPr>
          <w:rFonts w:ascii="Palatino Linotype" w:eastAsia="Palatino Linotype" w:hAnsi="Palatino Linotype" w:cs="Palatino Linotype"/>
          <w:sz w:val="24"/>
          <w:szCs w:val="24"/>
        </w:rPr>
        <w:t>r que ésta se localice, conforme a los artículos 3 fracción XI, XII 4, 12 y 24 último párrafo de la Ley de Transparencia y Acceso a la Información Pública del Estado de México y Municipios:</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w:t>
      </w:r>
      <w:r>
        <w:rPr>
          <w:rFonts w:ascii="Palatino Linotype" w:eastAsia="Palatino Linotype" w:hAnsi="Palatino Linotype" w:cs="Palatino Linotype"/>
          <w:i/>
        </w:rPr>
        <w:t xml:space="preserve">o de las facultades, funciones y competencias de los sujetos obligados, sus servidores públicos e integrantes, sin importar su fuente o fecha de </w:t>
      </w:r>
      <w:r>
        <w:rPr>
          <w:rFonts w:ascii="Palatino Linotype" w:eastAsia="Palatino Linotype" w:hAnsi="Palatino Linotype" w:cs="Palatino Linotype"/>
          <w:i/>
        </w:rPr>
        <w:lastRenderedPageBreak/>
        <w:t>elaboración. Los documentos podrán estar en cualquier medio, sea escrito, impreso, sonoro, visual, electrónico,</w:t>
      </w:r>
      <w:r>
        <w:rPr>
          <w:rFonts w:ascii="Palatino Linotype" w:eastAsia="Palatino Linotype" w:hAnsi="Palatino Linotype" w:cs="Palatino Linotype"/>
          <w:i/>
        </w:rPr>
        <w:t xml:space="preserve"> informático u holográfico;</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XII. Documento electrónico:</w:t>
      </w:r>
      <w:r>
        <w:rPr>
          <w:rFonts w:ascii="Palatino Linotype" w:eastAsia="Palatino Linotype" w:hAnsi="Palatino Linotype" w:cs="Palatino Linotype"/>
          <w:i/>
        </w:rPr>
        <w:t xml:space="preserve"> Al soporte escrito con caracteres alfanuméricos, archivo de imagen, video, audio o cualquier otro formato tecnológicamente disponible, que contenga información en lenguaje natural o convencional, inte</w:t>
      </w:r>
      <w:r>
        <w:rPr>
          <w:rFonts w:ascii="Palatino Linotype" w:eastAsia="Palatino Linotype" w:hAnsi="Palatino Linotype" w:cs="Palatino Linotype"/>
          <w:i/>
        </w:rPr>
        <w:t>rcambiado por medios electrónicos, con el que sea posible dar constancia de un hecho y que esté signado con la firma electrónica avanzada y/o en el que se encuentre plasmado el sello electrónico;</w:t>
      </w:r>
    </w:p>
    <w:p w:rsidR="00305532" w:rsidRDefault="00454DC7">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 El derecho humano de acceso a la información</w:t>
      </w:r>
      <w:r>
        <w:rPr>
          <w:rFonts w:ascii="Palatino Linotype" w:eastAsia="Palatino Linotype" w:hAnsi="Palatino Linotype" w:cs="Palatino Linotype"/>
          <w:b/>
          <w:i/>
        </w:rPr>
        <w:t xml:space="preserve"> pública es la prerrogativa de las personas para buscar, difundir, investigar, recabar, recibir y solicitar información pública</w:t>
      </w:r>
      <w:r>
        <w:rPr>
          <w:rFonts w:ascii="Palatino Linotype" w:eastAsia="Palatino Linotype" w:hAnsi="Palatino Linotype" w:cs="Palatino Linotype"/>
          <w:i/>
        </w:rPr>
        <w:t>, sin necesidad de acreditar personalidad ni interés jurídico.</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w:t>
      </w:r>
      <w:r>
        <w:rPr>
          <w:rFonts w:ascii="Palatino Linotype" w:eastAsia="Palatino Linotype" w:hAnsi="Palatino Linotype" w:cs="Palatino Linotype"/>
          <w:b/>
          <w:i/>
        </w:rPr>
        <w:t>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eastAsia="Palatino Linotype" w:hAnsi="Palatino Linotype" w:cs="Palatino Linotype"/>
          <w:b/>
          <w:i/>
        </w:rPr>
        <w:t xml:space="preserve"> la presente Ley y demás disposiciones de la materia, privilegiando el principio de máxima publicidad de la información.</w:t>
      </w:r>
      <w:r>
        <w:rPr>
          <w:rFonts w:ascii="Palatino Linotype" w:eastAsia="Palatino Linotype" w:hAnsi="Palatino Linotype" w:cs="Palatino Linotype"/>
          <w:i/>
        </w:rPr>
        <w:t xml:space="preserve"> Solo podrá ser clasificada excepcionalmente como reservada temporalmente por razones de interés público, en los términos de las causas </w:t>
      </w:r>
      <w:r>
        <w:rPr>
          <w:rFonts w:ascii="Palatino Linotype" w:eastAsia="Palatino Linotype" w:hAnsi="Palatino Linotype" w:cs="Palatino Linotype"/>
          <w:i/>
        </w:rPr>
        <w:t>legítimas y estrictamente necesarias previstas por esta Ley.</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12. </w:t>
      </w:r>
      <w:r>
        <w:rPr>
          <w:rFonts w:ascii="Palatino Linotype" w:eastAsia="Palatino Linotype" w:hAnsi="Palatino Linotype" w:cs="Palatino Linotype"/>
          <w:i/>
        </w:rPr>
        <w:t>Quienes generen, recopi</w:t>
      </w:r>
      <w:r>
        <w:rPr>
          <w:rFonts w:ascii="Palatino Linotype" w:eastAsia="Palatino Linotype" w:hAnsi="Palatino Linotype" w:cs="Palatino Linotype"/>
          <w:i/>
        </w:rPr>
        <w:t>len, administren, manejen, procesen, archiven o conserven información pública serán responsables de la misma en los términos de las disposiciones jurídicas aplicables.</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sólo proporcionarán la información pública que se les requiera y q</w:t>
      </w:r>
      <w:r>
        <w:rPr>
          <w:rFonts w:ascii="Palatino Linotype" w:eastAsia="Palatino Linotype" w:hAnsi="Palatino Linotype" w:cs="Palatino Linotype"/>
          <w:i/>
        </w:rPr>
        <w:t>ue obre en sus archivos y en el estado en que ésta se encuentre</w:t>
      </w:r>
      <w:r>
        <w:rPr>
          <w:rFonts w:ascii="Palatino Linotype" w:eastAsia="Palatino Linotype" w:hAnsi="Palatino Linotype" w:cs="Palatino Linotype"/>
          <w:i/>
          <w:u w:val="single"/>
        </w:rPr>
        <w:t>.</w:t>
      </w:r>
      <w:r>
        <w:rPr>
          <w:rFonts w:ascii="Palatino Linotype" w:eastAsia="Palatino Linotype" w:hAnsi="Palatino Linotype" w:cs="Palatino Linotype"/>
          <w:i/>
        </w:rPr>
        <w:t xml:space="preserve"> La obligación de proporcionar información no comprende el procesamiento de la misma, ni el presentarla conforme al interés del solicitante; no estarán obligados a generarla, resumirla, efectu</w:t>
      </w:r>
      <w:r>
        <w:rPr>
          <w:rFonts w:ascii="Palatino Linotype" w:eastAsia="Palatino Linotype" w:hAnsi="Palatino Linotype" w:cs="Palatino Linotype"/>
          <w:i/>
        </w:rPr>
        <w:t xml:space="preserve">ar cálculos o practicar investigaciones. </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24. </w:t>
      </w:r>
      <w:r>
        <w:rPr>
          <w:rFonts w:ascii="Palatino Linotype" w:eastAsia="Palatino Linotype" w:hAnsi="Palatino Linotype" w:cs="Palatino Linotype"/>
          <w:i/>
        </w:rPr>
        <w:t>Para el cumplimiento de los objetivos de esta Ley, los sujetos obligados deberán cumplir con las siguientes obligaciones, según corresponda, de acuerdo a su naturaleza:</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5532" w:rsidRDefault="00454DC7">
      <w:pPr>
        <w:spacing w:before="240" w:after="240" w:line="276" w:lineRule="auto"/>
        <w:ind w:left="567" w:right="902"/>
        <w:jc w:val="both"/>
        <w:rPr>
          <w:rFonts w:ascii="Palatino Linotype" w:eastAsia="Palatino Linotype" w:hAnsi="Palatino Linotype" w:cs="Palatino Linotype"/>
          <w:i/>
          <w:u w:val="single"/>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Fomentar el uso de</w:t>
      </w:r>
      <w:r>
        <w:rPr>
          <w:rFonts w:ascii="Palatino Linotype" w:eastAsia="Palatino Linotype" w:hAnsi="Palatino Linotype" w:cs="Palatino Linotype"/>
          <w:i/>
          <w:u w:val="single"/>
        </w:rPr>
        <w:t xml:space="preserve"> tecnologías de la información para garantizar la transparencia, el derecho de acceso a la información y la accesibilidad a éstos;</w:t>
      </w:r>
    </w:p>
    <w:p w:rsidR="00305532" w:rsidRDefault="00454DC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Dar acceso a la información pública que le sea requerida, en los términos de la Ley General, esta Ley y demás disposi</w:t>
      </w:r>
      <w:r>
        <w:rPr>
          <w:rFonts w:ascii="Palatino Linotype" w:eastAsia="Palatino Linotype" w:hAnsi="Palatino Linotype" w:cs="Palatino Linotype"/>
          <w:i/>
        </w:rPr>
        <w:t>ciones jurídicas aplicables;</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5532" w:rsidRDefault="00454DC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En la administración, gestión y custodia de los archivos de información pública, los sujetos obligados, los servidores públicos habilitados y los servidores públicos en general, se ajustarán a lo establecido por la normativ</w:t>
      </w:r>
      <w:r>
        <w:rPr>
          <w:rFonts w:ascii="Palatino Linotype" w:eastAsia="Palatino Linotype" w:hAnsi="Palatino Linotype" w:cs="Palatino Linotype"/>
          <w:i/>
        </w:rPr>
        <w:t>idad aplicable.</w:t>
      </w:r>
    </w:p>
    <w:p w:rsidR="00305532" w:rsidRDefault="00454DC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solo proporcionarán la información pública que generen, administren o posean en el ejercicio de sus atribuciones.”</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el ejercicio del derecho de acceso a la información pública es la prerrogativa de las person</w:t>
      </w:r>
      <w:r>
        <w:rPr>
          <w:rFonts w:ascii="Palatino Linotype" w:eastAsia="Palatino Linotype" w:hAnsi="Palatino Linotype" w:cs="Palatino Linotype"/>
          <w:sz w:val="24"/>
          <w:szCs w:val="24"/>
        </w:rPr>
        <w:t xml:space="preserve">as para buscar, difundir, investigar, recabar, recibir y solicitar información pública, sin necesidad de acreditar personalidad ni interés jurídico. </w:t>
      </w:r>
    </w:p>
    <w:p w:rsidR="00305532" w:rsidRDefault="00454DC7">
      <w:pPr>
        <w:spacing w:before="240" w:after="24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sz w:val="24"/>
          <w:szCs w:val="24"/>
        </w:rPr>
        <w:lastRenderedPageBreak/>
        <w:t xml:space="preserve">En ese sentido, resulta conveniente entrar al estudio de la información proporcionada por el </w:t>
      </w:r>
      <w:r>
        <w:rPr>
          <w:rFonts w:ascii="Palatino Linotype" w:eastAsia="Palatino Linotype" w:hAnsi="Palatino Linotype" w:cs="Palatino Linotype"/>
          <w:b/>
          <w:sz w:val="24"/>
          <w:szCs w:val="24"/>
        </w:rPr>
        <w:t>SUJETO OBLIGA</w:t>
      </w:r>
      <w:r>
        <w:rPr>
          <w:rFonts w:ascii="Palatino Linotype" w:eastAsia="Palatino Linotype" w:hAnsi="Palatino Linotype" w:cs="Palatino Linotype"/>
          <w:b/>
          <w:sz w:val="24"/>
          <w:szCs w:val="24"/>
        </w:rPr>
        <w:t>DO</w:t>
      </w:r>
      <w:r>
        <w:rPr>
          <w:rFonts w:ascii="Palatino Linotype" w:eastAsia="Palatino Linotype" w:hAnsi="Palatino Linotype" w:cs="Palatino Linotype"/>
          <w:sz w:val="24"/>
          <w:szCs w:val="24"/>
        </w:rPr>
        <w:t xml:space="preserve"> consistente en el oficio signado por la Servidora Pública Habilitada, la C. Isabel Martínez Díaz Leal, Servidor Público Habilitado de Recursos Humanos en dónde </w:t>
      </w:r>
      <w:r>
        <w:rPr>
          <w:rFonts w:ascii="Palatino Linotype" w:eastAsia="Palatino Linotype" w:hAnsi="Palatino Linotype" w:cs="Palatino Linotype"/>
          <w:b/>
          <w:sz w:val="24"/>
          <w:szCs w:val="24"/>
          <w:u w:val="single"/>
        </w:rPr>
        <w:t>menciona que derivado de una búsqueda exhaustiva, informa que no existe registro alguno de no</w:t>
      </w:r>
      <w:r>
        <w:rPr>
          <w:rFonts w:ascii="Palatino Linotype" w:eastAsia="Palatino Linotype" w:hAnsi="Palatino Linotype" w:cs="Palatino Linotype"/>
          <w:b/>
          <w:sz w:val="24"/>
          <w:szCs w:val="24"/>
          <w:u w:val="single"/>
        </w:rPr>
        <w:t>mbre JOSE JAVIR TRUJILLO VERA.</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No obstante del caso en concretó no se advierte que los elementos proporcionados en la solicitud de información, resultaran  insuficientes para poder dar atención, ya que si bien del nombre proporcionado se advierte la falta de una letra en el segundo nomb</w:t>
      </w:r>
      <w:r>
        <w:rPr>
          <w:rFonts w:ascii="Palatino Linotype" w:eastAsia="Palatino Linotype" w:hAnsi="Palatino Linotype" w:cs="Palatino Linotype"/>
          <w:color w:val="000000"/>
          <w:sz w:val="24"/>
          <w:szCs w:val="24"/>
        </w:rPr>
        <w:t xml:space="preserve">re, esto no resulta un impedimento para negar el Derecho de Acceso a la Información Pública. </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es así, ya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pudo realizar una búsqueda exhaustiva y razonable de la información con los elementos proporcionados y entregar lo s</w:t>
      </w:r>
      <w:r>
        <w:rPr>
          <w:rFonts w:ascii="Palatino Linotype" w:eastAsia="Palatino Linotype" w:hAnsi="Palatino Linotype" w:cs="Palatino Linotype"/>
          <w:color w:val="000000"/>
          <w:sz w:val="24"/>
          <w:szCs w:val="24"/>
        </w:rPr>
        <w:t>olicitado de aquella persona que detente los nombres y apellidos proporcionados.</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sentido, este Organismo Garante, con los datos proporcionados por el particular, se realizó una búsqueda mediante enlaces electrónicos del Ayuntamiento de Villa Guerrer</w:t>
      </w:r>
      <w:r>
        <w:rPr>
          <w:rFonts w:ascii="Palatino Linotype" w:eastAsia="Palatino Linotype" w:hAnsi="Palatino Linotype" w:cs="Palatino Linotype"/>
          <w:color w:val="000000"/>
          <w:sz w:val="24"/>
          <w:szCs w:val="24"/>
        </w:rPr>
        <w:t xml:space="preserve">o, localizando un servidor público adscrito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lo cual se corrobora que no resulta ser una limitante para la búsqueda de la información, como se observa:</w:t>
      </w:r>
    </w:p>
    <w:p w:rsidR="00305532" w:rsidRDefault="0030553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noProof/>
          <w:color w:val="000000"/>
        </w:rPr>
        <w:lastRenderedPageBreak/>
        <w:drawing>
          <wp:inline distT="0" distB="0" distL="0" distR="0">
            <wp:extent cx="5703425" cy="4282344"/>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8019" t="6967" r="20414" b="10844"/>
                    <a:stretch>
                      <a:fillRect/>
                    </a:stretch>
                  </pic:blipFill>
                  <pic:spPr>
                    <a:xfrm>
                      <a:off x="0" y="0"/>
                      <a:ext cx="5703425" cy="4282344"/>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1333500</wp:posOffset>
                </wp:positionH>
                <wp:positionV relativeFrom="paragraph">
                  <wp:posOffset>25400</wp:posOffset>
                </wp:positionV>
                <wp:extent cx="3190875" cy="447675"/>
                <wp:effectExtent l="0" t="0" r="0" b="0"/>
                <wp:wrapNone/>
                <wp:docPr id="17" name="Rectángulo 17"/>
                <wp:cNvGraphicFramePr/>
                <a:graphic xmlns:a="http://schemas.openxmlformats.org/drawingml/2006/main">
                  <a:graphicData uri="http://schemas.microsoft.com/office/word/2010/wordprocessingShape">
                    <wps:wsp>
                      <wps:cNvSpPr/>
                      <wps:spPr>
                        <a:xfrm>
                          <a:off x="3769613" y="3575213"/>
                          <a:ext cx="3152775" cy="409575"/>
                        </a:xfrm>
                        <a:prstGeom prst="rect">
                          <a:avLst/>
                        </a:prstGeom>
                        <a:noFill/>
                        <a:ln w="38100" cap="flat" cmpd="sng">
                          <a:solidFill>
                            <a:srgbClr val="FF0000"/>
                          </a:solidFill>
                          <a:prstDash val="solid"/>
                          <a:miter lim="800000"/>
                          <a:headEnd type="none" w="sm" len="sm"/>
                          <a:tailEnd type="none" w="sm" len="sm"/>
                        </a:ln>
                      </wps:spPr>
                      <wps:txbx>
                        <w:txbxContent>
                          <w:p w:rsidR="00305532" w:rsidRDefault="003055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25400</wp:posOffset>
                </wp:positionV>
                <wp:extent cx="3190875" cy="447675"/>
                <wp:effectExtent b="0" l="0" r="0" t="0"/>
                <wp:wrapNone/>
                <wp:docPr id="17"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3190875" cy="4476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-12699</wp:posOffset>
                </wp:positionH>
                <wp:positionV relativeFrom="paragraph">
                  <wp:posOffset>4546600</wp:posOffset>
                </wp:positionV>
                <wp:extent cx="5499786" cy="2830727"/>
                <wp:effectExtent l="0" t="0" r="0" b="0"/>
                <wp:wrapNone/>
                <wp:docPr id="16" name="Conector recto de flecha 16"/>
                <wp:cNvGraphicFramePr/>
                <a:graphic xmlns:a="http://schemas.openxmlformats.org/drawingml/2006/main">
                  <a:graphicData uri="http://schemas.microsoft.com/office/word/2010/wordprocessingShape">
                    <wps:wsp>
                      <wps:cNvCnPr/>
                      <wps:spPr>
                        <a:xfrm>
                          <a:off x="2615157" y="2383687"/>
                          <a:ext cx="5461686" cy="2792627"/>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4546600</wp:posOffset>
                </wp:positionV>
                <wp:extent cx="5499786" cy="2830727"/>
                <wp:effectExtent b="0" l="0" r="0" t="0"/>
                <wp:wrapNone/>
                <wp:docPr id="16"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5499786" cy="2830727"/>
                        </a:xfrm>
                        <a:prstGeom prst="rect"/>
                        <a:ln/>
                      </pic:spPr>
                    </pic:pic>
                  </a:graphicData>
                </a:graphic>
              </wp:anchor>
            </w:drawing>
          </mc:Fallback>
        </mc:AlternateConten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noProof/>
          <w:color w:val="000000"/>
        </w:rPr>
        <w:lastRenderedPageBreak/>
        <w:drawing>
          <wp:inline distT="0" distB="0" distL="0" distR="0">
            <wp:extent cx="5775256" cy="558798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25852" t="7243" r="26209" b="10291"/>
                    <a:stretch>
                      <a:fillRect/>
                    </a:stretch>
                  </pic:blipFill>
                  <pic:spPr>
                    <a:xfrm>
                      <a:off x="0" y="0"/>
                      <a:ext cx="5775256" cy="5587985"/>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1549400</wp:posOffset>
                </wp:positionH>
                <wp:positionV relativeFrom="paragraph">
                  <wp:posOffset>4826000</wp:posOffset>
                </wp:positionV>
                <wp:extent cx="1752600" cy="756872"/>
                <wp:effectExtent l="0" t="0" r="0" b="0"/>
                <wp:wrapNone/>
                <wp:docPr id="15" name="Rectángulo 15"/>
                <wp:cNvGraphicFramePr/>
                <a:graphic xmlns:a="http://schemas.openxmlformats.org/drawingml/2006/main">
                  <a:graphicData uri="http://schemas.microsoft.com/office/word/2010/wordprocessingShape">
                    <wps:wsp>
                      <wps:cNvSpPr/>
                      <wps:spPr>
                        <a:xfrm>
                          <a:off x="4488750" y="3420614"/>
                          <a:ext cx="1714500" cy="718772"/>
                        </a:xfrm>
                        <a:prstGeom prst="rect">
                          <a:avLst/>
                        </a:prstGeom>
                        <a:noFill/>
                        <a:ln w="38100" cap="flat" cmpd="sng">
                          <a:solidFill>
                            <a:srgbClr val="FF0000"/>
                          </a:solidFill>
                          <a:prstDash val="solid"/>
                          <a:miter lim="800000"/>
                          <a:headEnd type="none" w="sm" len="sm"/>
                          <a:tailEnd type="none" w="sm" len="sm"/>
                        </a:ln>
                      </wps:spPr>
                      <wps:txbx>
                        <w:txbxContent>
                          <w:p w:rsidR="00305532" w:rsidRDefault="003055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4826000</wp:posOffset>
                </wp:positionV>
                <wp:extent cx="1752600" cy="756872"/>
                <wp:effectExtent b="0" l="0" r="0" t="0"/>
                <wp:wrapNone/>
                <wp:docPr id="15"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752600" cy="756872"/>
                        </a:xfrm>
                        <a:prstGeom prst="rect"/>
                        <a:ln/>
                      </pic:spPr>
                    </pic:pic>
                  </a:graphicData>
                </a:graphic>
              </wp:anchor>
            </w:drawing>
          </mc:Fallback>
        </mc:AlternateContent>
      </w:r>
    </w:p>
    <w:p w:rsidR="00305532" w:rsidRDefault="0030553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8"/>
          <w:szCs w:val="28"/>
        </w:rPr>
      </w:pPr>
      <w:r>
        <w:rPr>
          <w:noProof/>
          <w:color w:val="000000"/>
        </w:rPr>
        <w:lastRenderedPageBreak/>
        <w:drawing>
          <wp:inline distT="0" distB="0" distL="0" distR="0">
            <wp:extent cx="5709243" cy="3080127"/>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1253" t="18946" r="1300" b="7784"/>
                    <a:stretch>
                      <a:fillRect/>
                    </a:stretch>
                  </pic:blipFill>
                  <pic:spPr>
                    <a:xfrm>
                      <a:off x="0" y="0"/>
                      <a:ext cx="5709243" cy="3080127"/>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2146300</wp:posOffset>
                </wp:positionV>
                <wp:extent cx="5725795" cy="178777"/>
                <wp:effectExtent l="0" t="0" r="0" b="0"/>
                <wp:wrapNone/>
                <wp:docPr id="14" name="Rectángulo 14"/>
                <wp:cNvGraphicFramePr/>
                <a:graphic xmlns:a="http://schemas.openxmlformats.org/drawingml/2006/main">
                  <a:graphicData uri="http://schemas.microsoft.com/office/word/2010/wordprocessingShape">
                    <wps:wsp>
                      <wps:cNvSpPr/>
                      <wps:spPr>
                        <a:xfrm>
                          <a:off x="2502153" y="3709662"/>
                          <a:ext cx="5687695" cy="140677"/>
                        </a:xfrm>
                        <a:prstGeom prst="rect">
                          <a:avLst/>
                        </a:prstGeom>
                        <a:noFill/>
                        <a:ln w="38100" cap="flat" cmpd="sng">
                          <a:solidFill>
                            <a:srgbClr val="FF0000"/>
                          </a:solidFill>
                          <a:prstDash val="solid"/>
                          <a:miter lim="800000"/>
                          <a:headEnd type="none" w="sm" len="sm"/>
                          <a:tailEnd type="none" w="sm" len="sm"/>
                        </a:ln>
                      </wps:spPr>
                      <wps:txbx>
                        <w:txbxContent>
                          <w:p w:rsidR="00305532" w:rsidRDefault="003055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2146300</wp:posOffset>
                </wp:positionV>
                <wp:extent cx="5725795" cy="178777"/>
                <wp:effectExtent b="0" l="0" r="0" t="0"/>
                <wp:wrapNone/>
                <wp:docPr id="14"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5725795" cy="178777"/>
                        </a:xfrm>
                        <a:prstGeom prst="rect"/>
                        <a:ln/>
                      </pic:spPr>
                    </pic:pic>
                  </a:graphicData>
                </a:graphic>
              </wp:anchor>
            </w:drawing>
          </mc:Fallback>
        </mc:AlternateConten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Como se desprende de las capturas de pantalla, existe un serv</w:t>
      </w:r>
      <w:r>
        <w:rPr>
          <w:rFonts w:ascii="Palatino Linotype" w:eastAsia="Palatino Linotype" w:hAnsi="Palatino Linotype" w:cs="Palatino Linotype"/>
          <w:color w:val="000000"/>
          <w:sz w:val="24"/>
          <w:szCs w:val="24"/>
        </w:rPr>
        <w:t>idor público que detenta los nombres y apellidos proporcionados por el particular, en el que se especifica la fecha del uno de octubre de dos mil veintiuno como inicio del periodo en el que se informa y como fecha de término del periodo que se informa el t</w:t>
      </w:r>
      <w:r>
        <w:rPr>
          <w:rFonts w:ascii="Palatino Linotype" w:eastAsia="Palatino Linotype" w:hAnsi="Palatino Linotype" w:cs="Palatino Linotype"/>
          <w:color w:val="000000"/>
          <w:sz w:val="24"/>
          <w:szCs w:val="24"/>
        </w:rPr>
        <w:t>reinta y uno de diciembre de dos mil veintiuno.</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sentido, conveniente señalar que de acuerdo al Manual de Organización Dirección de Recursos Humanos del Ayuntamiento de Villa Guerrero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tiene las siguientes atribuciones:</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“Dirección de Recursos Humanos Objetivo Planear, organizar, dirigir y controlar los procesos derivados de la administración de los recursos humanos del Ayuntamiento, así como aplicar las técnicas necesarias para promover la permanencia y el desempeño efica</w:t>
      </w:r>
      <w:r>
        <w:rPr>
          <w:rFonts w:ascii="Palatino Linotype" w:eastAsia="Palatino Linotype" w:hAnsi="Palatino Linotype" w:cs="Palatino Linotype"/>
          <w:i/>
        </w:rPr>
        <w:t>z de los servidores públicos.</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Funciones</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Acordar y vigilar el cumplimiento de las condiciones generales de trabajo que establezcan las relaciones entre el Municipio y los servidores públicos;</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Tramitar y registrar todos los movimientos del personal de la</w:t>
      </w:r>
      <w:r>
        <w:rPr>
          <w:rFonts w:ascii="Palatino Linotype" w:eastAsia="Palatino Linotype" w:hAnsi="Palatino Linotype" w:cs="Palatino Linotype"/>
          <w:i/>
        </w:rPr>
        <w:t xml:space="preserve"> administración municipal centralizada;”(Sic)</w:t>
      </w:r>
    </w:p>
    <w:p w:rsidR="00305532" w:rsidRDefault="00454DC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Bajo tales circunstancias, se advierte que la Dirección de Recursos Humanos del Ayuntamiento de Villa Guerrero cuenta con la Jefatura de Recursos Humanos resultando ser el área administrativa idónea ya que acue</w:t>
      </w:r>
      <w:r>
        <w:rPr>
          <w:rFonts w:ascii="Palatino Linotype" w:eastAsia="Palatino Linotype" w:hAnsi="Palatino Linotype" w:cs="Palatino Linotype"/>
          <w:color w:val="000000"/>
          <w:sz w:val="24"/>
          <w:szCs w:val="24"/>
        </w:rPr>
        <w:t xml:space="preserve">rda y vigila el cumplimiento de las condiciones generales de trabajo, derivado de las relaciones entre el Municipio y los servidores públicos, así como de tramitar y registrar los movimientos del personal de la administración municipal centralizada. </w:t>
      </w:r>
    </w:p>
    <w:p w:rsidR="00305532" w:rsidRDefault="00454DC7">
      <w:pPr>
        <w:spacing w:before="240" w:after="240" w:line="360" w:lineRule="auto"/>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4"/>
          <w:szCs w:val="24"/>
        </w:rPr>
        <w:t>Atent</w:t>
      </w:r>
      <w:r>
        <w:rPr>
          <w:rFonts w:ascii="Palatino Linotype" w:eastAsia="Palatino Linotype" w:hAnsi="Palatino Linotype" w:cs="Palatino Linotype"/>
          <w:sz w:val="24"/>
          <w:szCs w:val="24"/>
        </w:rPr>
        <w:t xml:space="preserve">o a lo anterior, es que resulta dable ordenar una nueva búsqueda exhaustiva y razonable en los archivos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y se entregue el soporte documental requerido, del servidor público referido en la solicitud de acceso a la información pública </w:t>
      </w:r>
      <w:r>
        <w:rPr>
          <w:rFonts w:ascii="Palatino Linotype" w:eastAsia="Palatino Linotype" w:hAnsi="Palatino Linotype" w:cs="Palatino Linotype"/>
          <w:b/>
          <w:color w:val="000000"/>
          <w:sz w:val="24"/>
          <w:szCs w:val="24"/>
        </w:rPr>
        <w:t>000</w:t>
      </w:r>
      <w:r>
        <w:rPr>
          <w:rFonts w:ascii="Palatino Linotype" w:eastAsia="Palatino Linotype" w:hAnsi="Palatino Linotype" w:cs="Palatino Linotype"/>
          <w:b/>
          <w:color w:val="000000"/>
          <w:sz w:val="24"/>
          <w:szCs w:val="24"/>
        </w:rPr>
        <w:t>29/VIGUERRE/IP/2022</w:t>
      </w:r>
      <w:r>
        <w:rPr>
          <w:rFonts w:ascii="Palatino Linotype" w:eastAsia="Palatino Linotype" w:hAnsi="Palatino Linotype" w:cs="Palatino Linotype"/>
          <w:sz w:val="24"/>
          <w:szCs w:val="24"/>
        </w:rPr>
        <w:t>, de ser el caso en versión pública, en términos del considerando quinto del presente fallo.</w:t>
      </w:r>
    </w:p>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No se omite comentar que el documento que, de manera enunciativa más limitada, colmaría la solicitud de acceso a la información del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p</w:t>
      </w:r>
      <w:r>
        <w:rPr>
          <w:rFonts w:ascii="Palatino Linotype" w:eastAsia="Palatino Linotype" w:hAnsi="Palatino Linotype" w:cs="Palatino Linotype"/>
          <w:color w:val="000000"/>
          <w:sz w:val="24"/>
          <w:szCs w:val="24"/>
        </w:rPr>
        <w:t xml:space="preserve">odría ser el </w:t>
      </w:r>
      <w:r>
        <w:rPr>
          <w:rFonts w:ascii="Palatino Linotype" w:eastAsia="Palatino Linotype" w:hAnsi="Palatino Linotype" w:cs="Palatino Linotype"/>
          <w:sz w:val="24"/>
          <w:szCs w:val="24"/>
        </w:rPr>
        <w:t>nombramiento, el formato único de movimiento de personal, o contrato, lo anterior de conformidad con lo siguiente:</w:t>
      </w:r>
    </w:p>
    <w:p w:rsidR="00305532" w:rsidRDefault="00454DC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LEY DEL TRABAJO DE LOS SERVIDORES PUBLICOS DEL ESTADO Y MUNICIPIOS</w:t>
      </w:r>
    </w:p>
    <w:p w:rsidR="00305532" w:rsidRDefault="00454DC7">
      <w:pPr>
        <w:spacing w:before="240" w:after="240" w:line="276"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rPr>
        <w:t xml:space="preserve">ARTÍCULO 5.- La relación de trabajo entre las instituciones públicas y sus servidores públicos se entiende establecida mediante </w:t>
      </w:r>
      <w:r>
        <w:rPr>
          <w:rFonts w:ascii="Palatino Linotype" w:eastAsia="Palatino Linotype" w:hAnsi="Palatino Linotype" w:cs="Palatino Linotype"/>
          <w:i/>
          <w:u w:val="single"/>
        </w:rPr>
        <w:t>nombramiento, formato único de movimiento de personal, contrato</w:t>
      </w:r>
      <w:r>
        <w:rPr>
          <w:rFonts w:ascii="Palatino Linotype" w:eastAsia="Palatino Linotype" w:hAnsi="Palatino Linotype" w:cs="Palatino Linotype"/>
          <w:i/>
        </w:rPr>
        <w:t xml:space="preserve"> o por cualquier otro acto que tenga como consecuencia la prestac</w:t>
      </w:r>
      <w:r>
        <w:rPr>
          <w:rFonts w:ascii="Palatino Linotype" w:eastAsia="Palatino Linotype" w:hAnsi="Palatino Linotype" w:cs="Palatino Linotype"/>
          <w:i/>
        </w:rPr>
        <w:t>ión personal subordinada del servicio y la percepción de un sueldo.</w:t>
      </w:r>
    </w:p>
    <w:p w:rsidR="00305532" w:rsidRDefault="00454DC7">
      <w:pPr>
        <w:shd w:val="clear" w:color="auto" w:fill="FFFFFF"/>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222222"/>
          <w:sz w:val="24"/>
          <w:szCs w:val="24"/>
        </w:rPr>
        <w:t xml:space="preserve">Documentos que además adquieren el carácter de información pública ya que </w:t>
      </w:r>
      <w:r>
        <w:rPr>
          <w:rFonts w:ascii="Palatino Linotype" w:eastAsia="Palatino Linotype" w:hAnsi="Palatino Linotype" w:cs="Palatino Linotype"/>
          <w:sz w:val="24"/>
          <w:szCs w:val="24"/>
        </w:rPr>
        <w:t>atiende directamente a la actividad de la administración de personal, es decir, tener acceso a los nombramientos o</w:t>
      </w:r>
      <w:r>
        <w:rPr>
          <w:rFonts w:ascii="Palatino Linotype" w:eastAsia="Palatino Linotype" w:hAnsi="Palatino Linotype" w:cs="Palatino Linotype"/>
          <w:sz w:val="24"/>
          <w:szCs w:val="24"/>
        </w:rPr>
        <w:t xml:space="preserve"> contratos realizados, que de acuerdo a las correctas prácticas administrativas, deben existir expedientes laborales para llevar a cabo el control del personal adscrito a la dependencia gubernamental o Ayuntamiento.</w:t>
      </w:r>
    </w:p>
    <w:p w:rsidR="00305532" w:rsidRDefault="00454DC7">
      <w:pPr>
        <w:shd w:val="clear" w:color="auto" w:fill="FFFFFF"/>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se estima así porque derivad</w:t>
      </w:r>
      <w:r>
        <w:rPr>
          <w:rFonts w:ascii="Palatino Linotype" w:eastAsia="Palatino Linotype" w:hAnsi="Palatino Linotype" w:cs="Palatino Linotype"/>
          <w:sz w:val="24"/>
          <w:szCs w:val="24"/>
        </w:rPr>
        <w:t xml:space="preserve">o del control de expedientes del personal que integran las entidades públicas, se lleva un adecuado control administrativo sobre aspectos tan fundamentales como: </w:t>
      </w:r>
      <w:r>
        <w:rPr>
          <w:rFonts w:ascii="Palatino Linotype" w:eastAsia="Palatino Linotype" w:hAnsi="Palatino Linotype" w:cs="Palatino Linotype"/>
          <w:b/>
          <w:sz w:val="24"/>
          <w:szCs w:val="24"/>
        </w:rPr>
        <w:t>el nombre del personal contratado</w:t>
      </w:r>
      <w:r>
        <w:rPr>
          <w:rFonts w:ascii="Palatino Linotype" w:eastAsia="Palatino Linotype" w:hAnsi="Palatino Linotype" w:cs="Palatino Linotype"/>
          <w:sz w:val="24"/>
          <w:szCs w:val="24"/>
        </w:rPr>
        <w:t>, las plazas existentes, las plazas ocupadas o vacantes, el n</w:t>
      </w:r>
      <w:r>
        <w:rPr>
          <w:rFonts w:ascii="Palatino Linotype" w:eastAsia="Palatino Linotype" w:hAnsi="Palatino Linotype" w:cs="Palatino Linotype"/>
          <w:sz w:val="24"/>
          <w:szCs w:val="24"/>
        </w:rPr>
        <w:t>ombre y perfil de los servidores públicos, el cargo que se desempeñara y el nombramiento  el nombre del personal dado de alta, etc.</w:t>
      </w:r>
    </w:p>
    <w:p w:rsidR="00305532" w:rsidRDefault="00454DC7">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que también se vincula con la forma de llevar un efectivo control y registro de pagos,  y fecha de antigüedad de su perso</w:t>
      </w:r>
      <w:r>
        <w:rPr>
          <w:rFonts w:ascii="Palatino Linotype" w:eastAsia="Palatino Linotype" w:hAnsi="Palatino Linotype" w:cs="Palatino Linotype"/>
          <w:sz w:val="24"/>
          <w:szCs w:val="24"/>
        </w:rPr>
        <w:t xml:space="preserve">nal, información que, se insiste, debe formar parte de su expediente de personal. </w:t>
      </w:r>
    </w:p>
    <w:p w:rsidR="00305532" w:rsidRDefault="00305532">
      <w:pPr>
        <w:spacing w:after="0" w:line="360" w:lineRule="auto"/>
        <w:ind w:right="-93"/>
        <w:jc w:val="both"/>
        <w:rPr>
          <w:rFonts w:ascii="Palatino Linotype" w:eastAsia="Palatino Linotype" w:hAnsi="Palatino Linotype" w:cs="Palatino Linotype"/>
          <w:sz w:val="24"/>
          <w:szCs w:val="24"/>
        </w:rPr>
      </w:pPr>
    </w:p>
    <w:p w:rsidR="00305532" w:rsidRDefault="00454DC7">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Adicionalmente que sirve como analogía  el criterio  004/2006 y  15/2006 del Comité de Información emitido por el Poder Judicial sobre la publicidad de la información de lo</w:t>
      </w:r>
      <w:r>
        <w:rPr>
          <w:rFonts w:ascii="Palatino Linotype" w:eastAsia="Palatino Linotype" w:hAnsi="Palatino Linotype" w:cs="Palatino Linotype"/>
          <w:sz w:val="24"/>
          <w:szCs w:val="24"/>
        </w:rPr>
        <w:t>s expedientes laborales de los servidores públicos que señala lo siguiente:</w:t>
      </w:r>
    </w:p>
    <w:p w:rsidR="00305532" w:rsidRDefault="00305532">
      <w:pPr>
        <w:spacing w:after="0" w:line="360" w:lineRule="auto"/>
        <w:ind w:right="-162"/>
        <w:jc w:val="both"/>
        <w:rPr>
          <w:rFonts w:ascii="Palatino Linotype" w:eastAsia="Palatino Linotype" w:hAnsi="Palatino Linotype" w:cs="Palatino Linotype"/>
          <w:sz w:val="24"/>
          <w:szCs w:val="24"/>
        </w:rPr>
      </w:pPr>
    </w:p>
    <w:p w:rsidR="00305532" w:rsidRDefault="00454DC7">
      <w:pPr>
        <w:spacing w:after="0" w:line="240" w:lineRule="auto"/>
        <w:ind w:left="709" w:right="616"/>
        <w:jc w:val="both"/>
        <w:rPr>
          <w:rFonts w:ascii="Palatino Linotype" w:eastAsia="Palatino Linotype" w:hAnsi="Palatino Linotype" w:cs="Palatino Linotype"/>
          <w:b/>
          <w:i/>
        </w:rPr>
      </w:pPr>
      <w:r>
        <w:rPr>
          <w:rFonts w:ascii="Palatino Linotype" w:eastAsia="Palatino Linotype" w:hAnsi="Palatino Linotype" w:cs="Palatino Linotype"/>
          <w:b/>
          <w:i/>
        </w:rPr>
        <w:t>Criterio 04/2006</w:t>
      </w:r>
    </w:p>
    <w:p w:rsidR="00305532" w:rsidRDefault="00454DC7">
      <w:pPr>
        <w:spacing w:after="0" w:line="240" w:lineRule="auto"/>
        <w:ind w:left="709" w:right="616"/>
        <w:jc w:val="both"/>
        <w:rPr>
          <w:rFonts w:ascii="Palatino Linotype" w:eastAsia="Palatino Linotype" w:hAnsi="Palatino Linotype" w:cs="Palatino Linotype"/>
          <w:b/>
          <w:i/>
        </w:rPr>
      </w:pPr>
      <w:r>
        <w:rPr>
          <w:rFonts w:ascii="Palatino Linotype" w:eastAsia="Palatino Linotype" w:hAnsi="Palatino Linotype" w:cs="Palatino Linotype"/>
          <w:b/>
          <w:i/>
        </w:rPr>
        <w:t>NOMBRAMIENTOS Y AVISOS DE BAJA DE LOS SERVIDORES PÚBLICOS DE LA SUPREMA CORTE DE JUSTICIA DE LA NACIÓN. EL DOCUMENTO EN EL QUE CONSTEN ES PÚBLICO, CON EXCEPCIÓN D</w:t>
      </w:r>
      <w:r>
        <w:rPr>
          <w:rFonts w:ascii="Palatino Linotype" w:eastAsia="Palatino Linotype" w:hAnsi="Palatino Linotype" w:cs="Palatino Linotype"/>
          <w:b/>
          <w:i/>
        </w:rPr>
        <w:t xml:space="preserve">E LOS DATOS PERSONALES QUE CONTENGAN, LOS QUE CONSTITUYEN INFORMACIÓN CONFIDENCIAL QUE DEBE SUPRIMIRSE DE LA VERSIÓN PÚBLICA QUE SE GENERE. </w:t>
      </w:r>
    </w:p>
    <w:p w:rsidR="00305532" w:rsidRDefault="00454DC7">
      <w:pPr>
        <w:spacing w:after="0" w:line="240" w:lineRule="auto"/>
        <w:ind w:left="709" w:right="616"/>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Los documentos relativos a los nombramientos y avisos de baja de los servidores públicos de la Suprema Corte de Justicia de la Nación constituyen información pública, toda vez que se trata de actos administrativos relativos al manejo de su personal y, por </w:t>
      </w:r>
      <w:r>
        <w:rPr>
          <w:rFonts w:ascii="Palatino Linotype" w:eastAsia="Palatino Linotype" w:hAnsi="Palatino Linotype" w:cs="Palatino Linotype"/>
          <w:b/>
          <w:i/>
          <w:u w:val="single"/>
        </w:rPr>
        <w:t>ende, justifican parte del ejercicio del presupuesto público asignado.</w:t>
      </w:r>
      <w:r>
        <w:rPr>
          <w:rFonts w:ascii="Palatino Linotype" w:eastAsia="Palatino Linotype" w:hAnsi="Palatino Linotype" w:cs="Palatino Linotype"/>
          <w:i/>
        </w:rPr>
        <w:t xml:space="preserve"> En este sentido, si bien se trata de información de</w:t>
      </w:r>
      <w:r>
        <w:rPr>
          <w:rFonts w:ascii="Palatino Linotype" w:eastAsia="Palatino Linotype" w:hAnsi="Palatino Linotype" w:cs="Palatino Linotype"/>
          <w:b/>
          <w:i/>
        </w:rPr>
        <w:t xml:space="preserve"> </w:t>
      </w:r>
      <w:r>
        <w:rPr>
          <w:rFonts w:ascii="Palatino Linotype" w:eastAsia="Palatino Linotype" w:hAnsi="Palatino Linotype" w:cs="Palatino Linotype"/>
          <w:i/>
        </w:rPr>
        <w:t>naturaleza pública, lo cierto es que en acatamiento a lo dispuesto</w:t>
      </w:r>
      <w:r>
        <w:rPr>
          <w:rFonts w:ascii="Palatino Linotype" w:eastAsia="Palatino Linotype" w:hAnsi="Palatino Linotype" w:cs="Palatino Linotype"/>
          <w:b/>
          <w:i/>
        </w:rPr>
        <w:t xml:space="preserve"> </w:t>
      </w:r>
      <w:r>
        <w:rPr>
          <w:rFonts w:ascii="Palatino Linotype" w:eastAsia="Palatino Linotype" w:hAnsi="Palatino Linotype" w:cs="Palatino Linotype"/>
          <w:i/>
        </w:rPr>
        <w:t>en la Ley Federal de Transparencia y Acceso a la 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i/>
        </w:rPr>
        <w:t>Públi</w:t>
      </w:r>
      <w:r>
        <w:rPr>
          <w:rFonts w:ascii="Palatino Linotype" w:eastAsia="Palatino Linotype" w:hAnsi="Palatino Linotype" w:cs="Palatino Linotype"/>
          <w:i/>
        </w:rPr>
        <w:t xml:space="preserve">ca Gubernamental </w:t>
      </w:r>
      <w:r>
        <w:rPr>
          <w:rFonts w:ascii="Palatino Linotype" w:eastAsia="Palatino Linotype" w:hAnsi="Palatino Linotype" w:cs="Palatino Linotype"/>
          <w:i/>
          <w:u w:val="single"/>
        </w:rPr>
        <w:t>para dar acceso a los referidos</w:t>
      </w:r>
      <w:r>
        <w:rPr>
          <w:rFonts w:ascii="Palatino Linotype" w:eastAsia="Palatino Linotype" w:hAnsi="Palatino Linotype" w:cs="Palatino Linotype"/>
          <w:b/>
          <w:i/>
          <w:u w:val="single"/>
        </w:rPr>
        <w:t xml:space="preserve"> </w:t>
      </w:r>
      <w:r>
        <w:rPr>
          <w:rFonts w:ascii="Palatino Linotype" w:eastAsia="Palatino Linotype" w:hAnsi="Palatino Linotype" w:cs="Palatino Linotype"/>
          <w:i/>
          <w:u w:val="single"/>
        </w:rPr>
        <w:t>documentos es necesario generar una versión pública de la</w:t>
      </w:r>
      <w:r>
        <w:rPr>
          <w:rFonts w:ascii="Palatino Linotype" w:eastAsia="Palatino Linotype" w:hAnsi="Palatino Linotype" w:cs="Palatino Linotype"/>
          <w:b/>
          <w:i/>
          <w:u w:val="single"/>
        </w:rPr>
        <w:t xml:space="preserve"> </w:t>
      </w:r>
      <w:r>
        <w:rPr>
          <w:rFonts w:ascii="Palatino Linotype" w:eastAsia="Palatino Linotype" w:hAnsi="Palatino Linotype" w:cs="Palatino Linotype"/>
          <w:i/>
          <w:u w:val="single"/>
        </w:rPr>
        <w:t>que se supriman los datos confidenciales que contengan, como</w:t>
      </w:r>
      <w:r>
        <w:rPr>
          <w:rFonts w:ascii="Palatino Linotype" w:eastAsia="Palatino Linotype" w:hAnsi="Palatino Linotype" w:cs="Palatino Linotype"/>
          <w:b/>
          <w:i/>
          <w:u w:val="single"/>
        </w:rPr>
        <w:t xml:space="preserve"> </w:t>
      </w:r>
      <w:r>
        <w:rPr>
          <w:rFonts w:ascii="Palatino Linotype" w:eastAsia="Palatino Linotype" w:hAnsi="Palatino Linotype" w:cs="Palatino Linotype"/>
          <w:i/>
          <w:u w:val="single"/>
        </w:rPr>
        <w:t>pueden ser el domicilio, el estado civil o el teléfono particular</w:t>
      </w:r>
      <w:r>
        <w:rPr>
          <w:rFonts w:ascii="Palatino Linotype" w:eastAsia="Palatino Linotype" w:hAnsi="Palatino Linotype" w:cs="Palatino Linotype"/>
          <w:b/>
          <w:i/>
          <w:u w:val="single"/>
        </w:rPr>
        <w:t xml:space="preserve"> </w:t>
      </w:r>
      <w:r>
        <w:rPr>
          <w:rFonts w:ascii="Palatino Linotype" w:eastAsia="Palatino Linotype" w:hAnsi="Palatino Linotype" w:cs="Palatino Linotype"/>
          <w:i/>
          <w:u w:val="single"/>
        </w:rPr>
        <w:t>del servidor público respectivo.</w:t>
      </w:r>
    </w:p>
    <w:p w:rsidR="00305532" w:rsidRDefault="00454DC7">
      <w:pPr>
        <w:spacing w:after="0" w:line="240" w:lineRule="auto"/>
        <w:ind w:left="709" w:right="616"/>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Clasificación de Información 10/2006-A, </w:t>
      </w:r>
      <w:r>
        <w:rPr>
          <w:rFonts w:ascii="Palatino Linotype" w:eastAsia="Palatino Linotype" w:hAnsi="Palatino Linotype" w:cs="Palatino Linotype"/>
          <w:i/>
        </w:rPr>
        <w:t>derivada de la solicitud</w:t>
      </w:r>
      <w:r>
        <w:rPr>
          <w:rFonts w:ascii="Palatino Linotype" w:eastAsia="Palatino Linotype" w:hAnsi="Palatino Linotype" w:cs="Palatino Linotype"/>
          <w:b/>
          <w:i/>
        </w:rPr>
        <w:t xml:space="preserve"> </w:t>
      </w:r>
      <w:r>
        <w:rPr>
          <w:rFonts w:ascii="Palatino Linotype" w:eastAsia="Palatino Linotype" w:hAnsi="Palatino Linotype" w:cs="Palatino Linotype"/>
          <w:i/>
        </w:rPr>
        <w:t>de acceso a la información presentada por Aldo González</w:t>
      </w:r>
      <w:r>
        <w:rPr>
          <w:rFonts w:ascii="Palatino Linotype" w:eastAsia="Palatino Linotype" w:hAnsi="Palatino Linotype" w:cs="Palatino Linotype"/>
          <w:b/>
          <w:i/>
        </w:rPr>
        <w:t xml:space="preserve"> </w:t>
      </w:r>
      <w:r>
        <w:rPr>
          <w:rFonts w:ascii="Palatino Linotype" w:eastAsia="Palatino Linotype" w:hAnsi="Palatino Linotype" w:cs="Palatino Linotype"/>
          <w:i/>
        </w:rPr>
        <w:t>Gutiérrez.- 11 de abril de 2006.- Unanimidad de votos.</w:t>
      </w:r>
    </w:p>
    <w:p w:rsidR="00305532" w:rsidRDefault="00305532">
      <w:pPr>
        <w:spacing w:after="0" w:line="240" w:lineRule="auto"/>
        <w:ind w:left="709" w:right="616"/>
        <w:jc w:val="both"/>
        <w:rPr>
          <w:rFonts w:ascii="Palatino Linotype" w:eastAsia="Palatino Linotype" w:hAnsi="Palatino Linotype" w:cs="Palatino Linotype"/>
          <w:b/>
          <w:i/>
        </w:rPr>
      </w:pPr>
    </w:p>
    <w:p w:rsidR="00305532" w:rsidRDefault="00305532">
      <w:pPr>
        <w:spacing w:after="0" w:line="240" w:lineRule="auto"/>
        <w:ind w:left="709" w:right="616"/>
        <w:jc w:val="both"/>
        <w:rPr>
          <w:rFonts w:ascii="Palatino Linotype" w:eastAsia="Palatino Linotype" w:hAnsi="Palatino Linotype" w:cs="Palatino Linotype"/>
          <w:b/>
          <w:i/>
        </w:rPr>
      </w:pPr>
    </w:p>
    <w:p w:rsidR="00305532" w:rsidRDefault="00454DC7">
      <w:pPr>
        <w:spacing w:after="0" w:line="240" w:lineRule="auto"/>
        <w:ind w:left="709" w:right="616"/>
        <w:jc w:val="both"/>
        <w:rPr>
          <w:rFonts w:ascii="Palatino Linotype" w:eastAsia="Palatino Linotype" w:hAnsi="Palatino Linotype" w:cs="Palatino Linotype"/>
          <w:b/>
          <w:i/>
        </w:rPr>
      </w:pPr>
      <w:r>
        <w:rPr>
          <w:rFonts w:ascii="Palatino Linotype" w:eastAsia="Palatino Linotype" w:hAnsi="Palatino Linotype" w:cs="Palatino Linotype"/>
          <w:b/>
          <w:i/>
        </w:rPr>
        <w:t>Criterio 15/2006</w:t>
      </w:r>
    </w:p>
    <w:p w:rsidR="00305532" w:rsidRDefault="00454DC7">
      <w:pPr>
        <w:spacing w:after="0" w:line="240" w:lineRule="auto"/>
        <w:ind w:left="709" w:right="616"/>
        <w:jc w:val="both"/>
        <w:rPr>
          <w:rFonts w:ascii="Palatino Linotype" w:eastAsia="Palatino Linotype" w:hAnsi="Palatino Linotype" w:cs="Palatino Linotype"/>
          <w:b/>
          <w:i/>
        </w:rPr>
      </w:pPr>
      <w:r>
        <w:rPr>
          <w:rFonts w:ascii="Palatino Linotype" w:eastAsia="Palatino Linotype" w:hAnsi="Palatino Linotype" w:cs="Palatino Linotype"/>
          <w:b/>
          <w:i/>
        </w:rPr>
        <w:t>EXPEDIENTES LABORALES ADMINI</w:t>
      </w:r>
      <w:r>
        <w:rPr>
          <w:rFonts w:ascii="Palatino Linotype" w:eastAsia="Palatino Linotype" w:hAnsi="Palatino Linotype" w:cs="Palatino Linotype"/>
          <w:b/>
          <w:i/>
        </w:rPr>
        <w:t>STRATIVOS DE LOS SERVIDORES PÚBLICOS DE LA SUPREMA CORTE DE JUSTICIA DE LA NACIÓN. ES PÚBLICA LA INFORMACIÓN QUE EN ELLOS SE CONTIENE, SALVO LOS DATOS PERSONALES. La información que se contiene en los expedientes laborales administrativos de los servidores</w:t>
      </w:r>
      <w:r>
        <w:rPr>
          <w:rFonts w:ascii="Palatino Linotype" w:eastAsia="Palatino Linotype" w:hAnsi="Palatino Linotype" w:cs="Palatino Linotype"/>
          <w:b/>
          <w:i/>
        </w:rPr>
        <w:t xml:space="preserve"> públicos de este Alto Tribunal es pública, específicamente, la inherente a sus percepciones, el ejercicio del cargo, a la identificación de la plaza y sus funciones, los datos relevantes sobre el perfil profesional del servidor público y, en su caso, sobr</w:t>
      </w:r>
      <w:r>
        <w:rPr>
          <w:rFonts w:ascii="Palatino Linotype" w:eastAsia="Palatino Linotype" w:hAnsi="Palatino Linotype" w:cs="Palatino Linotype"/>
          <w:b/>
          <w:i/>
        </w:rPr>
        <w:t xml:space="preserve">e su desempeño, en </w:t>
      </w:r>
      <w:r>
        <w:rPr>
          <w:rFonts w:ascii="Palatino Linotype" w:eastAsia="Palatino Linotype" w:hAnsi="Palatino Linotype" w:cs="Palatino Linotype"/>
          <w:b/>
          <w:i/>
        </w:rPr>
        <w:lastRenderedPageBreak/>
        <w:t>tanto establecen el marco de referencia laboral administrativo.</w:t>
      </w:r>
      <w:r>
        <w:rPr>
          <w:rFonts w:ascii="Palatino Linotype" w:eastAsia="Palatino Linotype" w:hAnsi="Palatino Linotype" w:cs="Palatino Linotype"/>
          <w:i/>
        </w:rPr>
        <w:t xml:space="preserve"> A diferencia de lo que sucede con los datos</w:t>
      </w:r>
      <w:r>
        <w:rPr>
          <w:rFonts w:ascii="Palatino Linotype" w:eastAsia="Palatino Linotype" w:hAnsi="Palatino Linotype" w:cs="Palatino Linotype"/>
          <w:b/>
          <w:i/>
        </w:rPr>
        <w:t xml:space="preserve"> </w:t>
      </w:r>
      <w:r>
        <w:rPr>
          <w:rFonts w:ascii="Palatino Linotype" w:eastAsia="Palatino Linotype" w:hAnsi="Palatino Linotype" w:cs="Palatino Linotype"/>
          <w:i/>
        </w:rPr>
        <w:t>personales que en dichos expedientes se contengan, pues</w:t>
      </w:r>
      <w:r>
        <w:rPr>
          <w:rFonts w:ascii="Palatino Linotype" w:eastAsia="Palatino Linotype" w:hAnsi="Palatino Linotype" w:cs="Palatino Linotype"/>
          <w:b/>
          <w:i/>
        </w:rPr>
        <w:t xml:space="preserve"> </w:t>
      </w:r>
      <w:r>
        <w:rPr>
          <w:rFonts w:ascii="Palatino Linotype" w:eastAsia="Palatino Linotype" w:hAnsi="Palatino Linotype" w:cs="Palatino Linotype"/>
          <w:i/>
        </w:rPr>
        <w:t>debe tenerse en cuenta que una de las excepciones al principio</w:t>
      </w:r>
      <w:r>
        <w:rPr>
          <w:rFonts w:ascii="Palatino Linotype" w:eastAsia="Palatino Linotype" w:hAnsi="Palatino Linotype" w:cs="Palatino Linotype"/>
          <w:b/>
          <w:i/>
        </w:rPr>
        <w:t xml:space="preserve"> </w:t>
      </w:r>
      <w:r>
        <w:rPr>
          <w:rFonts w:ascii="Palatino Linotype" w:eastAsia="Palatino Linotype" w:hAnsi="Palatino Linotype" w:cs="Palatino Linotype"/>
          <w:i/>
        </w:rPr>
        <w:t>de publici</w:t>
      </w:r>
      <w:r>
        <w:rPr>
          <w:rFonts w:ascii="Palatino Linotype" w:eastAsia="Palatino Linotype" w:hAnsi="Palatino Linotype" w:cs="Palatino Linotype"/>
          <w:i/>
        </w:rPr>
        <w:t>dad de la información la constituyen los datos</w:t>
      </w:r>
      <w:r>
        <w:rPr>
          <w:rFonts w:ascii="Palatino Linotype" w:eastAsia="Palatino Linotype" w:hAnsi="Palatino Linotype" w:cs="Palatino Linotype"/>
          <w:b/>
          <w:i/>
        </w:rPr>
        <w:t xml:space="preserve"> </w:t>
      </w:r>
      <w:r>
        <w:rPr>
          <w:rFonts w:ascii="Palatino Linotype" w:eastAsia="Palatino Linotype" w:hAnsi="Palatino Linotype" w:cs="Palatino Linotype"/>
          <w:i/>
        </w:rPr>
        <w:t>de tal naturaleza que requieran del consentimiento de los</w:t>
      </w:r>
      <w:r>
        <w:rPr>
          <w:rFonts w:ascii="Palatino Linotype" w:eastAsia="Palatino Linotype" w:hAnsi="Palatino Linotype" w:cs="Palatino Linotype"/>
          <w:b/>
          <w:i/>
        </w:rPr>
        <w:t xml:space="preserve"> </w:t>
      </w:r>
      <w:r>
        <w:rPr>
          <w:rFonts w:ascii="Palatino Linotype" w:eastAsia="Palatino Linotype" w:hAnsi="Palatino Linotype" w:cs="Palatino Linotype"/>
          <w:i/>
        </w:rPr>
        <w:t>individuos para su difusión, distribución o comercialización</w:t>
      </w:r>
      <w:r>
        <w:rPr>
          <w:rFonts w:ascii="Palatino Linotype" w:eastAsia="Palatino Linotype" w:hAnsi="Palatino Linotype" w:cs="Palatino Linotype"/>
          <w:b/>
          <w:i/>
        </w:rPr>
        <w:t xml:space="preserve"> </w:t>
      </w:r>
      <w:r>
        <w:rPr>
          <w:rFonts w:ascii="Palatino Linotype" w:eastAsia="Palatino Linotype" w:hAnsi="Palatino Linotype" w:cs="Palatino Linotype"/>
          <w:i/>
        </w:rPr>
        <w:t>en los términos de los artículos 3°, fracción II, y 18, fracción II,</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de la Ley Federal de </w:t>
      </w:r>
      <w:r>
        <w:rPr>
          <w:rFonts w:ascii="Palatino Linotype" w:eastAsia="Palatino Linotype" w:hAnsi="Palatino Linotype" w:cs="Palatino Linotype"/>
          <w:i/>
        </w:rPr>
        <w:t>Transparencia y Acceso a la 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i/>
        </w:rPr>
        <w:t>Pública Gubernamental. Para ello es necesario considerar</w:t>
      </w:r>
      <w:r>
        <w:rPr>
          <w:rFonts w:ascii="Palatino Linotype" w:eastAsia="Palatino Linotype" w:hAnsi="Palatino Linotype" w:cs="Palatino Linotype"/>
          <w:b/>
          <w:i/>
        </w:rPr>
        <w:t xml:space="preserve"> </w:t>
      </w:r>
      <w:r>
        <w:rPr>
          <w:rFonts w:ascii="Palatino Linotype" w:eastAsia="Palatino Linotype" w:hAnsi="Palatino Linotype" w:cs="Palatino Linotype"/>
          <w:i/>
        </w:rPr>
        <w:t>de los datos personales se refiere únicamente a las personas</w:t>
      </w:r>
      <w:r>
        <w:rPr>
          <w:rFonts w:ascii="Palatino Linotype" w:eastAsia="Palatino Linotype" w:hAnsi="Palatino Linotype" w:cs="Palatino Linotype"/>
          <w:b/>
          <w:i/>
        </w:rPr>
        <w:t xml:space="preserve"> </w:t>
      </w:r>
      <w:r>
        <w:rPr>
          <w:rFonts w:ascii="Palatino Linotype" w:eastAsia="Palatino Linotype" w:hAnsi="Palatino Linotype" w:cs="Palatino Linotype"/>
          <w:i/>
        </w:rPr>
        <w:t>físicas por estar encausado al respeto de un derecho personalísimo,</w:t>
      </w:r>
      <w:r>
        <w:rPr>
          <w:rFonts w:ascii="Palatino Linotype" w:eastAsia="Palatino Linotype" w:hAnsi="Palatino Linotype" w:cs="Palatino Linotype"/>
          <w:b/>
          <w:i/>
        </w:rPr>
        <w:t xml:space="preserve"> </w:t>
      </w:r>
      <w:r>
        <w:rPr>
          <w:rFonts w:ascii="Palatino Linotype" w:eastAsia="Palatino Linotype" w:hAnsi="Palatino Linotype" w:cs="Palatino Linotype"/>
          <w:i/>
        </w:rPr>
        <w:t>como es el de la intimidad, de</w:t>
      </w:r>
      <w:r>
        <w:rPr>
          <w:rFonts w:ascii="Palatino Linotype" w:eastAsia="Palatino Linotype" w:hAnsi="Palatino Linotype" w:cs="Palatino Linotype"/>
          <w:i/>
        </w:rPr>
        <w:t>l cual derivó aquél. Esto</w:t>
      </w:r>
      <w:r>
        <w:rPr>
          <w:rFonts w:ascii="Palatino Linotype" w:eastAsia="Palatino Linotype" w:hAnsi="Palatino Linotype" w:cs="Palatino Linotype"/>
          <w:b/>
          <w:i/>
        </w:rPr>
        <w:t xml:space="preserve"> </w:t>
      </w:r>
      <w:r>
        <w:rPr>
          <w:rFonts w:ascii="Palatino Linotype" w:eastAsia="Palatino Linotype" w:hAnsi="Palatino Linotype" w:cs="Palatino Linotype"/>
          <w:i/>
        </w:rPr>
        <w:t>es, en el apuntado supuesto no se actualiza una igualdad</w:t>
      </w:r>
      <w:r>
        <w:rPr>
          <w:rFonts w:ascii="Palatino Linotype" w:eastAsia="Palatino Linotype" w:hAnsi="Palatino Linotype" w:cs="Palatino Linotype"/>
          <w:b/>
          <w:i/>
        </w:rPr>
        <w:t xml:space="preserve"> </w:t>
      </w:r>
      <w:r>
        <w:rPr>
          <w:rFonts w:ascii="Palatino Linotype" w:eastAsia="Palatino Linotype" w:hAnsi="Palatino Linotype" w:cs="Palatino Linotype"/>
          <w:i/>
        </w:rPr>
        <w:t>jurídica entre las personas físicas y las morales porque ambas</w:t>
      </w:r>
      <w:r>
        <w:rPr>
          <w:rFonts w:ascii="Palatino Linotype" w:eastAsia="Palatino Linotype" w:hAnsi="Palatino Linotype" w:cs="Palatino Linotype"/>
          <w:b/>
          <w:i/>
        </w:rPr>
        <w:t xml:space="preserve"> </w:t>
      </w:r>
      <w:r>
        <w:rPr>
          <w:rFonts w:ascii="Palatino Linotype" w:eastAsia="Palatino Linotype" w:hAnsi="Palatino Linotype" w:cs="Palatino Linotype"/>
          <w:i/>
        </w:rPr>
        <w:t>están en situaciones de derecho dispares, ya que la protección</w:t>
      </w:r>
      <w:r>
        <w:rPr>
          <w:rFonts w:ascii="Palatino Linotype" w:eastAsia="Palatino Linotype" w:hAnsi="Palatino Linotype" w:cs="Palatino Linotype"/>
          <w:b/>
          <w:i/>
        </w:rPr>
        <w:t xml:space="preserve"> </w:t>
      </w:r>
      <w:r>
        <w:rPr>
          <w:rFonts w:ascii="Palatino Linotype" w:eastAsia="Palatino Linotype" w:hAnsi="Palatino Linotype" w:cs="Palatino Linotype"/>
          <w:i/>
        </w:rPr>
        <w:t>de datos personales, entre ellos el del patrimo</w:t>
      </w:r>
      <w:r>
        <w:rPr>
          <w:rFonts w:ascii="Palatino Linotype" w:eastAsia="Palatino Linotype" w:hAnsi="Palatino Linotype" w:cs="Palatino Linotype"/>
          <w:i/>
        </w:rPr>
        <w:t>nio y su confidencialidad,</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es </w:t>
      </w:r>
      <w:r>
        <w:rPr>
          <w:rFonts w:ascii="Palatino Linotype" w:eastAsia="Palatino Linotype" w:hAnsi="Palatino Linotype" w:cs="Palatino Linotype"/>
          <w:b/>
          <w:i/>
        </w:rPr>
        <w:t>una derivación del derecho a la intimidad, del cual únicamente goza el individuo, entendido como la persona humana</w:t>
      </w:r>
      <w:r>
        <w:rPr>
          <w:rFonts w:ascii="Palatino Linotype" w:eastAsia="Palatino Linotype" w:hAnsi="Palatino Linotype" w:cs="Palatino Linotype"/>
          <w:i/>
        </w:rPr>
        <w:t>.</w:t>
      </w:r>
    </w:p>
    <w:p w:rsidR="00305532" w:rsidRDefault="00454DC7">
      <w:pPr>
        <w:spacing w:after="0" w:line="240" w:lineRule="auto"/>
        <w:ind w:left="709" w:right="616"/>
        <w:jc w:val="both"/>
        <w:rPr>
          <w:rFonts w:ascii="Palatino Linotype" w:eastAsia="Palatino Linotype" w:hAnsi="Palatino Linotype" w:cs="Palatino Linotype"/>
          <w:i/>
        </w:rPr>
      </w:pPr>
      <w:r>
        <w:rPr>
          <w:rFonts w:ascii="Palatino Linotype" w:eastAsia="Palatino Linotype" w:hAnsi="Palatino Linotype" w:cs="Palatino Linotype"/>
          <w:i/>
        </w:rPr>
        <w:t>Amparo en revisión 191/2008. Grupo Senda Autotransporte, S.A. de C.V. 7 de mayo de 2008. Cinco votos. Ponente:</w:t>
      </w:r>
      <w:r>
        <w:rPr>
          <w:rFonts w:ascii="Palatino Linotype" w:eastAsia="Palatino Linotype" w:hAnsi="Palatino Linotype" w:cs="Palatino Linotype"/>
          <w:i/>
        </w:rPr>
        <w:t xml:space="preserve"> José Fernando Franco González Salas. Secretario: Óscar Rodríguez Álvarez.</w:t>
      </w:r>
    </w:p>
    <w:p w:rsidR="00305532" w:rsidRDefault="00305532">
      <w:pPr>
        <w:spacing w:after="0" w:line="240" w:lineRule="auto"/>
        <w:ind w:right="-162"/>
        <w:jc w:val="both"/>
        <w:rPr>
          <w:rFonts w:ascii="Palatino Linotype" w:eastAsia="Palatino Linotype" w:hAnsi="Palatino Linotype" w:cs="Palatino Linotype"/>
          <w:sz w:val="20"/>
          <w:szCs w:val="20"/>
        </w:rPr>
      </w:pPr>
    </w:p>
    <w:p w:rsidR="00305532" w:rsidRDefault="00454DC7">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este Instituto, no quiere dejar de indicar que el documento soporte solicitado, </w:t>
      </w:r>
      <w:r>
        <w:rPr>
          <w:rFonts w:ascii="Palatino Linotype" w:eastAsia="Palatino Linotype" w:hAnsi="Palatino Linotype" w:cs="Palatino Linotype"/>
          <w:b/>
          <w:sz w:val="24"/>
          <w:szCs w:val="24"/>
        </w:rPr>
        <w:t>se trata de información pública,</w:t>
      </w:r>
      <w:r>
        <w:rPr>
          <w:rFonts w:ascii="Palatino Linotype" w:eastAsia="Palatino Linotype" w:hAnsi="Palatino Linotype" w:cs="Palatino Linotype"/>
          <w:sz w:val="24"/>
          <w:szCs w:val="24"/>
        </w:rPr>
        <w:t xml:space="preserve">  ya que nada impide que los interesados obtengan acceso a la información que por definición legal es pública, como aquellos documentos que deban generarse en virtud de las disposiciones que regulan el presupuesto asignado, su ejecución y las contratacione</w:t>
      </w:r>
      <w:r>
        <w:rPr>
          <w:rFonts w:ascii="Palatino Linotype" w:eastAsia="Palatino Linotype" w:hAnsi="Palatino Linotype" w:cs="Palatino Linotype"/>
          <w:sz w:val="24"/>
          <w:szCs w:val="24"/>
        </w:rPr>
        <w:t>s, siempre que la misma se encuentre en posesión de los sujetos obligados. Toda vez que la Ley de Transparencia y Acceso a la Información Pública del Estado de México y Municipios, establece expresamente entre sus objetivos proveer lo necesario para que to</w:t>
      </w:r>
      <w:r>
        <w:rPr>
          <w:rFonts w:ascii="Palatino Linotype" w:eastAsia="Palatino Linotype" w:hAnsi="Palatino Linotype" w:cs="Palatino Linotype"/>
          <w:sz w:val="24"/>
          <w:szCs w:val="24"/>
        </w:rPr>
        <w:t>da persona pueda tener acceso a la información mediante procedimientos sencillos y expeditos, transparentar la gestión pública mediante la difusión de la información y favorecer la rendición de cuentas; por lo que este Instituto considera que procedente la</w:t>
      </w:r>
      <w:r>
        <w:rPr>
          <w:rFonts w:ascii="Palatino Linotype" w:eastAsia="Palatino Linotype" w:hAnsi="Palatino Linotype" w:cs="Palatino Linotype"/>
          <w:sz w:val="24"/>
          <w:szCs w:val="24"/>
        </w:rPr>
        <w:t xml:space="preserve"> entrega de la información solicitada.</w:t>
      </w:r>
    </w:p>
    <w:p w:rsidR="00305532" w:rsidRDefault="00454DC7">
      <w:pPr>
        <w:shd w:val="clear" w:color="auto" w:fill="FFFFFF"/>
        <w:spacing w:before="240" w:after="240" w:line="360" w:lineRule="auto"/>
        <w:jc w:val="both"/>
        <w:rPr>
          <w:rFonts w:ascii="Times New Roman" w:eastAsia="Times New Roman" w:hAnsi="Times New Roman" w:cs="Times New Roman"/>
          <w:color w:val="222222"/>
        </w:rPr>
      </w:pPr>
      <w:r>
        <w:rPr>
          <w:rFonts w:ascii="Palatino Linotype" w:eastAsia="Palatino Linotype" w:hAnsi="Palatino Linotype" w:cs="Palatino Linotype"/>
          <w:color w:val="222222"/>
          <w:sz w:val="24"/>
          <w:szCs w:val="24"/>
        </w:rPr>
        <w:lastRenderedPageBreak/>
        <w:t xml:space="preserve">En mérito de lo expuesto, esta autoridad estima que las razones o motivos de inconformidad hechos valer por el </w:t>
      </w:r>
      <w:r>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se estiman  fundados; por lo que, lo procedente es </w:t>
      </w:r>
      <w:r>
        <w:rPr>
          <w:rFonts w:ascii="Palatino Linotype" w:eastAsia="Palatino Linotype" w:hAnsi="Palatino Linotype" w:cs="Palatino Linotype"/>
          <w:b/>
          <w:color w:val="222222"/>
          <w:sz w:val="24"/>
          <w:szCs w:val="24"/>
        </w:rPr>
        <w:t>REVOCAR</w:t>
      </w:r>
      <w:r>
        <w:rPr>
          <w:rFonts w:ascii="Palatino Linotype" w:eastAsia="Palatino Linotype" w:hAnsi="Palatino Linotype" w:cs="Palatino Linotype"/>
          <w:color w:val="222222"/>
          <w:sz w:val="24"/>
          <w:szCs w:val="24"/>
        </w:rPr>
        <w:t xml:space="preserve"> la respuesta del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w:t>
      </w:r>
    </w:p>
    <w:p w:rsidR="00305532" w:rsidRDefault="00454DC7">
      <w:pPr>
        <w:pBdr>
          <w:top w:val="nil"/>
          <w:left w:val="nil"/>
          <w:bottom w:val="nil"/>
          <w:right w:val="nil"/>
          <w:between w:val="nil"/>
        </w:pBdr>
        <w:shd w:val="clear" w:color="auto" w:fill="FFFFFF"/>
        <w:spacing w:before="240" w:after="240" w:line="360" w:lineRule="auto"/>
        <w:jc w:val="both"/>
        <w:rPr>
          <w:rFonts w:ascii="Cambria" w:eastAsia="Cambria" w:hAnsi="Cambria" w:cs="Cambria"/>
          <w:color w:val="222222"/>
          <w:sz w:val="24"/>
          <w:szCs w:val="24"/>
          <w:u w:val="single"/>
        </w:rPr>
      </w:pPr>
      <w:r>
        <w:rPr>
          <w:rFonts w:ascii="Palatino Linotype" w:eastAsia="Palatino Linotype" w:hAnsi="Palatino Linotype" w:cs="Palatino Linotype"/>
          <w:color w:val="000000"/>
          <w:sz w:val="24"/>
          <w:szCs w:val="24"/>
        </w:rPr>
        <w:t>Fi</w:t>
      </w:r>
      <w:r>
        <w:rPr>
          <w:rFonts w:ascii="Palatino Linotype" w:eastAsia="Palatino Linotype" w:hAnsi="Palatino Linotype" w:cs="Palatino Linotype"/>
          <w:color w:val="000000"/>
          <w:sz w:val="24"/>
          <w:szCs w:val="24"/>
        </w:rPr>
        <w:t xml:space="preserve">nalmente, </w:t>
      </w:r>
      <w:r>
        <w:rPr>
          <w:rFonts w:ascii="Palatino Linotype" w:eastAsia="Palatino Linotype" w:hAnsi="Palatino Linotype" w:cs="Palatino Linotype"/>
          <w:color w:val="222222"/>
          <w:sz w:val="24"/>
          <w:szCs w:val="24"/>
        </w:rPr>
        <w:t>si bien es cierto el artículo 6° de la Constitución Política de los Estados Unidos Mexicanos no contempla como requisito para el ejercicio del derecho de acceso a la información pública formular la solicitud de manera pacífica y respetuosa como l</w:t>
      </w:r>
      <w:r>
        <w:rPr>
          <w:rFonts w:ascii="Palatino Linotype" w:eastAsia="Palatino Linotype" w:hAnsi="Palatino Linotype" w:cs="Palatino Linotype"/>
          <w:color w:val="222222"/>
          <w:sz w:val="24"/>
          <w:szCs w:val="24"/>
        </w:rPr>
        <w:t xml:space="preserve">o advierte el artículo 8 constitucional, es importante destacar que ambos por tratarse de derechos fundamentales encaminados a proteger la seguridad jurídica de los gobernados, </w:t>
      </w:r>
      <w:r>
        <w:rPr>
          <w:rFonts w:ascii="Palatino Linotype" w:eastAsia="Palatino Linotype" w:hAnsi="Palatino Linotype" w:cs="Palatino Linotype"/>
          <w:b/>
          <w:color w:val="222222"/>
          <w:sz w:val="24"/>
          <w:szCs w:val="24"/>
          <w:u w:val="single"/>
        </w:rPr>
        <w:t>deben regirse por los principios de respeto y en forma pacífica.</w:t>
      </w:r>
      <w:r>
        <w:rPr>
          <w:rFonts w:ascii="Palatino Linotype" w:eastAsia="Palatino Linotype" w:hAnsi="Palatino Linotype" w:cs="Palatino Linotype"/>
          <w:color w:val="222222"/>
          <w:sz w:val="24"/>
          <w:szCs w:val="24"/>
          <w:u w:val="single"/>
        </w:rPr>
        <w:t> </w:t>
      </w:r>
    </w:p>
    <w:p w:rsidR="00305532" w:rsidRDefault="00454DC7">
      <w:pPr>
        <w:pBdr>
          <w:top w:val="nil"/>
          <w:left w:val="nil"/>
          <w:bottom w:val="nil"/>
          <w:right w:val="nil"/>
          <w:between w:val="nil"/>
        </w:pBdr>
        <w:shd w:val="clear" w:color="auto" w:fill="FFFFFF"/>
        <w:spacing w:before="240" w:after="240" w:line="360" w:lineRule="auto"/>
        <w:jc w:val="both"/>
        <w:rPr>
          <w:rFonts w:ascii="Cambria" w:eastAsia="Cambria" w:hAnsi="Cambria" w:cs="Cambria"/>
          <w:color w:val="222222"/>
          <w:sz w:val="24"/>
          <w:szCs w:val="24"/>
          <w:u w:val="single"/>
        </w:rPr>
      </w:pPr>
      <w:r>
        <w:rPr>
          <w:rFonts w:ascii="Palatino Linotype" w:eastAsia="Palatino Linotype" w:hAnsi="Palatino Linotype" w:cs="Palatino Linotype"/>
          <w:color w:val="222222"/>
          <w:sz w:val="24"/>
          <w:szCs w:val="24"/>
        </w:rPr>
        <w:t>Por lo tanto,</w:t>
      </w:r>
      <w:r>
        <w:rPr>
          <w:rFonts w:ascii="Palatino Linotype" w:eastAsia="Palatino Linotype" w:hAnsi="Palatino Linotype" w:cs="Palatino Linotype"/>
          <w:color w:val="222222"/>
          <w:sz w:val="24"/>
          <w:szCs w:val="24"/>
        </w:rPr>
        <w:t xml:space="preserve"> el derecho de acceso a la información pública la solicitud debe ejercerse de </w:t>
      </w:r>
      <w:r>
        <w:rPr>
          <w:rFonts w:ascii="Palatino Linotype" w:eastAsia="Palatino Linotype" w:hAnsi="Palatino Linotype" w:cs="Palatino Linotype"/>
          <w:b/>
          <w:color w:val="222222"/>
          <w:sz w:val="24"/>
          <w:szCs w:val="24"/>
          <w:u w:val="single"/>
        </w:rPr>
        <w:t>manera pacífica y respetuosa, absteniéndose el solicitante de proferir ofensas o recurrir a la violencia o amenazas para intimidad a la autoridad</w:t>
      </w:r>
      <w:r>
        <w:rPr>
          <w:rFonts w:ascii="Palatino Linotype" w:eastAsia="Palatino Linotype" w:hAnsi="Palatino Linotype" w:cs="Palatino Linotype"/>
          <w:color w:val="222222"/>
          <w:sz w:val="24"/>
          <w:szCs w:val="24"/>
        </w:rPr>
        <w:t>.</w:t>
      </w:r>
    </w:p>
    <w:p w:rsidR="00305532" w:rsidRDefault="00454DC7">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En ese sentido, sirve de apoyo </w:t>
      </w:r>
      <w:r>
        <w:rPr>
          <w:rFonts w:ascii="Palatino Linotype" w:eastAsia="Palatino Linotype" w:hAnsi="Palatino Linotype" w:cs="Palatino Linotype"/>
          <w:color w:val="222222"/>
          <w:sz w:val="24"/>
          <w:szCs w:val="24"/>
        </w:rPr>
        <w:t>en la parte conducente, el siguiente criterio jurisprudencial:</w:t>
      </w:r>
    </w:p>
    <w:p w:rsidR="00305532" w:rsidRDefault="00454DC7">
      <w:pPr>
        <w:shd w:val="clear" w:color="auto" w:fill="FFFFFF"/>
        <w:spacing w:before="240" w:after="240" w:line="276" w:lineRule="auto"/>
        <w:ind w:left="709" w:right="567"/>
        <w:jc w:val="both"/>
        <w:rPr>
          <w:rFonts w:ascii="Cambria" w:eastAsia="Cambria" w:hAnsi="Cambria" w:cs="Cambria"/>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DERECHO A LA INFORMACIÓN. NO DEBE REBASAR LOS LÍMITES PREVISTOS POR LOS ARTÍCULOS 6o., 7o. Y 24 CONSTITUCIONALES.</w:t>
      </w:r>
    </w:p>
    <w:p w:rsidR="00305532" w:rsidRDefault="00454DC7">
      <w:pPr>
        <w:shd w:val="clear" w:color="auto" w:fill="FFFFFF"/>
        <w:spacing w:before="240" w:after="240" w:line="276" w:lineRule="auto"/>
        <w:ind w:left="709" w:right="567"/>
        <w:jc w:val="both"/>
        <w:rPr>
          <w:rFonts w:ascii="Palatino Linotype" w:eastAsia="Palatino Linotype" w:hAnsi="Palatino Linotype" w:cs="Palatino Linotype"/>
          <w:b/>
          <w:i/>
          <w:color w:val="222222"/>
          <w:vertAlign w:val="superscript"/>
        </w:rPr>
      </w:pPr>
      <w:r>
        <w:rPr>
          <w:rFonts w:ascii="Palatino Linotype" w:eastAsia="Palatino Linotype" w:hAnsi="Palatino Linotype" w:cs="Palatino Linotype"/>
          <w:i/>
          <w:color w:val="222222"/>
        </w:rPr>
        <w:t> </w:t>
      </w:r>
      <w:r>
        <w:rPr>
          <w:rFonts w:ascii="Palatino Linotype" w:eastAsia="Palatino Linotype" w:hAnsi="Palatino Linotype" w:cs="Palatino Linotype"/>
          <w:b/>
          <w:i/>
          <w:color w:val="222222"/>
        </w:rPr>
        <w:t xml:space="preserve">El derecho a la información tiene como límites el decoro, el honor, </w:t>
      </w:r>
      <w:r>
        <w:rPr>
          <w:rFonts w:ascii="Palatino Linotype" w:eastAsia="Palatino Linotype" w:hAnsi="Palatino Linotype" w:cs="Palatino Linotype"/>
          <w:b/>
          <w:i/>
          <w:color w:val="222222"/>
          <w:u w:val="single"/>
        </w:rPr>
        <w:t>el respeto</w:t>
      </w:r>
      <w:r>
        <w:rPr>
          <w:rFonts w:ascii="Palatino Linotype" w:eastAsia="Palatino Linotype" w:hAnsi="Palatino Linotype" w:cs="Palatino Linotype"/>
          <w:b/>
          <w:i/>
          <w:color w:val="222222"/>
        </w:rPr>
        <w:t>, la circunspección, la honestidad, el recato, la honra y la estimación, pues el artículo 6o. otorga a toda persona el derecho de manifestar libremente sus ideas y prohíbe a los gobernantes que sometan dicha manifestación a inquisición judicial o</w:t>
      </w:r>
      <w:r>
        <w:rPr>
          <w:rFonts w:ascii="Palatino Linotype" w:eastAsia="Palatino Linotype" w:hAnsi="Palatino Linotype" w:cs="Palatino Linotype"/>
          <w:b/>
          <w:i/>
          <w:color w:val="222222"/>
        </w:rPr>
        <w:t xml:space="preserve"> administrativa, salvo que ataquen la moral, los derechos de tercero, provoquen algún delito o perturben el orden público.</w:t>
      </w:r>
      <w:r>
        <w:rPr>
          <w:rFonts w:ascii="Palatino Linotype" w:eastAsia="Palatino Linotype" w:hAnsi="Palatino Linotype" w:cs="Palatino Linotype"/>
          <w:i/>
          <w:color w:val="222222"/>
        </w:rPr>
        <w:t xml:space="preserve"> Así, la manifestación de las ideas se encuentra consagrada como uno de los derechos públicos individuales fundamentales que reconoce </w:t>
      </w:r>
      <w:r>
        <w:rPr>
          <w:rFonts w:ascii="Palatino Linotype" w:eastAsia="Palatino Linotype" w:hAnsi="Palatino Linotype" w:cs="Palatino Linotype"/>
          <w:i/>
          <w:color w:val="222222"/>
        </w:rPr>
        <w:t xml:space="preserve">la Constitución, oponible por todo </w:t>
      </w:r>
      <w:r>
        <w:rPr>
          <w:rFonts w:ascii="Palatino Linotype" w:eastAsia="Palatino Linotype" w:hAnsi="Palatino Linotype" w:cs="Palatino Linotype"/>
          <w:i/>
          <w:color w:val="222222"/>
        </w:rPr>
        <w:lastRenderedPageBreak/>
        <w:t>individuo, con independencia de su labor profesional, al Estado, y los artículos 7o. y 24 de la propia Carta Fundamental se refieren a aspectos concretos del ejercicio del derecho a manifestar libremente las ideas. El pri</w:t>
      </w:r>
      <w:r>
        <w:rPr>
          <w:rFonts w:ascii="Palatino Linotype" w:eastAsia="Palatino Linotype" w:hAnsi="Palatino Linotype" w:cs="Palatino Linotype"/>
          <w:i/>
          <w:color w:val="222222"/>
        </w:rPr>
        <w:t>mero, porque declara inviolable la libertad de escribir y publicar escritos sobre cualquier materia y, el segundo, porque garantiza la libertad de creencias religiosas. Así, el Constituyente Originario al consagrar la libertad de expresión como una garantí</w:t>
      </w:r>
      <w:r>
        <w:rPr>
          <w:rFonts w:ascii="Palatino Linotype" w:eastAsia="Palatino Linotype" w:hAnsi="Palatino Linotype" w:cs="Palatino Linotype"/>
          <w:i/>
          <w:color w:val="222222"/>
        </w:rPr>
        <w:t>a individual, reconoció la necesidad de que el hombre pueda y deba, siempre, tener libertad para apreciar las cosas y crear intelectualmente, y expresarlo, aunque con ello contraríe otras formas de pensamiento; de ahí que sea un derecho oponible al Estado,</w:t>
      </w:r>
      <w:r>
        <w:rPr>
          <w:rFonts w:ascii="Palatino Linotype" w:eastAsia="Palatino Linotype" w:hAnsi="Palatino Linotype" w:cs="Palatino Linotype"/>
          <w:i/>
          <w:color w:val="222222"/>
        </w:rPr>
        <w:t xml:space="preserve"> a toda autoridad y, por ende, es un derecho que por su propia naturaleza debe subsistir en todo régimen de derecho. En efecto, la historia escrita recoge antecedentes de declaraciones sobre las libertades del hombre, y precisa que hasta el siglo XVIII, se</w:t>
      </w:r>
      <w:r>
        <w:rPr>
          <w:rFonts w:ascii="Palatino Linotype" w:eastAsia="Palatino Linotype" w:hAnsi="Palatino Linotype" w:cs="Palatino Linotype"/>
          <w:i/>
          <w:color w:val="222222"/>
        </w:rPr>
        <w:t xml:space="preserve"> pueden citar documentos sobre esa materia. No hay duda histórica sobre dos documentos básicos para las definiciones de derechos fundamentales del hombre y su garantía frente al Estado. El primero es la Declaración de los Derechos del Hombre y del Ciudadan</w:t>
      </w:r>
      <w:r>
        <w:rPr>
          <w:rFonts w:ascii="Palatino Linotype" w:eastAsia="Palatino Linotype" w:hAnsi="Palatino Linotype" w:cs="Palatino Linotype"/>
          <w:i/>
          <w:color w:val="222222"/>
        </w:rPr>
        <w:t>o, producto de la Revolución Francesa, la cual se mantiene viva y vigente como texto legal por la remisión que hace el preámbulo de la Constitución de Francia de fecha veinticuatro de diciembre de mil setecientos noventa y nueve. El segundo, es la Constitu</w:t>
      </w:r>
      <w:r>
        <w:rPr>
          <w:rFonts w:ascii="Palatino Linotype" w:eastAsia="Palatino Linotype" w:hAnsi="Palatino Linotype" w:cs="Palatino Linotype"/>
          <w:i/>
          <w:color w:val="222222"/>
        </w:rPr>
        <w:t>ción de los Estados Unidos de América, de diecisiete de septiembre de mil setecientos ochenta y siete. En la historia constitucional mexicana, que recibe influencia de las ideas políticas y liberales de quienes impulsaron la Revolución Francesa, así como c</w:t>
      </w:r>
      <w:r>
        <w:rPr>
          <w:rFonts w:ascii="Palatino Linotype" w:eastAsia="Palatino Linotype" w:hAnsi="Palatino Linotype" w:cs="Palatino Linotype"/>
          <w:i/>
          <w:color w:val="222222"/>
        </w:rPr>
        <w:t>ontribuciones de diversas tendencias ideológicas enraizadas en las luchas entre conservadores y liberales que caracterizaron el siglo XIX, tenemos que se hicieron y entraron en vigor diversos cuerpos constitucionales, pero en todos ellos siempre ha apareci</w:t>
      </w:r>
      <w:r>
        <w:rPr>
          <w:rFonts w:ascii="Palatino Linotype" w:eastAsia="Palatino Linotype" w:hAnsi="Palatino Linotype" w:cs="Palatino Linotype"/>
          <w:i/>
          <w:color w:val="222222"/>
        </w:rPr>
        <w:t xml:space="preserve">do una parte dogmática que reconoce derechos inherentes al hombre, y que ha contenido tanto la libertad de expresión como la libertad de imprenta. Por otra parte, los antecedentes legislativos relacionados con la reforma y adición a la Constitución de mil </w:t>
      </w:r>
      <w:r>
        <w:rPr>
          <w:rFonts w:ascii="Palatino Linotype" w:eastAsia="Palatino Linotype" w:hAnsi="Palatino Linotype" w:cs="Palatino Linotype"/>
          <w:i/>
          <w:color w:val="222222"/>
        </w:rPr>
        <w:t>novecientos diecisiete, en relación al artículo 6o. antes precisado, tales como la iniciativa de ley, el dictamen de la comisión que al efecto se designó, y las discusiones y el proyecto de declaratoria correspondientes, publicados, respectivamente, en los</w:t>
      </w:r>
      <w:r>
        <w:rPr>
          <w:rFonts w:ascii="Palatino Linotype" w:eastAsia="Palatino Linotype" w:hAnsi="Palatino Linotype" w:cs="Palatino Linotype"/>
          <w:i/>
          <w:color w:val="222222"/>
        </w:rPr>
        <w:t xml:space="preserve"> Diarios de los Debates de los días seis, veinte de octubre y primero de diciembre, todos de mil novecientos setenta y siete, ponen de relieve que el propósito de las reformas fue el de preservar el derecho de todos respecto a las actividades que regula. E</w:t>
      </w:r>
      <w:r>
        <w:rPr>
          <w:rFonts w:ascii="Palatino Linotype" w:eastAsia="Palatino Linotype" w:hAnsi="Palatino Linotype" w:cs="Palatino Linotype"/>
          <w:i/>
          <w:color w:val="222222"/>
        </w:rPr>
        <w:t xml:space="preserve">sta reforma recogió distintas corrientes preocupadas por </w:t>
      </w:r>
      <w:r>
        <w:rPr>
          <w:rFonts w:ascii="Palatino Linotype" w:eastAsia="Palatino Linotype" w:hAnsi="Palatino Linotype" w:cs="Palatino Linotype"/>
          <w:i/>
          <w:color w:val="222222"/>
        </w:rPr>
        <w:lastRenderedPageBreak/>
        <w:t>asegurar a la sociedad una obtención de información oportuna, objetiva y plural, por parte de los grandes medios masivos de comunicación. Conforme a la evolución del artículo 6o. constitucional vigen</w:t>
      </w:r>
      <w:r>
        <w:rPr>
          <w:rFonts w:ascii="Palatino Linotype" w:eastAsia="Palatino Linotype" w:hAnsi="Palatino Linotype" w:cs="Palatino Linotype"/>
          <w:i/>
          <w:color w:val="222222"/>
        </w:rPr>
        <w:t>te y comparado con lo que al respecto se ha regulado en otros países, se concluye que a lo largo de la historia constitucional, quienes han tenido el depósito de la soberanía popular para legislar, se han preocupado porque existiera una Norma Suprema que r</w:t>
      </w:r>
      <w:r>
        <w:rPr>
          <w:rFonts w:ascii="Palatino Linotype" w:eastAsia="Palatino Linotype" w:hAnsi="Palatino Linotype" w:cs="Palatino Linotype"/>
          <w:i/>
          <w:color w:val="222222"/>
        </w:rPr>
        <w:t>econociera el derecho del hombre a externar sus ideas, con limitaciones específicas tendientes a equilibrar el derecho del individuo frente a terceros y la sociedad, puesto que en ejercicio de ese derecho no debe menoscabar la moral, los derechos de tercer</w:t>
      </w:r>
      <w:r>
        <w:rPr>
          <w:rFonts w:ascii="Palatino Linotype" w:eastAsia="Palatino Linotype" w:hAnsi="Palatino Linotype" w:cs="Palatino Linotype"/>
          <w:i/>
          <w:color w:val="222222"/>
        </w:rPr>
        <w:t>o, que implica el honor, la dignidad y el derecho a la intimidad de éste, en su familia y decoro; así como tampoco puede, en ejercicio de ese derecho, provocar algún delito o perturbar el orden público. Asimismo, ese derecho del individuo, con la adición a</w:t>
      </w:r>
      <w:r>
        <w:rPr>
          <w:rFonts w:ascii="Palatino Linotype" w:eastAsia="Palatino Linotype" w:hAnsi="Palatino Linotype" w:cs="Palatino Linotype"/>
          <w:i/>
          <w:color w:val="222222"/>
        </w:rPr>
        <w:t>l contenido original del artículo 6o., quedó también equilibrado con el derecho que tiene la sociedad a estar veraz y objetivamente informada, para evitar que haya manipulación. Así, el Estado asume la obligación de cuidar que la información que llega a la</w:t>
      </w:r>
      <w:r>
        <w:rPr>
          <w:rFonts w:ascii="Palatino Linotype" w:eastAsia="Palatino Linotype" w:hAnsi="Palatino Linotype" w:cs="Palatino Linotype"/>
          <w:i/>
          <w:color w:val="222222"/>
        </w:rPr>
        <w:t xml:space="preserve"> sociedad a través de los grandes medios masivos de comunicación, refleje la realidad y tenga un contenido que permita y coadyuve al acceso a la cultura en general, para que el pueblo pueda recibir en forma fácil y rápida conocimientos en el arte, la liter</w:t>
      </w:r>
      <w:r>
        <w:rPr>
          <w:rFonts w:ascii="Palatino Linotype" w:eastAsia="Palatino Linotype" w:hAnsi="Palatino Linotype" w:cs="Palatino Linotype"/>
          <w:i/>
          <w:color w:val="222222"/>
        </w:rPr>
        <w:t>atura, en las ciencias y en la política. Ello permitirá una participación informada para la solución de los grandes problemas nacionales, y evitará que se deforme el contenido de los hechos que pueden incidir en la formación de opinión. Luego, en el conten</w:t>
      </w:r>
      <w:r>
        <w:rPr>
          <w:rFonts w:ascii="Palatino Linotype" w:eastAsia="Palatino Linotype" w:hAnsi="Palatino Linotype" w:cs="Palatino Linotype"/>
          <w:i/>
          <w:color w:val="222222"/>
        </w:rPr>
        <w:t xml:space="preserve">ido actual del artículo 6o., se consagra la libertad de expresarse, la cual es consustancial al hombre, y que impide al Estado imponer sanciones por el solo hecho de expresar las ideas. Pero correlativamente, esa opinión tiene límites de cuya transgresión </w:t>
      </w:r>
      <w:r>
        <w:rPr>
          <w:rFonts w:ascii="Palatino Linotype" w:eastAsia="Palatino Linotype" w:hAnsi="Palatino Linotype" w:cs="Palatino Linotype"/>
          <w:i/>
          <w:color w:val="222222"/>
        </w:rPr>
        <w:t xml:space="preserve">derivan consecuencias jurídicas. Tales límites son que la opinión no debe atacar la moral, esto es, las ideas que se exterioricen no deben tender a destruir el conjunto de valores que sustenta la cohesión de la sociedad </w:t>
      </w:r>
      <w:r>
        <w:rPr>
          <w:rFonts w:ascii="Palatino Linotype" w:eastAsia="Palatino Linotype" w:hAnsi="Palatino Linotype" w:cs="Palatino Linotype"/>
          <w:b/>
          <w:i/>
          <w:color w:val="222222"/>
          <w:u w:val="single"/>
        </w:rPr>
        <w:t>en el respeto mutuo y en el cumplimi</w:t>
      </w:r>
      <w:r>
        <w:rPr>
          <w:rFonts w:ascii="Palatino Linotype" w:eastAsia="Palatino Linotype" w:hAnsi="Palatino Linotype" w:cs="Palatino Linotype"/>
          <w:b/>
          <w:i/>
          <w:color w:val="222222"/>
          <w:u w:val="single"/>
        </w:rPr>
        <w:t>ento de los deberes que tienen por base la dignidad humana y los derechos de la persona</w:t>
      </w:r>
      <w:r>
        <w:rPr>
          <w:rFonts w:ascii="Palatino Linotype" w:eastAsia="Palatino Linotype" w:hAnsi="Palatino Linotype" w:cs="Palatino Linotype"/>
          <w:i/>
          <w:color w:val="222222"/>
        </w:rPr>
        <w:t>; tampoco debe dañar los derechos de tercero, ni incitar a la provocación de un delito o a la perturbación del orden público. De modo que la Constitución de mil novecien</w:t>
      </w:r>
      <w:r>
        <w:rPr>
          <w:rFonts w:ascii="Palatino Linotype" w:eastAsia="Palatino Linotype" w:hAnsi="Palatino Linotype" w:cs="Palatino Linotype"/>
          <w:i/>
          <w:color w:val="222222"/>
        </w:rPr>
        <w:t>tos diecisiete estableció una obligación por parte del Estado de abstenerse de actuar en contra de quien se expresa libremente, salvo que en el ejercicio de ese derecho se ataque a la moral, a los derechos de tercero, se provoque algún delito o se perturbe</w:t>
      </w:r>
      <w:r>
        <w:rPr>
          <w:rFonts w:ascii="Palatino Linotype" w:eastAsia="Palatino Linotype" w:hAnsi="Palatino Linotype" w:cs="Palatino Linotype"/>
          <w:i/>
          <w:color w:val="222222"/>
        </w:rPr>
        <w:t xml:space="preserve"> el orden público.</w:t>
      </w:r>
    </w:p>
    <w:p w:rsidR="00305532" w:rsidRDefault="00454DC7">
      <w:pPr>
        <w:shd w:val="clear" w:color="auto" w:fill="FFFFFF"/>
        <w:spacing w:before="240" w:after="240" w:line="276" w:lineRule="auto"/>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lastRenderedPageBreak/>
        <w:t xml:space="preserve">Amparo directo 8633/99. </w:t>
      </w:r>
    </w:p>
    <w:p w:rsidR="00305532" w:rsidRDefault="00454DC7">
      <w:pPr>
        <w:shd w:val="clear" w:color="auto" w:fill="FFFFFF"/>
        <w:spacing w:before="240" w:after="240" w:line="276" w:lineRule="auto"/>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Marco Antonio Rascón Córdova. 8 de marzo de 2001. </w:t>
      </w:r>
    </w:p>
    <w:p w:rsidR="00305532" w:rsidRDefault="00454DC7">
      <w:pPr>
        <w:shd w:val="clear" w:color="auto" w:fill="FFFFFF"/>
        <w:spacing w:before="240" w:after="240" w:line="276" w:lineRule="auto"/>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Unanimidad de votos. </w:t>
      </w:r>
    </w:p>
    <w:p w:rsidR="00305532" w:rsidRDefault="00454DC7">
      <w:pPr>
        <w:shd w:val="clear" w:color="auto" w:fill="FFFFFF"/>
        <w:spacing w:before="240" w:after="240" w:line="276" w:lineRule="auto"/>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Ponente: Neófito López Ramos. </w:t>
      </w:r>
    </w:p>
    <w:p w:rsidR="00305532" w:rsidRDefault="00454DC7">
      <w:pPr>
        <w:shd w:val="clear" w:color="auto" w:fill="FFFFFF"/>
        <w:spacing w:before="240" w:after="240" w:line="276" w:lineRule="auto"/>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Secretario: Rómulo Amadeo Figueroa Salmorán.</w:t>
      </w:r>
    </w:p>
    <w:p w:rsidR="00305532" w:rsidRDefault="00454DC7">
      <w:pPr>
        <w:shd w:val="clear" w:color="auto" w:fill="FFFFFF"/>
        <w:spacing w:before="240" w:after="240" w:line="276" w:lineRule="auto"/>
        <w:ind w:left="709" w:right="567"/>
        <w:jc w:val="both"/>
        <w:rPr>
          <w:rFonts w:ascii="Cambria" w:eastAsia="Cambria" w:hAnsi="Cambria" w:cs="Cambria"/>
          <w:color w:val="222222"/>
        </w:rPr>
      </w:pPr>
      <w:r>
        <w:rPr>
          <w:rFonts w:ascii="Palatino Linotype" w:eastAsia="Palatino Linotype" w:hAnsi="Palatino Linotype" w:cs="Palatino Linotype"/>
          <w:i/>
          <w:color w:val="222222"/>
        </w:rPr>
        <w:t xml:space="preserve"> Novena Época, Semanario Judicial de la Federación y su Gaceta,</w:t>
      </w:r>
      <w:r>
        <w:rPr>
          <w:rFonts w:ascii="Palatino Linotype" w:eastAsia="Palatino Linotype" w:hAnsi="Palatino Linotype" w:cs="Palatino Linotype"/>
          <w:i/>
          <w:color w:val="222222"/>
        </w:rPr>
        <w:t xml:space="preserve"> Tomo XIV, Septiembre de 2001, Tesis: I.3o.C.244 C, Página: 1309.”</w:t>
      </w:r>
    </w:p>
    <w:p w:rsidR="00305532" w:rsidRDefault="00454DC7">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222222"/>
          <w:sz w:val="24"/>
          <w:szCs w:val="24"/>
        </w:rPr>
        <w:t xml:space="preserve">Lo anterior, derivado de que en su interposición del recurso de revisión se realizaron manifestaciones y faltas de respeto en donde señala en sus razones y motivos de inconformidad </w:t>
      </w:r>
      <w:r>
        <w:rPr>
          <w:rFonts w:ascii="Palatino Linotype" w:eastAsia="Palatino Linotype" w:hAnsi="Palatino Linotype" w:cs="Palatino Linotype"/>
          <w:i/>
          <w:color w:val="222222"/>
          <w:sz w:val="24"/>
          <w:szCs w:val="24"/>
        </w:rPr>
        <w:t>(…) q</w:t>
      </w:r>
      <w:r>
        <w:rPr>
          <w:rFonts w:ascii="Palatino Linotype" w:eastAsia="Palatino Linotype" w:hAnsi="Palatino Linotype" w:cs="Palatino Linotype"/>
          <w:i/>
          <w:color w:val="000000"/>
          <w:sz w:val="24"/>
          <w:szCs w:val="24"/>
        </w:rPr>
        <w:t xml:space="preserve">ue </w:t>
      </w:r>
      <w:r>
        <w:rPr>
          <w:rFonts w:ascii="Palatino Linotype" w:eastAsia="Palatino Linotype" w:hAnsi="Palatino Linotype" w:cs="Palatino Linotype"/>
          <w:i/>
          <w:color w:val="000000"/>
          <w:sz w:val="24"/>
          <w:szCs w:val="24"/>
        </w:rPr>
        <w:t>poco profesional eres titular de la unidad de transparencia se nota tu falta de profesionalismo por solo una letra (…),</w:t>
      </w:r>
      <w:r>
        <w:rPr>
          <w:rFonts w:ascii="Palatino Linotype" w:eastAsia="Palatino Linotype" w:hAnsi="Palatino Linotype" w:cs="Palatino Linotype"/>
          <w:i/>
          <w:color w:val="222222"/>
          <w:sz w:val="24"/>
          <w:szCs w:val="24"/>
        </w:rPr>
        <w:t xml:space="preserve"> </w:t>
      </w:r>
      <w:r>
        <w:rPr>
          <w:rFonts w:ascii="Palatino Linotype" w:eastAsia="Palatino Linotype" w:hAnsi="Palatino Linotype" w:cs="Palatino Linotype"/>
          <w:color w:val="222222"/>
          <w:sz w:val="24"/>
          <w:szCs w:val="24"/>
        </w:rPr>
        <w:t xml:space="preserve">mismas </w:t>
      </w:r>
      <w:r>
        <w:rPr>
          <w:rFonts w:ascii="Palatino Linotype" w:eastAsia="Palatino Linotype" w:hAnsi="Palatino Linotype" w:cs="Palatino Linotype"/>
          <w:color w:val="000000"/>
          <w:sz w:val="24"/>
          <w:szCs w:val="24"/>
        </w:rPr>
        <w:t>no se advierte</w:t>
      </w:r>
      <w:r>
        <w:rPr>
          <w:rFonts w:ascii="Palatino Linotype" w:eastAsia="Palatino Linotype" w:hAnsi="Palatino Linotype" w:cs="Palatino Linotype"/>
          <w:color w:val="222222"/>
          <w:sz w:val="24"/>
          <w:szCs w:val="24"/>
        </w:rPr>
        <w:t xml:space="preserve"> que </w:t>
      </w:r>
      <w:r>
        <w:rPr>
          <w:rFonts w:ascii="Palatino Linotype" w:eastAsia="Palatino Linotype" w:hAnsi="Palatino Linotype" w:cs="Palatino Linotype"/>
          <w:color w:val="000000"/>
          <w:sz w:val="24"/>
          <w:szCs w:val="24"/>
        </w:rPr>
        <w:t xml:space="preserve">no encuadran en la hipótesis normativa de la del artículo 179 de la Ley de Transparencia Local, por lo cual </w:t>
      </w:r>
      <w:r>
        <w:rPr>
          <w:rFonts w:ascii="Palatino Linotype" w:eastAsia="Palatino Linotype" w:hAnsi="Palatino Linotype" w:cs="Palatino Linotype"/>
          <w:color w:val="222222"/>
          <w:sz w:val="24"/>
          <w:szCs w:val="24"/>
        </w:rPr>
        <w:t xml:space="preserve">resultan </w:t>
      </w:r>
      <w:r>
        <w:rPr>
          <w:rFonts w:ascii="Palatino Linotype" w:eastAsia="Palatino Linotype" w:hAnsi="Palatino Linotype" w:cs="Palatino Linotype"/>
          <w:color w:val="000000"/>
          <w:sz w:val="24"/>
          <w:szCs w:val="24"/>
        </w:rPr>
        <w:t>inoperantes</w:t>
      </w:r>
      <w:r>
        <w:rPr>
          <w:rFonts w:ascii="Palatino Linotype" w:eastAsia="Palatino Linotype" w:hAnsi="Palatino Linotype" w:cs="Palatino Linotype"/>
          <w:color w:val="222222"/>
          <w:sz w:val="24"/>
          <w:szCs w:val="24"/>
        </w:rPr>
        <w:t>. En ese sentido es oportuno señalar que si bien es cierto los artículos 6° y 8° de la Constitución Política de los Estados Unidos Mexicanos tienen como fin garantizar que la autoridad atienda las peticiones y solicitudes de información</w:t>
      </w:r>
      <w:r>
        <w:rPr>
          <w:rFonts w:ascii="Palatino Linotype" w:eastAsia="Palatino Linotype" w:hAnsi="Palatino Linotype" w:cs="Palatino Linotype"/>
          <w:color w:val="222222"/>
          <w:sz w:val="24"/>
          <w:szCs w:val="24"/>
        </w:rPr>
        <w:t xml:space="preserve"> de las personas, también es imperante que los particulares en el ejercicio del derecho de petición</w:t>
      </w:r>
      <w:r>
        <w:rPr>
          <w:rFonts w:ascii="Palatino Linotype" w:eastAsia="Palatino Linotype" w:hAnsi="Palatino Linotype" w:cs="Palatino Linotype"/>
          <w:b/>
          <w:color w:val="222222"/>
          <w:sz w:val="24"/>
          <w:szCs w:val="24"/>
        </w:rPr>
        <w:t xml:space="preserve">, </w:t>
      </w:r>
      <w:r>
        <w:rPr>
          <w:rFonts w:ascii="Palatino Linotype" w:eastAsia="Palatino Linotype" w:hAnsi="Palatino Linotype" w:cs="Palatino Linotype"/>
          <w:b/>
          <w:color w:val="222222"/>
          <w:sz w:val="24"/>
          <w:szCs w:val="24"/>
          <w:u w:val="single"/>
        </w:rPr>
        <w:t>dirijan los escritos o solicitudes a la autoridad dentro de un margen de respeto, tal como lo dispone el artículo 8° constitucional</w:t>
      </w:r>
      <w:r>
        <w:rPr>
          <w:rFonts w:ascii="Palatino Linotype" w:eastAsia="Palatino Linotype" w:hAnsi="Palatino Linotype" w:cs="Palatino Linotype"/>
          <w:color w:val="222222"/>
          <w:sz w:val="24"/>
          <w:szCs w:val="24"/>
        </w:rPr>
        <w:t>, que por afinidad es ap</w:t>
      </w:r>
      <w:r>
        <w:rPr>
          <w:rFonts w:ascii="Palatino Linotype" w:eastAsia="Palatino Linotype" w:hAnsi="Palatino Linotype" w:cs="Palatino Linotype"/>
          <w:color w:val="222222"/>
          <w:sz w:val="24"/>
          <w:szCs w:val="24"/>
        </w:rPr>
        <w:t>licable para el ejercicio de derecho de acceso a la información, debiéndose redactar de manera pacífica y respetuosa las solicitudes de información.</w:t>
      </w:r>
    </w:p>
    <w:p w:rsidR="00305532" w:rsidRDefault="00454DC7">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lastRenderedPageBreak/>
        <w:t>Situación que no ocurrió, por lo que se conmina al particular a que en subsecuentes solicitudes de informac</w:t>
      </w:r>
      <w:r>
        <w:rPr>
          <w:rFonts w:ascii="Palatino Linotype" w:eastAsia="Palatino Linotype" w:hAnsi="Palatino Linotype" w:cs="Palatino Linotype"/>
          <w:color w:val="222222"/>
          <w:sz w:val="24"/>
          <w:szCs w:val="24"/>
        </w:rPr>
        <w:t>ión que tuviera a bien realizar, las formule de manera pacífica y respetuosa.</w:t>
      </w:r>
    </w:p>
    <w:p w:rsidR="00305532" w:rsidRDefault="00454DC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8"/>
          <w:szCs w:val="28"/>
        </w:rPr>
        <w:t xml:space="preserve">QUINTO. VERSIÓN PÚBLICA. </w:t>
      </w:r>
      <w:r>
        <w:rPr>
          <w:rFonts w:ascii="Palatino Linotype" w:eastAsia="Palatino Linotype" w:hAnsi="Palatino Linotype" w:cs="Palatino Linotype"/>
          <w:color w:val="000000"/>
          <w:sz w:val="24"/>
          <w:szCs w:val="24"/>
        </w:rPr>
        <w:t>Como ya se ha señalado,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debe satisfacer la solicitud de acceso a la información; sin embargo, por cuanto hace a la información que entregará a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para dar cumplimiento a la presente resolución, que contenga que contenga datos personales que deban ser clasificad</w:t>
      </w:r>
      <w:r>
        <w:rPr>
          <w:rFonts w:ascii="Palatino Linotype" w:eastAsia="Palatino Linotype" w:hAnsi="Palatino Linotype" w:cs="Palatino Linotype"/>
          <w:color w:val="000000"/>
          <w:sz w:val="24"/>
          <w:szCs w:val="24"/>
        </w:rPr>
        <w:t xml:space="preserve">os como confidenciales y que deban ser protegidos,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deberá hacer la elaboración de la versión pública de tales documentos a fin de satisfacer el derecho de acceso a la información pública de la parte recurrente sin menoscabo al derecho a </w:t>
      </w:r>
      <w:r>
        <w:rPr>
          <w:rFonts w:ascii="Palatino Linotype" w:eastAsia="Palatino Linotype" w:hAnsi="Palatino Linotype" w:cs="Palatino Linotype"/>
          <w:color w:val="000000"/>
          <w:sz w:val="24"/>
          <w:szCs w:val="24"/>
        </w:rPr>
        <w:t>la protección de los datos personales de terceros.</w:t>
      </w:r>
    </w:p>
    <w:p w:rsidR="00305532" w:rsidRDefault="00454DC7">
      <w:pPr>
        <w:spacing w:before="240" w:after="240" w:line="276" w:lineRule="auto"/>
        <w:ind w:right="5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“Artículo</w:t>
      </w:r>
      <w:r>
        <w:rPr>
          <w:rFonts w:ascii="Palatino Linotype" w:eastAsia="Palatino Linotype" w:hAnsi="Palatino Linotype" w:cs="Palatino Linotype"/>
          <w:b/>
          <w:i/>
          <w:color w:val="000000"/>
        </w:rPr>
        <w:t xml:space="preserve"> 3. Para los efectos de la presente Ley se entenderá por:</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IX. Datos personales:</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 información concerniente a una persona, identificada o identificable</w:t>
      </w:r>
      <w:r>
        <w:rPr>
          <w:rFonts w:ascii="Palatino Linotype" w:eastAsia="Palatino Linotype" w:hAnsi="Palatino Linotype" w:cs="Palatino Linotype"/>
          <w:i/>
          <w:color w:val="000000"/>
        </w:rPr>
        <w:t xml:space="preserve"> según lo dispuesto por la Ley de Protección de Datos Personales del Estado de México;</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XX. Información cl</w:t>
      </w:r>
      <w:r>
        <w:rPr>
          <w:rFonts w:ascii="Palatino Linotype" w:eastAsia="Palatino Linotype" w:hAnsi="Palatino Linotype" w:cs="Palatino Linotype"/>
          <w:b/>
          <w:i/>
          <w:color w:val="000000"/>
        </w:rPr>
        <w:t>asificada:</w:t>
      </w:r>
      <w:r>
        <w:rPr>
          <w:rFonts w:ascii="Palatino Linotype" w:eastAsia="Palatino Linotype" w:hAnsi="Palatino Linotype" w:cs="Palatino Linotype"/>
          <w:i/>
          <w:color w:val="000000"/>
        </w:rPr>
        <w:t xml:space="preserve"> Aquella considerada por la presente Ley como reservada o confidencial;</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lastRenderedPageBreak/>
        <w:t>XXXII. Protección de Datos Personales:</w:t>
      </w:r>
      <w:r>
        <w:rPr>
          <w:rFonts w:ascii="Palatino Linotype" w:eastAsia="Palatino Linotype" w:hAnsi="Palatino Linotype" w:cs="Palatino Linotype"/>
          <w:i/>
          <w:color w:val="000000"/>
        </w:rPr>
        <w:t xml:space="preserve"> Derecho humano que tutela la privacidad de datos personales en poder de los sujetos obligados y sujetos particulares;</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XLV. Versión públ</w:t>
      </w:r>
      <w:r>
        <w:rPr>
          <w:rFonts w:ascii="Palatino Linotype" w:eastAsia="Palatino Linotype" w:hAnsi="Palatino Linotype" w:cs="Palatino Linotype"/>
          <w:b/>
          <w:i/>
          <w:color w:val="000000"/>
        </w:rPr>
        <w:t>ica</w:t>
      </w:r>
      <w:r>
        <w:rPr>
          <w:rFonts w:ascii="Palatino Linotype" w:eastAsia="Palatino Linotype" w:hAnsi="Palatino Linotype" w:cs="Palatino Linotype"/>
          <w:i/>
          <w:color w:val="000000"/>
        </w:rPr>
        <w:t>: Documento en el que se elimine, suprime o borra la información clasificada como reservada o confidencial para permitir su acceso.”</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6.</w:t>
      </w:r>
      <w:r>
        <w:rPr>
          <w:rFonts w:ascii="Palatino Linotype" w:eastAsia="Palatino Linotype" w:hAnsi="Palatino Linotype" w:cs="Palatino Linotype"/>
          <w:i/>
          <w:color w:val="000000"/>
        </w:rPr>
        <w:t xml:space="preserve"> Los datos personales son irrenunciables, intransferibles e indelegables, por lo que los sujetos obligados n</w:t>
      </w:r>
      <w:r>
        <w:rPr>
          <w:rFonts w:ascii="Palatino Linotype" w:eastAsia="Palatino Linotype" w:hAnsi="Palatino Linotype" w:cs="Palatino Linotype"/>
          <w:i/>
          <w:color w:val="000000"/>
        </w:rPr>
        <w:t>o deberán proporcionar o hacer pública la información que contenga, con excepción de aquellos casos en que deban hacerlo en observancia de las disposiciones aplicables. En el caso de los derechos de acceso, rectificación, cancelación u oposición; los princ</w:t>
      </w:r>
      <w:r>
        <w:rPr>
          <w:rFonts w:ascii="Palatino Linotype" w:eastAsia="Palatino Linotype" w:hAnsi="Palatino Linotype" w:cs="Palatino Linotype"/>
          <w:i/>
          <w:color w:val="000000"/>
        </w:rPr>
        <w:t>ipios, procedimientos, medidas de seguridad en el tratamiento y demás disposiciones en materia de datos personales, se deberá estar a lo dispuesto en las leyes de la materia.”</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xml:space="preserve"> Cuando un mismo medio, impreso o electrónico, contenga informació</w:t>
      </w:r>
      <w:r>
        <w:rPr>
          <w:rFonts w:ascii="Palatino Linotype" w:eastAsia="Palatino Linotype" w:hAnsi="Palatino Linotype" w:cs="Palatino Linotype"/>
          <w:i/>
          <w:color w:val="000000"/>
        </w:rPr>
        <w:t>n pública y reservada o confidencial, la Unidad de Transparencia para efectos de atender una solicitud de información, deberán elaborar una versión pública en la que se testen las partes o secciones clasificadas, indicando su contenido de manera genérica y</w:t>
      </w:r>
      <w:r>
        <w:rPr>
          <w:rFonts w:ascii="Palatino Linotype" w:eastAsia="Palatino Linotype" w:hAnsi="Palatino Linotype" w:cs="Palatino Linotype"/>
          <w:i/>
          <w:color w:val="000000"/>
        </w:rPr>
        <w:t xml:space="preserve"> fundando y motivando su clasificación.”</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143</w:t>
      </w:r>
      <w:r>
        <w:rPr>
          <w:rFonts w:ascii="Palatino Linotype" w:eastAsia="Palatino Linotype" w:hAnsi="Palatino Linotype" w:cs="Palatino Linotype"/>
          <w:i/>
          <w:color w:val="000000"/>
        </w:rPr>
        <w:t>. Para los efectos de esta Ley se considera información confidencial, la clasificada como tal, de manera permanente, por su naturaleza, cuando:</w:t>
      </w:r>
    </w:p>
    <w:p w:rsidR="00305532" w:rsidRDefault="00454DC7">
      <w:pPr>
        <w:spacing w:before="240" w:after="240" w:line="276" w:lineRule="auto"/>
        <w:ind w:left="993" w:right="104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Se refiera a la información privada y los datos persona</w:t>
      </w:r>
      <w:r>
        <w:rPr>
          <w:rFonts w:ascii="Palatino Linotype" w:eastAsia="Palatino Linotype" w:hAnsi="Palatino Linotype" w:cs="Palatino Linotype"/>
          <w:b/>
          <w:i/>
          <w:color w:val="000000"/>
        </w:rPr>
        <w:t>les concernientes a una persona física o jurídico colectiva identificada o identificable</w:t>
      </w:r>
      <w:r>
        <w:rPr>
          <w:rFonts w:ascii="Palatino Linotype" w:eastAsia="Palatino Linotype" w:hAnsi="Palatino Linotype" w:cs="Palatino Linotype"/>
          <w:i/>
          <w:color w:val="000000"/>
        </w:rPr>
        <w:t>…”</w:t>
      </w:r>
    </w:p>
    <w:p w:rsidR="00305532" w:rsidRDefault="00454DC7">
      <w:pPr>
        <w:spacing w:before="240" w:after="240" w:line="360" w:lineRule="auto"/>
        <w:ind w:right="50"/>
        <w:jc w:val="both"/>
        <w:rPr>
          <w:rFonts w:ascii="Times New Roman" w:eastAsia="Times New Roman" w:hAnsi="Times New Roman" w:cs="Times New Roman"/>
          <w:sz w:val="24"/>
          <w:szCs w:val="24"/>
        </w:rPr>
      </w:pPr>
      <w:bookmarkStart w:id="3" w:name="_heading=h.30j0zll" w:colFirst="0" w:colLast="0"/>
      <w:bookmarkEnd w:id="3"/>
      <w:r>
        <w:rPr>
          <w:rFonts w:ascii="Palatino Linotype" w:eastAsia="Palatino Linotype" w:hAnsi="Palatino Linotype" w:cs="Palatino Linotype"/>
          <w:color w:val="000000"/>
          <w:sz w:val="24"/>
          <w:szCs w:val="24"/>
        </w:rPr>
        <w:t xml:space="preserve">De los preceptos anteriores se desprende que cuando un documento que vaya a ser entregado vía acceso a la información pública, contenga tanto información de interés </w:t>
      </w:r>
      <w:r>
        <w:rPr>
          <w:rFonts w:ascii="Palatino Linotype" w:eastAsia="Palatino Linotype" w:hAnsi="Palatino Linotype" w:cs="Palatino Linotype"/>
          <w:color w:val="000000"/>
          <w:sz w:val="24"/>
          <w:szCs w:val="24"/>
        </w:rPr>
        <w:t xml:space="preserve">público como información que debe ser clasificada, se hará la entrega del </w:t>
      </w:r>
      <w:r>
        <w:rPr>
          <w:rFonts w:ascii="Palatino Linotype" w:eastAsia="Palatino Linotype" w:hAnsi="Palatino Linotype" w:cs="Palatino Linotype"/>
          <w:color w:val="000000"/>
          <w:sz w:val="24"/>
          <w:szCs w:val="24"/>
        </w:rPr>
        <w:lastRenderedPageBreak/>
        <w:t xml:space="preserve">mismo, testando las secciones o datos que deban ser clasificados; por ende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sz w:val="24"/>
          <w:szCs w:val="24"/>
        </w:rPr>
        <w:t xml:space="preserve">deberá proceder a testar los datos personales que se encuentre contenidos en los documentos a entregar para satisfacer el derecho de acceso a la información pública del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esto es, los datos concernientes a una persona identificada o identificable</w:t>
      </w:r>
      <w:r>
        <w:rPr>
          <w:rFonts w:ascii="Palatino Linotype" w:eastAsia="Palatino Linotype" w:hAnsi="Palatino Linotype" w:cs="Palatino Linotype"/>
          <w:color w:val="000000"/>
          <w:sz w:val="24"/>
          <w:szCs w:val="24"/>
        </w:rPr>
        <w:t>, o aquellos datos que tengan el carácter de sensibles, es decir los que afectan  la esfera más íntima de su titular o cuya utilización indebida pueda dar origen a discriminación o conlleven un riesgo grave para aquel de acuerdo con la Ley de Protección de</w:t>
      </w:r>
      <w:r>
        <w:rPr>
          <w:rFonts w:ascii="Palatino Linotype" w:eastAsia="Palatino Linotype" w:hAnsi="Palatino Linotype" w:cs="Palatino Linotype"/>
          <w:color w:val="000000"/>
          <w:sz w:val="24"/>
          <w:szCs w:val="24"/>
        </w:rPr>
        <w:t xml:space="preserve"> Datos Personales en Posesión de Sujetos Obligados del Estado de México y Municipios.</w:t>
      </w:r>
    </w:p>
    <w:p w:rsidR="00305532" w:rsidRDefault="00454DC7">
      <w:pPr>
        <w:spacing w:before="240" w:after="240" w:line="360" w:lineRule="auto"/>
        <w:ind w:right="5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Datos que deberá clasificar como confidenciales por tratarse precisamente de información privada, puesto que los datos personales son irrenunciables, intransferibles e in</w:t>
      </w:r>
      <w:r>
        <w:rPr>
          <w:rFonts w:ascii="Palatino Linotype" w:eastAsia="Palatino Linotype" w:hAnsi="Palatino Linotype" w:cs="Palatino Linotype"/>
          <w:color w:val="000000"/>
          <w:sz w:val="24"/>
          <w:szCs w:val="24"/>
        </w:rPr>
        <w:t>delegables y los Sujetos Obligados no deberán hacer entrega de los mismos a personas ajenas a su titular.</w:t>
      </w:r>
    </w:p>
    <w:p w:rsidR="00305532" w:rsidRDefault="00454DC7">
      <w:pPr>
        <w:spacing w:before="240" w:after="240" w:line="360" w:lineRule="auto"/>
        <w:ind w:right="5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En el caso específico, la información solicitada puede contener datos susceptibles de clasificarse, que de hacerse públicos afectarían la intimidad y </w:t>
      </w:r>
      <w:r>
        <w:rPr>
          <w:rFonts w:ascii="Palatino Linotype" w:eastAsia="Palatino Linotype" w:hAnsi="Palatino Linotype" w:cs="Palatino Linotype"/>
          <w:color w:val="000000"/>
          <w:sz w:val="24"/>
          <w:szCs w:val="24"/>
        </w:rPr>
        <w:t>vida privada de particulares; que se ha reiterado en las resoluciones de este Pleno que además de los datos especificados en la Ley de Transparencia y Acceso a la Información Pública del Estado de México y Municipios, se consideran confidenciales cuyo acce</w:t>
      </w:r>
      <w:r>
        <w:rPr>
          <w:rFonts w:ascii="Palatino Linotype" w:eastAsia="Palatino Linotype" w:hAnsi="Palatino Linotype" w:cs="Palatino Linotype"/>
          <w:color w:val="000000"/>
          <w:sz w:val="24"/>
          <w:szCs w:val="24"/>
        </w:rPr>
        <w:t>so debe ser restringido, los cuales deben testarse al momento de la elaboración de versiones públicas, como pudieran ser de manera enunciativa más no limitativa, el número de credencial para votar, la clave de elector, el número de cuenta bancaria, que sea</w:t>
      </w:r>
      <w:r>
        <w:rPr>
          <w:rFonts w:ascii="Palatino Linotype" w:eastAsia="Palatino Linotype" w:hAnsi="Palatino Linotype" w:cs="Palatino Linotype"/>
          <w:color w:val="000000"/>
          <w:sz w:val="24"/>
          <w:szCs w:val="24"/>
        </w:rPr>
        <w:t>n exclusivamente de particulares, entre otros.</w:t>
      </w:r>
    </w:p>
    <w:p w:rsidR="00305532" w:rsidRDefault="00454DC7">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lastRenderedPageBreak/>
        <w:t>Con base en lo expuesto, se insiste que en la versión pública de los documentos que se ordenan se deben testar aquellos elementos señalados en la presente resolución, en el entendido de que debe ser pública to</w:t>
      </w:r>
      <w:r>
        <w:rPr>
          <w:rFonts w:ascii="Palatino Linotype" w:eastAsia="Palatino Linotype" w:hAnsi="Palatino Linotype" w:cs="Palatino Linotype"/>
          <w:color w:val="000000"/>
          <w:sz w:val="24"/>
          <w:szCs w:val="24"/>
        </w:rPr>
        <w:t>da la demás información relacionada que no encuadre en los conceptos anteriores.</w:t>
      </w:r>
    </w:p>
    <w:p w:rsidR="00305532" w:rsidRDefault="00454DC7">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Asimismo, se destaca que la versión pública que elabore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 cumplir con las formalidades exigidas en la Ley, por lo que para tal efecto emitirá el Acuerdo </w:t>
      </w:r>
      <w:r>
        <w:rPr>
          <w:rFonts w:ascii="Palatino Linotype" w:eastAsia="Palatino Linotype" w:hAnsi="Palatino Linotype" w:cs="Palatino Linotype"/>
          <w:color w:val="000000"/>
          <w:sz w:val="24"/>
          <w:szCs w:val="24"/>
        </w:rPr>
        <w:t>del Comité de Transparencia en el que se expongan los fundamentos y razonamientos que le llevaron a testar, suprimir o eliminar datos de dicho soporte documental, ya que no hacerlo implica que lo entregado no es legal ni formalmente una versión pública, si</w:t>
      </w:r>
      <w:r>
        <w:rPr>
          <w:rFonts w:ascii="Palatino Linotype" w:eastAsia="Palatino Linotype" w:hAnsi="Palatino Linotype" w:cs="Palatino Linotype"/>
          <w:color w:val="000000"/>
          <w:sz w:val="24"/>
          <w:szCs w:val="24"/>
        </w:rPr>
        <w:t>no más bien una documentación ilegible, incompleta o tachada; pues no señalar las razones por las que no se aprecian determinados datos -ya sea porque se testan o suprimen- deja al solicitante en estado de incertidumbre, al no conocer o comprender porque n</w:t>
      </w:r>
      <w:r>
        <w:rPr>
          <w:rFonts w:ascii="Palatino Linotype" w:eastAsia="Palatino Linotype" w:hAnsi="Palatino Linotype" w:cs="Palatino Linotype"/>
          <w:color w:val="000000"/>
          <w:sz w:val="24"/>
          <w:szCs w:val="24"/>
        </w:rPr>
        <w:t>o aparecen en la documentación respectiva, es decir, si no se exponen de manera puntual las razones de ello se estaría violentando desde un inicio el derecho de acceso a la información del solicitante, por lo que el acuerdo respectivo, deberá hacerse del c</w:t>
      </w:r>
      <w:r>
        <w:rPr>
          <w:rFonts w:ascii="Palatino Linotype" w:eastAsia="Palatino Linotype" w:hAnsi="Palatino Linotype" w:cs="Palatino Linotype"/>
          <w:color w:val="000000"/>
          <w:sz w:val="24"/>
          <w:szCs w:val="24"/>
        </w:rPr>
        <w:t>onocimiento del Recurrente.</w:t>
      </w:r>
    </w:p>
    <w:p w:rsidR="00305532" w:rsidRDefault="00454DC7">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De este modo, la versión pública que elabore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debe acompañarse del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Acuerdo de Clasificación que emita el Comité de Transparencia, para lo cual se deberá observar lo dispuesto en la Ley de Transparencia y Acceso</w:t>
      </w:r>
      <w:r>
        <w:rPr>
          <w:rFonts w:ascii="Palatino Linotype" w:eastAsia="Palatino Linotype" w:hAnsi="Palatino Linotype" w:cs="Palatino Linotype"/>
          <w:color w:val="000000"/>
          <w:sz w:val="24"/>
          <w:szCs w:val="24"/>
        </w:rPr>
        <w:t xml:space="preserve"> a la Información Pública del Estado de México y Municipios, y en los Lineamientos Generales en Materia de Clasificación y Desclasificación de la Información, así como </w:t>
      </w:r>
      <w:r>
        <w:rPr>
          <w:rFonts w:ascii="Palatino Linotype" w:eastAsia="Palatino Linotype" w:hAnsi="Palatino Linotype" w:cs="Palatino Linotype"/>
          <w:color w:val="000000"/>
          <w:sz w:val="24"/>
          <w:szCs w:val="24"/>
        </w:rPr>
        <w:lastRenderedPageBreak/>
        <w:t>para la elaboración de Versiones Públicas, publicados en el Diario Oficial de la Federac</w:t>
      </w:r>
      <w:r>
        <w:rPr>
          <w:rFonts w:ascii="Palatino Linotype" w:eastAsia="Palatino Linotype" w:hAnsi="Palatino Linotype" w:cs="Palatino Linotype"/>
          <w:color w:val="000000"/>
          <w:sz w:val="24"/>
          <w:szCs w:val="24"/>
        </w:rPr>
        <w:t xml:space="preserve">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color w:val="000000"/>
          <w:sz w:val="24"/>
          <w:szCs w:val="24"/>
          <w:u w:val="single"/>
        </w:rPr>
        <w:t>razones</w:t>
      </w:r>
      <w:r>
        <w:rPr>
          <w:rFonts w:ascii="Palatino Linotype" w:eastAsia="Palatino Linotype" w:hAnsi="Palatino Linotype" w:cs="Palatino Linotype"/>
          <w:b/>
          <w:color w:val="000000"/>
          <w:sz w:val="24"/>
          <w:szCs w:val="24"/>
          <w:u w:val="single"/>
        </w:rPr>
        <w:t>, motivos o circunstancias especiales</w:t>
      </w:r>
      <w:r>
        <w:rPr>
          <w:rFonts w:ascii="Palatino Linotype" w:eastAsia="Palatino Linotype" w:hAnsi="Palatino Linotype" w:cs="Palatino Linotype"/>
          <w:color w:val="000000"/>
          <w:sz w:val="24"/>
          <w:szCs w:val="24"/>
        </w:rPr>
        <w:t xml:space="preserve"> que lo llevaron a concluir que el caso concreto, se ajustó a los supuestos previstos en la normatividad legal invocada como fundamento.</w:t>
      </w:r>
    </w:p>
    <w:p w:rsidR="00305532" w:rsidRDefault="00454DC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relación directa con ello, los Lineamientos en estudio establecen los formatos </w:t>
      </w:r>
      <w:r>
        <w:rPr>
          <w:rFonts w:ascii="Palatino Linotype" w:eastAsia="Palatino Linotype" w:hAnsi="Palatino Linotype" w:cs="Palatino Linotype"/>
          <w:color w:val="000000"/>
          <w:sz w:val="24"/>
          <w:szCs w:val="24"/>
        </w:rPr>
        <w:t>para la clasificación parcial y total de los documentos, que atienden a lo siguiente:</w:t>
      </w:r>
    </w:p>
    <w:p w:rsidR="00305532" w:rsidRDefault="00305532">
      <w:pPr>
        <w:spacing w:before="240" w:after="240" w:line="360" w:lineRule="auto"/>
        <w:jc w:val="both"/>
        <w:rPr>
          <w:rFonts w:ascii="Times New Roman" w:eastAsia="Times New Roman" w:hAnsi="Times New Roman" w:cs="Times New Roman"/>
          <w:sz w:val="24"/>
          <w:szCs w:val="24"/>
        </w:rPr>
      </w:pPr>
    </w:p>
    <w:tbl>
      <w:tblPr>
        <w:tblStyle w:val="a"/>
        <w:tblW w:w="8838" w:type="dxa"/>
        <w:tblInd w:w="0" w:type="dxa"/>
        <w:tblLayout w:type="fixed"/>
        <w:tblLook w:val="0400" w:firstRow="0" w:lastRow="0" w:firstColumn="0" w:lastColumn="0" w:noHBand="0" w:noVBand="1"/>
      </w:tblPr>
      <w:tblGrid>
        <w:gridCol w:w="1270"/>
        <w:gridCol w:w="3413"/>
        <w:gridCol w:w="1356"/>
        <w:gridCol w:w="2799"/>
      </w:tblGrid>
      <w:tr w:rsidR="00305532">
        <w:tc>
          <w:tcPr>
            <w:tcW w:w="4683" w:type="dxa"/>
            <w:gridSpan w:val="2"/>
            <w:tcBorders>
              <w:bottom w:val="single" w:sz="4" w:space="0" w:color="95B3D7"/>
            </w:tcBorders>
            <w:tcMar>
              <w:top w:w="0" w:type="dxa"/>
              <w:left w:w="108" w:type="dxa"/>
              <w:bottom w:w="0" w:type="dxa"/>
              <w:right w:w="108" w:type="dxa"/>
            </w:tcMar>
          </w:tcPr>
          <w:p w:rsidR="00305532" w:rsidRDefault="00454DC7">
            <w:pPr>
              <w:spacing w:before="240" w:after="240" w:line="276"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Parcial</w:t>
            </w:r>
          </w:p>
        </w:tc>
        <w:tc>
          <w:tcPr>
            <w:tcW w:w="4155" w:type="dxa"/>
            <w:gridSpan w:val="2"/>
            <w:tcBorders>
              <w:bottom w:val="single" w:sz="4" w:space="0" w:color="95B3D7"/>
            </w:tcBorders>
            <w:tcMar>
              <w:top w:w="0" w:type="dxa"/>
              <w:left w:w="108" w:type="dxa"/>
              <w:bottom w:w="0" w:type="dxa"/>
              <w:right w:w="108" w:type="dxa"/>
            </w:tcMar>
          </w:tcPr>
          <w:p w:rsidR="00305532" w:rsidRDefault="00454DC7">
            <w:pPr>
              <w:spacing w:before="240" w:after="240" w:line="276"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Total</w:t>
            </w:r>
          </w:p>
        </w:tc>
      </w:tr>
      <w:tr w:rsidR="00305532">
        <w:tc>
          <w:tcPr>
            <w:tcW w:w="1270"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Concepto</w:t>
            </w:r>
          </w:p>
        </w:tc>
        <w:tc>
          <w:tcPr>
            <w:tcW w:w="3413"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Dónde</w:t>
            </w:r>
          </w:p>
        </w:tc>
        <w:tc>
          <w:tcPr>
            <w:tcW w:w="1356"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Concepto</w:t>
            </w:r>
          </w:p>
        </w:tc>
        <w:tc>
          <w:tcPr>
            <w:tcW w:w="2799"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Dónde</w:t>
            </w:r>
          </w:p>
        </w:tc>
      </w:tr>
      <w:tr w:rsidR="00305532">
        <w:tc>
          <w:tcPr>
            <w:tcW w:w="88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Sello oficial o logotipo del sujeto obligado</w:t>
            </w:r>
          </w:p>
        </w:tc>
      </w:tr>
      <w:tr w:rsidR="00305532">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Fecha de clasificación</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Fecha de clasificación</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305532">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Área</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área del cual es titular quien clasifica.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Área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área de la cual es el titular quien clasifica.</w:t>
            </w:r>
          </w:p>
        </w:tc>
      </w:tr>
      <w:tr w:rsidR="00305532">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Información reservada</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w:t>
            </w:r>
            <w:r>
              <w:rPr>
                <w:rFonts w:ascii="Palatino Linotype" w:eastAsia="Palatino Linotype" w:hAnsi="Palatino Linotype" w:cs="Palatino Linotype"/>
                <w:color w:val="000000"/>
                <w:sz w:val="12"/>
                <w:szCs w:val="12"/>
              </w:rPr>
              <w:t>ste apartado.</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Reservado</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Leyenda de información RESERVADA.</w:t>
            </w:r>
          </w:p>
        </w:tc>
      </w:tr>
      <w:tr w:rsidR="00305532">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lastRenderedPageBreak/>
              <w:t>Fundamento legal</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Periodo de reserva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 xml:space="preserve">Se anotará el número de años </w:t>
            </w:r>
            <w:r>
              <w:rPr>
                <w:rFonts w:ascii="Palatino Linotype" w:eastAsia="Palatino Linotype" w:hAnsi="Palatino Linotype" w:cs="Palatino Linotype"/>
                <w:color w:val="000000"/>
                <w:sz w:val="12"/>
                <w:szCs w:val="12"/>
              </w:rPr>
              <w:t>o meses por los que se mantendrá el documento o las partes del mismo como reservado. Si el expediente no es reservado, sino confidencial, deberá tacharse este apartado.</w:t>
            </w:r>
          </w:p>
        </w:tc>
      </w:tr>
      <w:tr w:rsidR="00305532">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Ampliación del periodo de reserva</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Fundamento legal</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 de los ordenamientos jurídicos, el o los a</w:t>
            </w:r>
            <w:r>
              <w:rPr>
                <w:rFonts w:ascii="Palatino Linotype" w:eastAsia="Palatino Linotype" w:hAnsi="Palatino Linotype" w:cs="Palatino Linotype"/>
                <w:color w:val="000000"/>
                <w:sz w:val="12"/>
                <w:szCs w:val="12"/>
              </w:rPr>
              <w:t>rtículos, fracción(es), párrafo(s) con base en los cuales se sustenta la reserva.</w:t>
            </w:r>
          </w:p>
        </w:tc>
      </w:tr>
      <w:tr w:rsidR="00305532">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Confidencial</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w:t>
            </w:r>
            <w:r>
              <w:rPr>
                <w:rFonts w:ascii="Palatino Linotype" w:eastAsia="Palatino Linotype" w:hAnsi="Palatino Linotype" w:cs="Palatino Linotype"/>
                <w:color w:val="000000"/>
                <w:sz w:val="12"/>
                <w:szCs w:val="12"/>
              </w:rPr>
              <w:t xml:space="preserve"> todas las páginas que lo conforman. Si el documento no contiene información confidencial, se tachará este apartado.</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Ampliación del periodo de reserva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En caso de haber solicitado la ampliación del periodo de reserva originalmente establecido, se deberá ano</w:t>
            </w:r>
            <w:r>
              <w:rPr>
                <w:rFonts w:ascii="Palatino Linotype" w:eastAsia="Palatino Linotype" w:hAnsi="Palatino Linotype" w:cs="Palatino Linotype"/>
                <w:color w:val="000000"/>
                <w:sz w:val="12"/>
                <w:szCs w:val="12"/>
              </w:rPr>
              <w:t>tar el número de años o meses por los que se amplía la reserva.</w:t>
            </w:r>
          </w:p>
        </w:tc>
      </w:tr>
      <w:tr w:rsidR="00305532">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Fundamento legal</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Confidencial</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Leyenda de información CONFIDENCIAL.</w:t>
            </w:r>
          </w:p>
        </w:tc>
      </w:tr>
      <w:tr w:rsidR="00305532">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del titular del área</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clasifica.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Fundamento legal</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w:t>
            </w:r>
            <w:r>
              <w:rPr>
                <w:rFonts w:ascii="Palatino Linotype" w:eastAsia="Palatino Linotype" w:hAnsi="Palatino Linotype" w:cs="Palatino Linotype"/>
                <w:color w:val="000000"/>
                <w:sz w:val="12"/>
                <w:szCs w:val="12"/>
              </w:rPr>
              <w:t>tente la confidencialidad.</w:t>
            </w:r>
          </w:p>
        </w:tc>
      </w:tr>
      <w:tr w:rsidR="00305532">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Fecha de desclasificación</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que se desclasifica el documento.</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del titular del área</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clasifica.</w:t>
            </w:r>
          </w:p>
        </w:tc>
      </w:tr>
      <w:tr w:rsidR="00305532">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y cargo del servidor público</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desclasifica.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Fecha de desclasificación</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que se desclasifica.</w:t>
            </w:r>
          </w:p>
        </w:tc>
      </w:tr>
      <w:tr w:rsidR="00305532">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305532">
            <w:pPr>
              <w:spacing w:before="240" w:after="240" w:line="276" w:lineRule="auto"/>
              <w:rPr>
                <w:rFonts w:ascii="Times New Roman" w:eastAsia="Times New Roman" w:hAnsi="Times New Roman" w:cs="Times New Roman"/>
                <w:sz w:val="24"/>
                <w:szCs w:val="24"/>
              </w:rPr>
            </w:pP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305532">
            <w:pPr>
              <w:spacing w:before="240" w:after="240" w:line="276" w:lineRule="auto"/>
              <w:rPr>
                <w:rFonts w:ascii="Times New Roman" w:eastAsia="Times New Roman" w:hAnsi="Times New Roman" w:cs="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Partes o secciones reservadas o confidenciales</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En caso que una vez desclasificado el expediente, subsistanpartes o secciones del mismo reservadas o confidenciales, se señalará este hecho.</w:t>
            </w:r>
          </w:p>
        </w:tc>
      </w:tr>
      <w:tr w:rsidR="00305532">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305532">
            <w:pPr>
              <w:spacing w:before="240" w:after="240" w:line="276" w:lineRule="auto"/>
              <w:rPr>
                <w:rFonts w:ascii="Times New Roman" w:eastAsia="Times New Roman" w:hAnsi="Times New Roman" w:cs="Times New Roman"/>
                <w:sz w:val="24"/>
                <w:szCs w:val="24"/>
              </w:rPr>
            </w:pP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305532">
            <w:pPr>
              <w:spacing w:before="240" w:after="240" w:line="276" w:lineRule="auto"/>
              <w:rPr>
                <w:rFonts w:ascii="Times New Roman" w:eastAsia="Times New Roman" w:hAnsi="Times New Roman" w:cs="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y cargo del servidor público</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5532" w:rsidRDefault="00454DC7">
            <w:pPr>
              <w:spacing w:before="240" w:after="240" w:line="276"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desclasifica.</w:t>
            </w:r>
          </w:p>
        </w:tc>
      </w:tr>
    </w:tbl>
    <w:p w:rsidR="00305532" w:rsidRDefault="00454DC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sz w:val="24"/>
          <w:szCs w:val="24"/>
          <w:highlight w:val="white"/>
        </w:rPr>
        <w:t xml:space="preserve">párrafos trigésimo, trigésimo primero y trigésimo segundo fracciones IV y V </w:t>
      </w:r>
      <w:r>
        <w:rPr>
          <w:rFonts w:ascii="Palatino Linotype" w:eastAsia="Palatino Linotype" w:hAnsi="Palatino Linotype" w:cs="Palatino Linotype"/>
          <w:sz w:val="24"/>
          <w:szCs w:val="24"/>
        </w:rPr>
        <w:t xml:space="preserve">de la Constitución Política del Estado </w:t>
      </w:r>
      <w:r>
        <w:rPr>
          <w:rFonts w:ascii="Palatino Linotype" w:eastAsia="Palatino Linotype" w:hAnsi="Palatino Linotype" w:cs="Palatino Linotype"/>
          <w:sz w:val="24"/>
          <w:szCs w:val="24"/>
        </w:rPr>
        <w:lastRenderedPageBreak/>
        <w:t>Libre y Soberano de México; 2, fracción II; 29, 36 fracciones I y II; 176, 178, 181, 1</w:t>
      </w:r>
      <w:r>
        <w:rPr>
          <w:rFonts w:ascii="Palatino Linotype" w:eastAsia="Palatino Linotype" w:hAnsi="Palatino Linotype" w:cs="Palatino Linotype"/>
          <w:sz w:val="24"/>
          <w:szCs w:val="24"/>
        </w:rPr>
        <w:t>85 de la Ley de Transparencia y Acceso a la Información Pública del Estado de México y Municipios, este Pleno:</w:t>
      </w:r>
    </w:p>
    <w:p w:rsidR="00305532" w:rsidRDefault="00454DC7">
      <w:pPr>
        <w:spacing w:before="240" w:after="240" w:line="360" w:lineRule="auto"/>
        <w:ind w:right="-93"/>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305532" w:rsidRDefault="00454DC7">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highlight w:val="white"/>
        </w:rPr>
        <w:t xml:space="preserve">Resultan fundados los motivos de inconformidad aducidos por 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en el recurso de revisión </w:t>
      </w:r>
      <w:r>
        <w:rPr>
          <w:rFonts w:ascii="Palatino Linotype" w:eastAsia="Palatino Linotype" w:hAnsi="Palatino Linotype" w:cs="Palatino Linotype"/>
          <w:b/>
          <w:color w:val="222222"/>
          <w:sz w:val="24"/>
          <w:szCs w:val="24"/>
          <w:highlight w:val="white"/>
        </w:rPr>
        <w:t xml:space="preserve">00654/INFOEM/IP/RR/2022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rPr>
        <w:t>REVOCA</w:t>
      </w:r>
      <w:r>
        <w:rPr>
          <w:rFonts w:ascii="Palatino Linotype" w:eastAsia="Palatino Linotype" w:hAnsi="Palatino Linotype" w:cs="Palatino Linotype"/>
          <w:color w:val="222222"/>
          <w:sz w:val="24"/>
          <w:szCs w:val="24"/>
          <w:highlight w:val="white"/>
        </w:rPr>
        <w:t xml:space="preserve"> la respuesta del </w:t>
      </w:r>
      <w:r>
        <w:rPr>
          <w:rFonts w:ascii="Palatino Linotype" w:eastAsia="Palatino Linotype" w:hAnsi="Palatino Linotype" w:cs="Palatino Linotype"/>
          <w:b/>
          <w:color w:val="222222"/>
          <w:sz w:val="24"/>
          <w:szCs w:val="24"/>
          <w:highlight w:val="white"/>
        </w:rPr>
        <w:t>SUJETO OBLIGADO.</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SEGUNDO.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color w:val="000000"/>
          <w:sz w:val="24"/>
          <w:szCs w:val="24"/>
        </w:rPr>
        <w:t>Ordena</w:t>
      </w:r>
      <w:r>
        <w:rPr>
          <w:rFonts w:ascii="Palatino Linotype" w:eastAsia="Palatino Linotype" w:hAnsi="Palatino Linotype" w:cs="Palatino Linotype"/>
          <w:color w:val="000000"/>
          <w:sz w:val="24"/>
          <w:szCs w:val="24"/>
        </w:rPr>
        <w:t xml:space="preserve">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términos de los Considerandos </w:t>
      </w:r>
      <w:r>
        <w:rPr>
          <w:rFonts w:ascii="Palatino Linotype" w:eastAsia="Palatino Linotype" w:hAnsi="Palatino Linotype" w:cs="Palatino Linotype"/>
          <w:b/>
          <w:color w:val="000000"/>
          <w:sz w:val="24"/>
          <w:szCs w:val="24"/>
        </w:rPr>
        <w:t xml:space="preserve">Cuarto </w:t>
      </w:r>
      <w:r>
        <w:rPr>
          <w:rFonts w:ascii="Palatino Linotype" w:eastAsia="Palatino Linotype" w:hAnsi="Palatino Linotype" w:cs="Palatino Linotype"/>
          <w:color w:val="000000"/>
          <w:sz w:val="24"/>
          <w:szCs w:val="24"/>
        </w:rPr>
        <w:t>y</w:t>
      </w:r>
      <w:r>
        <w:rPr>
          <w:rFonts w:ascii="Palatino Linotype" w:eastAsia="Palatino Linotype" w:hAnsi="Palatino Linotype" w:cs="Palatino Linotype"/>
          <w:b/>
          <w:color w:val="000000"/>
          <w:sz w:val="24"/>
          <w:szCs w:val="24"/>
        </w:rPr>
        <w:t xml:space="preserve"> Quinto</w:t>
      </w:r>
      <w:r>
        <w:rPr>
          <w:rFonts w:ascii="Palatino Linotype" w:eastAsia="Palatino Linotype" w:hAnsi="Palatino Linotype" w:cs="Palatino Linotype"/>
          <w:color w:val="000000"/>
          <w:sz w:val="24"/>
          <w:szCs w:val="24"/>
        </w:rPr>
        <w:t xml:space="preserve"> de esta resolución, previa búsqu</w:t>
      </w:r>
      <w:r>
        <w:rPr>
          <w:rFonts w:ascii="Palatino Linotype" w:eastAsia="Palatino Linotype" w:hAnsi="Palatino Linotype" w:cs="Palatino Linotype"/>
          <w:color w:val="000000"/>
          <w:sz w:val="24"/>
          <w:szCs w:val="24"/>
        </w:rPr>
        <w:t xml:space="preserve">eda exhaustiva y razonables, haga entrega, en versión pública de ser procedente, a través del SAIMEX, de lo siguiente: </w:t>
      </w:r>
    </w:p>
    <w:p w:rsidR="00305532" w:rsidRDefault="00454D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Nombramiento, FUM, contrato o documento análogo que acredite la relación laboral del servidor público referido en la solicitud, con el</w:t>
      </w:r>
      <w:r>
        <w:rPr>
          <w:rFonts w:ascii="Palatino Linotype" w:eastAsia="Palatino Linotype" w:hAnsi="Palatino Linotype" w:cs="Palatino Linotype"/>
          <w:color w:val="000000"/>
          <w:sz w:val="24"/>
          <w:szCs w:val="24"/>
        </w:rPr>
        <w:t xml:space="preserve"> ayuntamiento Villa Guerrero en la administración 2019-2021.</w:t>
      </w:r>
    </w:p>
    <w:p w:rsidR="00305532" w:rsidRDefault="00454DC7">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Nombramiento, FUM, contrato o documento análogo que acredite la relación laboral del servidor público referido en la solicitud con el Ayuntamiento Villa Guerrero en las administraciones 2016-20</w:t>
      </w:r>
      <w:r>
        <w:rPr>
          <w:rFonts w:ascii="Palatino Linotype" w:eastAsia="Palatino Linotype" w:hAnsi="Palatino Linotype" w:cs="Palatino Linotype"/>
          <w:color w:val="000000"/>
          <w:sz w:val="24"/>
          <w:szCs w:val="24"/>
        </w:rPr>
        <w:t>18 y</w:t>
      </w:r>
      <w:r>
        <w:rPr>
          <w:rFonts w:ascii="Palatino Linotype" w:eastAsia="Palatino Linotype" w:hAnsi="Palatino Linotype" w:cs="Palatino Linotype"/>
          <w:color w:val="000000"/>
        </w:rPr>
        <w:t xml:space="preserve"> 2022-2024.</w:t>
      </w:r>
    </w:p>
    <w:p w:rsidR="00305532" w:rsidRDefault="00454DC7">
      <w:pPr>
        <w:spacing w:before="24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color w:val="000000"/>
          <w:sz w:val="20"/>
          <w:szCs w:val="20"/>
        </w:rPr>
        <w:t xml:space="preserve"> supriman o eliminen, así como de los documentos remitidos en respuesta, y se ponga a disposición de la parte Recurrente.</w:t>
      </w:r>
    </w:p>
    <w:p w:rsidR="00305532" w:rsidRDefault="00454DC7">
      <w:pPr>
        <w:spacing w:before="240" w:after="240" w:line="360" w:lineRule="auto"/>
        <w:ind w:right="49"/>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lastRenderedPageBreak/>
        <w:t xml:space="preserve">Para el caso de que el servidor público referido en la solicitud no haya trabajado en la administración 2016-2018, y no trabaje en la </w:t>
      </w:r>
      <w:r>
        <w:rPr>
          <w:rFonts w:ascii="Palatino Linotype" w:eastAsia="Palatino Linotype" w:hAnsi="Palatino Linotype" w:cs="Palatino Linotype"/>
          <w:i/>
          <w:color w:val="222222"/>
        </w:rPr>
        <w:t xml:space="preserve">administración actual 2022-2024, bastará con que así se lo haga del conocimiento al particular de manera fundada y motivada. </w:t>
      </w:r>
    </w:p>
    <w:p w:rsidR="00305532" w:rsidRDefault="00454DC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w:t>
      </w:r>
      <w:r>
        <w:rPr>
          <w:rFonts w:ascii="Palatino Linotype" w:eastAsia="Palatino Linotype" w:hAnsi="Palatino Linotype" w:cs="Palatino Linotype"/>
          <w:sz w:val="24"/>
          <w:szCs w:val="24"/>
        </w:rPr>
        <w:t>orme al artículo 186 último párrafo y 189 párrafo segundo de la Ley de Transparencia y Acceso a la Información Pública del Estado de México y Municipios, dé cumplimiento a lo ordenado dentro del plazo de diez días hábiles, debiendo informar a este Institut</w:t>
      </w:r>
      <w:r>
        <w:rPr>
          <w:rFonts w:ascii="Palatino Linotype" w:eastAsia="Palatino Linotype" w:hAnsi="Palatino Linotype" w:cs="Palatino Linotype"/>
          <w:sz w:val="24"/>
          <w:szCs w:val="24"/>
        </w:rPr>
        <w:t>o en un plazo de tres días hábiles siguientes sobre el cumplimiento dado a la presente resolución.</w:t>
      </w:r>
    </w:p>
    <w:p w:rsidR="00305532" w:rsidRDefault="00454DC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w:t>
      </w:r>
      <w:r>
        <w:rPr>
          <w:rFonts w:ascii="Palatino Linotype" w:eastAsia="Palatino Linotype" w:hAnsi="Palatino Linotype" w:cs="Palatino Linotype"/>
          <w:sz w:val="24"/>
          <w:szCs w:val="24"/>
        </w:rPr>
        <w:t xml:space="preserve">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305532" w:rsidRDefault="00454DC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w:t>
      </w:r>
      <w:r>
        <w:rPr>
          <w:rFonts w:ascii="Palatino Linotype" w:eastAsia="Palatino Linotype" w:hAnsi="Palatino Linotype" w:cs="Palatino Linotype"/>
          <w:sz w:val="24"/>
          <w:szCs w:val="24"/>
        </w:rPr>
        <w:t>ablecido en el artículo 196 de la Ley de Transparencia y Acceso a la Información Pública del Estado de México y Municipios, podrá impugnarla vía Juicio de Amparo en los términos de las leyes aplicables.</w:t>
      </w:r>
    </w:p>
    <w:p w:rsidR="00305532" w:rsidRDefault="00454DC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w:t>
      </w:r>
      <w:r>
        <w:rPr>
          <w:rFonts w:ascii="Palatino Linotype" w:eastAsia="Palatino Linotype" w:hAnsi="Palatino Linotype" w:cs="Palatino Linotype"/>
          <w:sz w:val="24"/>
          <w:szCs w:val="24"/>
        </w:rPr>
        <w:t xml:space="preserve">L INSTITUTO DE TRANSPARENCIA, ACCESO A LA INFORMACIÓN PÚBLICA Y PROTECCIÓN DE DATOS PERSONALES DEL ESTADO DE MÉXICO </w:t>
      </w:r>
      <w:r>
        <w:rPr>
          <w:rFonts w:ascii="Palatino Linotype" w:eastAsia="Palatino Linotype" w:hAnsi="Palatino Linotype" w:cs="Palatino Linotype"/>
          <w:sz w:val="24"/>
          <w:szCs w:val="24"/>
        </w:rPr>
        <w:lastRenderedPageBreak/>
        <w:t>Y MUNICIPIOS, CONFORMADO POR LOS COMISIONADOS JOSÉ MARTÍNEZ VILCHIS, MARÍA DEL ROSARIO MEJÍA AYALA, SHARON CRISTINA MORALES MARTÍNEZ, LUIS G</w:t>
      </w:r>
      <w:r>
        <w:rPr>
          <w:rFonts w:ascii="Palatino Linotype" w:eastAsia="Palatino Linotype" w:hAnsi="Palatino Linotype" w:cs="Palatino Linotype"/>
          <w:sz w:val="24"/>
          <w:szCs w:val="24"/>
        </w:rPr>
        <w:t>USTAVO PARRA NORIEGA Y GUADALUPE RAMÍREZ PEÑA; EN LA DÉCIMA PRIMERA SESIÓN ORDINARIA CELEBRADA EL VEINTICUATRO DE MARZO DE DOS MIL VEINTIDÓS, ANTE EL SECRETARIO TÉCNICO DEL PLENO ALEXIS TAPIA RAMÍREZ.</w:t>
      </w:r>
    </w:p>
    <w:p w:rsidR="00305532" w:rsidRDefault="00305532">
      <w:pPr>
        <w:spacing w:before="240" w:after="240" w:line="360" w:lineRule="auto"/>
        <w:ind w:right="49"/>
        <w:jc w:val="both"/>
        <w:rPr>
          <w:rFonts w:ascii="Palatino Linotype" w:eastAsia="Palatino Linotype" w:hAnsi="Palatino Linotype" w:cs="Palatino Linotype"/>
          <w:sz w:val="24"/>
          <w:szCs w:val="24"/>
        </w:rPr>
      </w:pPr>
    </w:p>
    <w:p w:rsidR="00305532" w:rsidRDefault="00305532">
      <w:pPr>
        <w:spacing w:before="240" w:after="240" w:line="360" w:lineRule="auto"/>
        <w:ind w:left="-142" w:right="-93"/>
        <w:jc w:val="both"/>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spacing w:before="240" w:after="240" w:line="360" w:lineRule="auto"/>
        <w:jc w:val="both"/>
        <w:rPr>
          <w:rFonts w:ascii="Times New Roman" w:eastAsia="Times New Roman" w:hAnsi="Times New Roman" w:cs="Times New Roman"/>
          <w:sz w:val="24"/>
          <w:szCs w:val="24"/>
        </w:rPr>
      </w:pPr>
    </w:p>
    <w:p w:rsidR="00305532" w:rsidRDefault="00305532">
      <w:pPr>
        <w:tabs>
          <w:tab w:val="left" w:pos="8647"/>
        </w:tabs>
        <w:spacing w:before="240" w:after="240" w:line="360" w:lineRule="auto"/>
        <w:ind w:right="141"/>
        <w:jc w:val="both"/>
        <w:rPr>
          <w:rFonts w:ascii="Palatino Linotype" w:eastAsia="Palatino Linotype" w:hAnsi="Palatino Linotype" w:cs="Palatino Linotype"/>
          <w:sz w:val="24"/>
          <w:szCs w:val="24"/>
        </w:rPr>
      </w:pPr>
    </w:p>
    <w:sectPr w:rsidR="00305532">
      <w:headerReference w:type="default" r:id="rId21"/>
      <w:footerReference w:type="default" r:id="rId22"/>
      <w:headerReference w:type="first" r:id="rId23"/>
      <w:footerReference w:type="first" r:id="rId2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DC7" w:rsidRDefault="00454DC7">
      <w:pPr>
        <w:spacing w:after="0" w:line="240" w:lineRule="auto"/>
      </w:pPr>
      <w:r>
        <w:separator/>
      </w:r>
    </w:p>
  </w:endnote>
  <w:endnote w:type="continuationSeparator" w:id="0">
    <w:p w:rsidR="00454DC7" w:rsidRDefault="00454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32" w:rsidRDefault="00454DC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08014C">
      <w:rPr>
        <w:rFonts w:ascii="Arial" w:eastAsia="Arial" w:hAnsi="Arial" w:cs="Arial"/>
        <w:b/>
        <w:color w:val="000000"/>
        <w:sz w:val="20"/>
        <w:szCs w:val="20"/>
      </w:rPr>
      <w:fldChar w:fldCharType="separate"/>
    </w:r>
    <w:r w:rsidR="0008014C">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08014C">
      <w:rPr>
        <w:rFonts w:ascii="Arial" w:eastAsia="Arial" w:hAnsi="Arial" w:cs="Arial"/>
        <w:b/>
        <w:color w:val="000000"/>
        <w:sz w:val="20"/>
        <w:szCs w:val="20"/>
      </w:rPr>
      <w:fldChar w:fldCharType="separate"/>
    </w:r>
    <w:r w:rsidR="0008014C">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305532" w:rsidRDefault="0030553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32" w:rsidRDefault="00454DC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08014C">
      <w:rPr>
        <w:rFonts w:ascii="Arial" w:eastAsia="Arial" w:hAnsi="Arial" w:cs="Arial"/>
        <w:b/>
        <w:color w:val="000000"/>
        <w:sz w:val="20"/>
        <w:szCs w:val="20"/>
      </w:rPr>
      <w:fldChar w:fldCharType="separate"/>
    </w:r>
    <w:r w:rsidR="0008014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08014C">
      <w:rPr>
        <w:rFonts w:ascii="Arial" w:eastAsia="Arial" w:hAnsi="Arial" w:cs="Arial"/>
        <w:b/>
        <w:color w:val="000000"/>
        <w:sz w:val="20"/>
        <w:szCs w:val="20"/>
      </w:rPr>
      <w:fldChar w:fldCharType="separate"/>
    </w:r>
    <w:r w:rsidR="0008014C">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305532" w:rsidRDefault="0030553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DC7" w:rsidRDefault="00454DC7">
      <w:pPr>
        <w:spacing w:after="0" w:line="240" w:lineRule="auto"/>
      </w:pPr>
      <w:r>
        <w:separator/>
      </w:r>
    </w:p>
  </w:footnote>
  <w:footnote w:type="continuationSeparator" w:id="0">
    <w:p w:rsidR="00454DC7" w:rsidRDefault="00454D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32" w:rsidRDefault="00305532">
    <w:pPr>
      <w:widowControl w:val="0"/>
      <w:pBdr>
        <w:top w:val="nil"/>
        <w:left w:val="nil"/>
        <w:bottom w:val="nil"/>
        <w:right w:val="nil"/>
        <w:between w:val="nil"/>
      </w:pBdr>
      <w:spacing w:after="0" w:line="276" w:lineRule="auto"/>
      <w:rPr>
        <w:color w:val="000000"/>
      </w:rPr>
    </w:pPr>
  </w:p>
  <w:tbl>
    <w:tblPr>
      <w:tblStyle w:val="a1"/>
      <w:tblW w:w="10637" w:type="dxa"/>
      <w:tblInd w:w="-1281" w:type="dxa"/>
      <w:tblLayout w:type="fixed"/>
      <w:tblLook w:val="0400" w:firstRow="0" w:lastRow="0" w:firstColumn="0" w:lastColumn="0" w:noHBand="0" w:noVBand="1"/>
    </w:tblPr>
    <w:tblGrid>
      <w:gridCol w:w="5660"/>
      <w:gridCol w:w="4977"/>
    </w:tblGrid>
    <w:tr w:rsidR="00305532">
      <w:trPr>
        <w:trHeight w:val="260"/>
      </w:trPr>
      <w:tc>
        <w:tcPr>
          <w:tcW w:w="5660" w:type="dxa"/>
        </w:tcPr>
        <w:p w:rsidR="00305532" w:rsidRDefault="00454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77" w:type="dxa"/>
        </w:tcPr>
        <w:p w:rsidR="00305532" w:rsidRDefault="00454DC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00654/INFOEM/IP/RR/2022</w:t>
          </w:r>
        </w:p>
      </w:tc>
    </w:tr>
    <w:tr w:rsidR="00305532">
      <w:trPr>
        <w:trHeight w:val="224"/>
      </w:trPr>
      <w:tc>
        <w:tcPr>
          <w:tcW w:w="5660" w:type="dxa"/>
        </w:tcPr>
        <w:p w:rsidR="00305532" w:rsidRDefault="00454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77" w:type="dxa"/>
        </w:tcPr>
        <w:p w:rsidR="00305532" w:rsidRDefault="00305532">
          <w:pPr>
            <w:spacing w:after="120"/>
            <w:ind w:left="-486" w:right="214" w:firstLine="567"/>
            <w:jc w:val="right"/>
            <w:rPr>
              <w:rFonts w:ascii="Palatino Linotype" w:eastAsia="Palatino Linotype" w:hAnsi="Palatino Linotype" w:cs="Palatino Linotype"/>
              <w:sz w:val="24"/>
              <w:szCs w:val="24"/>
            </w:rPr>
          </w:pPr>
        </w:p>
      </w:tc>
    </w:tr>
    <w:tr w:rsidR="00305532">
      <w:trPr>
        <w:trHeight w:val="278"/>
      </w:trPr>
      <w:tc>
        <w:tcPr>
          <w:tcW w:w="5660" w:type="dxa"/>
        </w:tcPr>
        <w:p w:rsidR="00305532" w:rsidRDefault="00454DC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77" w:type="dxa"/>
        </w:tcPr>
        <w:p w:rsidR="00305532" w:rsidRDefault="00454DC7">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Villa Guerrero</w:t>
          </w:r>
        </w:p>
      </w:tc>
    </w:tr>
    <w:tr w:rsidR="00305532">
      <w:trPr>
        <w:trHeight w:val="393"/>
      </w:trPr>
      <w:tc>
        <w:tcPr>
          <w:tcW w:w="5660" w:type="dxa"/>
        </w:tcPr>
        <w:p w:rsidR="00305532" w:rsidRDefault="00454DC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77" w:type="dxa"/>
        </w:tcPr>
        <w:p w:rsidR="00305532" w:rsidRDefault="00454DC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305532" w:rsidRDefault="00454DC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-1165224</wp:posOffset>
          </wp:positionH>
          <wp:positionV relativeFrom="paragraph">
            <wp:posOffset>-1645284</wp:posOffset>
          </wp:positionV>
          <wp:extent cx="7924800" cy="10133330"/>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32" w:rsidRDefault="00305532">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0"/>
      <w:tblW w:w="10637" w:type="dxa"/>
      <w:tblInd w:w="-1281" w:type="dxa"/>
      <w:tblLayout w:type="fixed"/>
      <w:tblLook w:val="0400" w:firstRow="0" w:lastRow="0" w:firstColumn="0" w:lastColumn="0" w:noHBand="0" w:noVBand="1"/>
    </w:tblPr>
    <w:tblGrid>
      <w:gridCol w:w="5660"/>
      <w:gridCol w:w="4977"/>
    </w:tblGrid>
    <w:tr w:rsidR="00305532">
      <w:trPr>
        <w:trHeight w:val="260"/>
      </w:trPr>
      <w:tc>
        <w:tcPr>
          <w:tcW w:w="5660" w:type="dxa"/>
        </w:tcPr>
        <w:p w:rsidR="00305532" w:rsidRDefault="00454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77" w:type="dxa"/>
        </w:tcPr>
        <w:p w:rsidR="00305532" w:rsidRDefault="00454DC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00654/INFOEM/IP/RR/2022</w:t>
          </w:r>
        </w:p>
      </w:tc>
    </w:tr>
    <w:tr w:rsidR="00305532">
      <w:trPr>
        <w:trHeight w:val="224"/>
      </w:trPr>
      <w:tc>
        <w:tcPr>
          <w:tcW w:w="5660" w:type="dxa"/>
        </w:tcPr>
        <w:p w:rsidR="00305532" w:rsidRDefault="00454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77" w:type="dxa"/>
        </w:tcPr>
        <w:p w:rsidR="00305532" w:rsidRDefault="0008014C" w:rsidP="0008014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w:t>
          </w:r>
          <w:r w:rsidR="00454DC7">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r w:rsidR="00454DC7">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p>
      </w:tc>
    </w:tr>
    <w:tr w:rsidR="00305532">
      <w:trPr>
        <w:trHeight w:val="278"/>
      </w:trPr>
      <w:tc>
        <w:tcPr>
          <w:tcW w:w="5660" w:type="dxa"/>
        </w:tcPr>
        <w:p w:rsidR="00305532" w:rsidRDefault="00454DC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77" w:type="dxa"/>
        </w:tcPr>
        <w:p w:rsidR="00305532" w:rsidRDefault="00454DC7">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Villa Guerrero</w:t>
          </w:r>
        </w:p>
      </w:tc>
    </w:tr>
    <w:tr w:rsidR="00305532">
      <w:trPr>
        <w:trHeight w:val="393"/>
      </w:trPr>
      <w:tc>
        <w:tcPr>
          <w:tcW w:w="5660" w:type="dxa"/>
        </w:tcPr>
        <w:p w:rsidR="00305532" w:rsidRDefault="00454DC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77" w:type="dxa"/>
        </w:tcPr>
        <w:p w:rsidR="00305532" w:rsidRDefault="00454DC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305532" w:rsidRDefault="00454DC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-1174749</wp:posOffset>
          </wp:positionH>
          <wp:positionV relativeFrom="paragraph">
            <wp:posOffset>-1559559</wp:posOffset>
          </wp:positionV>
          <wp:extent cx="7924800" cy="10133330"/>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6358D"/>
    <w:multiLevelType w:val="multilevel"/>
    <w:tmpl w:val="4388190A"/>
    <w:lvl w:ilvl="0">
      <w:start w:val="5"/>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0117DB"/>
    <w:multiLevelType w:val="multilevel"/>
    <w:tmpl w:val="C15C9E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532"/>
    <w:rsid w:val="0008014C"/>
    <w:rsid w:val="00305532"/>
    <w:rsid w:val="00454D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0C7B7A-975C-4C34-8DAE-DE0DBE76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DD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879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7955"/>
  </w:style>
  <w:style w:type="paragraph" w:styleId="Piedepgina">
    <w:name w:val="footer"/>
    <w:basedOn w:val="Normal"/>
    <w:link w:val="PiedepginaCar"/>
    <w:uiPriority w:val="99"/>
    <w:unhideWhenUsed/>
    <w:rsid w:val="009879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795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87955"/>
    <w:pPr>
      <w:ind w:left="720"/>
      <w:contextualSpacing/>
    </w:pPr>
  </w:style>
  <w:style w:type="character" w:styleId="Hipervnculo">
    <w:name w:val="Hyperlink"/>
    <w:basedOn w:val="Fuentedeprrafopredeter"/>
    <w:uiPriority w:val="99"/>
    <w:unhideWhenUsed/>
    <w:rsid w:val="00987955"/>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161C"/>
  </w:style>
  <w:style w:type="paragraph" w:styleId="NormalWeb">
    <w:name w:val="Normal (Web)"/>
    <w:basedOn w:val="Normal"/>
    <w:uiPriority w:val="99"/>
    <w:unhideWhenUsed/>
    <w:rsid w:val="009C29E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21680.page" TargetMode="Externa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3073.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6wkzGJjuG7GMi9XJZsq4d1Fn4w==">AMUW2mWBH5rvsYWBol/jvqLi2FGblVf+ItXuxC64M68gFH5v9dzABfhatnMqYwMp2dXEB3wo2d51gCBg4qcIbQWrR2Fi8P++vaRkeRDX4DbGz/aPTuuP2F7F71vhmNnqRLoBbVvledpiRBkmkmA5mZuGORwkhoHsdg==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7459</Words>
  <Characters>41025</Characters>
  <Application>Microsoft Office Word</Application>
  <DocSecurity>0</DocSecurity>
  <Lines>341</Lines>
  <Paragraphs>96</Paragraphs>
  <ScaleCrop>false</ScaleCrop>
  <Company/>
  <LinksUpToDate>false</LinksUpToDate>
  <CharactersWithSpaces>48388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2022-03-17T21:24:00Z</dcterms:created>
  <dcterms:modified xsi:type="dcterms:W3CDTF">2022-04-04T15:53:00Z</dcterms:modified>
</cp:coreProperties>
</file>