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siete de septiembre de dos mil veintidós. </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VISTO</w:t>
      </w:r>
      <w:r w:rsidRPr="00B97F5F">
        <w:rPr>
          <w:rFonts w:ascii="Palatino Linotype" w:eastAsia="Palatino Linotype" w:hAnsi="Palatino Linotype" w:cs="Palatino Linotype"/>
        </w:rPr>
        <w:t xml:space="preserve"> el expediente formado con motivo del recurso de revisión </w:t>
      </w:r>
      <w:r w:rsidRPr="00B97F5F">
        <w:rPr>
          <w:rFonts w:ascii="Palatino Linotype" w:eastAsia="Palatino Linotype" w:hAnsi="Palatino Linotype" w:cs="Palatino Linotype"/>
          <w:b/>
        </w:rPr>
        <w:t>05529/INFOEM/IP/RR/2022</w:t>
      </w:r>
      <w:r w:rsidRPr="00B97F5F">
        <w:rPr>
          <w:rFonts w:ascii="Palatino Linotype" w:eastAsia="Palatino Linotype" w:hAnsi="Palatino Linotype" w:cs="Palatino Linotype"/>
        </w:rPr>
        <w:t>, interpuesto por</w:t>
      </w:r>
      <w:r w:rsidR="00FF04F2">
        <w:rPr>
          <w:rFonts w:ascii="Palatino Linotype" w:eastAsia="Palatino Linotype" w:hAnsi="Palatino Linotype" w:cs="Palatino Linotype"/>
          <w:b/>
        </w:rPr>
        <w:t xml:space="preserve"> XXXXXXX XXXXXX</w:t>
      </w:r>
      <w:r w:rsidRPr="00B97F5F">
        <w:rPr>
          <w:rFonts w:ascii="Palatino Linotype" w:eastAsia="Palatino Linotype" w:hAnsi="Palatino Linotype" w:cs="Palatino Linotype"/>
        </w:rPr>
        <w:t>, en lo sucesivo</w:t>
      </w:r>
      <w:r w:rsidRPr="00B97F5F">
        <w:rPr>
          <w:rFonts w:ascii="Palatino Linotype" w:eastAsia="Palatino Linotype" w:hAnsi="Palatino Linotype" w:cs="Palatino Linotype"/>
          <w:b/>
        </w:rPr>
        <w:t xml:space="preserve"> </w:t>
      </w:r>
      <w:r w:rsidRPr="00B97F5F">
        <w:rPr>
          <w:rFonts w:ascii="Palatino Linotype" w:eastAsia="Palatino Linotype" w:hAnsi="Palatino Linotype" w:cs="Palatino Linotype"/>
        </w:rPr>
        <w:t xml:space="preserve">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en contra de la respuesta a su solicitud por parte del </w:t>
      </w:r>
      <w:r w:rsidRPr="00B97F5F">
        <w:rPr>
          <w:rFonts w:ascii="Palatino Linotype" w:eastAsia="Palatino Linotype" w:hAnsi="Palatino Linotype" w:cs="Palatino Linotype"/>
          <w:b/>
        </w:rPr>
        <w:t xml:space="preserve">Ayuntamiento de Jilotzingo, </w:t>
      </w:r>
      <w:r w:rsidRPr="00B97F5F">
        <w:rPr>
          <w:rFonts w:ascii="Palatino Linotype" w:eastAsia="Palatino Linotype" w:hAnsi="Palatino Linotype" w:cs="Palatino Linotype"/>
        </w:rPr>
        <w:t xml:space="preserve">en lo sucesivo el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 xml:space="preserve">se procede a dictar la presente resolución con base en los siguientes: </w:t>
      </w:r>
    </w:p>
    <w:p w:rsidR="00605FE4" w:rsidRPr="00B97F5F" w:rsidRDefault="00DF210D">
      <w:pPr>
        <w:spacing w:before="240" w:after="240" w:line="360" w:lineRule="auto"/>
        <w:jc w:val="center"/>
        <w:rPr>
          <w:rFonts w:ascii="Palatino Linotype" w:eastAsia="Palatino Linotype" w:hAnsi="Palatino Linotype" w:cs="Palatino Linotype"/>
          <w:b/>
        </w:rPr>
      </w:pPr>
      <w:r w:rsidRPr="00B97F5F">
        <w:rPr>
          <w:rFonts w:ascii="Palatino Linotype" w:eastAsia="Palatino Linotype" w:hAnsi="Palatino Linotype" w:cs="Palatino Linotype"/>
          <w:b/>
        </w:rPr>
        <w:t>I. A N T E C E D E N T E S</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1. Solicitud de acceso a la información.</w:t>
      </w:r>
      <w:r w:rsidRPr="00B97F5F">
        <w:rPr>
          <w:rFonts w:ascii="Palatino Linotype" w:eastAsia="Palatino Linotype" w:hAnsi="Palatino Linotype" w:cs="Palatino Linotype"/>
        </w:rPr>
        <w:t xml:space="preserve"> Con fecha </w:t>
      </w:r>
      <w:r w:rsidRPr="00B97F5F">
        <w:rPr>
          <w:rFonts w:ascii="Palatino Linotype" w:eastAsia="Palatino Linotype" w:hAnsi="Palatino Linotype" w:cs="Palatino Linotype"/>
          <w:b/>
        </w:rPr>
        <w:t>dieciocho de marzo de dos mil veintidós,</w:t>
      </w:r>
      <w:r w:rsidRPr="00B97F5F">
        <w:rPr>
          <w:rFonts w:ascii="Palatino Linotype" w:eastAsia="Palatino Linotype" w:hAnsi="Palatino Linotype" w:cs="Palatino Linotype"/>
        </w:rPr>
        <w:t xml:space="preserve"> la parte </w:t>
      </w:r>
      <w:r w:rsidRPr="00B97F5F">
        <w:rPr>
          <w:rFonts w:ascii="Palatino Linotype" w:eastAsia="Palatino Linotype" w:hAnsi="Palatino Linotype" w:cs="Palatino Linotype"/>
          <w:b/>
        </w:rPr>
        <w:t xml:space="preserve">Recurrente </w:t>
      </w:r>
      <w:r w:rsidRPr="00B97F5F">
        <w:rPr>
          <w:rFonts w:ascii="Palatino Linotype" w:eastAsia="Palatino Linotype" w:hAnsi="Palatino Linotype" w:cs="Palatino Linotype"/>
        </w:rPr>
        <w:t xml:space="preserve">presentó, través </w:t>
      </w:r>
      <w:r w:rsidRPr="00B97F5F">
        <w:rPr>
          <w:rFonts w:ascii="Palatino Linotype" w:eastAsia="Palatino Linotype" w:hAnsi="Palatino Linotype" w:cs="Palatino Linotype"/>
          <w:b/>
        </w:rPr>
        <w:t>de la Plataforma Nacional de Transparencia</w:t>
      </w:r>
      <w:r w:rsidRPr="00B97F5F">
        <w:rPr>
          <w:rFonts w:ascii="Palatino Linotype" w:eastAsia="Palatino Linotype" w:hAnsi="Palatino Linotype" w:cs="Palatino Linotype"/>
        </w:rPr>
        <w:t xml:space="preserve">, vinculada al Sistema de Acceso a la Información Mexiquense, en lo subsecuente el </w:t>
      </w:r>
      <w:r w:rsidRPr="00B97F5F">
        <w:rPr>
          <w:rFonts w:ascii="Palatino Linotype" w:eastAsia="Palatino Linotype" w:hAnsi="Palatino Linotype" w:cs="Palatino Linotype"/>
          <w:b/>
        </w:rPr>
        <w:t>SAIMEX,</w:t>
      </w:r>
      <w:r w:rsidRPr="00B97F5F">
        <w:rPr>
          <w:rFonts w:ascii="Palatino Linotype" w:eastAsia="Palatino Linotype" w:hAnsi="Palatino Linotype" w:cs="Palatino Linotype"/>
        </w:rPr>
        <w:t xml:space="preserve"> ante 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la solicitud de acceso a la información pública, a la que se le asignó el número</w:t>
      </w:r>
      <w:r w:rsidRPr="00B97F5F">
        <w:rPr>
          <w:rFonts w:ascii="Palatino Linotype" w:eastAsia="Palatino Linotype" w:hAnsi="Palatino Linotype" w:cs="Palatino Linotype"/>
          <w:b/>
        </w:rPr>
        <w:t xml:space="preserve"> 00050/JILOTZIN/IP/2022, </w:t>
      </w:r>
      <w:r w:rsidRPr="00B97F5F">
        <w:rPr>
          <w:rFonts w:ascii="Palatino Linotype" w:eastAsia="Palatino Linotype" w:hAnsi="Palatino Linotype" w:cs="Palatino Linotype"/>
        </w:rPr>
        <w:t xml:space="preserve">mediante la cual requirió la información siguiente: </w:t>
      </w:r>
    </w:p>
    <w:p w:rsidR="00605FE4" w:rsidRPr="00B97F5F" w:rsidRDefault="00DF210D">
      <w:pPr>
        <w:spacing w:before="240" w:after="240"/>
        <w:ind w:left="851" w:right="902"/>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i/>
          <w:sz w:val="22"/>
          <w:szCs w:val="22"/>
        </w:rPr>
        <w:t>“Solicito el Dictamen de adjudicación emitido por el Comité de Adquisiciones y servicios del Municipio de Jilotzingo, el cual determino la contratación del Prestador de servicios para la carga de combustible del Ayuntamiento de Jilotzingo, mediante el contrato HAJ/DGA/CONTRATO-001/2022.” (</w:t>
      </w:r>
      <w:proofErr w:type="gramStart"/>
      <w:r w:rsidRPr="00B97F5F">
        <w:rPr>
          <w:rFonts w:ascii="Palatino Linotype" w:eastAsia="Palatino Linotype" w:hAnsi="Palatino Linotype" w:cs="Palatino Linotype"/>
          <w:i/>
          <w:sz w:val="22"/>
          <w:szCs w:val="22"/>
        </w:rPr>
        <w:t>sic</w:t>
      </w:r>
      <w:proofErr w:type="gramEnd"/>
      <w:r w:rsidRPr="00B97F5F">
        <w:rPr>
          <w:rFonts w:ascii="Palatino Linotype" w:eastAsia="Palatino Linotype" w:hAnsi="Palatino Linotype" w:cs="Palatino Linotype"/>
          <w:i/>
          <w:sz w:val="22"/>
          <w:szCs w:val="22"/>
        </w:rPr>
        <w:t>)</w:t>
      </w:r>
    </w:p>
    <w:p w:rsidR="00605FE4" w:rsidRPr="00B97F5F" w:rsidRDefault="00DF210D">
      <w:pPr>
        <w:spacing w:before="240" w:after="240" w:line="360" w:lineRule="auto"/>
        <w:ind w:right="900"/>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no adjuntó archivos.</w:t>
      </w:r>
    </w:p>
    <w:p w:rsidR="00605FE4" w:rsidRPr="00B97F5F" w:rsidRDefault="00DF210D">
      <w:pPr>
        <w:spacing w:before="240" w:after="240" w:line="360" w:lineRule="auto"/>
        <w:jc w:val="both"/>
        <w:rPr>
          <w:rFonts w:ascii="Palatino Linotype" w:eastAsia="Palatino Linotype" w:hAnsi="Palatino Linotype" w:cs="Palatino Linotype"/>
          <w:b/>
        </w:rPr>
      </w:pPr>
      <w:r w:rsidRPr="00B97F5F">
        <w:rPr>
          <w:rFonts w:ascii="Palatino Linotype" w:eastAsia="Palatino Linotype" w:hAnsi="Palatino Linotype" w:cs="Palatino Linotype"/>
          <w:b/>
        </w:rPr>
        <w:t>Modalidad de Entrega: A través del SAIMEX y en copia certificada</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noProof/>
        </w:rPr>
        <w:lastRenderedPageBreak/>
        <w:drawing>
          <wp:inline distT="0" distB="0" distL="0" distR="0">
            <wp:extent cx="4381500" cy="571500"/>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81500" cy="571500"/>
                    </a:xfrm>
                    <a:prstGeom prst="rect">
                      <a:avLst/>
                    </a:prstGeom>
                    <a:ln/>
                  </pic:spPr>
                </pic:pic>
              </a:graphicData>
            </a:graphic>
          </wp:inline>
        </w:drawing>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 xml:space="preserve">2. Respuesta. </w:t>
      </w:r>
      <w:r w:rsidRPr="00B97F5F">
        <w:rPr>
          <w:rFonts w:ascii="Palatino Linotype" w:eastAsia="Palatino Linotype" w:hAnsi="Palatino Linotype" w:cs="Palatino Linotype"/>
        </w:rPr>
        <w:t>Con fecha</w:t>
      </w:r>
      <w:r w:rsidRPr="00B97F5F">
        <w:rPr>
          <w:rFonts w:ascii="Palatino Linotype" w:eastAsia="Palatino Linotype" w:hAnsi="Palatino Linotype" w:cs="Palatino Linotype"/>
          <w:b/>
        </w:rPr>
        <w:t xml:space="preserve"> treinta y uno de marzo de dos mil veintidós</w:t>
      </w:r>
      <w:r w:rsidRPr="00B97F5F">
        <w:rPr>
          <w:rFonts w:ascii="Palatino Linotype" w:eastAsia="Palatino Linotype" w:hAnsi="Palatino Linotype" w:cs="Palatino Linotype"/>
        </w:rPr>
        <w:t xml:space="preserve">, el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605FE4" w:rsidRPr="00B97F5F" w:rsidRDefault="00DF210D">
      <w:pPr>
        <w:spacing w:before="240" w:after="240"/>
        <w:ind w:left="851"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05FE4" w:rsidRPr="00B97F5F" w:rsidRDefault="00DF210D">
      <w:pPr>
        <w:spacing w:before="240" w:after="240"/>
        <w:ind w:left="851"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SE ANEXA OFICIO DE RESPUESTA</w:t>
      </w:r>
    </w:p>
    <w:p w:rsidR="00605FE4" w:rsidRPr="00B97F5F" w:rsidRDefault="00DF210D">
      <w:pPr>
        <w:spacing w:before="240" w:after="240"/>
        <w:ind w:left="851"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ATENTAMENTE</w:t>
      </w:r>
    </w:p>
    <w:p w:rsidR="00605FE4" w:rsidRPr="00B97F5F" w:rsidRDefault="00DF210D">
      <w:pPr>
        <w:spacing w:before="240" w:after="240"/>
        <w:ind w:left="851"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C. GUSTAVO ÁNGEL VELÁZQUEZ PONCE” (sic)</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adjuntó el archivo: </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i/>
        </w:rPr>
        <w:t xml:space="preserve">- “Escaneo0005.pdf”, </w:t>
      </w:r>
      <w:r w:rsidRPr="00B97F5F">
        <w:rPr>
          <w:rFonts w:ascii="Palatino Linotype" w:eastAsia="Palatino Linotype" w:hAnsi="Palatino Linotype" w:cs="Palatino Linotype"/>
        </w:rPr>
        <w:t>que contiene el oficio número HAJ/DGA/433/2022 mediante el cual el Director General de Administración del H. Ayuntamiento de Jilotzingo hace del conocimiento de la persona solicitante que no cuentan con ningún dictamen de adjudicación para la contratación del prestador de servicios para la carga de combustible.</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b/>
        </w:rPr>
        <w:t xml:space="preserve">3. Interposición del recurso de revisión. </w:t>
      </w:r>
      <w:r w:rsidRPr="00B97F5F">
        <w:rPr>
          <w:rFonts w:ascii="Palatino Linotype" w:eastAsia="Palatino Linotype" w:hAnsi="Palatino Linotype" w:cs="Palatino Linotype"/>
        </w:rPr>
        <w:t xml:space="preserve">Inconforme con los términos de la respuesta emitida por parte del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el </w:t>
      </w:r>
      <w:r w:rsidRPr="00B97F5F">
        <w:rPr>
          <w:rFonts w:ascii="Palatino Linotype" w:eastAsia="Palatino Linotype" w:hAnsi="Palatino Linotype" w:cs="Palatino Linotype"/>
          <w:b/>
        </w:rPr>
        <w:t>cinco</w:t>
      </w:r>
      <w:r w:rsidRPr="00B97F5F">
        <w:rPr>
          <w:rFonts w:ascii="Palatino Linotype" w:eastAsia="Palatino Linotype" w:hAnsi="Palatino Linotype" w:cs="Palatino Linotype"/>
        </w:rPr>
        <w:t xml:space="preserve"> </w:t>
      </w:r>
      <w:r w:rsidRPr="00B97F5F">
        <w:rPr>
          <w:rFonts w:ascii="Palatino Linotype" w:eastAsia="Palatino Linotype" w:hAnsi="Palatino Linotype" w:cs="Palatino Linotype"/>
          <w:b/>
        </w:rPr>
        <w:t>de abril de dos mil veintidós,</w:t>
      </w:r>
      <w:r w:rsidRPr="00B97F5F">
        <w:rPr>
          <w:rFonts w:ascii="Palatino Linotype" w:eastAsia="Palatino Linotype" w:hAnsi="Palatino Linotype" w:cs="Palatino Linotype"/>
        </w:rPr>
        <w:t xml:space="preserve">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interpuso el recurso de revisión a través de </w:t>
      </w:r>
      <w:r w:rsidRPr="00B97F5F">
        <w:rPr>
          <w:rFonts w:ascii="Palatino Linotype" w:eastAsia="Palatino Linotype" w:hAnsi="Palatino Linotype" w:cs="Palatino Linotype"/>
          <w:b/>
        </w:rPr>
        <w:t xml:space="preserve">SAIMEX, </w:t>
      </w:r>
      <w:r w:rsidRPr="00B97F5F">
        <w:rPr>
          <w:rFonts w:ascii="Palatino Linotype" w:eastAsia="Palatino Linotype" w:hAnsi="Palatino Linotype" w:cs="Palatino Linotype"/>
        </w:rPr>
        <w:t>en donde se manifestó de la siguiente manera:</w:t>
      </w:r>
    </w:p>
    <w:p w:rsidR="00605FE4" w:rsidRPr="00B97F5F" w:rsidRDefault="00DF210D">
      <w:pPr>
        <w:tabs>
          <w:tab w:val="left" w:pos="2745"/>
        </w:tabs>
        <w:spacing w:before="240" w:after="240" w:line="360" w:lineRule="auto"/>
        <w:jc w:val="both"/>
        <w:rPr>
          <w:rFonts w:ascii="Palatino Linotype" w:eastAsia="Palatino Linotype" w:hAnsi="Palatino Linotype" w:cs="Palatino Linotype"/>
          <w:b/>
        </w:rPr>
      </w:pPr>
      <w:r w:rsidRPr="00B97F5F">
        <w:rPr>
          <w:rFonts w:ascii="Palatino Linotype" w:eastAsia="Palatino Linotype" w:hAnsi="Palatino Linotype" w:cs="Palatino Linotype"/>
          <w:b/>
        </w:rPr>
        <w:t xml:space="preserve">Acto impugnado: </w:t>
      </w:r>
    </w:p>
    <w:p w:rsidR="00605FE4" w:rsidRPr="00B97F5F" w:rsidRDefault="00DF210D">
      <w:pPr>
        <w:tabs>
          <w:tab w:val="left" w:pos="2745"/>
        </w:tabs>
        <w:spacing w:before="240" w:after="240" w:line="276" w:lineRule="auto"/>
        <w:ind w:left="851" w:right="616"/>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lastRenderedPageBreak/>
        <w:t>“en el contrato de prestación de servicios número HAJ/DGA/CONTYRATO-001/2022, en el número 5 de los antecedentes del contrato en mención, se refiera la emisión del dictamen solicitado, por lo cual no puede ser que no se anexe el dictamen de adjudicación.” (</w:t>
      </w:r>
      <w:proofErr w:type="gramStart"/>
      <w:r w:rsidRPr="00B97F5F">
        <w:rPr>
          <w:rFonts w:ascii="Palatino Linotype" w:eastAsia="Palatino Linotype" w:hAnsi="Palatino Linotype" w:cs="Palatino Linotype"/>
          <w:i/>
          <w:sz w:val="22"/>
          <w:szCs w:val="22"/>
        </w:rPr>
        <w:t>sic</w:t>
      </w:r>
      <w:proofErr w:type="gramEnd"/>
      <w:r w:rsidRPr="00B97F5F">
        <w:rPr>
          <w:rFonts w:ascii="Palatino Linotype" w:eastAsia="Palatino Linotype" w:hAnsi="Palatino Linotype" w:cs="Palatino Linotype"/>
          <w:i/>
          <w:sz w:val="22"/>
          <w:szCs w:val="22"/>
        </w:rPr>
        <w:t>)</w:t>
      </w:r>
    </w:p>
    <w:p w:rsidR="00605FE4" w:rsidRPr="00B97F5F" w:rsidRDefault="00DF210D">
      <w:pPr>
        <w:spacing w:before="240" w:after="240" w:line="360" w:lineRule="auto"/>
        <w:ind w:right="51"/>
        <w:jc w:val="both"/>
        <w:rPr>
          <w:rFonts w:ascii="Palatino Linotype" w:eastAsia="Palatino Linotype" w:hAnsi="Palatino Linotype" w:cs="Palatino Linotype"/>
        </w:rPr>
      </w:pPr>
      <w:bookmarkStart w:id="0" w:name="_heading=h.30j0zll" w:colFirst="0" w:colLast="0"/>
      <w:bookmarkEnd w:id="0"/>
      <w:r w:rsidRPr="00B97F5F">
        <w:rPr>
          <w:rFonts w:ascii="Palatino Linotype" w:eastAsia="Palatino Linotype" w:hAnsi="Palatino Linotype" w:cs="Palatino Linotype"/>
          <w:b/>
        </w:rPr>
        <w:t xml:space="preserve">Anexos: </w:t>
      </w:r>
      <w:r w:rsidRPr="00B97F5F">
        <w:rPr>
          <w:rFonts w:ascii="Palatino Linotype" w:eastAsia="Palatino Linotype" w:hAnsi="Palatino Linotype" w:cs="Palatino Linotype"/>
        </w:rPr>
        <w:t xml:space="preserve">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adjuntó el archivo.</w:t>
      </w:r>
    </w:p>
    <w:p w:rsidR="00605FE4" w:rsidRPr="00B97F5F" w:rsidRDefault="00DF210D">
      <w:pPr>
        <w:spacing w:before="240" w:after="240" w:line="360" w:lineRule="auto"/>
        <w:ind w:right="51"/>
        <w:jc w:val="both"/>
        <w:rPr>
          <w:rFonts w:ascii="Palatino Linotype" w:eastAsia="Palatino Linotype" w:hAnsi="Palatino Linotype" w:cs="Palatino Linotype"/>
          <w:i/>
        </w:rPr>
      </w:pPr>
      <w:r w:rsidRPr="00B97F5F">
        <w:rPr>
          <w:rFonts w:ascii="Palatino Linotype" w:eastAsia="Palatino Linotype" w:hAnsi="Palatino Linotype" w:cs="Palatino Linotype"/>
        </w:rPr>
        <w:t xml:space="preserve">- </w:t>
      </w:r>
      <w:r w:rsidRPr="00B97F5F">
        <w:rPr>
          <w:rFonts w:ascii="Palatino Linotype" w:eastAsia="Palatino Linotype" w:hAnsi="Palatino Linotype" w:cs="Palatino Linotype"/>
          <w:i/>
        </w:rPr>
        <w:t xml:space="preserve">“Archivo1649178168999.pdf, </w:t>
      </w:r>
      <w:r w:rsidRPr="00B97F5F">
        <w:rPr>
          <w:rFonts w:ascii="Palatino Linotype" w:eastAsia="Palatino Linotype" w:hAnsi="Palatino Linotype" w:cs="Palatino Linotype"/>
        </w:rPr>
        <w:t>que contiene un oficio con número HAJ/DGA/418/2022, de fecha dieciocho de marzo en el cual el Director General de Administración del H. Ayuntamiento de Jilotzingo, da contestación al folio de solic</w:t>
      </w:r>
      <w:r w:rsidR="00FB520F">
        <w:rPr>
          <w:rFonts w:ascii="Palatino Linotype" w:eastAsia="Palatino Linotype" w:hAnsi="Palatino Linotype" w:cs="Palatino Linotype"/>
        </w:rPr>
        <w:t>i</w:t>
      </w:r>
      <w:r w:rsidRPr="00B97F5F">
        <w:rPr>
          <w:rFonts w:ascii="Palatino Linotype" w:eastAsia="Palatino Linotype" w:hAnsi="Palatino Linotype" w:cs="Palatino Linotype"/>
        </w:rPr>
        <w:t xml:space="preserve">tud </w:t>
      </w:r>
      <w:r w:rsidRPr="00B97F5F">
        <w:rPr>
          <w:rFonts w:ascii="Palatino Linotype" w:eastAsia="Palatino Linotype" w:hAnsi="Palatino Linotype" w:cs="Palatino Linotype"/>
          <w:b/>
        </w:rPr>
        <w:t xml:space="preserve">00047/JILOTZIN/IP/2022, </w:t>
      </w:r>
      <w:r w:rsidRPr="00B97F5F">
        <w:rPr>
          <w:rFonts w:ascii="Palatino Linotype" w:eastAsia="Palatino Linotype" w:hAnsi="Palatino Linotype" w:cs="Palatino Linotype"/>
        </w:rPr>
        <w:t>en el cual se envió un Contrato abierto de presentación de servicios celebrado por el Municipio de Jilotzingo y por la otra parte, Estaciones de Servicio S.A DE C.V, en el cual se refiere en el punto 5 de los antecedentes de dicho contrato que “</w:t>
      </w:r>
      <w:r w:rsidRPr="00B97F5F">
        <w:rPr>
          <w:rFonts w:ascii="Palatino Linotype" w:eastAsia="Palatino Linotype" w:hAnsi="Palatino Linotype" w:cs="Palatino Linotype"/>
          <w:i/>
        </w:rPr>
        <w:t>5. El 5 de febrero de 2020, el Comité de Adquisiciones y Servicios del Municipio de Jilotzingo, Estado de México, con fundamento en lo dispuesto por los artículos 129 de la Constitución Política del Estado Libre y Soberano de México y 94 fracción VIII del Reglamento de la Ley de Contratación Pública del Estado de México y Municipios, llevó a cabo el análisis y evaluación de propuestas y emisión del dictamen, en donde determinó la adjudicación a favor de “PRESTADOR”, respecto al contrato correspondiente al procedimiento de Adjudicación Directa número HAJ/DGA/ADJUDICACIÓN-DIRECTA/001/200, por haber cumplido con los requisitos legales, técnicos y económicos solicitados por la convocante y ….las mejores condiciones en cuanto a precio y calidad…”</w:t>
      </w:r>
    </w:p>
    <w:p w:rsidR="00605FE4" w:rsidRPr="00B97F5F" w:rsidRDefault="00DF210D">
      <w:pPr>
        <w:spacing w:before="240" w:after="240" w:line="360" w:lineRule="auto"/>
        <w:ind w:right="51"/>
        <w:jc w:val="both"/>
        <w:rPr>
          <w:rFonts w:ascii="Palatino Linotype" w:eastAsia="Palatino Linotype" w:hAnsi="Palatino Linotype" w:cs="Palatino Linotype"/>
        </w:rPr>
      </w:pPr>
      <w:r w:rsidRPr="00B97F5F">
        <w:rPr>
          <w:rFonts w:ascii="Palatino Linotype" w:eastAsia="Palatino Linotype" w:hAnsi="Palatino Linotype" w:cs="Palatino Linotype"/>
          <w:b/>
        </w:rPr>
        <w:t xml:space="preserve">4. Turno. </w:t>
      </w:r>
      <w:r w:rsidRPr="00B97F5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B97F5F">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B97F5F">
        <w:rPr>
          <w:rFonts w:ascii="Palatino Linotype" w:eastAsia="Palatino Linotype" w:hAnsi="Palatino Linotype" w:cs="Palatino Linotype"/>
          <w:b/>
        </w:rPr>
        <w:t xml:space="preserve">Guadalupe Ramírez Peña, </w:t>
      </w:r>
      <w:r w:rsidRPr="00B97F5F">
        <w:rPr>
          <w:rFonts w:ascii="Palatino Linotype" w:eastAsia="Palatino Linotype" w:hAnsi="Palatino Linotype" w:cs="Palatino Linotype"/>
        </w:rPr>
        <w:t>a efecto de que analizara sobre su admisión o su desechamiento.</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5. Admisión del Recurso de revisión.</w:t>
      </w:r>
      <w:r w:rsidRPr="00B97F5F">
        <w:rPr>
          <w:rFonts w:ascii="Palatino Linotype" w:eastAsia="Palatino Linotype" w:hAnsi="Palatino Linotype" w:cs="Palatino Linotype"/>
        </w:rPr>
        <w:t xml:space="preserve"> Con fecha</w:t>
      </w:r>
      <w:r w:rsidRPr="00B97F5F">
        <w:rPr>
          <w:rFonts w:ascii="Palatino Linotype" w:eastAsia="Palatino Linotype" w:hAnsi="Palatino Linotype" w:cs="Palatino Linotype"/>
          <w:b/>
        </w:rPr>
        <w:t xml:space="preserve"> ocho de abril de dos mil veintidós, </w:t>
      </w:r>
      <w:r w:rsidRPr="00B97F5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presentara su informe justificado.</w:t>
      </w:r>
    </w:p>
    <w:p w:rsidR="00605FE4" w:rsidRPr="00B97F5F" w:rsidRDefault="00DF210D">
      <w:pPr>
        <w:spacing w:before="240" w:after="240" w:line="360" w:lineRule="auto"/>
        <w:jc w:val="both"/>
        <w:rPr>
          <w:rFonts w:ascii="Palatino Linotype" w:eastAsia="Palatino Linotype" w:hAnsi="Palatino Linotype" w:cs="Palatino Linotype"/>
        </w:rPr>
      </w:pPr>
      <w:bookmarkStart w:id="1" w:name="_heading=h.2s8eyo1" w:colFirst="0" w:colLast="0"/>
      <w:bookmarkEnd w:id="1"/>
      <w:r w:rsidRPr="00B97F5F">
        <w:rPr>
          <w:rFonts w:ascii="Palatino Linotype" w:eastAsia="Palatino Linotype" w:hAnsi="Palatino Linotype" w:cs="Palatino Linotype"/>
          <w:b/>
        </w:rPr>
        <w:t>6. Manifestaciones</w:t>
      </w:r>
      <w:r w:rsidRPr="00B97F5F">
        <w:rPr>
          <w:rFonts w:ascii="Palatino Linotype" w:eastAsia="Palatino Linotype" w:hAnsi="Palatino Linotype" w:cs="Palatino Linotype"/>
        </w:rPr>
        <w:t xml:space="preserve">. De las constancias que obran en el expediente electrónico del SAIMEX se desprende que 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no rindió su informe justificado, del mismo modo el ahora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omitió realizar manifestaciones, como se observa a continuación:</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drawing>
          <wp:inline distT="0" distB="0" distL="0" distR="0">
            <wp:extent cx="5612130" cy="1835150"/>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612130" cy="1835150"/>
                    </a:xfrm>
                    <a:prstGeom prst="rect">
                      <a:avLst/>
                    </a:prstGeom>
                    <a:ln/>
                  </pic:spPr>
                </pic:pic>
              </a:graphicData>
            </a:graphic>
          </wp:inline>
        </w:drawing>
      </w:r>
    </w:p>
    <w:p w:rsidR="00605FE4" w:rsidRPr="00B97F5F" w:rsidRDefault="00DF210D">
      <w:pPr>
        <w:spacing w:before="240" w:after="240" w:line="360" w:lineRule="auto"/>
        <w:jc w:val="both"/>
        <w:rPr>
          <w:rFonts w:ascii="Palatino Linotype" w:eastAsia="Palatino Linotype" w:hAnsi="Palatino Linotype" w:cs="Palatino Linotype"/>
          <w:b/>
        </w:rPr>
      </w:pPr>
      <w:r w:rsidRPr="00B97F5F">
        <w:rPr>
          <w:rFonts w:ascii="Palatino Linotype" w:eastAsia="Palatino Linotype" w:hAnsi="Palatino Linotype" w:cs="Palatino Linotype"/>
          <w:b/>
        </w:rPr>
        <w:t xml:space="preserve">7. Cierre de instrucción. </w:t>
      </w:r>
      <w:r w:rsidRPr="00B97F5F">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B97F5F">
        <w:rPr>
          <w:rFonts w:ascii="Palatino Linotype" w:eastAsia="Palatino Linotype" w:hAnsi="Palatino Linotype" w:cs="Palatino Linotype"/>
        </w:rPr>
        <w:lastRenderedPageBreak/>
        <w:t xml:space="preserve">con fecha </w:t>
      </w:r>
      <w:r w:rsidRPr="00B97F5F">
        <w:rPr>
          <w:rFonts w:ascii="Palatino Linotype" w:eastAsia="Palatino Linotype" w:hAnsi="Palatino Linotype" w:cs="Palatino Linotype"/>
          <w:b/>
        </w:rPr>
        <w:t>trece de mayo de dos mil veintidós</w:t>
      </w:r>
      <w:r w:rsidRPr="00B97F5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05FE4" w:rsidRPr="00B97F5F" w:rsidRDefault="00DF210D">
      <w:pPr>
        <w:spacing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8. Ampliación del término para resolver</w:t>
      </w:r>
      <w:r w:rsidRPr="00B97F5F">
        <w:rPr>
          <w:rFonts w:ascii="Palatino Linotype" w:eastAsia="Palatino Linotype" w:hAnsi="Palatino Linotype" w:cs="Palatino Linotype"/>
        </w:rPr>
        <w:t xml:space="preserve">. En fecha </w:t>
      </w:r>
      <w:r w:rsidRPr="00B97F5F">
        <w:rPr>
          <w:rFonts w:ascii="Palatino Linotype" w:eastAsia="Palatino Linotype" w:hAnsi="Palatino Linotype" w:cs="Palatino Linotype"/>
          <w:b/>
        </w:rPr>
        <w:t>diez de junio de dos mil veintidós</w:t>
      </w:r>
      <w:r w:rsidRPr="00B97F5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B97F5F">
        <w:rPr>
          <w:rFonts w:ascii="Palatino Linotype" w:eastAsia="Palatino Linotype" w:hAnsi="Palatino Linotype" w:cs="Palatino Linotype"/>
        </w:rPr>
        <w:lastRenderedPageBreak/>
        <w:t>en el menor tiempo posible, tomando en consideración la dilación total del procedimiento; esto es, en un plazo razonable.</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1C24" w:rsidRPr="00B97F5F">
        <w:rPr>
          <w:rFonts w:ascii="Palatino Linotype" w:eastAsia="Palatino Linotype" w:hAnsi="Palatino Linotype" w:cs="Palatino Linotype"/>
        </w:rPr>
        <w:t>,</w:t>
      </w:r>
      <w:r w:rsidRPr="00B97F5F">
        <w:rPr>
          <w:rFonts w:ascii="Palatino Linotype" w:eastAsia="Palatino Linotype" w:hAnsi="Palatino Linotype" w:cs="Palatino Linotype"/>
        </w:rPr>
        <w:t xml:space="preserve"> atentos a los siguientes criterios:</w:t>
      </w:r>
    </w:p>
    <w:p w:rsidR="00605FE4" w:rsidRPr="00B97F5F" w:rsidRDefault="00DF210D">
      <w:pPr>
        <w:spacing w:before="240" w:after="240" w:line="360" w:lineRule="auto"/>
        <w:ind w:left="420"/>
        <w:jc w:val="both"/>
        <w:rPr>
          <w:rFonts w:ascii="Palatino Linotype" w:eastAsia="Palatino Linotype" w:hAnsi="Palatino Linotype" w:cs="Palatino Linotype"/>
        </w:rPr>
      </w:pPr>
      <w:r w:rsidRPr="00B97F5F">
        <w:rPr>
          <w:rFonts w:ascii="Palatino Linotype" w:eastAsia="Palatino Linotype" w:hAnsi="Palatino Linotype" w:cs="Palatino Linotype"/>
        </w:rPr>
        <w:t>a)</w:t>
      </w:r>
      <w:r w:rsidRPr="00B97F5F">
        <w:rPr>
          <w:sz w:val="14"/>
          <w:szCs w:val="14"/>
        </w:rPr>
        <w:t xml:space="preserve">   </w:t>
      </w:r>
      <w:r w:rsidRPr="00B97F5F">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rsidR="00605FE4" w:rsidRPr="00B97F5F" w:rsidRDefault="00DF210D">
      <w:pPr>
        <w:spacing w:before="240" w:after="240" w:line="360" w:lineRule="auto"/>
        <w:ind w:left="420"/>
        <w:jc w:val="both"/>
        <w:rPr>
          <w:rFonts w:ascii="Palatino Linotype" w:eastAsia="Palatino Linotype" w:hAnsi="Palatino Linotype" w:cs="Palatino Linotype"/>
        </w:rPr>
      </w:pPr>
      <w:r w:rsidRPr="00B97F5F">
        <w:rPr>
          <w:rFonts w:ascii="Palatino Linotype" w:eastAsia="Palatino Linotype" w:hAnsi="Palatino Linotype" w:cs="Palatino Linotype"/>
        </w:rPr>
        <w:t>b)</w:t>
      </w:r>
      <w:r w:rsidRPr="00B97F5F">
        <w:rPr>
          <w:sz w:val="14"/>
          <w:szCs w:val="14"/>
        </w:rPr>
        <w:t xml:space="preserve">   </w:t>
      </w:r>
      <w:r w:rsidRPr="00B97F5F">
        <w:rPr>
          <w:rFonts w:ascii="Palatino Linotype" w:eastAsia="Palatino Linotype" w:hAnsi="Palatino Linotype" w:cs="Palatino Linotype"/>
        </w:rPr>
        <w:t>Actividad Procesal del interesado. Acciones u omisiones del interesado.</w:t>
      </w:r>
    </w:p>
    <w:p w:rsidR="00605FE4" w:rsidRPr="00B97F5F" w:rsidRDefault="00DF210D">
      <w:pPr>
        <w:spacing w:before="240" w:after="240" w:line="360" w:lineRule="auto"/>
        <w:ind w:left="420"/>
        <w:jc w:val="both"/>
        <w:rPr>
          <w:rFonts w:ascii="Palatino Linotype" w:eastAsia="Palatino Linotype" w:hAnsi="Palatino Linotype" w:cs="Palatino Linotype"/>
        </w:rPr>
      </w:pPr>
      <w:r w:rsidRPr="00B97F5F">
        <w:rPr>
          <w:rFonts w:ascii="Palatino Linotype" w:eastAsia="Palatino Linotype" w:hAnsi="Palatino Linotype" w:cs="Palatino Linotype"/>
        </w:rPr>
        <w:t>c)</w:t>
      </w:r>
      <w:r w:rsidRPr="00B97F5F">
        <w:rPr>
          <w:sz w:val="14"/>
          <w:szCs w:val="14"/>
        </w:rPr>
        <w:tab/>
      </w:r>
      <w:r w:rsidRPr="00B97F5F">
        <w:rPr>
          <w:rFonts w:ascii="Palatino Linotype" w:eastAsia="Palatino Linotype" w:hAnsi="Palatino Linotype" w:cs="Palatino Linotype"/>
        </w:rPr>
        <w:t>Conducta de la Autoridad: Las Acciones u omisiones realizadas en el procedimiento. Así como si la autoridad actuó con la debida diligencia.</w:t>
      </w:r>
    </w:p>
    <w:p w:rsidR="00605FE4" w:rsidRPr="00B97F5F" w:rsidRDefault="00DF210D">
      <w:pPr>
        <w:spacing w:before="240" w:after="240" w:line="360" w:lineRule="auto"/>
        <w:ind w:left="420"/>
        <w:jc w:val="both"/>
        <w:rPr>
          <w:rFonts w:ascii="Palatino Linotype" w:eastAsia="Palatino Linotype" w:hAnsi="Palatino Linotype" w:cs="Palatino Linotype"/>
        </w:rPr>
      </w:pPr>
      <w:r w:rsidRPr="00B97F5F">
        <w:rPr>
          <w:rFonts w:ascii="Palatino Linotype" w:eastAsia="Palatino Linotype" w:hAnsi="Palatino Linotype" w:cs="Palatino Linotype"/>
        </w:rPr>
        <w:t>d) La afectación generada en la situación jurídica de la persona involucrada en el proceso: Violación a sus derechos humanos.</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97F5F">
        <w:rPr>
          <w:rFonts w:ascii="Palatino Linotype" w:eastAsia="Palatino Linotype" w:hAnsi="Palatino Linotype" w:cs="Palatino Linotype"/>
        </w:rPr>
        <w:lastRenderedPageBreak/>
        <w:t>relación con la actuación del funcionario, como ha acontecido en el caso que nos ocupa.</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Argumento que encuentra sustento en la jurisprudencia P</w:t>
      </w:r>
      <w:proofErr w:type="gramStart"/>
      <w:r w:rsidRPr="00B97F5F">
        <w:rPr>
          <w:rFonts w:ascii="Palatino Linotype" w:eastAsia="Palatino Linotype" w:hAnsi="Palatino Linotype" w:cs="Palatino Linotype"/>
        </w:rPr>
        <w:t>./</w:t>
      </w:r>
      <w:proofErr w:type="gramEnd"/>
      <w:r w:rsidRPr="00B97F5F">
        <w:rPr>
          <w:rFonts w:ascii="Palatino Linotype" w:eastAsia="Palatino Linotype" w:hAnsi="Palatino Linotype" w:cs="Palatino Linotype"/>
        </w:rPr>
        <w:t xml:space="preserve">J. 32/92 emitida por el Pleno de la Suprema Corte de Justicia de la Nación de rubro </w:t>
      </w:r>
      <w:r w:rsidRPr="00B97F5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97F5F">
        <w:rPr>
          <w:rFonts w:ascii="Palatino Linotype" w:eastAsia="Palatino Linotype" w:hAnsi="Palatino Linotype" w:cs="Palatino Linotype"/>
        </w:rPr>
        <w:t>, visible en la Gaceta del Seminario Judicial de la Federación con el registro digital 205635.</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05FE4" w:rsidRPr="00B97F5F" w:rsidRDefault="00DF210D">
      <w:pPr>
        <w:spacing w:before="120" w:after="120"/>
        <w:ind w:left="860" w:right="90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lastRenderedPageBreak/>
        <w:t xml:space="preserve"> “</w:t>
      </w:r>
      <w:r w:rsidRPr="00B97F5F">
        <w:rPr>
          <w:rFonts w:ascii="Palatino Linotype" w:eastAsia="Palatino Linotype" w:hAnsi="Palatino Linotype" w:cs="Palatino Linotype"/>
          <w:b/>
          <w:i/>
          <w:sz w:val="22"/>
          <w:szCs w:val="22"/>
        </w:rPr>
        <w:t>PLAZO RAZONABLE PARA RESOLVER. DIMENSIÓN Y EFECTOS DE ESTE CONCEPTO CUANDO SE ADUCE EXCESIVA CARGA DE TRABAJO</w:t>
      </w:r>
      <w:r w:rsidRPr="00B97F5F">
        <w:rPr>
          <w:rFonts w:ascii="Palatino Linotype" w:eastAsia="Palatino Linotype" w:hAnsi="Palatino Linotype" w:cs="Palatino Linotype"/>
          <w:i/>
          <w:sz w:val="22"/>
          <w:szCs w:val="22"/>
        </w:rPr>
        <w:t>.” consultable en el Seminario Judicial de la Federación y su gaceta, con el registro digital 2002351.</w:t>
      </w:r>
    </w:p>
    <w:p w:rsidR="00605FE4" w:rsidRPr="00B97F5F" w:rsidRDefault="00DF210D">
      <w:pPr>
        <w:spacing w:before="120" w:after="120"/>
        <w:ind w:left="860" w:right="90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r w:rsidRPr="00B97F5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97F5F">
        <w:rPr>
          <w:rFonts w:ascii="Palatino Linotype" w:eastAsia="Palatino Linotype" w:hAnsi="Palatino Linotype" w:cs="Palatino Linotype"/>
          <w:i/>
          <w:sz w:val="22"/>
          <w:szCs w:val="22"/>
        </w:rPr>
        <w:t>” visible en el Seminario Judicial de la Federación y su gaceta, con el registro digital 2002350.</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05FE4" w:rsidRPr="00B97F5F" w:rsidRDefault="00DF210D">
      <w:pPr>
        <w:widowControl w:val="0"/>
        <w:spacing w:before="240" w:after="240" w:line="360" w:lineRule="auto"/>
        <w:jc w:val="center"/>
        <w:rPr>
          <w:rFonts w:ascii="Palatino Linotype" w:eastAsia="Palatino Linotype" w:hAnsi="Palatino Linotype" w:cs="Palatino Linotype"/>
          <w:b/>
        </w:rPr>
      </w:pPr>
      <w:r w:rsidRPr="00B97F5F">
        <w:rPr>
          <w:rFonts w:ascii="Palatino Linotype" w:eastAsia="Palatino Linotype" w:hAnsi="Palatino Linotype" w:cs="Palatino Linotype"/>
          <w:b/>
        </w:rPr>
        <w:t>II. C O N S I D E R A N D O S</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Primero. Competencia.</w:t>
      </w:r>
      <w:r w:rsidRPr="00B97F5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B97F5F">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605FE4" w:rsidRPr="00B97F5F" w:rsidRDefault="00DF210D">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B97F5F">
        <w:rPr>
          <w:rFonts w:ascii="Palatino Linotype" w:eastAsia="Palatino Linotype" w:hAnsi="Palatino Linotype" w:cs="Palatino Linotype"/>
          <w:b/>
        </w:rPr>
        <w:t>Segundo. Oportunidad y Procedibilidad del Recurso de Revisión</w:t>
      </w:r>
      <w:r w:rsidRPr="00B97F5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 xml:space="preserve">remitió la respuesta a la solicitud de información el día </w:t>
      </w:r>
      <w:r w:rsidRPr="00B97F5F">
        <w:rPr>
          <w:rFonts w:ascii="Palatino Linotype" w:eastAsia="Palatino Linotype" w:hAnsi="Palatino Linotype" w:cs="Palatino Linotype"/>
          <w:b/>
        </w:rPr>
        <w:t xml:space="preserve">treinta y uno de marzo de dos mil veintidós, </w:t>
      </w:r>
      <w:r w:rsidRPr="00B97F5F">
        <w:rPr>
          <w:rFonts w:ascii="Palatino Linotype" w:eastAsia="Palatino Linotype" w:hAnsi="Palatino Linotype" w:cs="Palatino Linotype"/>
        </w:rPr>
        <w:t xml:space="preserve">mientras que el recurso de revisión interpuesto por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se tuvo por presentado el día </w:t>
      </w:r>
      <w:r w:rsidRPr="00B97F5F">
        <w:rPr>
          <w:rFonts w:ascii="Palatino Linotype" w:eastAsia="Palatino Linotype" w:hAnsi="Palatino Linotype" w:cs="Palatino Linotype"/>
          <w:b/>
        </w:rPr>
        <w:t>cinco de abril de dos mil veintidós</w:t>
      </w:r>
      <w:r w:rsidRPr="00B97F5F">
        <w:rPr>
          <w:rFonts w:ascii="Palatino Linotype" w:eastAsia="Palatino Linotype" w:hAnsi="Palatino Linotype" w:cs="Palatino Linotype"/>
        </w:rPr>
        <w:t>, esto es, al tercer día hábil en que tuvo conocimiento de la respuesta impugnada.</w:t>
      </w:r>
    </w:p>
    <w:p w:rsidR="00605FE4" w:rsidRPr="00B97F5F" w:rsidRDefault="00DF210D">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B97F5F">
        <w:rPr>
          <w:rFonts w:ascii="Palatino Linotype" w:eastAsia="Palatino Linotype" w:hAnsi="Palatino Linotype" w:cs="Palatino Linotype"/>
        </w:rPr>
        <w:t xml:space="preserve">En este sentido, al considerar la fecha en que se formuló la solicitud y la fecha en que respondió a esta 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605FE4" w:rsidRPr="00B97F5F" w:rsidRDefault="00DF210D">
      <w:pPr>
        <w:pBdr>
          <w:top w:val="nil"/>
          <w:left w:val="nil"/>
          <w:bottom w:val="nil"/>
          <w:right w:val="nil"/>
          <w:between w:val="nil"/>
        </w:pBdr>
        <w:spacing w:line="360" w:lineRule="auto"/>
        <w:jc w:val="both"/>
        <w:rPr>
          <w:color w:val="000000"/>
        </w:rPr>
      </w:pPr>
      <w:r w:rsidRPr="00B97F5F">
        <w:rPr>
          <w:rFonts w:ascii="Palatino Linotype" w:eastAsia="Palatino Linotype" w:hAnsi="Palatino Linotype" w:cs="Palatino Linotype"/>
          <w:color w:val="000000"/>
        </w:rPr>
        <w:t xml:space="preserve">Por cuanto hace a la procedibilidad del recurso de revisión, es de suma importancia señalar que la parte </w:t>
      </w:r>
      <w:r w:rsidRPr="00B97F5F">
        <w:rPr>
          <w:rFonts w:ascii="Palatino Linotype" w:eastAsia="Palatino Linotype" w:hAnsi="Palatino Linotype" w:cs="Palatino Linotype"/>
          <w:b/>
          <w:color w:val="000000"/>
        </w:rPr>
        <w:t>RECURRENTE</w:t>
      </w:r>
      <w:r w:rsidRPr="00B97F5F">
        <w:rPr>
          <w:rFonts w:ascii="Palatino Linotype" w:eastAsia="Palatino Linotype" w:hAnsi="Palatino Linotype" w:cs="Palatino Linotype"/>
          <w:color w:val="000000"/>
        </w:rPr>
        <w:t xml:space="preserve">, no proporcionó de manera completa el nombre con el cual desea ser identificado, como se advierte en el detalle de seguimiento del Sistema de Acceso a la Información Mexiquense, no obstante, proporcionar nombre completo no es motivo para archivar la solicitud de acceso a la información pública </w:t>
      </w:r>
      <w:r w:rsidRPr="00B97F5F">
        <w:rPr>
          <w:rFonts w:ascii="Palatino Linotype" w:eastAsia="Palatino Linotype" w:hAnsi="Palatino Linotype" w:cs="Palatino Linotype"/>
          <w:color w:val="000000"/>
        </w:rPr>
        <w:lastRenderedPageBreak/>
        <w:t>como concluida, conforme a lo previsto en el artículo 155, penúltimo párrafo de la Ley de Transparencia y Acceso a la Información Pública del Estado de México y Municipios que establece lo siguiente: </w:t>
      </w:r>
    </w:p>
    <w:p w:rsidR="00605FE4" w:rsidRPr="00B97F5F" w:rsidRDefault="00605FE4"/>
    <w:p w:rsidR="00605FE4" w:rsidRPr="00B97F5F" w:rsidRDefault="00DF210D">
      <w:pPr>
        <w:pBdr>
          <w:top w:val="nil"/>
          <w:left w:val="nil"/>
          <w:bottom w:val="nil"/>
          <w:right w:val="nil"/>
          <w:between w:val="nil"/>
        </w:pBdr>
        <w:ind w:left="567" w:right="567"/>
        <w:jc w:val="both"/>
        <w:rPr>
          <w:color w:val="000000"/>
        </w:rPr>
      </w:pPr>
      <w:r w:rsidRPr="00B97F5F">
        <w:rPr>
          <w:rFonts w:ascii="Palatino Linotype" w:eastAsia="Palatino Linotype" w:hAnsi="Palatino Linotype" w:cs="Palatino Linotype"/>
          <w:i/>
          <w:color w:val="000000"/>
          <w:sz w:val="22"/>
          <w:szCs w:val="22"/>
        </w:rPr>
        <w:t xml:space="preserve">"Las solicitudes anónimas, </w:t>
      </w:r>
      <w:r w:rsidRPr="00B97F5F">
        <w:rPr>
          <w:rFonts w:ascii="Palatino Linotype" w:eastAsia="Palatino Linotype" w:hAnsi="Palatino Linotype" w:cs="Palatino Linotype"/>
          <w:b/>
          <w:i/>
          <w:color w:val="000000"/>
          <w:sz w:val="22"/>
          <w:szCs w:val="22"/>
        </w:rPr>
        <w:t>con nombre incompleto</w:t>
      </w:r>
      <w:r w:rsidRPr="00B97F5F">
        <w:rPr>
          <w:rFonts w:ascii="Palatino Linotype" w:eastAsia="Palatino Linotype" w:hAnsi="Palatino Linotype" w:cs="Palatino Linotype"/>
          <w:i/>
          <w:color w:val="000000"/>
          <w:sz w:val="22"/>
          <w:szCs w:val="22"/>
        </w:rPr>
        <w:t xml:space="preserve"> o</w:t>
      </w:r>
      <w:r w:rsidRPr="00B97F5F">
        <w:rPr>
          <w:rFonts w:ascii="Palatino Linotype" w:eastAsia="Palatino Linotype" w:hAnsi="Palatino Linotype" w:cs="Palatino Linotype"/>
          <w:b/>
          <w:i/>
          <w:color w:val="000000"/>
          <w:sz w:val="22"/>
          <w:szCs w:val="22"/>
        </w:rPr>
        <w:t xml:space="preserve"> </w:t>
      </w:r>
      <w:r w:rsidRPr="00B97F5F">
        <w:rPr>
          <w:rFonts w:ascii="Palatino Linotype" w:eastAsia="Palatino Linotype" w:hAnsi="Palatino Linotype" w:cs="Palatino Linotype"/>
          <w:i/>
          <w:color w:val="000000"/>
          <w:sz w:val="22"/>
          <w:szCs w:val="22"/>
        </w:rPr>
        <w:t>seudónimo s</w:t>
      </w:r>
      <w:r w:rsidRPr="00B97F5F">
        <w:rPr>
          <w:rFonts w:ascii="Palatino Linotype" w:eastAsia="Palatino Linotype" w:hAnsi="Palatino Linotype" w:cs="Palatino Linotype"/>
          <w:b/>
          <w:i/>
          <w:color w:val="000000"/>
          <w:sz w:val="22"/>
          <w:szCs w:val="22"/>
        </w:rPr>
        <w:t>erán procedentes para su trámite por parte del sujeto obligado ante quien se presente</w:t>
      </w:r>
      <w:r w:rsidRPr="00B97F5F">
        <w:rPr>
          <w:rFonts w:ascii="Palatino Linotype" w:eastAsia="Palatino Linotype" w:hAnsi="Palatino Linotype" w:cs="Palatino Linotype"/>
          <w:i/>
          <w:color w:val="000000"/>
          <w:sz w:val="22"/>
          <w:szCs w:val="22"/>
        </w:rPr>
        <w:t>. No podrá requerirse información adicional con motivo del nombre proporcionado por el solicitante."</w:t>
      </w:r>
    </w:p>
    <w:p w:rsidR="00605FE4" w:rsidRPr="00B97F5F" w:rsidRDefault="00DF210D">
      <w:pPr>
        <w:spacing w:before="240" w:after="240" w:line="360" w:lineRule="auto"/>
        <w:jc w:val="both"/>
        <w:rPr>
          <w:rFonts w:ascii="Palatino Linotype" w:eastAsia="Palatino Linotype" w:hAnsi="Palatino Linotype" w:cs="Palatino Linotype"/>
          <w:b/>
          <w:color w:val="000000"/>
        </w:rPr>
      </w:pPr>
      <w:bookmarkStart w:id="4" w:name="_heading=h.q9a5pqst6so" w:colFirst="0" w:colLast="0"/>
      <w:bookmarkEnd w:id="4"/>
      <w:r w:rsidRPr="00B97F5F">
        <w:rPr>
          <w:rFonts w:ascii="Palatino Linotype" w:eastAsia="Palatino Linotype" w:hAnsi="Palatino Linotype" w:cs="Palatino Linotype"/>
          <w:color w:val="00000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97F5F">
        <w:rPr>
          <w:rFonts w:ascii="Palatino Linotype" w:eastAsia="Palatino Linotype" w:hAnsi="Palatino Linotype" w:cs="Palatino Linotype"/>
          <w:b/>
          <w:color w:val="000000"/>
        </w:rPr>
        <w:t xml:space="preserve">EL SAIMEX. </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Finalmente, se advierte que resulta procedente la interposición del recurso, según lo manifestado por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en sus motivos de inconformidad, de acuerdo al artículo 179, fracción III del ordenamiento legal citado, que a la letra dice: </w:t>
      </w:r>
    </w:p>
    <w:p w:rsidR="00605FE4" w:rsidRPr="00B97F5F" w:rsidRDefault="00DF210D">
      <w:pPr>
        <w:spacing w:before="240" w:after="240" w:line="276" w:lineRule="auto"/>
        <w:ind w:left="567" w:right="616"/>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 xml:space="preserve">Artículo 179. El recurso de revisión es un medio de protección que la Ley otorga a los particulares, para hacer valer su derecho de acceso a la información pública, y procederá en contra de las siguientes causas: </w:t>
      </w:r>
    </w:p>
    <w:p w:rsidR="00605FE4" w:rsidRPr="00B97F5F" w:rsidRDefault="00DF210D">
      <w:pPr>
        <w:spacing w:before="240" w:after="240" w:line="276" w:lineRule="auto"/>
        <w:ind w:left="567" w:right="616"/>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III. La declaración de inexistencia de la información</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t xml:space="preserve">Tercero. Materia de la revisión. </w:t>
      </w:r>
      <w:r w:rsidRPr="00B97F5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97F5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97F5F">
        <w:rPr>
          <w:rFonts w:ascii="Palatino Linotype" w:eastAsia="Palatino Linotype" w:hAnsi="Palatino Linotype" w:cs="Palatino Linotype"/>
        </w:rPr>
        <w:t xml:space="preserve">de la parte </w:t>
      </w:r>
      <w:r w:rsidRPr="00B97F5F">
        <w:rPr>
          <w:rFonts w:ascii="Palatino Linotype" w:eastAsia="Palatino Linotype" w:hAnsi="Palatino Linotype" w:cs="Palatino Linotype"/>
          <w:b/>
        </w:rPr>
        <w:lastRenderedPageBreak/>
        <w:t>Recurrente</w:t>
      </w:r>
      <w:r w:rsidRPr="00B97F5F">
        <w:rPr>
          <w:rFonts w:ascii="Palatino Linotype" w:eastAsia="Palatino Linotype" w:hAnsi="Palatino Linotype" w:cs="Palatino Linotype"/>
        </w:rPr>
        <w:t>, o en su defecto, en caso de ser procedente, ordenar la entrega de información oportuna.</w:t>
      </w:r>
    </w:p>
    <w:p w:rsidR="00605FE4" w:rsidRPr="00B97F5F" w:rsidRDefault="00DF210D">
      <w:pPr>
        <w:spacing w:before="280" w:after="280" w:line="360" w:lineRule="auto"/>
        <w:jc w:val="both"/>
        <w:rPr>
          <w:rFonts w:ascii="Palatino Linotype" w:eastAsia="Palatino Linotype" w:hAnsi="Palatino Linotype" w:cs="Palatino Linotype"/>
          <w:b/>
          <w:color w:val="000000"/>
          <w:sz w:val="28"/>
          <w:szCs w:val="28"/>
        </w:rPr>
      </w:pPr>
      <w:bookmarkStart w:id="5" w:name="_heading=h.2et92p0" w:colFirst="0" w:colLast="0"/>
      <w:bookmarkEnd w:id="5"/>
      <w:r w:rsidRPr="00B97F5F">
        <w:rPr>
          <w:rFonts w:ascii="Palatino Linotype" w:eastAsia="Palatino Linotype" w:hAnsi="Palatino Linotype" w:cs="Palatino Linotype"/>
          <w:b/>
        </w:rPr>
        <w:t xml:space="preserve">Cuarto. Estudio del asunto. </w:t>
      </w:r>
      <w:r w:rsidRPr="00B97F5F">
        <w:rPr>
          <w:rFonts w:ascii="Palatino Linotype" w:eastAsia="Palatino Linotype" w:hAnsi="Palatino Linotype" w:cs="Palatino Linotype"/>
        </w:rPr>
        <w:t xml:space="preserve">Antes de entrar al análisis de los pronunciamientos del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05FE4" w:rsidRPr="00B97F5F" w:rsidRDefault="00DF210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97F5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605FE4" w:rsidRPr="00B97F5F" w:rsidRDefault="00DF210D">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05FE4" w:rsidRPr="00B97F5F" w:rsidRDefault="00DF210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97F5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605FE4" w:rsidRPr="00B97F5F" w:rsidRDefault="00DF210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p>
    <w:p w:rsidR="00605FE4" w:rsidRPr="00B97F5F" w:rsidRDefault="00DF210D">
      <w:pPr>
        <w:spacing w:before="240" w:after="240" w:line="276" w:lineRule="auto"/>
        <w:ind w:left="851" w:right="90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lastRenderedPageBreak/>
        <w:t>“Artículo 6o.</w:t>
      </w:r>
    </w:p>
    <w:p w:rsidR="00605FE4" w:rsidRPr="00B97F5F" w:rsidRDefault="00DF210D">
      <w:pPr>
        <w:spacing w:before="240" w:after="240" w:line="276" w:lineRule="auto"/>
        <w:ind w:left="851" w:right="90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 xml:space="preserve">A. Para el ejercicio del derecho de acceso a la información, la Federación y </w:t>
      </w:r>
      <w:r w:rsidRPr="00B97F5F">
        <w:rPr>
          <w:rFonts w:ascii="Palatino Linotype" w:eastAsia="Palatino Linotype" w:hAnsi="Palatino Linotype" w:cs="Palatino Linotype"/>
          <w:b/>
          <w:i/>
          <w:sz w:val="22"/>
          <w:szCs w:val="22"/>
          <w:u w:val="single"/>
        </w:rPr>
        <w:t>las entidades federativas</w:t>
      </w:r>
      <w:r w:rsidRPr="00B97F5F">
        <w:rPr>
          <w:rFonts w:ascii="Palatino Linotype" w:eastAsia="Palatino Linotype" w:hAnsi="Palatino Linotype" w:cs="Palatino Linotype"/>
          <w:b/>
          <w:i/>
          <w:sz w:val="22"/>
          <w:szCs w:val="22"/>
        </w:rPr>
        <w:t>,</w:t>
      </w:r>
      <w:r w:rsidRPr="00B97F5F">
        <w:rPr>
          <w:rFonts w:ascii="Palatino Linotype" w:eastAsia="Palatino Linotype" w:hAnsi="Palatino Linotype" w:cs="Palatino Linotype"/>
          <w:i/>
          <w:sz w:val="22"/>
          <w:szCs w:val="22"/>
        </w:rPr>
        <w:t xml:space="preserve"> en el ámbito de sus respectivas competencias, se regirán por los siguientes principios y bases:</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 </w:t>
      </w:r>
      <w:r w:rsidRPr="00B97F5F">
        <w:rPr>
          <w:rFonts w:ascii="Palatino Linotype" w:eastAsia="Palatino Linotype" w:hAnsi="Palatino Linotype" w:cs="Palatino Linotype"/>
          <w:b/>
          <w:i/>
          <w:sz w:val="22"/>
          <w:szCs w:val="22"/>
        </w:rPr>
        <w:t xml:space="preserve">I. </w:t>
      </w:r>
      <w:r w:rsidRPr="00B97F5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97F5F">
        <w:rPr>
          <w:rFonts w:ascii="Palatino Linotype" w:eastAsia="Palatino Linotype" w:hAnsi="Palatino Linotype" w:cs="Palatino Linotype"/>
          <w:i/>
          <w:sz w:val="22"/>
          <w:szCs w:val="22"/>
        </w:rPr>
        <w:t xml:space="preserve"> Ejecutivo, Legislativo </w:t>
      </w:r>
      <w:r w:rsidRPr="00B97F5F">
        <w:rPr>
          <w:rFonts w:ascii="Palatino Linotype" w:eastAsia="Palatino Linotype" w:hAnsi="Palatino Linotype" w:cs="Palatino Linotype"/>
          <w:b/>
          <w:i/>
          <w:sz w:val="22"/>
          <w:szCs w:val="22"/>
          <w:u w:val="single"/>
        </w:rPr>
        <w:t>y Judicial</w:t>
      </w:r>
      <w:r w:rsidRPr="00B97F5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97F5F">
        <w:rPr>
          <w:rFonts w:ascii="Palatino Linotype" w:eastAsia="Palatino Linotype" w:hAnsi="Palatino Linotype" w:cs="Palatino Linotype"/>
          <w:b/>
          <w:i/>
          <w:sz w:val="22"/>
          <w:szCs w:val="22"/>
        </w:rPr>
        <w:t>es pública y sólo podrá ser reservada temporalmente por razones de interés público y seguridad nacional,</w:t>
      </w:r>
      <w:r w:rsidRPr="00B97F5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5FE4" w:rsidRPr="00B97F5F" w:rsidRDefault="00DF210D">
      <w:pPr>
        <w:spacing w:before="240" w:after="240" w:line="276" w:lineRule="auto"/>
        <w:ind w:left="851" w:right="851"/>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i/>
          <w:sz w:val="22"/>
          <w:szCs w:val="22"/>
        </w:rPr>
        <w:t> </w:t>
      </w:r>
      <w:r w:rsidRPr="00B97F5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 </w:t>
      </w:r>
      <w:r w:rsidRPr="00B97F5F">
        <w:rPr>
          <w:rFonts w:ascii="Palatino Linotype" w:eastAsia="Palatino Linotype" w:hAnsi="Palatino Linotype" w:cs="Palatino Linotype"/>
          <w:b/>
          <w:i/>
          <w:sz w:val="22"/>
          <w:szCs w:val="22"/>
        </w:rPr>
        <w:t xml:space="preserve">III. </w:t>
      </w:r>
      <w:r w:rsidRPr="00B97F5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97F5F">
        <w:rPr>
          <w:rFonts w:ascii="Palatino Linotype" w:eastAsia="Palatino Linotype" w:hAnsi="Palatino Linotype" w:cs="Palatino Linotype"/>
          <w:i/>
          <w:sz w:val="22"/>
          <w:szCs w:val="22"/>
        </w:rPr>
        <w:t xml:space="preserve"> a sus datos personales o a la rectificación de éstos.</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 xml:space="preserve">IV. </w:t>
      </w:r>
      <w:r w:rsidRPr="00B97F5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 xml:space="preserve">V. </w:t>
      </w:r>
      <w:r w:rsidRPr="00B97F5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lastRenderedPageBreak/>
        <w:t> </w:t>
      </w:r>
      <w:r w:rsidRPr="00B97F5F">
        <w:rPr>
          <w:rFonts w:ascii="Palatino Linotype" w:eastAsia="Palatino Linotype" w:hAnsi="Palatino Linotype" w:cs="Palatino Linotype"/>
          <w:b/>
          <w:i/>
          <w:sz w:val="22"/>
          <w:szCs w:val="22"/>
        </w:rPr>
        <w:t xml:space="preserve">VI. </w:t>
      </w:r>
      <w:r w:rsidRPr="00B97F5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605FE4" w:rsidRPr="00B97F5F" w:rsidRDefault="00DF210D">
      <w:pPr>
        <w:spacing w:before="240" w:after="240" w:line="276" w:lineRule="auto"/>
        <w:ind w:left="851" w:right="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 </w:t>
      </w:r>
      <w:r w:rsidRPr="00B97F5F">
        <w:rPr>
          <w:rFonts w:ascii="Palatino Linotype" w:eastAsia="Palatino Linotype" w:hAnsi="Palatino Linotype" w:cs="Palatino Linotype"/>
          <w:b/>
          <w:i/>
          <w:sz w:val="22"/>
          <w:szCs w:val="22"/>
        </w:rPr>
        <w:t xml:space="preserve">VII. </w:t>
      </w:r>
      <w:r w:rsidRPr="00B97F5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05FE4" w:rsidRPr="00B97F5F" w:rsidRDefault="00DF210D">
      <w:pPr>
        <w:spacing w:before="240" w:after="240" w:line="276" w:lineRule="auto"/>
        <w:ind w:left="709" w:right="76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rPr>
        <w:t>“</w:t>
      </w:r>
      <w:r w:rsidRPr="00B97F5F">
        <w:rPr>
          <w:rFonts w:ascii="Palatino Linotype" w:eastAsia="Palatino Linotype" w:hAnsi="Palatino Linotype" w:cs="Palatino Linotype"/>
          <w:b/>
          <w:i/>
          <w:sz w:val="22"/>
          <w:szCs w:val="22"/>
        </w:rPr>
        <w:t>Artículo 4</w:t>
      </w:r>
      <w:r w:rsidRPr="00B97F5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05FE4" w:rsidRPr="00B97F5F" w:rsidRDefault="00DF210D">
      <w:pPr>
        <w:spacing w:before="240" w:after="240" w:line="276" w:lineRule="auto"/>
        <w:ind w:left="709" w:right="760"/>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05FE4" w:rsidRPr="00B97F5F" w:rsidRDefault="00DF210D">
      <w:pPr>
        <w:spacing w:before="240" w:after="240" w:line="276" w:lineRule="auto"/>
        <w:ind w:left="709" w:right="760"/>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605FE4" w:rsidRPr="00B97F5F" w:rsidRDefault="00DF210D">
      <w:pPr>
        <w:spacing w:before="240" w:after="240" w:line="276" w:lineRule="auto"/>
        <w:ind w:left="567" w:right="758"/>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r w:rsidRPr="00B97F5F">
        <w:rPr>
          <w:rFonts w:ascii="Palatino Linotype" w:eastAsia="Palatino Linotype" w:hAnsi="Palatino Linotype" w:cs="Palatino Linotype"/>
          <w:b/>
          <w:i/>
          <w:sz w:val="22"/>
          <w:szCs w:val="22"/>
        </w:rPr>
        <w:t>Artículo 12</w:t>
      </w:r>
      <w:r w:rsidRPr="00B97F5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05FE4" w:rsidRPr="00B97F5F" w:rsidRDefault="00DF210D">
      <w:pPr>
        <w:spacing w:before="240" w:after="240" w:line="276" w:lineRule="auto"/>
        <w:ind w:left="567" w:right="758"/>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05FE4" w:rsidRPr="00B97F5F" w:rsidRDefault="00DF210D">
      <w:pPr>
        <w:spacing w:before="240" w:after="240" w:line="360" w:lineRule="auto"/>
        <w:jc w:val="both"/>
        <w:rPr>
          <w:rFonts w:ascii="Palatino Linotype" w:eastAsia="Palatino Linotype" w:hAnsi="Palatino Linotype" w:cs="Palatino Linotype"/>
          <w:sz w:val="22"/>
          <w:szCs w:val="22"/>
        </w:rPr>
      </w:pPr>
      <w:r w:rsidRPr="00B97F5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97F5F">
        <w:rPr>
          <w:rFonts w:ascii="Palatino Linotype" w:eastAsia="Palatino Linotype" w:hAnsi="Palatino Linotype" w:cs="Palatino Linotype"/>
          <w:b/>
        </w:rPr>
        <w:t xml:space="preserve"> </w:t>
      </w:r>
      <w:r w:rsidRPr="00B97F5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97F5F">
        <w:rPr>
          <w:rFonts w:ascii="Palatino Linotype" w:eastAsia="Palatino Linotype" w:hAnsi="Palatino Linotype" w:cs="Palatino Linotype"/>
          <w:i/>
        </w:rPr>
        <w:t>ad hoc</w:t>
      </w:r>
      <w:r w:rsidRPr="00B97F5F">
        <w:rPr>
          <w:rFonts w:ascii="Palatino Linotype" w:eastAsia="Palatino Linotype" w:hAnsi="Palatino Linotype" w:cs="Palatino Linotype"/>
        </w:rPr>
        <w:t>, para satisfacer el derecho de acceso a la información pública, como así lo establece</w:t>
      </w:r>
      <w:r w:rsidRPr="00B97F5F">
        <w:rPr>
          <w:rFonts w:ascii="Palatino Linotype" w:eastAsia="Palatino Linotype" w:hAnsi="Palatino Linotype" w:cs="Palatino Linotype"/>
          <w:strike/>
          <w:color w:val="FF0000"/>
        </w:rPr>
        <w:t xml:space="preserve"> </w:t>
      </w:r>
      <w:r w:rsidRPr="00B97F5F">
        <w:rPr>
          <w:rFonts w:ascii="Palatino Linotype" w:eastAsia="Palatino Linotype" w:hAnsi="Palatino Linotype" w:cs="Palatino Linotype"/>
        </w:rPr>
        <w:t>el criterio 03/17 emitido por el Instituto Nacional de Transparencia, Acceso a la Información Pública y Protección de Datos Perso</w:t>
      </w:r>
      <w:r w:rsidRPr="00B97F5F">
        <w:rPr>
          <w:rFonts w:ascii="Palatino Linotype" w:eastAsia="Palatino Linotype" w:hAnsi="Palatino Linotype" w:cs="Palatino Linotype"/>
          <w:sz w:val="22"/>
          <w:szCs w:val="22"/>
        </w:rPr>
        <w:t>nales, los cuales señalan lo siguiente:</w:t>
      </w:r>
    </w:p>
    <w:p w:rsidR="00605FE4" w:rsidRPr="00B97F5F" w:rsidRDefault="00DF210D">
      <w:pPr>
        <w:spacing w:before="240" w:after="240" w:line="276" w:lineRule="auto"/>
        <w:ind w:left="567" w:right="902"/>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i/>
          <w:sz w:val="22"/>
          <w:szCs w:val="22"/>
        </w:rPr>
        <w:t>03/17</w:t>
      </w:r>
    </w:p>
    <w:p w:rsidR="00605FE4" w:rsidRPr="00B97F5F" w:rsidRDefault="00DF210D">
      <w:pPr>
        <w:spacing w:before="240" w:after="240" w:line="276" w:lineRule="auto"/>
        <w:ind w:left="567" w:right="902"/>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rsidR="00605FE4" w:rsidRPr="00B97F5F" w:rsidRDefault="00DF210D">
      <w:pPr>
        <w:spacing w:before="240" w:after="240" w:line="276" w:lineRule="auto"/>
        <w:ind w:left="567"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05FE4" w:rsidRPr="00B97F5F" w:rsidRDefault="00DF210D">
      <w:pPr>
        <w:spacing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05FE4" w:rsidRPr="00B97F5F" w:rsidRDefault="00DF210D">
      <w:pPr>
        <w:spacing w:before="240" w:after="240" w:line="276" w:lineRule="auto"/>
        <w:ind w:left="851"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r w:rsidRPr="00B97F5F">
        <w:rPr>
          <w:rFonts w:ascii="Palatino Linotype" w:eastAsia="Palatino Linotype" w:hAnsi="Palatino Linotype" w:cs="Palatino Linotype"/>
          <w:b/>
          <w:i/>
          <w:sz w:val="22"/>
          <w:szCs w:val="22"/>
        </w:rPr>
        <w:t xml:space="preserve">Artículo 3. </w:t>
      </w:r>
      <w:r w:rsidRPr="00B97F5F">
        <w:rPr>
          <w:rFonts w:ascii="Palatino Linotype" w:eastAsia="Palatino Linotype" w:hAnsi="Palatino Linotype" w:cs="Palatino Linotype"/>
          <w:i/>
          <w:sz w:val="22"/>
          <w:szCs w:val="22"/>
        </w:rPr>
        <w:t>Para los efectos de la presente Ley se entenderá por:</w:t>
      </w:r>
    </w:p>
    <w:p w:rsidR="00605FE4" w:rsidRPr="00B97F5F" w:rsidRDefault="00DF210D">
      <w:pPr>
        <w:spacing w:before="240" w:after="240" w:line="276" w:lineRule="auto"/>
        <w:ind w:left="851"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w:t>
      </w:r>
    </w:p>
    <w:p w:rsidR="00605FE4" w:rsidRPr="00B97F5F" w:rsidRDefault="00DF210D">
      <w:pPr>
        <w:spacing w:before="240" w:after="240" w:line="276" w:lineRule="auto"/>
        <w:ind w:left="851"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XII. Documento electrónico:</w:t>
      </w:r>
      <w:r w:rsidRPr="00B97F5F">
        <w:rPr>
          <w:rFonts w:ascii="Palatino Linotype" w:eastAsia="Palatino Linotype" w:hAnsi="Palatino Linotype" w:cs="Palatino Linotype"/>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roofErr w:type="gramStart"/>
      <w:r w:rsidRPr="00B97F5F">
        <w:rPr>
          <w:rFonts w:ascii="Palatino Linotype" w:eastAsia="Palatino Linotype" w:hAnsi="Palatino Linotype" w:cs="Palatino Linotype"/>
          <w:i/>
          <w:sz w:val="22"/>
          <w:szCs w:val="22"/>
        </w:rPr>
        <w:t>…(</w:t>
      </w:r>
      <w:proofErr w:type="gramEnd"/>
      <w:r w:rsidRPr="00B97F5F">
        <w:rPr>
          <w:rFonts w:ascii="Palatino Linotype" w:eastAsia="Palatino Linotype" w:hAnsi="Palatino Linotype" w:cs="Palatino Linotype"/>
          <w:i/>
          <w:sz w:val="22"/>
          <w:szCs w:val="22"/>
        </w:rPr>
        <w:t>Sic)</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05FE4" w:rsidRPr="00B97F5F" w:rsidRDefault="00DF210D">
      <w:pPr>
        <w:spacing w:before="240" w:after="240" w:line="276" w:lineRule="auto"/>
        <w:ind w:left="567" w:right="899"/>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sz w:val="22"/>
          <w:szCs w:val="22"/>
        </w:rPr>
        <w:t>“</w:t>
      </w:r>
      <w:r w:rsidRPr="00B97F5F">
        <w:rPr>
          <w:rFonts w:ascii="Palatino Linotype" w:eastAsia="Palatino Linotype" w:hAnsi="Palatino Linotype" w:cs="Palatino Linotype"/>
          <w:b/>
          <w:i/>
          <w:sz w:val="22"/>
          <w:szCs w:val="22"/>
        </w:rPr>
        <w:t>CRITERIO 0002-11</w:t>
      </w:r>
    </w:p>
    <w:p w:rsidR="00605FE4" w:rsidRPr="00B97F5F" w:rsidRDefault="00DF210D">
      <w:pPr>
        <w:spacing w:before="240" w:after="240" w:line="276" w:lineRule="auto"/>
        <w:ind w:left="567"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B97F5F">
        <w:rPr>
          <w:rFonts w:ascii="Palatino Linotype" w:eastAsia="Palatino Linotype" w:hAnsi="Palatino Linotype" w:cs="Palatino Linotype"/>
          <w:b/>
          <w:i/>
          <w:sz w:val="22"/>
          <w:szCs w:val="22"/>
        </w:rPr>
        <w:lastRenderedPageBreak/>
        <w:t>ARTÍCULOS 2°, FRACCIÓN V, XV, Y XVI, 3°, 4°, 11 Y 41.</w:t>
      </w:r>
      <w:r w:rsidRPr="00B97F5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05FE4" w:rsidRPr="00B97F5F" w:rsidRDefault="00DF210D">
      <w:pPr>
        <w:spacing w:before="240" w:after="240" w:line="276" w:lineRule="auto"/>
        <w:ind w:left="567"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05FE4" w:rsidRPr="00B97F5F" w:rsidRDefault="00DF210D">
      <w:pPr>
        <w:numPr>
          <w:ilvl w:val="0"/>
          <w:numId w:val="2"/>
        </w:numPr>
        <w:spacing w:before="240" w:after="240" w:line="276" w:lineRule="auto"/>
        <w:ind w:left="567" w:right="899"/>
        <w:jc w:val="both"/>
        <w:rPr>
          <w:rFonts w:ascii="Palatino Linotype" w:eastAsia="Palatino Linotype" w:hAnsi="Palatino Linotype" w:cs="Palatino Linotype"/>
          <w:b/>
          <w:i/>
          <w:sz w:val="22"/>
          <w:szCs w:val="22"/>
        </w:rPr>
      </w:pPr>
      <w:r w:rsidRPr="00B97F5F">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rsidR="00605FE4" w:rsidRPr="00B97F5F" w:rsidRDefault="00DF210D">
      <w:pPr>
        <w:numPr>
          <w:ilvl w:val="0"/>
          <w:numId w:val="2"/>
        </w:numPr>
        <w:spacing w:before="240" w:after="240" w:line="276" w:lineRule="auto"/>
        <w:ind w:left="567" w:right="899"/>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605FE4" w:rsidRPr="00B97F5F" w:rsidRDefault="00DF210D">
      <w:pPr>
        <w:spacing w:before="240" w:after="240" w:line="276" w:lineRule="auto"/>
        <w:ind w:left="567" w:right="899" w:hanging="284"/>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De ahí que </w:t>
      </w:r>
      <w:r w:rsidRPr="00B97F5F">
        <w:rPr>
          <w:rFonts w:ascii="Palatino Linotype" w:eastAsia="Palatino Linotype" w:hAnsi="Palatino Linotype" w:cs="Palatino Linotype"/>
          <w:b/>
        </w:rPr>
        <w:t>EL</w:t>
      </w:r>
      <w:r w:rsidRPr="00B97F5F">
        <w:rPr>
          <w:rFonts w:ascii="Palatino Linotype" w:eastAsia="Palatino Linotype" w:hAnsi="Palatino Linotype" w:cs="Palatino Linotype"/>
        </w:rPr>
        <w:t xml:space="preserve">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B97F5F">
        <w:rPr>
          <w:rFonts w:ascii="Palatino Linotype" w:eastAsia="Palatino Linotype" w:hAnsi="Palatino Linotype" w:cs="Palatino Linotype"/>
          <w:vertAlign w:val="superscript"/>
        </w:rPr>
        <w:footnoteReference w:id="1"/>
      </w:r>
      <w:r w:rsidRPr="00B97F5F">
        <w:rPr>
          <w:rFonts w:ascii="Palatino Linotype" w:eastAsia="Palatino Linotype" w:hAnsi="Palatino Linotype" w:cs="Palatino Linotype"/>
        </w:rPr>
        <w:t xml:space="preserve">, así como de interés público, es decir, aquella que resulta relevante o beneficiosa para la sociedad y no simplemente de </w:t>
      </w:r>
      <w:r w:rsidRPr="00B97F5F">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r w:rsidRPr="00B97F5F">
        <w:rPr>
          <w:rFonts w:ascii="Palatino Linotype" w:eastAsia="Palatino Linotype" w:hAnsi="Palatino Linotype" w:cs="Palatino Linotype"/>
          <w:vertAlign w:val="superscript"/>
        </w:rPr>
        <w:footnoteReference w:id="2"/>
      </w:r>
      <w:r w:rsidRPr="00B97F5F">
        <w:rPr>
          <w:rFonts w:ascii="Palatino Linotype" w:eastAsia="Palatino Linotype" w:hAnsi="Palatino Linotype" w:cs="Palatino Linotype"/>
        </w:rPr>
        <w:t>.</w:t>
      </w:r>
    </w:p>
    <w:p w:rsidR="00605FE4" w:rsidRPr="00B97F5F" w:rsidRDefault="00DF210D">
      <w:pPr>
        <w:spacing w:before="240" w:after="240" w:line="360" w:lineRule="auto"/>
        <w:ind w:right="51"/>
        <w:jc w:val="both"/>
        <w:rPr>
          <w:rFonts w:ascii="Palatino Linotype" w:eastAsia="Palatino Linotype" w:hAnsi="Palatino Linotype" w:cs="Palatino Linotype"/>
          <w:b/>
        </w:rPr>
      </w:pPr>
      <w:r w:rsidRPr="00B97F5F">
        <w:rPr>
          <w:rFonts w:ascii="Palatino Linotype" w:eastAsia="Palatino Linotype" w:hAnsi="Palatino Linotype" w:cs="Palatino Linotype"/>
        </w:rPr>
        <w:t xml:space="preserve">Ahora bien, la solicitud de información motivo del Recurso de Revisión que ahora se resuelve, se advierte que la parte solicitante requirió al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lo siguiente</w:t>
      </w:r>
      <w:r w:rsidRPr="00B97F5F">
        <w:t>:</w:t>
      </w:r>
    </w:p>
    <w:p w:rsidR="00605FE4" w:rsidRPr="00B97F5F" w:rsidRDefault="00DF210D">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B97F5F">
        <w:rPr>
          <w:rFonts w:ascii="Palatino Linotype" w:eastAsia="Palatino Linotype" w:hAnsi="Palatino Linotype" w:cs="Palatino Linotype"/>
          <w:color w:val="000000"/>
        </w:rPr>
        <w:t>Dictamen de adjudicación emitido por el comité de adquisiciones y servicios del Municipio de Jilotzingo, el cual determina la contratación del Prestador de Servicios para la carga de combustible del Ayuntamiento de Jilotzingo, mediante contrato HAJ/DGA/CONTRATO-01/2002.</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En respuesta, 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mediante oficio número HAJ/DGA/433/2022 signado por el Director General de Administración, informó que: </w:t>
      </w:r>
    </w:p>
    <w:p w:rsidR="00605FE4" w:rsidRPr="00B97F5F" w:rsidRDefault="00DF210D">
      <w:pPr>
        <w:spacing w:before="240" w:after="240" w:line="360" w:lineRule="auto"/>
        <w:ind w:right="49"/>
        <w:jc w:val="both"/>
        <w:rPr>
          <w:rFonts w:ascii="Palatino Linotype" w:eastAsia="Palatino Linotype" w:hAnsi="Palatino Linotype" w:cs="Palatino Linotype"/>
        </w:rPr>
      </w:pPr>
      <w:r w:rsidRPr="00B97F5F">
        <w:rPr>
          <w:noProof/>
        </w:rPr>
        <w:drawing>
          <wp:inline distT="0" distB="0" distL="0" distR="0">
            <wp:extent cx="4895850" cy="2609850"/>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95850" cy="2609850"/>
                    </a:xfrm>
                    <a:prstGeom prst="rect">
                      <a:avLst/>
                    </a:prstGeom>
                    <a:ln/>
                  </pic:spPr>
                </pic:pic>
              </a:graphicData>
            </a:graphic>
          </wp:inline>
        </w:drawing>
      </w:r>
    </w:p>
    <w:p w:rsidR="00605FE4" w:rsidRPr="00B97F5F" w:rsidRDefault="00DF210D">
      <w:pPr>
        <w:spacing w:before="240" w:after="240" w:line="360" w:lineRule="auto"/>
        <w:ind w:right="51"/>
        <w:jc w:val="both"/>
        <w:rPr>
          <w:rFonts w:ascii="Palatino Linotype" w:eastAsia="Palatino Linotype" w:hAnsi="Palatino Linotype" w:cs="Palatino Linotype"/>
          <w:i/>
        </w:rPr>
      </w:pPr>
      <w:r w:rsidRPr="00B97F5F">
        <w:rPr>
          <w:rFonts w:ascii="Palatino Linotype" w:eastAsia="Palatino Linotype" w:hAnsi="Palatino Linotype" w:cs="Palatino Linotype"/>
        </w:rPr>
        <w:lastRenderedPageBreak/>
        <w:t xml:space="preserve">Bajo tales argumentos, al no estar conforme con los términos de la respuesta proporcionada, el particular interpuso el recurso de revisión que nos ocupa, mediante el cual señaló como motivo de acto impugnado, que en el contrato de prestación de servicios número HAJ/DGA/CONTRATO-001/2022, en el número 5 de los antecedentes del contrato se refiere la emisión del dictamen solicitado. Cabe mencionar que el ahora recurrente adjuntó a su recurso de revisión, el oficio remitido por el Sujeto Obligado a otra solicitud de información, a través de la cual hace entrega de la versión pública del contrato abierto de prestación de servicios número HJA/DGA/CONTRATO-001/2022, celebrado entre el Sujeto Obligado, </w:t>
      </w:r>
      <w:r w:rsidRPr="00B97F5F">
        <w:rPr>
          <w:rFonts w:ascii="Palatino Linotype" w:eastAsia="Palatino Linotype" w:hAnsi="Palatino Linotype" w:cs="Palatino Linotype"/>
          <w:b/>
          <w:u w:val="single"/>
        </w:rPr>
        <w:t>representado por el Director General de Administración</w:t>
      </w:r>
      <w:r w:rsidRPr="00B97F5F">
        <w:rPr>
          <w:rFonts w:ascii="Palatino Linotype" w:eastAsia="Palatino Linotype" w:hAnsi="Palatino Linotype" w:cs="Palatino Linotype"/>
        </w:rPr>
        <w:t xml:space="preserve"> y la empresa PM. Estaciones de Servicio, relativo a la contratación de servicio de suministro de combustible en la modalidad de carga directa, contrato que el punto 5 de los antecedentes detalla que ““</w:t>
      </w:r>
      <w:r w:rsidRPr="00B97F5F">
        <w:rPr>
          <w:rFonts w:ascii="Palatino Linotype" w:eastAsia="Palatino Linotype" w:hAnsi="Palatino Linotype" w:cs="Palatino Linotype"/>
          <w:i/>
        </w:rPr>
        <w:t xml:space="preserve">5. El 5 de febrero de 2020, el Comité de Adquisiciones y Servicios del Municipio de Jilotzingo, Estado de México, con fundamento en lo dispuesto por los artículos 129 de la Constitución Política del Estado Libre y Soberano de México y 94 fracción VIII del Reglamento de la Ley de Contratación Pública del Estado de México y Municipios, llevó a cabo el análisis y evaluación de propuestas y emisión del dictamen, en donde determinó la adjudicación a favor de “PRESTADOR”, respecto al contrato correspondiente al procedimiento de Adjudicación Directa número HAJ/DGA/ADJUDICACIÓN-DIRECTA/001/200, por haber cumplido con los requisitos legales, técnicos y económicos solicitados por la convocante y ….las mejores condiciones en cuanto a precio y calidad…” </w:t>
      </w:r>
      <w:r w:rsidRPr="00B97F5F">
        <w:rPr>
          <w:rFonts w:ascii="Palatino Linotype" w:eastAsia="Palatino Linotype" w:hAnsi="Palatino Linotype" w:cs="Palatino Linotype"/>
        </w:rPr>
        <w:t>tal como se advierte a continuación:</w:t>
      </w:r>
    </w:p>
    <w:p w:rsidR="00605FE4" w:rsidRPr="00B97F5F" w:rsidRDefault="00605FE4">
      <w:pPr>
        <w:spacing w:before="240" w:after="240" w:line="360" w:lineRule="auto"/>
        <w:jc w:val="both"/>
        <w:rPr>
          <w:rFonts w:ascii="Palatino Linotype" w:eastAsia="Palatino Linotype" w:hAnsi="Palatino Linotype" w:cs="Palatino Linotype"/>
        </w:rPr>
      </w:pP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lastRenderedPageBreak/>
        <w:drawing>
          <wp:inline distT="0" distB="0" distL="0" distR="0">
            <wp:extent cx="5296639" cy="5744377"/>
            <wp:effectExtent l="0" t="0" r="0" b="0"/>
            <wp:docPr id="64"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11"/>
                    <a:srcRect/>
                    <a:stretch>
                      <a:fillRect/>
                    </a:stretch>
                  </pic:blipFill>
                  <pic:spPr>
                    <a:xfrm>
                      <a:off x="0" y="0"/>
                      <a:ext cx="5296639" cy="5744377"/>
                    </a:xfrm>
                    <a:prstGeom prst="rect">
                      <a:avLst/>
                    </a:prstGeom>
                    <a:ln/>
                  </pic:spPr>
                </pic:pic>
              </a:graphicData>
            </a:graphic>
          </wp:inline>
        </w:drawing>
      </w:r>
    </w:p>
    <w:p w:rsidR="00605FE4" w:rsidRPr="00B97F5F" w:rsidRDefault="00DF210D">
      <w:pPr>
        <w:spacing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Así las cosas, durante la etapa de manifestaciones, el </w:t>
      </w:r>
      <w:r w:rsidRPr="00B97F5F">
        <w:rPr>
          <w:rFonts w:ascii="Palatino Linotype" w:eastAsia="Palatino Linotype" w:hAnsi="Palatino Linotype" w:cs="Palatino Linotype"/>
          <w:b/>
        </w:rPr>
        <w:t xml:space="preserve">SUJETO OBLIGADO </w:t>
      </w:r>
      <w:r w:rsidRPr="00B97F5F">
        <w:rPr>
          <w:rFonts w:ascii="Palatino Linotype" w:eastAsia="Palatino Linotype" w:hAnsi="Palatino Linotype" w:cs="Palatino Linotype"/>
        </w:rPr>
        <w:t xml:space="preserve">no rindió su informe justificado y por cuanto hace a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se tiene que no emitió alegatos, manifestaciones o pronunciamiento alguno que a su derecho conviniera, luego entonces, se tiene por precluido su derecho para tal efecto.</w:t>
      </w:r>
    </w:p>
    <w:p w:rsidR="00605FE4" w:rsidRPr="00B97F5F" w:rsidRDefault="00DF210D">
      <w:pPr>
        <w:spacing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lastRenderedPageBreak/>
        <w:t xml:space="preserve">Es importante señalar que de la respuesta proporcionada por el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fue emitida por el servidor público habilitado competente, en virtud de lo siguiente: </w:t>
      </w:r>
    </w:p>
    <w:p w:rsidR="00605FE4" w:rsidRPr="00B97F5F" w:rsidRDefault="00DF210D">
      <w:pPr>
        <w:spacing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El Reglamento Interno del H. Ayuntamiento de Jilotzingo en su artículo 43, establece como atribuciones del Director de administración la celebración de todo tipo de contratos antes personas físicas o morales en representación del Ayuntamiento, asimismo precisa que dicho servidor público integrará y presidirá el Comité de Adquisiciones y Servicios, tal como se advierte a continuación:</w:t>
      </w:r>
    </w:p>
    <w:p w:rsidR="00605FE4" w:rsidRPr="00B97F5F" w:rsidRDefault="00605FE4">
      <w:pPr>
        <w:spacing w:before="120" w:after="120"/>
        <w:ind w:right="902"/>
        <w:jc w:val="both"/>
        <w:rPr>
          <w:rFonts w:ascii="Palatino Linotype" w:eastAsia="Palatino Linotype" w:hAnsi="Palatino Linotype" w:cs="Palatino Linotype"/>
          <w:sz w:val="22"/>
          <w:szCs w:val="22"/>
        </w:rPr>
      </w:pPr>
    </w:p>
    <w:p w:rsidR="00605FE4" w:rsidRPr="00B97F5F" w:rsidRDefault="00DF210D">
      <w:pPr>
        <w:spacing w:before="120" w:after="120"/>
        <w:ind w:left="705"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Artículo 43.- El Director de Administración está facultado para la celebración de todo tipo de contratos ante personas físicas o morales en representación del H. Ayuntamiento de Jilotzingo.</w:t>
      </w:r>
    </w:p>
    <w:p w:rsidR="00605FE4" w:rsidRPr="00B97F5F" w:rsidRDefault="00DF210D">
      <w:pPr>
        <w:spacing w:before="120" w:after="120"/>
        <w:ind w:left="705"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Igualmente integrará y presidirá el Comité de Adquisiciones y Servicios.</w:t>
      </w:r>
    </w:p>
    <w:p w:rsidR="00605FE4" w:rsidRPr="00B97F5F" w:rsidRDefault="00605FE4">
      <w:pPr>
        <w:spacing w:before="120" w:after="120"/>
        <w:ind w:left="705" w:right="902"/>
        <w:jc w:val="both"/>
        <w:rPr>
          <w:rFonts w:ascii="Palatino Linotype" w:eastAsia="Palatino Linotype" w:hAnsi="Palatino Linotype" w:cs="Palatino Linotype"/>
          <w:i/>
          <w:sz w:val="22"/>
          <w:szCs w:val="22"/>
        </w:rPr>
      </w:pPr>
    </w:p>
    <w:p w:rsidR="00605FE4" w:rsidRPr="00B97F5F" w:rsidRDefault="00DF210D">
      <w:pPr>
        <w:tabs>
          <w:tab w:val="left" w:pos="7655"/>
        </w:tabs>
        <w:spacing w:before="120" w:after="120" w:line="360" w:lineRule="auto"/>
        <w:ind w:right="49"/>
        <w:jc w:val="both"/>
        <w:rPr>
          <w:rFonts w:ascii="Palatino Linotype" w:eastAsia="Palatino Linotype" w:hAnsi="Palatino Linotype" w:cs="Palatino Linotype"/>
        </w:rPr>
      </w:pPr>
      <w:r w:rsidRPr="00B97F5F">
        <w:rPr>
          <w:rFonts w:ascii="Palatino Linotype" w:eastAsia="Palatino Linotype" w:hAnsi="Palatino Linotype" w:cs="Palatino Linotype"/>
        </w:rPr>
        <w:t>En su Manual de Organización de la Dirección General de Administración del H. Ayuntamiento de Jilotzingo nos menciona que su titular queda facultado para la celebración de todo tipo de contratos ante personas físicas o morales en representación del Ayuntamiento, y que también integrará y presidirá el comité de adquisiciones y servicios,  tal como se advierte a continuación:</w:t>
      </w:r>
    </w:p>
    <w:p w:rsidR="00605FE4" w:rsidRPr="00B97F5F" w:rsidRDefault="00DF210D">
      <w:pPr>
        <w:spacing w:before="120" w:after="120"/>
        <w:ind w:right="902"/>
        <w:jc w:val="both"/>
        <w:rPr>
          <w:rFonts w:ascii="Palatino Linotype" w:eastAsia="Palatino Linotype" w:hAnsi="Palatino Linotype" w:cs="Palatino Linotype"/>
          <w:sz w:val="22"/>
          <w:szCs w:val="22"/>
        </w:rPr>
      </w:pPr>
      <w:r w:rsidRPr="00B97F5F">
        <w:rPr>
          <w:rFonts w:ascii="Palatino Linotype" w:eastAsia="Palatino Linotype" w:hAnsi="Palatino Linotype" w:cs="Palatino Linotype"/>
          <w:noProof/>
          <w:sz w:val="22"/>
          <w:szCs w:val="22"/>
        </w:rPr>
        <w:lastRenderedPageBreak/>
        <w:drawing>
          <wp:inline distT="0" distB="0" distL="0" distR="0">
            <wp:extent cx="5612130" cy="509524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5095240"/>
                    </a:xfrm>
                    <a:prstGeom prst="rect">
                      <a:avLst/>
                    </a:prstGeom>
                    <a:ln/>
                  </pic:spPr>
                </pic:pic>
              </a:graphicData>
            </a:graphic>
          </wp:inline>
        </w:drawing>
      </w:r>
    </w:p>
    <w:p w:rsidR="00605FE4" w:rsidRPr="00B97F5F" w:rsidRDefault="00605FE4">
      <w:pPr>
        <w:spacing w:before="120" w:after="120"/>
        <w:ind w:right="902"/>
        <w:jc w:val="both"/>
        <w:rPr>
          <w:rFonts w:ascii="Palatino Linotype" w:eastAsia="Palatino Linotype" w:hAnsi="Palatino Linotype" w:cs="Palatino Linotype"/>
          <w:sz w:val="22"/>
          <w:szCs w:val="22"/>
        </w:rPr>
      </w:pPr>
    </w:p>
    <w:p w:rsidR="00605FE4" w:rsidRPr="00B97F5F" w:rsidRDefault="00DF210D">
      <w:pPr>
        <w:spacing w:before="120" w:after="120" w:line="360" w:lineRule="auto"/>
        <w:ind w:right="49"/>
        <w:jc w:val="both"/>
        <w:rPr>
          <w:rFonts w:ascii="Palatino Linotype" w:eastAsia="Palatino Linotype" w:hAnsi="Palatino Linotype" w:cs="Palatino Linotype"/>
          <w:sz w:val="22"/>
          <w:szCs w:val="22"/>
        </w:rPr>
      </w:pPr>
      <w:r w:rsidRPr="00B97F5F">
        <w:rPr>
          <w:rFonts w:ascii="Palatino Linotype" w:eastAsia="Palatino Linotype" w:hAnsi="Palatino Linotype" w:cs="Palatino Linotype"/>
          <w:sz w:val="22"/>
          <w:szCs w:val="22"/>
        </w:rPr>
        <w:t>De acuerdo al punto V del referido Manual de Organización la Dirección General de Administración del Sujeto Obligado, dicha Dirección está conformada de la siguiente manera.</w:t>
      </w:r>
    </w:p>
    <w:p w:rsidR="00605FE4" w:rsidRPr="00B97F5F" w:rsidRDefault="00DF210D">
      <w:pPr>
        <w:numPr>
          <w:ilvl w:val="0"/>
          <w:numId w:val="1"/>
        </w:numPr>
        <w:pBdr>
          <w:top w:val="nil"/>
          <w:left w:val="nil"/>
          <w:bottom w:val="nil"/>
          <w:right w:val="nil"/>
          <w:between w:val="nil"/>
        </w:pBdr>
        <w:spacing w:before="120"/>
        <w:ind w:right="902"/>
        <w:jc w:val="both"/>
        <w:rPr>
          <w:rFonts w:ascii="Palatino Linotype" w:eastAsia="Palatino Linotype" w:hAnsi="Palatino Linotype" w:cs="Palatino Linotype"/>
          <w:i/>
          <w:color w:val="000000"/>
          <w:sz w:val="22"/>
          <w:szCs w:val="22"/>
        </w:rPr>
      </w:pPr>
      <w:r w:rsidRPr="00B97F5F">
        <w:rPr>
          <w:rFonts w:ascii="Palatino Linotype" w:eastAsia="Palatino Linotype" w:hAnsi="Palatino Linotype" w:cs="Palatino Linotype"/>
          <w:i/>
          <w:color w:val="000000"/>
          <w:sz w:val="22"/>
          <w:szCs w:val="22"/>
        </w:rPr>
        <w:t xml:space="preserve">Dirección General de Administración. </w:t>
      </w:r>
    </w:p>
    <w:p w:rsidR="00605FE4" w:rsidRPr="00B97F5F" w:rsidRDefault="00DF210D">
      <w:pPr>
        <w:numPr>
          <w:ilvl w:val="0"/>
          <w:numId w:val="1"/>
        </w:numPr>
        <w:pBdr>
          <w:top w:val="nil"/>
          <w:left w:val="nil"/>
          <w:bottom w:val="nil"/>
          <w:right w:val="nil"/>
          <w:between w:val="nil"/>
        </w:pBdr>
        <w:ind w:right="902"/>
        <w:jc w:val="both"/>
        <w:rPr>
          <w:rFonts w:ascii="Palatino Linotype" w:eastAsia="Palatino Linotype" w:hAnsi="Palatino Linotype" w:cs="Palatino Linotype"/>
          <w:i/>
          <w:color w:val="000000"/>
          <w:sz w:val="22"/>
          <w:szCs w:val="22"/>
        </w:rPr>
      </w:pPr>
      <w:r w:rsidRPr="00B97F5F">
        <w:rPr>
          <w:rFonts w:ascii="Palatino Linotype" w:eastAsia="Palatino Linotype" w:hAnsi="Palatino Linotype" w:cs="Palatino Linotype"/>
          <w:i/>
          <w:color w:val="000000"/>
          <w:sz w:val="22"/>
          <w:szCs w:val="22"/>
        </w:rPr>
        <w:t>Coordinación de Recursos Materiales.</w:t>
      </w:r>
    </w:p>
    <w:p w:rsidR="00605FE4" w:rsidRPr="00B97F5F" w:rsidRDefault="00DF210D">
      <w:pPr>
        <w:numPr>
          <w:ilvl w:val="0"/>
          <w:numId w:val="1"/>
        </w:numPr>
        <w:pBdr>
          <w:top w:val="nil"/>
          <w:left w:val="nil"/>
          <w:bottom w:val="nil"/>
          <w:right w:val="nil"/>
          <w:between w:val="nil"/>
        </w:pBdr>
        <w:ind w:right="902"/>
        <w:jc w:val="both"/>
        <w:rPr>
          <w:rFonts w:ascii="Palatino Linotype" w:eastAsia="Palatino Linotype" w:hAnsi="Palatino Linotype" w:cs="Palatino Linotype"/>
          <w:i/>
          <w:color w:val="000000"/>
          <w:sz w:val="22"/>
          <w:szCs w:val="22"/>
        </w:rPr>
      </w:pPr>
      <w:r w:rsidRPr="00B97F5F">
        <w:rPr>
          <w:rFonts w:ascii="Palatino Linotype" w:eastAsia="Palatino Linotype" w:hAnsi="Palatino Linotype" w:cs="Palatino Linotype"/>
          <w:i/>
          <w:color w:val="000000"/>
          <w:sz w:val="22"/>
          <w:szCs w:val="22"/>
        </w:rPr>
        <w:t>Coordinación de Control Vehicular.</w:t>
      </w:r>
    </w:p>
    <w:p w:rsidR="00605FE4" w:rsidRPr="00B97F5F" w:rsidRDefault="00DF210D">
      <w:pPr>
        <w:numPr>
          <w:ilvl w:val="0"/>
          <w:numId w:val="1"/>
        </w:numPr>
        <w:pBdr>
          <w:top w:val="nil"/>
          <w:left w:val="nil"/>
          <w:bottom w:val="nil"/>
          <w:right w:val="nil"/>
          <w:between w:val="nil"/>
        </w:pBdr>
        <w:spacing w:after="120"/>
        <w:ind w:right="902"/>
        <w:jc w:val="both"/>
        <w:rPr>
          <w:rFonts w:ascii="Palatino Linotype" w:eastAsia="Palatino Linotype" w:hAnsi="Palatino Linotype" w:cs="Palatino Linotype"/>
          <w:i/>
          <w:color w:val="000000"/>
          <w:sz w:val="22"/>
          <w:szCs w:val="22"/>
        </w:rPr>
      </w:pPr>
      <w:r w:rsidRPr="00B97F5F">
        <w:rPr>
          <w:rFonts w:ascii="Palatino Linotype" w:eastAsia="Palatino Linotype" w:hAnsi="Palatino Linotype" w:cs="Palatino Linotype"/>
          <w:i/>
          <w:color w:val="000000"/>
          <w:sz w:val="22"/>
          <w:szCs w:val="22"/>
        </w:rPr>
        <w:t>Coordinación de Recursos Humanos y Nómina.</w:t>
      </w:r>
    </w:p>
    <w:p w:rsidR="00605FE4" w:rsidRPr="00B97F5F" w:rsidRDefault="00DF210D">
      <w:pPr>
        <w:spacing w:before="120" w:after="120"/>
        <w:ind w:right="902"/>
        <w:jc w:val="both"/>
        <w:rPr>
          <w:rFonts w:ascii="Palatino Linotype" w:eastAsia="Palatino Linotype" w:hAnsi="Palatino Linotype" w:cs="Palatino Linotype"/>
          <w:sz w:val="22"/>
          <w:szCs w:val="22"/>
        </w:rPr>
      </w:pPr>
      <w:r w:rsidRPr="00B97F5F">
        <w:rPr>
          <w:rFonts w:ascii="Palatino Linotype" w:eastAsia="Palatino Linotype" w:hAnsi="Palatino Linotype" w:cs="Palatino Linotype"/>
          <w:noProof/>
          <w:sz w:val="22"/>
          <w:szCs w:val="22"/>
        </w:rPr>
        <w:lastRenderedPageBreak/>
        <w:drawing>
          <wp:inline distT="0" distB="0" distL="0" distR="0">
            <wp:extent cx="4998892" cy="3730321"/>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998892" cy="3730321"/>
                    </a:xfrm>
                    <a:prstGeom prst="rect">
                      <a:avLst/>
                    </a:prstGeom>
                    <a:ln/>
                  </pic:spPr>
                </pic:pic>
              </a:graphicData>
            </a:graphic>
          </wp:inline>
        </w:drawing>
      </w:r>
    </w:p>
    <w:p w:rsidR="00605FE4" w:rsidRPr="00B97F5F" w:rsidRDefault="00DF210D">
      <w:pPr>
        <w:spacing w:before="120" w:after="120"/>
        <w:ind w:right="902"/>
        <w:jc w:val="both"/>
        <w:rPr>
          <w:rFonts w:ascii="Palatino Linotype" w:eastAsia="Palatino Linotype" w:hAnsi="Palatino Linotype" w:cs="Palatino Linotype"/>
          <w:sz w:val="22"/>
          <w:szCs w:val="22"/>
        </w:rPr>
      </w:pPr>
      <w:r w:rsidRPr="00B97F5F">
        <w:rPr>
          <w:rFonts w:ascii="Palatino Linotype" w:eastAsia="Palatino Linotype" w:hAnsi="Palatino Linotype" w:cs="Palatino Linotype"/>
          <w:noProof/>
          <w:sz w:val="22"/>
          <w:szCs w:val="22"/>
        </w:rPr>
        <w:drawing>
          <wp:inline distT="0" distB="0" distL="0" distR="0">
            <wp:extent cx="5464795" cy="3717980"/>
            <wp:effectExtent l="0" t="0" r="0" b="0"/>
            <wp:docPr id="65"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pic:cNvPicPr preferRelativeResize="0"/>
                  </pic:nvPicPr>
                  <pic:blipFill>
                    <a:blip r:embed="rId14"/>
                    <a:srcRect/>
                    <a:stretch>
                      <a:fillRect/>
                    </a:stretch>
                  </pic:blipFill>
                  <pic:spPr>
                    <a:xfrm>
                      <a:off x="0" y="0"/>
                      <a:ext cx="5464795" cy="3717980"/>
                    </a:xfrm>
                    <a:prstGeom prst="rect">
                      <a:avLst/>
                    </a:prstGeom>
                    <a:ln/>
                  </pic:spPr>
                </pic:pic>
              </a:graphicData>
            </a:graphic>
          </wp:inline>
        </w:drawing>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lastRenderedPageBreak/>
        <w:t xml:space="preserve">Por su parte la Coordinación de Recursos Materiales tiene entre sus atribuciones llevar a cabo la adquisición y contratación de servicios que requieran las distintas áreas en estricto apego a las disposiciones legales en la materia y de acuerdo a los principios de eficiencia, eficacia y transparencia, así como controlar, dirigir y supervisar que todos los procesos de adquisición de bienes o prestación de servicios, se realicen con estricto apego a la normatividad, y planear, organizar, programar y ejecutar los procedimientos de adquisiciones y servicios en sus diferentes modalidades y etapas: </w:t>
      </w:r>
      <w:r w:rsidRPr="00B97F5F">
        <w:rPr>
          <w:rFonts w:ascii="Palatino Linotype" w:eastAsia="Palatino Linotype" w:hAnsi="Palatino Linotype" w:cs="Palatino Linotype"/>
          <w:b/>
          <w:u w:val="single"/>
        </w:rPr>
        <w:t>elaboración de</w:t>
      </w:r>
      <w:r w:rsidRPr="00B97F5F">
        <w:rPr>
          <w:rFonts w:ascii="Palatino Linotype" w:eastAsia="Palatino Linotype" w:hAnsi="Palatino Linotype" w:cs="Palatino Linotype"/>
        </w:rPr>
        <w:t xml:space="preserve"> las bases, convocatoria, invitación a los integrantes del Comité de Adquisiciones y Servicios, venta o entrega de bases, junta aclaratoria, apertura y evaluación de propuestas, </w:t>
      </w:r>
      <w:r w:rsidRPr="00B97F5F">
        <w:rPr>
          <w:rFonts w:ascii="Palatino Linotype" w:eastAsia="Palatino Linotype" w:hAnsi="Palatino Linotype" w:cs="Palatino Linotype"/>
          <w:b/>
          <w:u w:val="single"/>
        </w:rPr>
        <w:t>DICTAMEN</w:t>
      </w:r>
      <w:r w:rsidRPr="00B97F5F">
        <w:rPr>
          <w:rFonts w:ascii="Palatino Linotype" w:eastAsia="Palatino Linotype" w:hAnsi="Palatino Linotype" w:cs="Palatino Linotype"/>
        </w:rPr>
        <w:t xml:space="preserve">, y fallo de licitaciones públicas,  invitación restringida y adjudicación directa, así como organizar, documenta y transparentar las licitaciones públicas y concursos para adquirir los bienes y contratar los servicios que requieran;  </w:t>
      </w:r>
      <w:r w:rsidRPr="00B97F5F">
        <w:rPr>
          <w:rFonts w:ascii="Palatino Linotype" w:eastAsia="Palatino Linotype" w:hAnsi="Palatino Linotype" w:cs="Palatino Linotype"/>
          <w:b/>
          <w:u w:val="single"/>
        </w:rPr>
        <w:t xml:space="preserve">integrar, organizar y presentar al Comité de Adquisiciones y servicios para su análisis, evaluación y </w:t>
      </w:r>
      <w:proofErr w:type="spellStart"/>
      <w:r w:rsidRPr="00B97F5F">
        <w:rPr>
          <w:rFonts w:ascii="Palatino Linotype" w:eastAsia="Palatino Linotype" w:hAnsi="Palatino Linotype" w:cs="Palatino Linotype"/>
          <w:b/>
          <w:u w:val="single"/>
        </w:rPr>
        <w:t>dictaminación</w:t>
      </w:r>
      <w:proofErr w:type="spellEnd"/>
      <w:r w:rsidRPr="00B97F5F">
        <w:rPr>
          <w:rFonts w:ascii="Palatino Linotype" w:eastAsia="Palatino Linotype" w:hAnsi="Palatino Linotype" w:cs="Palatino Linotype"/>
        </w:rPr>
        <w:t xml:space="preserve">, los expedientes de las operaciones y asuntos  resolver, entre otras: </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lastRenderedPageBreak/>
        <w:drawing>
          <wp:inline distT="0" distB="0" distL="0" distR="0">
            <wp:extent cx="5039428" cy="5687219"/>
            <wp:effectExtent l="0" t="0" r="0" b="0"/>
            <wp:docPr id="68" name="image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Descripción generada automáticamente"/>
                    <pic:cNvPicPr preferRelativeResize="0"/>
                  </pic:nvPicPr>
                  <pic:blipFill>
                    <a:blip r:embed="rId15"/>
                    <a:srcRect/>
                    <a:stretch>
                      <a:fillRect/>
                    </a:stretch>
                  </pic:blipFill>
                  <pic:spPr>
                    <a:xfrm>
                      <a:off x="0" y="0"/>
                      <a:ext cx="5039428" cy="5687219"/>
                    </a:xfrm>
                    <a:prstGeom prst="rect">
                      <a:avLst/>
                    </a:prstGeom>
                    <a:ln/>
                  </pic:spPr>
                </pic:pic>
              </a:graphicData>
            </a:graphic>
          </wp:inline>
        </w:drawing>
      </w:r>
    </w:p>
    <w:p w:rsidR="00605FE4" w:rsidRPr="00B97F5F" w:rsidRDefault="00605FE4">
      <w:pPr>
        <w:spacing w:before="240" w:after="240" w:line="360" w:lineRule="auto"/>
        <w:jc w:val="both"/>
        <w:rPr>
          <w:rFonts w:ascii="Palatino Linotype" w:eastAsia="Palatino Linotype" w:hAnsi="Palatino Linotype" w:cs="Palatino Linotype"/>
        </w:rPr>
      </w:pP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lastRenderedPageBreak/>
        <w:drawing>
          <wp:inline distT="0" distB="0" distL="0" distR="0">
            <wp:extent cx="5224931" cy="6621307"/>
            <wp:effectExtent l="0" t="0" r="0" b="0"/>
            <wp:docPr id="67"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pic:cNvPicPr preferRelativeResize="0"/>
                  </pic:nvPicPr>
                  <pic:blipFill>
                    <a:blip r:embed="rId16"/>
                    <a:srcRect/>
                    <a:stretch>
                      <a:fillRect/>
                    </a:stretch>
                  </pic:blipFill>
                  <pic:spPr>
                    <a:xfrm>
                      <a:off x="0" y="0"/>
                      <a:ext cx="5224931" cy="6621307"/>
                    </a:xfrm>
                    <a:prstGeom prst="rect">
                      <a:avLst/>
                    </a:prstGeom>
                    <a:ln/>
                  </pic:spPr>
                </pic:pic>
              </a:graphicData>
            </a:graphic>
          </wp:inline>
        </w:drawing>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lastRenderedPageBreak/>
        <w:drawing>
          <wp:inline distT="0" distB="0" distL="0" distR="0">
            <wp:extent cx="5268000" cy="5246171"/>
            <wp:effectExtent l="0" t="0" r="0" b="0"/>
            <wp:docPr id="70"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17"/>
                    <a:srcRect/>
                    <a:stretch>
                      <a:fillRect/>
                    </a:stretch>
                  </pic:blipFill>
                  <pic:spPr>
                    <a:xfrm>
                      <a:off x="0" y="0"/>
                      <a:ext cx="5268000" cy="5246171"/>
                    </a:xfrm>
                    <a:prstGeom prst="rect">
                      <a:avLst/>
                    </a:prstGeom>
                    <a:ln/>
                  </pic:spPr>
                </pic:pic>
              </a:graphicData>
            </a:graphic>
          </wp:inline>
        </w:drawing>
      </w:r>
    </w:p>
    <w:p w:rsidR="00605FE4" w:rsidRPr="00B97F5F" w:rsidRDefault="00DF210D">
      <w:pPr>
        <w:spacing w:before="240" w:after="240" w:line="360" w:lineRule="auto"/>
        <w:ind w:right="51"/>
        <w:jc w:val="both"/>
        <w:rPr>
          <w:rFonts w:ascii="Palatino Linotype" w:eastAsia="Palatino Linotype" w:hAnsi="Palatino Linotype" w:cs="Palatino Linotype"/>
          <w:i/>
        </w:rPr>
      </w:pPr>
      <w:r w:rsidRPr="00B97F5F">
        <w:rPr>
          <w:rFonts w:ascii="Palatino Linotype" w:eastAsia="Palatino Linotype" w:hAnsi="Palatino Linotype" w:cs="Palatino Linotype"/>
        </w:rPr>
        <w:t xml:space="preserve">Asimismo, de las documentales enviadas por el Recurrente, mismas que fueron proporcionadas por el Sujeto Obligado, en otra solicitud de información, se advierte que hace entrega de la versión pública del contrato abierto de prestación de servicios número HJA/DGA/CONTRATO-001/2022, celebrado entre el Sujeto Obligado, </w:t>
      </w:r>
      <w:r w:rsidRPr="00B97F5F">
        <w:rPr>
          <w:rFonts w:ascii="Palatino Linotype" w:eastAsia="Palatino Linotype" w:hAnsi="Palatino Linotype" w:cs="Palatino Linotype"/>
          <w:b/>
          <w:u w:val="single"/>
        </w:rPr>
        <w:t>representado por el Director General de Administración</w:t>
      </w:r>
      <w:r w:rsidRPr="00B97F5F">
        <w:rPr>
          <w:rFonts w:ascii="Palatino Linotype" w:eastAsia="Palatino Linotype" w:hAnsi="Palatino Linotype" w:cs="Palatino Linotype"/>
        </w:rPr>
        <w:t xml:space="preserve"> y la empresa PM. Estaciones de Servicio, relativo a la contratación de servicio de suministro de combustible en la modalidad de carga directa, contrato que el punto 5 de los </w:t>
      </w:r>
      <w:r w:rsidRPr="00B97F5F">
        <w:rPr>
          <w:rFonts w:ascii="Palatino Linotype" w:eastAsia="Palatino Linotype" w:hAnsi="Palatino Linotype" w:cs="Palatino Linotype"/>
        </w:rPr>
        <w:lastRenderedPageBreak/>
        <w:t>antecedentes detalla que ““</w:t>
      </w:r>
      <w:r w:rsidRPr="00B97F5F">
        <w:rPr>
          <w:rFonts w:ascii="Palatino Linotype" w:eastAsia="Palatino Linotype" w:hAnsi="Palatino Linotype" w:cs="Palatino Linotype"/>
          <w:i/>
        </w:rPr>
        <w:t>5. El 5 de febrero de 2020, el Comité de Adquisiciones y Servicios del Municipio de Jilotzingo, Estado de México, con fundamento en lo dispuesto por los artículos 129 de la Constitución Política del Estado Libre y Soberano de México y 94 fracción VIII del Reglamento de la Ley de Contratación Pública del Estado de México y Municipios, llevó a cabo el análisis y evaluación de propuestas y emisión del dictamen, en donde determinó la adjudicación a favor de “PRESTADOR”, respecto al contrato correspondiente al procedimiento de Adjudicación Directa número HAJ/DGA/ADJUDICACIÓN-DIRECTA/001/20</w:t>
      </w:r>
      <w:r w:rsidR="00911C24" w:rsidRPr="00B97F5F">
        <w:rPr>
          <w:rFonts w:ascii="Palatino Linotype" w:eastAsia="Palatino Linotype" w:hAnsi="Palatino Linotype" w:cs="Palatino Linotype"/>
          <w:i/>
        </w:rPr>
        <w:t>22</w:t>
      </w:r>
      <w:r w:rsidRPr="00B97F5F">
        <w:rPr>
          <w:rFonts w:ascii="Palatino Linotype" w:eastAsia="Palatino Linotype" w:hAnsi="Palatino Linotype" w:cs="Palatino Linotype"/>
          <w:i/>
        </w:rPr>
        <w:t xml:space="preserve">, por haber cumplido con los requisitos legales, técnicos y económicos solicitados por la convocante y ….las mejores condiciones en cuanto a precio y calidad…” </w:t>
      </w:r>
      <w:r w:rsidRPr="00B97F5F">
        <w:rPr>
          <w:rFonts w:ascii="Palatino Linotype" w:eastAsia="Palatino Linotype" w:hAnsi="Palatino Linotype" w:cs="Palatino Linotype"/>
        </w:rPr>
        <w:t>tal como se advierte a continuación:</w:t>
      </w:r>
    </w:p>
    <w:p w:rsidR="00605FE4" w:rsidRPr="00B97F5F" w:rsidRDefault="00605FE4">
      <w:pPr>
        <w:spacing w:before="240" w:after="240" w:line="360" w:lineRule="auto"/>
        <w:jc w:val="both"/>
        <w:rPr>
          <w:rFonts w:ascii="Palatino Linotype" w:eastAsia="Palatino Linotype" w:hAnsi="Palatino Linotype" w:cs="Palatino Linotype"/>
        </w:rPr>
      </w:pP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noProof/>
        </w:rPr>
        <w:lastRenderedPageBreak/>
        <w:drawing>
          <wp:inline distT="0" distB="0" distL="0" distR="0">
            <wp:extent cx="5296639" cy="5744377"/>
            <wp:effectExtent l="0" t="0" r="0" b="0"/>
            <wp:docPr id="69"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11"/>
                    <a:srcRect/>
                    <a:stretch>
                      <a:fillRect/>
                    </a:stretch>
                  </pic:blipFill>
                  <pic:spPr>
                    <a:xfrm>
                      <a:off x="0" y="0"/>
                      <a:ext cx="5296639" cy="5744377"/>
                    </a:xfrm>
                    <a:prstGeom prst="rect">
                      <a:avLst/>
                    </a:prstGeom>
                    <a:ln/>
                  </pic:spPr>
                </pic:pic>
              </a:graphicData>
            </a:graphic>
          </wp:inline>
        </w:drawing>
      </w:r>
    </w:p>
    <w:p w:rsidR="00605FE4" w:rsidRPr="00B97F5F" w:rsidRDefault="00DF210D">
      <w:pPr>
        <w:jc w:val="both"/>
      </w:pPr>
      <w:r w:rsidRPr="00B97F5F">
        <w:rPr>
          <w:rFonts w:ascii="Palatino Linotype" w:eastAsia="Palatino Linotype" w:hAnsi="Palatino Linotype" w:cs="Palatino Linotype"/>
          <w:color w:val="000000"/>
        </w:rPr>
        <w:t xml:space="preserve">En este contexto, para este pleno, el </w:t>
      </w:r>
      <w:r w:rsidRPr="00B97F5F">
        <w:rPr>
          <w:rFonts w:ascii="Palatino Linotype" w:eastAsia="Palatino Linotype" w:hAnsi="Palatino Linotype" w:cs="Palatino Linotype"/>
          <w:b/>
          <w:color w:val="000000"/>
        </w:rPr>
        <w:t>SUJETO OBLIGADO</w:t>
      </w:r>
      <w:r w:rsidRPr="00B97F5F">
        <w:rPr>
          <w:rFonts w:ascii="Palatino Linotype" w:eastAsia="Palatino Linotype" w:hAnsi="Palatino Linotype" w:cs="Palatino Linotype"/>
          <w:color w:val="000000"/>
        </w:rPr>
        <w:t xml:space="preserve">, tiene la facultad de poseer la información solicitada por el hoy </w:t>
      </w:r>
      <w:r w:rsidRPr="00B97F5F">
        <w:rPr>
          <w:rFonts w:ascii="Palatino Linotype" w:eastAsia="Palatino Linotype" w:hAnsi="Palatino Linotype" w:cs="Palatino Linotype"/>
          <w:b/>
          <w:color w:val="000000"/>
        </w:rPr>
        <w:t>RECURRENTE,</w:t>
      </w:r>
      <w:r w:rsidRPr="00B97F5F">
        <w:rPr>
          <w:rFonts w:ascii="Palatino Linotype" w:eastAsia="Palatino Linotype" w:hAnsi="Palatino Linotype" w:cs="Palatino Linotype"/>
          <w:color w:val="000000"/>
        </w:rPr>
        <w:t xml:space="preserve"> por lo que en este sentido se trata de información pública que debe obrar en los archivos del citado </w:t>
      </w:r>
      <w:r w:rsidRPr="00B97F5F">
        <w:rPr>
          <w:rFonts w:ascii="Palatino Linotype" w:eastAsia="Palatino Linotype" w:hAnsi="Palatino Linotype" w:cs="Palatino Linotype"/>
          <w:b/>
          <w:color w:val="000000"/>
        </w:rPr>
        <w:t xml:space="preserve">SUJETO OBLIGADO, </w:t>
      </w:r>
      <w:r w:rsidRPr="00B97F5F">
        <w:rPr>
          <w:rFonts w:ascii="Palatino Linotype" w:eastAsia="Palatino Linotype" w:hAnsi="Palatino Linotype" w:cs="Palatino Linotype"/>
          <w:color w:val="000000"/>
        </w:rPr>
        <w:t xml:space="preserve">y al ser información pública es que se debió entregar al hoy </w:t>
      </w:r>
      <w:r w:rsidRPr="00B97F5F">
        <w:rPr>
          <w:rFonts w:ascii="Palatino Linotype" w:eastAsia="Palatino Linotype" w:hAnsi="Palatino Linotype" w:cs="Palatino Linotype"/>
          <w:b/>
          <w:color w:val="000000"/>
        </w:rPr>
        <w:t>RECURRENT</w:t>
      </w:r>
      <w:r w:rsidRPr="00B97F5F">
        <w:rPr>
          <w:rFonts w:ascii="Palatino Linotype" w:eastAsia="Palatino Linotype" w:hAnsi="Palatino Linotype" w:cs="Palatino Linotype"/>
          <w:color w:val="000000"/>
        </w:rPr>
        <w:t xml:space="preserve">E, ya que como ha quedado asentado los </w:t>
      </w:r>
      <w:r w:rsidRPr="00B97F5F">
        <w:rPr>
          <w:rFonts w:ascii="Palatino Linotype" w:eastAsia="Palatino Linotype" w:hAnsi="Palatino Linotype" w:cs="Palatino Linotype"/>
          <w:b/>
          <w:color w:val="000000"/>
        </w:rPr>
        <w:t>SUJETOS OBLIGADOS</w:t>
      </w:r>
      <w:r w:rsidRPr="00B97F5F">
        <w:rPr>
          <w:rFonts w:ascii="Palatino Linotype" w:eastAsia="Palatino Linotype" w:hAnsi="Palatino Linotype" w:cs="Palatino Linotype"/>
          <w:color w:val="000000"/>
        </w:rPr>
        <w:t>, deben proporcionar la información que generen en el ejercicio de sus atribuciones; a la vez que están obligados a proporcionar la información que obre en sus archivos. </w:t>
      </w:r>
    </w:p>
    <w:p w:rsidR="00605FE4" w:rsidRPr="00B97F5F" w:rsidRDefault="00605FE4">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FF0000"/>
        </w:rPr>
      </w:pPr>
    </w:p>
    <w:p w:rsidR="00605FE4" w:rsidRPr="00B97F5F" w:rsidRDefault="00DF210D">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Sin embargo, al haberse pronunciado el servidor público habilitado competente y al tener evidencia de que debía obrar en sus archivos la información solicitada, resulta procedente ordenar que haga entrega del </w:t>
      </w:r>
      <w:r w:rsidRPr="00B97F5F">
        <w:rPr>
          <w:rFonts w:ascii="Palatino Linotype" w:eastAsia="Palatino Linotype" w:hAnsi="Palatino Linotype" w:cs="Palatino Linotype"/>
          <w:b/>
          <w:u w:val="single"/>
        </w:rPr>
        <w:t xml:space="preserve">Acuerdo de Inexistencia, </w:t>
      </w:r>
      <w:r w:rsidRPr="00B97F5F">
        <w:rPr>
          <w:rFonts w:ascii="Palatino Linotype" w:eastAsia="Palatino Linotype" w:hAnsi="Palatino Linotype" w:cs="Palatino Linotype"/>
        </w:rPr>
        <w:t>debiendo observar lo señalado en los numerales 169 y 170 de la Ley local de la materia, mismos que a la letra, señalan lo siguiente</w:t>
      </w:r>
      <w:r w:rsidRPr="00B97F5F">
        <w:rPr>
          <w:rFonts w:ascii="Palatino Linotype" w:eastAsia="Palatino Linotype" w:hAnsi="Palatino Linotype" w:cs="Palatino Linotype"/>
          <w:sz w:val="22"/>
          <w:szCs w:val="22"/>
        </w:rPr>
        <w:t>:</w:t>
      </w:r>
    </w:p>
    <w:p w:rsidR="00605FE4" w:rsidRPr="00B97F5F" w:rsidRDefault="00605FE4">
      <w:pPr>
        <w:rPr>
          <w:color w:val="000000"/>
        </w:rPr>
      </w:pP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b/>
          <w:i/>
          <w:color w:val="000000"/>
          <w:sz w:val="22"/>
          <w:szCs w:val="22"/>
          <w:u w:val="single"/>
        </w:rPr>
        <w:t>Artículo 169. Cuando la información no se encuentre en los archivos del sujeto obligado, el Comité de Transparencia: </w:t>
      </w: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i/>
          <w:color w:val="000000"/>
          <w:sz w:val="22"/>
          <w:szCs w:val="22"/>
        </w:rPr>
        <w:t>I. Analizará el caso y tomará las medidas necesarias para localizar la información; </w:t>
      </w: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b/>
          <w:i/>
          <w:color w:val="000000"/>
          <w:sz w:val="22"/>
          <w:szCs w:val="22"/>
          <w:u w:val="single"/>
        </w:rPr>
        <w:t>II. Expedirá una resolución que confirme la inexistencia del documento; </w:t>
      </w: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i/>
          <w:color w:val="000000"/>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b/>
          <w:i/>
          <w:color w:val="000000"/>
          <w:sz w:val="22"/>
          <w:szCs w:val="22"/>
          <w:u w:val="single"/>
        </w:rPr>
        <w:t>IV. Notificará al órgano interno de control o equivalente del sujeto obligado quien, en su caso, deberá iniciar el procedimiento de responsabilidad administrativa que corresponda.</w:t>
      </w:r>
    </w:p>
    <w:p w:rsidR="00605FE4" w:rsidRPr="00B97F5F" w:rsidRDefault="00605FE4">
      <w:pPr>
        <w:spacing w:line="276" w:lineRule="auto"/>
        <w:rPr>
          <w:color w:val="000000"/>
        </w:rPr>
      </w:pPr>
    </w:p>
    <w:p w:rsidR="00605FE4" w:rsidRPr="00B97F5F" w:rsidRDefault="00DF210D">
      <w:pPr>
        <w:pBdr>
          <w:top w:val="nil"/>
          <w:left w:val="nil"/>
          <w:bottom w:val="nil"/>
          <w:right w:val="nil"/>
          <w:between w:val="nil"/>
        </w:pBdr>
        <w:spacing w:line="276" w:lineRule="auto"/>
        <w:ind w:left="567" w:right="539"/>
        <w:jc w:val="both"/>
        <w:rPr>
          <w:color w:val="000000"/>
        </w:rPr>
      </w:pPr>
      <w:r w:rsidRPr="00B97F5F">
        <w:rPr>
          <w:rFonts w:ascii="Palatino Linotype" w:eastAsia="Palatino Linotype" w:hAnsi="Palatino Linotype" w:cs="Palatino Linotype"/>
          <w:b/>
          <w:i/>
          <w:color w:val="000000"/>
          <w:sz w:val="22"/>
          <w:szCs w:val="22"/>
        </w:rPr>
        <w:t>Artículo 170.</w:t>
      </w:r>
      <w:r w:rsidRPr="00B97F5F">
        <w:rPr>
          <w:rFonts w:ascii="Palatino Linotype" w:eastAsia="Palatino Linotype" w:hAnsi="Palatino Linotype" w:cs="Palatino Linotype"/>
          <w:i/>
          <w:color w:val="000000"/>
          <w:sz w:val="22"/>
          <w:szCs w:val="22"/>
        </w:rPr>
        <w:t xml:space="preserve"> La resolución del </w:t>
      </w:r>
      <w:r w:rsidRPr="00B97F5F">
        <w:rPr>
          <w:rFonts w:ascii="Palatino Linotype" w:eastAsia="Palatino Linotype" w:hAnsi="Palatino Linotype" w:cs="Palatino Linotype"/>
          <w:b/>
          <w:i/>
          <w:color w:val="000000"/>
          <w:sz w:val="22"/>
          <w:szCs w:val="22"/>
        </w:rPr>
        <w:t>Comité de Transparencia que confirme la inexistencia de la información solicitada</w:t>
      </w:r>
      <w:r w:rsidRPr="00B97F5F">
        <w:rPr>
          <w:rFonts w:ascii="Palatino Linotype" w:eastAsia="Palatino Linotype" w:hAnsi="Palatino Linotype" w:cs="Palatino Linotype"/>
          <w:i/>
          <w:color w:val="000000"/>
          <w:sz w:val="22"/>
          <w:szCs w:val="22"/>
        </w:rPr>
        <w:t xml:space="preserve">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605FE4" w:rsidRPr="00B97F5F" w:rsidRDefault="00605FE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05FE4" w:rsidRPr="00B97F5F" w:rsidRDefault="00DF210D">
      <w:pPr>
        <w:spacing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Lo anterior, como se precisa, resulta necesario ya que el Acuerdo de Inexistencia emitido por el Comité de Transparencia, da certeza de las razones o motivos por las cuales no se localizó la información y del proceso realizado para localizar la misma, </w:t>
      </w:r>
      <w:r w:rsidRPr="00B97F5F">
        <w:rPr>
          <w:rFonts w:ascii="Palatino Linotype" w:eastAsia="Palatino Linotype" w:hAnsi="Palatino Linotype" w:cs="Palatino Linotype"/>
        </w:rPr>
        <w:lastRenderedPageBreak/>
        <w:t xml:space="preserve">acreditando en un primer momento la búsqueda exhaustiva y razonable de la información en las áreas administrativas, lo cual constará mediante los oficios emitidos y las respuestas por parte de los servidores públicos de las áreas correspondientes. </w:t>
      </w:r>
    </w:p>
    <w:p w:rsidR="00605FE4" w:rsidRPr="00B97F5F" w:rsidRDefault="00605FE4">
      <w:pPr>
        <w:spacing w:line="360" w:lineRule="auto"/>
        <w:jc w:val="both"/>
        <w:rPr>
          <w:rFonts w:ascii="Palatino Linotype" w:eastAsia="Palatino Linotype" w:hAnsi="Palatino Linotype" w:cs="Palatino Linotype"/>
        </w:rPr>
      </w:pPr>
    </w:p>
    <w:p w:rsidR="00605FE4" w:rsidRPr="00B97F5F" w:rsidRDefault="00DF210D">
      <w:pPr>
        <w:shd w:val="clear" w:color="auto" w:fill="FFFFFF"/>
        <w:spacing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 xml:space="preserve">Asimismo, resulta aplicable el Criterio reiterado número </w:t>
      </w:r>
      <w:r w:rsidRPr="00B97F5F">
        <w:rPr>
          <w:rFonts w:ascii="Palatino Linotype" w:eastAsia="Palatino Linotype" w:hAnsi="Palatino Linotype" w:cs="Palatino Linotype"/>
          <w:b/>
        </w:rPr>
        <w:t>08/19</w:t>
      </w:r>
      <w:r w:rsidRPr="00B97F5F">
        <w:rPr>
          <w:rFonts w:ascii="Palatino Linotype" w:eastAsia="Palatino Linotype" w:hAnsi="Palatino Linotype" w:cs="Palatino Linotype"/>
        </w:rPr>
        <w:t xml:space="preserve"> emitido por Acuerdo del Pleno del Instituto de Transparencia y Acceso a la Información Pública del Estado de México y Municipios, que precisa:</w:t>
      </w:r>
    </w:p>
    <w:p w:rsidR="00605FE4" w:rsidRPr="00B97F5F" w:rsidRDefault="00605FE4">
      <w:pPr>
        <w:shd w:val="clear" w:color="auto" w:fill="FFFFFF"/>
        <w:jc w:val="both"/>
        <w:rPr>
          <w:rFonts w:ascii="Palatino Linotype" w:eastAsia="Palatino Linotype" w:hAnsi="Palatino Linotype" w:cs="Palatino Linotype"/>
        </w:rPr>
      </w:pPr>
    </w:p>
    <w:p w:rsidR="00605FE4" w:rsidRPr="00B97F5F" w:rsidRDefault="00DF210D">
      <w:pPr>
        <w:shd w:val="clear" w:color="auto" w:fill="FFFFFF"/>
        <w:ind w:left="851" w:right="902"/>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b/>
          <w:i/>
          <w:sz w:val="22"/>
          <w:szCs w:val="22"/>
        </w:rPr>
        <w:t>“INEXISTENCIA DE LA INFORMACIÓN. SUPUESTOS PARA EMITIR LA RESOLUCIÓN DE LA</w:t>
      </w:r>
      <w:r w:rsidRPr="00B97F5F">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B97F5F">
        <w:rPr>
          <w:rFonts w:ascii="Palatino Linotype" w:eastAsia="Palatino Linotype" w:hAnsi="Palatino Linotype" w:cs="Palatino Linotype"/>
          <w:b/>
          <w:i/>
          <w:sz w:val="22"/>
          <w:szCs w:val="22"/>
        </w:rPr>
        <w:t>”</w:t>
      </w:r>
    </w:p>
    <w:p w:rsidR="00605FE4" w:rsidRPr="00B97F5F" w:rsidRDefault="00DF210D">
      <w:pPr>
        <w:shd w:val="clear" w:color="auto" w:fill="FFFFFF"/>
        <w:ind w:right="902" w:firstLine="851"/>
        <w:jc w:val="both"/>
        <w:rPr>
          <w:rFonts w:ascii="Palatino Linotype" w:eastAsia="Palatino Linotype" w:hAnsi="Palatino Linotype" w:cs="Palatino Linotype"/>
          <w:i/>
          <w:sz w:val="22"/>
          <w:szCs w:val="22"/>
        </w:rPr>
      </w:pPr>
      <w:r w:rsidRPr="00B97F5F">
        <w:rPr>
          <w:rFonts w:ascii="Palatino Linotype" w:eastAsia="Palatino Linotype" w:hAnsi="Palatino Linotype" w:cs="Palatino Linotype"/>
          <w:i/>
          <w:sz w:val="22"/>
          <w:szCs w:val="22"/>
        </w:rPr>
        <w:t>(Énfasis añadido)</w:t>
      </w:r>
    </w:p>
    <w:p w:rsidR="00605FE4" w:rsidRPr="00B97F5F" w:rsidRDefault="00605FE4">
      <w:pPr>
        <w:spacing w:line="360" w:lineRule="auto"/>
        <w:jc w:val="both"/>
        <w:rPr>
          <w:rFonts w:ascii="Palatino Linotype" w:eastAsia="Palatino Linotype" w:hAnsi="Palatino Linotype" w:cs="Palatino Linotype"/>
          <w:i/>
          <w:sz w:val="22"/>
          <w:szCs w:val="22"/>
        </w:rPr>
      </w:pPr>
    </w:p>
    <w:p w:rsidR="00605FE4" w:rsidRPr="00B97F5F" w:rsidRDefault="00DF210D">
      <w:pPr>
        <w:spacing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lastRenderedPageBreak/>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rsidR="00605FE4" w:rsidRPr="00B97F5F" w:rsidRDefault="00605FE4">
      <w:pPr>
        <w:spacing w:line="360" w:lineRule="auto"/>
        <w:jc w:val="both"/>
        <w:rPr>
          <w:rFonts w:ascii="Palatino Linotype" w:eastAsia="Palatino Linotype" w:hAnsi="Palatino Linotype" w:cs="Palatino Linotype"/>
        </w:rPr>
      </w:pPr>
    </w:p>
    <w:p w:rsidR="00605FE4" w:rsidRPr="00B97F5F" w:rsidRDefault="00DF210D">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B97F5F">
        <w:rPr>
          <w:rFonts w:ascii="Palatino Linotype" w:eastAsia="Palatino Linotype" w:hAnsi="Palatino Linotype" w:cs="Palatino Linotype"/>
          <w:color w:val="000000"/>
        </w:rPr>
        <w:t xml:space="preserve">Conforme a lo anterior, el </w:t>
      </w:r>
      <w:r w:rsidRPr="00B97F5F">
        <w:rPr>
          <w:rFonts w:ascii="Palatino Linotype" w:eastAsia="Palatino Linotype" w:hAnsi="Palatino Linotype" w:cs="Palatino Linotype"/>
          <w:b/>
          <w:color w:val="000000"/>
        </w:rPr>
        <w:t>SUJETO OBLIGADO</w:t>
      </w:r>
      <w:r w:rsidRPr="00B97F5F">
        <w:rPr>
          <w:rFonts w:ascii="Palatino Linotype" w:eastAsia="Palatino Linotype" w:hAnsi="Palatino Linotype" w:cs="Palatino Linotype"/>
          <w:color w:val="000000"/>
        </w:rPr>
        <w:t xml:space="preserve"> además de entregar el Acuerdo de Inexistencia al Particular, en donde se señale de manera oportuna los elementos mínimos que den certeza sobre la inexistencia de la información, deberá dar vista a su órgano interno de control, a fin de iniciar con el procedimiento de responsabilidad que corresponda.</w:t>
      </w:r>
    </w:p>
    <w:p w:rsidR="00605FE4" w:rsidRPr="00B97F5F" w:rsidRDefault="00DF210D">
      <w:pPr>
        <w:pBdr>
          <w:top w:val="nil"/>
          <w:left w:val="nil"/>
          <w:bottom w:val="nil"/>
          <w:right w:val="nil"/>
          <w:between w:val="nil"/>
        </w:pBdr>
        <w:spacing w:before="240" w:after="240" w:line="360" w:lineRule="auto"/>
        <w:jc w:val="both"/>
        <w:rPr>
          <w:color w:val="000000"/>
        </w:rPr>
      </w:pPr>
      <w:r w:rsidRPr="00B97F5F">
        <w:rPr>
          <w:rFonts w:ascii="Palatino Linotype" w:eastAsia="Palatino Linotype" w:hAnsi="Palatino Linotype" w:cs="Palatino Linotype"/>
          <w:color w:val="000000"/>
        </w:rPr>
        <w:t xml:space="preserve">En mérito de lo expuesto en líneas anteriores, resultan fundadas las razones o motivos de inconformidad hechos valer por la parte </w:t>
      </w:r>
      <w:r w:rsidRPr="00B97F5F">
        <w:rPr>
          <w:rFonts w:ascii="Palatino Linotype" w:eastAsia="Palatino Linotype" w:hAnsi="Palatino Linotype" w:cs="Palatino Linotype"/>
          <w:b/>
          <w:color w:val="000000"/>
        </w:rPr>
        <w:t>RECURRENTE</w:t>
      </w:r>
      <w:r w:rsidRPr="00B97F5F">
        <w:rPr>
          <w:rFonts w:ascii="Palatino Linotype" w:eastAsia="Palatino Linotype" w:hAnsi="Palatino Linotype" w:cs="Palatino Linotype"/>
          <w:color w:val="000000"/>
        </w:rPr>
        <w:t xml:space="preserve"> en el recurso de revisión </w:t>
      </w:r>
      <w:r w:rsidRPr="00B97F5F">
        <w:rPr>
          <w:rFonts w:ascii="Palatino Linotype" w:eastAsia="Palatino Linotype" w:hAnsi="Palatino Linotype" w:cs="Palatino Linotype"/>
          <w:b/>
          <w:color w:val="000000"/>
        </w:rPr>
        <w:t>05529/INFOEM/IP/RR/2022</w:t>
      </w:r>
      <w:r w:rsidRPr="00B97F5F">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00911C24" w:rsidRPr="00B97F5F">
        <w:rPr>
          <w:rFonts w:ascii="Palatino Linotype" w:eastAsia="Palatino Linotype" w:hAnsi="Palatino Linotype" w:cs="Palatino Linotype"/>
          <w:b/>
          <w:color w:val="000000"/>
        </w:rPr>
        <w:t>MODIFICA</w:t>
      </w:r>
      <w:r w:rsidRPr="00B97F5F">
        <w:rPr>
          <w:rFonts w:ascii="Palatino Linotype" w:eastAsia="Palatino Linotype" w:hAnsi="Palatino Linotype" w:cs="Palatino Linotype"/>
          <w:b/>
          <w:color w:val="000000"/>
        </w:rPr>
        <w:t xml:space="preserve"> </w:t>
      </w:r>
      <w:r w:rsidRPr="00B97F5F">
        <w:rPr>
          <w:rFonts w:ascii="Palatino Linotype" w:eastAsia="Palatino Linotype" w:hAnsi="Palatino Linotype" w:cs="Palatino Linotype"/>
          <w:color w:val="000000"/>
        </w:rPr>
        <w:t xml:space="preserve">la respuesta del </w:t>
      </w:r>
      <w:r w:rsidRPr="00B97F5F">
        <w:rPr>
          <w:rFonts w:ascii="Palatino Linotype" w:eastAsia="Palatino Linotype" w:hAnsi="Palatino Linotype" w:cs="Palatino Linotype"/>
          <w:b/>
          <w:color w:val="000000"/>
        </w:rPr>
        <w:t xml:space="preserve">SUJETO OBLIGADO. </w:t>
      </w:r>
    </w:p>
    <w:p w:rsidR="00605FE4" w:rsidRPr="00B97F5F" w:rsidRDefault="00DF210D">
      <w:pPr>
        <w:spacing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605FE4" w:rsidRPr="00B97F5F" w:rsidRDefault="00DF210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97F5F">
        <w:rPr>
          <w:rFonts w:ascii="Palatino Linotype" w:eastAsia="Palatino Linotype" w:hAnsi="Palatino Linotype" w:cs="Palatino Linotype"/>
          <w:b/>
        </w:rPr>
        <w:lastRenderedPageBreak/>
        <w:t>III. R E S U E L V E:</w:t>
      </w:r>
    </w:p>
    <w:p w:rsidR="00605FE4" w:rsidRPr="00B97F5F" w:rsidRDefault="00DF210D">
      <w:pPr>
        <w:pBdr>
          <w:top w:val="nil"/>
          <w:left w:val="nil"/>
          <w:bottom w:val="nil"/>
          <w:right w:val="nil"/>
          <w:between w:val="nil"/>
        </w:pBdr>
        <w:spacing w:before="240" w:after="240" w:line="360" w:lineRule="auto"/>
        <w:ind w:right="49"/>
        <w:jc w:val="both"/>
        <w:rPr>
          <w:color w:val="000000"/>
        </w:rPr>
      </w:pPr>
      <w:bookmarkStart w:id="6" w:name="_heading=h.3dy6vkm" w:colFirst="0" w:colLast="0"/>
      <w:bookmarkEnd w:id="6"/>
      <w:r w:rsidRPr="00B97F5F">
        <w:rPr>
          <w:rFonts w:ascii="Palatino Linotype" w:eastAsia="Palatino Linotype" w:hAnsi="Palatino Linotype" w:cs="Palatino Linotype"/>
          <w:b/>
        </w:rPr>
        <w:t xml:space="preserve">Primero. </w:t>
      </w:r>
      <w:r w:rsidRPr="00B97F5F">
        <w:rPr>
          <w:rFonts w:ascii="Palatino Linotype" w:eastAsia="Palatino Linotype" w:hAnsi="Palatino Linotype" w:cs="Palatino Linotype"/>
        </w:rPr>
        <w:t xml:space="preserve">Son  </w:t>
      </w:r>
      <w:r w:rsidRPr="00B97F5F">
        <w:rPr>
          <w:rFonts w:ascii="Palatino Linotype" w:eastAsia="Palatino Linotype" w:hAnsi="Palatino Linotype" w:cs="Palatino Linotype"/>
          <w:b/>
        </w:rPr>
        <w:t>fundadas</w:t>
      </w:r>
      <w:r w:rsidRPr="00B97F5F">
        <w:rPr>
          <w:rFonts w:ascii="Palatino Linotype" w:eastAsia="Palatino Linotype" w:hAnsi="Palatino Linotype" w:cs="Palatino Linotype"/>
        </w:rPr>
        <w:t xml:space="preserve"> las razones o motivos de inconformidad hechos valer por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en el recurso de revisión </w:t>
      </w:r>
      <w:r w:rsidRPr="00B97F5F">
        <w:rPr>
          <w:rFonts w:ascii="Palatino Linotype" w:eastAsia="Palatino Linotype" w:hAnsi="Palatino Linotype" w:cs="Palatino Linotype"/>
          <w:b/>
        </w:rPr>
        <w:t>05529/INFOEM/IP/RR/2022,</w:t>
      </w:r>
      <w:r w:rsidRPr="00B97F5F">
        <w:rPr>
          <w:rFonts w:ascii="Palatino Linotype" w:eastAsia="Palatino Linotype" w:hAnsi="Palatino Linotype" w:cs="Palatino Linotype"/>
        </w:rPr>
        <w:t xml:space="preserve"> por lo que, </w:t>
      </w:r>
      <w:r w:rsidRPr="00B97F5F">
        <w:rPr>
          <w:rFonts w:ascii="Palatino Linotype" w:eastAsia="Palatino Linotype" w:hAnsi="Palatino Linotype" w:cs="Palatino Linotype"/>
          <w:color w:val="222222"/>
        </w:rPr>
        <w:t xml:space="preserve">por lo que, en términos del Considerando Cuarto de esta resolución, se </w:t>
      </w:r>
      <w:r w:rsidR="00911C24" w:rsidRPr="00B97F5F">
        <w:rPr>
          <w:rFonts w:ascii="Palatino Linotype" w:eastAsia="Palatino Linotype" w:hAnsi="Palatino Linotype" w:cs="Palatino Linotype"/>
          <w:b/>
          <w:color w:val="222222"/>
        </w:rPr>
        <w:t xml:space="preserve">MODIFICA </w:t>
      </w:r>
      <w:r w:rsidRPr="00B97F5F">
        <w:rPr>
          <w:rFonts w:ascii="Palatino Linotype" w:eastAsia="Palatino Linotype" w:hAnsi="Palatino Linotype" w:cs="Palatino Linotype"/>
          <w:color w:val="222222"/>
        </w:rPr>
        <w:t xml:space="preserve">la respuesta del </w:t>
      </w:r>
      <w:r w:rsidRPr="00B97F5F">
        <w:rPr>
          <w:rFonts w:ascii="Palatino Linotype" w:eastAsia="Palatino Linotype" w:hAnsi="Palatino Linotype" w:cs="Palatino Linotype"/>
          <w:b/>
          <w:color w:val="222222"/>
        </w:rPr>
        <w:t>SUJETO OBLIGADO.</w:t>
      </w:r>
    </w:p>
    <w:p w:rsidR="00605FE4" w:rsidRPr="00B97F5F" w:rsidRDefault="00DF210D">
      <w:pPr>
        <w:spacing w:before="240" w:after="240" w:line="360" w:lineRule="auto"/>
        <w:jc w:val="both"/>
        <w:rPr>
          <w:rFonts w:ascii="Palatino Linotype" w:eastAsia="Palatino Linotype" w:hAnsi="Palatino Linotype" w:cs="Palatino Linotype"/>
        </w:rPr>
      </w:pPr>
      <w:bookmarkStart w:id="7" w:name="_heading=h.4d34og8" w:colFirst="0" w:colLast="0"/>
      <w:bookmarkEnd w:id="7"/>
      <w:r w:rsidRPr="00B97F5F">
        <w:rPr>
          <w:rFonts w:ascii="Palatino Linotype" w:eastAsia="Palatino Linotype" w:hAnsi="Palatino Linotype" w:cs="Palatino Linotype"/>
          <w:b/>
        </w:rPr>
        <w:t xml:space="preserve">Segundo. </w:t>
      </w:r>
      <w:r w:rsidRPr="00B97F5F">
        <w:rPr>
          <w:rFonts w:ascii="Palatino Linotype" w:eastAsia="Palatino Linotype" w:hAnsi="Palatino Linotype" w:cs="Palatino Linotype"/>
        </w:rPr>
        <w:t xml:space="preserve">Se </w:t>
      </w:r>
      <w:r w:rsidRPr="00B97F5F">
        <w:rPr>
          <w:rFonts w:ascii="Palatino Linotype" w:eastAsia="Palatino Linotype" w:hAnsi="Palatino Linotype" w:cs="Palatino Linotype"/>
          <w:b/>
        </w:rPr>
        <w:t>Ordena</w:t>
      </w:r>
      <w:r w:rsidRPr="00B97F5F">
        <w:rPr>
          <w:rFonts w:ascii="Palatino Linotype" w:eastAsia="Palatino Linotype" w:hAnsi="Palatino Linotype" w:cs="Palatino Linotype"/>
        </w:rPr>
        <w:t xml:space="preserve"> al </w:t>
      </w:r>
      <w:r w:rsidRPr="00B97F5F">
        <w:rPr>
          <w:rFonts w:ascii="Palatino Linotype" w:eastAsia="Palatino Linotype" w:hAnsi="Palatino Linotype" w:cs="Palatino Linotype"/>
          <w:b/>
        </w:rPr>
        <w:t>Sujeto Obligado</w:t>
      </w:r>
      <w:r w:rsidRPr="00B97F5F">
        <w:rPr>
          <w:rFonts w:ascii="Palatino Linotype" w:eastAsia="Palatino Linotype" w:hAnsi="Palatino Linotype" w:cs="Palatino Linotype"/>
        </w:rPr>
        <w:t xml:space="preserve">, en términos del Considerando </w:t>
      </w:r>
      <w:r w:rsidRPr="00B97F5F">
        <w:rPr>
          <w:rFonts w:ascii="Palatino Linotype" w:eastAsia="Palatino Linotype" w:hAnsi="Palatino Linotype" w:cs="Palatino Linotype"/>
          <w:b/>
        </w:rPr>
        <w:t xml:space="preserve">Cuarto y </w:t>
      </w:r>
      <w:r w:rsidRPr="00B97F5F">
        <w:rPr>
          <w:rFonts w:ascii="Palatino Linotype" w:eastAsia="Palatino Linotype" w:hAnsi="Palatino Linotype" w:cs="Palatino Linotype"/>
        </w:rPr>
        <w:t>de esta resolución, haga entrega vía SAIMEX, de lo siguiente:</w:t>
      </w:r>
    </w:p>
    <w:p w:rsidR="00605FE4" w:rsidRPr="00B97F5F" w:rsidRDefault="00DF210D">
      <w:pPr>
        <w:numPr>
          <w:ilvl w:val="0"/>
          <w:numId w:val="3"/>
        </w:numPr>
        <w:pBdr>
          <w:top w:val="nil"/>
          <w:left w:val="nil"/>
          <w:bottom w:val="nil"/>
          <w:right w:val="nil"/>
          <w:between w:val="nil"/>
        </w:pBdr>
        <w:spacing w:line="276" w:lineRule="auto"/>
        <w:ind w:right="900" w:hanging="360"/>
        <w:jc w:val="both"/>
        <w:rPr>
          <w:rFonts w:ascii="Palatino Linotype" w:eastAsia="Palatino Linotype" w:hAnsi="Palatino Linotype" w:cs="Palatino Linotype"/>
          <w:color w:val="000000"/>
          <w:sz w:val="22"/>
          <w:szCs w:val="22"/>
        </w:rPr>
      </w:pPr>
      <w:r w:rsidRPr="00B97F5F">
        <w:rPr>
          <w:rFonts w:ascii="Palatino Linotype" w:eastAsia="Palatino Linotype" w:hAnsi="Palatino Linotype" w:cs="Palatino Linotype"/>
          <w:color w:val="000000"/>
          <w:sz w:val="22"/>
          <w:szCs w:val="22"/>
        </w:rPr>
        <w:t>Acuerdo de inexistencia respecto del Dictamen de adjudicación emitido por el Comité de Adquisiciones y servicios del Municipio de Jilotzingo, en donde se determinó la adjudicación a favor del Prestador respecto del contrato HAJ/DGA/CONTRATO-001/2022, en términos de lo establecido en el artículo 19, párrafo tercero, 49, fracción II, 169 y 170, de la Ley de Transparencia y Acceso a la Información Pública del Estado de México y Municipios. </w:t>
      </w:r>
    </w:p>
    <w:p w:rsidR="00605FE4" w:rsidRPr="00B97F5F" w:rsidRDefault="00DF210D">
      <w:pPr>
        <w:spacing w:before="240" w:after="240" w:line="360" w:lineRule="auto"/>
        <w:jc w:val="both"/>
        <w:rPr>
          <w:rFonts w:ascii="Palatino Linotype" w:eastAsia="Palatino Linotype" w:hAnsi="Palatino Linotype" w:cs="Palatino Linotype"/>
          <w:b/>
        </w:rPr>
      </w:pPr>
      <w:r w:rsidRPr="00B97F5F">
        <w:rPr>
          <w:rFonts w:ascii="Palatino Linotype" w:eastAsia="Palatino Linotype" w:hAnsi="Palatino Linotype" w:cs="Palatino Linotype"/>
          <w:b/>
        </w:rPr>
        <w:t xml:space="preserve">Tercero. Notifíquese, </w:t>
      </w:r>
      <w:r w:rsidRPr="00B97F5F">
        <w:rPr>
          <w:rFonts w:ascii="Palatino Linotype" w:eastAsia="Palatino Linotype" w:hAnsi="Palatino Linotype" w:cs="Palatino Linotype"/>
        </w:rPr>
        <w:t xml:space="preserve">vía </w:t>
      </w:r>
      <w:r w:rsidRPr="00B97F5F">
        <w:rPr>
          <w:rFonts w:ascii="Palatino Linotype" w:eastAsia="Palatino Linotype" w:hAnsi="Palatino Linotype" w:cs="Palatino Linotype"/>
          <w:b/>
        </w:rPr>
        <w:t xml:space="preserve">SAIMEX, </w:t>
      </w:r>
      <w:r w:rsidRPr="00B97F5F">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B97F5F">
        <w:rPr>
          <w:rFonts w:ascii="Palatino Linotype" w:eastAsia="Palatino Linotype" w:hAnsi="Palatino Linotype" w:cs="Palatino Linotype"/>
          <w:b/>
        </w:rPr>
        <w:t>.</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05FE4" w:rsidRPr="00B97F5F" w:rsidRDefault="00DF210D">
      <w:pPr>
        <w:spacing w:before="240" w:after="240" w:line="360" w:lineRule="auto"/>
        <w:jc w:val="both"/>
        <w:rPr>
          <w:rFonts w:ascii="Palatino Linotype" w:eastAsia="Palatino Linotype" w:hAnsi="Palatino Linotype" w:cs="Palatino Linotype"/>
        </w:rPr>
      </w:pPr>
      <w:r w:rsidRPr="00B97F5F">
        <w:rPr>
          <w:rFonts w:ascii="Palatino Linotype" w:eastAsia="Palatino Linotype" w:hAnsi="Palatino Linotype" w:cs="Palatino Linotype"/>
          <w:b/>
        </w:rPr>
        <w:lastRenderedPageBreak/>
        <w:t xml:space="preserve">Cuarto.  Notifíquese, </w:t>
      </w:r>
      <w:r w:rsidRPr="00B97F5F">
        <w:rPr>
          <w:rFonts w:ascii="Palatino Linotype" w:eastAsia="Palatino Linotype" w:hAnsi="Palatino Linotype" w:cs="Palatino Linotype"/>
        </w:rPr>
        <w:t xml:space="preserve">vía </w:t>
      </w:r>
      <w:r w:rsidRPr="00B97F5F">
        <w:rPr>
          <w:rFonts w:ascii="Palatino Linotype" w:eastAsia="Palatino Linotype" w:hAnsi="Palatino Linotype" w:cs="Palatino Linotype"/>
          <w:b/>
        </w:rPr>
        <w:t>SAIMEX</w:t>
      </w:r>
      <w:r w:rsidRPr="00B97F5F">
        <w:rPr>
          <w:rFonts w:ascii="Palatino Linotype" w:eastAsia="Palatino Linotype" w:hAnsi="Palatino Linotype" w:cs="Palatino Linotype"/>
        </w:rPr>
        <w:t xml:space="preserve">, a la parte </w:t>
      </w:r>
      <w:r w:rsidRPr="00B97F5F">
        <w:rPr>
          <w:rFonts w:ascii="Palatino Linotype" w:eastAsia="Palatino Linotype" w:hAnsi="Palatino Linotype" w:cs="Palatino Linotype"/>
          <w:b/>
        </w:rPr>
        <w:t>Recurrente</w:t>
      </w:r>
      <w:r w:rsidRPr="00B97F5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05FE4" w:rsidRDefault="00DF210D">
      <w:pPr>
        <w:spacing w:line="360" w:lineRule="auto"/>
        <w:jc w:val="both"/>
        <w:rPr>
          <w:rFonts w:ascii="Palatino Linotype" w:eastAsia="Palatino Linotype" w:hAnsi="Palatino Linotype" w:cs="Palatino Linotype"/>
        </w:rPr>
      </w:pPr>
      <w:bookmarkStart w:id="8" w:name="_heading=h.gjdgxs" w:colFirst="0" w:colLast="0"/>
      <w:bookmarkEnd w:id="8"/>
      <w:r w:rsidRPr="00B97F5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w:t>
      </w:r>
      <w:bookmarkStart w:id="9" w:name="_GoBack"/>
      <w:bookmarkEnd w:id="9"/>
      <w:r w:rsidRPr="00B97F5F">
        <w:rPr>
          <w:rFonts w:ascii="Palatino Linotype" w:eastAsia="Palatino Linotype" w:hAnsi="Palatino Linotype" w:cs="Palatino Linotype"/>
        </w:rPr>
        <w:t>ILCHIS, MARÍA DEL ROSARIO MEJÍA AYALA, SHARON CRISTINA MORALES MARTÍNEZ, LUIS GUSTAVO PARRA NORIEGA Y GUADALUPE RAMÍREZ PEÑA; EN LA TRIGÉSIMA SEGUNDA SESIÓN ORDINARIA CELEBRADA EL SIETE DE SEPTIEMBRE DE  DOS MIL VEINTIDÓS, ANTE EL SECRETARIO TÉCNICO DEL PLENO ALEXIS TAPIA RAMÍREZ.</w:t>
      </w:r>
    </w:p>
    <w:p w:rsidR="00605FE4" w:rsidRDefault="00605FE4">
      <w:pPr>
        <w:spacing w:line="360" w:lineRule="auto"/>
        <w:jc w:val="both"/>
        <w:rPr>
          <w:rFonts w:ascii="Palatino Linotype" w:eastAsia="Palatino Linotype" w:hAnsi="Palatino Linotype" w:cs="Palatino Linotype"/>
        </w:rPr>
      </w:pPr>
    </w:p>
    <w:p w:rsidR="00605FE4" w:rsidRDefault="00605FE4">
      <w:pPr>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pPr>
        <w:spacing w:line="360" w:lineRule="auto"/>
        <w:jc w:val="both"/>
        <w:rPr>
          <w:rFonts w:ascii="Palatino Linotype" w:eastAsia="Palatino Linotype" w:hAnsi="Palatino Linotype" w:cs="Palatino Linotype"/>
        </w:rPr>
      </w:pPr>
    </w:p>
    <w:p w:rsidR="00605FE4" w:rsidRDefault="00605FE4"/>
    <w:sectPr w:rsidR="00605FE4">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3AD" w:rsidRDefault="001103AD">
      <w:r>
        <w:separator/>
      </w:r>
    </w:p>
  </w:endnote>
  <w:endnote w:type="continuationSeparator" w:id="0">
    <w:p w:rsidR="001103AD" w:rsidRDefault="00110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E4" w:rsidRDefault="00DF21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25B8">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25B8">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605FE4" w:rsidRDefault="00605FE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E4" w:rsidRDefault="00DF21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C25B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C25B8">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605FE4" w:rsidRDefault="00605FE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3AD" w:rsidRDefault="001103AD">
      <w:r>
        <w:separator/>
      </w:r>
    </w:p>
  </w:footnote>
  <w:footnote w:type="continuationSeparator" w:id="0">
    <w:p w:rsidR="001103AD" w:rsidRDefault="001103AD">
      <w:r>
        <w:continuationSeparator/>
      </w:r>
    </w:p>
  </w:footnote>
  <w:footnote w:id="1">
    <w:p w:rsidR="00605FE4" w:rsidRDefault="00DF210D">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605FE4" w:rsidRDefault="00DF210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E4" w:rsidRDefault="00DF210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-1080129</wp:posOffset>
          </wp:positionH>
          <wp:positionV relativeFrom="paragraph">
            <wp:posOffset>-488309</wp:posOffset>
          </wp:positionV>
          <wp:extent cx="7809865" cy="1016571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605FE4">
      <w:tc>
        <w:tcPr>
          <w:tcW w:w="2489" w:type="dxa"/>
          <w:shd w:val="clear" w:color="auto" w:fill="auto"/>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05FE4" w:rsidRDefault="00DF210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05529/INFOEM/IP/RR/2022</w:t>
          </w:r>
        </w:p>
      </w:tc>
    </w:tr>
    <w:tr w:rsidR="00605FE4">
      <w:trPr>
        <w:trHeight w:val="228"/>
      </w:trPr>
      <w:tc>
        <w:tcPr>
          <w:tcW w:w="2489" w:type="dxa"/>
          <w:shd w:val="clear" w:color="auto" w:fill="auto"/>
          <w:vAlign w:val="center"/>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05FE4" w:rsidRDefault="00DF210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Jilotzingo. </w:t>
          </w:r>
        </w:p>
      </w:tc>
    </w:tr>
    <w:tr w:rsidR="00605FE4">
      <w:tc>
        <w:tcPr>
          <w:tcW w:w="2489" w:type="dxa"/>
          <w:shd w:val="clear" w:color="auto" w:fill="auto"/>
          <w:vAlign w:val="center"/>
        </w:tcPr>
        <w:p w:rsidR="00605FE4" w:rsidRDefault="00DF210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05FE4" w:rsidRDefault="00DF210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05FE4" w:rsidRDefault="00DF210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E4" w:rsidRDefault="00605F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5670" w:type="dxa"/>
      <w:tblInd w:w="3261" w:type="dxa"/>
      <w:tblLayout w:type="fixed"/>
      <w:tblLook w:val="0400" w:firstRow="0" w:lastRow="0" w:firstColumn="0" w:lastColumn="0" w:noHBand="0" w:noVBand="1"/>
    </w:tblPr>
    <w:tblGrid>
      <w:gridCol w:w="2551"/>
      <w:gridCol w:w="3119"/>
    </w:tblGrid>
    <w:tr w:rsidR="00605FE4">
      <w:tc>
        <w:tcPr>
          <w:tcW w:w="2551" w:type="dxa"/>
          <w:shd w:val="clear" w:color="auto" w:fill="auto"/>
          <w:vAlign w:val="center"/>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05FE4" w:rsidRDefault="00DF210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05529/INFOEM/IP/RR/2022</w:t>
          </w:r>
        </w:p>
      </w:tc>
    </w:tr>
    <w:tr w:rsidR="00605FE4">
      <w:trPr>
        <w:trHeight w:val="130"/>
      </w:trPr>
      <w:tc>
        <w:tcPr>
          <w:tcW w:w="2551" w:type="dxa"/>
          <w:shd w:val="clear" w:color="auto" w:fill="auto"/>
          <w:vAlign w:val="center"/>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05FE4" w:rsidRDefault="00FF04F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w:t>
          </w:r>
          <w:r w:rsidR="00DF210D">
            <w:rPr>
              <w:rFonts w:ascii="Palatino Linotype" w:eastAsia="Palatino Linotype" w:hAnsi="Palatino Linotype" w:cs="Palatino Linotype"/>
              <w:b/>
              <w:sz w:val="22"/>
              <w:szCs w:val="22"/>
            </w:rPr>
            <w:t xml:space="preserve">.  </w:t>
          </w:r>
        </w:p>
      </w:tc>
    </w:tr>
    <w:tr w:rsidR="00605FE4">
      <w:trPr>
        <w:trHeight w:val="228"/>
      </w:trPr>
      <w:tc>
        <w:tcPr>
          <w:tcW w:w="2551" w:type="dxa"/>
          <w:shd w:val="clear" w:color="auto" w:fill="auto"/>
          <w:vAlign w:val="center"/>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05FE4" w:rsidRDefault="00DF210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Jilotzingo. </w:t>
          </w:r>
        </w:p>
      </w:tc>
    </w:tr>
    <w:tr w:rsidR="00605FE4">
      <w:tc>
        <w:tcPr>
          <w:tcW w:w="2551" w:type="dxa"/>
          <w:shd w:val="clear" w:color="auto" w:fill="auto"/>
          <w:vAlign w:val="center"/>
        </w:tcPr>
        <w:p w:rsidR="00605FE4" w:rsidRDefault="00DF21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05FE4" w:rsidRDefault="00DF210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05FE4" w:rsidRDefault="00DF210D">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-1089654</wp:posOffset>
          </wp:positionH>
          <wp:positionV relativeFrom="paragraph">
            <wp:posOffset>-1169664</wp:posOffset>
          </wp:positionV>
          <wp:extent cx="7809865" cy="10165715"/>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B214F"/>
    <w:multiLevelType w:val="multilevel"/>
    <w:tmpl w:val="0554D1DE"/>
    <w:lvl w:ilvl="0">
      <w:start w:val="1"/>
      <w:numFmt w:val="decimal"/>
      <w:pStyle w:val="Listaconvietas3"/>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50CE3809"/>
    <w:multiLevelType w:val="multilevel"/>
    <w:tmpl w:val="CB18FC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613882"/>
    <w:multiLevelType w:val="multilevel"/>
    <w:tmpl w:val="48BEE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1746498"/>
    <w:multiLevelType w:val="multilevel"/>
    <w:tmpl w:val="E01C4B5E"/>
    <w:lvl w:ilvl="0">
      <w:start w:val="3"/>
      <w:numFmt w:val="bullet"/>
      <w:lvlText w:val="-"/>
      <w:lvlJc w:val="left"/>
      <w:pPr>
        <w:ind w:left="1353" w:hanging="359"/>
      </w:pPr>
      <w:rPr>
        <w:rFonts w:ascii="Palatino Linotype" w:eastAsia="Palatino Linotype" w:hAnsi="Palatino Linotype" w:cs="Palatino Linotype"/>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FE4"/>
    <w:rsid w:val="00076BEF"/>
    <w:rsid w:val="001103AD"/>
    <w:rsid w:val="00605FE4"/>
    <w:rsid w:val="00911C24"/>
    <w:rsid w:val="009C25B8"/>
    <w:rsid w:val="00B97F5F"/>
    <w:rsid w:val="00DF210D"/>
    <w:rsid w:val="00FB520F"/>
    <w:rsid w:val="00FF04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F0E39C-320C-43AC-B333-A69E19CC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63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Listaconvietas3">
    <w:name w:val="List Bullet 3"/>
    <w:basedOn w:val="Normal"/>
    <w:uiPriority w:val="99"/>
    <w:unhideWhenUsed/>
    <w:rsid w:val="00F1663C"/>
    <w:pPr>
      <w:numPr>
        <w:numId w:val="2"/>
      </w:numPr>
      <w:contextualSpacing/>
    </w:pPr>
  </w:style>
  <w:style w:type="paragraph" w:styleId="Encabezado">
    <w:name w:val="header"/>
    <w:basedOn w:val="Normal"/>
    <w:link w:val="EncabezadoCar"/>
    <w:uiPriority w:val="99"/>
    <w:unhideWhenUsed/>
    <w:rsid w:val="00F1663C"/>
    <w:pPr>
      <w:tabs>
        <w:tab w:val="center" w:pos="4419"/>
        <w:tab w:val="right" w:pos="8838"/>
      </w:tabs>
    </w:pPr>
  </w:style>
  <w:style w:type="character" w:customStyle="1" w:styleId="EncabezadoCar">
    <w:name w:val="Encabezado Car"/>
    <w:basedOn w:val="Fuentedeprrafopredeter"/>
    <w:link w:val="Encabezado"/>
    <w:uiPriority w:val="99"/>
    <w:rsid w:val="00F1663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1663C"/>
    <w:pPr>
      <w:tabs>
        <w:tab w:val="center" w:pos="4419"/>
        <w:tab w:val="right" w:pos="8838"/>
      </w:tabs>
    </w:pPr>
  </w:style>
  <w:style w:type="character" w:customStyle="1" w:styleId="PiedepginaCar">
    <w:name w:val="Pie de página Car"/>
    <w:basedOn w:val="Fuentedeprrafopredeter"/>
    <w:link w:val="Piedepgina"/>
    <w:uiPriority w:val="99"/>
    <w:rsid w:val="00F1663C"/>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321E6"/>
    <w:pPr>
      <w:ind w:left="720"/>
      <w:contextualSpacing/>
    </w:pPr>
  </w:style>
  <w:style w:type="paragraph" w:styleId="NormalWeb">
    <w:name w:val="Normal (Web)"/>
    <w:basedOn w:val="Normal"/>
    <w:uiPriority w:val="99"/>
    <w:semiHidden/>
    <w:unhideWhenUsed/>
    <w:rsid w:val="0089665D"/>
    <w:pPr>
      <w:spacing w:before="100" w:beforeAutospacing="1" w:after="100" w:afterAutospacing="1"/>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ieV7PHcqYwLCR4Q4chHlXiOhaw==">AMUW2mVHCGeQSkS4BrLUZtHkdFhfnR7mkNuYrjifRPwGwcLCCJ0Sikn1fkuDEFpceA9IKOecUFy01e7YG587ZgdQUGCxlThdgk/+R/fjn/zwmnTz1p4FWGRtYLxSKlzU3WXVha3cacO0NCg9CxCNhCkhsh2G/k9ruT+6Ijlpghijfv9nd/eh9ehU+edL9YyvFqUPVB9PpFrwDoIsvAOC/R95Qa2P1eYfgG5sWwq7/uPr/9JYMoPU8wX9QhOH8G/uAwyYdXfQ/pQx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6750</Words>
  <Characters>37129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4</cp:revision>
  <dcterms:created xsi:type="dcterms:W3CDTF">2022-09-21T18:10:00Z</dcterms:created>
  <dcterms:modified xsi:type="dcterms:W3CDTF">2022-09-26T20:20:00Z</dcterms:modified>
</cp:coreProperties>
</file>