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w:t>
      </w:r>
      <w:r w:rsidR="00596DF7">
        <w:rPr>
          <w:rFonts w:ascii="Palatino Linotype" w:eastAsia="Palatino Linotype" w:hAnsi="Palatino Linotype" w:cs="Palatino Linotype"/>
        </w:rPr>
        <w:t>stado de México, de fecha siete de septiembre</w:t>
      </w:r>
      <w:r>
        <w:rPr>
          <w:rFonts w:ascii="Palatino Linotype" w:eastAsia="Palatino Linotype" w:hAnsi="Palatino Linotype" w:cs="Palatino Linotype"/>
        </w:rPr>
        <w:t xml:space="preserve"> del dos mil veintidós. </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sidR="00596DF7">
        <w:rPr>
          <w:rFonts w:ascii="Palatino Linotype" w:eastAsia="Palatino Linotype" w:hAnsi="Palatino Linotype" w:cs="Palatino Linotype"/>
          <w:b/>
        </w:rPr>
        <w:t>06669</w:t>
      </w:r>
      <w:r>
        <w:rPr>
          <w:rFonts w:ascii="Palatino Linotype" w:eastAsia="Palatino Linotype" w:hAnsi="Palatino Linotype" w:cs="Palatino Linotype"/>
          <w:b/>
        </w:rPr>
        <w:t>/INFOEM/IP/RR/2022</w:t>
      </w:r>
      <w:r>
        <w:rPr>
          <w:rFonts w:ascii="Palatino Linotype" w:eastAsia="Palatino Linotype" w:hAnsi="Palatino Linotype" w:cs="Palatino Linotype"/>
        </w:rPr>
        <w:t xml:space="preserve">, interpuesto por </w:t>
      </w:r>
      <w:r w:rsidR="00C31D5E" w:rsidRPr="00C31D5E">
        <w:rPr>
          <w:rFonts w:ascii="Palatino Linotype" w:eastAsia="Palatino Linotype" w:hAnsi="Palatino Linotype" w:cs="Palatino Linotype"/>
          <w:b/>
        </w:rPr>
        <w:t>XXXXXX</w:t>
      </w:r>
      <w:r w:rsidR="00596DF7" w:rsidRPr="00596DF7">
        <w:rPr>
          <w:rFonts w:ascii="Palatino Linotype" w:eastAsia="Palatino Linotype" w:hAnsi="Palatino Linotype" w:cs="Palatino Linotype"/>
          <w:b/>
        </w:rPr>
        <w:t xml:space="preserve"> </w:t>
      </w:r>
      <w:r w:rsidR="00C31D5E">
        <w:rPr>
          <w:rFonts w:ascii="Palatino Linotype" w:eastAsia="Palatino Linotype" w:hAnsi="Palatino Linotype" w:cs="Palatino Linotype"/>
          <w:b/>
        </w:rPr>
        <w:t>XXXXXXXXX</w:t>
      </w:r>
      <w:r w:rsidR="00596DF7" w:rsidRPr="00596DF7">
        <w:rPr>
          <w:rFonts w:ascii="Palatino Linotype" w:eastAsia="Palatino Linotype" w:hAnsi="Palatino Linotype" w:cs="Palatino Linotype"/>
          <w:b/>
        </w:rPr>
        <w:t xml:space="preserve"> </w:t>
      </w:r>
      <w:r w:rsidR="00C31D5E">
        <w:rPr>
          <w:rFonts w:ascii="Palatino Linotype" w:eastAsia="Palatino Linotype" w:hAnsi="Palatino Linotype" w:cs="Palatino Linotype"/>
          <w:b/>
        </w:rPr>
        <w:t>XXXXXXXXX</w:t>
      </w:r>
      <w:bookmarkStart w:id="0" w:name="_GoBack"/>
      <w:bookmarkEnd w:id="0"/>
      <w:r w:rsidR="00596DF7" w:rsidRPr="00596DF7">
        <w:rPr>
          <w:rFonts w:ascii="Palatino Linotype" w:eastAsia="Palatino Linotype" w:hAnsi="Palatino Linotype" w:cs="Palatino Linotype"/>
          <w:b/>
        </w:rPr>
        <w:t>,</w:t>
      </w:r>
      <w:r w:rsidR="00596DF7">
        <w:rPr>
          <w:rFonts w:ascii="Palatino Linotype" w:eastAsia="Palatino Linotype" w:hAnsi="Palatino Linotype" w:cs="Palatino Linotype"/>
        </w:rPr>
        <w:t xml:space="preserve"> </w:t>
      </w:r>
      <w:r>
        <w:rPr>
          <w:rFonts w:ascii="Palatino Linotype" w:eastAsia="Palatino Linotype" w:hAnsi="Palatino Linotype" w:cs="Palatino Linotype"/>
        </w:rPr>
        <w:t xml:space="preserve">lo sucesivo se le denominara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contra de la respuesta a su solicitud de información con número de </w:t>
      </w:r>
      <w:r w:rsidRPr="00596DF7">
        <w:rPr>
          <w:rFonts w:ascii="Palatino Linotype" w:eastAsia="Palatino Linotype" w:hAnsi="Palatino Linotype" w:cs="Palatino Linotype"/>
        </w:rPr>
        <w:t>folio</w:t>
      </w:r>
      <w:r w:rsidRPr="00596DF7">
        <w:rPr>
          <w:rFonts w:ascii="Palatino Linotype" w:eastAsia="Palatino Linotype" w:hAnsi="Palatino Linotype" w:cs="Palatino Linotype"/>
          <w:b/>
        </w:rPr>
        <w:t xml:space="preserve"> </w:t>
      </w:r>
      <w:r w:rsidR="00596DF7" w:rsidRPr="00596DF7">
        <w:rPr>
          <w:rFonts w:ascii="Palatino Linotype" w:eastAsia="Palatino Linotype" w:hAnsi="Palatino Linotype" w:cs="Palatino Linotype"/>
          <w:b/>
        </w:rPr>
        <w:t>00084/VICARBO/IP/2022</w:t>
      </w:r>
      <w:r w:rsidRPr="00596DF7">
        <w:rPr>
          <w:rFonts w:ascii="Palatino Linotype" w:eastAsia="Palatino Linotype" w:hAnsi="Palatino Linotype" w:cs="Palatino Linotype"/>
          <w:b/>
        </w:rPr>
        <w:t>,</w:t>
      </w:r>
      <w:r>
        <w:rPr>
          <w:rFonts w:ascii="Palatino Linotype" w:eastAsia="Palatino Linotype" w:hAnsi="Palatino Linotype" w:cs="Palatino Linotype"/>
        </w:rPr>
        <w:t xml:space="preserve"> por parte del </w:t>
      </w:r>
      <w:r w:rsidR="007C20F8">
        <w:rPr>
          <w:rFonts w:ascii="Palatino Linotype" w:eastAsia="Palatino Linotype" w:hAnsi="Palatino Linotype" w:cs="Palatino Linotype"/>
          <w:b/>
        </w:rPr>
        <w:t xml:space="preserve">Ayuntamiento de </w:t>
      </w:r>
      <w:r w:rsidR="00596DF7">
        <w:rPr>
          <w:rFonts w:ascii="Palatino Linotype" w:eastAsia="Palatino Linotype" w:hAnsi="Palatino Linotype" w:cs="Palatino Linotype"/>
          <w:b/>
        </w:rPr>
        <w:t>Villa del Carbón</w:t>
      </w:r>
      <w:r>
        <w:rPr>
          <w:rFonts w:ascii="Palatino Linotype" w:eastAsia="Palatino Linotype" w:hAnsi="Palatino Linotype" w:cs="Palatino Linotype"/>
          <w:b/>
        </w:rPr>
        <w:t>,</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rsidR="0019016C" w:rsidRPr="009D1813" w:rsidRDefault="009357F8" w:rsidP="009D1813">
      <w:pPr>
        <w:pStyle w:val="Prrafodelista"/>
        <w:numPr>
          <w:ilvl w:val="0"/>
          <w:numId w:val="15"/>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sidRPr="009D1813">
        <w:rPr>
          <w:rFonts w:ascii="Palatino Linotype" w:eastAsia="Palatino Linotype" w:hAnsi="Palatino Linotype" w:cs="Palatino Linotype"/>
          <w:b/>
          <w:color w:val="000000"/>
        </w:rPr>
        <w:t>A N T E C E D E N T E S:</w:t>
      </w:r>
    </w:p>
    <w:p w:rsidR="0019016C" w:rsidRDefault="009357F8">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1. Solicitud de acceso a la información. </w:t>
      </w:r>
      <w:r w:rsidR="00596DF7">
        <w:rPr>
          <w:rFonts w:ascii="Palatino Linotype" w:eastAsia="Palatino Linotype" w:hAnsi="Palatino Linotype" w:cs="Palatino Linotype"/>
        </w:rPr>
        <w:t>Con fecha veinticinco</w:t>
      </w:r>
      <w:r w:rsidR="007C20F8">
        <w:rPr>
          <w:rFonts w:ascii="Palatino Linotype" w:eastAsia="Palatino Linotype" w:hAnsi="Palatino Linotype" w:cs="Palatino Linotype"/>
        </w:rPr>
        <w:t xml:space="preserve"> de marzo</w:t>
      </w:r>
      <w:r>
        <w:rPr>
          <w:rFonts w:ascii="Palatino Linotype" w:eastAsia="Palatino Linotype" w:hAnsi="Palatino Linotype" w:cs="Palatino Linotype"/>
        </w:rPr>
        <w:t xml:space="preserve"> del dos mil veintidós,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rsidR="0019016C" w:rsidRDefault="00596DF7">
      <w:pPr>
        <w:spacing w:before="240"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Pr="00596DF7">
        <w:rPr>
          <w:rFonts w:ascii="Palatino Linotype" w:eastAsia="Palatino Linotype" w:hAnsi="Palatino Linotype" w:cs="Palatino Linotype"/>
          <w:i/>
          <w:color w:val="000000"/>
          <w:sz w:val="22"/>
          <w:szCs w:val="22"/>
        </w:rPr>
        <w:t xml:space="preserve">costo del evento que se </w:t>
      </w:r>
      <w:proofErr w:type="spellStart"/>
      <w:r w:rsidRPr="00596DF7">
        <w:rPr>
          <w:rFonts w:ascii="Palatino Linotype" w:eastAsia="Palatino Linotype" w:hAnsi="Palatino Linotype" w:cs="Palatino Linotype"/>
          <w:i/>
          <w:color w:val="000000"/>
          <w:sz w:val="22"/>
          <w:szCs w:val="22"/>
        </w:rPr>
        <w:t>llevo</w:t>
      </w:r>
      <w:proofErr w:type="spellEnd"/>
      <w:r w:rsidRPr="00596DF7">
        <w:rPr>
          <w:rFonts w:ascii="Palatino Linotype" w:eastAsia="Palatino Linotype" w:hAnsi="Palatino Linotype" w:cs="Palatino Linotype"/>
          <w:i/>
          <w:color w:val="000000"/>
          <w:sz w:val="22"/>
          <w:szCs w:val="22"/>
        </w:rPr>
        <w:t xml:space="preserve"> a cabo para el aniversario del municipio, en el que participo Diego Herrera</w:t>
      </w:r>
      <w:r w:rsidR="009357F8">
        <w:rPr>
          <w:rFonts w:ascii="Palatino Linotype" w:eastAsia="Palatino Linotype" w:hAnsi="Palatino Linotype" w:cs="Palatino Linotype"/>
          <w:i/>
          <w:color w:val="000000"/>
          <w:sz w:val="22"/>
          <w:szCs w:val="22"/>
        </w:rPr>
        <w:t>” (Sic)</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sidR="00596DF7">
        <w:rPr>
          <w:rFonts w:ascii="Palatino Linotype" w:eastAsia="Palatino Linotype" w:hAnsi="Palatino Linotype" w:cs="Palatino Linotype"/>
        </w:rPr>
        <w:t>Con fecha veintidós de abril</w:t>
      </w:r>
      <w:r>
        <w:rPr>
          <w:rFonts w:ascii="Palatino Linotype" w:eastAsia="Palatino Linotype" w:hAnsi="Palatino Linotype" w:cs="Palatino Linotype"/>
        </w:rPr>
        <w:t xml:space="preserve"> del dos mil veintidós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SAIMEX, la cual versa como sigue:</w:t>
      </w:r>
    </w:p>
    <w:p w:rsidR="007C20F8" w:rsidRDefault="009357F8" w:rsidP="007C20F8">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rsidR="0019016C" w:rsidRDefault="00596DF7" w:rsidP="00596DF7">
      <w:pPr>
        <w:ind w:left="851" w:right="902"/>
        <w:jc w:val="both"/>
        <w:rPr>
          <w:rFonts w:ascii="Palatino Linotype" w:eastAsia="Palatino Linotype" w:hAnsi="Palatino Linotype" w:cs="Palatino Linotype"/>
          <w:i/>
          <w:color w:val="000000"/>
          <w:sz w:val="22"/>
          <w:szCs w:val="22"/>
        </w:rPr>
      </w:pPr>
      <w:r w:rsidRPr="00596DF7">
        <w:rPr>
          <w:rFonts w:ascii="Palatino Linotype" w:eastAsia="Palatino Linotype" w:hAnsi="Palatino Linotype" w:cs="Palatino Linotype"/>
          <w:i/>
          <w:color w:val="000000"/>
          <w:sz w:val="22"/>
          <w:szCs w:val="22"/>
        </w:rPr>
        <w:t xml:space="preserve">Villa del Carbón, México a 22 de abril de 2022 Folio de la solicitud: 00084/VICARBO/IP/2022 A quien corresponda. En respuesta a la solicitud recibida, nos permitimos hacer de su conocimiento que con fundamento en el artículo 5 de la Constitución Política del Estado Libre y Soberano de México; </w:t>
      </w:r>
      <w:proofErr w:type="spellStart"/>
      <w:r w:rsidRPr="00596DF7">
        <w:rPr>
          <w:rFonts w:ascii="Palatino Linotype" w:eastAsia="Palatino Linotype" w:hAnsi="Palatino Linotype" w:cs="Palatino Linotype"/>
          <w:i/>
          <w:color w:val="000000"/>
          <w:sz w:val="22"/>
          <w:szCs w:val="22"/>
        </w:rPr>
        <w:t>articulo</w:t>
      </w:r>
      <w:proofErr w:type="spellEnd"/>
      <w:r w:rsidRPr="00596DF7">
        <w:rPr>
          <w:rFonts w:ascii="Palatino Linotype" w:eastAsia="Palatino Linotype" w:hAnsi="Palatino Linotype" w:cs="Palatino Linotype"/>
          <w:i/>
          <w:color w:val="000000"/>
          <w:sz w:val="22"/>
          <w:szCs w:val="22"/>
        </w:rPr>
        <w:t xml:space="preserve"> 4, 23 Fracción IV, 50, 51, 52, 53 Fracciones: II, V y VI, 59, 92, de la Ley de Transparencia y Acceso a la Información Pública del Estado de México y Municipios; este Ayuntamiento de Villa del Carbón, Estado de México, como sujeto obligado es competente para resolver y atender la presente solicitud de acceso a la información pública. Una vez que se ha analizado el resultado de la búsqueda de la información y con base a lo anterior, se emite contestación a su solicitud. Se adjunta respuesta en formato PDF. ATENTAMENTE Lic. Diana González Mondragón Titular de la Unidad de Transparencia Ayuntamiento de Villa del Carbón</w:t>
      </w:r>
      <w:r w:rsidR="009357F8">
        <w:rPr>
          <w:rFonts w:ascii="Palatino Linotype" w:eastAsia="Palatino Linotype" w:hAnsi="Palatino Linotype" w:cs="Palatino Linotype"/>
          <w:i/>
          <w:color w:val="000000"/>
          <w:sz w:val="22"/>
          <w:szCs w:val="22"/>
        </w:rPr>
        <w:t>.</w:t>
      </w:r>
    </w:p>
    <w:p w:rsidR="0019016C" w:rsidRDefault="009357F8">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19016C" w:rsidRDefault="00596DF7">
      <w:pPr>
        <w:ind w:left="851" w:right="902"/>
        <w:jc w:val="both"/>
        <w:rPr>
          <w:rFonts w:ascii="Palatino Linotype" w:eastAsia="Palatino Linotype" w:hAnsi="Palatino Linotype" w:cs="Palatino Linotype"/>
          <w:i/>
          <w:color w:val="000000"/>
          <w:sz w:val="22"/>
          <w:szCs w:val="22"/>
        </w:rPr>
      </w:pPr>
      <w:r w:rsidRPr="00596DF7">
        <w:rPr>
          <w:rFonts w:ascii="Palatino Linotype" w:eastAsia="Palatino Linotype" w:hAnsi="Palatino Linotype" w:cs="Palatino Linotype"/>
          <w:i/>
          <w:color w:val="000000"/>
          <w:sz w:val="22"/>
          <w:szCs w:val="22"/>
        </w:rPr>
        <w:t>Lic. Diana González Mondragón</w:t>
      </w:r>
      <w:r w:rsidR="009357F8">
        <w:rPr>
          <w:rFonts w:ascii="Palatino Linotype" w:eastAsia="Palatino Linotype" w:hAnsi="Palatino Linotype" w:cs="Palatino Linotype"/>
          <w:i/>
          <w:color w:val="000000"/>
          <w:sz w:val="22"/>
          <w:szCs w:val="22"/>
        </w:rPr>
        <w:t>” (Sic)</w:t>
      </w:r>
    </w:p>
    <w:p w:rsidR="0019016C" w:rsidRDefault="0019016C">
      <w:pPr>
        <w:ind w:left="851" w:right="902"/>
        <w:jc w:val="both"/>
        <w:rPr>
          <w:rFonts w:ascii="Palatino Linotype" w:eastAsia="Palatino Linotype" w:hAnsi="Palatino Linotype" w:cs="Palatino Linotype"/>
          <w:i/>
          <w:sz w:val="22"/>
          <w:szCs w:val="22"/>
        </w:rPr>
      </w:pPr>
    </w:p>
    <w:p w:rsidR="0019016C" w:rsidRDefault="009357F8">
      <w:pP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SUJETO OBLIGADO</w:t>
      </w:r>
      <w:r w:rsidR="00596DF7">
        <w:rPr>
          <w:rFonts w:ascii="Palatino Linotype" w:eastAsia="Palatino Linotype" w:hAnsi="Palatino Linotype" w:cs="Palatino Linotype"/>
          <w:color w:val="000000"/>
        </w:rPr>
        <w:t>, adjuntó a su respuesta el archivo electrónico siguiente</w:t>
      </w:r>
      <w:r>
        <w:rPr>
          <w:rFonts w:ascii="Palatino Linotype" w:eastAsia="Palatino Linotype" w:hAnsi="Palatino Linotype" w:cs="Palatino Linotype"/>
          <w:color w:val="000000"/>
        </w:rPr>
        <w:t xml:space="preserve">: </w:t>
      </w:r>
    </w:p>
    <w:p w:rsidR="0019016C" w:rsidRDefault="007C20F8" w:rsidP="00596DF7">
      <w:pP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hyperlink r:id="rId9" w:tgtFrame="_blank" w:history="1">
        <w:r w:rsidR="00596DF7" w:rsidRPr="00596DF7">
          <w:rPr>
            <w:rFonts w:ascii="Palatino Linotype" w:eastAsia="Palatino Linotype" w:hAnsi="Palatino Linotype" w:cs="Palatino Linotype"/>
            <w:color w:val="000000"/>
          </w:rPr>
          <w:t>Evento con causa DIF.pdf</w:t>
        </w:r>
      </w:hyperlink>
      <w:r>
        <w:rPr>
          <w:rFonts w:ascii="Palatino Linotype" w:eastAsia="Palatino Linotype" w:hAnsi="Palatino Linotype" w:cs="Palatino Linotype"/>
          <w:color w:val="000000"/>
        </w:rPr>
        <w:t xml:space="preserve">”, </w:t>
      </w:r>
      <w:r w:rsidR="00596DF7">
        <w:rPr>
          <w:rFonts w:ascii="Palatino Linotype" w:eastAsia="Palatino Linotype" w:hAnsi="Palatino Linotype" w:cs="Palatino Linotype"/>
          <w:color w:val="000000"/>
        </w:rPr>
        <w:t xml:space="preserve">a través del cual la Directora del DIF Municipal de Villa del Carbón, informó que el evento fue con causa por lo que no tuvo costo alguno, únicamente el intercambio de un producto de la canasta básica para su acceso. </w:t>
      </w:r>
    </w:p>
    <w:p w:rsidR="00596DF7" w:rsidRDefault="00596DF7">
      <w:pPr>
        <w:spacing w:line="360" w:lineRule="auto"/>
        <w:ind w:right="49"/>
        <w:jc w:val="both"/>
        <w:rPr>
          <w:rFonts w:ascii="Palatino Linotype" w:eastAsia="Palatino Linotype" w:hAnsi="Palatino Linotype" w:cs="Palatino Linotype"/>
          <w:b/>
        </w:rPr>
      </w:pPr>
    </w:p>
    <w:p w:rsidR="0019016C" w:rsidRDefault="009357F8">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la respuesta del </w:t>
      </w:r>
      <w:r w:rsidR="00EB16D3">
        <w:rPr>
          <w:rFonts w:ascii="Palatino Linotype" w:eastAsia="Palatino Linotype" w:hAnsi="Palatino Linotype" w:cs="Palatino Linotype"/>
          <w:b/>
        </w:rPr>
        <w:t xml:space="preserve">SUJETO OBLIGADO el </w:t>
      </w:r>
      <w:r>
        <w:rPr>
          <w:rFonts w:ascii="Palatino Linotype" w:eastAsia="Palatino Linotype" w:hAnsi="Palatino Linotype" w:cs="Palatino Linotype"/>
          <w:b/>
        </w:rPr>
        <w:t>ahora RECURRENTE</w:t>
      </w:r>
      <w:r>
        <w:rPr>
          <w:rFonts w:ascii="Palatino Linotype" w:eastAsia="Palatino Linotype" w:hAnsi="Palatino Linotype" w:cs="Palatino Linotype"/>
        </w:rPr>
        <w:t xml:space="preserve"> interpuso recurso de revisión a t</w:t>
      </w:r>
      <w:r w:rsidR="002F65E6">
        <w:rPr>
          <w:rFonts w:ascii="Palatino Linotype" w:eastAsia="Palatino Linotype" w:hAnsi="Palatino Linotype" w:cs="Palatino Linotype"/>
        </w:rPr>
        <w:t>r</w:t>
      </w:r>
      <w:r w:rsidR="00596DF7">
        <w:rPr>
          <w:rFonts w:ascii="Palatino Linotype" w:eastAsia="Palatino Linotype" w:hAnsi="Palatino Linotype" w:cs="Palatino Linotype"/>
        </w:rPr>
        <w:t>avés del SAIMEX en fecha veintiséis de abril</w:t>
      </w:r>
      <w:r>
        <w:rPr>
          <w:rFonts w:ascii="Palatino Linotype" w:eastAsia="Palatino Linotype" w:hAnsi="Palatino Linotype" w:cs="Palatino Linotype"/>
        </w:rPr>
        <w:t xml:space="preserve"> de dos mil veintidós, a través del cual expresó lo siguiente:</w:t>
      </w:r>
    </w:p>
    <w:p w:rsidR="00596DF7" w:rsidRDefault="00596DF7">
      <w:pPr>
        <w:spacing w:line="360" w:lineRule="auto"/>
        <w:ind w:right="49"/>
        <w:jc w:val="both"/>
        <w:rPr>
          <w:rFonts w:ascii="Palatino Linotype" w:eastAsia="Palatino Linotype" w:hAnsi="Palatino Linotype" w:cs="Palatino Linotype"/>
        </w:rPr>
      </w:pPr>
    </w:p>
    <w:p w:rsidR="0019016C" w:rsidRDefault="009357F8">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lastRenderedPageBreak/>
        <w:t>a) Acto impugnado.</w:t>
      </w:r>
    </w:p>
    <w:p w:rsidR="0019016C" w:rsidRDefault="009357F8">
      <w:pPr>
        <w:spacing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596DF7" w:rsidRPr="00596DF7">
        <w:rPr>
          <w:rFonts w:ascii="Palatino Linotype" w:eastAsia="Palatino Linotype" w:hAnsi="Palatino Linotype" w:cs="Palatino Linotype"/>
          <w:i/>
          <w:color w:val="000000"/>
          <w:sz w:val="22"/>
          <w:szCs w:val="22"/>
        </w:rPr>
        <w:t xml:space="preserve">no se presenta el detalle de la </w:t>
      </w:r>
      <w:proofErr w:type="spellStart"/>
      <w:r w:rsidR="00596DF7" w:rsidRPr="00596DF7">
        <w:rPr>
          <w:rFonts w:ascii="Palatino Linotype" w:eastAsia="Palatino Linotype" w:hAnsi="Palatino Linotype" w:cs="Palatino Linotype"/>
          <w:i/>
          <w:color w:val="000000"/>
          <w:sz w:val="22"/>
          <w:szCs w:val="22"/>
        </w:rPr>
        <w:t>informacion</w:t>
      </w:r>
      <w:proofErr w:type="spellEnd"/>
      <w:r>
        <w:rPr>
          <w:rFonts w:ascii="Palatino Linotype" w:eastAsia="Palatino Linotype" w:hAnsi="Palatino Linotype" w:cs="Palatino Linotype"/>
          <w:i/>
          <w:color w:val="000000"/>
          <w:sz w:val="22"/>
          <w:szCs w:val="22"/>
        </w:rPr>
        <w:t>” (Sic)</w:t>
      </w:r>
    </w:p>
    <w:p w:rsidR="0019016C" w:rsidRDefault="009357F8">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19016C" w:rsidRDefault="009357F8">
      <w:pPr>
        <w:spacing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596DF7" w:rsidRPr="00596DF7">
        <w:rPr>
          <w:rFonts w:ascii="Palatino Linotype" w:eastAsia="Palatino Linotype" w:hAnsi="Palatino Linotype" w:cs="Palatino Linotype"/>
          <w:i/>
          <w:color w:val="000000"/>
          <w:sz w:val="22"/>
          <w:szCs w:val="22"/>
        </w:rPr>
        <w:t xml:space="preserve">se </w:t>
      </w:r>
      <w:proofErr w:type="spellStart"/>
      <w:r w:rsidR="00596DF7" w:rsidRPr="00596DF7">
        <w:rPr>
          <w:rFonts w:ascii="Palatino Linotype" w:eastAsia="Palatino Linotype" w:hAnsi="Palatino Linotype" w:cs="Palatino Linotype"/>
          <w:i/>
          <w:color w:val="000000"/>
          <w:sz w:val="22"/>
          <w:szCs w:val="22"/>
        </w:rPr>
        <w:t>solicito</w:t>
      </w:r>
      <w:proofErr w:type="spellEnd"/>
      <w:r w:rsidR="00596DF7" w:rsidRPr="00596DF7">
        <w:rPr>
          <w:rFonts w:ascii="Palatino Linotype" w:eastAsia="Palatino Linotype" w:hAnsi="Palatino Linotype" w:cs="Palatino Linotype"/>
          <w:i/>
          <w:color w:val="000000"/>
          <w:sz w:val="22"/>
          <w:szCs w:val="22"/>
        </w:rPr>
        <w:t xml:space="preserve"> el costo del evento del aniversario del municipio, por lo que pido sea completa en cuanto a si hubo alguna </w:t>
      </w:r>
      <w:proofErr w:type="spellStart"/>
      <w:r w:rsidR="00596DF7" w:rsidRPr="00596DF7">
        <w:rPr>
          <w:rFonts w:ascii="Palatino Linotype" w:eastAsia="Palatino Linotype" w:hAnsi="Palatino Linotype" w:cs="Palatino Linotype"/>
          <w:i/>
          <w:color w:val="000000"/>
          <w:sz w:val="22"/>
          <w:szCs w:val="22"/>
        </w:rPr>
        <w:t>erogacion</w:t>
      </w:r>
      <w:proofErr w:type="spellEnd"/>
      <w:r w:rsidR="00596DF7" w:rsidRPr="00596DF7">
        <w:rPr>
          <w:rFonts w:ascii="Palatino Linotype" w:eastAsia="Palatino Linotype" w:hAnsi="Palatino Linotype" w:cs="Palatino Linotype"/>
          <w:i/>
          <w:color w:val="000000"/>
          <w:sz w:val="22"/>
          <w:szCs w:val="22"/>
        </w:rPr>
        <w:t xml:space="preserve"> por concepto de arrendamiento de equipo de sonido, lonas, sillas, si se </w:t>
      </w:r>
      <w:proofErr w:type="spellStart"/>
      <w:r w:rsidR="00596DF7" w:rsidRPr="00596DF7">
        <w:rPr>
          <w:rFonts w:ascii="Palatino Linotype" w:eastAsia="Palatino Linotype" w:hAnsi="Palatino Linotype" w:cs="Palatino Linotype"/>
          <w:i/>
          <w:color w:val="000000"/>
          <w:sz w:val="22"/>
          <w:szCs w:val="22"/>
        </w:rPr>
        <w:t>pago</w:t>
      </w:r>
      <w:proofErr w:type="spellEnd"/>
      <w:r w:rsidR="00596DF7" w:rsidRPr="00596DF7">
        <w:rPr>
          <w:rFonts w:ascii="Palatino Linotype" w:eastAsia="Palatino Linotype" w:hAnsi="Palatino Linotype" w:cs="Palatino Linotype"/>
          <w:i/>
          <w:color w:val="000000"/>
          <w:sz w:val="22"/>
          <w:szCs w:val="22"/>
        </w:rPr>
        <w:t xml:space="preserve"> algo por la </w:t>
      </w:r>
      <w:proofErr w:type="spellStart"/>
      <w:r w:rsidR="00596DF7" w:rsidRPr="00596DF7">
        <w:rPr>
          <w:rFonts w:ascii="Palatino Linotype" w:eastAsia="Palatino Linotype" w:hAnsi="Palatino Linotype" w:cs="Palatino Linotype"/>
          <w:i/>
          <w:color w:val="000000"/>
          <w:sz w:val="22"/>
          <w:szCs w:val="22"/>
        </w:rPr>
        <w:t>presentacion</w:t>
      </w:r>
      <w:proofErr w:type="spellEnd"/>
      <w:r w:rsidR="00596DF7" w:rsidRPr="00596DF7">
        <w:rPr>
          <w:rFonts w:ascii="Palatino Linotype" w:eastAsia="Palatino Linotype" w:hAnsi="Palatino Linotype" w:cs="Palatino Linotype"/>
          <w:i/>
          <w:color w:val="000000"/>
          <w:sz w:val="22"/>
          <w:szCs w:val="22"/>
        </w:rPr>
        <w:t xml:space="preserve"> de los cantantes, grupos musicales, baile o cualquier similar que se haya efectuado</w:t>
      </w:r>
      <w:r>
        <w:rPr>
          <w:rFonts w:ascii="Palatino Linotype" w:eastAsia="Palatino Linotype" w:hAnsi="Palatino Linotype" w:cs="Palatino Linotype"/>
          <w:i/>
          <w:color w:val="000000"/>
          <w:sz w:val="22"/>
          <w:szCs w:val="22"/>
        </w:rPr>
        <w:t>” (Sic)</w:t>
      </w:r>
    </w:p>
    <w:p w:rsidR="0019016C" w:rsidRDefault="009357F8">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00596DF7">
        <w:rPr>
          <w:rFonts w:ascii="Palatino Linotype" w:eastAsia="Palatino Linotype" w:hAnsi="Palatino Linotype" w:cs="Palatino Linotype"/>
          <w:b/>
        </w:rPr>
        <w:t>06669</w:t>
      </w:r>
      <w:r>
        <w:rPr>
          <w:rFonts w:ascii="Palatino Linotype" w:eastAsia="Palatino Linotype" w:hAnsi="Palatino Linotype" w:cs="Palatino Linotype"/>
          <w:b/>
        </w:rPr>
        <w:t xml:space="preserve">/INFOEM/IP/RR/2022, </w:t>
      </w:r>
      <w:r>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Guadalupe Ramírez Peña</w:t>
      </w:r>
      <w:r>
        <w:rPr>
          <w:rFonts w:ascii="Palatino Linotype" w:eastAsia="Palatino Linotype" w:hAnsi="Palatino Linotype" w:cs="Palatino Linotype"/>
        </w:rPr>
        <w:t>, para su análisis, estudio, elaboración del proyecto y presentación ante el Pleno de este Instituto.</w:t>
      </w:r>
    </w:p>
    <w:p w:rsidR="0019016C" w:rsidRDefault="0019016C">
      <w:pPr>
        <w:spacing w:line="360" w:lineRule="auto"/>
        <w:jc w:val="both"/>
        <w:rPr>
          <w:rFonts w:ascii="Palatino Linotype" w:eastAsia="Palatino Linotype" w:hAnsi="Palatino Linotype" w:cs="Palatino Linotype"/>
        </w:rPr>
      </w:pPr>
    </w:p>
    <w:p w:rsidR="0019016C" w:rsidRDefault="009357F8">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del recurso de revisión: </w:t>
      </w:r>
      <w:r w:rsidR="00FB03C2">
        <w:rPr>
          <w:rFonts w:ascii="Palatino Linotype" w:eastAsia="Palatino Linotype" w:hAnsi="Palatino Linotype" w:cs="Palatino Linotype"/>
        </w:rPr>
        <w:t>En fecha veintinueve</w:t>
      </w:r>
      <w:r w:rsidR="002F65E6">
        <w:rPr>
          <w:rFonts w:ascii="Palatino Linotype" w:eastAsia="Palatino Linotype" w:hAnsi="Palatino Linotype" w:cs="Palatino Linotype"/>
        </w:rPr>
        <w:t xml:space="preserve"> de abril</w:t>
      </w:r>
      <w:r>
        <w:rPr>
          <w:rFonts w:ascii="Palatino Linotype" w:eastAsia="Palatino Linotype" w:hAnsi="Palatino Linotype" w:cs="Palatino Linotype"/>
        </w:rPr>
        <w:t xml:space="preserve"> de dos mil veintidós, la Comisionada ponente,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 </w:t>
      </w:r>
    </w:p>
    <w:p w:rsidR="002F65E6" w:rsidRDefault="009357F8" w:rsidP="002F65E6">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lang w:eastAsia="es-ES"/>
        </w:rPr>
      </w:pPr>
      <w:bookmarkStart w:id="1" w:name="_heading=h.gjdgxs" w:colFirst="0" w:colLast="0"/>
      <w:bookmarkEnd w:id="1"/>
      <w:r w:rsidRPr="002F65E6">
        <w:rPr>
          <w:rFonts w:ascii="Palatino Linotype" w:eastAsia="Palatino Linotype" w:hAnsi="Palatino Linotype" w:cs="Palatino Linotype"/>
          <w:b/>
          <w:color w:val="000000"/>
          <w:sz w:val="24"/>
          <w:szCs w:val="24"/>
        </w:rPr>
        <w:t>6. Manifestaciones</w:t>
      </w:r>
      <w:r w:rsidRPr="002F65E6">
        <w:rPr>
          <w:rFonts w:ascii="Palatino Linotype" w:eastAsia="Palatino Linotype" w:hAnsi="Palatino Linotype" w:cs="Palatino Linotype"/>
          <w:color w:val="000000"/>
          <w:sz w:val="24"/>
          <w:szCs w:val="24"/>
        </w:rPr>
        <w:t xml:space="preserve">: </w:t>
      </w:r>
      <w:r w:rsidR="002F65E6" w:rsidRPr="002F65E6">
        <w:rPr>
          <w:rFonts w:ascii="Palatino Linotype" w:hAnsi="Palatino Linotype" w:cs="Arial"/>
          <w:sz w:val="24"/>
          <w:szCs w:val="24"/>
          <w:lang w:eastAsia="es-ES"/>
        </w:rPr>
        <w:t xml:space="preserve">De las constancias que integran el expediente en que se actúa se advierte que el recurrente fue omiso en ofrecer pruebas o expresar alegatos; en términos del artículo 185 fracciones II de la ley que nos ocupa. Por su parte, el Sujeto Obligado de igual forma, fue omiso en presentar el Informe Justificado </w:t>
      </w:r>
      <w:r w:rsidR="002F65E6" w:rsidRPr="002F65E6">
        <w:rPr>
          <w:rFonts w:ascii="Palatino Linotype" w:hAnsi="Palatino Linotype" w:cs="Arial"/>
          <w:sz w:val="24"/>
          <w:szCs w:val="24"/>
          <w:lang w:eastAsia="es-ES"/>
        </w:rPr>
        <w:lastRenderedPageBreak/>
        <w:t>correspondiente.</w:t>
      </w:r>
    </w:p>
    <w:p w:rsidR="002F65E6" w:rsidRDefault="002F65E6" w:rsidP="002F65E6">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plazo.</w:t>
      </w:r>
      <w:r w:rsidR="00FB03C2">
        <w:rPr>
          <w:rFonts w:ascii="Palatino Linotype" w:eastAsia="Palatino Linotype" w:hAnsi="Palatino Linotype" w:cs="Palatino Linotype"/>
        </w:rPr>
        <w:t xml:space="preserve"> En fecha diecisiete de agosto</w:t>
      </w:r>
      <w:r>
        <w:rPr>
          <w:rFonts w:ascii="Palatino Linotype" w:eastAsia="Palatino Linotype" w:hAnsi="Palatino Linotype" w:cs="Palatino Linotype"/>
        </w:rPr>
        <w:t xml:space="preserve"> del año dos mil veintidós, con fundamento en el artículo 181, párrafo tercero de la Ley de Transparencia y Acceso a la Información Pública del Estado de México y Municipios, se acordó la ampliación del plazo para su resolución.</w:t>
      </w:r>
    </w:p>
    <w:p w:rsidR="002F65E6" w:rsidRDefault="002F65E6" w:rsidP="002F65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2F65E6" w:rsidRDefault="002F65E6" w:rsidP="002F65E6">
      <w:pPr>
        <w:spacing w:line="360" w:lineRule="auto"/>
        <w:jc w:val="both"/>
        <w:rPr>
          <w:rFonts w:ascii="Palatino Linotype" w:eastAsia="Palatino Linotype" w:hAnsi="Palatino Linotype" w:cs="Palatino Linotype"/>
        </w:rPr>
      </w:pPr>
    </w:p>
    <w:p w:rsidR="002F65E6" w:rsidRDefault="002F65E6" w:rsidP="002F65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2F65E6" w:rsidRDefault="002F65E6" w:rsidP="002F65E6">
      <w:pPr>
        <w:spacing w:line="360" w:lineRule="auto"/>
        <w:jc w:val="both"/>
        <w:rPr>
          <w:rFonts w:ascii="Palatino Linotype" w:eastAsia="Palatino Linotype" w:hAnsi="Palatino Linotype" w:cs="Palatino Linotype"/>
        </w:rPr>
      </w:pPr>
    </w:p>
    <w:p w:rsidR="002F65E6" w:rsidRDefault="002F65E6" w:rsidP="002F65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w:t>
      </w:r>
      <w:r>
        <w:rPr>
          <w:rFonts w:ascii="Palatino Linotype" w:eastAsia="Palatino Linotype" w:hAnsi="Palatino Linotype" w:cs="Palatino Linotype"/>
        </w:rPr>
        <w:lastRenderedPageBreak/>
        <w:t>en el menor tiempo posible, tomando en consideración la dilación total del procedimiento; esto es, en un plazo razonable.</w:t>
      </w:r>
    </w:p>
    <w:p w:rsidR="002F65E6" w:rsidRDefault="002F65E6" w:rsidP="002F65E6">
      <w:pPr>
        <w:spacing w:line="360" w:lineRule="auto"/>
        <w:jc w:val="both"/>
        <w:rPr>
          <w:rFonts w:ascii="Palatino Linotype" w:eastAsia="Palatino Linotype" w:hAnsi="Palatino Linotype" w:cs="Palatino Linotype"/>
        </w:rPr>
      </w:pPr>
    </w:p>
    <w:p w:rsidR="002F65E6" w:rsidRDefault="002F65E6" w:rsidP="002F65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2F65E6" w:rsidRDefault="002F65E6" w:rsidP="002F65E6">
      <w:pPr>
        <w:spacing w:line="360" w:lineRule="auto"/>
        <w:jc w:val="both"/>
        <w:rPr>
          <w:rFonts w:ascii="Palatino Linotype" w:eastAsia="Palatino Linotype" w:hAnsi="Palatino Linotype" w:cs="Palatino Linotype"/>
        </w:rPr>
      </w:pPr>
    </w:p>
    <w:p w:rsidR="002F65E6" w:rsidRDefault="002F65E6" w:rsidP="002F65E6">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2F65E6" w:rsidRDefault="002F65E6" w:rsidP="002F65E6">
      <w:pPr>
        <w:spacing w:line="360" w:lineRule="auto"/>
        <w:jc w:val="both"/>
        <w:rPr>
          <w:rFonts w:ascii="Palatino Linotype" w:eastAsia="Palatino Linotype" w:hAnsi="Palatino Linotype" w:cs="Palatino Linotype"/>
        </w:rPr>
      </w:pPr>
    </w:p>
    <w:p w:rsidR="002F65E6" w:rsidRDefault="002F65E6" w:rsidP="002F65E6">
      <w:pPr>
        <w:numPr>
          <w:ilvl w:val="0"/>
          <w:numId w:val="8"/>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2F65E6" w:rsidRDefault="002F65E6" w:rsidP="002F65E6">
      <w:pPr>
        <w:spacing w:line="360" w:lineRule="auto"/>
        <w:ind w:left="927"/>
        <w:jc w:val="both"/>
        <w:rPr>
          <w:rFonts w:ascii="Palatino Linotype" w:eastAsia="Palatino Linotype" w:hAnsi="Palatino Linotype" w:cs="Palatino Linotype"/>
        </w:rPr>
      </w:pPr>
    </w:p>
    <w:p w:rsidR="002F65E6" w:rsidRDefault="002F65E6" w:rsidP="002F65E6">
      <w:pPr>
        <w:numPr>
          <w:ilvl w:val="0"/>
          <w:numId w:val="8"/>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rsidR="002F65E6" w:rsidRDefault="002F65E6" w:rsidP="002F65E6">
      <w:pPr>
        <w:spacing w:line="360" w:lineRule="auto"/>
        <w:jc w:val="both"/>
        <w:rPr>
          <w:rFonts w:ascii="Palatino Linotype" w:eastAsia="Palatino Linotype" w:hAnsi="Palatino Linotype" w:cs="Palatino Linotype"/>
        </w:rPr>
      </w:pPr>
    </w:p>
    <w:p w:rsidR="002F65E6" w:rsidRDefault="002F65E6" w:rsidP="002F65E6">
      <w:pPr>
        <w:numPr>
          <w:ilvl w:val="0"/>
          <w:numId w:val="8"/>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rsidR="002F65E6" w:rsidRDefault="002F65E6" w:rsidP="002F65E6">
      <w:pPr>
        <w:spacing w:line="360" w:lineRule="auto"/>
        <w:ind w:left="708"/>
        <w:rPr>
          <w:rFonts w:ascii="Palatino Linotype" w:eastAsia="Palatino Linotype" w:hAnsi="Palatino Linotype" w:cs="Palatino Linotype"/>
        </w:rPr>
      </w:pPr>
    </w:p>
    <w:p w:rsidR="002F65E6" w:rsidRDefault="002F65E6" w:rsidP="002F65E6">
      <w:pPr>
        <w:spacing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rsidR="002F65E6" w:rsidRDefault="002F65E6" w:rsidP="002F65E6">
      <w:pPr>
        <w:spacing w:line="360" w:lineRule="auto"/>
        <w:jc w:val="both"/>
        <w:rPr>
          <w:rFonts w:ascii="Palatino Linotype" w:eastAsia="Palatino Linotype" w:hAnsi="Palatino Linotype" w:cs="Palatino Linotype"/>
        </w:rPr>
      </w:pPr>
    </w:p>
    <w:p w:rsidR="002F65E6" w:rsidRDefault="002F65E6" w:rsidP="002F65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2F65E6" w:rsidRDefault="002F65E6" w:rsidP="002F65E6">
      <w:pPr>
        <w:spacing w:line="360" w:lineRule="auto"/>
        <w:jc w:val="both"/>
        <w:rPr>
          <w:rFonts w:ascii="Palatino Linotype" w:eastAsia="Palatino Linotype" w:hAnsi="Palatino Linotype" w:cs="Palatino Linotype"/>
        </w:rPr>
      </w:pPr>
    </w:p>
    <w:p w:rsidR="002F65E6" w:rsidRDefault="002F65E6" w:rsidP="002F65E6">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rsidR="002F65E6" w:rsidRDefault="002F65E6" w:rsidP="002F65E6">
      <w:pPr>
        <w:spacing w:line="360" w:lineRule="auto"/>
        <w:jc w:val="both"/>
        <w:rPr>
          <w:rFonts w:ascii="Palatino Linotype" w:eastAsia="Palatino Linotype" w:hAnsi="Palatino Linotype" w:cs="Palatino Linotype"/>
        </w:rPr>
      </w:pPr>
    </w:p>
    <w:p w:rsidR="002F65E6" w:rsidRDefault="002F65E6" w:rsidP="002F65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Pr>
          <w:rFonts w:ascii="Palatino Linotype" w:eastAsia="Palatino Linotype" w:hAnsi="Palatino Linotype" w:cs="Palatino Linotype"/>
        </w:rPr>
        <w:lastRenderedPageBreak/>
        <w:t>los términos legales previamente establecidos por la Ley, por tratarse de causas de fuerza mayor.</w:t>
      </w:r>
    </w:p>
    <w:p w:rsidR="002F65E6" w:rsidRDefault="002F65E6" w:rsidP="002F65E6">
      <w:pPr>
        <w:spacing w:line="360" w:lineRule="auto"/>
        <w:jc w:val="both"/>
        <w:rPr>
          <w:rFonts w:ascii="Palatino Linotype" w:eastAsia="Palatino Linotype" w:hAnsi="Palatino Linotype" w:cs="Palatino Linotype"/>
        </w:rPr>
      </w:pPr>
    </w:p>
    <w:p w:rsidR="002F65E6" w:rsidRDefault="002F65E6" w:rsidP="002F65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2F65E6" w:rsidRDefault="002F65E6" w:rsidP="002F65E6">
      <w:pPr>
        <w:spacing w:line="360" w:lineRule="auto"/>
        <w:jc w:val="both"/>
        <w:rPr>
          <w:rFonts w:ascii="Palatino Linotype" w:eastAsia="Palatino Linotype" w:hAnsi="Palatino Linotype" w:cs="Palatino Linotype"/>
        </w:rPr>
      </w:pPr>
    </w:p>
    <w:p w:rsidR="002F65E6" w:rsidRDefault="002F65E6" w:rsidP="002F65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rsidR="002F65E6" w:rsidRDefault="002F65E6" w:rsidP="002F65E6">
      <w:pPr>
        <w:spacing w:line="360" w:lineRule="auto"/>
        <w:jc w:val="both"/>
        <w:rPr>
          <w:rFonts w:ascii="Palatino Linotype" w:eastAsia="Palatino Linotype" w:hAnsi="Palatino Linotype" w:cs="Palatino Linotype"/>
          <w:b/>
        </w:rPr>
      </w:pPr>
    </w:p>
    <w:p w:rsidR="002F65E6" w:rsidRDefault="002F65E6" w:rsidP="002F65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rsidR="002F65E6" w:rsidRDefault="002F65E6" w:rsidP="002F65E6">
      <w:pPr>
        <w:spacing w:line="360" w:lineRule="auto"/>
        <w:jc w:val="both"/>
        <w:rPr>
          <w:rFonts w:ascii="Palatino Linotype" w:eastAsia="Palatino Linotype" w:hAnsi="Palatino Linotype" w:cs="Palatino Linotype"/>
        </w:rPr>
      </w:pPr>
    </w:p>
    <w:p w:rsidR="002F65E6" w:rsidRDefault="002F65E6" w:rsidP="002F65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2F65E6" w:rsidRDefault="002F65E6" w:rsidP="002F65E6">
      <w:pPr>
        <w:widowControl w:val="0"/>
        <w:spacing w:after="240" w:line="360" w:lineRule="auto"/>
        <w:jc w:val="both"/>
        <w:rPr>
          <w:rFonts w:ascii="Palatino Linotype" w:eastAsia="Palatino Linotype" w:hAnsi="Palatino Linotype" w:cs="Palatino Linotype"/>
        </w:rPr>
      </w:pPr>
    </w:p>
    <w:p w:rsidR="0019016C" w:rsidRDefault="002F65E6" w:rsidP="002F65E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w:t>
      </w:r>
      <w:r w:rsidR="009357F8">
        <w:rPr>
          <w:rFonts w:ascii="Palatino Linotype" w:eastAsia="Palatino Linotype" w:hAnsi="Palatino Linotype" w:cs="Palatino Linotype"/>
          <w:b/>
        </w:rPr>
        <w:t>.-</w:t>
      </w:r>
      <w:r w:rsidR="009357F8">
        <w:rPr>
          <w:rFonts w:ascii="Palatino Linotype" w:eastAsia="Palatino Linotype" w:hAnsi="Palatino Linotype" w:cs="Palatino Linotype"/>
        </w:rPr>
        <w:t xml:space="preserve"> </w:t>
      </w:r>
      <w:r w:rsidR="009357F8">
        <w:rPr>
          <w:rFonts w:ascii="Palatino Linotype" w:eastAsia="Palatino Linotype" w:hAnsi="Palatino Linotype" w:cs="Palatino Linotype"/>
          <w:b/>
        </w:rPr>
        <w:t xml:space="preserve">Cierre de instrucción. </w:t>
      </w:r>
      <w:r w:rsidR="00187692">
        <w:rPr>
          <w:rFonts w:ascii="Palatino Linotype" w:eastAsia="Palatino Linotype" w:hAnsi="Palatino Linotype" w:cs="Palatino Linotype"/>
        </w:rPr>
        <w:t xml:space="preserve">El </w:t>
      </w:r>
      <w:r w:rsidR="00187692" w:rsidRPr="00576AFF">
        <w:rPr>
          <w:rFonts w:ascii="Palatino Linotype" w:eastAsia="Palatino Linotype" w:hAnsi="Palatino Linotype" w:cs="Palatino Linotype"/>
        </w:rPr>
        <w:t>treinta</w:t>
      </w:r>
      <w:r w:rsidR="00576AFF" w:rsidRPr="00576AFF">
        <w:rPr>
          <w:rFonts w:ascii="Palatino Linotype" w:eastAsia="Palatino Linotype" w:hAnsi="Palatino Linotype" w:cs="Palatino Linotype"/>
        </w:rPr>
        <w:t xml:space="preserve"> y uno</w:t>
      </w:r>
      <w:r w:rsidR="00253485" w:rsidRPr="00576AFF">
        <w:rPr>
          <w:rFonts w:ascii="Palatino Linotype" w:eastAsia="Palatino Linotype" w:hAnsi="Palatino Linotype" w:cs="Palatino Linotype"/>
          <w:color w:val="FF0000"/>
        </w:rPr>
        <w:t xml:space="preserve"> </w:t>
      </w:r>
      <w:r w:rsidRPr="00576AFF">
        <w:rPr>
          <w:rFonts w:ascii="Palatino Linotype" w:eastAsia="Palatino Linotype" w:hAnsi="Palatino Linotype" w:cs="Palatino Linotype"/>
        </w:rPr>
        <w:t>de</w:t>
      </w:r>
      <w:r>
        <w:rPr>
          <w:rFonts w:ascii="Palatino Linotype" w:eastAsia="Palatino Linotype" w:hAnsi="Palatino Linotype" w:cs="Palatino Linotype"/>
        </w:rPr>
        <w:t xml:space="preserve"> agosto</w:t>
      </w:r>
      <w:r w:rsidR="009357F8">
        <w:rPr>
          <w:rFonts w:ascii="Palatino Linotype" w:eastAsia="Palatino Linotype" w:hAnsi="Palatino Linotype" w:cs="Palatino Linotype"/>
        </w:rPr>
        <w:t xml:space="preserve"> de dos mil veintidós la Comisionada ponente determinó el cierre de instrucción en términos de la fracción </w:t>
      </w:r>
      <w:r w:rsidR="009357F8">
        <w:rPr>
          <w:rFonts w:ascii="Palatino Linotype" w:eastAsia="Palatino Linotype" w:hAnsi="Palatino Linotype" w:cs="Palatino Linotype"/>
        </w:rPr>
        <w:lastRenderedPageBreak/>
        <w:t>VI del artículo 185 de la Ley de Transparencia y Acceso a la Información Pública del Estado de México y Municipios.</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19016C" w:rsidRDefault="009357F8" w:rsidP="009D1813">
      <w:pPr>
        <w:pStyle w:val="Prrafodelista"/>
        <w:numPr>
          <w:ilvl w:val="0"/>
          <w:numId w:val="15"/>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bookmarkStart w:id="2" w:name="_heading=h.30j0zll" w:colFirst="0" w:colLast="0"/>
      <w:bookmarkEnd w:id="2"/>
      <w:r>
        <w:rPr>
          <w:rFonts w:ascii="Palatino Linotype" w:eastAsia="Palatino Linotype" w:hAnsi="Palatino Linotype" w:cs="Palatino Linotype"/>
          <w:b/>
          <w:color w:val="000000"/>
        </w:rPr>
        <w:t>C O N S I D E R A N D O:</w:t>
      </w:r>
    </w:p>
    <w:p w:rsidR="0019016C" w:rsidRDefault="009357F8">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171E3F" w:rsidRPr="00F21767" w:rsidRDefault="009357F8" w:rsidP="00171E3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El recurso de revisión fue interpuesto dentro del plazo de quince días hábiles, previsto en el artículo 178 de la Ley de Transparencia y Acceso a la Información Pública del Estado de México y Municipios, ya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proporcionó su respuesta a la solicitud de inform</w:t>
      </w:r>
      <w:r w:rsidR="00187692">
        <w:rPr>
          <w:rFonts w:ascii="Palatino Linotype" w:eastAsia="Palatino Linotype" w:hAnsi="Palatino Linotype" w:cs="Palatino Linotype"/>
        </w:rPr>
        <w:t>ación el veintidós de abril</w:t>
      </w:r>
      <w:r>
        <w:rPr>
          <w:rFonts w:ascii="Palatino Linotype" w:eastAsia="Palatino Linotype" w:hAnsi="Palatino Linotype" w:cs="Palatino Linotype"/>
        </w:rPr>
        <w:t xml:space="preserve"> del dos mil veintidós, y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su recurso de revisión</w:t>
      </w:r>
      <w:r w:rsidR="006D2711">
        <w:rPr>
          <w:rFonts w:ascii="Palatino Linotype" w:eastAsia="Palatino Linotype" w:hAnsi="Palatino Linotype" w:cs="Palatino Linotype"/>
        </w:rPr>
        <w:t xml:space="preserve"> </w:t>
      </w:r>
      <w:r w:rsidR="00171E3F" w:rsidRPr="00F21767">
        <w:rPr>
          <w:rFonts w:ascii="Palatino Linotype" w:eastAsia="Palatino Linotype" w:hAnsi="Palatino Linotype" w:cs="Palatino Linotype"/>
        </w:rPr>
        <w:t xml:space="preserve">el </w:t>
      </w:r>
      <w:r w:rsidR="00187692">
        <w:rPr>
          <w:rFonts w:ascii="Palatino Linotype" w:eastAsia="Palatino Linotype" w:hAnsi="Palatino Linotype" w:cs="Palatino Linotype"/>
        </w:rPr>
        <w:t xml:space="preserve">veintiséis del mismo mes y años; esto es, al tercer día hábil siguiente que tuvo conocimiento de la respuesta. </w:t>
      </w:r>
    </w:p>
    <w:p w:rsidR="0019016C" w:rsidRDefault="009357F8">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resulta procedente la interposición del recurso de revisión al rubro anotado, toda vez que se actualiza las hipótesis previstas en el</w:t>
      </w:r>
      <w:r w:rsidR="00187692">
        <w:rPr>
          <w:rFonts w:ascii="Palatino Linotype" w:eastAsia="Palatino Linotype" w:hAnsi="Palatino Linotype" w:cs="Palatino Linotype"/>
        </w:rPr>
        <w:t xml:space="preserve"> artículo 179, fracción I</w:t>
      </w:r>
      <w:r>
        <w:rPr>
          <w:rFonts w:ascii="Palatino Linotype" w:eastAsia="Palatino Linotype" w:hAnsi="Palatino Linotype" w:cs="Palatino Linotype"/>
        </w:rPr>
        <w:t xml:space="preserve"> </w:t>
      </w:r>
      <w:r w:rsidR="00576AFF">
        <w:rPr>
          <w:rFonts w:ascii="Palatino Linotype" w:eastAsia="Palatino Linotype" w:hAnsi="Palatino Linotype" w:cs="Palatino Linotype"/>
        </w:rPr>
        <w:t xml:space="preserve">y V </w:t>
      </w:r>
      <w:r>
        <w:rPr>
          <w:rFonts w:ascii="Palatino Linotype" w:eastAsia="Palatino Linotype" w:hAnsi="Palatino Linotype" w:cs="Palatino Linotype"/>
        </w:rPr>
        <w:t>de la ley de la materia, que a la letra dice:</w:t>
      </w:r>
    </w:p>
    <w:p w:rsidR="0019016C" w:rsidRDefault="009357F8">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179. </w:t>
      </w:r>
      <w:r>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Pr>
          <w:rFonts w:ascii="Palatino Linotype" w:eastAsia="Palatino Linotype" w:hAnsi="Palatino Linotype" w:cs="Palatino Linotype"/>
          <w:i/>
        </w:rPr>
        <w:t>causas</w:t>
      </w:r>
      <w:r>
        <w:rPr>
          <w:rFonts w:ascii="Palatino Linotype" w:eastAsia="Palatino Linotype" w:hAnsi="Palatino Linotype" w:cs="Palatino Linotype"/>
          <w:i/>
          <w:sz w:val="22"/>
          <w:szCs w:val="22"/>
        </w:rPr>
        <w:t>:</w:t>
      </w:r>
    </w:p>
    <w:p w:rsidR="00576AFF" w:rsidRDefault="00187692" w:rsidP="00187692">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La negativa de la información solicitada</w:t>
      </w:r>
    </w:p>
    <w:p w:rsidR="00576AFF" w:rsidRDefault="009357F8" w:rsidP="00187692">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9016C" w:rsidRDefault="00576AFF" w:rsidP="00187692">
      <w:pPr>
        <w:ind w:left="1276" w:right="1752"/>
        <w:jc w:val="both"/>
        <w:rPr>
          <w:rFonts w:ascii="Palatino Linotype" w:eastAsia="Palatino Linotype" w:hAnsi="Palatino Linotype" w:cs="Palatino Linotype"/>
          <w:i/>
          <w:sz w:val="22"/>
          <w:szCs w:val="22"/>
        </w:rPr>
      </w:pPr>
      <w:r w:rsidRPr="00576AFF">
        <w:rPr>
          <w:rFonts w:ascii="Palatino Linotype" w:eastAsia="Palatino Linotype" w:hAnsi="Palatino Linotype" w:cs="Palatino Linotype"/>
          <w:i/>
          <w:sz w:val="22"/>
          <w:szCs w:val="22"/>
        </w:rPr>
        <w:t>V. La en</w:t>
      </w:r>
      <w:r>
        <w:rPr>
          <w:rFonts w:ascii="Palatino Linotype" w:eastAsia="Palatino Linotype" w:hAnsi="Palatino Linotype" w:cs="Palatino Linotype"/>
          <w:i/>
          <w:sz w:val="22"/>
          <w:szCs w:val="22"/>
        </w:rPr>
        <w:t>trega de información incompleta…</w:t>
      </w:r>
      <w:r w:rsidR="009357F8">
        <w:rPr>
          <w:rFonts w:ascii="Palatino Linotype" w:eastAsia="Palatino Linotype" w:hAnsi="Palatino Linotype" w:cs="Palatino Linotype"/>
          <w:i/>
          <w:sz w:val="22"/>
          <w:szCs w:val="22"/>
        </w:rPr>
        <w:t>” (Sic)</w:t>
      </w:r>
    </w:p>
    <w:p w:rsidR="00111A55" w:rsidRDefault="00111A55" w:rsidP="00187692">
      <w:pPr>
        <w:ind w:left="1276" w:right="1752"/>
        <w:jc w:val="both"/>
        <w:rPr>
          <w:rFonts w:ascii="Palatino Linotype" w:eastAsia="Palatino Linotype" w:hAnsi="Palatino Linotype" w:cs="Palatino Linotype"/>
          <w:i/>
          <w:sz w:val="22"/>
          <w:szCs w:val="22"/>
        </w:rPr>
      </w:pPr>
    </w:p>
    <w:p w:rsidR="0019016C" w:rsidRDefault="009357F8">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De las constancias que integran el expediente electrónico se advierte que el tema sobre el que este Instituto se pronunciará será: </w:t>
      </w:r>
      <w:r>
        <w:rPr>
          <w:rFonts w:ascii="Palatino Linotype" w:eastAsia="Palatino Linotype" w:hAnsi="Palatino Linotype" w:cs="Palatino Linotype"/>
          <w:b/>
        </w:rPr>
        <w:lastRenderedPageBreak/>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del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rsidR="00187692" w:rsidRDefault="009357F8" w:rsidP="001876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 fondo del asunto. </w:t>
      </w:r>
      <w:r w:rsidR="00187692">
        <w:rPr>
          <w:rFonts w:ascii="Palatino Linotype" w:eastAsia="Palatino Linotype" w:hAnsi="Palatino Linotype" w:cs="Palatino Linotype"/>
        </w:rPr>
        <w:t xml:space="preserve">Es conveniente analizar si la respuesta del </w:t>
      </w:r>
      <w:r w:rsidR="00187692">
        <w:rPr>
          <w:rFonts w:ascii="Palatino Linotype" w:eastAsia="Palatino Linotype" w:hAnsi="Palatino Linotype" w:cs="Palatino Linotype"/>
          <w:b/>
        </w:rPr>
        <w:t>SUJETO OBLIGADO</w:t>
      </w:r>
      <w:r w:rsidR="00187692">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187692" w:rsidRDefault="00187692" w:rsidP="00187692">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187692" w:rsidRDefault="00187692" w:rsidP="00187692">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187692" w:rsidRDefault="00187692" w:rsidP="00187692">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rsidR="00187692" w:rsidRDefault="00187692" w:rsidP="00187692">
      <w:pPr>
        <w:spacing w:line="360" w:lineRule="auto"/>
        <w:jc w:val="both"/>
        <w:rPr>
          <w:rFonts w:ascii="Palatino Linotype" w:eastAsia="Palatino Linotype" w:hAnsi="Palatino Linotype" w:cs="Palatino Linotype"/>
        </w:rPr>
      </w:pPr>
    </w:p>
    <w:p w:rsidR="00187692" w:rsidRDefault="00187692" w:rsidP="0018769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187692" w:rsidRDefault="00187692" w:rsidP="00187692">
      <w:pPr>
        <w:spacing w:line="360" w:lineRule="auto"/>
        <w:jc w:val="both"/>
        <w:rPr>
          <w:rFonts w:ascii="Palatino Linotype" w:eastAsia="Palatino Linotype" w:hAnsi="Palatino Linotype" w:cs="Palatino Linotype"/>
        </w:rPr>
      </w:pPr>
    </w:p>
    <w:p w:rsidR="00187692" w:rsidRDefault="00187692" w:rsidP="00187692">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187692" w:rsidRDefault="00187692" w:rsidP="00187692">
      <w:pPr>
        <w:ind w:left="567" w:right="758"/>
        <w:jc w:val="both"/>
        <w:rPr>
          <w:rFonts w:ascii="Palatino Linotype" w:eastAsia="Palatino Linotype" w:hAnsi="Palatino Linotype" w:cs="Palatino Linotype"/>
          <w:i/>
          <w:sz w:val="22"/>
          <w:szCs w:val="22"/>
        </w:rPr>
      </w:pPr>
    </w:p>
    <w:p w:rsidR="00187692" w:rsidRDefault="00187692" w:rsidP="00187692">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187692" w:rsidRDefault="00187692" w:rsidP="00187692">
      <w:pPr>
        <w:spacing w:line="360" w:lineRule="auto"/>
        <w:ind w:right="-93"/>
        <w:jc w:val="both"/>
        <w:rPr>
          <w:rFonts w:ascii="Palatino Linotype" w:eastAsia="Palatino Linotype" w:hAnsi="Palatino Linotype" w:cs="Palatino Linotype"/>
          <w:color w:val="000000"/>
        </w:rPr>
      </w:pPr>
    </w:p>
    <w:p w:rsidR="00187692" w:rsidRDefault="00187692" w:rsidP="00187692">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w:t>
      </w:r>
      <w:r>
        <w:rPr>
          <w:rFonts w:ascii="Palatino Linotype" w:eastAsia="Palatino Linotype" w:hAnsi="Palatino Linotype" w:cs="Palatino Linotype"/>
        </w:rPr>
        <w:t>sólo</w:t>
      </w:r>
      <w:r>
        <w:rPr>
          <w:rFonts w:ascii="Palatino Linotype" w:eastAsia="Palatino Linotype" w:hAnsi="Palatino Linotype" w:cs="Palatino Linotype"/>
          <w:color w:val="000000"/>
        </w:rPr>
        <w:t xml:space="preserve"> se </w:t>
      </w:r>
      <w:r>
        <w:rPr>
          <w:rFonts w:ascii="Palatino Linotype" w:eastAsia="Palatino Linotype" w:hAnsi="Palatino Linotype" w:cs="Palatino Linotype"/>
        </w:rPr>
        <w:t>concretarán</w:t>
      </w:r>
      <w:r>
        <w:rPr>
          <w:rFonts w:ascii="Palatino Linotype" w:eastAsia="Palatino Linotype" w:hAnsi="Palatino Linotype" w:cs="Palatino Linotype"/>
          <w:color w:val="000000"/>
        </w:rPr>
        <w:t xml:space="preserve"> a proporcionar la información solicitada que tengan en su poder en el estado que se encuentran, sin necesidad de concretarse al interés o términos específicos del solicitante.</w:t>
      </w:r>
    </w:p>
    <w:p w:rsidR="00187692" w:rsidRDefault="00187692" w:rsidP="00187692">
      <w:pPr>
        <w:spacing w:line="360" w:lineRule="auto"/>
        <w:ind w:right="-93"/>
        <w:jc w:val="both"/>
        <w:rPr>
          <w:rFonts w:ascii="Palatino Linotype" w:eastAsia="Palatino Linotype" w:hAnsi="Palatino Linotype" w:cs="Palatino Linotype"/>
          <w:color w:val="000000"/>
        </w:rPr>
      </w:pPr>
    </w:p>
    <w:p w:rsidR="00187692" w:rsidRDefault="00187692" w:rsidP="00187692">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lastRenderedPageBreak/>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rsidR="00187692" w:rsidRDefault="00187692" w:rsidP="00187692">
      <w:pPr>
        <w:ind w:left="851" w:right="850"/>
        <w:jc w:val="both"/>
        <w:rPr>
          <w:rFonts w:ascii="Palatino Linotype" w:eastAsia="Palatino Linotype" w:hAnsi="Palatino Linotype" w:cs="Palatino Linotype"/>
          <w:color w:val="000000"/>
        </w:rPr>
      </w:pPr>
    </w:p>
    <w:p w:rsidR="00187692" w:rsidRDefault="00187692" w:rsidP="00187692">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187692" w:rsidRDefault="00187692" w:rsidP="00187692">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rsidR="00187692" w:rsidRDefault="00187692" w:rsidP="00187692">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187692" w:rsidRDefault="00187692" w:rsidP="00187692">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187692" w:rsidRDefault="00187692" w:rsidP="00187692">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rsidR="00187692" w:rsidRDefault="00187692" w:rsidP="00187692">
      <w:pPr>
        <w:spacing w:line="360" w:lineRule="auto"/>
        <w:ind w:right="-93"/>
        <w:jc w:val="both"/>
        <w:rPr>
          <w:rFonts w:ascii="Palatino Linotype" w:eastAsia="Palatino Linotype" w:hAnsi="Palatino Linotype" w:cs="Palatino Linotype"/>
          <w:color w:val="000000"/>
        </w:rPr>
      </w:pPr>
    </w:p>
    <w:p w:rsidR="00187692" w:rsidRDefault="00187692" w:rsidP="00187692">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187692" w:rsidRDefault="00187692" w:rsidP="00187692">
      <w:pPr>
        <w:spacing w:line="360" w:lineRule="auto"/>
        <w:jc w:val="both"/>
        <w:rPr>
          <w:rFonts w:ascii="Palatino Linotype" w:eastAsia="Palatino Linotype" w:hAnsi="Palatino Linotype" w:cs="Palatino Linotype"/>
          <w:color w:val="000000"/>
        </w:rPr>
      </w:pPr>
    </w:p>
    <w:p w:rsidR="00187692" w:rsidRDefault="00187692" w:rsidP="0018769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187692" w:rsidRDefault="00187692" w:rsidP="00187692">
      <w:pPr>
        <w:spacing w:line="360" w:lineRule="auto"/>
        <w:ind w:right="49"/>
        <w:jc w:val="both"/>
        <w:rPr>
          <w:rFonts w:ascii="Palatino Linotype" w:eastAsia="Palatino Linotype" w:hAnsi="Palatino Linotype" w:cs="Palatino Linotype"/>
        </w:rPr>
      </w:pPr>
    </w:p>
    <w:p w:rsidR="00187692" w:rsidRDefault="00187692" w:rsidP="0018769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187692" w:rsidRDefault="00187692" w:rsidP="00187692">
      <w:pPr>
        <w:ind w:left="851" w:right="899"/>
        <w:jc w:val="both"/>
        <w:rPr>
          <w:rFonts w:ascii="Palatino Linotype" w:eastAsia="Palatino Linotype" w:hAnsi="Palatino Linotype" w:cs="Palatino Linotype"/>
          <w:i/>
          <w:sz w:val="22"/>
          <w:szCs w:val="22"/>
        </w:rPr>
      </w:pPr>
    </w:p>
    <w:p w:rsidR="00187692" w:rsidRDefault="00187692" w:rsidP="00187692">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187692" w:rsidRDefault="00187692" w:rsidP="00187692">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87692" w:rsidRDefault="00187692" w:rsidP="00187692">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187692" w:rsidRDefault="00187692" w:rsidP="00187692">
      <w:pPr>
        <w:ind w:left="851" w:right="899"/>
        <w:jc w:val="both"/>
        <w:rPr>
          <w:rFonts w:ascii="Palatino Linotype" w:eastAsia="Palatino Linotype" w:hAnsi="Palatino Linotype" w:cs="Palatino Linotype"/>
          <w:sz w:val="22"/>
          <w:szCs w:val="22"/>
        </w:rPr>
      </w:pPr>
    </w:p>
    <w:p w:rsidR="00187692" w:rsidRDefault="00187692" w:rsidP="0018769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187692" w:rsidRDefault="00187692" w:rsidP="00187692">
      <w:pPr>
        <w:ind w:left="851" w:right="899"/>
        <w:jc w:val="both"/>
        <w:rPr>
          <w:rFonts w:ascii="Palatino Linotype" w:eastAsia="Palatino Linotype" w:hAnsi="Palatino Linotype" w:cs="Palatino Linotype"/>
        </w:rPr>
      </w:pPr>
    </w:p>
    <w:p w:rsidR="00187692" w:rsidRDefault="00187692" w:rsidP="00187692">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187692" w:rsidRDefault="00187692" w:rsidP="00187692">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87692" w:rsidRDefault="00187692" w:rsidP="00187692">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187692" w:rsidRDefault="00187692" w:rsidP="00187692">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187692" w:rsidRDefault="00187692" w:rsidP="00187692">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187692" w:rsidRDefault="00187692" w:rsidP="00187692">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rsidR="0019016C" w:rsidRDefault="001876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d</w:t>
      </w:r>
      <w:r w:rsidR="009357F8">
        <w:rPr>
          <w:rFonts w:ascii="Palatino Linotype" w:eastAsia="Palatino Linotype" w:hAnsi="Palatino Linotype" w:cs="Palatino Linotype"/>
        </w:rPr>
        <w:t>el análisis de la solicitud de información motivo del recurso de revisión que ahora se resuelve, se advierte que el</w:t>
      </w:r>
      <w:r w:rsidR="00B96E0C">
        <w:rPr>
          <w:rFonts w:ascii="Palatino Linotype" w:eastAsia="Palatino Linotype" w:hAnsi="Palatino Linotype" w:cs="Palatino Linotype"/>
        </w:rPr>
        <w:t xml:space="preserve"> </w:t>
      </w:r>
      <w:r w:rsidR="009357F8">
        <w:rPr>
          <w:rFonts w:ascii="Palatino Linotype" w:eastAsia="Palatino Linotype" w:hAnsi="Palatino Linotype" w:cs="Palatino Linotype"/>
        </w:rPr>
        <w:t xml:space="preserve"> particular requirió al </w:t>
      </w:r>
      <w:r w:rsidR="00171E3F">
        <w:rPr>
          <w:rFonts w:ascii="Palatino Linotype" w:eastAsia="Palatino Linotype" w:hAnsi="Palatino Linotype" w:cs="Palatino Linotype"/>
          <w:b/>
        </w:rPr>
        <w:t>A</w:t>
      </w:r>
      <w:r>
        <w:rPr>
          <w:rFonts w:ascii="Palatino Linotype" w:eastAsia="Palatino Linotype" w:hAnsi="Palatino Linotype" w:cs="Palatino Linotype"/>
          <w:b/>
        </w:rPr>
        <w:t>yuntamiento de Villa del Carbón</w:t>
      </w:r>
      <w:r w:rsidR="009357F8">
        <w:rPr>
          <w:rFonts w:ascii="Palatino Linotype" w:eastAsia="Palatino Linotype" w:hAnsi="Palatino Linotype" w:cs="Palatino Linotype"/>
        </w:rPr>
        <w:t>, lo siguiente:</w:t>
      </w:r>
    </w:p>
    <w:p w:rsidR="00564212" w:rsidRPr="00564212" w:rsidRDefault="00564212" w:rsidP="00017DEA">
      <w:pPr>
        <w:pStyle w:val="Prrafodelista"/>
        <w:numPr>
          <w:ilvl w:val="0"/>
          <w:numId w:val="14"/>
        </w:numPr>
        <w:spacing w:before="240" w:after="240" w:line="360" w:lineRule="auto"/>
        <w:jc w:val="both"/>
        <w:rPr>
          <w:rFonts w:ascii="Palatino Linotype" w:eastAsia="Palatino Linotype" w:hAnsi="Palatino Linotype" w:cs="Palatino Linotype"/>
          <w:sz w:val="24"/>
          <w:szCs w:val="24"/>
        </w:rPr>
      </w:pPr>
      <w:r w:rsidRPr="00564212">
        <w:rPr>
          <w:rFonts w:ascii="Palatino Linotype" w:eastAsia="Palatino Linotype" w:hAnsi="Palatino Linotype" w:cs="Palatino Linotype"/>
          <w:sz w:val="24"/>
          <w:szCs w:val="24"/>
        </w:rPr>
        <w:t>Costo del evento que se llevó a cabo para el aniversario del municipio.</w:t>
      </w:r>
    </w:p>
    <w:p w:rsidR="00564212" w:rsidRDefault="009357F8" w:rsidP="00564212">
      <w:pPr>
        <w:spacing w:before="240" w:line="360" w:lineRule="auto"/>
        <w:ind w:right="49"/>
        <w:jc w:val="both"/>
        <w:rPr>
          <w:rFonts w:ascii="Palatino Linotype" w:eastAsia="Palatino Linotype" w:hAnsi="Palatino Linotype" w:cs="Palatino Linotype"/>
          <w:color w:val="000000"/>
        </w:rPr>
      </w:pPr>
      <w:r w:rsidRPr="00564212">
        <w:rPr>
          <w:rFonts w:ascii="Palatino Linotype" w:eastAsia="Palatino Linotype" w:hAnsi="Palatino Linotype" w:cs="Palatino Linotype"/>
        </w:rPr>
        <w:lastRenderedPageBreak/>
        <w:t xml:space="preserve">Por su parte el </w:t>
      </w:r>
      <w:r w:rsidRPr="00564212">
        <w:rPr>
          <w:rFonts w:ascii="Palatino Linotype" w:eastAsia="Palatino Linotype" w:hAnsi="Palatino Linotype" w:cs="Palatino Linotype"/>
          <w:b/>
        </w:rPr>
        <w:t>SUJETO OBLIGADO</w:t>
      </w:r>
      <w:r w:rsidR="00564212">
        <w:rPr>
          <w:rFonts w:ascii="Palatino Linotype" w:eastAsia="Palatino Linotype" w:hAnsi="Palatino Linotype" w:cs="Palatino Linotype"/>
          <w:b/>
        </w:rPr>
        <w:t>, a través de su</w:t>
      </w:r>
      <w:r w:rsidRPr="00564212">
        <w:rPr>
          <w:rFonts w:ascii="Palatino Linotype" w:eastAsia="Palatino Linotype" w:hAnsi="Palatino Linotype" w:cs="Palatino Linotype"/>
        </w:rPr>
        <w:t xml:space="preserve"> </w:t>
      </w:r>
      <w:r w:rsidR="00564212">
        <w:rPr>
          <w:rFonts w:ascii="Palatino Linotype" w:eastAsia="Palatino Linotype" w:hAnsi="Palatino Linotype" w:cs="Palatino Linotype"/>
          <w:color w:val="000000"/>
        </w:rPr>
        <w:t xml:space="preserve">Directora del DIF Municipal de Villa del Carbón, informó que el evento fue con causa por lo que no tuvo costo alguno, únicamente el intercambio de un producto de la canasta básica para su acceso. </w:t>
      </w:r>
    </w:p>
    <w:p w:rsidR="00171E3F" w:rsidRDefault="00171E3F" w:rsidP="00171E3F">
      <w:pPr>
        <w:spacing w:line="360" w:lineRule="auto"/>
        <w:jc w:val="both"/>
        <w:rPr>
          <w:rFonts w:ascii="Palatino Linotype" w:eastAsia="Palatino Linotype" w:hAnsi="Palatino Linotype" w:cs="Palatino Linotype"/>
        </w:rPr>
      </w:pPr>
    </w:p>
    <w:p w:rsidR="00564212" w:rsidRDefault="00171E3F" w:rsidP="00171E3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Inconforme 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con la respuesta, interpuso el Recurso de Revisión en lo medular porque </w:t>
      </w:r>
      <w:r w:rsidR="00564212">
        <w:rPr>
          <w:rFonts w:ascii="Palatino Linotype" w:eastAsia="Palatino Linotype" w:hAnsi="Palatino Linotype" w:cs="Palatino Linotype"/>
        </w:rPr>
        <w:t>“solicitó</w:t>
      </w:r>
      <w:r w:rsidR="00564212" w:rsidRPr="00564212">
        <w:rPr>
          <w:rFonts w:ascii="Palatino Linotype" w:eastAsia="Palatino Linotype" w:hAnsi="Palatino Linotype" w:cs="Palatino Linotype"/>
        </w:rPr>
        <w:t xml:space="preserve"> el costo del evento del aniversario del municipio, por lo que pido </w:t>
      </w:r>
      <w:r w:rsidR="00564212" w:rsidRPr="00111A55">
        <w:rPr>
          <w:rFonts w:ascii="Palatino Linotype" w:eastAsia="Palatino Linotype" w:hAnsi="Palatino Linotype" w:cs="Palatino Linotype"/>
          <w:b/>
        </w:rPr>
        <w:t>sea completa</w:t>
      </w:r>
      <w:r w:rsidR="00564212" w:rsidRPr="00111A55">
        <w:rPr>
          <w:rFonts w:ascii="Palatino Linotype" w:eastAsia="Palatino Linotype" w:hAnsi="Palatino Linotype" w:cs="Palatino Linotype"/>
        </w:rPr>
        <w:t xml:space="preserve"> en</w:t>
      </w:r>
      <w:r w:rsidR="00564212" w:rsidRPr="00564212">
        <w:rPr>
          <w:rFonts w:ascii="Palatino Linotype" w:eastAsia="Palatino Linotype" w:hAnsi="Palatino Linotype" w:cs="Palatino Linotype"/>
        </w:rPr>
        <w:t xml:space="preserve"> cuanto a si hubo alguna erogación por concepto de arrendamiento de equipo de sonido, lonas, sillas, si se pagó algo por la presentación de los cantantes, grupos musicales, baile o cualquier similar que se haya efectuado</w:t>
      </w:r>
      <w:r w:rsidR="00564212">
        <w:rPr>
          <w:rFonts w:ascii="Palatino Linotype" w:eastAsia="Palatino Linotype" w:hAnsi="Palatino Linotype" w:cs="Palatino Linotype"/>
        </w:rPr>
        <w:t>” (Sic).</w:t>
      </w:r>
    </w:p>
    <w:p w:rsidR="00AA5D8D" w:rsidRDefault="00AA5D8D" w:rsidP="00171E3F">
      <w:pPr>
        <w:spacing w:after="240" w:line="360" w:lineRule="auto"/>
        <w:contextualSpacing/>
        <w:jc w:val="both"/>
        <w:rPr>
          <w:rFonts w:ascii="Palatino Linotype" w:eastAsia="Palatino Linotype" w:hAnsi="Palatino Linotype" w:cs="Palatino Linotype"/>
        </w:rPr>
      </w:pPr>
    </w:p>
    <w:p w:rsidR="00171E3F" w:rsidRDefault="00171E3F" w:rsidP="00171E3F">
      <w:pPr>
        <w:spacing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Una vez notificado el recurso de revisión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este fue omiso en rendir su informe justificado. </w:t>
      </w:r>
    </w:p>
    <w:p w:rsidR="00AA5D8D" w:rsidRDefault="00AA5D8D" w:rsidP="00171E3F">
      <w:pPr>
        <w:spacing w:after="240" w:line="360" w:lineRule="auto"/>
        <w:contextualSpacing/>
        <w:jc w:val="both"/>
        <w:rPr>
          <w:rFonts w:ascii="Palatino Linotype" w:eastAsia="Palatino Linotype" w:hAnsi="Palatino Linotype" w:cs="Palatino Linotype"/>
        </w:rPr>
      </w:pPr>
    </w:p>
    <w:p w:rsidR="0019016C" w:rsidRDefault="00564212" w:rsidP="0056421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Con base en lo precedente</w:t>
      </w:r>
      <w:r>
        <w:rPr>
          <w:rFonts w:ascii="Palatino Linotype" w:eastAsia="Palatino Linotype" w:hAnsi="Palatino Linotype" w:cs="Palatino Linotype"/>
        </w:rPr>
        <w:t xml:space="preserve">, se reitera que la información proporcionada por el </w:t>
      </w:r>
      <w:r w:rsidRPr="004D4669">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no cumple con lo establecido por los artículos 4, 12, 24 último párrafo y 162 de la Ley de Transparencia y Acceso a la Información Pública del Estado de México y Municipios; de ahí que, </w:t>
      </w:r>
      <w:r w:rsidR="009357F8">
        <w:rPr>
          <w:rFonts w:ascii="Palatino Linotype" w:eastAsia="Palatino Linotype" w:hAnsi="Palatino Linotype" w:cs="Palatino Linotype"/>
        </w:rPr>
        <w:t xml:space="preserve">los motivos de inconformidad acontecen fundados para modificar la respuesta del </w:t>
      </w:r>
      <w:r w:rsidR="009357F8">
        <w:rPr>
          <w:rFonts w:ascii="Palatino Linotype" w:eastAsia="Palatino Linotype" w:hAnsi="Palatino Linotype" w:cs="Palatino Linotype"/>
          <w:b/>
        </w:rPr>
        <w:t>SUJETO OBLIGADO</w:t>
      </w:r>
      <w:r w:rsidR="009357F8">
        <w:rPr>
          <w:rFonts w:ascii="Palatino Linotype" w:eastAsia="Palatino Linotype" w:hAnsi="Palatino Linotype" w:cs="Palatino Linotype"/>
        </w:rPr>
        <w:t xml:space="preserve"> en razón de las consideraciones de derecho que a continuación se exponen:</w:t>
      </w:r>
    </w:p>
    <w:p w:rsidR="00AA5D8D" w:rsidRDefault="00AA5D8D" w:rsidP="00564212">
      <w:pPr>
        <w:spacing w:line="360" w:lineRule="auto"/>
        <w:jc w:val="both"/>
        <w:rPr>
          <w:rFonts w:ascii="Palatino Linotype" w:eastAsia="Palatino Linotype" w:hAnsi="Palatino Linotype" w:cs="Palatino Linotype"/>
        </w:rPr>
      </w:pPr>
    </w:p>
    <w:p w:rsidR="00AA5D8D" w:rsidRDefault="00AA5D8D" w:rsidP="00AA5D8D">
      <w:pPr>
        <w:spacing w:before="240" w:after="240" w:line="360" w:lineRule="auto"/>
        <w:jc w:val="both"/>
        <w:rPr>
          <w:rFonts w:ascii="Palatino Linotype" w:eastAsia="Palatino Linotype" w:hAnsi="Palatino Linotype" w:cs="Palatino Linotype"/>
          <w:lang w:eastAsia="en-US"/>
        </w:rPr>
      </w:pPr>
      <w:r>
        <w:rPr>
          <w:rFonts w:ascii="Palatino Linotype" w:eastAsia="Palatino Linotype" w:hAnsi="Palatino Linotype" w:cs="Palatino Linotype"/>
        </w:rPr>
        <w:lastRenderedPageBreak/>
        <w:t>Determinado lo anterior se procedió a la búsqueda de la información solicitada encontrándose una nota periodística en</w:t>
      </w:r>
      <w:r w:rsidR="00E530C8">
        <w:rPr>
          <w:rFonts w:ascii="Palatino Linotype" w:eastAsia="Palatino Linotype" w:hAnsi="Palatino Linotype" w:cs="Palatino Linotype"/>
        </w:rPr>
        <w:t xml:space="preserve"> la página electrónica o web de la radio y televisión Mexiquense</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en donde se puede leer lo siguiente:</w:t>
      </w:r>
    </w:p>
    <w:p w:rsidR="00AA5D8D" w:rsidRDefault="00E530C8" w:rsidP="00564212">
      <w:pPr>
        <w:spacing w:line="360" w:lineRule="auto"/>
        <w:jc w:val="both"/>
        <w:rPr>
          <w:rFonts w:ascii="Palatino Linotype" w:eastAsia="Palatino Linotype" w:hAnsi="Palatino Linotype" w:cs="Palatino Linotype"/>
        </w:rPr>
      </w:pPr>
      <w:r>
        <w:rPr>
          <w:noProof/>
          <w:lang w:val="es-MX" w:eastAsia="es-MX"/>
        </w:rPr>
        <w:drawing>
          <wp:inline distT="0" distB="0" distL="0" distR="0" wp14:anchorId="604AB683" wp14:editId="25365C2B">
            <wp:extent cx="5505450" cy="34988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443" t="10867" r="40711" b="6420"/>
                    <a:stretch/>
                  </pic:blipFill>
                  <pic:spPr bwMode="auto">
                    <a:xfrm>
                      <a:off x="0" y="0"/>
                      <a:ext cx="5505450" cy="3498850"/>
                    </a:xfrm>
                    <a:prstGeom prst="rect">
                      <a:avLst/>
                    </a:prstGeom>
                    <a:ln>
                      <a:noFill/>
                    </a:ln>
                    <a:extLst>
                      <a:ext uri="{53640926-AAD7-44D8-BBD7-CCE9431645EC}">
                        <a14:shadowObscured xmlns:a14="http://schemas.microsoft.com/office/drawing/2010/main"/>
                      </a:ext>
                    </a:extLst>
                  </pic:spPr>
                </pic:pic>
              </a:graphicData>
            </a:graphic>
          </wp:inline>
        </w:drawing>
      </w:r>
    </w:p>
    <w:p w:rsidR="0019016C" w:rsidRDefault="00E530C8">
      <w:pPr>
        <w:spacing w:line="360" w:lineRule="auto"/>
        <w:ind w:right="-93"/>
        <w:jc w:val="both"/>
        <w:rPr>
          <w:rFonts w:ascii="Palatino Linotype" w:eastAsia="Palatino Linotype" w:hAnsi="Palatino Linotype" w:cs="Palatino Linotype"/>
          <w:color w:val="000000"/>
        </w:rPr>
      </w:pPr>
      <w:r>
        <w:rPr>
          <w:noProof/>
          <w:lang w:val="es-MX" w:eastAsia="es-MX"/>
        </w:rPr>
        <w:drawing>
          <wp:inline distT="0" distB="0" distL="0" distR="0" wp14:anchorId="5AAB6FE4" wp14:editId="71532357">
            <wp:extent cx="5403850" cy="203835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330" t="16301" r="39466" b="52304"/>
                    <a:stretch/>
                  </pic:blipFill>
                  <pic:spPr bwMode="auto">
                    <a:xfrm>
                      <a:off x="0" y="0"/>
                      <a:ext cx="5403850" cy="2038350"/>
                    </a:xfrm>
                    <a:prstGeom prst="rect">
                      <a:avLst/>
                    </a:prstGeom>
                    <a:ln>
                      <a:noFill/>
                    </a:ln>
                    <a:extLst>
                      <a:ext uri="{53640926-AAD7-44D8-BBD7-CCE9431645EC}">
                        <a14:shadowObscured xmlns:a14="http://schemas.microsoft.com/office/drawing/2010/main"/>
                      </a:ext>
                    </a:extLst>
                  </pic:spPr>
                </pic:pic>
              </a:graphicData>
            </a:graphic>
          </wp:inline>
        </w:drawing>
      </w:r>
    </w:p>
    <w:p w:rsidR="0019016C" w:rsidRDefault="00E530C8">
      <w:pPr>
        <w:spacing w:line="360" w:lineRule="auto"/>
        <w:jc w:val="both"/>
        <w:rPr>
          <w:rFonts w:ascii="Palatino Linotype" w:eastAsia="Palatino Linotype" w:hAnsi="Palatino Linotype" w:cs="Palatino Linotype"/>
        </w:rPr>
      </w:pPr>
      <w:r>
        <w:rPr>
          <w:noProof/>
          <w:lang w:val="es-MX" w:eastAsia="es-MX"/>
        </w:rPr>
        <w:lastRenderedPageBreak/>
        <w:drawing>
          <wp:inline distT="0" distB="0" distL="0" distR="0" wp14:anchorId="10C28F9F" wp14:editId="46C2BA9B">
            <wp:extent cx="5575300" cy="927100"/>
            <wp:effectExtent l="0" t="0" r="635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990" t="21936" r="38221" b="55927"/>
                    <a:stretch/>
                  </pic:blipFill>
                  <pic:spPr bwMode="auto">
                    <a:xfrm>
                      <a:off x="0" y="0"/>
                      <a:ext cx="5575300" cy="927100"/>
                    </a:xfrm>
                    <a:prstGeom prst="rect">
                      <a:avLst/>
                    </a:prstGeom>
                    <a:ln>
                      <a:noFill/>
                    </a:ln>
                    <a:extLst>
                      <a:ext uri="{53640926-AAD7-44D8-BBD7-CCE9431645EC}">
                        <a14:shadowObscured xmlns:a14="http://schemas.microsoft.com/office/drawing/2010/main"/>
                      </a:ext>
                    </a:extLst>
                  </pic:spPr>
                </pic:pic>
              </a:graphicData>
            </a:graphic>
          </wp:inline>
        </w:drawing>
      </w:r>
    </w:p>
    <w:p w:rsidR="00C865AB" w:rsidRDefault="00C865AB">
      <w:pPr>
        <w:spacing w:line="360" w:lineRule="auto"/>
        <w:jc w:val="both"/>
        <w:rPr>
          <w:rFonts w:ascii="Palatino Linotype" w:eastAsia="Palatino Linotype" w:hAnsi="Palatino Linotype" w:cs="Palatino Linotype"/>
        </w:rPr>
      </w:pPr>
      <w:r>
        <w:rPr>
          <w:noProof/>
          <w:lang w:val="es-MX" w:eastAsia="es-MX"/>
        </w:rPr>
        <w:drawing>
          <wp:inline distT="0" distB="0" distL="0" distR="0" wp14:anchorId="56614D02" wp14:editId="0DC899F4">
            <wp:extent cx="5594350" cy="927100"/>
            <wp:effectExtent l="0" t="0" r="635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764" t="35621" r="39918" b="51298"/>
                    <a:stretch/>
                  </pic:blipFill>
                  <pic:spPr bwMode="auto">
                    <a:xfrm>
                      <a:off x="0" y="0"/>
                      <a:ext cx="5594350" cy="927100"/>
                    </a:xfrm>
                    <a:prstGeom prst="rect">
                      <a:avLst/>
                    </a:prstGeom>
                    <a:ln>
                      <a:noFill/>
                    </a:ln>
                    <a:extLst>
                      <a:ext uri="{53640926-AAD7-44D8-BBD7-CCE9431645EC}">
                        <a14:shadowObscured xmlns:a14="http://schemas.microsoft.com/office/drawing/2010/main"/>
                      </a:ext>
                    </a:extLst>
                  </pic:spPr>
                </pic:pic>
              </a:graphicData>
            </a:graphic>
          </wp:inline>
        </w:drawing>
      </w:r>
    </w:p>
    <w:p w:rsidR="00C865AB" w:rsidRDefault="00C865AB" w:rsidP="00C865AB">
      <w:pPr>
        <w:spacing w:line="360" w:lineRule="auto"/>
        <w:jc w:val="both"/>
        <w:rPr>
          <w:rFonts w:ascii="Palatino Linotype" w:eastAsia="Palatino Linotype" w:hAnsi="Palatino Linotype" w:cs="Palatino Linotype"/>
          <w:lang w:eastAsia="en-US"/>
        </w:rPr>
      </w:pPr>
      <w:r>
        <w:rPr>
          <w:rFonts w:ascii="Palatino Linotype" w:eastAsia="Palatino Linotype" w:hAnsi="Palatino Linotype" w:cs="Palatino Linotype"/>
        </w:rPr>
        <w:t xml:space="preserve">Con base a lo anterior, podemos concluir la existencia del aniversario número 161 del Ayuntamiento de Villa del Carbón el pasado mes de marzo del año dos mil veintidós, además que se llevaron ciertas actividades por la conmemoración del SUJETO OBLIGADO, como entrega de preseas, reconocimientos, desfiles, bailes, juegos tradicionales, cabalgatas y charrería, sirve de sustento a lo anterior </w:t>
      </w:r>
      <w:r>
        <w:rPr>
          <w:rFonts w:ascii="Palatino Linotype" w:eastAsia="Palatino Linotype" w:hAnsi="Palatino Linotype" w:cs="Palatino Linotype"/>
          <w:color w:val="000000"/>
        </w:rPr>
        <w:t>las siguientes tesis jurisprudenciales</w:t>
      </w:r>
      <w:r>
        <w:rPr>
          <w:rFonts w:ascii="Palatino Linotype" w:eastAsia="Palatino Linotype" w:hAnsi="Palatino Linotype" w:cs="Palatino Linotype"/>
        </w:rPr>
        <w:t>:</w:t>
      </w:r>
    </w:p>
    <w:p w:rsidR="00C865AB" w:rsidRDefault="00C865AB" w:rsidP="00C865AB">
      <w:pPr>
        <w:spacing w:line="360" w:lineRule="auto"/>
        <w:ind w:left="567" w:right="616"/>
        <w:jc w:val="center"/>
        <w:rPr>
          <w:rFonts w:ascii="Palatino Linotype" w:eastAsia="Palatino Linotype" w:hAnsi="Palatino Linotype" w:cs="Palatino Linotype"/>
          <w:b/>
          <w:i/>
          <w:sz w:val="22"/>
          <w:szCs w:val="22"/>
        </w:rPr>
      </w:pPr>
    </w:p>
    <w:p w:rsidR="00C865AB" w:rsidRDefault="00C865AB" w:rsidP="00C865AB">
      <w:pPr>
        <w:ind w:left="567" w:right="616"/>
        <w:jc w:val="center"/>
        <w:rPr>
          <w:rFonts w:ascii="Palatino Linotype" w:eastAsia="Palatino Linotype" w:hAnsi="Palatino Linotype" w:cs="Palatino Linotype"/>
          <w:b/>
          <w:i/>
        </w:rPr>
      </w:pPr>
      <w:r>
        <w:rPr>
          <w:rFonts w:ascii="Palatino Linotype" w:eastAsia="Palatino Linotype" w:hAnsi="Palatino Linotype" w:cs="Palatino Linotype"/>
          <w:b/>
          <w:i/>
        </w:rPr>
        <w:t>“HECHOS NOTORIOS. CONCEPTOS GENERAL Y JURÍDICO</w:t>
      </w:r>
    </w:p>
    <w:p w:rsidR="00C865AB" w:rsidRDefault="00C865AB" w:rsidP="00C865AB">
      <w:pPr>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t xml:space="preserve">Conforme al artículo </w:t>
      </w:r>
      <w:hyperlink r:id="rId14" w:history="1">
        <w:r>
          <w:rPr>
            <w:rStyle w:val="Hipervnculo"/>
            <w:rFonts w:ascii="Palatino Linotype" w:eastAsia="Palatino Linotype" w:hAnsi="Palatino Linotype" w:cs="Palatino Linotype"/>
            <w:b/>
            <w:i/>
          </w:rPr>
          <w:t>88 del Código Federal de Procedimientos Civiles</w:t>
        </w:r>
      </w:hyperlink>
      <w:r>
        <w:rPr>
          <w:rFonts w:ascii="Palatino Linotype" w:eastAsia="Palatino Linotype" w:hAnsi="Palatino Linotype" w:cs="Palatino Linotype"/>
          <w:b/>
          <w:i/>
        </w:rPr>
        <w:t xml:space="preserve"> los tribunales pueden invocar hechos notorios aunque no hayan sido alegados ni probados por las partes.</w:t>
      </w:r>
      <w:r>
        <w:rPr>
          <w:rFonts w:ascii="Palatino Linotype" w:eastAsia="Palatino Linotype" w:hAnsi="Palatino Linotype" w:cs="Palatino Linotype"/>
          <w:i/>
        </w:rPr>
        <w:t xml:space="preserve"> Por hechos notorios deben entenderse, en general, aquellos que por el conocimiento humano se consideran ciertos e indiscutibles, ya sea que pertenezcan a la historia, a la ciencia, a la naturaleza</w:t>
      </w:r>
      <w:r>
        <w:rPr>
          <w:rFonts w:ascii="Palatino Linotype" w:eastAsia="Palatino Linotype" w:hAnsi="Palatino Linotype" w:cs="Palatino Linotype"/>
          <w:b/>
          <w:i/>
        </w:rPr>
        <w:t>, a las vicisitudes de la vida pública actual o a circunstancias comúnmente conocidas en un determinado lugar</w:t>
      </w:r>
      <w:r>
        <w:rPr>
          <w:rFonts w:ascii="Palatino Linotype" w:eastAsia="Palatino Linotype" w:hAnsi="Palatino Linotype" w:cs="Palatino Linotype"/>
          <w:i/>
        </w:rPr>
        <w:t xml:space="preserve">, </w:t>
      </w:r>
      <w:r>
        <w:rPr>
          <w:rFonts w:ascii="Palatino Linotype" w:eastAsia="Palatino Linotype" w:hAnsi="Palatino Linotype" w:cs="Palatino Linotype"/>
          <w:b/>
          <w:i/>
        </w:rPr>
        <w:t>de modo que toda persona de ese medio esté en condiciones de saberlo</w:t>
      </w:r>
      <w:r>
        <w:rPr>
          <w:rFonts w:ascii="Palatino Linotype" w:eastAsia="Palatino Linotype" w:hAnsi="Palatino Linotype" w:cs="Palatino Linotype"/>
          <w:i/>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rsidR="00C865AB" w:rsidRDefault="00C865AB" w:rsidP="00C865AB">
      <w:pPr>
        <w:ind w:left="567" w:right="616"/>
        <w:rPr>
          <w:rFonts w:ascii="Palatino Linotype" w:eastAsia="Palatino Linotype" w:hAnsi="Palatino Linotype" w:cs="Palatino Linotype"/>
          <w:i/>
        </w:rPr>
      </w:pPr>
    </w:p>
    <w:p w:rsidR="00C865AB" w:rsidRDefault="00C865AB" w:rsidP="00C865AB">
      <w:pPr>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Controversia constitucional 24/2005. Cámara de Diputados del Congreso de la Unión. 9 de marzo de 2006. Once votos. Ponente: José Ramón Cossío Díaz. Secretarios: Raúl Manuel Mejía Garza y Laura Patricia Rojas Zamudio.</w:t>
      </w:r>
    </w:p>
    <w:p w:rsidR="00C865AB" w:rsidRDefault="00C865AB" w:rsidP="00C865AB">
      <w:pPr>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El Tribunal Pleno, el dieciséis de mayo en curso, aprobó, con el número 74/2006, la tesis jurisprudencial que antecede. México, Distrito Federal, a dieciséis de mayo de dos mil seis.</w:t>
      </w:r>
    </w:p>
    <w:p w:rsidR="00C865AB" w:rsidRDefault="00C865AB" w:rsidP="00C865AB">
      <w:pPr>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Nota: Esta tesis fue objeto de la denuncia relativa a la contradicción de tesis 91/2014, desechada por notoriamente improcedente, mediante acuerdo de 24 de marzo de 2014.”</w:t>
      </w:r>
    </w:p>
    <w:p w:rsidR="00C865AB" w:rsidRDefault="00C865AB" w:rsidP="00C865AB">
      <w:pPr>
        <w:ind w:left="567" w:right="616"/>
        <w:jc w:val="both"/>
        <w:rPr>
          <w:rFonts w:ascii="Palatino Linotype" w:eastAsia="Palatino Linotype" w:hAnsi="Palatino Linotype" w:cs="Palatino Linotype"/>
          <w:i/>
        </w:rPr>
      </w:pPr>
    </w:p>
    <w:p w:rsidR="00C865AB" w:rsidRDefault="00C865AB" w:rsidP="00C865AB">
      <w:pPr>
        <w:widowControl w:val="0"/>
        <w:shd w:val="clear" w:color="auto" w:fill="FFFFFF"/>
        <w:spacing w:after="120"/>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PÁGINAS WEB O ELECTRÓNICAS. SU CONTENIDO ES UN HECHO NOTORIO Y SUSCEPTIBLE DE SER VALORADO EN UNA DECISIÓN JUDICIAL.</w:t>
      </w:r>
      <w:r>
        <w:rPr>
          <w:color w:val="000000"/>
        </w:rPr>
        <w:t xml:space="preserve"> </w:t>
      </w:r>
      <w:r>
        <w:rPr>
          <w:rFonts w:ascii="Palatino Linotype" w:eastAsia="Palatino Linotype" w:hAnsi="Palatino Linotype" w:cs="Palatino Linotype"/>
          <w:i/>
          <w:color w:val="000000"/>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w:t>
      </w:r>
      <w:proofErr w:type="spellStart"/>
      <w:r>
        <w:rPr>
          <w:rFonts w:ascii="Palatino Linotype" w:eastAsia="Palatino Linotype" w:hAnsi="Palatino Linotype" w:cs="Palatino Linotype"/>
          <w:i/>
          <w:color w:val="000000"/>
        </w:rPr>
        <w:t>Mardygras</w:t>
      </w:r>
      <w:proofErr w:type="spellEnd"/>
      <w:r>
        <w:rPr>
          <w:rFonts w:ascii="Palatino Linotype" w:eastAsia="Palatino Linotype" w:hAnsi="Palatino Linotype" w:cs="Palatino Linotype"/>
          <w:i/>
          <w:color w:val="000000"/>
        </w:rPr>
        <w:t xml:space="preserve">, S.A. de C.V. 7 de diciembre de 2012. Unanimidad de votos. Ponente: Neófito López Ramos. Secretaria: Ana Lilia Osorno Arroyo. HECHO NOTORIO. LO </w:t>
      </w:r>
      <w:r>
        <w:rPr>
          <w:rFonts w:ascii="Palatino Linotype" w:eastAsia="Palatino Linotype" w:hAnsi="Palatino Linotype" w:cs="Palatino Linotype"/>
          <w:i/>
          <w:color w:val="000000"/>
        </w:rPr>
        <w:lastRenderedPageBreak/>
        <w:t xml:space="preserve">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 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Enero de 2009 </w:t>
      </w:r>
      <w:proofErr w:type="spellStart"/>
      <w:r>
        <w:rPr>
          <w:rFonts w:ascii="Palatino Linotype" w:eastAsia="Palatino Linotype" w:hAnsi="Palatino Linotype" w:cs="Palatino Linotype"/>
          <w:i/>
          <w:color w:val="000000"/>
        </w:rPr>
        <w:t>Pag</w:t>
      </w:r>
      <w:proofErr w:type="spellEnd"/>
      <w:r>
        <w:rPr>
          <w:rFonts w:ascii="Palatino Linotype" w:eastAsia="Palatino Linotype" w:hAnsi="Palatino Linotype" w:cs="Palatino Linotype"/>
          <w:i/>
          <w:color w:val="000000"/>
        </w:rPr>
        <w:t xml:space="preserve">.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 SEGUNDO TRIBUNAL COLEGIADO DEL VIGÉSIMO CIRCUITO. Amparo directo 816/2006. 13 de junio de 2007. Unanimidad de votos. Ponente: Carlos Arteaga Álvarez. Secretario: Jorge Alberto Camacho Pérez. Amparo directo 77/2008. 10 de octubre de 2008. Unanimidad de votos. Ponente: Carlos Arteaga Álvarez. Secretario: José Martín Lázaro Vázquez. Amparo directo 74/2008. 10 de octubre de 2008. Unanimidad de votos. Ponente: Carlos Arteaga Álvarez. Secretario: Jorge Alberto Camacho Pérez. Amparo directo 355/2008. 16 de octubre de 2008. Unanimidad de votos. Ponente: Antonio Artemio Maldonado Cruz, secretario de tribunal autorizado por la Comisión de Carrera Judicial del Consejo de la Judicatura Federal para desempeñar las funciones de Magistrado. Secretario: Rolando Meza Camacho. Amparo directo 968/2007. 23 de octubre de 2008. Unanimidad de votos. Ponente: Marta Olivia Tello Acuña. Secretaria: Elvia Aguilar Moreno. Nota: Esta tesis fue objeto de la denuncia relativa a la contradicción de tesis 91/2014, desechada por notoriamente improcedente, mediante acuerdo de 23 de marzo de 2014. Por </w:t>
      </w:r>
      <w:r>
        <w:rPr>
          <w:rFonts w:ascii="Palatino Linotype" w:eastAsia="Palatino Linotype" w:hAnsi="Palatino Linotype" w:cs="Palatino Linotype"/>
          <w:i/>
          <w:color w:val="000000"/>
        </w:rPr>
        <w:lastRenderedPageBreak/>
        <w:t>ejecutoria del 19 de junio de 2013, la Segunda Sala declaró inexistente la contradicción de tesis 132/2013 derivada de la denuncia de la que fue objeto el criterio contenido en esta tesis, al estimarse que no son discrepantes los criterios materia de la denuncia respectiva.” (Sic)</w:t>
      </w:r>
    </w:p>
    <w:p w:rsidR="00024223" w:rsidRDefault="00024223" w:rsidP="00C865AB">
      <w:pPr>
        <w:spacing w:line="360" w:lineRule="auto"/>
        <w:ind w:right="51"/>
        <w:jc w:val="both"/>
        <w:rPr>
          <w:rFonts w:ascii="Palatino Linotype" w:eastAsia="Palatino Linotype" w:hAnsi="Palatino Linotype" w:cs="Palatino Linotype"/>
        </w:rPr>
      </w:pPr>
    </w:p>
    <w:p w:rsidR="00C865AB" w:rsidRDefault="00C865AB" w:rsidP="00C865AB">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Luego entonces el Ayuntamiento de </w:t>
      </w:r>
      <w:r w:rsidR="00024223">
        <w:rPr>
          <w:rFonts w:ascii="Palatino Linotype" w:eastAsia="Palatino Linotype" w:hAnsi="Palatino Linotype" w:cs="Palatino Linotype"/>
        </w:rPr>
        <w:t>Villa de Carbón</w:t>
      </w:r>
      <w:r>
        <w:rPr>
          <w:rFonts w:ascii="Palatino Linotype" w:eastAsia="Palatino Linotype" w:hAnsi="Palatino Linotype" w:cs="Palatino Linotype"/>
        </w:rPr>
        <w:t xml:space="preserve"> deberá hacer de nuevo una búsqueda exhaustiva y razonable en términos del artículo 162 de la Ley de la Materia, que señala:</w:t>
      </w:r>
    </w:p>
    <w:p w:rsidR="00C865AB" w:rsidRDefault="00C865AB" w:rsidP="00C865AB">
      <w:pPr>
        <w:spacing w:line="360" w:lineRule="auto"/>
        <w:ind w:right="51"/>
        <w:jc w:val="both"/>
        <w:rPr>
          <w:rFonts w:ascii="Palatino Linotype" w:eastAsia="Palatino Linotype" w:hAnsi="Palatino Linotype" w:cs="Palatino Linotype"/>
        </w:rPr>
      </w:pPr>
    </w:p>
    <w:p w:rsidR="00C865AB" w:rsidRDefault="00C865AB" w:rsidP="00C865AB">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rsidR="00024223" w:rsidRDefault="00024223" w:rsidP="00C865AB">
      <w:pPr>
        <w:spacing w:line="360" w:lineRule="auto"/>
        <w:ind w:right="51"/>
        <w:jc w:val="both"/>
        <w:rPr>
          <w:rFonts w:ascii="Palatino Linotype" w:eastAsia="Palatino Linotype" w:hAnsi="Palatino Linotype" w:cs="Palatino Linotype"/>
        </w:rPr>
      </w:pPr>
    </w:p>
    <w:p w:rsidR="00C865AB" w:rsidRDefault="00C865AB" w:rsidP="00C865AB">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Ya que una de las áreas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enunciativa más no limitativa que no se pronunció fue la </w:t>
      </w:r>
      <w:r w:rsidR="00024223">
        <w:rPr>
          <w:rFonts w:ascii="Palatino Linotype" w:eastAsia="Palatino Linotype" w:hAnsi="Palatino Linotype" w:cs="Palatino Linotype"/>
        </w:rPr>
        <w:t xml:space="preserve">Tesorería Municipal, en términos del artículo 95 fracción IV </w:t>
      </w:r>
      <w:r>
        <w:rPr>
          <w:rFonts w:ascii="Palatino Linotype" w:eastAsia="Palatino Linotype" w:hAnsi="Palatino Linotype" w:cs="Palatino Linotype"/>
        </w:rPr>
        <w:t xml:space="preserve">de la Ley </w:t>
      </w:r>
      <w:r w:rsidR="00024223">
        <w:rPr>
          <w:rFonts w:ascii="Palatino Linotype" w:eastAsia="Palatino Linotype" w:hAnsi="Palatino Linotype" w:cs="Palatino Linotype"/>
        </w:rPr>
        <w:t>Orgánica Municipal del Estado de México</w:t>
      </w:r>
      <w:r>
        <w:rPr>
          <w:rFonts w:ascii="Palatino Linotype" w:eastAsia="Palatino Linotype" w:hAnsi="Palatino Linotype" w:cs="Palatino Linotype"/>
        </w:rPr>
        <w:t>, que señala:</w:t>
      </w:r>
    </w:p>
    <w:p w:rsidR="00024223" w:rsidRDefault="00024223" w:rsidP="00C865AB">
      <w:pPr>
        <w:spacing w:line="360" w:lineRule="auto"/>
        <w:ind w:right="51"/>
        <w:jc w:val="both"/>
        <w:rPr>
          <w:rFonts w:ascii="Palatino Linotype" w:eastAsia="Palatino Linotype" w:hAnsi="Palatino Linotype" w:cs="Palatino Linotype"/>
        </w:rPr>
      </w:pPr>
    </w:p>
    <w:p w:rsidR="00024223" w:rsidRPr="002C6896" w:rsidRDefault="00C865AB" w:rsidP="00024223">
      <w:pPr>
        <w:ind w:left="851" w:right="899"/>
        <w:jc w:val="both"/>
        <w:rPr>
          <w:rFonts w:ascii="Palatino Linotype" w:eastAsia="Palatino Linotype" w:hAnsi="Palatino Linotype" w:cs="Palatino Linotype"/>
          <w:i/>
          <w:sz w:val="22"/>
          <w:szCs w:val="22"/>
        </w:rPr>
      </w:pPr>
      <w:r w:rsidRPr="002C6896">
        <w:rPr>
          <w:rFonts w:ascii="Palatino Linotype" w:eastAsia="Palatino Linotype" w:hAnsi="Palatino Linotype" w:cs="Palatino Linotype"/>
          <w:i/>
          <w:sz w:val="22"/>
          <w:szCs w:val="22"/>
        </w:rPr>
        <w:t>“</w:t>
      </w:r>
      <w:r w:rsidR="00024223" w:rsidRPr="002C6896">
        <w:rPr>
          <w:rFonts w:ascii="Palatino Linotype" w:eastAsia="Palatino Linotype" w:hAnsi="Palatino Linotype" w:cs="Palatino Linotype"/>
          <w:i/>
          <w:sz w:val="22"/>
          <w:szCs w:val="22"/>
        </w:rPr>
        <w:t xml:space="preserve">Artículo 95.- Son atribuciones del </w:t>
      </w:r>
      <w:r w:rsidR="00024223" w:rsidRPr="002C6896">
        <w:rPr>
          <w:rFonts w:ascii="Palatino Linotype" w:eastAsia="Palatino Linotype" w:hAnsi="Palatino Linotype" w:cs="Palatino Linotype"/>
          <w:b/>
          <w:i/>
          <w:sz w:val="22"/>
          <w:szCs w:val="22"/>
        </w:rPr>
        <w:t>tesorero municipal</w:t>
      </w:r>
      <w:r w:rsidR="00024223" w:rsidRPr="002C6896">
        <w:rPr>
          <w:rFonts w:ascii="Palatino Linotype" w:eastAsia="Palatino Linotype" w:hAnsi="Palatino Linotype" w:cs="Palatino Linotype"/>
          <w:i/>
          <w:sz w:val="22"/>
          <w:szCs w:val="22"/>
        </w:rPr>
        <w:t>:</w:t>
      </w:r>
    </w:p>
    <w:p w:rsidR="00024223" w:rsidRPr="002C6896" w:rsidRDefault="00024223" w:rsidP="00024223">
      <w:pPr>
        <w:ind w:left="851" w:right="899"/>
        <w:jc w:val="both"/>
        <w:rPr>
          <w:rFonts w:ascii="Palatino Linotype" w:eastAsia="Palatino Linotype" w:hAnsi="Palatino Linotype" w:cs="Palatino Linotype"/>
          <w:i/>
          <w:sz w:val="22"/>
          <w:szCs w:val="22"/>
        </w:rPr>
      </w:pPr>
      <w:r w:rsidRPr="002C6896">
        <w:rPr>
          <w:rFonts w:ascii="Palatino Linotype" w:eastAsia="Palatino Linotype" w:hAnsi="Palatino Linotype" w:cs="Palatino Linotype"/>
          <w:i/>
          <w:sz w:val="22"/>
          <w:szCs w:val="22"/>
        </w:rPr>
        <w:t>…</w:t>
      </w:r>
    </w:p>
    <w:p w:rsidR="00C865AB" w:rsidRPr="002C6896" w:rsidRDefault="00024223" w:rsidP="00C865AB">
      <w:pPr>
        <w:ind w:left="851" w:right="899"/>
        <w:jc w:val="both"/>
        <w:rPr>
          <w:rFonts w:ascii="Palatino Linotype" w:eastAsia="Palatino Linotype" w:hAnsi="Palatino Linotype" w:cs="Palatino Linotype"/>
          <w:i/>
          <w:sz w:val="22"/>
          <w:szCs w:val="22"/>
        </w:rPr>
      </w:pPr>
      <w:r w:rsidRPr="002C6896">
        <w:rPr>
          <w:rFonts w:ascii="Palatino Linotype" w:eastAsia="Palatino Linotype" w:hAnsi="Palatino Linotype" w:cs="Palatino Linotype"/>
          <w:b/>
          <w:i/>
          <w:sz w:val="22"/>
          <w:szCs w:val="22"/>
        </w:rPr>
        <w:t>IV. Llevar los registros contables, financieros y administrativos</w:t>
      </w:r>
      <w:r w:rsidRPr="002C6896">
        <w:rPr>
          <w:rFonts w:ascii="Palatino Linotype" w:eastAsia="Palatino Linotype" w:hAnsi="Palatino Linotype" w:cs="Palatino Linotype"/>
          <w:i/>
          <w:sz w:val="22"/>
          <w:szCs w:val="22"/>
        </w:rPr>
        <w:t xml:space="preserve"> de los ingresos</w:t>
      </w:r>
      <w:r w:rsidRPr="002C6896">
        <w:rPr>
          <w:rFonts w:ascii="Palatino Linotype" w:eastAsia="Palatino Linotype" w:hAnsi="Palatino Linotype" w:cs="Palatino Linotype"/>
          <w:b/>
          <w:i/>
          <w:sz w:val="22"/>
          <w:szCs w:val="22"/>
        </w:rPr>
        <w:t>, egresos</w:t>
      </w:r>
      <w:r w:rsidRPr="002C6896">
        <w:rPr>
          <w:rFonts w:ascii="Palatino Linotype" w:eastAsia="Palatino Linotype" w:hAnsi="Palatino Linotype" w:cs="Palatino Linotype"/>
          <w:i/>
          <w:sz w:val="22"/>
          <w:szCs w:val="22"/>
        </w:rPr>
        <w:t>, e inventarios…</w:t>
      </w:r>
      <w:proofErr w:type="gramStart"/>
      <w:r w:rsidR="00C865AB" w:rsidRPr="002C6896">
        <w:rPr>
          <w:rFonts w:ascii="Palatino Linotype" w:eastAsia="Palatino Linotype" w:hAnsi="Palatino Linotype" w:cs="Palatino Linotype"/>
          <w:i/>
          <w:sz w:val="22"/>
          <w:szCs w:val="22"/>
        </w:rPr>
        <w:t>”(</w:t>
      </w:r>
      <w:proofErr w:type="gramEnd"/>
      <w:r w:rsidR="00C865AB" w:rsidRPr="002C6896">
        <w:rPr>
          <w:rFonts w:ascii="Palatino Linotype" w:eastAsia="Palatino Linotype" w:hAnsi="Palatino Linotype" w:cs="Palatino Linotype"/>
          <w:i/>
          <w:sz w:val="22"/>
          <w:szCs w:val="22"/>
        </w:rPr>
        <w:t>Sic)</w:t>
      </w:r>
    </w:p>
    <w:p w:rsidR="00C865AB" w:rsidRDefault="00C865AB">
      <w:pPr>
        <w:spacing w:line="360" w:lineRule="auto"/>
        <w:jc w:val="both"/>
        <w:rPr>
          <w:rFonts w:ascii="Palatino Linotype" w:eastAsia="Palatino Linotype" w:hAnsi="Palatino Linotype" w:cs="Palatino Linotype"/>
        </w:rPr>
      </w:pPr>
    </w:p>
    <w:p w:rsidR="00C865AB" w:rsidRDefault="0002422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que se robustece con lo señalado por el artículo 50 fracción IV de las dependencias de la </w:t>
      </w:r>
      <w:r w:rsidR="002C6896">
        <w:rPr>
          <w:rFonts w:ascii="Palatino Linotype" w:eastAsia="Palatino Linotype" w:hAnsi="Palatino Linotype" w:cs="Palatino Linotype"/>
        </w:rPr>
        <w:t>Administración</w:t>
      </w:r>
      <w:r>
        <w:rPr>
          <w:rFonts w:ascii="Palatino Linotype" w:eastAsia="Palatino Linotype" w:hAnsi="Palatino Linotype" w:cs="Palatino Linotype"/>
        </w:rPr>
        <w:t xml:space="preserve"> Pública Municipal del Bando Municipal del Ayuntamiento de Villa del </w:t>
      </w:r>
      <w:r w:rsidR="002C6896">
        <w:rPr>
          <w:rFonts w:ascii="Palatino Linotype" w:eastAsia="Palatino Linotype" w:hAnsi="Palatino Linotype" w:cs="Palatino Linotype"/>
        </w:rPr>
        <w:t>Carbón</w:t>
      </w:r>
      <w:r>
        <w:rPr>
          <w:rFonts w:ascii="Palatino Linotype" w:eastAsia="Palatino Linotype" w:hAnsi="Palatino Linotype" w:cs="Palatino Linotype"/>
        </w:rPr>
        <w:t xml:space="preserve"> para el año 2022, que señala:</w:t>
      </w:r>
    </w:p>
    <w:p w:rsidR="00024223" w:rsidRDefault="00024223">
      <w:pPr>
        <w:spacing w:line="360" w:lineRule="auto"/>
        <w:jc w:val="both"/>
        <w:rPr>
          <w:rFonts w:ascii="Palatino Linotype" w:eastAsia="Palatino Linotype" w:hAnsi="Palatino Linotype" w:cs="Palatino Linotype"/>
        </w:rPr>
      </w:pPr>
    </w:p>
    <w:p w:rsidR="00024223" w:rsidRPr="00111A55" w:rsidRDefault="002C6896" w:rsidP="00111A55">
      <w:pPr>
        <w:spacing w:line="276" w:lineRule="auto"/>
        <w:ind w:left="851" w:right="899"/>
        <w:jc w:val="both"/>
        <w:rPr>
          <w:rFonts w:ascii="Palatino Linotype" w:eastAsia="Palatino Linotype" w:hAnsi="Palatino Linotype" w:cs="Palatino Linotype"/>
          <w:i/>
          <w:sz w:val="22"/>
          <w:szCs w:val="22"/>
        </w:rPr>
      </w:pPr>
      <w:r w:rsidRPr="00111A55">
        <w:rPr>
          <w:rFonts w:ascii="Palatino Linotype" w:eastAsia="Palatino Linotype" w:hAnsi="Palatino Linotype" w:cs="Palatino Linotype"/>
          <w:i/>
          <w:sz w:val="22"/>
          <w:szCs w:val="22"/>
        </w:rPr>
        <w:lastRenderedPageBreak/>
        <w:t>“</w:t>
      </w:r>
      <w:r w:rsidR="00024223" w:rsidRPr="00111A55">
        <w:rPr>
          <w:rFonts w:ascii="Palatino Linotype" w:eastAsia="Palatino Linotype" w:hAnsi="Palatino Linotype" w:cs="Palatino Linotype"/>
          <w:b/>
          <w:i/>
          <w:sz w:val="22"/>
          <w:szCs w:val="22"/>
        </w:rPr>
        <w:t>Artículo 50.-</w:t>
      </w:r>
      <w:r w:rsidR="00024223" w:rsidRPr="00111A55">
        <w:rPr>
          <w:rFonts w:ascii="Palatino Linotype" w:eastAsia="Palatino Linotype" w:hAnsi="Palatino Linotype" w:cs="Palatino Linotype"/>
          <w:i/>
          <w:sz w:val="22"/>
          <w:szCs w:val="22"/>
        </w:rPr>
        <w:t xml:space="preserve"> El Gobierno Municipal en el ejercicio de sus atribuciones y para el despacho de los asuntos de orden administrativo, se auxiliará de las siguientes dependencias, mismas que realizarán sus funciones bajo los principios de igualdad, equidad, honestidad, respeto, transparencia y calidad, conforme al presente Bando Municipal y las cuales se encuentran</w:t>
      </w:r>
      <w:r w:rsidR="00C31D5E">
        <w:rPr>
          <w:rFonts w:ascii="Palatino Linotype" w:eastAsia="Palatino Linotype" w:hAnsi="Palatino Linotype" w:cs="Palatino Linotype"/>
          <w:i/>
          <w:sz w:val="22"/>
          <w:szCs w:val="22"/>
        </w:rPr>
        <w:t xml:space="preserve"> </w:t>
      </w:r>
      <w:r w:rsidR="00024223" w:rsidRPr="00111A55">
        <w:rPr>
          <w:rFonts w:ascii="Palatino Linotype" w:eastAsia="Palatino Linotype" w:hAnsi="Palatino Linotype" w:cs="Palatino Linotype"/>
          <w:i/>
          <w:sz w:val="22"/>
          <w:szCs w:val="22"/>
        </w:rPr>
        <w:t>contempladas en el Organigrama de la Administración 2022-2024. La Administración Pública Municipal se conforma por:</w:t>
      </w:r>
    </w:p>
    <w:p w:rsidR="00024223" w:rsidRPr="00111A55" w:rsidRDefault="00024223" w:rsidP="00111A55">
      <w:pPr>
        <w:spacing w:line="276" w:lineRule="auto"/>
        <w:ind w:left="851" w:right="899"/>
        <w:jc w:val="both"/>
        <w:rPr>
          <w:rFonts w:ascii="Palatino Linotype" w:eastAsia="Palatino Linotype" w:hAnsi="Palatino Linotype" w:cs="Palatino Linotype"/>
          <w:i/>
          <w:sz w:val="22"/>
          <w:szCs w:val="22"/>
        </w:rPr>
      </w:pPr>
      <w:r w:rsidRPr="00111A55">
        <w:rPr>
          <w:rFonts w:ascii="Palatino Linotype" w:eastAsia="Palatino Linotype" w:hAnsi="Palatino Linotype" w:cs="Palatino Linotype"/>
          <w:i/>
          <w:sz w:val="22"/>
          <w:szCs w:val="22"/>
        </w:rPr>
        <w:t>…</w:t>
      </w:r>
    </w:p>
    <w:p w:rsidR="00024223" w:rsidRPr="00111A55" w:rsidRDefault="00024223" w:rsidP="00111A55">
      <w:pPr>
        <w:spacing w:line="276" w:lineRule="auto"/>
        <w:ind w:left="851" w:right="899"/>
        <w:jc w:val="both"/>
        <w:rPr>
          <w:rFonts w:ascii="Palatino Linotype" w:eastAsia="Palatino Linotype" w:hAnsi="Palatino Linotype" w:cs="Palatino Linotype"/>
          <w:i/>
          <w:sz w:val="22"/>
          <w:szCs w:val="22"/>
        </w:rPr>
      </w:pPr>
      <w:r w:rsidRPr="00111A55">
        <w:rPr>
          <w:rFonts w:ascii="Palatino Linotype" w:eastAsia="Palatino Linotype" w:hAnsi="Palatino Linotype" w:cs="Palatino Linotype"/>
          <w:i/>
          <w:sz w:val="22"/>
          <w:szCs w:val="22"/>
        </w:rPr>
        <w:t>DEPENDENCIAS DE LA ADMINISTRACIÓN PÚBLICA MUNICIPAL</w:t>
      </w:r>
    </w:p>
    <w:p w:rsidR="00024223" w:rsidRPr="00111A55" w:rsidRDefault="00024223" w:rsidP="00111A55">
      <w:pPr>
        <w:spacing w:line="276" w:lineRule="auto"/>
        <w:ind w:left="851" w:right="899"/>
        <w:jc w:val="both"/>
        <w:rPr>
          <w:rFonts w:ascii="Palatino Linotype" w:eastAsia="Palatino Linotype" w:hAnsi="Palatino Linotype" w:cs="Palatino Linotype"/>
          <w:b/>
          <w:i/>
          <w:sz w:val="22"/>
          <w:szCs w:val="22"/>
        </w:rPr>
      </w:pPr>
      <w:r w:rsidRPr="00111A55">
        <w:rPr>
          <w:rFonts w:ascii="Palatino Linotype" w:eastAsia="Palatino Linotype" w:hAnsi="Palatino Linotype" w:cs="Palatino Linotype"/>
          <w:b/>
          <w:i/>
          <w:sz w:val="22"/>
          <w:szCs w:val="22"/>
        </w:rPr>
        <w:t xml:space="preserve">IV. Tesorería Municipal </w:t>
      </w:r>
    </w:p>
    <w:p w:rsidR="00024223" w:rsidRPr="00111A55" w:rsidRDefault="00024223" w:rsidP="00111A55">
      <w:pPr>
        <w:spacing w:line="276" w:lineRule="auto"/>
        <w:ind w:left="851" w:right="899"/>
        <w:jc w:val="both"/>
        <w:rPr>
          <w:rFonts w:ascii="Palatino Linotype" w:eastAsia="Palatino Linotype" w:hAnsi="Palatino Linotype" w:cs="Palatino Linotype"/>
          <w:i/>
          <w:sz w:val="22"/>
          <w:szCs w:val="22"/>
        </w:rPr>
      </w:pPr>
      <w:r w:rsidRPr="00111A55">
        <w:rPr>
          <w:rFonts w:ascii="Palatino Linotype" w:eastAsia="Palatino Linotype" w:hAnsi="Palatino Linotype" w:cs="Palatino Linotype"/>
          <w:i/>
          <w:sz w:val="22"/>
          <w:szCs w:val="22"/>
        </w:rPr>
        <w:t xml:space="preserve">• Subtesorería de Ingresos </w:t>
      </w:r>
    </w:p>
    <w:p w:rsidR="00024223" w:rsidRPr="002C6896" w:rsidRDefault="00024223" w:rsidP="00111A55">
      <w:pPr>
        <w:spacing w:line="276" w:lineRule="auto"/>
        <w:ind w:left="851" w:right="899"/>
        <w:jc w:val="both"/>
        <w:rPr>
          <w:rFonts w:ascii="Palatino Linotype" w:eastAsia="Palatino Linotype" w:hAnsi="Palatino Linotype" w:cs="Palatino Linotype"/>
          <w:i/>
        </w:rPr>
      </w:pPr>
      <w:r w:rsidRPr="00111A55">
        <w:rPr>
          <w:rFonts w:ascii="Palatino Linotype" w:eastAsia="Palatino Linotype" w:hAnsi="Palatino Linotype" w:cs="Palatino Linotype"/>
          <w:i/>
          <w:sz w:val="22"/>
          <w:szCs w:val="22"/>
        </w:rPr>
        <w:t>• Subtesorería de Egresos</w:t>
      </w:r>
      <w:r w:rsidR="002C6896">
        <w:rPr>
          <w:rFonts w:ascii="Palatino Linotype" w:eastAsia="Palatino Linotype" w:hAnsi="Palatino Linotype" w:cs="Palatino Linotype"/>
          <w:i/>
        </w:rPr>
        <w:t>…</w:t>
      </w:r>
      <w:proofErr w:type="gramStart"/>
      <w:r w:rsidR="002C6896">
        <w:rPr>
          <w:rFonts w:ascii="Palatino Linotype" w:eastAsia="Palatino Linotype" w:hAnsi="Palatino Linotype" w:cs="Palatino Linotype"/>
          <w:i/>
        </w:rPr>
        <w:t>”(</w:t>
      </w:r>
      <w:proofErr w:type="gramEnd"/>
      <w:r w:rsidR="002C6896">
        <w:rPr>
          <w:rFonts w:ascii="Palatino Linotype" w:eastAsia="Palatino Linotype" w:hAnsi="Palatino Linotype" w:cs="Palatino Linotype"/>
          <w:i/>
        </w:rPr>
        <w:t>Sic)</w:t>
      </w:r>
    </w:p>
    <w:p w:rsidR="00C865AB" w:rsidRDefault="00C865AB">
      <w:pPr>
        <w:spacing w:line="360" w:lineRule="auto"/>
        <w:jc w:val="both"/>
        <w:rPr>
          <w:rFonts w:ascii="Palatino Linotype" w:eastAsia="Palatino Linotype" w:hAnsi="Palatino Linotype" w:cs="Palatino Linotype"/>
        </w:rPr>
      </w:pPr>
    </w:p>
    <w:p w:rsidR="002C6896" w:rsidRDefault="002C6896" w:rsidP="002C6896">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consiguiente,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careció de los principios de congruencia y exhaustividad, como refuerzo de lo anterior, resulta crucial el Criterio 02/17, emitido por el Pleno del Instituto Nacional de Transparencia y Acceso a la Información y Protección de Datos Personales, de título y texto siguientes:</w:t>
      </w:r>
    </w:p>
    <w:p w:rsidR="002C6896" w:rsidRDefault="002C6896" w:rsidP="002C6896">
      <w:pPr>
        <w:spacing w:line="360" w:lineRule="auto"/>
        <w:ind w:right="51"/>
        <w:jc w:val="both"/>
        <w:rPr>
          <w:rFonts w:ascii="Palatino Linotype" w:eastAsia="Palatino Linotype" w:hAnsi="Palatino Linotype" w:cs="Palatino Linotype"/>
          <w:lang w:eastAsia="en-US"/>
        </w:rPr>
      </w:pPr>
    </w:p>
    <w:p w:rsidR="002C6896" w:rsidRDefault="002C6896" w:rsidP="002C6896">
      <w:pPr>
        <w:spacing w:before="8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rPr>
        <w:t xml:space="preserve">“Congruencia y exhaustividad. Sus alcances para garantizar el derecho de acceso a la información. </w:t>
      </w:r>
      <w:r>
        <w:rPr>
          <w:rFonts w:ascii="Palatino Linotype" w:eastAsia="Palatino Linotype" w:hAnsi="Palatino Linotype" w:cs="Palatino Linotype"/>
          <w:i/>
          <w:color w:val="00000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Pr>
          <w:rFonts w:ascii="Palatino Linotype" w:eastAsia="Palatino Linotype" w:hAnsi="Palatino Linotype" w:cs="Palatino Linotype"/>
          <w:b/>
          <w:i/>
          <w:color w:val="000000"/>
        </w:rPr>
        <w:t>la congruencia implica que exista concordancia entre el requerimiento formulado por el particular y la respuesta proporcionada por el sujeto obligado</w:t>
      </w:r>
      <w:r>
        <w:rPr>
          <w:rFonts w:ascii="Palatino Linotype" w:eastAsia="Palatino Linotype" w:hAnsi="Palatino Linotype" w:cs="Palatino Linotype"/>
          <w:i/>
          <w:color w:val="000000"/>
        </w:rPr>
        <w:t xml:space="preserve">; mientras que </w:t>
      </w:r>
      <w:r>
        <w:rPr>
          <w:rFonts w:ascii="Palatino Linotype" w:eastAsia="Palatino Linotype" w:hAnsi="Palatino Linotype" w:cs="Palatino Linotype"/>
          <w:b/>
          <w:i/>
          <w:color w:val="000000"/>
        </w:rPr>
        <w:t>la exhaustividad significa que dicha respuesta se refiera expresamente a cada uno de los puntos solicitados</w:t>
      </w:r>
      <w:r>
        <w:rPr>
          <w:rFonts w:ascii="Palatino Linotype" w:eastAsia="Palatino Linotype" w:hAnsi="Palatino Linotype" w:cs="Palatino Linotype"/>
          <w:i/>
          <w:color w:val="000000"/>
        </w:rPr>
        <w:t xml:space="preserve">. Por lo anterior, los sujetos obligados cumplirán con los principios de congruencia y exhaustividad, cuando las respuestas que emitan </w:t>
      </w:r>
      <w:r>
        <w:rPr>
          <w:rFonts w:ascii="Palatino Linotype" w:eastAsia="Palatino Linotype" w:hAnsi="Palatino Linotype" w:cs="Palatino Linotype"/>
          <w:i/>
          <w:color w:val="000000"/>
        </w:rPr>
        <w:lastRenderedPageBreak/>
        <w:t>guarden una relación lógica con lo solicitado y atiendan de manera puntual y expresa, cada uno de los contenidos de información</w:t>
      </w:r>
      <w:r w:rsidR="00FC6071">
        <w:rPr>
          <w:rFonts w:ascii="Palatino Linotype" w:eastAsia="Palatino Linotype" w:hAnsi="Palatino Linotype" w:cs="Palatino Linotype"/>
          <w:i/>
          <w:color w:val="000000"/>
        </w:rPr>
        <w:t>.” (</w:t>
      </w:r>
      <w:r>
        <w:rPr>
          <w:rFonts w:ascii="Palatino Linotype" w:eastAsia="Palatino Linotype" w:hAnsi="Palatino Linotype" w:cs="Palatino Linotype"/>
          <w:i/>
          <w:color w:val="000000"/>
        </w:rPr>
        <w:t>Sic)</w:t>
      </w:r>
    </w:p>
    <w:p w:rsidR="002C6896" w:rsidRDefault="002C6896" w:rsidP="002C6896">
      <w:pPr>
        <w:spacing w:line="360" w:lineRule="auto"/>
        <w:ind w:right="51"/>
        <w:jc w:val="both"/>
        <w:rPr>
          <w:rFonts w:ascii="Palatino Linotype" w:eastAsia="Palatino Linotype" w:hAnsi="Palatino Linotype" w:cs="Palatino Linotype"/>
        </w:rPr>
      </w:pPr>
    </w:p>
    <w:p w:rsidR="002C6896" w:rsidRDefault="002C6896" w:rsidP="002C68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lo procedente es ordenar la entrega de toda la </w:t>
      </w:r>
      <w:r w:rsidR="000E4910">
        <w:rPr>
          <w:rFonts w:ascii="Palatino Linotype" w:eastAsia="Palatino Linotype" w:hAnsi="Palatino Linotype" w:cs="Palatino Linotype"/>
        </w:rPr>
        <w:t xml:space="preserve">documentación que refleje los </w:t>
      </w:r>
      <w:r w:rsidR="000E4910" w:rsidRPr="000E4910">
        <w:rPr>
          <w:rFonts w:ascii="Palatino Linotype" w:eastAsia="Palatino Linotype" w:hAnsi="Palatino Linotype" w:cs="Palatino Linotype"/>
        </w:rPr>
        <w:t>costo</w:t>
      </w:r>
      <w:r w:rsidR="000E4910">
        <w:rPr>
          <w:rFonts w:ascii="Palatino Linotype" w:eastAsia="Palatino Linotype" w:hAnsi="Palatino Linotype" w:cs="Palatino Linotype"/>
        </w:rPr>
        <w:t xml:space="preserve">s por el </w:t>
      </w:r>
      <w:r w:rsidR="000E4910" w:rsidRPr="000E4910">
        <w:rPr>
          <w:rFonts w:ascii="Palatino Linotype" w:eastAsia="Palatino Linotype" w:hAnsi="Palatino Linotype" w:cs="Palatino Linotype"/>
        </w:rPr>
        <w:t xml:space="preserve">evento </w:t>
      </w:r>
      <w:r w:rsidR="000E4910">
        <w:rPr>
          <w:rFonts w:ascii="Palatino Linotype" w:eastAsia="Palatino Linotype" w:hAnsi="Palatino Linotype" w:cs="Palatino Linotype"/>
        </w:rPr>
        <w:t>realizado para el aniversario del M</w:t>
      </w:r>
      <w:r w:rsidR="000E4910" w:rsidRPr="000E4910">
        <w:rPr>
          <w:rFonts w:ascii="Palatino Linotype" w:eastAsia="Palatino Linotype" w:hAnsi="Palatino Linotype" w:cs="Palatino Linotype"/>
        </w:rPr>
        <w:t>unicipio</w:t>
      </w:r>
      <w:r w:rsidR="000E4910">
        <w:rPr>
          <w:rFonts w:ascii="Palatino Linotype" w:eastAsia="Palatino Linotype" w:hAnsi="Palatino Linotype" w:cs="Palatino Linotype"/>
        </w:rPr>
        <w:t xml:space="preserve"> de Villa del Carbón en el mes de marzo del año dos mil veintidós </w:t>
      </w:r>
      <w:r>
        <w:rPr>
          <w:rFonts w:ascii="Palatino Linotype" w:eastAsia="Palatino Linotype" w:hAnsi="Palatino Linotype" w:cs="Palatino Linotype"/>
        </w:rPr>
        <w:t xml:space="preserve">y en versión pública de acuerdo a lo señalado por el considerando quinto del presente fallo. </w:t>
      </w:r>
    </w:p>
    <w:p w:rsidR="00C865AB" w:rsidRDefault="00C865AB">
      <w:pPr>
        <w:spacing w:line="360" w:lineRule="auto"/>
        <w:jc w:val="both"/>
        <w:rPr>
          <w:rFonts w:ascii="Palatino Linotype" w:eastAsia="Palatino Linotype" w:hAnsi="Palatino Linotype" w:cs="Palatino Linotype"/>
        </w:rPr>
      </w:pPr>
    </w:p>
    <w:p w:rsidR="008E1D85" w:rsidRPr="00F820D1" w:rsidRDefault="00FC6071" w:rsidP="00FC6071">
      <w:pPr>
        <w:spacing w:line="360" w:lineRule="auto"/>
        <w:jc w:val="both"/>
        <w:rPr>
          <w:rFonts w:ascii="Palatino Linotype" w:hAnsi="Palatino Linotype" w:cs="Arial"/>
          <w:color w:val="000000" w:themeColor="text1"/>
        </w:rPr>
      </w:pPr>
      <w:r>
        <w:rPr>
          <w:rFonts w:ascii="Palatino Linotype" w:eastAsia="Palatino Linotype" w:hAnsi="Palatino Linotype" w:cs="Palatino Linotype"/>
        </w:rPr>
        <w:t xml:space="preserve">Ahora bien, los documentos en donde pudiera constar la información de manera enunciativa más no limitada serian, las facturas, pólizas </w:t>
      </w:r>
      <w:r w:rsidR="00424AD8">
        <w:rPr>
          <w:rFonts w:ascii="Palatino Linotype" w:eastAsia="Palatino Linotype" w:hAnsi="Palatino Linotype" w:cs="Palatino Linotype"/>
        </w:rPr>
        <w:t>de egresos o</w:t>
      </w:r>
      <w:r>
        <w:rPr>
          <w:rFonts w:ascii="Palatino Linotype" w:eastAsia="Palatino Linotype" w:hAnsi="Palatino Linotype" w:cs="Palatino Linotype"/>
        </w:rPr>
        <w:t xml:space="preserve"> registros contables; de ahí que, </w:t>
      </w:r>
      <w:r w:rsidR="009F35B3">
        <w:rPr>
          <w:rFonts w:ascii="Palatino Linotype" w:hAnsi="Palatino Linotype" w:cs="Arial"/>
          <w:color w:val="000000" w:themeColor="text1"/>
        </w:rPr>
        <w:t>e</w:t>
      </w:r>
      <w:r w:rsidR="008E1D85" w:rsidRPr="00F820D1">
        <w:rPr>
          <w:rFonts w:ascii="Palatino Linotype" w:hAnsi="Palatino Linotype" w:cs="Arial"/>
          <w:color w:val="000000" w:themeColor="text1"/>
        </w:rPr>
        <w:t>s conveniente citar los artículos 31, fracción XVIII y 95, fracciones I y IV de la Ley Orgánica Municipal del Estado de México, que establecen:</w:t>
      </w:r>
    </w:p>
    <w:p w:rsidR="008E1D85" w:rsidRPr="00F820D1" w:rsidRDefault="008E1D85" w:rsidP="008E1D85">
      <w:pPr>
        <w:ind w:left="851" w:right="901"/>
        <w:jc w:val="both"/>
        <w:rPr>
          <w:rFonts w:ascii="Palatino Linotype" w:hAnsi="Palatino Linotype" w:cs="Arial"/>
          <w:i/>
          <w:sz w:val="22"/>
          <w:szCs w:val="22"/>
          <w:lang w:eastAsia="es-MX"/>
        </w:rPr>
      </w:pPr>
    </w:p>
    <w:p w:rsidR="008E1D85" w:rsidRPr="00F820D1" w:rsidRDefault="008E1D85" w:rsidP="00111A55">
      <w:pPr>
        <w:spacing w:line="276" w:lineRule="auto"/>
        <w:ind w:left="851" w:right="901"/>
        <w:jc w:val="both"/>
        <w:rPr>
          <w:rFonts w:ascii="Palatino Linotype" w:hAnsi="Palatino Linotype" w:cs="Arial"/>
          <w:i/>
          <w:sz w:val="22"/>
          <w:szCs w:val="22"/>
          <w:lang w:eastAsia="es-MX"/>
        </w:rPr>
      </w:pPr>
      <w:r w:rsidRPr="00F820D1">
        <w:rPr>
          <w:rFonts w:ascii="Palatino Linotype" w:hAnsi="Palatino Linotype" w:cs="Arial"/>
          <w:i/>
          <w:sz w:val="22"/>
          <w:szCs w:val="22"/>
          <w:lang w:eastAsia="es-MX"/>
        </w:rPr>
        <w:t>“</w:t>
      </w:r>
      <w:r w:rsidRPr="00F820D1">
        <w:rPr>
          <w:rFonts w:ascii="Palatino Linotype" w:hAnsi="Palatino Linotype" w:cs="Arial"/>
          <w:b/>
          <w:i/>
          <w:sz w:val="22"/>
          <w:szCs w:val="22"/>
          <w:lang w:eastAsia="es-MX"/>
        </w:rPr>
        <w:t>Artículo 31.-</w:t>
      </w:r>
      <w:r w:rsidRPr="00F820D1">
        <w:rPr>
          <w:rFonts w:ascii="Palatino Linotype" w:hAnsi="Palatino Linotype" w:cs="Arial"/>
          <w:i/>
          <w:sz w:val="22"/>
          <w:szCs w:val="22"/>
          <w:lang w:eastAsia="es-MX"/>
        </w:rPr>
        <w:t xml:space="preserve"> Son atribuciones de los ayuntamientos:</w:t>
      </w:r>
    </w:p>
    <w:p w:rsidR="008E1D85" w:rsidRPr="00F820D1" w:rsidRDefault="008E1D85" w:rsidP="00111A55">
      <w:pPr>
        <w:spacing w:line="276" w:lineRule="auto"/>
        <w:ind w:left="851" w:right="901"/>
        <w:jc w:val="both"/>
        <w:rPr>
          <w:rFonts w:ascii="Palatino Linotype" w:hAnsi="Palatino Linotype" w:cs="Arial"/>
          <w:i/>
          <w:sz w:val="22"/>
          <w:szCs w:val="22"/>
          <w:lang w:eastAsia="es-MX"/>
        </w:rPr>
      </w:pPr>
      <w:r w:rsidRPr="00F820D1">
        <w:rPr>
          <w:rFonts w:ascii="Palatino Linotype" w:hAnsi="Palatino Linotype" w:cs="Arial"/>
          <w:i/>
          <w:sz w:val="22"/>
          <w:szCs w:val="22"/>
          <w:lang w:eastAsia="es-MX"/>
        </w:rPr>
        <w:t>…</w:t>
      </w:r>
    </w:p>
    <w:p w:rsidR="008E1D85" w:rsidRPr="00F820D1" w:rsidRDefault="008E1D85" w:rsidP="00111A55">
      <w:pPr>
        <w:spacing w:line="276" w:lineRule="auto"/>
        <w:ind w:left="851" w:right="901"/>
        <w:jc w:val="both"/>
        <w:rPr>
          <w:rFonts w:ascii="Palatino Linotype" w:hAnsi="Palatino Linotype" w:cs="Arial"/>
          <w:i/>
          <w:sz w:val="22"/>
          <w:szCs w:val="22"/>
          <w:lang w:eastAsia="es-MX"/>
        </w:rPr>
      </w:pPr>
      <w:r w:rsidRPr="00F820D1">
        <w:rPr>
          <w:rFonts w:ascii="Palatino Linotype" w:hAnsi="Palatino Linotype" w:cs="Arial"/>
          <w:b/>
          <w:i/>
          <w:sz w:val="22"/>
          <w:szCs w:val="22"/>
          <w:lang w:eastAsia="es-MX"/>
        </w:rPr>
        <w:t>XVIII.</w:t>
      </w:r>
      <w:r w:rsidRPr="00F820D1">
        <w:rPr>
          <w:rFonts w:ascii="Palatino Linotype" w:hAnsi="Palatino Linotype" w:cs="Arial"/>
          <w:i/>
          <w:sz w:val="22"/>
          <w:szCs w:val="22"/>
          <w:lang w:eastAsia="es-MX"/>
        </w:rPr>
        <w:t xml:space="preserve"> </w:t>
      </w:r>
      <w:r w:rsidRPr="00F820D1">
        <w:rPr>
          <w:rFonts w:ascii="Palatino Linotype" w:hAnsi="Palatino Linotype" w:cs="Arial"/>
          <w:b/>
          <w:i/>
          <w:sz w:val="22"/>
          <w:szCs w:val="22"/>
          <w:lang w:eastAsia="es-MX"/>
        </w:rPr>
        <w:t>Administrar su hacienda</w:t>
      </w:r>
      <w:r w:rsidRPr="00F820D1">
        <w:rPr>
          <w:rFonts w:ascii="Palatino Linotype" w:hAnsi="Palatino Linotype" w:cs="Arial"/>
          <w:i/>
          <w:sz w:val="22"/>
          <w:szCs w:val="22"/>
          <w:lang w:eastAsia="es-MX"/>
        </w:rPr>
        <w:t xml:space="preserve"> en términos de ley, y controlar a través del presidente y síndico la aplicación del presupuesto de egresos del municipio;</w:t>
      </w:r>
    </w:p>
    <w:p w:rsidR="008E1D85" w:rsidRPr="00F820D1" w:rsidRDefault="008E1D85" w:rsidP="00111A55">
      <w:pPr>
        <w:spacing w:line="276" w:lineRule="auto"/>
        <w:ind w:left="851" w:right="901"/>
        <w:jc w:val="both"/>
        <w:rPr>
          <w:rFonts w:ascii="Palatino Linotype" w:hAnsi="Palatino Linotype" w:cs="Arial"/>
          <w:i/>
          <w:sz w:val="22"/>
          <w:szCs w:val="22"/>
          <w:lang w:eastAsia="es-MX"/>
        </w:rPr>
      </w:pPr>
      <w:r w:rsidRPr="00F820D1">
        <w:rPr>
          <w:rFonts w:ascii="Palatino Linotype" w:hAnsi="Palatino Linotype" w:cs="Arial"/>
          <w:i/>
          <w:sz w:val="22"/>
          <w:szCs w:val="22"/>
          <w:lang w:eastAsia="es-MX"/>
        </w:rPr>
        <w:t>…</w:t>
      </w:r>
    </w:p>
    <w:p w:rsidR="008E1D85" w:rsidRPr="00F820D1" w:rsidRDefault="008E1D85" w:rsidP="00111A55">
      <w:pPr>
        <w:spacing w:line="276" w:lineRule="auto"/>
        <w:ind w:left="851" w:right="901"/>
        <w:jc w:val="both"/>
        <w:rPr>
          <w:rFonts w:ascii="Palatino Linotype" w:hAnsi="Palatino Linotype" w:cs="Arial"/>
          <w:i/>
          <w:sz w:val="22"/>
          <w:szCs w:val="22"/>
          <w:lang w:eastAsia="es-MX"/>
        </w:rPr>
      </w:pPr>
      <w:r w:rsidRPr="00F820D1">
        <w:rPr>
          <w:rFonts w:ascii="Palatino Linotype" w:hAnsi="Palatino Linotype" w:cs="Arial"/>
          <w:b/>
          <w:i/>
          <w:sz w:val="22"/>
          <w:szCs w:val="22"/>
          <w:lang w:eastAsia="es-MX"/>
        </w:rPr>
        <w:t>Artículo 95.-</w:t>
      </w:r>
      <w:r w:rsidRPr="00F820D1">
        <w:rPr>
          <w:rFonts w:ascii="Palatino Linotype" w:hAnsi="Palatino Linotype" w:cs="Arial"/>
          <w:i/>
          <w:sz w:val="22"/>
          <w:szCs w:val="22"/>
          <w:lang w:eastAsia="es-MX"/>
        </w:rPr>
        <w:t xml:space="preserve"> Son atribuciones del tesorero municipal:</w:t>
      </w:r>
    </w:p>
    <w:p w:rsidR="008E1D85" w:rsidRPr="00F820D1" w:rsidRDefault="008E1D85" w:rsidP="00111A55">
      <w:pPr>
        <w:spacing w:line="276" w:lineRule="auto"/>
        <w:ind w:left="851" w:right="901"/>
        <w:jc w:val="both"/>
        <w:rPr>
          <w:rFonts w:ascii="Palatino Linotype" w:hAnsi="Palatino Linotype" w:cs="Arial"/>
          <w:i/>
          <w:sz w:val="22"/>
          <w:szCs w:val="22"/>
          <w:lang w:eastAsia="es-MX"/>
        </w:rPr>
      </w:pPr>
      <w:r w:rsidRPr="00F820D1">
        <w:rPr>
          <w:rFonts w:ascii="Palatino Linotype" w:hAnsi="Palatino Linotype" w:cs="Arial"/>
          <w:b/>
          <w:i/>
          <w:sz w:val="22"/>
          <w:szCs w:val="22"/>
          <w:lang w:eastAsia="es-MX"/>
        </w:rPr>
        <w:t>I.</w:t>
      </w:r>
      <w:r w:rsidRPr="00F820D1">
        <w:rPr>
          <w:rFonts w:ascii="Palatino Linotype" w:hAnsi="Palatino Linotype" w:cs="Arial"/>
          <w:i/>
          <w:sz w:val="22"/>
          <w:szCs w:val="22"/>
          <w:lang w:eastAsia="es-MX"/>
        </w:rPr>
        <w:t xml:space="preserve"> </w:t>
      </w:r>
      <w:r w:rsidRPr="00F820D1">
        <w:rPr>
          <w:rFonts w:ascii="Palatino Linotype" w:hAnsi="Palatino Linotype" w:cs="Arial"/>
          <w:b/>
          <w:i/>
          <w:sz w:val="22"/>
          <w:szCs w:val="22"/>
          <w:lang w:eastAsia="es-MX"/>
        </w:rPr>
        <w:t>Administrar la hacienda pública municipal</w:t>
      </w:r>
      <w:r w:rsidRPr="00F820D1">
        <w:rPr>
          <w:rFonts w:ascii="Palatino Linotype" w:hAnsi="Palatino Linotype" w:cs="Arial"/>
          <w:i/>
          <w:sz w:val="22"/>
          <w:szCs w:val="22"/>
          <w:lang w:eastAsia="es-MX"/>
        </w:rPr>
        <w:t>, de conformidad con las disposiciones legales aplicables;</w:t>
      </w:r>
    </w:p>
    <w:p w:rsidR="008E1D85" w:rsidRPr="00F820D1" w:rsidRDefault="008E1D85" w:rsidP="00111A55">
      <w:pPr>
        <w:spacing w:line="276" w:lineRule="auto"/>
        <w:ind w:left="851" w:right="901"/>
        <w:jc w:val="both"/>
        <w:rPr>
          <w:rFonts w:ascii="Palatino Linotype" w:hAnsi="Palatino Linotype" w:cs="Arial"/>
          <w:i/>
          <w:sz w:val="22"/>
          <w:szCs w:val="22"/>
          <w:lang w:eastAsia="es-MX"/>
        </w:rPr>
      </w:pPr>
      <w:r w:rsidRPr="00F820D1">
        <w:rPr>
          <w:rFonts w:ascii="Palatino Linotype" w:hAnsi="Palatino Linotype" w:cs="Arial"/>
          <w:i/>
          <w:sz w:val="22"/>
          <w:szCs w:val="22"/>
          <w:lang w:eastAsia="es-MX"/>
        </w:rPr>
        <w:t>…</w:t>
      </w:r>
    </w:p>
    <w:p w:rsidR="008E1D85" w:rsidRPr="00F820D1" w:rsidRDefault="008E1D85" w:rsidP="00111A55">
      <w:pPr>
        <w:spacing w:line="276" w:lineRule="auto"/>
        <w:ind w:left="851" w:right="901"/>
        <w:jc w:val="both"/>
        <w:rPr>
          <w:rFonts w:ascii="Palatino Linotype" w:hAnsi="Palatino Linotype" w:cs="Arial"/>
          <w:i/>
          <w:sz w:val="22"/>
        </w:rPr>
      </w:pPr>
      <w:r w:rsidRPr="00F820D1">
        <w:rPr>
          <w:rFonts w:ascii="Palatino Linotype" w:hAnsi="Palatino Linotype" w:cs="Arial"/>
          <w:b/>
          <w:i/>
          <w:sz w:val="22"/>
          <w:szCs w:val="22"/>
          <w:lang w:eastAsia="es-MX"/>
        </w:rPr>
        <w:t>IV.</w:t>
      </w:r>
      <w:r w:rsidRPr="00F820D1">
        <w:rPr>
          <w:rFonts w:ascii="Palatino Linotype" w:hAnsi="Palatino Linotype" w:cs="Arial"/>
          <w:i/>
          <w:sz w:val="22"/>
          <w:szCs w:val="22"/>
          <w:lang w:eastAsia="es-MX"/>
        </w:rPr>
        <w:t xml:space="preserve"> </w:t>
      </w:r>
      <w:r w:rsidRPr="00F820D1">
        <w:rPr>
          <w:rFonts w:ascii="Palatino Linotype" w:hAnsi="Palatino Linotype" w:cs="Arial"/>
          <w:b/>
          <w:i/>
          <w:sz w:val="22"/>
          <w:szCs w:val="22"/>
          <w:lang w:eastAsia="es-MX"/>
        </w:rPr>
        <w:t>Llevar los registros contables, financieros y administrativos</w:t>
      </w:r>
      <w:r w:rsidRPr="00F820D1">
        <w:rPr>
          <w:rFonts w:ascii="Palatino Linotype" w:hAnsi="Palatino Linotype" w:cs="Arial"/>
          <w:i/>
          <w:sz w:val="22"/>
          <w:szCs w:val="22"/>
          <w:lang w:eastAsia="es-MX"/>
        </w:rPr>
        <w:t xml:space="preserve"> de los ingresos, </w:t>
      </w:r>
      <w:r w:rsidRPr="00F820D1">
        <w:rPr>
          <w:rFonts w:ascii="Palatino Linotype" w:hAnsi="Palatino Linotype" w:cs="Arial"/>
          <w:b/>
          <w:i/>
          <w:sz w:val="22"/>
          <w:szCs w:val="22"/>
          <w:lang w:eastAsia="es-MX"/>
        </w:rPr>
        <w:t>egresos</w:t>
      </w:r>
      <w:r w:rsidRPr="00F820D1">
        <w:rPr>
          <w:rFonts w:ascii="Palatino Linotype" w:hAnsi="Palatino Linotype" w:cs="Arial"/>
          <w:i/>
          <w:sz w:val="22"/>
          <w:szCs w:val="22"/>
          <w:lang w:eastAsia="es-MX"/>
        </w:rPr>
        <w:t>, e inventarios;</w:t>
      </w:r>
      <w:r w:rsidRPr="00F820D1">
        <w:rPr>
          <w:rFonts w:ascii="Palatino Linotype" w:hAnsi="Palatino Linotype" w:cs="Arial"/>
          <w:i/>
          <w:sz w:val="22"/>
        </w:rPr>
        <w:t>”</w:t>
      </w:r>
      <w:r w:rsidR="00FC6071">
        <w:rPr>
          <w:rFonts w:ascii="Palatino Linotype" w:hAnsi="Palatino Linotype" w:cs="Arial"/>
          <w:i/>
          <w:sz w:val="22"/>
        </w:rPr>
        <w:t xml:space="preserve"> (Sic)</w:t>
      </w:r>
    </w:p>
    <w:p w:rsidR="008E1D85" w:rsidRPr="00F820D1" w:rsidRDefault="008E1D85" w:rsidP="00111A55">
      <w:pPr>
        <w:spacing w:line="276" w:lineRule="auto"/>
        <w:ind w:left="851" w:right="901"/>
        <w:jc w:val="both"/>
        <w:rPr>
          <w:rFonts w:ascii="Palatino Linotype" w:hAnsi="Palatino Linotype" w:cs="Arial"/>
          <w:i/>
          <w:sz w:val="22"/>
        </w:rPr>
      </w:pPr>
    </w:p>
    <w:p w:rsidR="008E1D85" w:rsidRPr="00F820D1" w:rsidRDefault="008E1D85" w:rsidP="008E1D85">
      <w:pPr>
        <w:spacing w:line="360" w:lineRule="auto"/>
        <w:jc w:val="both"/>
        <w:rPr>
          <w:rFonts w:ascii="Palatino Linotype" w:hAnsi="Palatino Linotype" w:cs="Arial"/>
          <w:color w:val="000000" w:themeColor="text1"/>
          <w:lang w:eastAsia="es-MX"/>
        </w:rPr>
      </w:pPr>
      <w:r w:rsidRPr="00F820D1">
        <w:rPr>
          <w:rFonts w:ascii="Palatino Linotype" w:hAnsi="Palatino Linotype" w:cs="Arial"/>
          <w:color w:val="000000" w:themeColor="text1"/>
          <w:lang w:eastAsia="es-MX"/>
        </w:rPr>
        <w:t xml:space="preserve">De lo anterior, se advierte que los Ayuntamientos tienen la atribución de administrar libremente su hacienda y controlar la aplicación del presupuesto de egresos aprobado por dicho cuerpo colegiado, siendo atribución del Tesorero Municipal la </w:t>
      </w:r>
      <w:r w:rsidRPr="00F820D1">
        <w:rPr>
          <w:rFonts w:ascii="Palatino Linotype" w:hAnsi="Palatino Linotype" w:cs="Arial"/>
          <w:color w:val="000000" w:themeColor="text1"/>
          <w:lang w:eastAsia="es-MX"/>
        </w:rPr>
        <w:lastRenderedPageBreak/>
        <w:t>de llevar los registros contables, financieros y administrativos de los ingresos, egresos e inventarios.</w:t>
      </w:r>
    </w:p>
    <w:p w:rsidR="008E1D85" w:rsidRPr="00CF44B1" w:rsidRDefault="008E1D85" w:rsidP="008E1D85">
      <w:pPr>
        <w:widowControl w:val="0"/>
        <w:autoSpaceDE w:val="0"/>
        <w:autoSpaceDN w:val="0"/>
        <w:adjustRightInd w:val="0"/>
        <w:spacing w:before="240" w:after="240" w:line="360" w:lineRule="auto"/>
        <w:jc w:val="both"/>
        <w:rPr>
          <w:rFonts w:ascii="Palatino Linotype" w:hAnsi="Palatino Linotype" w:cs="Arial"/>
        </w:rPr>
      </w:pPr>
      <w:r w:rsidRPr="00CF44B1">
        <w:rPr>
          <w:rFonts w:ascii="Palatino Linotype" w:hAnsi="Palatino Linotype" w:cs="Arial"/>
        </w:rPr>
        <w:t>Aunado a ello, los artículos 342, 343, 344 y 345 del Código Financiero del Estado de México y Municipios disponen el sistema y las políticas que deben seguirse para llevar el registro contable y presupuestal de las operaciones financieras, en los siguientes términos:</w:t>
      </w:r>
    </w:p>
    <w:p w:rsidR="008E1D85" w:rsidRPr="00CF44B1" w:rsidRDefault="008E1D85" w:rsidP="00111A55">
      <w:pPr>
        <w:spacing w:before="120" w:after="120" w:line="276" w:lineRule="auto"/>
        <w:ind w:left="851" w:right="850"/>
        <w:jc w:val="both"/>
        <w:rPr>
          <w:rFonts w:ascii="Palatino Linotype" w:hAnsi="Palatino Linotype"/>
          <w:i/>
          <w:sz w:val="22"/>
          <w:szCs w:val="22"/>
        </w:rPr>
      </w:pPr>
      <w:r w:rsidRPr="00CF44B1">
        <w:rPr>
          <w:rFonts w:ascii="Palatino Linotype" w:hAnsi="Palatino Linotype" w:cs="Arial"/>
          <w:bCs/>
          <w:i/>
          <w:color w:val="000000"/>
          <w:sz w:val="22"/>
          <w:szCs w:val="22"/>
        </w:rPr>
        <w:t>“</w:t>
      </w:r>
      <w:r w:rsidRPr="00CF44B1">
        <w:rPr>
          <w:rFonts w:ascii="Palatino Linotype" w:hAnsi="Palatino Linotype"/>
          <w:b/>
          <w:i/>
          <w:sz w:val="22"/>
          <w:szCs w:val="22"/>
        </w:rPr>
        <w:t>Artículo 342.-</w:t>
      </w:r>
      <w:r w:rsidRPr="00CF44B1">
        <w:rPr>
          <w:rFonts w:ascii="Palatino Linotype" w:hAnsi="Palatino Linotype"/>
          <w:i/>
          <w:sz w:val="22"/>
          <w:szCs w:val="22"/>
        </w:rPr>
        <w:t xml:space="preserve"> El registro contable del efecto patrimonial y presupuestal de las operaciones financieras, se realizará conforme al sistema y a las disposiciones que se aprueben en materia de </w:t>
      </w:r>
      <w:r w:rsidRPr="00CF44B1">
        <w:rPr>
          <w:rFonts w:ascii="Palatino Linotype" w:hAnsi="Palatino Linotype" w:cs="Arial"/>
          <w:i/>
          <w:color w:val="000000"/>
          <w:sz w:val="22"/>
          <w:szCs w:val="22"/>
        </w:rPr>
        <w:t>planeación</w:t>
      </w:r>
      <w:r w:rsidRPr="00CF44B1">
        <w:rPr>
          <w:rFonts w:ascii="Palatino Linotype" w:hAnsi="Palatino Linotype"/>
          <w:i/>
          <w:sz w:val="22"/>
          <w:szCs w:val="22"/>
        </w:rPr>
        <w:t xml:space="preserve">, programación, presupuestación, evaluación y </w:t>
      </w:r>
      <w:r w:rsidRPr="00CF44B1">
        <w:rPr>
          <w:rFonts w:ascii="Palatino Linotype" w:hAnsi="Palatino Linotype" w:cs="Arial"/>
          <w:i/>
          <w:color w:val="000000"/>
          <w:sz w:val="22"/>
          <w:szCs w:val="22"/>
        </w:rPr>
        <w:t>contabilidad</w:t>
      </w:r>
      <w:r w:rsidRPr="00CF44B1">
        <w:rPr>
          <w:rFonts w:ascii="Palatino Linotype" w:hAnsi="Palatino Linotype"/>
          <w:i/>
          <w:sz w:val="22"/>
          <w:szCs w:val="22"/>
        </w:rPr>
        <w:t xml:space="preserve"> gubernamental. </w:t>
      </w:r>
    </w:p>
    <w:p w:rsidR="008E1D85" w:rsidRPr="00CF44B1" w:rsidRDefault="008E1D85" w:rsidP="00111A55">
      <w:pPr>
        <w:spacing w:before="120" w:after="120" w:line="276" w:lineRule="auto"/>
        <w:ind w:left="851" w:right="850"/>
        <w:jc w:val="both"/>
        <w:rPr>
          <w:rFonts w:ascii="Palatino Linotype" w:hAnsi="Palatino Linotype"/>
          <w:b/>
          <w:i/>
          <w:sz w:val="22"/>
          <w:szCs w:val="22"/>
        </w:rPr>
      </w:pPr>
      <w:r w:rsidRPr="00CF44B1">
        <w:rPr>
          <w:rFonts w:ascii="Palatino Linotype" w:hAnsi="Palatino Linotype" w:cs="Arial"/>
          <w:b/>
          <w:bCs/>
          <w:i/>
          <w:color w:val="000000"/>
          <w:sz w:val="22"/>
          <w:szCs w:val="22"/>
        </w:rPr>
        <w:t>…</w:t>
      </w:r>
    </w:p>
    <w:p w:rsidR="008E1D85" w:rsidRPr="00CF44B1" w:rsidRDefault="008E1D85" w:rsidP="00111A55">
      <w:pPr>
        <w:spacing w:before="120" w:after="120" w:line="276" w:lineRule="auto"/>
        <w:ind w:left="851" w:right="850"/>
        <w:jc w:val="both"/>
        <w:rPr>
          <w:rFonts w:ascii="Palatino Linotype" w:hAnsi="Palatino Linotype"/>
          <w:i/>
          <w:sz w:val="22"/>
          <w:szCs w:val="22"/>
        </w:rPr>
      </w:pPr>
      <w:r w:rsidRPr="00CF44B1">
        <w:rPr>
          <w:rFonts w:ascii="Palatino Linotype" w:hAnsi="Palatino Linotype"/>
          <w:b/>
          <w:i/>
          <w:sz w:val="22"/>
          <w:szCs w:val="22"/>
        </w:rPr>
        <w:t>Artículo 343.-</w:t>
      </w:r>
      <w:r w:rsidRPr="00CF44B1">
        <w:rPr>
          <w:rFonts w:ascii="Palatino Linotype" w:hAnsi="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8E1D85" w:rsidRPr="00CF44B1" w:rsidRDefault="008E1D85" w:rsidP="00111A55">
      <w:pPr>
        <w:spacing w:before="120" w:after="120" w:line="276" w:lineRule="auto"/>
        <w:ind w:left="851" w:right="850"/>
        <w:jc w:val="both"/>
        <w:rPr>
          <w:rFonts w:ascii="Palatino Linotype" w:hAnsi="Palatino Linotype"/>
          <w:i/>
          <w:sz w:val="22"/>
          <w:szCs w:val="22"/>
        </w:rPr>
      </w:pPr>
      <w:r w:rsidRPr="00CF44B1">
        <w:rPr>
          <w:rFonts w:ascii="Palatino Linotype" w:hAnsi="Palatino Linotype"/>
          <w:i/>
          <w:sz w:val="22"/>
          <w:szCs w:val="22"/>
        </w:rPr>
        <w:t xml:space="preserve">El sistema de contabilidad sobre base acumulativa total se sustentará en los postulados básicos y el marco conceptual de la contabilidad gubernamental. </w:t>
      </w:r>
    </w:p>
    <w:p w:rsidR="008E1D85" w:rsidRPr="00CF44B1" w:rsidRDefault="008E1D85" w:rsidP="00111A55">
      <w:pPr>
        <w:spacing w:before="120" w:after="120" w:line="276" w:lineRule="auto"/>
        <w:ind w:left="851" w:right="850"/>
        <w:jc w:val="both"/>
        <w:rPr>
          <w:rFonts w:ascii="Palatino Linotype" w:hAnsi="Palatino Linotype"/>
          <w:i/>
          <w:sz w:val="22"/>
          <w:szCs w:val="22"/>
        </w:rPr>
      </w:pPr>
      <w:r w:rsidRPr="00CF44B1">
        <w:rPr>
          <w:rFonts w:ascii="Palatino Linotype" w:hAnsi="Palatino Linotype"/>
          <w:b/>
          <w:i/>
          <w:sz w:val="22"/>
          <w:szCs w:val="22"/>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CF44B1">
        <w:rPr>
          <w:rFonts w:ascii="Palatino Linotype" w:hAnsi="Palatino Linotype"/>
          <w:i/>
          <w:sz w:val="22"/>
          <w:szCs w:val="22"/>
        </w:rPr>
        <w:t xml:space="preserve">en el caso de los Municipios se hará por la Tesorería. </w:t>
      </w:r>
    </w:p>
    <w:p w:rsidR="008E1D85" w:rsidRPr="00CF44B1" w:rsidRDefault="008E1D85" w:rsidP="00111A55">
      <w:pPr>
        <w:autoSpaceDE w:val="0"/>
        <w:autoSpaceDN w:val="0"/>
        <w:adjustRightInd w:val="0"/>
        <w:spacing w:before="120" w:after="120" w:line="276" w:lineRule="auto"/>
        <w:ind w:left="851" w:right="51"/>
        <w:jc w:val="both"/>
        <w:rPr>
          <w:rFonts w:ascii="Palatino Linotype" w:hAnsi="Palatino Linotype"/>
          <w:i/>
          <w:sz w:val="22"/>
          <w:szCs w:val="22"/>
        </w:rPr>
      </w:pPr>
      <w:r w:rsidRPr="00CF44B1">
        <w:rPr>
          <w:rFonts w:ascii="Palatino Linotype" w:hAnsi="Palatino Linotype"/>
          <w:i/>
          <w:sz w:val="22"/>
          <w:szCs w:val="22"/>
        </w:rPr>
        <w:t xml:space="preserve">Derogado. </w:t>
      </w:r>
    </w:p>
    <w:p w:rsidR="008E1D85" w:rsidRPr="00CF44B1" w:rsidRDefault="008E1D85" w:rsidP="00111A55">
      <w:pPr>
        <w:spacing w:before="120" w:after="120" w:line="276" w:lineRule="auto"/>
        <w:ind w:left="851" w:right="850"/>
        <w:jc w:val="both"/>
        <w:rPr>
          <w:rFonts w:ascii="Palatino Linotype" w:hAnsi="Palatino Linotype"/>
          <w:i/>
          <w:sz w:val="22"/>
          <w:szCs w:val="22"/>
        </w:rPr>
      </w:pPr>
      <w:r w:rsidRPr="00CF44B1">
        <w:rPr>
          <w:rFonts w:ascii="Palatino Linotype" w:hAnsi="Palatino Linotype"/>
          <w:b/>
          <w:i/>
          <w:sz w:val="22"/>
          <w:szCs w:val="22"/>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w:t>
      </w:r>
      <w:r w:rsidRPr="00CF44B1">
        <w:rPr>
          <w:rFonts w:ascii="Palatino Linotype" w:hAnsi="Palatino Linotype"/>
          <w:b/>
          <w:i/>
          <w:sz w:val="22"/>
          <w:szCs w:val="22"/>
        </w:rPr>
        <w:lastRenderedPageBreak/>
        <w:t>Órgano Superior de Fiscalización del Estado de México y de los órganos de control interno, por un término de cinco años contados</w:t>
      </w:r>
      <w:r w:rsidRPr="00CF44B1">
        <w:rPr>
          <w:rFonts w:ascii="Palatino Linotype" w:hAnsi="Palatino Linotype"/>
          <w:i/>
          <w:sz w:val="22"/>
          <w:szCs w:val="22"/>
        </w:rPr>
        <w:t xml:space="preserve"> a partir del ejercicio presupuestal siguiente al que corresponda, en el caso de los municipios se hará por la Tesorería. </w:t>
      </w:r>
    </w:p>
    <w:p w:rsidR="008E1D85" w:rsidRPr="00CF44B1" w:rsidRDefault="008E1D85" w:rsidP="00111A55">
      <w:pPr>
        <w:autoSpaceDE w:val="0"/>
        <w:autoSpaceDN w:val="0"/>
        <w:adjustRightInd w:val="0"/>
        <w:spacing w:before="120" w:after="120" w:line="276" w:lineRule="auto"/>
        <w:ind w:left="851" w:right="51"/>
        <w:jc w:val="both"/>
        <w:rPr>
          <w:rFonts w:ascii="Palatino Linotype" w:hAnsi="Palatino Linotype"/>
          <w:i/>
          <w:sz w:val="22"/>
          <w:szCs w:val="22"/>
        </w:rPr>
      </w:pPr>
      <w:r w:rsidRPr="00CF44B1">
        <w:rPr>
          <w:rFonts w:ascii="Palatino Linotype" w:hAnsi="Palatino Linotype"/>
          <w:i/>
          <w:sz w:val="22"/>
          <w:szCs w:val="22"/>
        </w:rPr>
        <w:t>…</w:t>
      </w:r>
    </w:p>
    <w:p w:rsidR="008E1D85" w:rsidRPr="00CF44B1" w:rsidRDefault="008E1D85" w:rsidP="00111A55">
      <w:pPr>
        <w:spacing w:before="120" w:after="120" w:line="276" w:lineRule="auto"/>
        <w:ind w:left="851" w:right="850"/>
        <w:jc w:val="both"/>
        <w:rPr>
          <w:rFonts w:ascii="Palatino Linotype" w:hAnsi="Palatino Linotype"/>
          <w:i/>
          <w:sz w:val="22"/>
          <w:szCs w:val="22"/>
        </w:rPr>
      </w:pPr>
      <w:r w:rsidRPr="00CF44B1">
        <w:rPr>
          <w:rFonts w:ascii="Palatino Linotype" w:hAnsi="Palatino Linotype"/>
          <w:b/>
          <w:i/>
          <w:sz w:val="22"/>
          <w:szCs w:val="22"/>
        </w:rPr>
        <w:t>Artículo 345.-</w:t>
      </w:r>
      <w:r w:rsidRPr="00CF44B1">
        <w:rPr>
          <w:rFonts w:ascii="Palatino Linotype" w:hAnsi="Palatino Linotype"/>
          <w:i/>
          <w:sz w:val="22"/>
          <w:szCs w:val="22"/>
        </w:rPr>
        <w:t xml:space="preserve"> </w:t>
      </w:r>
      <w:r w:rsidRPr="00CF44B1">
        <w:rPr>
          <w:rFonts w:ascii="Palatino Linotype" w:hAnsi="Palatino Linotype"/>
          <w:b/>
          <w:i/>
          <w:sz w:val="22"/>
          <w:szCs w:val="22"/>
        </w:rPr>
        <w:t>Las Dependencias, Entidades Públicas y unidades administrativas deberán conservar la documentación contable del año en curso y la de ejercicios anteriores cuyas cuentas públicas hayan sido revisadas y fiscalizadas por la Legislatura</w:t>
      </w:r>
      <w:r w:rsidRPr="00CF44B1">
        <w:rPr>
          <w:rFonts w:ascii="Palatino Linotype" w:hAnsi="Palatino Linotype"/>
          <w:i/>
          <w:sz w:val="22"/>
          <w:szCs w:val="22"/>
        </w:rPr>
        <w:t xml:space="preserve">, la remitirán en un plazo que no excederá de seis meses al Archivo Contable Gubernamental. </w:t>
      </w:r>
      <w:r w:rsidRPr="00CF44B1">
        <w:rPr>
          <w:rFonts w:ascii="Palatino Linotype" w:hAnsi="Palatino Linotype"/>
          <w:b/>
          <w:i/>
          <w:sz w:val="22"/>
          <w:szCs w:val="22"/>
        </w:rPr>
        <w:t>Tratándose de los comprobantes fiscales digitales, estos deberán estar agregados en forma electrónica en cada póliza de registro contable</w:t>
      </w:r>
      <w:r w:rsidRPr="00CF44B1">
        <w:rPr>
          <w:rFonts w:ascii="Palatino Linotype" w:hAnsi="Palatino Linotype"/>
          <w:i/>
          <w:sz w:val="22"/>
          <w:szCs w:val="22"/>
        </w:rPr>
        <w:t xml:space="preserve">. </w:t>
      </w:r>
    </w:p>
    <w:p w:rsidR="008E1D85" w:rsidRPr="00CF44B1" w:rsidRDefault="008E1D85" w:rsidP="00111A55">
      <w:pPr>
        <w:spacing w:before="120" w:after="120" w:line="276" w:lineRule="auto"/>
        <w:ind w:left="851" w:right="850"/>
        <w:jc w:val="both"/>
        <w:rPr>
          <w:rFonts w:ascii="Palatino Linotype" w:hAnsi="Palatino Linotype" w:cs="Arial"/>
          <w:bCs/>
          <w:i/>
          <w:color w:val="000000"/>
          <w:sz w:val="22"/>
          <w:szCs w:val="22"/>
        </w:rPr>
      </w:pPr>
      <w:r w:rsidRPr="00CF44B1">
        <w:rPr>
          <w:rFonts w:ascii="Palatino Linotype" w:hAnsi="Palatino Linotype"/>
          <w:i/>
          <w:sz w:val="22"/>
          <w:szCs w:val="22"/>
        </w:rPr>
        <w:t>El plazo señalado en el párrafo anterior, empezará a contar a partir de la publicación en el Periódico Oficial, del decreto correspondiente.</w:t>
      </w:r>
      <w:r w:rsidRPr="00CF44B1">
        <w:rPr>
          <w:rFonts w:ascii="Palatino Linotype" w:hAnsi="Palatino Linotype" w:cs="Arial"/>
          <w:bCs/>
          <w:i/>
          <w:color w:val="000000"/>
          <w:sz w:val="22"/>
          <w:szCs w:val="22"/>
        </w:rPr>
        <w:t xml:space="preserve"> “</w:t>
      </w:r>
      <w:r w:rsidRPr="00CF44B1">
        <w:rPr>
          <w:rFonts w:ascii="Palatino Linotype" w:hAnsi="Palatino Linotype" w:cs="Arial"/>
          <w:i/>
          <w:sz w:val="22"/>
          <w:szCs w:val="22"/>
        </w:rPr>
        <w:t>(Sic)</w:t>
      </w:r>
      <w:r w:rsidRPr="00CF44B1">
        <w:rPr>
          <w:rFonts w:ascii="Palatino Linotype" w:hAnsi="Palatino Linotype" w:cs="Arial"/>
          <w:bCs/>
          <w:i/>
          <w:color w:val="000000"/>
          <w:sz w:val="22"/>
          <w:szCs w:val="22"/>
        </w:rPr>
        <w:t xml:space="preserve"> </w:t>
      </w:r>
    </w:p>
    <w:p w:rsidR="008E1D85" w:rsidRDefault="008E1D85" w:rsidP="008E1D85">
      <w:pPr>
        <w:spacing w:before="240" w:after="240" w:line="360" w:lineRule="auto"/>
        <w:jc w:val="both"/>
        <w:rPr>
          <w:rFonts w:ascii="Palatino Linotype" w:hAnsi="Palatino Linotype" w:cs="Arial"/>
          <w:bCs/>
          <w:color w:val="000000"/>
        </w:rPr>
      </w:pPr>
      <w:r w:rsidRPr="00CF44B1">
        <w:rPr>
          <w:rFonts w:ascii="Palatino Linotype" w:hAnsi="Palatino Linotype" w:cs="Arial"/>
        </w:rPr>
        <w:t>De una interpretación sistemática de los artículos transcritos, se desprende primeramente que el</w:t>
      </w:r>
      <w:r w:rsidRPr="00CF44B1">
        <w:rPr>
          <w:rFonts w:ascii="Palatino Linotype" w:hAnsi="Palatino Linotype" w:cs="Arial"/>
          <w:bCs/>
          <w:color w:val="000000"/>
        </w:rPr>
        <w:t xml:space="preserve"> registro contable del efecto patrimonial y presupuestal de las operaciones financieras se realizará conforme al sistema y a las disposiciones que se aprueben en materia de planeación, programación, presupuestación, evaluaci</w:t>
      </w:r>
      <w:r w:rsidR="00424AD8">
        <w:rPr>
          <w:rFonts w:ascii="Palatino Linotype" w:hAnsi="Palatino Linotype" w:cs="Arial"/>
          <w:bCs/>
          <w:color w:val="000000"/>
        </w:rPr>
        <w:t xml:space="preserve">ón y contabilidad gubernamental y </w:t>
      </w:r>
      <w:r w:rsidR="00424AD8" w:rsidRPr="00424AD8">
        <w:rPr>
          <w:rFonts w:ascii="Palatino Linotype" w:hAnsi="Palatino Linotype" w:cs="Arial"/>
          <w:bCs/>
          <w:color w:val="000000"/>
        </w:rPr>
        <w:t>deberá estar soportado con los documentos comprobatorios originales</w:t>
      </w:r>
      <w:r w:rsidR="00424AD8">
        <w:rPr>
          <w:rFonts w:ascii="Palatino Linotype" w:hAnsi="Palatino Linotype" w:cs="Arial"/>
          <w:bCs/>
          <w:color w:val="000000"/>
        </w:rPr>
        <w:t>.</w:t>
      </w:r>
    </w:p>
    <w:p w:rsidR="009F35B3" w:rsidRPr="00CF44B1" w:rsidRDefault="009F35B3" w:rsidP="009F35B3">
      <w:pPr>
        <w:autoSpaceDE w:val="0"/>
        <w:autoSpaceDN w:val="0"/>
        <w:adjustRightInd w:val="0"/>
        <w:spacing w:before="240" w:after="240" w:line="360" w:lineRule="auto"/>
        <w:ind w:right="-232"/>
        <w:jc w:val="both"/>
        <w:rPr>
          <w:rFonts w:ascii="Palatino Linotype" w:hAnsi="Palatino Linotype"/>
        </w:rPr>
      </w:pPr>
      <w:r>
        <w:rPr>
          <w:rFonts w:ascii="Palatino Linotype" w:hAnsi="Palatino Linotype" w:cs="Arial"/>
        </w:rPr>
        <w:t>En ese sentido, debe decirse que</w:t>
      </w:r>
      <w:r w:rsidRPr="00CF44B1">
        <w:rPr>
          <w:rFonts w:ascii="Palatino Linotype" w:hAnsi="Palatino Linotype" w:cs="Arial"/>
        </w:rPr>
        <w:t xml:space="preserve"> las facturas emitidas en favor de los proveedores</w:t>
      </w:r>
      <w:r>
        <w:rPr>
          <w:rFonts w:ascii="Palatino Linotype" w:hAnsi="Palatino Linotype" w:cs="Arial"/>
        </w:rPr>
        <w:t>, contratistas o prestadores de servicios</w:t>
      </w:r>
      <w:r w:rsidRPr="00CF44B1">
        <w:rPr>
          <w:rFonts w:ascii="Palatino Linotype" w:hAnsi="Palatino Linotype" w:cs="Arial"/>
        </w:rPr>
        <w:t>, la cual se encuentra definida en e</w:t>
      </w:r>
      <w:r w:rsidRPr="00CF44B1">
        <w:rPr>
          <w:rFonts w:ascii="Palatino Linotype" w:hAnsi="Palatino Linotype"/>
        </w:rPr>
        <w:t xml:space="preserve">l Glosario de Términos Hacendarios que emite el Instituto Hacendario del Estado de México, </w:t>
      </w:r>
      <w:r>
        <w:rPr>
          <w:rFonts w:ascii="Palatino Linotype" w:hAnsi="Palatino Linotype"/>
        </w:rPr>
        <w:t>como</w:t>
      </w:r>
      <w:r w:rsidRPr="00CF44B1">
        <w:rPr>
          <w:rFonts w:ascii="Palatino Linotype" w:hAnsi="Palatino Linotype"/>
        </w:rPr>
        <w:t>:</w:t>
      </w:r>
    </w:p>
    <w:p w:rsidR="009F35B3" w:rsidRPr="00CF44B1" w:rsidRDefault="009F35B3" w:rsidP="00111A55">
      <w:pPr>
        <w:autoSpaceDE w:val="0"/>
        <w:autoSpaceDN w:val="0"/>
        <w:adjustRightInd w:val="0"/>
        <w:spacing w:before="120" w:after="120" w:line="276" w:lineRule="auto"/>
        <w:ind w:left="851" w:right="902"/>
        <w:jc w:val="both"/>
        <w:rPr>
          <w:rFonts w:ascii="Palatino Linotype" w:hAnsi="Palatino Linotype" w:cs="Arial"/>
          <w:b/>
          <w:i/>
          <w:sz w:val="22"/>
          <w:szCs w:val="22"/>
        </w:rPr>
      </w:pPr>
      <w:r w:rsidRPr="00CF44B1">
        <w:rPr>
          <w:rFonts w:ascii="Palatino Linotype" w:hAnsi="Palatino Linotype" w:cs="Arial"/>
          <w:i/>
          <w:sz w:val="22"/>
          <w:szCs w:val="22"/>
        </w:rPr>
        <w:t>“</w:t>
      </w:r>
      <w:r w:rsidRPr="00CF44B1">
        <w:rPr>
          <w:rFonts w:ascii="Palatino Linotype" w:hAnsi="Palatino Linotype" w:cs="Arial"/>
          <w:b/>
          <w:i/>
          <w:sz w:val="22"/>
          <w:szCs w:val="22"/>
        </w:rPr>
        <w:t>FACTURA</w:t>
      </w:r>
    </w:p>
    <w:p w:rsidR="009F35B3" w:rsidRPr="00CF44B1" w:rsidRDefault="009F35B3" w:rsidP="00111A55">
      <w:pPr>
        <w:autoSpaceDE w:val="0"/>
        <w:autoSpaceDN w:val="0"/>
        <w:adjustRightInd w:val="0"/>
        <w:spacing w:before="120" w:after="120" w:line="276" w:lineRule="auto"/>
        <w:ind w:left="851" w:right="902"/>
        <w:jc w:val="both"/>
        <w:rPr>
          <w:rFonts w:ascii="Palatino Linotype" w:hAnsi="Palatino Linotype" w:cs="Arial"/>
          <w:i/>
          <w:sz w:val="22"/>
          <w:szCs w:val="22"/>
        </w:rPr>
      </w:pPr>
      <w:r w:rsidRPr="00CF44B1">
        <w:rPr>
          <w:rFonts w:ascii="Palatino Linotype" w:hAnsi="Palatino Linotype" w:cs="Arial"/>
          <w:i/>
          <w:sz w:val="22"/>
          <w:szCs w:val="22"/>
        </w:rPr>
        <w:t>Es el documento fiscal que emite la persona física o moral para comprobar la venta o adquisición de un bien y/o servicio.” (Sic)</w:t>
      </w:r>
    </w:p>
    <w:p w:rsidR="009F35B3" w:rsidRDefault="009F35B3" w:rsidP="009F35B3">
      <w:pPr>
        <w:spacing w:before="240" w:after="240" w:line="360" w:lineRule="auto"/>
        <w:jc w:val="both"/>
        <w:rPr>
          <w:rFonts w:ascii="Palatino Linotype" w:hAnsi="Palatino Linotype" w:cs="Arial"/>
          <w:color w:val="000000"/>
        </w:rPr>
      </w:pPr>
      <w:r>
        <w:rPr>
          <w:rFonts w:ascii="Palatino Linotype" w:hAnsi="Palatino Linotype" w:cs="Arial"/>
        </w:rPr>
        <w:lastRenderedPageBreak/>
        <w:t>Luego entonces</w:t>
      </w:r>
      <w:r w:rsidRPr="00CF44B1">
        <w:rPr>
          <w:rFonts w:ascii="Palatino Linotype" w:hAnsi="Palatino Linotype" w:cs="Arial"/>
        </w:rPr>
        <w:t xml:space="preserve"> las facturas </w:t>
      </w:r>
      <w:r>
        <w:rPr>
          <w:rFonts w:ascii="Palatino Linotype" w:hAnsi="Palatino Linotype" w:cs="Arial"/>
        </w:rPr>
        <w:t>s</w:t>
      </w:r>
      <w:r w:rsidRPr="00CF44B1">
        <w:rPr>
          <w:rFonts w:ascii="Palatino Linotype" w:hAnsi="Palatino Linotype" w:cs="Arial"/>
        </w:rPr>
        <w:t>o</w:t>
      </w:r>
      <w:r>
        <w:rPr>
          <w:rFonts w:ascii="Palatino Linotype" w:hAnsi="Palatino Linotype" w:cs="Arial"/>
        </w:rPr>
        <w:t>n</w:t>
      </w:r>
      <w:r w:rsidRPr="00CF44B1">
        <w:rPr>
          <w:rFonts w:ascii="Palatino Linotype" w:hAnsi="Palatino Linotype" w:cs="Arial"/>
        </w:rPr>
        <w:t xml:space="preserve">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w:t>
      </w:r>
      <w:r w:rsidRPr="00CF44B1">
        <w:rPr>
          <w:rFonts w:ascii="Palatino Linotype" w:hAnsi="Palatino Linotype" w:cs="Arial"/>
          <w:color w:val="000000"/>
        </w:rPr>
        <w:t xml:space="preserve">os recursos económicos del Estado, de los Municipios, así como de los Organismos Autónomos, se administrarán con eficiencia, eficacia y honradez, para cumplir con los objetivos y programas a los que estén destinados. </w:t>
      </w:r>
    </w:p>
    <w:p w:rsidR="008E1D85" w:rsidRDefault="008E1D85" w:rsidP="008E1D85">
      <w:pPr>
        <w:spacing w:before="240" w:after="240" w:line="360" w:lineRule="auto"/>
        <w:jc w:val="both"/>
        <w:rPr>
          <w:rFonts w:ascii="Palatino Linotype" w:hAnsi="Palatino Linotype" w:cs="Arial"/>
          <w:lang w:eastAsia="es-MX"/>
        </w:rPr>
      </w:pPr>
      <w:r w:rsidRPr="00CF44B1">
        <w:rPr>
          <w:rFonts w:ascii="Palatino Linotype" w:hAnsi="Palatino Linotype" w:cs="Arial"/>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CF44B1">
        <w:rPr>
          <w:rFonts w:ascii="Palatino Linotype" w:hAnsi="Palatino Linotype" w:cs="Arial"/>
          <w:lang w:eastAsia="es-MX"/>
        </w:rPr>
        <w:t>;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w:t>
      </w:r>
      <w:r w:rsidR="009F35B3">
        <w:rPr>
          <w:rFonts w:ascii="Palatino Linotype" w:hAnsi="Palatino Linotype" w:cs="Arial"/>
          <w:lang w:eastAsia="es-MX"/>
        </w:rPr>
        <w:t xml:space="preserve">es definiciones de las palabras </w:t>
      </w:r>
      <w:r w:rsidRPr="00CF44B1">
        <w:rPr>
          <w:rFonts w:ascii="Palatino Linotype" w:hAnsi="Palatino Linotype" w:cs="Arial"/>
          <w:lang w:eastAsia="es-MX"/>
        </w:rPr>
        <w:t xml:space="preserve">registro contable y registro presupuestario: </w:t>
      </w:r>
    </w:p>
    <w:p w:rsidR="008E1D85" w:rsidRPr="00CF44B1" w:rsidRDefault="008E1D85" w:rsidP="00111A55">
      <w:pPr>
        <w:spacing w:before="120" w:after="120" w:line="276" w:lineRule="auto"/>
        <w:ind w:firstLine="708"/>
        <w:jc w:val="both"/>
        <w:rPr>
          <w:rFonts w:ascii="Palatino Linotype" w:hAnsi="Palatino Linotype" w:cs="Arial"/>
          <w:b/>
          <w:i/>
          <w:sz w:val="22"/>
          <w:szCs w:val="22"/>
          <w:lang w:eastAsia="es-MX"/>
        </w:rPr>
      </w:pPr>
      <w:r w:rsidRPr="00CF44B1">
        <w:rPr>
          <w:rFonts w:ascii="Palatino Linotype" w:hAnsi="Palatino Linotype" w:cs="Arial"/>
          <w:b/>
          <w:i/>
          <w:lang w:eastAsia="es-MX"/>
        </w:rPr>
        <w:t>“</w:t>
      </w:r>
      <w:r w:rsidRPr="00CF44B1">
        <w:rPr>
          <w:rFonts w:ascii="Palatino Linotype" w:hAnsi="Palatino Linotype" w:cs="Arial"/>
          <w:b/>
          <w:i/>
          <w:sz w:val="22"/>
          <w:szCs w:val="22"/>
          <w:lang w:eastAsia="es-MX"/>
        </w:rPr>
        <w:t xml:space="preserve">REGISTRO CONTABLE </w:t>
      </w:r>
    </w:p>
    <w:p w:rsidR="008E1D85" w:rsidRPr="00CF44B1" w:rsidRDefault="008E1D85" w:rsidP="00111A55">
      <w:pPr>
        <w:spacing w:before="120" w:after="120" w:line="276" w:lineRule="auto"/>
        <w:ind w:left="851" w:right="899"/>
        <w:jc w:val="both"/>
        <w:rPr>
          <w:rFonts w:ascii="Palatino Linotype" w:hAnsi="Palatino Linotype" w:cs="Arial"/>
          <w:i/>
          <w:sz w:val="22"/>
          <w:szCs w:val="22"/>
        </w:rPr>
      </w:pPr>
      <w:r w:rsidRPr="00CF44B1">
        <w:rPr>
          <w:rFonts w:ascii="Palatino Linotype" w:hAnsi="Palatino Linotype" w:cs="Arial"/>
          <w:i/>
          <w:sz w:val="22"/>
          <w:szCs w:val="22"/>
          <w:lang w:eastAsia="es-MX"/>
        </w:rPr>
        <w:t xml:space="preserve">Asiento que se realiza en los libros de contabilidad de las actividades relacionadas con el ingreso y egresos de un ente económico.” </w:t>
      </w:r>
      <w:r w:rsidRPr="00CF44B1">
        <w:rPr>
          <w:rFonts w:ascii="Palatino Linotype" w:hAnsi="Palatino Linotype" w:cs="Arial"/>
          <w:i/>
          <w:sz w:val="22"/>
          <w:szCs w:val="22"/>
        </w:rPr>
        <w:t>(Sic)</w:t>
      </w:r>
    </w:p>
    <w:p w:rsidR="008E1D85" w:rsidRPr="00CF44B1" w:rsidRDefault="008E1D85" w:rsidP="00111A55">
      <w:pPr>
        <w:spacing w:before="120" w:after="120" w:line="276" w:lineRule="auto"/>
        <w:ind w:right="899" w:firstLine="708"/>
        <w:jc w:val="both"/>
        <w:rPr>
          <w:rFonts w:ascii="Palatino Linotype" w:hAnsi="Palatino Linotype" w:cs="Arial"/>
          <w:b/>
          <w:i/>
          <w:sz w:val="22"/>
          <w:szCs w:val="22"/>
          <w:lang w:eastAsia="es-MX"/>
        </w:rPr>
      </w:pPr>
      <w:r w:rsidRPr="00CF44B1">
        <w:rPr>
          <w:rFonts w:ascii="Palatino Linotype" w:hAnsi="Palatino Linotype" w:cs="Arial"/>
          <w:b/>
          <w:i/>
          <w:sz w:val="22"/>
          <w:szCs w:val="22"/>
          <w:lang w:eastAsia="es-MX"/>
        </w:rPr>
        <w:t>“REGISTRO PRESUPUESTARIO</w:t>
      </w:r>
    </w:p>
    <w:p w:rsidR="008E1D85" w:rsidRPr="00CF44B1" w:rsidRDefault="008E1D85" w:rsidP="00111A55">
      <w:pPr>
        <w:spacing w:before="120" w:after="120" w:line="276" w:lineRule="auto"/>
        <w:ind w:left="708" w:right="899"/>
        <w:jc w:val="both"/>
        <w:rPr>
          <w:rFonts w:ascii="Palatino Linotype" w:hAnsi="Palatino Linotype" w:cs="Arial"/>
          <w:i/>
          <w:sz w:val="22"/>
          <w:szCs w:val="22"/>
          <w:lang w:eastAsia="es-MX"/>
        </w:rPr>
      </w:pPr>
      <w:r w:rsidRPr="00CF44B1">
        <w:rPr>
          <w:rFonts w:ascii="Palatino Linotype" w:hAnsi="Palatino Linotype" w:cs="Arial"/>
          <w:i/>
          <w:sz w:val="22"/>
          <w:szCs w:val="22"/>
          <w:lang w:eastAsia="es-MX"/>
        </w:rPr>
        <w:lastRenderedPageBreak/>
        <w:t xml:space="preserve">Asiento contable de las erogaciones realizadas por las dependencias y entidades con relación a la asignación, modificación y ejercicio de los recursos presupuestarios que se les hayan autorizado.” </w:t>
      </w:r>
      <w:r w:rsidRPr="00CF44B1">
        <w:rPr>
          <w:rFonts w:ascii="Palatino Linotype" w:hAnsi="Palatino Linotype" w:cs="Arial"/>
          <w:i/>
          <w:sz w:val="22"/>
          <w:szCs w:val="22"/>
        </w:rPr>
        <w:t>(Sic)</w:t>
      </w:r>
    </w:p>
    <w:p w:rsidR="008E1D85" w:rsidRPr="00CF44B1" w:rsidRDefault="008E1D85" w:rsidP="008E1D85">
      <w:pPr>
        <w:spacing w:before="240" w:after="240" w:line="360" w:lineRule="auto"/>
        <w:jc w:val="both"/>
        <w:rPr>
          <w:rFonts w:ascii="Palatino Linotype" w:hAnsi="Palatino Linotype" w:cs="Arial"/>
          <w:bCs/>
          <w:color w:val="000000"/>
        </w:rPr>
      </w:pPr>
      <w:r w:rsidRPr="00CF44B1">
        <w:rPr>
          <w:rFonts w:ascii="Palatino Linotype" w:hAnsi="Palatino Linotype" w:cs="Arial"/>
          <w:bCs/>
          <w:color w:val="000000"/>
        </w:rPr>
        <w:t>Por otra parte, se establece que el sistema de contabilidad sobre base acumulativa total se sustentará en los principios de contabilidad gubernamental.</w:t>
      </w:r>
    </w:p>
    <w:p w:rsidR="008E1D85" w:rsidRPr="00CF44B1" w:rsidRDefault="008E1D85" w:rsidP="008E1D85">
      <w:pPr>
        <w:spacing w:before="240" w:after="240" w:line="360" w:lineRule="auto"/>
        <w:jc w:val="both"/>
        <w:rPr>
          <w:rFonts w:ascii="Palatino Linotype" w:hAnsi="Palatino Linotype" w:cs="Arial"/>
          <w:bCs/>
          <w:color w:val="000000"/>
        </w:rPr>
      </w:pPr>
      <w:r w:rsidRPr="00CF44B1">
        <w:rPr>
          <w:rFonts w:ascii="Palatino Linotype" w:hAnsi="Palatino Linotype" w:cs="Arial"/>
          <w:bCs/>
          <w:color w:val="000000"/>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rsidR="008E1D85" w:rsidRDefault="008E1D85" w:rsidP="008E1D85">
      <w:pPr>
        <w:autoSpaceDE w:val="0"/>
        <w:autoSpaceDN w:val="0"/>
        <w:adjustRightInd w:val="0"/>
        <w:spacing w:before="240" w:after="240" w:line="360" w:lineRule="auto"/>
        <w:jc w:val="both"/>
        <w:rPr>
          <w:rFonts w:ascii="Palatino Linotype" w:hAnsi="Palatino Linotype" w:cs="Arial"/>
          <w:lang w:eastAsia="es-MX"/>
        </w:rPr>
      </w:pPr>
      <w:r w:rsidRPr="00CF44B1">
        <w:rPr>
          <w:rFonts w:ascii="Palatino Linotype" w:hAnsi="Palatino Linotype" w:cs="Arial"/>
          <w:lang w:eastAsia="es-MX"/>
        </w:rPr>
        <w:t xml:space="preserve">Correlativo a lo anterior, es preciso referir una definición de </w:t>
      </w:r>
      <w:r w:rsidRPr="00CF44B1">
        <w:rPr>
          <w:rFonts w:ascii="Palatino Linotype" w:hAnsi="Palatino Linotype" w:cs="Arial"/>
          <w:i/>
          <w:lang w:eastAsia="es-MX"/>
        </w:rPr>
        <w:t>póliza contable</w:t>
      </w:r>
      <w:r w:rsidRPr="00CF44B1">
        <w:rPr>
          <w:rFonts w:ascii="Palatino Linotype" w:hAnsi="Palatino Linotype" w:cs="Arial"/>
          <w:lang w:eastAsia="es-MX"/>
        </w:rPr>
        <w:t xml:space="preserve">, la cual, primeramente, no está definida en el Código Financiero del Estado de México y Municipios; no obstante, los ya mencionados Glosarios la definen como: </w:t>
      </w:r>
    </w:p>
    <w:p w:rsidR="008E1D85" w:rsidRPr="00CF44B1" w:rsidRDefault="008E1D85" w:rsidP="00111A55">
      <w:pPr>
        <w:spacing w:before="120" w:after="120" w:line="276" w:lineRule="auto"/>
        <w:ind w:left="851" w:right="899"/>
        <w:jc w:val="both"/>
        <w:rPr>
          <w:rFonts w:ascii="Palatino Linotype" w:hAnsi="Palatino Linotype" w:cs="Arial"/>
          <w:b/>
          <w:i/>
          <w:sz w:val="22"/>
          <w:szCs w:val="22"/>
          <w:lang w:eastAsia="es-MX"/>
        </w:rPr>
      </w:pPr>
      <w:r w:rsidRPr="00CF44B1">
        <w:rPr>
          <w:rFonts w:ascii="Palatino Linotype" w:hAnsi="Palatino Linotype" w:cs="Arial"/>
          <w:i/>
          <w:sz w:val="22"/>
          <w:szCs w:val="22"/>
          <w:lang w:eastAsia="es-MX"/>
        </w:rPr>
        <w:t>“</w:t>
      </w:r>
      <w:r w:rsidRPr="00CF44B1">
        <w:rPr>
          <w:rFonts w:ascii="Palatino Linotype" w:hAnsi="Palatino Linotype" w:cs="Arial"/>
          <w:b/>
          <w:i/>
          <w:sz w:val="22"/>
          <w:szCs w:val="22"/>
          <w:lang w:eastAsia="es-MX"/>
        </w:rPr>
        <w:t>PÓLIZA CONTABLE</w:t>
      </w:r>
    </w:p>
    <w:p w:rsidR="008E1D85" w:rsidRPr="00CF44B1" w:rsidRDefault="008E1D85" w:rsidP="00111A55">
      <w:pPr>
        <w:spacing w:before="120" w:after="120" w:line="276" w:lineRule="auto"/>
        <w:ind w:left="851" w:right="899"/>
        <w:jc w:val="both"/>
        <w:rPr>
          <w:rFonts w:ascii="Palatino Linotype" w:hAnsi="Palatino Linotype" w:cs="Arial"/>
          <w:i/>
          <w:sz w:val="22"/>
          <w:szCs w:val="22"/>
          <w:lang w:eastAsia="es-MX"/>
        </w:rPr>
      </w:pPr>
      <w:r w:rsidRPr="00CF44B1">
        <w:rPr>
          <w:rFonts w:ascii="Palatino Linotype" w:hAnsi="Palatino Linotype" w:cs="Arial"/>
          <w:i/>
          <w:sz w:val="22"/>
          <w:szCs w:val="22"/>
          <w:lang w:eastAsia="es-MX"/>
        </w:rPr>
        <w:t>Documento en el cual se asientan en forma individual todas y cada una de las operaciones desarrolladas por una institución, así como la información necesaria para la identificación de dichas operaciones.” (sic)</w:t>
      </w:r>
    </w:p>
    <w:p w:rsidR="008E1D85" w:rsidRPr="00CF44B1" w:rsidRDefault="008E1D85" w:rsidP="008E1D85">
      <w:pPr>
        <w:spacing w:before="240" w:after="240" w:line="360" w:lineRule="auto"/>
        <w:jc w:val="both"/>
        <w:rPr>
          <w:rFonts w:ascii="Palatino Linotype" w:hAnsi="Palatino Linotype" w:cs="Arial"/>
          <w:lang w:eastAsia="es-MX"/>
        </w:rPr>
      </w:pPr>
      <w:r w:rsidRPr="00CF44B1">
        <w:rPr>
          <w:rFonts w:ascii="Palatino Linotype" w:hAnsi="Palatino Linotype" w:cs="Arial"/>
          <w:lang w:eastAsia="es-MX"/>
        </w:rPr>
        <w:t xml:space="preserve">Así, se advierte que la </w:t>
      </w:r>
      <w:r w:rsidRPr="00CF44B1">
        <w:rPr>
          <w:rFonts w:ascii="Palatino Linotype" w:hAnsi="Palatino Linotype" w:cs="Arial"/>
          <w:i/>
          <w:lang w:eastAsia="es-MX"/>
        </w:rPr>
        <w:t>póliza contable</w:t>
      </w:r>
      <w:r w:rsidRPr="00CF44B1">
        <w:rPr>
          <w:rFonts w:ascii="Palatino Linotype" w:hAnsi="Palatino Linotype" w:cs="Arial"/>
          <w:lang w:eastAsia="es-MX"/>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rsidR="002B3D0A" w:rsidRPr="00833247" w:rsidRDefault="008E1D85" w:rsidP="00833247">
      <w:pPr>
        <w:spacing w:before="240" w:after="240" w:line="360" w:lineRule="auto"/>
        <w:jc w:val="both"/>
        <w:rPr>
          <w:rFonts w:ascii="Palatino Linotype" w:hAnsi="Palatino Linotype" w:cs="Arial"/>
          <w:lang w:eastAsia="es-MX"/>
        </w:rPr>
      </w:pPr>
      <w:r w:rsidRPr="00CF44B1">
        <w:rPr>
          <w:rFonts w:ascii="Palatino Linotype" w:hAnsi="Palatino Linotype" w:cs="Arial"/>
          <w:lang w:eastAsia="es-MX"/>
        </w:rPr>
        <w:t xml:space="preserve">En este sentido, existen diversos tipos de pólizas contables de acuerdo a las operaciones realizadas, dentro de las cuales, encontramos las llamadas </w:t>
      </w:r>
      <w:r w:rsidRPr="00CF44B1">
        <w:rPr>
          <w:rFonts w:ascii="Palatino Linotype" w:hAnsi="Palatino Linotype" w:cs="Arial"/>
          <w:i/>
          <w:lang w:eastAsia="es-MX"/>
        </w:rPr>
        <w:t xml:space="preserve">pólizas de </w:t>
      </w:r>
      <w:r w:rsidRPr="00CF44B1">
        <w:rPr>
          <w:rFonts w:ascii="Palatino Linotype" w:hAnsi="Palatino Linotype" w:cs="Arial"/>
          <w:i/>
          <w:lang w:eastAsia="es-MX"/>
        </w:rPr>
        <w:lastRenderedPageBreak/>
        <w:t>egresos</w:t>
      </w:r>
      <w:r w:rsidRPr="00CF44B1">
        <w:rPr>
          <w:rFonts w:ascii="Palatino Linotype" w:hAnsi="Palatino Linotype" w:cs="Arial"/>
          <w:lang w:eastAsia="es-MX"/>
        </w:rPr>
        <w:t xml:space="preserve">, son aquellas en las cuales se anotan diariamente las operaciones que representan gastos, es decir, salidas de dinero para el </w:t>
      </w:r>
      <w:r w:rsidRPr="00833247">
        <w:rPr>
          <w:rFonts w:ascii="Palatino Linotype" w:hAnsi="Palatino Linotype" w:cs="Arial"/>
          <w:b/>
          <w:lang w:eastAsia="es-MX"/>
        </w:rPr>
        <w:t>SUJETO OBLIGADO</w:t>
      </w:r>
      <w:r w:rsidRPr="00CF44B1">
        <w:rPr>
          <w:rFonts w:ascii="Palatino Linotype" w:hAnsi="Palatino Linotype" w:cs="Arial"/>
          <w:lang w:eastAsia="es-MX"/>
        </w:rPr>
        <w:t xml:space="preserve">, las </w:t>
      </w:r>
      <w:r>
        <w:rPr>
          <w:rFonts w:ascii="Palatino Linotype" w:hAnsi="Palatino Linotype" w:cs="Arial"/>
          <w:lang w:eastAsia="es-MX"/>
        </w:rPr>
        <w:t>que,</w:t>
      </w:r>
      <w:r w:rsidRPr="00CF44B1">
        <w:rPr>
          <w:rFonts w:ascii="Palatino Linotype" w:hAnsi="Palatino Linotype" w:cs="Arial"/>
          <w:lang w:eastAsia="es-MX"/>
        </w:rPr>
        <w:t xml:space="preserve"> además, deben encontrarse acompañadas de las documentales que sirven de soporte de dicho movimiento. </w:t>
      </w:r>
    </w:p>
    <w:p w:rsidR="002B3D0A" w:rsidRPr="00F820D1" w:rsidRDefault="002B3D0A" w:rsidP="002B3D0A">
      <w:pPr>
        <w:autoSpaceDE w:val="0"/>
        <w:autoSpaceDN w:val="0"/>
        <w:adjustRightInd w:val="0"/>
        <w:spacing w:line="360" w:lineRule="auto"/>
        <w:ind w:right="50"/>
        <w:jc w:val="both"/>
        <w:rPr>
          <w:rFonts w:ascii="Palatino Linotype" w:hAnsi="Palatino Linotype" w:cs="Arial"/>
          <w:bCs/>
          <w:color w:val="000000"/>
        </w:rPr>
      </w:pPr>
      <w:r w:rsidRPr="00F820D1">
        <w:rPr>
          <w:rFonts w:ascii="Palatino Linotype" w:hAnsi="Palatino Linotype" w:cs="Arial"/>
          <w:bCs/>
          <w:color w:val="000000"/>
        </w:rPr>
        <w:t xml:space="preserve">De este modo, </w:t>
      </w:r>
      <w:r w:rsidRPr="00F820D1">
        <w:rPr>
          <w:rFonts w:ascii="Palatino Linotype" w:hAnsi="Palatino Linotype" w:cs="Arial"/>
          <w:b/>
          <w:bCs/>
          <w:color w:val="000000"/>
        </w:rPr>
        <w:t>EL SUJETO OBLIGADO</w:t>
      </w:r>
      <w:r w:rsidRPr="00F820D1">
        <w:rPr>
          <w:rFonts w:ascii="Palatino Linotype" w:hAnsi="Palatino Linotype" w:cs="Arial"/>
          <w:bCs/>
          <w:color w:val="000000"/>
        </w:rPr>
        <w:t xml:space="preserve"> debe tener registro de la exp</w:t>
      </w:r>
      <w:r w:rsidR="00833247">
        <w:rPr>
          <w:rFonts w:ascii="Palatino Linotype" w:hAnsi="Palatino Linotype" w:cs="Arial"/>
          <w:bCs/>
          <w:color w:val="000000"/>
        </w:rPr>
        <w:t>edición de las pólizas de egresos</w:t>
      </w:r>
      <w:r w:rsidRPr="00F820D1">
        <w:rPr>
          <w:rFonts w:ascii="Palatino Linotype" w:hAnsi="Palatino Linotype" w:cs="Arial"/>
          <w:bCs/>
          <w:color w:val="000000"/>
        </w:rPr>
        <w:t xml:space="preserve">; que le son requeridos a través del ejercicio del derecho fundamental de acceso a la información pública, ya que con tales documentales acredita y soporta el gasto realizado, es decir se hace del conocimiento de los particulares el uso y destino de los recursos públicos. </w:t>
      </w:r>
    </w:p>
    <w:p w:rsidR="002B3D0A" w:rsidRPr="00F820D1" w:rsidRDefault="002B3D0A" w:rsidP="002B3D0A">
      <w:pPr>
        <w:autoSpaceDE w:val="0"/>
        <w:autoSpaceDN w:val="0"/>
        <w:adjustRightInd w:val="0"/>
        <w:spacing w:line="360" w:lineRule="auto"/>
        <w:ind w:firstLine="567"/>
        <w:jc w:val="both"/>
        <w:rPr>
          <w:rFonts w:ascii="Palatino Linotype" w:eastAsia="Arial Unicode MS" w:hAnsi="Palatino Linotype" w:cs="Arial"/>
        </w:rPr>
      </w:pPr>
    </w:p>
    <w:p w:rsidR="002B3D0A" w:rsidRPr="00F820D1" w:rsidRDefault="002B3D0A" w:rsidP="002B3D0A">
      <w:pPr>
        <w:autoSpaceDE w:val="0"/>
        <w:autoSpaceDN w:val="0"/>
        <w:adjustRightInd w:val="0"/>
        <w:spacing w:line="360" w:lineRule="auto"/>
        <w:ind w:right="50"/>
        <w:jc w:val="both"/>
        <w:rPr>
          <w:rFonts w:ascii="Palatino Linotype" w:hAnsi="Palatino Linotype" w:cs="Arial"/>
          <w:bCs/>
          <w:color w:val="000000"/>
        </w:rPr>
      </w:pPr>
      <w:r w:rsidRPr="00F820D1">
        <w:rPr>
          <w:rFonts w:ascii="Palatino Linotype" w:hAnsi="Palatino Linotype" w:cs="Arial"/>
          <w:bCs/>
          <w:color w:val="000000"/>
        </w:rPr>
        <w:t xml:space="preserve">De igual forma, es de suma importancia destacar que el penúltimo párrafo, del artículo 23 de la </w:t>
      </w:r>
      <w:r w:rsidRPr="00F820D1">
        <w:rPr>
          <w:rFonts w:ascii="Palatino Linotype" w:hAnsi="Palatino Linotype" w:cs="Arial"/>
        </w:rPr>
        <w:t>Ley de Transparencia y Acceso a la Información Pública del Estado de México y Municipios</w:t>
      </w:r>
      <w:r w:rsidRPr="00F820D1">
        <w:rPr>
          <w:rFonts w:ascii="Palatino Linotype" w:hAnsi="Palatino Linotype" w:cs="Arial"/>
          <w:bCs/>
          <w:color w:val="000000"/>
        </w:rPr>
        <w:t xml:space="preserve">, establece como deber de los sujetos obligados de hacer pública toda la información relativa a los montos y personas a quienes se entreguen recursos públicos, con la única finalidad de dar a conocer a la ciudadanía la forma, términos y montos en que se aplican los recursos públicos y con ello transparentar la forma, términos, causas y finalidad en la disposición de esos recursos; ya que este precepto legal que establece: </w:t>
      </w:r>
    </w:p>
    <w:p w:rsidR="002B3D0A" w:rsidRPr="00F820D1" w:rsidRDefault="002B3D0A" w:rsidP="002B3D0A">
      <w:pPr>
        <w:autoSpaceDE w:val="0"/>
        <w:autoSpaceDN w:val="0"/>
        <w:adjustRightInd w:val="0"/>
        <w:ind w:right="50"/>
        <w:jc w:val="both"/>
        <w:rPr>
          <w:rFonts w:ascii="Palatino Linotype" w:hAnsi="Palatino Linotype" w:cs="Arial"/>
          <w:bCs/>
          <w:color w:val="000000"/>
        </w:rPr>
      </w:pPr>
    </w:p>
    <w:p w:rsidR="002B3D0A" w:rsidRPr="00F820D1" w:rsidRDefault="002B3D0A" w:rsidP="00111A55">
      <w:pPr>
        <w:spacing w:line="276" w:lineRule="auto"/>
        <w:ind w:left="851" w:right="901"/>
        <w:jc w:val="both"/>
        <w:rPr>
          <w:rFonts w:ascii="Palatino Linotype" w:eastAsia="Arial Unicode MS" w:hAnsi="Palatino Linotype" w:cs="Arial"/>
          <w:b/>
          <w:i/>
          <w:sz w:val="22"/>
        </w:rPr>
      </w:pPr>
      <w:r w:rsidRPr="00F820D1">
        <w:rPr>
          <w:rFonts w:ascii="Palatino Linotype" w:eastAsia="Arial Unicode MS" w:hAnsi="Palatino Linotype" w:cs="Arial"/>
          <w:b/>
          <w:i/>
          <w:sz w:val="22"/>
        </w:rPr>
        <w:t>“Artículo 23…</w:t>
      </w:r>
    </w:p>
    <w:p w:rsidR="002B3D0A" w:rsidRPr="00F820D1" w:rsidRDefault="002B3D0A" w:rsidP="00111A55">
      <w:pPr>
        <w:spacing w:line="276" w:lineRule="auto"/>
        <w:ind w:left="851" w:right="901"/>
        <w:jc w:val="both"/>
        <w:rPr>
          <w:rFonts w:ascii="Palatino Linotype" w:eastAsia="Arial Unicode MS" w:hAnsi="Palatino Linotype" w:cs="Arial"/>
          <w:i/>
          <w:sz w:val="22"/>
        </w:rPr>
      </w:pPr>
    </w:p>
    <w:p w:rsidR="002B3D0A" w:rsidRPr="00F820D1" w:rsidRDefault="002B3D0A" w:rsidP="00111A55">
      <w:pPr>
        <w:spacing w:line="276" w:lineRule="auto"/>
        <w:ind w:left="851" w:right="901"/>
        <w:jc w:val="both"/>
        <w:rPr>
          <w:rFonts w:ascii="Palatino Linotype" w:hAnsi="Palatino Linotype" w:cs="Arial"/>
          <w:i/>
          <w:color w:val="000000"/>
          <w:sz w:val="22"/>
          <w:szCs w:val="22"/>
        </w:rPr>
      </w:pPr>
      <w:r w:rsidRPr="00F820D1">
        <w:rPr>
          <w:rFonts w:ascii="Palatino Linotype" w:eastAsia="Arial Unicode MS" w:hAnsi="Palatino Linotype" w:cs="Arial"/>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sidR="00424AD8">
        <w:rPr>
          <w:rFonts w:ascii="Palatino Linotype" w:eastAsia="Arial Unicode MS" w:hAnsi="Palatino Linotype" w:cs="Arial"/>
          <w:i/>
          <w:sz w:val="22"/>
        </w:rPr>
        <w:t>…(Sic</w:t>
      </w:r>
      <w:r w:rsidRPr="00F820D1">
        <w:rPr>
          <w:rFonts w:ascii="Palatino Linotype" w:hAnsi="Palatino Linotype" w:cs="Arial"/>
          <w:i/>
          <w:color w:val="000000"/>
          <w:sz w:val="22"/>
          <w:szCs w:val="22"/>
        </w:rPr>
        <w:t>)”</w:t>
      </w:r>
    </w:p>
    <w:p w:rsidR="002B3D0A" w:rsidRPr="00F820D1" w:rsidRDefault="002B3D0A" w:rsidP="00111A55">
      <w:pPr>
        <w:spacing w:line="276" w:lineRule="auto"/>
        <w:ind w:left="851" w:right="850"/>
        <w:jc w:val="both"/>
        <w:rPr>
          <w:rFonts w:ascii="Palatino Linotype" w:hAnsi="Palatino Linotype" w:cs="Arial"/>
          <w:i/>
          <w:color w:val="000000"/>
          <w:sz w:val="22"/>
          <w:szCs w:val="22"/>
        </w:rPr>
      </w:pPr>
    </w:p>
    <w:p w:rsidR="002B3D0A" w:rsidRPr="00F820D1" w:rsidRDefault="002B3D0A" w:rsidP="002B3D0A">
      <w:pPr>
        <w:autoSpaceDE w:val="0"/>
        <w:autoSpaceDN w:val="0"/>
        <w:adjustRightInd w:val="0"/>
        <w:spacing w:line="360" w:lineRule="auto"/>
        <w:jc w:val="both"/>
        <w:rPr>
          <w:rFonts w:ascii="Palatino Linotype" w:eastAsia="Arial Unicode MS" w:hAnsi="Palatino Linotype" w:cs="Arial"/>
        </w:rPr>
      </w:pPr>
      <w:r w:rsidRPr="00F820D1">
        <w:rPr>
          <w:rFonts w:ascii="Palatino Linotype" w:eastAsia="Arial Unicode MS" w:hAnsi="Palatino Linotype" w:cs="Arial"/>
        </w:rPr>
        <w:t xml:space="preserve">En esta tesitura, se concluye que todos los datos en que consten gastos efectuados por </w:t>
      </w:r>
      <w:r w:rsidRPr="00F820D1">
        <w:rPr>
          <w:rFonts w:ascii="Palatino Linotype" w:eastAsia="Arial Unicode MS" w:hAnsi="Palatino Linotype" w:cs="Arial"/>
          <w:b/>
        </w:rPr>
        <w:t>EL SUJETO OBLIGADO</w:t>
      </w:r>
      <w:r w:rsidRPr="00F820D1">
        <w:rPr>
          <w:rFonts w:ascii="Palatino Linotype" w:eastAsia="Arial Unicode MS" w:hAnsi="Palatino Linotype" w:cs="Arial"/>
        </w:rPr>
        <w:t>, es información pública; por ende, los p</w:t>
      </w:r>
      <w:r w:rsidR="00833247">
        <w:rPr>
          <w:rFonts w:ascii="Palatino Linotype" w:eastAsia="Arial Unicode MS" w:hAnsi="Palatino Linotype" w:cs="Arial"/>
        </w:rPr>
        <w:t>agos realizados mediante pólizas de egresos son pública</w:t>
      </w:r>
      <w:r w:rsidRPr="00F820D1">
        <w:rPr>
          <w:rFonts w:ascii="Palatino Linotype" w:eastAsia="Arial Unicode MS" w:hAnsi="Palatino Linotype" w:cs="Arial"/>
        </w:rPr>
        <w:t xml:space="preserve">s y susceptibles de ser entregados si son solicitados en ejercicio del derecho de acceso a la información pública. </w:t>
      </w:r>
    </w:p>
    <w:p w:rsidR="002B3D0A" w:rsidRPr="00F820D1" w:rsidRDefault="002B3D0A" w:rsidP="002B3D0A">
      <w:pPr>
        <w:autoSpaceDE w:val="0"/>
        <w:autoSpaceDN w:val="0"/>
        <w:adjustRightInd w:val="0"/>
        <w:spacing w:line="360" w:lineRule="auto"/>
        <w:jc w:val="both"/>
        <w:rPr>
          <w:rFonts w:ascii="Palatino Linotype" w:eastAsia="Arial Unicode MS" w:hAnsi="Palatino Linotype" w:cs="Arial"/>
        </w:rPr>
      </w:pPr>
    </w:p>
    <w:p w:rsidR="002B3D0A" w:rsidRDefault="002B3D0A" w:rsidP="002B3D0A">
      <w:pPr>
        <w:autoSpaceDE w:val="0"/>
        <w:autoSpaceDN w:val="0"/>
        <w:adjustRightInd w:val="0"/>
        <w:spacing w:line="360" w:lineRule="auto"/>
        <w:jc w:val="both"/>
        <w:rPr>
          <w:rFonts w:ascii="Palatino Linotype" w:hAnsi="Palatino Linotype" w:cs="Arial"/>
          <w:color w:val="000000"/>
        </w:rPr>
      </w:pPr>
      <w:r w:rsidRPr="00F820D1">
        <w:rPr>
          <w:rFonts w:ascii="Palatino Linotype" w:hAnsi="Palatino Linotype" w:cs="Arial"/>
          <w:color w:val="000000"/>
        </w:rPr>
        <w:t xml:space="preserve">Como ya se mencionó anteriormente </w:t>
      </w:r>
      <w:r w:rsidRPr="00F820D1">
        <w:rPr>
          <w:rFonts w:ascii="Palatino Linotype" w:hAnsi="Palatino Linotype" w:cs="Arial"/>
          <w:b/>
          <w:color w:val="000000"/>
        </w:rPr>
        <w:t xml:space="preserve">EL SUJETO OBLIGADO </w:t>
      </w:r>
      <w:r w:rsidRPr="00F820D1">
        <w:rPr>
          <w:rFonts w:ascii="Palatino Linotype" w:hAnsi="Palatino Linotype" w:cs="Arial"/>
          <w:color w:val="000000"/>
        </w:rPr>
        <w:t xml:space="preserve">tiene la obligatoriedad de registrar </w:t>
      </w:r>
      <w:r w:rsidRPr="00F820D1">
        <w:rPr>
          <w:rFonts w:ascii="Palatino Linotype" w:hAnsi="Palatino Linotype" w:cs="Arial"/>
          <w:bCs/>
          <w:color w:val="000000"/>
        </w:rPr>
        <w:t>contablemente el efecto patrimonial y presupuestal de las operaciones financieras que realizan, en el momento en que ocurran</w:t>
      </w:r>
      <w:r w:rsidR="00833247">
        <w:rPr>
          <w:rFonts w:ascii="Palatino Linotype" w:hAnsi="Palatino Linotype" w:cs="Arial"/>
          <w:color w:val="000000"/>
        </w:rPr>
        <w:t>.</w:t>
      </w:r>
      <w:r w:rsidR="00723D49">
        <w:rPr>
          <w:rFonts w:ascii="Palatino Linotype" w:hAnsi="Palatino Linotype" w:cs="Arial"/>
          <w:color w:val="000000"/>
        </w:rPr>
        <w:t xml:space="preserve"> </w:t>
      </w:r>
    </w:p>
    <w:p w:rsidR="00833247" w:rsidRPr="00F820D1" w:rsidRDefault="00833247" w:rsidP="002B3D0A">
      <w:pPr>
        <w:autoSpaceDE w:val="0"/>
        <w:autoSpaceDN w:val="0"/>
        <w:adjustRightInd w:val="0"/>
        <w:spacing w:line="360" w:lineRule="auto"/>
        <w:jc w:val="both"/>
        <w:rPr>
          <w:rFonts w:ascii="Palatino Linotype" w:hAnsi="Palatino Linotype" w:cs="Arial"/>
          <w:color w:val="000000"/>
        </w:rPr>
      </w:pPr>
    </w:p>
    <w:p w:rsidR="002B3D0A" w:rsidRDefault="002B3D0A" w:rsidP="002B3D0A">
      <w:pPr>
        <w:autoSpaceDE w:val="0"/>
        <w:autoSpaceDN w:val="0"/>
        <w:adjustRightInd w:val="0"/>
        <w:spacing w:line="360" w:lineRule="auto"/>
        <w:jc w:val="both"/>
        <w:rPr>
          <w:rFonts w:ascii="Palatino Linotype" w:hAnsi="Palatino Linotype" w:cs="Arial"/>
          <w:color w:val="000000"/>
        </w:rPr>
      </w:pPr>
      <w:r w:rsidRPr="00F820D1">
        <w:rPr>
          <w:rFonts w:ascii="Palatino Linotype" w:hAnsi="Palatino Linotype" w:cs="Arial"/>
          <w:color w:val="000000"/>
        </w:rPr>
        <w:t xml:space="preserve">En consecuencia, podemos concluir que </w:t>
      </w:r>
      <w:r w:rsidRPr="00F820D1">
        <w:rPr>
          <w:rFonts w:ascii="Palatino Linotype" w:hAnsi="Palatino Linotype" w:cs="Arial"/>
          <w:b/>
          <w:color w:val="000000"/>
        </w:rPr>
        <w:t xml:space="preserve">EL SUJETO OBLIGADO </w:t>
      </w:r>
      <w:r w:rsidRPr="00F820D1">
        <w:rPr>
          <w:rFonts w:ascii="Palatino Linotype" w:hAnsi="Palatino Linotype" w:cs="Arial"/>
          <w:color w:val="000000"/>
        </w:rPr>
        <w:t>se encuentra en posibilidad de atender l</w:t>
      </w:r>
      <w:r w:rsidR="00424AD8">
        <w:rPr>
          <w:rFonts w:ascii="Palatino Linotype" w:hAnsi="Palatino Linotype" w:cs="Arial"/>
          <w:color w:val="000000"/>
        </w:rPr>
        <w:t>o solicitado por el particular.</w:t>
      </w:r>
    </w:p>
    <w:p w:rsidR="00424AD8" w:rsidRPr="00F820D1" w:rsidRDefault="00424AD8" w:rsidP="002B3D0A">
      <w:pPr>
        <w:autoSpaceDE w:val="0"/>
        <w:autoSpaceDN w:val="0"/>
        <w:adjustRightInd w:val="0"/>
        <w:spacing w:line="360" w:lineRule="auto"/>
        <w:jc w:val="both"/>
        <w:rPr>
          <w:rFonts w:ascii="Palatino Linotype" w:hAnsi="Palatino Linotype" w:cs="Arial"/>
          <w:lang w:eastAsia="es-MX"/>
        </w:rPr>
      </w:pPr>
    </w:p>
    <w:p w:rsidR="0019016C" w:rsidRDefault="009357F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w:t>
      </w:r>
      <w:proofErr w:type="spellStart"/>
      <w:r>
        <w:rPr>
          <w:rFonts w:ascii="Palatino Linotype" w:eastAsia="Palatino Linotype" w:hAnsi="Palatino Linotype" w:cs="Palatino Linotype"/>
        </w:rPr>
        <w:t>de el</w:t>
      </w:r>
      <w:proofErr w:type="spellEnd"/>
      <w:r>
        <w:rPr>
          <w:rFonts w:ascii="Palatino Linotype" w:eastAsia="Palatino Linotype" w:hAnsi="Palatino Linotype" w:cs="Palatino Linotype"/>
        </w:rPr>
        <w:t xml:space="preserve"> RECURRENTE sin menoscabar el derecho a la protección de los datos personales de terceros.</w:t>
      </w:r>
    </w:p>
    <w:p w:rsidR="0019016C" w:rsidRDefault="0019016C">
      <w:pPr>
        <w:spacing w:line="360" w:lineRule="auto"/>
        <w:jc w:val="both"/>
        <w:rPr>
          <w:rFonts w:ascii="Palatino Linotype" w:eastAsia="Palatino Linotype" w:hAnsi="Palatino Linotype" w:cs="Palatino Linotype"/>
        </w:rPr>
      </w:pPr>
    </w:p>
    <w:p w:rsidR="0019016C" w:rsidRDefault="009357F8">
      <w:pPr>
        <w:spacing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de conformidad a lo que señalan los artículos 3, fracciones IX, XX, XXXII, XLV; 6, 137 y 143 fracción I, de la Ley de Transparencia y Acceso a la </w:t>
      </w:r>
      <w:r>
        <w:rPr>
          <w:rFonts w:ascii="Palatino Linotype" w:eastAsia="Palatino Linotype" w:hAnsi="Palatino Linotype" w:cs="Palatino Linotype"/>
        </w:rPr>
        <w:lastRenderedPageBreak/>
        <w:t>Información Pública del Estado de México y Municipios vigente, que se leen como sigue:</w:t>
      </w:r>
    </w:p>
    <w:p w:rsidR="0019016C" w:rsidRDefault="009357F8">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“Artículo 3. Para los efectos de la presente Ley se entenderá por:</w:t>
      </w:r>
    </w:p>
    <w:p w:rsidR="0019016C" w:rsidRDefault="009357F8">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información concerniente a una persona, identificada o identificable</w:t>
      </w:r>
      <w:r>
        <w:rPr>
          <w:rFonts w:ascii="Palatino Linotype" w:eastAsia="Palatino Linotype" w:hAnsi="Palatino Linotype" w:cs="Palatino Linotype"/>
          <w:i/>
          <w:sz w:val="22"/>
          <w:szCs w:val="22"/>
        </w:rPr>
        <w:t xml:space="preserve"> según lo dispuesto por la Ley de Protección de Datos Personales del Estado de México;</w:t>
      </w:r>
    </w:p>
    <w:p w:rsidR="0019016C" w:rsidRDefault="009357F8">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xml:space="preserve"> Aquella considerada por la presente Ley como reservada o confidencial;</w:t>
      </w:r>
    </w:p>
    <w:p w:rsidR="0019016C" w:rsidRDefault="009357F8">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XXXII. Protección de Datos Personales:</w:t>
      </w:r>
      <w:r>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19016C" w:rsidRDefault="009357F8">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19016C" w:rsidRDefault="0019016C">
      <w:pPr>
        <w:ind w:left="993" w:right="1041"/>
        <w:jc w:val="both"/>
        <w:rPr>
          <w:rFonts w:ascii="Palatino Linotype" w:eastAsia="Palatino Linotype" w:hAnsi="Palatino Linotype" w:cs="Palatino Linotype"/>
          <w:i/>
          <w:sz w:val="22"/>
          <w:szCs w:val="22"/>
        </w:rPr>
      </w:pPr>
    </w:p>
    <w:p w:rsidR="0019016C" w:rsidRDefault="009357F8">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19016C" w:rsidRDefault="0019016C">
      <w:pPr>
        <w:ind w:left="993" w:right="1041"/>
        <w:jc w:val="both"/>
        <w:rPr>
          <w:rFonts w:ascii="Palatino Linotype" w:eastAsia="Palatino Linotype" w:hAnsi="Palatino Linotype" w:cs="Palatino Linotype"/>
          <w:i/>
          <w:sz w:val="22"/>
          <w:szCs w:val="22"/>
        </w:rPr>
      </w:pPr>
    </w:p>
    <w:p w:rsidR="0019016C" w:rsidRDefault="009357F8">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19016C" w:rsidRDefault="0019016C">
      <w:pPr>
        <w:ind w:left="993" w:right="1041"/>
        <w:jc w:val="both"/>
        <w:rPr>
          <w:rFonts w:ascii="Palatino Linotype" w:eastAsia="Palatino Linotype" w:hAnsi="Palatino Linotype" w:cs="Palatino Linotype"/>
          <w:b/>
          <w:i/>
          <w:sz w:val="22"/>
          <w:szCs w:val="22"/>
        </w:rPr>
      </w:pPr>
    </w:p>
    <w:p w:rsidR="0019016C" w:rsidRDefault="009357F8">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19016C" w:rsidRDefault="009357F8">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19016C" w:rsidRDefault="009357F8">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Los secretos bancario, fiduciario, industrial, comercial, fiscal, bursátil y postal, cuya titularidad corresponda a particulares, sujetos de derecho </w:t>
      </w:r>
      <w:r>
        <w:rPr>
          <w:rFonts w:ascii="Palatino Linotype" w:eastAsia="Palatino Linotype" w:hAnsi="Palatino Linotype" w:cs="Palatino Linotype"/>
          <w:i/>
          <w:sz w:val="22"/>
          <w:szCs w:val="22"/>
        </w:rPr>
        <w:lastRenderedPageBreak/>
        <w:t>internacional o a sujetos obligados cuando no involucren el ejercicio de recursos públicos; y</w:t>
      </w:r>
    </w:p>
    <w:p w:rsidR="0019016C" w:rsidRDefault="009357F8">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rsidR="0019016C" w:rsidRDefault="0019016C">
      <w:pPr>
        <w:ind w:left="993" w:right="1041"/>
        <w:jc w:val="both"/>
        <w:rPr>
          <w:rFonts w:ascii="Palatino Linotype" w:eastAsia="Palatino Linotype" w:hAnsi="Palatino Linotype" w:cs="Palatino Linotype"/>
          <w:i/>
          <w:sz w:val="22"/>
          <w:szCs w:val="22"/>
        </w:rPr>
      </w:pPr>
    </w:p>
    <w:p w:rsidR="0019016C" w:rsidRDefault="009357F8">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del </w:t>
      </w:r>
      <w:r>
        <w:rPr>
          <w:rFonts w:ascii="Palatino Linotype" w:eastAsia="Palatino Linotype" w:hAnsi="Palatino Linotype" w:cs="Palatino Linotype"/>
          <w:b/>
        </w:rPr>
        <w:t>RECURRENTE</w:t>
      </w:r>
      <w:r>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19016C" w:rsidRDefault="0019016C">
      <w:pPr>
        <w:spacing w:line="360" w:lineRule="auto"/>
        <w:ind w:right="51"/>
        <w:jc w:val="both"/>
        <w:rPr>
          <w:rFonts w:ascii="Palatino Linotype" w:eastAsia="Palatino Linotype" w:hAnsi="Palatino Linotype" w:cs="Palatino Linotype"/>
        </w:rPr>
      </w:pPr>
    </w:p>
    <w:p w:rsidR="0019016C" w:rsidRDefault="009357F8">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19016C" w:rsidRDefault="0019016C">
      <w:pPr>
        <w:spacing w:line="360" w:lineRule="auto"/>
        <w:ind w:right="51"/>
        <w:jc w:val="both"/>
        <w:rPr>
          <w:rFonts w:ascii="Palatino Linotype" w:eastAsia="Palatino Linotype" w:hAnsi="Palatino Linotype" w:cs="Palatino Linotype"/>
        </w:rPr>
      </w:pPr>
    </w:p>
    <w:p w:rsidR="0019016C" w:rsidRDefault="009357F8">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w:t>
      </w:r>
      <w:r>
        <w:rPr>
          <w:rFonts w:ascii="Palatino Linotype" w:eastAsia="Palatino Linotype" w:hAnsi="Palatino Linotype" w:cs="Palatino Linotype"/>
        </w:rPr>
        <w:lastRenderedPageBreak/>
        <w:t xml:space="preserve">tome el Servidor Público Habilitado o el Responsable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rsidR="0019016C" w:rsidRDefault="0019016C">
      <w:pPr>
        <w:spacing w:line="360" w:lineRule="auto"/>
        <w:ind w:right="51"/>
        <w:jc w:val="both"/>
        <w:rPr>
          <w:rFonts w:ascii="Palatino Linotype" w:eastAsia="Palatino Linotype" w:hAnsi="Palatino Linotype" w:cs="Palatino Linotype"/>
        </w:rPr>
      </w:pPr>
    </w:p>
    <w:p w:rsidR="0019016C" w:rsidRDefault="009357F8">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rsidR="0019016C" w:rsidRDefault="009357F8">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rsidR="0019016C" w:rsidRDefault="009357F8">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19016C" w:rsidRDefault="009357F8">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rsidR="0019016C" w:rsidRDefault="009357F8">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19016C" w:rsidRDefault="009357F8">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 (Sic)</w:t>
      </w:r>
    </w:p>
    <w:p w:rsidR="0019016C" w:rsidRDefault="0019016C">
      <w:pPr>
        <w:ind w:left="992" w:right="1043"/>
        <w:jc w:val="both"/>
        <w:rPr>
          <w:rFonts w:ascii="Palatino Linotype" w:eastAsia="Palatino Linotype" w:hAnsi="Palatino Linotype" w:cs="Palatino Linotype"/>
          <w:i/>
          <w:sz w:val="22"/>
          <w:szCs w:val="22"/>
        </w:rPr>
      </w:pPr>
    </w:p>
    <w:p w:rsidR="0019016C" w:rsidRDefault="009357F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19016C" w:rsidRDefault="0019016C">
      <w:pPr>
        <w:spacing w:line="360" w:lineRule="auto"/>
        <w:jc w:val="both"/>
        <w:rPr>
          <w:rFonts w:ascii="Palatino Linotype" w:eastAsia="Palatino Linotype" w:hAnsi="Palatino Linotype" w:cs="Palatino Linotype"/>
        </w:rPr>
      </w:pPr>
    </w:p>
    <w:p w:rsidR="0019016C" w:rsidRDefault="009357F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Para lo cual, a su vez en el caso de información de carácter confidencial, se debe atender a lo que señala el artículo 149 de la Ley de Transparencia Local vigente, que se lee como sigue:</w:t>
      </w:r>
    </w:p>
    <w:p w:rsidR="0019016C" w:rsidRDefault="0019016C">
      <w:pPr>
        <w:spacing w:line="360" w:lineRule="auto"/>
        <w:jc w:val="both"/>
        <w:rPr>
          <w:rFonts w:ascii="Palatino Linotype" w:eastAsia="Palatino Linotype" w:hAnsi="Palatino Linotype" w:cs="Palatino Linotype"/>
        </w:rPr>
      </w:pPr>
    </w:p>
    <w:p w:rsidR="0019016C" w:rsidRDefault="009357F8">
      <w:pPr>
        <w:spacing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rsidR="0019016C" w:rsidRDefault="0019016C">
      <w:pPr>
        <w:spacing w:before="240" w:line="360" w:lineRule="auto"/>
        <w:ind w:right="51"/>
        <w:jc w:val="both"/>
        <w:rPr>
          <w:rFonts w:ascii="Palatino Linotype" w:eastAsia="Palatino Linotype" w:hAnsi="Palatino Linotype" w:cs="Palatino Linotype"/>
          <w:i/>
          <w:sz w:val="22"/>
          <w:szCs w:val="22"/>
        </w:rPr>
      </w:pPr>
    </w:p>
    <w:p w:rsidR="0019016C" w:rsidRDefault="009357F8">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Es decir,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0D5198" w:rsidRDefault="000D5198">
      <w:pPr>
        <w:spacing w:line="360" w:lineRule="auto"/>
        <w:ind w:right="51"/>
        <w:jc w:val="both"/>
        <w:rPr>
          <w:rFonts w:ascii="Palatino Linotype" w:eastAsia="Palatino Linotype" w:hAnsi="Palatino Linotype" w:cs="Palatino Linotype"/>
        </w:rPr>
      </w:pPr>
    </w:p>
    <w:p w:rsidR="000E7C55" w:rsidRPr="00F820D1" w:rsidRDefault="000E7C55" w:rsidP="000E7C55">
      <w:pPr>
        <w:spacing w:line="360" w:lineRule="auto"/>
        <w:jc w:val="both"/>
        <w:rPr>
          <w:rFonts w:ascii="Palatino Linotype" w:hAnsi="Palatino Linotype"/>
        </w:rPr>
      </w:pPr>
      <w:r w:rsidRPr="00F820D1">
        <w:rPr>
          <w:rFonts w:ascii="Palatino Linotype" w:hAnsi="Palatino Linotype" w:cs="Arial"/>
          <w:sz w:val="22"/>
          <w:szCs w:val="22"/>
        </w:rPr>
        <w:t xml:space="preserve">Es así, que </w:t>
      </w:r>
      <w:r w:rsidRPr="00F820D1">
        <w:rPr>
          <w:rFonts w:ascii="Palatino Linotype" w:hAnsi="Palatino Linotype"/>
        </w:rPr>
        <w:t>por cuanto hace al el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rsidR="000E7C55" w:rsidRPr="00F820D1" w:rsidRDefault="000E7C55" w:rsidP="000E7C55">
      <w:pPr>
        <w:autoSpaceDE w:val="0"/>
        <w:autoSpaceDN w:val="0"/>
        <w:adjustRightInd w:val="0"/>
        <w:spacing w:line="360" w:lineRule="auto"/>
        <w:ind w:right="50"/>
        <w:jc w:val="both"/>
        <w:rPr>
          <w:rFonts w:ascii="Palatino Linotype" w:hAnsi="Palatino Linotype"/>
        </w:rPr>
      </w:pPr>
    </w:p>
    <w:p w:rsidR="000E7C55" w:rsidRPr="00F820D1" w:rsidRDefault="000E7C55" w:rsidP="000E7C55">
      <w:pPr>
        <w:autoSpaceDE w:val="0"/>
        <w:autoSpaceDN w:val="0"/>
        <w:adjustRightInd w:val="0"/>
        <w:spacing w:line="360" w:lineRule="auto"/>
        <w:ind w:right="51"/>
        <w:jc w:val="both"/>
        <w:rPr>
          <w:rFonts w:ascii="Palatino Linotype" w:hAnsi="Palatino Linotype"/>
        </w:rPr>
      </w:pPr>
      <w:r w:rsidRPr="00F820D1">
        <w:rPr>
          <w:rFonts w:ascii="Palatino Linotype" w:hAnsi="Palatino Linotype"/>
        </w:rPr>
        <w:lastRenderedPageBreak/>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0E7C55" w:rsidRPr="00F820D1" w:rsidRDefault="000E7C55" w:rsidP="000E7C55">
      <w:pPr>
        <w:autoSpaceDE w:val="0"/>
        <w:autoSpaceDN w:val="0"/>
        <w:adjustRightInd w:val="0"/>
        <w:spacing w:line="360" w:lineRule="auto"/>
        <w:ind w:right="51"/>
        <w:jc w:val="both"/>
        <w:rPr>
          <w:rFonts w:ascii="Palatino Linotype" w:hAnsi="Palatino Linotype"/>
        </w:rPr>
      </w:pPr>
    </w:p>
    <w:p w:rsidR="000E7C55" w:rsidRPr="00F820D1" w:rsidRDefault="000E7C55" w:rsidP="000E7C55">
      <w:pPr>
        <w:autoSpaceDE w:val="0"/>
        <w:autoSpaceDN w:val="0"/>
        <w:adjustRightInd w:val="0"/>
        <w:spacing w:line="360" w:lineRule="auto"/>
        <w:ind w:right="50"/>
        <w:jc w:val="both"/>
        <w:rPr>
          <w:rFonts w:ascii="Palatino Linotype" w:hAnsi="Palatino Linotype"/>
        </w:rPr>
      </w:pPr>
      <w:r w:rsidRPr="00F820D1">
        <w:rPr>
          <w:rFonts w:ascii="Palatino Linotype" w:hAnsi="Palatino Linotype"/>
        </w:rPr>
        <w:t>Lo anterior encuentra sustento en el criterio 10/17 emitido por el Instituto Nacional de Transparencia y Acceso a la Información Pública del Estado de México y Municipios, que a la letra dicen:</w:t>
      </w:r>
    </w:p>
    <w:p w:rsidR="000E7C55" w:rsidRPr="00F820D1" w:rsidRDefault="000E7C55" w:rsidP="000E7C55">
      <w:pPr>
        <w:autoSpaceDE w:val="0"/>
        <w:autoSpaceDN w:val="0"/>
        <w:adjustRightInd w:val="0"/>
        <w:ind w:right="50"/>
        <w:jc w:val="both"/>
        <w:rPr>
          <w:rFonts w:ascii="Palatino Linotype" w:hAnsi="Palatino Linotype"/>
        </w:rPr>
      </w:pPr>
    </w:p>
    <w:p w:rsidR="000E7C55" w:rsidRPr="00F820D1" w:rsidRDefault="000E7C55" w:rsidP="000E7C55">
      <w:pPr>
        <w:autoSpaceDE w:val="0"/>
        <w:autoSpaceDN w:val="0"/>
        <w:adjustRightInd w:val="0"/>
        <w:ind w:left="851" w:right="1134"/>
        <w:jc w:val="both"/>
        <w:rPr>
          <w:rFonts w:ascii="Palatino Linotype" w:hAnsi="Palatino Linotype"/>
          <w:i/>
          <w:sz w:val="22"/>
          <w:szCs w:val="22"/>
        </w:rPr>
      </w:pPr>
      <w:r w:rsidRPr="00F820D1">
        <w:rPr>
          <w:rFonts w:ascii="Palatino Linotype" w:hAnsi="Palatino Linotype"/>
          <w:b/>
          <w:i/>
          <w:sz w:val="22"/>
          <w:szCs w:val="22"/>
        </w:rPr>
        <w:t>“Cuentas bancarias y/o CLABE interbancaria de personas físicas y morales privadas.</w:t>
      </w:r>
      <w:r w:rsidRPr="00F820D1">
        <w:rPr>
          <w:rFonts w:ascii="Palatino Linotype" w:hAnsi="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0E7C55" w:rsidRPr="00F820D1" w:rsidRDefault="000E7C55" w:rsidP="000E7C55">
      <w:pPr>
        <w:autoSpaceDE w:val="0"/>
        <w:autoSpaceDN w:val="0"/>
        <w:adjustRightInd w:val="0"/>
        <w:ind w:left="851" w:right="899"/>
        <w:jc w:val="center"/>
        <w:rPr>
          <w:rFonts w:ascii="Palatino Linotype" w:hAnsi="Palatino Linotype"/>
          <w:b/>
          <w:i/>
          <w:sz w:val="22"/>
          <w:szCs w:val="22"/>
        </w:rPr>
      </w:pPr>
    </w:p>
    <w:p w:rsidR="000E7C55" w:rsidRPr="00F820D1" w:rsidRDefault="000E7C55" w:rsidP="000E7C55">
      <w:pPr>
        <w:autoSpaceDE w:val="0"/>
        <w:autoSpaceDN w:val="0"/>
        <w:adjustRightInd w:val="0"/>
        <w:spacing w:line="360" w:lineRule="auto"/>
        <w:ind w:right="50"/>
        <w:jc w:val="both"/>
        <w:rPr>
          <w:rFonts w:ascii="Palatino Linotype" w:hAnsi="Palatino Linotype"/>
        </w:rPr>
      </w:pPr>
      <w:r w:rsidRPr="00F820D1">
        <w:rPr>
          <w:rFonts w:ascii="Palatino Linotype" w:hAnsi="Palatino Linotype"/>
        </w:rPr>
        <w:t xml:space="preserve">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w:t>
      </w:r>
      <w:r w:rsidRPr="00F820D1">
        <w:rPr>
          <w:rFonts w:ascii="Palatino Linotype" w:hAnsi="Palatino Linotype"/>
        </w:rPr>
        <w:lastRenderedPageBreak/>
        <w:t>Acceso a la Información Pública del Estado de México y Municipios, el cual para mayor referencia se inserta a continuación:</w:t>
      </w:r>
    </w:p>
    <w:p w:rsidR="000E7C55" w:rsidRPr="00F820D1" w:rsidRDefault="000E7C55" w:rsidP="000E7C55">
      <w:pPr>
        <w:autoSpaceDE w:val="0"/>
        <w:autoSpaceDN w:val="0"/>
        <w:adjustRightInd w:val="0"/>
        <w:ind w:right="50"/>
        <w:jc w:val="both"/>
        <w:rPr>
          <w:rFonts w:ascii="Palatino Linotype" w:hAnsi="Palatino Linotype"/>
        </w:rPr>
      </w:pPr>
    </w:p>
    <w:p w:rsidR="000E7C55" w:rsidRPr="00F820D1" w:rsidRDefault="000E7C55" w:rsidP="000E7C55">
      <w:pPr>
        <w:autoSpaceDE w:val="0"/>
        <w:autoSpaceDN w:val="0"/>
        <w:adjustRightInd w:val="0"/>
        <w:ind w:left="851" w:right="1134"/>
        <w:jc w:val="both"/>
        <w:rPr>
          <w:rFonts w:ascii="Palatino Linotype" w:hAnsi="Palatino Linotype"/>
          <w:i/>
          <w:sz w:val="22"/>
          <w:szCs w:val="22"/>
        </w:rPr>
      </w:pPr>
      <w:r w:rsidRPr="00F820D1">
        <w:rPr>
          <w:rFonts w:ascii="Palatino Linotype" w:hAnsi="Palatino Linotype"/>
          <w:i/>
          <w:sz w:val="22"/>
          <w:szCs w:val="22"/>
        </w:rPr>
        <w:t>“</w:t>
      </w:r>
      <w:r w:rsidRPr="00F820D1">
        <w:rPr>
          <w:rFonts w:ascii="Palatino Linotype" w:hAnsi="Palatino Linotype"/>
          <w:b/>
          <w:i/>
          <w:sz w:val="22"/>
          <w:szCs w:val="22"/>
        </w:rPr>
        <w:t>Cuentas bancarias y/o CLABE interbancaria de sujetos obligados que reciben y/o transfieren recursos públicos, son información pública.</w:t>
      </w:r>
      <w:r w:rsidRPr="00F820D1">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0D5198" w:rsidRDefault="000D5198">
      <w:pPr>
        <w:spacing w:line="360" w:lineRule="auto"/>
        <w:ind w:right="51"/>
        <w:jc w:val="both"/>
        <w:rPr>
          <w:rFonts w:ascii="Palatino Linotype" w:eastAsia="Palatino Linotype" w:hAnsi="Palatino Linotype" w:cs="Palatino Linotype"/>
        </w:rPr>
      </w:pPr>
    </w:p>
    <w:p w:rsidR="00921A15" w:rsidRPr="00141497" w:rsidRDefault="000E7C55" w:rsidP="00921A15">
      <w:pPr>
        <w:autoSpaceDE w:val="0"/>
        <w:autoSpaceDN w:val="0"/>
        <w:adjustRightInd w:val="0"/>
        <w:spacing w:before="240" w:after="240" w:line="360" w:lineRule="auto"/>
        <w:ind w:right="50"/>
        <w:jc w:val="both"/>
        <w:rPr>
          <w:rFonts w:ascii="Palatino Linotype" w:hAnsi="Palatino Linotype" w:cs="Arial"/>
        </w:rPr>
      </w:pPr>
      <w:r>
        <w:rPr>
          <w:rFonts w:ascii="Palatino Linotype" w:eastAsia="Palatino Linotype" w:hAnsi="Palatino Linotype" w:cs="Palatino Linotype"/>
        </w:rPr>
        <w:t xml:space="preserve">Sobre el RFC, </w:t>
      </w:r>
      <w:r w:rsidR="00921A15">
        <w:rPr>
          <w:rFonts w:ascii="Palatino Linotype" w:hAnsi="Palatino Linotype" w:cs="Arial"/>
        </w:rPr>
        <w:t>d</w:t>
      </w:r>
      <w:r w:rsidR="00921A15" w:rsidRPr="00141497">
        <w:rPr>
          <w:rFonts w:ascii="Palatino Linotype" w:hAnsi="Palatino Linotype" w:cs="Arial"/>
        </w:rPr>
        <w:t>ada la naturaleza de la información que se ordena, es importante resaltar que, si bien este Instituto ha sostenido que el RFC y domicilio de las personas físicas debe ser testado por los Sujetos Obligados,</w:t>
      </w:r>
      <w:r w:rsidR="00921A15">
        <w:rPr>
          <w:rFonts w:ascii="Palatino Linotype" w:hAnsi="Palatino Linotype" w:cs="Arial"/>
        </w:rPr>
        <w:t xml:space="preserve"> </w:t>
      </w:r>
      <w:r w:rsidR="00921A15" w:rsidRPr="00141497">
        <w:rPr>
          <w:rFonts w:ascii="Palatino Linotype" w:hAnsi="Palatino Linotype" w:cs="Arial"/>
        </w:rPr>
        <w:t>en</w:t>
      </w:r>
      <w:r w:rsidR="00921A15">
        <w:rPr>
          <w:rFonts w:ascii="Palatino Linotype" w:hAnsi="Palatino Linotype" w:cs="Arial"/>
        </w:rPr>
        <w:t xml:space="preserve"> </w:t>
      </w:r>
      <w:r w:rsidR="00921A15" w:rsidRPr="00141497">
        <w:rPr>
          <w:rFonts w:ascii="Palatino Linotype" w:hAnsi="Palatino Linotype" w:cs="Arial"/>
        </w:rPr>
        <w:t>las versiones públicas de los documentos que elaboren para atender las solicitudes de información pública, lo cierto es que tratándose de proveedores, prestadores de servicios o</w:t>
      </w:r>
      <w:r w:rsidR="00921A15">
        <w:rPr>
          <w:rFonts w:ascii="Palatino Linotype" w:hAnsi="Palatino Linotype" w:cs="Arial"/>
        </w:rPr>
        <w:t xml:space="preserve"> </w:t>
      </w:r>
      <w:r w:rsidR="00921A15" w:rsidRPr="00141497">
        <w:rPr>
          <w:rFonts w:ascii="Palatino Linotype" w:hAnsi="Palatino Linotype" w:cs="Arial"/>
        </w:rPr>
        <w:t>contratistas, dichos datos no deben ser suprimidos de las facturas y contratos que vayan a ser entregados.</w:t>
      </w:r>
    </w:p>
    <w:p w:rsidR="00921A15" w:rsidRPr="00141497" w:rsidRDefault="00921A15" w:rsidP="00921A15">
      <w:pPr>
        <w:autoSpaceDE w:val="0"/>
        <w:autoSpaceDN w:val="0"/>
        <w:adjustRightInd w:val="0"/>
        <w:spacing w:before="240" w:after="240" w:line="360" w:lineRule="auto"/>
        <w:ind w:right="50"/>
        <w:jc w:val="both"/>
        <w:rPr>
          <w:rFonts w:ascii="Palatino Linotype" w:hAnsi="Palatino Linotype" w:cs="Arial"/>
        </w:rPr>
      </w:pPr>
      <w:r w:rsidRPr="00141497">
        <w:rPr>
          <w:rFonts w:ascii="Palatino Linotype" w:hAnsi="Palatino Linotype" w:cs="Arial"/>
        </w:rPr>
        <w:t>Ello se debe a que, del ejercicio de</w:t>
      </w:r>
      <w:r>
        <w:rPr>
          <w:rFonts w:ascii="Palatino Linotype" w:hAnsi="Palatino Linotype" w:cs="Arial"/>
        </w:rPr>
        <w:t xml:space="preserve"> </w:t>
      </w:r>
      <w:r w:rsidRPr="00141497">
        <w:rPr>
          <w:rFonts w:ascii="Palatino Linotype" w:hAnsi="Palatino Linotype" w:cs="Arial"/>
        </w:rPr>
        <w:t>ponderación entre el derecho a la protección de datos personales con el derecho de acceso a la información pública, es de mayor trascendencia el que cualquier persona pueda conocer</w:t>
      </w:r>
      <w:r>
        <w:rPr>
          <w:rFonts w:ascii="Palatino Linotype" w:hAnsi="Palatino Linotype" w:cs="Arial"/>
        </w:rPr>
        <w:t xml:space="preserve"> </w:t>
      </w:r>
      <w:r w:rsidRPr="00141497">
        <w:rPr>
          <w:rFonts w:ascii="Palatino Linotype" w:hAnsi="Palatino Linotype" w:cs="Arial"/>
        </w:rPr>
        <w:t>en</w:t>
      </w:r>
      <w:r>
        <w:rPr>
          <w:rFonts w:ascii="Palatino Linotype" w:hAnsi="Palatino Linotype" w:cs="Arial"/>
        </w:rPr>
        <w:t xml:space="preserve"> </w:t>
      </w:r>
      <w:r w:rsidRPr="00141497">
        <w:rPr>
          <w:rFonts w:ascii="Palatino Linotype" w:hAnsi="Palatino Linotype" w:cs="Arial"/>
        </w:rPr>
        <w:t>qué se gastan los recursos públicos, puesto que se trata de erogaciones que realiza un órgano del Estado con base</w:t>
      </w:r>
      <w:r>
        <w:rPr>
          <w:rFonts w:ascii="Palatino Linotype" w:hAnsi="Palatino Linotype" w:cs="Arial"/>
        </w:rPr>
        <w:t xml:space="preserve"> </w:t>
      </w:r>
      <w:r w:rsidRPr="00141497">
        <w:rPr>
          <w:rFonts w:ascii="Palatino Linotype" w:hAnsi="Palatino Linotype" w:cs="Arial"/>
        </w:rPr>
        <w:t>en</w:t>
      </w:r>
      <w:r>
        <w:rPr>
          <w:rFonts w:ascii="Palatino Linotype" w:hAnsi="Palatino Linotype" w:cs="Arial"/>
        </w:rPr>
        <w:t xml:space="preserve"> </w:t>
      </w:r>
      <w:r w:rsidRPr="00141497">
        <w:rPr>
          <w:rFonts w:ascii="Palatino Linotype" w:hAnsi="Palatino Linotype" w:cs="Arial"/>
        </w:rPr>
        <w:t>los recursos que encuentran su origen</w:t>
      </w:r>
      <w:r>
        <w:rPr>
          <w:rFonts w:ascii="Palatino Linotype" w:hAnsi="Palatino Linotype" w:cs="Arial"/>
        </w:rPr>
        <w:t xml:space="preserve"> </w:t>
      </w:r>
      <w:r w:rsidRPr="00141497">
        <w:rPr>
          <w:rFonts w:ascii="Palatino Linotype" w:hAnsi="Palatino Linotype" w:cs="Arial"/>
        </w:rPr>
        <w:t>en</w:t>
      </w:r>
      <w:r>
        <w:rPr>
          <w:rFonts w:ascii="Palatino Linotype" w:hAnsi="Palatino Linotype" w:cs="Arial"/>
        </w:rPr>
        <w:t xml:space="preserve"> </w:t>
      </w:r>
      <w:r w:rsidRPr="00141497">
        <w:rPr>
          <w:rFonts w:ascii="Palatino Linotype" w:hAnsi="Palatino Linotype" w:cs="Arial"/>
        </w:rPr>
        <w:t>mayor medida</w:t>
      </w:r>
      <w:r>
        <w:rPr>
          <w:rFonts w:ascii="Palatino Linotype" w:hAnsi="Palatino Linotype" w:cs="Arial"/>
        </w:rPr>
        <w:t xml:space="preserve"> </w:t>
      </w:r>
      <w:r w:rsidRPr="00141497">
        <w:rPr>
          <w:rFonts w:ascii="Palatino Linotype" w:hAnsi="Palatino Linotype" w:cs="Arial"/>
        </w:rPr>
        <w:t>en</w:t>
      </w:r>
      <w:r>
        <w:rPr>
          <w:rFonts w:ascii="Palatino Linotype" w:hAnsi="Palatino Linotype" w:cs="Arial"/>
        </w:rPr>
        <w:t xml:space="preserve"> </w:t>
      </w:r>
      <w:r w:rsidRPr="00141497">
        <w:rPr>
          <w:rFonts w:ascii="Palatino Linotype" w:hAnsi="Palatino Linotype" w:cs="Arial"/>
        </w:rPr>
        <w:t>las contribuciones aportados por los gobernados, por lo que debe transparentarse su ejercicio.</w:t>
      </w:r>
    </w:p>
    <w:p w:rsidR="00921A15" w:rsidRPr="00141497" w:rsidRDefault="00921A15" w:rsidP="00921A15">
      <w:pPr>
        <w:autoSpaceDE w:val="0"/>
        <w:autoSpaceDN w:val="0"/>
        <w:adjustRightInd w:val="0"/>
        <w:spacing w:before="240" w:after="240" w:line="360" w:lineRule="auto"/>
        <w:ind w:right="50"/>
        <w:jc w:val="both"/>
        <w:rPr>
          <w:rFonts w:ascii="Palatino Linotype" w:hAnsi="Palatino Linotype" w:cs="Arial"/>
        </w:rPr>
      </w:pPr>
      <w:r w:rsidRPr="00141497">
        <w:rPr>
          <w:rFonts w:ascii="Palatino Linotype" w:hAnsi="Palatino Linotype" w:cs="Arial"/>
        </w:rPr>
        <w:lastRenderedPageBreak/>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w:t>
      </w:r>
      <w:r>
        <w:rPr>
          <w:rFonts w:ascii="Palatino Linotype" w:hAnsi="Palatino Linotype" w:cs="Arial"/>
        </w:rPr>
        <w:t xml:space="preserve"> </w:t>
      </w:r>
      <w:r w:rsidRPr="00141497">
        <w:rPr>
          <w:rFonts w:ascii="Palatino Linotype" w:hAnsi="Palatino Linotype" w:cs="Arial"/>
        </w:rPr>
        <w:t>en</w:t>
      </w:r>
      <w:r>
        <w:rPr>
          <w:rFonts w:ascii="Palatino Linotype" w:hAnsi="Palatino Linotype" w:cs="Arial"/>
        </w:rPr>
        <w:t xml:space="preserve"> </w:t>
      </w:r>
      <w:r w:rsidRPr="00141497">
        <w:rPr>
          <w:rFonts w:ascii="Palatino Linotype" w:hAnsi="Palatino Linotype" w:cs="Arial"/>
        </w:rPr>
        <w:t>los gobernados</w:t>
      </w:r>
      <w:r>
        <w:rPr>
          <w:rFonts w:ascii="Palatino Linotype" w:hAnsi="Palatino Linotype" w:cs="Arial"/>
        </w:rPr>
        <w:t xml:space="preserve"> </w:t>
      </w:r>
      <w:r w:rsidRPr="00141497">
        <w:rPr>
          <w:rFonts w:ascii="Palatino Linotype" w:hAnsi="Palatino Linotype" w:cs="Arial"/>
        </w:rPr>
        <w:t>en</w:t>
      </w:r>
      <w:r>
        <w:rPr>
          <w:rFonts w:ascii="Palatino Linotype" w:hAnsi="Palatino Linotype" w:cs="Arial"/>
        </w:rPr>
        <w:t xml:space="preserve"> </w:t>
      </w:r>
      <w:r w:rsidRPr="00141497">
        <w:rPr>
          <w:rFonts w:ascii="Palatino Linotype" w:hAnsi="Palatino Linotype" w:cs="Arial"/>
        </w:rPr>
        <w:t>que se está ejerciendo debidamente el presupuesto.</w:t>
      </w:r>
    </w:p>
    <w:p w:rsidR="0019016C" w:rsidRDefault="009357F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destaca que la versión pública que elabore el Sujeto Obligado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eastAsia="Palatino Linotype" w:hAnsi="Palatino Linotype" w:cs="Palatino Linotype"/>
          <w:b/>
        </w:rPr>
        <w:t>LINEAMIENTOS GENERALES EN MATERIA DE CLASIFICACIÓN Y DESCLASIFICACIÓN DE LA INFORMACIÓN, ASÍ COMO PARA LA ELABORACIÓN DE VERSIONES PÚBLICAS</w:t>
      </w:r>
      <w:r>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rsidR="0019016C" w:rsidRDefault="0019016C">
      <w:pPr>
        <w:ind w:left="709" w:right="709"/>
        <w:jc w:val="both"/>
        <w:rPr>
          <w:rFonts w:ascii="Palatino Linotype" w:eastAsia="Palatino Linotype" w:hAnsi="Palatino Linotype" w:cs="Palatino Linotype"/>
          <w:b/>
          <w:i/>
          <w:sz w:val="22"/>
          <w:szCs w:val="22"/>
        </w:rPr>
      </w:pPr>
    </w:p>
    <w:p w:rsidR="0019016C" w:rsidRDefault="009357F8">
      <w:pPr>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para tal efecto emita el Comité de Transparencia.</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Para motivar la clasificación se deberán señalar las razones o circunstancias especiales que lo llevaron a concluir que el caso particular se ajusta al supuesto previsto por la norma legal invocada como fundamento.</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9016C" w:rsidRDefault="009357F8">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rsidR="0019016C" w:rsidRDefault="009357F8">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19016C" w:rsidRDefault="009357F8">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9016C" w:rsidRDefault="009357F8">
      <w:pPr>
        <w:spacing w:after="160"/>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tbl>
      <w:tblPr>
        <w:tblStyle w:val="ac"/>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19016C">
        <w:trPr>
          <w:jc w:val="center"/>
        </w:trPr>
        <w:tc>
          <w:tcPr>
            <w:tcW w:w="1159" w:type="dxa"/>
            <w:tcBorders>
              <w:top w:val="nil"/>
              <w:left w:val="nil"/>
              <w:bottom w:val="single" w:sz="4" w:space="0" w:color="000000"/>
              <w:right w:val="single" w:sz="4" w:space="0" w:color="000000"/>
            </w:tcBorders>
          </w:tcPr>
          <w:p w:rsidR="0019016C" w:rsidRDefault="0019016C">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9016C" w:rsidRDefault="009357F8">
            <w:pPr>
              <w:jc w:val="center"/>
              <w:rPr>
                <w:rFonts w:ascii="Palatino Linotype" w:eastAsia="Palatino Linotype" w:hAnsi="Palatino Linotype" w:cs="Palatino Linotype"/>
                <w:b/>
                <w:i/>
              </w:rPr>
            </w:pPr>
            <w:r>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19016C" w:rsidRDefault="009357F8">
            <w:pPr>
              <w:jc w:val="center"/>
              <w:rPr>
                <w:rFonts w:ascii="Palatino Linotype" w:eastAsia="Palatino Linotype" w:hAnsi="Palatino Linotype" w:cs="Palatino Linotype"/>
                <w:b/>
                <w:i/>
              </w:rPr>
            </w:pPr>
            <w:r>
              <w:rPr>
                <w:rFonts w:ascii="Palatino Linotype" w:eastAsia="Palatino Linotype" w:hAnsi="Palatino Linotype" w:cs="Palatino Linotype"/>
                <w:b/>
                <w:i/>
              </w:rPr>
              <w:t>Dónde:</w:t>
            </w:r>
          </w:p>
        </w:tc>
      </w:tr>
      <w:tr w:rsidR="0019016C">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19016C" w:rsidRDefault="009357F8">
            <w:pPr>
              <w:jc w:val="center"/>
              <w:rPr>
                <w:rFonts w:ascii="Palatino Linotype" w:eastAsia="Palatino Linotype" w:hAnsi="Palatino Linotype" w:cs="Palatino Linotype"/>
                <w:b/>
                <w:i/>
              </w:rPr>
            </w:pPr>
            <w:r>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19016C" w:rsidRDefault="009357F8">
            <w:pPr>
              <w:jc w:val="center"/>
              <w:rPr>
                <w:rFonts w:ascii="Palatino Linotype" w:eastAsia="Palatino Linotype" w:hAnsi="Palatino Linotype" w:cs="Palatino Linotype"/>
                <w:i/>
              </w:rPr>
            </w:pPr>
            <w:r>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19016C" w:rsidRDefault="009357F8">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la que el Comité de Transparencia confirmó la clasificación del documento, en su caso.</w:t>
            </w:r>
          </w:p>
        </w:tc>
      </w:tr>
      <w:tr w:rsidR="0019016C">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9016C" w:rsidRDefault="001901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9016C" w:rsidRDefault="009357F8">
            <w:pPr>
              <w:jc w:val="center"/>
              <w:rPr>
                <w:rFonts w:ascii="Palatino Linotype" w:eastAsia="Palatino Linotype" w:hAnsi="Palatino Linotype" w:cs="Palatino Linotype"/>
                <w:i/>
              </w:rPr>
            </w:pPr>
            <w:r>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19016C" w:rsidRDefault="009357F8">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área del cual es titular quien clasifica.</w:t>
            </w:r>
          </w:p>
        </w:tc>
      </w:tr>
      <w:tr w:rsidR="0019016C">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9016C" w:rsidRDefault="001901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9016C" w:rsidRDefault="009357F8">
            <w:pPr>
              <w:jc w:val="center"/>
              <w:rPr>
                <w:rFonts w:ascii="Palatino Linotype" w:eastAsia="Palatino Linotype" w:hAnsi="Palatino Linotype" w:cs="Palatino Linotype"/>
                <w:i/>
              </w:rPr>
            </w:pPr>
            <w:r>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19016C" w:rsidRDefault="009357F8">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19016C">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9016C" w:rsidRDefault="001901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9016C" w:rsidRDefault="009357F8">
            <w:pPr>
              <w:jc w:val="center"/>
              <w:rPr>
                <w:rFonts w:ascii="Palatino Linotype" w:eastAsia="Palatino Linotype" w:hAnsi="Palatino Linotype" w:cs="Palatino Linotype"/>
                <w:i/>
              </w:rPr>
            </w:pPr>
            <w:r>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19016C" w:rsidRDefault="009357F8">
            <w:pPr>
              <w:jc w:val="both"/>
              <w:rPr>
                <w:rFonts w:ascii="Palatino Linotype" w:eastAsia="Palatino Linotype" w:hAnsi="Palatino Linotype" w:cs="Palatino Linotype"/>
                <w:i/>
              </w:rPr>
            </w:pPr>
            <w:r>
              <w:rPr>
                <w:rFonts w:ascii="Palatino Linotype" w:eastAsia="Palatino Linotype" w:hAnsi="Palatino Linotype" w:cs="Palatino Linotype"/>
                <w:i/>
              </w:rPr>
              <w:t>Se anotará el número de años o meses por los que se mantendrá el documento o las partes del mismo como reservado.</w:t>
            </w:r>
          </w:p>
        </w:tc>
      </w:tr>
      <w:tr w:rsidR="0019016C">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9016C" w:rsidRDefault="001901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9016C" w:rsidRDefault="009357F8">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19016C" w:rsidRDefault="009357F8">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reserva.</w:t>
            </w:r>
          </w:p>
        </w:tc>
      </w:tr>
      <w:tr w:rsidR="0019016C">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9016C" w:rsidRDefault="001901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9016C" w:rsidRDefault="009357F8">
            <w:pPr>
              <w:jc w:val="center"/>
              <w:rPr>
                <w:rFonts w:ascii="Palatino Linotype" w:eastAsia="Palatino Linotype" w:hAnsi="Palatino Linotype" w:cs="Palatino Linotype"/>
                <w:i/>
              </w:rPr>
            </w:pPr>
            <w:r>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19016C" w:rsidRDefault="009357F8">
            <w:pPr>
              <w:jc w:val="both"/>
              <w:rPr>
                <w:rFonts w:ascii="Palatino Linotype" w:eastAsia="Palatino Linotype" w:hAnsi="Palatino Linotype" w:cs="Palatino Linotype"/>
                <w:i/>
              </w:rPr>
            </w:pPr>
            <w:r>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19016C">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9016C" w:rsidRDefault="001901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9016C" w:rsidRDefault="009357F8">
            <w:pPr>
              <w:jc w:val="center"/>
              <w:rPr>
                <w:rFonts w:ascii="Palatino Linotype" w:eastAsia="Palatino Linotype" w:hAnsi="Palatino Linotype" w:cs="Palatino Linotype"/>
                <w:i/>
              </w:rPr>
            </w:pPr>
            <w:r>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19016C" w:rsidRDefault="009357F8">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19016C">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9016C" w:rsidRDefault="001901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9016C" w:rsidRDefault="009357F8">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19016C" w:rsidRDefault="009357F8">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19016C">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9016C" w:rsidRDefault="001901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9016C" w:rsidRDefault="009357F8">
            <w:pPr>
              <w:jc w:val="center"/>
              <w:rPr>
                <w:rFonts w:ascii="Palatino Linotype" w:eastAsia="Palatino Linotype" w:hAnsi="Palatino Linotype" w:cs="Palatino Linotype"/>
                <w:i/>
              </w:rPr>
            </w:pPr>
            <w:r>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19016C" w:rsidRDefault="009357F8">
            <w:pPr>
              <w:jc w:val="both"/>
              <w:rPr>
                <w:rFonts w:ascii="Palatino Linotype" w:eastAsia="Palatino Linotype" w:hAnsi="Palatino Linotype" w:cs="Palatino Linotype"/>
                <w:i/>
              </w:rPr>
            </w:pPr>
            <w:r>
              <w:rPr>
                <w:rFonts w:ascii="Palatino Linotype" w:eastAsia="Palatino Linotype" w:hAnsi="Palatino Linotype" w:cs="Palatino Linotype"/>
                <w:i/>
              </w:rPr>
              <w:t>Rúbrica autógrafa de quien clasifica.</w:t>
            </w:r>
          </w:p>
        </w:tc>
      </w:tr>
      <w:tr w:rsidR="0019016C">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9016C" w:rsidRDefault="001901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9016C" w:rsidRDefault="009357F8">
            <w:pPr>
              <w:jc w:val="center"/>
              <w:rPr>
                <w:rFonts w:ascii="Palatino Linotype" w:eastAsia="Palatino Linotype" w:hAnsi="Palatino Linotype" w:cs="Palatino Linotype"/>
                <w:i/>
              </w:rPr>
            </w:pPr>
            <w:r>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19016C" w:rsidRDefault="009357F8">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que se desclasifica el documento.</w:t>
            </w:r>
          </w:p>
        </w:tc>
      </w:tr>
      <w:tr w:rsidR="0019016C">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9016C" w:rsidRDefault="0019016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9016C" w:rsidRDefault="009357F8">
            <w:pPr>
              <w:jc w:val="center"/>
              <w:rPr>
                <w:rFonts w:ascii="Palatino Linotype" w:eastAsia="Palatino Linotype" w:hAnsi="Palatino Linotype" w:cs="Palatino Linotype"/>
                <w:i/>
              </w:rPr>
            </w:pPr>
            <w:r>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19016C" w:rsidRDefault="009357F8">
            <w:pPr>
              <w:rPr>
                <w:rFonts w:ascii="Palatino Linotype" w:eastAsia="Palatino Linotype" w:hAnsi="Palatino Linotype" w:cs="Palatino Linotype"/>
                <w:i/>
              </w:rPr>
            </w:pPr>
            <w:r>
              <w:rPr>
                <w:rFonts w:ascii="Palatino Linotype" w:eastAsia="Palatino Linotype" w:hAnsi="Palatino Linotype" w:cs="Palatino Linotype"/>
                <w:i/>
              </w:rPr>
              <w:t>Rúbrica autógrafa de quien desclasifica.</w:t>
            </w:r>
          </w:p>
        </w:tc>
      </w:tr>
    </w:tbl>
    <w:p w:rsidR="0019016C" w:rsidRDefault="0019016C">
      <w:pPr>
        <w:spacing w:before="240" w:line="360" w:lineRule="auto"/>
        <w:ind w:right="51"/>
        <w:jc w:val="both"/>
        <w:rPr>
          <w:rFonts w:ascii="Palatino Linotype" w:eastAsia="Palatino Linotype" w:hAnsi="Palatino Linotype" w:cs="Palatino Linotype"/>
        </w:rPr>
      </w:pPr>
    </w:p>
    <w:p w:rsidR="0019016C" w:rsidRDefault="009357F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19016C" w:rsidRDefault="0019016C">
      <w:pPr>
        <w:spacing w:line="360" w:lineRule="auto"/>
        <w:jc w:val="both"/>
        <w:rPr>
          <w:rFonts w:ascii="Palatino Linotype" w:eastAsia="Palatino Linotype" w:hAnsi="Palatino Linotype" w:cs="Palatino Linotype"/>
        </w:rPr>
      </w:pPr>
    </w:p>
    <w:p w:rsidR="0019016C" w:rsidRDefault="009357F8">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Recurrente.</w:t>
      </w:r>
    </w:p>
    <w:p w:rsidR="0019016C" w:rsidRDefault="0019016C">
      <w:pPr>
        <w:shd w:val="clear" w:color="auto" w:fill="FFFFFF"/>
        <w:spacing w:line="360" w:lineRule="auto"/>
        <w:ind w:right="51"/>
        <w:jc w:val="both"/>
        <w:rPr>
          <w:rFonts w:ascii="Palatino Linotype" w:eastAsia="Palatino Linotype" w:hAnsi="Palatino Linotype" w:cs="Palatino Linotype"/>
        </w:rPr>
      </w:pPr>
    </w:p>
    <w:p w:rsidR="0019016C" w:rsidRDefault="009357F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w:t>
      </w:r>
      <w:r>
        <w:rPr>
          <w:rFonts w:ascii="Palatino Linotype" w:eastAsia="Palatino Linotype" w:hAnsi="Palatino Linotype" w:cs="Palatino Linotype"/>
        </w:rPr>
        <w:lastRenderedPageBreak/>
        <w:t xml:space="preserve">personales, la Ley de Transparencia y Acceso a la Información Pública del Estado de México y Municipios permite la elaboración de versiones públicas en las que se suprima aquella información </w:t>
      </w:r>
      <w:r w:rsidR="00477EEA">
        <w:rPr>
          <w:rFonts w:ascii="Palatino Linotype" w:eastAsia="Palatino Linotype" w:hAnsi="Palatino Linotype" w:cs="Palatino Linotype"/>
        </w:rPr>
        <w:t>relacionada con la vida privada.</w:t>
      </w:r>
    </w:p>
    <w:p w:rsidR="0019016C" w:rsidRDefault="009357F8">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19016C" w:rsidRDefault="009357F8" w:rsidP="009D1813">
      <w:pPr>
        <w:pStyle w:val="Prrafodelista"/>
        <w:numPr>
          <w:ilvl w:val="0"/>
          <w:numId w:val="15"/>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rsidR="0019016C" w:rsidRDefault="009357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fundados los motivos de inconformidad hechos valer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sidR="009D1813">
        <w:rPr>
          <w:rFonts w:ascii="Palatino Linotype" w:eastAsia="Palatino Linotype" w:hAnsi="Palatino Linotype" w:cs="Palatino Linotype"/>
          <w:b/>
        </w:rPr>
        <w:t>06669</w:t>
      </w:r>
      <w:r>
        <w:rPr>
          <w:rFonts w:ascii="Palatino Linotype" w:eastAsia="Palatino Linotype" w:hAnsi="Palatino Linotype" w:cs="Palatino Linotype"/>
          <w:b/>
        </w:rPr>
        <w:t xml:space="preserve">/INFOEM/IP/RR/2022,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19016C" w:rsidRDefault="009357F8">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términos del Considerando Cuarto y Quinto, haga entrega vía SAIMEX, </w:t>
      </w:r>
      <w:r w:rsidR="00DF0FB1">
        <w:rPr>
          <w:rFonts w:ascii="Palatino Linotype" w:eastAsia="Palatino Linotype" w:hAnsi="Palatino Linotype" w:cs="Palatino Linotype"/>
        </w:rPr>
        <w:t xml:space="preserve">de ser procedente </w:t>
      </w:r>
      <w:r>
        <w:rPr>
          <w:rFonts w:ascii="Palatino Linotype" w:eastAsia="Palatino Linotype" w:hAnsi="Palatino Linotype" w:cs="Palatino Linotype"/>
        </w:rPr>
        <w:t>en versión pública, de</w:t>
      </w:r>
      <w:r w:rsidR="00BA2905">
        <w:rPr>
          <w:rFonts w:ascii="Palatino Linotype" w:eastAsia="Palatino Linotype" w:hAnsi="Palatino Linotype" w:cs="Palatino Linotype"/>
        </w:rPr>
        <w:t>l documento o documentos en donde conste</w:t>
      </w:r>
      <w:r>
        <w:rPr>
          <w:rFonts w:ascii="Palatino Linotype" w:eastAsia="Palatino Linotype" w:hAnsi="Palatino Linotype" w:cs="Palatino Linotype"/>
        </w:rPr>
        <w:t xml:space="preserve"> lo siguiente:</w:t>
      </w:r>
    </w:p>
    <w:p w:rsidR="009D1813" w:rsidRPr="009D1813" w:rsidRDefault="00111A55" w:rsidP="009D1813">
      <w:pPr>
        <w:pStyle w:val="Prrafodelista"/>
        <w:numPr>
          <w:ilvl w:val="0"/>
          <w:numId w:val="16"/>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Los costos del</w:t>
      </w:r>
      <w:r w:rsidR="009D1813" w:rsidRPr="009D1813">
        <w:rPr>
          <w:rFonts w:ascii="Palatino Linotype" w:eastAsia="Palatino Linotype" w:hAnsi="Palatino Linotype" w:cs="Palatino Linotype"/>
        </w:rPr>
        <w:t xml:space="preserve"> evento realizado </w:t>
      </w:r>
      <w:r>
        <w:rPr>
          <w:rFonts w:ascii="Palatino Linotype" w:eastAsia="Palatino Linotype" w:hAnsi="Palatino Linotype" w:cs="Palatino Linotype"/>
        </w:rPr>
        <w:t>con motivo</w:t>
      </w:r>
      <w:r w:rsidR="009D1813" w:rsidRPr="009D1813">
        <w:rPr>
          <w:rFonts w:ascii="Palatino Linotype" w:eastAsia="Palatino Linotype" w:hAnsi="Palatino Linotype" w:cs="Palatino Linotype"/>
        </w:rPr>
        <w:t xml:space="preserve"> </w:t>
      </w:r>
      <w:r>
        <w:rPr>
          <w:rFonts w:ascii="Palatino Linotype" w:eastAsia="Palatino Linotype" w:hAnsi="Palatino Linotype" w:cs="Palatino Linotype"/>
        </w:rPr>
        <w:t>d</w:t>
      </w:r>
      <w:r w:rsidR="009D1813" w:rsidRPr="009D1813">
        <w:rPr>
          <w:rFonts w:ascii="Palatino Linotype" w:eastAsia="Palatino Linotype" w:hAnsi="Palatino Linotype" w:cs="Palatino Linotype"/>
        </w:rPr>
        <w:t>el aniversario del Municipio de Villa del Carbón en el mes de marzo del año dos mil veintidós</w:t>
      </w:r>
      <w:r w:rsidR="009D1813">
        <w:rPr>
          <w:rFonts w:ascii="Palatino Linotype" w:eastAsia="Palatino Linotype" w:hAnsi="Palatino Linotype" w:cs="Palatino Linotype"/>
        </w:rPr>
        <w:t>.</w:t>
      </w:r>
    </w:p>
    <w:p w:rsidR="0019016C" w:rsidRDefault="009357F8" w:rsidP="00D605CA">
      <w:pPr>
        <w:pStyle w:val="Prrafodelista"/>
        <w:spacing w:before="240" w:after="240" w:line="360" w:lineRule="auto"/>
        <w:ind w:left="720"/>
        <w:jc w:val="both"/>
        <w:rPr>
          <w:rFonts w:ascii="Palatino Linotype" w:eastAsia="Palatino Linotype" w:hAnsi="Palatino Linotype" w:cs="Palatino Linotype"/>
          <w:i/>
          <w:color w:val="000000"/>
        </w:rPr>
      </w:pPr>
      <w:r w:rsidRPr="00BA2905">
        <w:rPr>
          <w:rFonts w:ascii="Palatino Linotype" w:eastAsia="Palatino Linotype" w:hAnsi="Palatino Linotype" w:cs="Palatino Linotype"/>
          <w:i/>
          <w:color w:val="000000"/>
        </w:rPr>
        <w:t xml:space="preserve">De ser procedente, debiendo emitir el Acuerdo del Comité de Transparencia de conformidad con la Ley de Transparencia y Acceso a la Información Pública del Estado de México y Municipios, en el que funde y motive las razones sobre los datos que se supriman, eliminen o </w:t>
      </w:r>
      <w:r w:rsidRPr="00BA2905">
        <w:rPr>
          <w:rFonts w:ascii="Palatino Linotype" w:eastAsia="Palatino Linotype" w:hAnsi="Palatino Linotype" w:cs="Palatino Linotype"/>
          <w:i/>
          <w:color w:val="000000"/>
        </w:rPr>
        <w:lastRenderedPageBreak/>
        <w:t xml:space="preserve">testen de los soportes documentales objeto de las versiones públicas que se formulen y se pongan a disposición del </w:t>
      </w:r>
      <w:r w:rsidRPr="00BA2905">
        <w:rPr>
          <w:rFonts w:ascii="Palatino Linotype" w:eastAsia="Palatino Linotype" w:hAnsi="Palatino Linotype" w:cs="Palatino Linotype"/>
          <w:b/>
          <w:i/>
          <w:color w:val="000000"/>
        </w:rPr>
        <w:t>RECURRENTE</w:t>
      </w:r>
      <w:r w:rsidRPr="00BA2905">
        <w:rPr>
          <w:rFonts w:ascii="Palatino Linotype" w:eastAsia="Palatino Linotype" w:hAnsi="Palatino Linotype" w:cs="Palatino Linotype"/>
          <w:i/>
          <w:color w:val="000000"/>
        </w:rPr>
        <w:t>, mismo que igualmente hará de su conocimiento.</w:t>
      </w:r>
    </w:p>
    <w:p w:rsidR="0019016C" w:rsidRDefault="009357F8">
      <w:pPr>
        <w:spacing w:before="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Tercero.</w:t>
      </w:r>
      <w:r>
        <w:rPr>
          <w:rFonts w:ascii="Palatino Linotype" w:eastAsia="Palatino Linotype" w:hAnsi="Palatino Linotype" w:cs="Palatino Linotype"/>
          <w:b/>
          <w:highlight w:val="white"/>
        </w:rPr>
        <w:t xml:space="preserve"> Notifíquese vía SAIMEX,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 xml:space="preserve">al Responsable de la Unidad de Transparencia del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19016C" w:rsidRDefault="0019016C">
      <w:pPr>
        <w:spacing w:line="360" w:lineRule="auto"/>
        <w:jc w:val="both"/>
        <w:rPr>
          <w:rFonts w:ascii="Palatino Linotype" w:eastAsia="Palatino Linotype" w:hAnsi="Palatino Linotype" w:cs="Palatino Linotype"/>
          <w:b/>
        </w:rPr>
      </w:pPr>
    </w:p>
    <w:p w:rsidR="0019016C" w:rsidRDefault="009357F8">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Notifíquese, 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19016C" w:rsidRDefault="009357F8">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19016C" w:rsidRDefault="009357F8">
      <w:pPr>
        <w:spacing w:before="240" w:after="240" w:line="360" w:lineRule="auto"/>
        <w:jc w:val="both"/>
        <w:rPr>
          <w:rFonts w:ascii="Palatino Linotype" w:eastAsia="Palatino Linotype" w:hAnsi="Palatino Linotype" w:cs="Palatino Linotype"/>
        </w:rPr>
        <w:sectPr w:rsidR="0019016C">
          <w:headerReference w:type="default" r:id="rId15"/>
          <w:footerReference w:type="default" r:id="rId16"/>
          <w:headerReference w:type="first" r:id="rId17"/>
          <w:footerReference w:type="first" r:id="rId18"/>
          <w:pgSz w:w="12240" w:h="15840"/>
          <w:pgMar w:top="2041" w:right="1701" w:bottom="1701" w:left="1701" w:header="709" w:footer="709" w:gutter="0"/>
          <w:pgNumType w:start="1"/>
          <w:cols w:space="720"/>
          <w:titlePg/>
        </w:sectPr>
      </w:pPr>
      <w:bookmarkStart w:id="3" w:name="_heading=h.1fob9te" w:colFirst="0" w:colLast="0"/>
      <w:bookmarkEnd w:id="3"/>
      <w:r>
        <w:rPr>
          <w:rFonts w:ascii="Palatino Linotype" w:eastAsia="Palatino Linotype" w:hAnsi="Palatino Linotype" w:cs="Palatino Linotype"/>
          <w:color w:val="222222"/>
          <w:highlight w:val="white"/>
        </w:rPr>
        <w:t xml:space="preserve">ASÍ LO RESUELVE, POR UNANIMIDAD DE VOTOS, EL PLENO DEL INSTITUTO DE TRANSPARENCIA, ACCESO A LA INFORMACIÓN PÚBLICA Y PROTECCIÓN DE DATOS PERSONALES DEL ESTADO DE MÉXICO Y MUNICIPIOS, CONFORMADO POR LOS COMISIONADOS JOSÉ MARTÍNEZ </w:t>
      </w:r>
      <w:r>
        <w:rPr>
          <w:rFonts w:ascii="Palatino Linotype" w:eastAsia="Palatino Linotype" w:hAnsi="Palatino Linotype" w:cs="Palatino Linotype"/>
          <w:color w:val="222222"/>
          <w:highlight w:val="white"/>
        </w:rPr>
        <w:lastRenderedPageBreak/>
        <w:t>VILCHIS, MARÍA DEL ROSARIO MEJÍA AYALA, SHARON CRISTINA MORALES MARTÍ</w:t>
      </w:r>
      <w:r w:rsidR="00A532F6">
        <w:rPr>
          <w:rFonts w:ascii="Palatino Linotype" w:eastAsia="Palatino Linotype" w:hAnsi="Palatino Linotype" w:cs="Palatino Linotype"/>
          <w:color w:val="222222"/>
          <w:highlight w:val="white"/>
        </w:rPr>
        <w:t xml:space="preserve">NEZ, LUIS GUSTAVO PARRA NORIEGA </w:t>
      </w:r>
      <w:r>
        <w:rPr>
          <w:rFonts w:ascii="Palatino Linotype" w:eastAsia="Palatino Linotype" w:hAnsi="Palatino Linotype" w:cs="Palatino Linotype"/>
          <w:color w:val="222222"/>
          <w:highlight w:val="white"/>
        </w:rPr>
        <w:t>Y GUADALUPE RAMÍ</w:t>
      </w:r>
      <w:r w:rsidR="009D1813">
        <w:rPr>
          <w:rFonts w:ascii="Palatino Linotype" w:eastAsia="Palatino Linotype" w:hAnsi="Palatino Linotype" w:cs="Palatino Linotype"/>
          <w:color w:val="222222"/>
          <w:highlight w:val="white"/>
        </w:rPr>
        <w:t xml:space="preserve">REZ PEÑA; EN LA TRIGÉSIMA SEGUNDA </w:t>
      </w:r>
      <w:r>
        <w:rPr>
          <w:rFonts w:ascii="Palatino Linotype" w:eastAsia="Palatino Linotype" w:hAnsi="Palatino Linotype" w:cs="Palatino Linotype"/>
          <w:color w:val="222222"/>
          <w:highlight w:val="white"/>
        </w:rPr>
        <w:t xml:space="preserve">SESIÓN ORDINARIA CELEBRADA EL </w:t>
      </w:r>
      <w:r w:rsidR="009D1813">
        <w:rPr>
          <w:rFonts w:ascii="Palatino Linotype" w:eastAsia="Palatino Linotype" w:hAnsi="Palatino Linotype" w:cs="Palatino Linotype"/>
          <w:color w:val="222222"/>
        </w:rPr>
        <w:t>SIETE</w:t>
      </w:r>
      <w:r w:rsidR="009D1813">
        <w:rPr>
          <w:rFonts w:ascii="Palatino Linotype" w:eastAsia="Palatino Linotype" w:hAnsi="Palatino Linotype" w:cs="Palatino Linotype"/>
        </w:rPr>
        <w:t xml:space="preserve"> DE SEPTIEMBRE</w:t>
      </w:r>
      <w:r>
        <w:rPr>
          <w:rFonts w:ascii="Palatino Linotype" w:eastAsia="Palatino Linotype" w:hAnsi="Palatino Linotype" w:cs="Palatino Linotype"/>
        </w:rPr>
        <w:t xml:space="preserve"> DEL DOS MIL VEINTIDÓS, ANTE EL SECRETARIO TÉCNICO DEL PLENO ALEXIS TAPIA RAMÍREZ.                 </w:t>
      </w:r>
      <w:r w:rsidR="00033918">
        <w:rPr>
          <w:rFonts w:ascii="Palatino Linotype" w:eastAsia="Palatino Linotype" w:hAnsi="Palatino Linotype" w:cs="Palatino Linotype"/>
        </w:rPr>
        <w:t xml:space="preserve"> </w:t>
      </w:r>
      <w:r w:rsidR="00C80131">
        <w:rPr>
          <w:rFonts w:ascii="Palatino Linotype" w:eastAsia="Palatino Linotype" w:hAnsi="Palatino Linotype" w:cs="Palatino Linotype"/>
        </w:rPr>
        <w:t xml:space="preserve"> </w:t>
      </w:r>
      <w:r>
        <w:rPr>
          <w:rFonts w:ascii="Palatino Linotype" w:eastAsia="Palatino Linotype" w:hAnsi="Palatino Linotype" w:cs="Palatino Linotype"/>
        </w:rPr>
        <w:t xml:space="preserve">            </w:t>
      </w:r>
    </w:p>
    <w:p w:rsidR="0019016C" w:rsidRDefault="0019016C">
      <w:pPr>
        <w:spacing w:before="240" w:after="240" w:line="360" w:lineRule="auto"/>
        <w:jc w:val="both"/>
        <w:rPr>
          <w:rFonts w:ascii="Palatino Linotype" w:eastAsia="Palatino Linotype" w:hAnsi="Palatino Linotype" w:cs="Palatino Linotype"/>
        </w:rPr>
      </w:pPr>
    </w:p>
    <w:sectPr w:rsidR="0019016C">
      <w:headerReference w:type="first" r:id="rId19"/>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62D1" w:rsidRDefault="009162D1">
      <w:r>
        <w:separator/>
      </w:r>
    </w:p>
  </w:endnote>
  <w:endnote w:type="continuationSeparator" w:id="0">
    <w:p w:rsidR="009162D1" w:rsidRDefault="00916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DF7" w:rsidRDefault="00596DF7">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E43BF">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E43BF">
      <w:rPr>
        <w:rFonts w:ascii="Arial" w:eastAsia="Arial" w:hAnsi="Arial" w:cs="Arial"/>
        <w:b/>
        <w:noProof/>
        <w:color w:val="000000"/>
        <w:sz w:val="20"/>
        <w:szCs w:val="20"/>
      </w:rPr>
      <w:t>43</w:t>
    </w:r>
    <w:r>
      <w:rPr>
        <w:rFonts w:ascii="Arial" w:eastAsia="Arial" w:hAnsi="Arial" w:cs="Arial"/>
        <w:b/>
        <w:color w:val="000000"/>
        <w:sz w:val="20"/>
        <w:szCs w:val="20"/>
      </w:rPr>
      <w:fldChar w:fldCharType="end"/>
    </w:r>
  </w:p>
  <w:p w:rsidR="00596DF7" w:rsidRDefault="00596DF7">
    <w:pPr>
      <w:pBdr>
        <w:top w:val="nil"/>
        <w:left w:val="nil"/>
        <w:bottom w:val="nil"/>
        <w:right w:val="nil"/>
        <w:between w:val="nil"/>
      </w:pBdr>
      <w:tabs>
        <w:tab w:val="center" w:pos="4252"/>
        <w:tab w:val="right" w:pos="8504"/>
      </w:tabs>
      <w:rPr>
        <w:color w:val="000000"/>
      </w:rPr>
    </w:pPr>
  </w:p>
  <w:p w:rsidR="00596DF7" w:rsidRDefault="00596DF7">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DF7" w:rsidRDefault="00596DF7">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E43BF">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E43BF">
      <w:rPr>
        <w:rFonts w:ascii="Arial" w:eastAsia="Arial" w:hAnsi="Arial" w:cs="Arial"/>
        <w:b/>
        <w:noProof/>
        <w:color w:val="000000"/>
        <w:sz w:val="20"/>
        <w:szCs w:val="20"/>
      </w:rPr>
      <w:t>43</w:t>
    </w:r>
    <w:r>
      <w:rPr>
        <w:rFonts w:ascii="Arial" w:eastAsia="Arial" w:hAnsi="Arial" w:cs="Arial"/>
        <w:b/>
        <w:color w:val="000000"/>
        <w:sz w:val="20"/>
        <w:szCs w:val="20"/>
      </w:rPr>
      <w:fldChar w:fldCharType="end"/>
    </w:r>
  </w:p>
  <w:p w:rsidR="00596DF7" w:rsidRDefault="00596DF7">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62D1" w:rsidRDefault="009162D1">
      <w:r>
        <w:separator/>
      </w:r>
    </w:p>
  </w:footnote>
  <w:footnote w:type="continuationSeparator" w:id="0">
    <w:p w:rsidR="009162D1" w:rsidRDefault="009162D1">
      <w:r>
        <w:continuationSeparator/>
      </w:r>
    </w:p>
  </w:footnote>
  <w:footnote w:id="1">
    <w:p w:rsidR="00AA5D8D" w:rsidRDefault="00AA5D8D" w:rsidP="00AA5D8D">
      <w:pPr>
        <w:rPr>
          <w:rFonts w:ascii="Calibri" w:eastAsia="Calibri" w:hAnsi="Calibri" w:cs="Calibri"/>
          <w:color w:val="000000"/>
          <w:sz w:val="20"/>
          <w:szCs w:val="20"/>
        </w:rPr>
      </w:pPr>
      <w:r>
        <w:rPr>
          <w:vertAlign w:val="superscript"/>
        </w:rPr>
        <w:footnoteRef/>
      </w:r>
      <w:r>
        <w:rPr>
          <w:color w:val="000000"/>
          <w:sz w:val="20"/>
          <w:szCs w:val="20"/>
        </w:rPr>
        <w:t xml:space="preserve"> </w:t>
      </w:r>
      <w:r w:rsidR="00E530C8" w:rsidRPr="00E530C8">
        <w:rPr>
          <w:color w:val="000000"/>
          <w:sz w:val="20"/>
          <w:szCs w:val="20"/>
        </w:rPr>
        <w:t>https://radioytvmexiquense.mx/index.php/2022/03/10/celebran-161-aniversario-de-villa-del-carbon/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DF7" w:rsidRDefault="00596DF7">
    <w:pPr>
      <w:widowControl w:val="0"/>
      <w:pBdr>
        <w:top w:val="nil"/>
        <w:left w:val="nil"/>
        <w:bottom w:val="nil"/>
        <w:right w:val="nil"/>
        <w:between w:val="nil"/>
      </w:pBdr>
      <w:spacing w:line="276" w:lineRule="auto"/>
      <w:rPr>
        <w:rFonts w:ascii="Calibri" w:eastAsia="Calibri" w:hAnsi="Calibri" w:cs="Calibri"/>
        <w:color w:val="000000"/>
      </w:rPr>
    </w:pPr>
  </w:p>
  <w:tbl>
    <w:tblPr>
      <w:tblStyle w:val="ae"/>
      <w:tblW w:w="5528" w:type="dxa"/>
      <w:tblInd w:w="3261" w:type="dxa"/>
      <w:tblLayout w:type="fixed"/>
      <w:tblLook w:val="0400" w:firstRow="0" w:lastRow="0" w:firstColumn="0" w:lastColumn="0" w:noHBand="0" w:noVBand="1"/>
    </w:tblPr>
    <w:tblGrid>
      <w:gridCol w:w="2551"/>
      <w:gridCol w:w="2977"/>
    </w:tblGrid>
    <w:tr w:rsidR="00596DF7">
      <w:tc>
        <w:tcPr>
          <w:tcW w:w="2551" w:type="dxa"/>
          <w:vAlign w:val="center"/>
        </w:tcPr>
        <w:p w:rsidR="00596DF7" w:rsidRDefault="00596DF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rsidR="00596DF7" w:rsidRDefault="00596DF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06669/INFOEM/IP/RR/2022</w:t>
          </w:r>
        </w:p>
      </w:tc>
    </w:tr>
    <w:tr w:rsidR="00596DF7">
      <w:trPr>
        <w:trHeight w:val="228"/>
      </w:trPr>
      <w:tc>
        <w:tcPr>
          <w:tcW w:w="2551" w:type="dxa"/>
          <w:vAlign w:val="center"/>
        </w:tcPr>
        <w:p w:rsidR="00596DF7" w:rsidRDefault="00596DF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rsidR="00596DF7" w:rsidRDefault="00596DF7" w:rsidP="00596DF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Villa del Carbón. </w:t>
          </w:r>
        </w:p>
      </w:tc>
    </w:tr>
    <w:tr w:rsidR="00596DF7">
      <w:tc>
        <w:tcPr>
          <w:tcW w:w="2551" w:type="dxa"/>
          <w:vAlign w:val="center"/>
        </w:tcPr>
        <w:p w:rsidR="00596DF7" w:rsidRDefault="00596DF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rsidR="00596DF7" w:rsidRDefault="00596DF7">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596DF7" w:rsidRDefault="00596DF7">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simplePos x="0" y="0"/>
          <wp:positionH relativeFrom="column">
            <wp:posOffset>-695768</wp:posOffset>
          </wp:positionH>
          <wp:positionV relativeFrom="paragraph">
            <wp:posOffset>-1200943</wp:posOffset>
          </wp:positionV>
          <wp:extent cx="7809876" cy="10165823"/>
          <wp:effectExtent l="0" t="0" r="0" b="0"/>
          <wp:wrapNone/>
          <wp:docPr id="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DF7" w:rsidRDefault="00596DF7">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simplePos x="0" y="0"/>
          <wp:positionH relativeFrom="column">
            <wp:posOffset>-846158</wp:posOffset>
          </wp:positionH>
          <wp:positionV relativeFrom="paragraph">
            <wp:posOffset>-171229</wp:posOffset>
          </wp:positionV>
          <wp:extent cx="7809876" cy="10165823"/>
          <wp:effectExtent l="0" t="0" r="0" b="0"/>
          <wp:wrapNone/>
          <wp:docPr id="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d"/>
      <w:tblW w:w="5670" w:type="dxa"/>
      <w:tblInd w:w="3119" w:type="dxa"/>
      <w:tblLayout w:type="fixed"/>
      <w:tblLook w:val="0400" w:firstRow="0" w:lastRow="0" w:firstColumn="0" w:lastColumn="0" w:noHBand="0" w:noVBand="1"/>
    </w:tblPr>
    <w:tblGrid>
      <w:gridCol w:w="2551"/>
      <w:gridCol w:w="3119"/>
    </w:tblGrid>
    <w:tr w:rsidR="00596DF7">
      <w:tc>
        <w:tcPr>
          <w:tcW w:w="2551" w:type="dxa"/>
          <w:vAlign w:val="center"/>
        </w:tcPr>
        <w:p w:rsidR="00596DF7" w:rsidRDefault="00596DF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596DF7" w:rsidRDefault="00596DF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06669/INFOEM/IP/RR/2022. </w:t>
          </w:r>
        </w:p>
      </w:tc>
    </w:tr>
    <w:tr w:rsidR="00596DF7">
      <w:tc>
        <w:tcPr>
          <w:tcW w:w="2551" w:type="dxa"/>
          <w:vAlign w:val="center"/>
        </w:tcPr>
        <w:p w:rsidR="00596DF7" w:rsidRDefault="00596DF7">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596DF7" w:rsidRDefault="00C31D5E" w:rsidP="00C31D5E">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XXXXXXXXX XXXXXXXXX</w:t>
          </w:r>
        </w:p>
      </w:tc>
    </w:tr>
    <w:tr w:rsidR="00596DF7">
      <w:trPr>
        <w:trHeight w:val="228"/>
      </w:trPr>
      <w:tc>
        <w:tcPr>
          <w:tcW w:w="2551" w:type="dxa"/>
          <w:vAlign w:val="center"/>
        </w:tcPr>
        <w:p w:rsidR="00596DF7" w:rsidRDefault="00596DF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596DF7" w:rsidRDefault="00596DF7" w:rsidP="00596DF7">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Villa del </w:t>
          </w:r>
          <w:proofErr w:type="spellStart"/>
          <w:r w:rsidR="00253485">
            <w:rPr>
              <w:rFonts w:ascii="Palatino Linotype" w:eastAsia="Palatino Linotype" w:hAnsi="Palatino Linotype" w:cs="Palatino Linotype"/>
              <w:b/>
              <w:sz w:val="22"/>
              <w:szCs w:val="22"/>
            </w:rPr>
            <w:t>del</w:t>
          </w:r>
          <w:proofErr w:type="spellEnd"/>
          <w:r w:rsidR="00253485">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Carbón.</w:t>
          </w:r>
        </w:p>
      </w:tc>
    </w:tr>
    <w:tr w:rsidR="00596DF7">
      <w:tc>
        <w:tcPr>
          <w:tcW w:w="2551" w:type="dxa"/>
          <w:vAlign w:val="center"/>
        </w:tcPr>
        <w:p w:rsidR="00596DF7" w:rsidRDefault="00596DF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596DF7" w:rsidRDefault="00596DF7">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596DF7" w:rsidRDefault="00596DF7">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DF7" w:rsidRDefault="00596DF7">
    <w:pPr>
      <w:pBdr>
        <w:top w:val="nil"/>
        <w:left w:val="nil"/>
        <w:bottom w:val="nil"/>
        <w:right w:val="nil"/>
        <w:between w:val="nil"/>
      </w:pBdr>
      <w:tabs>
        <w:tab w:val="center" w:pos="4252"/>
        <w:tab w:val="right" w:pos="8504"/>
      </w:tabs>
      <w:jc w:val="both"/>
      <w:rPr>
        <w:rFonts w:ascii="Calibri" w:eastAsia="Calibri" w:hAnsi="Calibri" w:cs="Calibri"/>
        <w:color w:val="000000"/>
      </w:rPr>
    </w:pPr>
  </w:p>
  <w:p w:rsidR="00596DF7" w:rsidRDefault="00596DF7">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95C2F"/>
    <w:multiLevelType w:val="hybridMultilevel"/>
    <w:tmpl w:val="2042F92C"/>
    <w:lvl w:ilvl="0" w:tplc="04090013">
      <w:start w:val="1"/>
      <w:numFmt w:val="upperRoman"/>
      <w:lvlText w:val="%1."/>
      <w:lvlJc w:val="righ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 w15:restartNumberingAfterBreak="0">
    <w:nsid w:val="0A8B1CE9"/>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E6DB3"/>
    <w:multiLevelType w:val="hybridMultilevel"/>
    <w:tmpl w:val="79D8F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E35F7B"/>
    <w:multiLevelType w:val="hybridMultilevel"/>
    <w:tmpl w:val="70DC1142"/>
    <w:lvl w:ilvl="0" w:tplc="DD8A780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1B1637"/>
    <w:multiLevelType w:val="multilevel"/>
    <w:tmpl w:val="ED00A78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21805293"/>
    <w:multiLevelType w:val="hybridMultilevel"/>
    <w:tmpl w:val="1AACA9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2E84C77"/>
    <w:multiLevelType w:val="multilevel"/>
    <w:tmpl w:val="AE82415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3430D4B"/>
    <w:multiLevelType w:val="hybridMultilevel"/>
    <w:tmpl w:val="43244368"/>
    <w:lvl w:ilvl="0" w:tplc="427876CC">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317490"/>
    <w:multiLevelType w:val="hybridMultilevel"/>
    <w:tmpl w:val="60CA9754"/>
    <w:lvl w:ilvl="0" w:tplc="5EFE98EE">
      <w:start w:val="1"/>
      <w:numFmt w:val="decimal"/>
      <w:lvlText w:val="%1."/>
      <w:lvlJc w:val="left"/>
      <w:pPr>
        <w:ind w:left="5180" w:hanging="360"/>
      </w:pPr>
      <w:rPr>
        <w:rFonts w:hint="default"/>
        <w:b/>
        <w:i w:val="0"/>
        <w:sz w:val="24"/>
      </w:rPr>
    </w:lvl>
    <w:lvl w:ilvl="1" w:tplc="D8BE9144">
      <w:start w:val="1"/>
      <w:numFmt w:val="upperRoman"/>
      <w:lvlText w:val="%2."/>
      <w:lvlJc w:val="left"/>
      <w:pPr>
        <w:ind w:left="1800" w:hanging="720"/>
      </w:pPr>
      <w:rPr>
        <w:rFonts w:hint="default"/>
        <w:color w:val="auto"/>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5D2098"/>
    <w:multiLevelType w:val="hybridMultilevel"/>
    <w:tmpl w:val="D256B2C4"/>
    <w:lvl w:ilvl="0" w:tplc="83CE1DFC">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404F5D0D"/>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104AD7"/>
    <w:multiLevelType w:val="multilevel"/>
    <w:tmpl w:val="424A7A8E"/>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8736C0B"/>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7833AB"/>
    <w:multiLevelType w:val="multilevel"/>
    <w:tmpl w:val="DF4AC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C5B1D0E"/>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182B93"/>
    <w:multiLevelType w:val="hybridMultilevel"/>
    <w:tmpl w:val="E56025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6"/>
  </w:num>
  <w:num w:numId="3">
    <w:abstractNumId w:val="11"/>
  </w:num>
  <w:num w:numId="4">
    <w:abstractNumId w:val="9"/>
  </w:num>
  <w:num w:numId="5">
    <w:abstractNumId w:val="5"/>
  </w:num>
  <w:num w:numId="6">
    <w:abstractNumId w:val="8"/>
  </w:num>
  <w:num w:numId="7">
    <w:abstractNumId w:val="3"/>
  </w:num>
  <w:num w:numId="8">
    <w:abstractNumId w:val="4"/>
  </w:num>
  <w:num w:numId="9">
    <w:abstractNumId w:val="14"/>
  </w:num>
  <w:num w:numId="10">
    <w:abstractNumId w:val="1"/>
  </w:num>
  <w:num w:numId="11">
    <w:abstractNumId w:val="10"/>
  </w:num>
  <w:num w:numId="12">
    <w:abstractNumId w:val="12"/>
  </w:num>
  <w:num w:numId="13">
    <w:abstractNumId w:val="7"/>
  </w:num>
  <w:num w:numId="14">
    <w:abstractNumId w:val="2"/>
  </w:num>
  <w:num w:numId="15">
    <w:abstractNumId w:val="0"/>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16C"/>
    <w:rsid w:val="00024223"/>
    <w:rsid w:val="00033918"/>
    <w:rsid w:val="00040EA2"/>
    <w:rsid w:val="00040EC8"/>
    <w:rsid w:val="00064A04"/>
    <w:rsid w:val="00082F54"/>
    <w:rsid w:val="000D5198"/>
    <w:rsid w:val="000E4910"/>
    <w:rsid w:val="000E7C55"/>
    <w:rsid w:val="00111A55"/>
    <w:rsid w:val="00114E79"/>
    <w:rsid w:val="00171E3F"/>
    <w:rsid w:val="00187692"/>
    <w:rsid w:val="0019016C"/>
    <w:rsid w:val="001E43BF"/>
    <w:rsid w:val="00253485"/>
    <w:rsid w:val="002B3D0A"/>
    <w:rsid w:val="002C0354"/>
    <w:rsid w:val="002C6896"/>
    <w:rsid w:val="002F65E6"/>
    <w:rsid w:val="00346293"/>
    <w:rsid w:val="00424AD8"/>
    <w:rsid w:val="00426475"/>
    <w:rsid w:val="00477EEA"/>
    <w:rsid w:val="004956B0"/>
    <w:rsid w:val="004D4669"/>
    <w:rsid w:val="0052208F"/>
    <w:rsid w:val="0053171F"/>
    <w:rsid w:val="00564212"/>
    <w:rsid w:val="00576AFF"/>
    <w:rsid w:val="00581E12"/>
    <w:rsid w:val="00596DF7"/>
    <w:rsid w:val="006366FA"/>
    <w:rsid w:val="006940B7"/>
    <w:rsid w:val="006B0AE4"/>
    <w:rsid w:val="006C2D84"/>
    <w:rsid w:val="006D2711"/>
    <w:rsid w:val="006F04A4"/>
    <w:rsid w:val="00723D49"/>
    <w:rsid w:val="007707A5"/>
    <w:rsid w:val="007B00D2"/>
    <w:rsid w:val="007C20F8"/>
    <w:rsid w:val="007E48D6"/>
    <w:rsid w:val="00833247"/>
    <w:rsid w:val="00882EC3"/>
    <w:rsid w:val="008E1D85"/>
    <w:rsid w:val="008E4668"/>
    <w:rsid w:val="00910CC0"/>
    <w:rsid w:val="009162D1"/>
    <w:rsid w:val="00921A15"/>
    <w:rsid w:val="009335B4"/>
    <w:rsid w:val="009357F8"/>
    <w:rsid w:val="00944F29"/>
    <w:rsid w:val="009B2283"/>
    <w:rsid w:val="009D1813"/>
    <w:rsid w:val="009F35B3"/>
    <w:rsid w:val="009F55E9"/>
    <w:rsid w:val="00A00A27"/>
    <w:rsid w:val="00A05A19"/>
    <w:rsid w:val="00A26CE4"/>
    <w:rsid w:val="00A30287"/>
    <w:rsid w:val="00A532F6"/>
    <w:rsid w:val="00AA5D8D"/>
    <w:rsid w:val="00AB6B42"/>
    <w:rsid w:val="00AC6C9C"/>
    <w:rsid w:val="00AD3CBC"/>
    <w:rsid w:val="00B47F9C"/>
    <w:rsid w:val="00B96E0C"/>
    <w:rsid w:val="00BA2905"/>
    <w:rsid w:val="00BF7E89"/>
    <w:rsid w:val="00C31D5E"/>
    <w:rsid w:val="00C37DFF"/>
    <w:rsid w:val="00C80131"/>
    <w:rsid w:val="00C865AB"/>
    <w:rsid w:val="00D605CA"/>
    <w:rsid w:val="00D60DD2"/>
    <w:rsid w:val="00DE5866"/>
    <w:rsid w:val="00DF0FB1"/>
    <w:rsid w:val="00E14900"/>
    <w:rsid w:val="00E530C8"/>
    <w:rsid w:val="00E958B6"/>
    <w:rsid w:val="00EA6D27"/>
    <w:rsid w:val="00EB16D3"/>
    <w:rsid w:val="00EE2B16"/>
    <w:rsid w:val="00F01C90"/>
    <w:rsid w:val="00F0382A"/>
    <w:rsid w:val="00F14E15"/>
    <w:rsid w:val="00FB03C2"/>
    <w:rsid w:val="00FC6071"/>
    <w:rsid w:val="00FE71F6"/>
    <w:rsid w:val="00FF6A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596D2B-4AA2-4524-AAFE-9165F84ED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
    <w:link w:val="SinespaciadoCar"/>
    <w:uiPriority w:val="1"/>
    <w:qFormat/>
    <w:rsid w:val="00CE2CFE"/>
  </w:style>
  <w:style w:type="character" w:customStyle="1" w:styleId="SinespaciadoCar">
    <w:name w:val="Sin espaciado Car"/>
    <w:aliases w:val="Francesa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830990">
      <w:bodyDiv w:val="1"/>
      <w:marLeft w:val="0"/>
      <w:marRight w:val="0"/>
      <w:marTop w:val="0"/>
      <w:marBottom w:val="0"/>
      <w:divBdr>
        <w:top w:val="none" w:sz="0" w:space="0" w:color="auto"/>
        <w:left w:val="none" w:sz="0" w:space="0" w:color="auto"/>
        <w:bottom w:val="none" w:sz="0" w:space="0" w:color="auto"/>
        <w:right w:val="none" w:sz="0" w:space="0" w:color="auto"/>
      </w:divBdr>
    </w:div>
    <w:div w:id="1022441252">
      <w:bodyDiv w:val="1"/>
      <w:marLeft w:val="0"/>
      <w:marRight w:val="0"/>
      <w:marTop w:val="0"/>
      <w:marBottom w:val="0"/>
      <w:divBdr>
        <w:top w:val="none" w:sz="0" w:space="0" w:color="auto"/>
        <w:left w:val="none" w:sz="0" w:space="0" w:color="auto"/>
        <w:bottom w:val="none" w:sz="0" w:space="0" w:color="auto"/>
        <w:right w:val="none" w:sz="0" w:space="0" w:color="auto"/>
      </w:divBdr>
    </w:div>
    <w:div w:id="1292050022">
      <w:bodyDiv w:val="1"/>
      <w:marLeft w:val="0"/>
      <w:marRight w:val="0"/>
      <w:marTop w:val="0"/>
      <w:marBottom w:val="0"/>
      <w:divBdr>
        <w:top w:val="none" w:sz="0" w:space="0" w:color="auto"/>
        <w:left w:val="none" w:sz="0" w:space="0" w:color="auto"/>
        <w:bottom w:val="none" w:sz="0" w:space="0" w:color="auto"/>
        <w:right w:val="none" w:sz="0" w:space="0" w:color="auto"/>
      </w:divBdr>
    </w:div>
    <w:div w:id="19319595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s://saimex.org.mx/saimex/solicitud/downloadAttach/1407879.page" TargetMode="External"/><Relationship Id="rId14"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AHTDpYDLhDcHuIDxVVKQzDzjSA==">AMUW2mVQYMMZ0RpbMvNfqXAS2qPzFHohOoiRK5GmTlZNhx6eydhSMUr545MtOBu5E1dcMSPg57gfUE5X6kEyRspmLHtXqdn/hGBYOvDM67Ywn5RmuguQuQ0KgWrv1RCoRCX2dmElSH/mNLPfvqCV/8vmJNBlkGC8JA==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1A0F44B-7D7C-4EFB-B339-47CF85B8A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10565</Words>
  <Characters>58109</Characters>
  <Application>Microsoft Office Word</Application>
  <DocSecurity>0</DocSecurity>
  <Lines>484</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2</cp:revision>
  <cp:lastPrinted>2022-08-11T01:32:00Z</cp:lastPrinted>
  <dcterms:created xsi:type="dcterms:W3CDTF">2022-09-21T22:48:00Z</dcterms:created>
  <dcterms:modified xsi:type="dcterms:W3CDTF">2022-09-21T22:48:00Z</dcterms:modified>
</cp:coreProperties>
</file>