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5A5C5" w14:textId="77777777" w:rsidR="009C294B" w:rsidRPr="006E1497" w:rsidRDefault="00F574A6">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6E149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diez de agosto del dos mil veintidós.</w:t>
      </w:r>
    </w:p>
    <w:p w14:paraId="684564B5" w14:textId="4D3A6697" w:rsidR="009C294B" w:rsidRPr="006E1497" w:rsidRDefault="00F574A6">
      <w:pPr>
        <w:spacing w:before="240" w:after="240" w:line="360" w:lineRule="auto"/>
        <w:jc w:val="both"/>
        <w:rPr>
          <w:rFonts w:ascii="Palatino Linotype" w:eastAsia="Palatino Linotype" w:hAnsi="Palatino Linotype" w:cs="Palatino Linotype"/>
          <w:b/>
        </w:rPr>
      </w:pPr>
      <w:r w:rsidRPr="006E1497">
        <w:rPr>
          <w:rFonts w:ascii="Palatino Linotype" w:eastAsia="Palatino Linotype" w:hAnsi="Palatino Linotype" w:cs="Palatino Linotype"/>
          <w:b/>
        </w:rPr>
        <w:t>Visto</w:t>
      </w:r>
      <w:r w:rsidRPr="006E1497">
        <w:rPr>
          <w:rFonts w:ascii="Palatino Linotype" w:eastAsia="Palatino Linotype" w:hAnsi="Palatino Linotype" w:cs="Palatino Linotype"/>
        </w:rPr>
        <w:t xml:space="preserve"> el expediente relativo al recurso de revisión </w:t>
      </w:r>
      <w:r w:rsidRPr="006E1497">
        <w:rPr>
          <w:rFonts w:ascii="Palatino Linotype" w:eastAsia="Palatino Linotype" w:hAnsi="Palatino Linotype" w:cs="Palatino Linotype"/>
          <w:b/>
        </w:rPr>
        <w:t>04074/INFOEM/IP/RR/2022</w:t>
      </w:r>
      <w:r w:rsidRPr="006E1497">
        <w:rPr>
          <w:rFonts w:ascii="Palatino Linotype" w:eastAsia="Palatino Linotype" w:hAnsi="Palatino Linotype" w:cs="Palatino Linotype"/>
        </w:rPr>
        <w:t>, interpuesto por</w:t>
      </w:r>
      <w:r w:rsidRPr="006E1497">
        <w:rPr>
          <w:rFonts w:ascii="Palatino Linotype" w:eastAsia="Palatino Linotype" w:hAnsi="Palatino Linotype" w:cs="Palatino Linotype"/>
          <w:b/>
        </w:rPr>
        <w:t xml:space="preserve"> </w:t>
      </w:r>
      <w:r w:rsidR="005E21AB" w:rsidRPr="005E21AB">
        <w:rPr>
          <w:rFonts w:ascii="Palatino Linotype" w:eastAsia="Palatino Linotype" w:hAnsi="Palatino Linotype" w:cs="Palatino Linotype"/>
          <w:b/>
        </w:rPr>
        <w:t xml:space="preserve">XXXXXXX </w:t>
      </w:r>
      <w:proofErr w:type="spellStart"/>
      <w:r w:rsidR="005E21AB" w:rsidRPr="005E21AB">
        <w:rPr>
          <w:rFonts w:ascii="Palatino Linotype" w:eastAsia="Palatino Linotype" w:hAnsi="Palatino Linotype" w:cs="Palatino Linotype"/>
          <w:b/>
        </w:rPr>
        <w:t>XXXXXXX</w:t>
      </w:r>
      <w:proofErr w:type="spellEnd"/>
      <w:r w:rsidR="005E21AB" w:rsidRPr="005E21AB">
        <w:rPr>
          <w:rFonts w:ascii="Palatino Linotype" w:eastAsia="Palatino Linotype" w:hAnsi="Palatino Linotype" w:cs="Palatino Linotype"/>
          <w:b/>
        </w:rPr>
        <w:t xml:space="preserve"> XXXXXX</w:t>
      </w:r>
      <w:r w:rsidRPr="006E1497">
        <w:rPr>
          <w:rFonts w:ascii="Palatino Linotype" w:eastAsia="Palatino Linotype" w:hAnsi="Palatino Linotype" w:cs="Palatino Linotype"/>
        </w:rPr>
        <w:t xml:space="preserve">, en lo sucesivo el </w:t>
      </w:r>
      <w:r w:rsidRPr="006E1497">
        <w:rPr>
          <w:rFonts w:ascii="Palatino Linotype" w:eastAsia="Palatino Linotype" w:hAnsi="Palatino Linotype" w:cs="Palatino Linotype"/>
          <w:b/>
        </w:rPr>
        <w:t>recurrente</w:t>
      </w:r>
      <w:r w:rsidRPr="006E1497">
        <w:rPr>
          <w:rFonts w:ascii="Palatino Linotype" w:eastAsia="Palatino Linotype" w:hAnsi="Palatino Linotype" w:cs="Palatino Linotype"/>
        </w:rPr>
        <w:t xml:space="preserve"> en contra de la respuesta a su solicitud de información con número de folio </w:t>
      </w:r>
      <w:r w:rsidRPr="006E1497">
        <w:rPr>
          <w:rFonts w:ascii="Palatino Linotype" w:eastAsia="Palatino Linotype" w:hAnsi="Palatino Linotype" w:cs="Palatino Linotype"/>
          <w:b/>
        </w:rPr>
        <w:t xml:space="preserve">00144/ISSEMYM/IP/2022, </w:t>
      </w:r>
      <w:r w:rsidRPr="006E1497">
        <w:rPr>
          <w:rFonts w:ascii="Palatino Linotype" w:eastAsia="Palatino Linotype" w:hAnsi="Palatino Linotype" w:cs="Palatino Linotype"/>
        </w:rPr>
        <w:t xml:space="preserve">por parte del </w:t>
      </w:r>
      <w:r w:rsidRPr="006E1497">
        <w:rPr>
          <w:rFonts w:ascii="Palatino Linotype" w:eastAsia="Palatino Linotype" w:hAnsi="Palatino Linotype" w:cs="Palatino Linotype"/>
          <w:b/>
        </w:rPr>
        <w:t xml:space="preserve">Instituto de Seguridad Social del Estado de México y Municipios, </w:t>
      </w:r>
      <w:r w:rsidRPr="006E1497">
        <w:rPr>
          <w:rFonts w:ascii="Palatino Linotype" w:eastAsia="Palatino Linotype" w:hAnsi="Palatino Linotype" w:cs="Palatino Linotype"/>
        </w:rPr>
        <w:t xml:space="preserve">en lo sucesivo el </w:t>
      </w:r>
      <w:r w:rsidRPr="006E1497">
        <w:rPr>
          <w:rFonts w:ascii="Palatino Linotype" w:eastAsia="Palatino Linotype" w:hAnsi="Palatino Linotype" w:cs="Palatino Linotype"/>
          <w:b/>
        </w:rPr>
        <w:t xml:space="preserve">Sujeto Obligado; </w:t>
      </w:r>
      <w:r w:rsidRPr="006E1497">
        <w:rPr>
          <w:rFonts w:ascii="Palatino Linotype" w:eastAsia="Palatino Linotype" w:hAnsi="Palatino Linotype" w:cs="Palatino Linotype"/>
        </w:rPr>
        <w:t>se procede a dictar la presente resolución, con base en los siguientes:</w:t>
      </w:r>
    </w:p>
    <w:p w14:paraId="49357468" w14:textId="77777777" w:rsidR="009C294B" w:rsidRPr="006E1497" w:rsidRDefault="00F574A6">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6E1497">
        <w:rPr>
          <w:rFonts w:ascii="Palatino Linotype" w:eastAsia="Palatino Linotype" w:hAnsi="Palatino Linotype" w:cs="Palatino Linotype"/>
          <w:b/>
          <w:color w:val="000000"/>
        </w:rPr>
        <w:t>A N T E C E D E N T E S:</w:t>
      </w:r>
    </w:p>
    <w:p w14:paraId="22BF8EE7"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t xml:space="preserve">1. Solicitud de acceso a la información. </w:t>
      </w:r>
      <w:r w:rsidRPr="006E1497">
        <w:rPr>
          <w:rFonts w:ascii="Palatino Linotype" w:eastAsia="Palatino Linotype" w:hAnsi="Palatino Linotype" w:cs="Palatino Linotype"/>
        </w:rPr>
        <w:t xml:space="preserve">Con fecha veintidós de febrero del dos mil veintidós, la parte </w:t>
      </w:r>
      <w:r w:rsidRPr="006E1497">
        <w:rPr>
          <w:rFonts w:ascii="Palatino Linotype" w:eastAsia="Palatino Linotype" w:hAnsi="Palatino Linotype" w:cs="Palatino Linotype"/>
          <w:b/>
        </w:rPr>
        <w:t>recurrente</w:t>
      </w:r>
      <w:r w:rsidRPr="006E1497">
        <w:rPr>
          <w:rFonts w:ascii="Palatino Linotype" w:eastAsia="Palatino Linotype" w:hAnsi="Palatino Linotype" w:cs="Palatino Linotype"/>
        </w:rPr>
        <w:t xml:space="preserve"> formuló solicitud de acceso a información pública al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xml:space="preserve"> a través del Sistema de Acceso a la Información Mexiquense, en adelante </w:t>
      </w:r>
      <w:r w:rsidRPr="006E1497">
        <w:rPr>
          <w:rFonts w:ascii="Palatino Linotype" w:eastAsia="Palatino Linotype" w:hAnsi="Palatino Linotype" w:cs="Palatino Linotype"/>
          <w:b/>
        </w:rPr>
        <w:t>SAIMEX,</w:t>
      </w:r>
      <w:r w:rsidRPr="006E1497">
        <w:rPr>
          <w:rFonts w:ascii="Palatino Linotype" w:eastAsia="Palatino Linotype" w:hAnsi="Palatino Linotype" w:cs="Palatino Linotype"/>
        </w:rPr>
        <w:t xml:space="preserve"> requiriéndole lo siguiente:</w:t>
      </w:r>
    </w:p>
    <w:p w14:paraId="29D9F495" w14:textId="77777777" w:rsidR="009C294B" w:rsidRPr="006E1497" w:rsidRDefault="00F574A6">
      <w:pPr>
        <w:ind w:left="851" w:right="758"/>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i/>
          <w:sz w:val="22"/>
          <w:szCs w:val="22"/>
        </w:rPr>
        <w:t>“EL SOPORTE DOCUMENTAL (EVIDENCIAS) DEL SEGUNDO PAGO QUE EFECTUO LA UAEMEX DERIVADO DEL CONVENIO No. CCAPP/D118/01/2019 DE FECHA 23/DIC/2019 CELEBRADO ENTRE LA UAEM-ISSEMYM ; EN COMPLEMENTO A LA SOLICITUD 00076/UAEM/IP/2021</w:t>
      </w:r>
      <w:proofErr w:type="gramStart"/>
      <w:r w:rsidRPr="006E1497">
        <w:rPr>
          <w:rFonts w:ascii="Palatino Linotype" w:eastAsia="Palatino Linotype" w:hAnsi="Palatino Linotype" w:cs="Palatino Linotype"/>
          <w:i/>
          <w:sz w:val="22"/>
          <w:szCs w:val="22"/>
        </w:rPr>
        <w:t>..”</w:t>
      </w:r>
      <w:proofErr w:type="gramEnd"/>
      <w:r w:rsidRPr="006E1497">
        <w:rPr>
          <w:rFonts w:ascii="Palatino Linotype" w:eastAsia="Palatino Linotype" w:hAnsi="Palatino Linotype" w:cs="Palatino Linotype"/>
          <w:i/>
          <w:sz w:val="22"/>
          <w:szCs w:val="22"/>
        </w:rPr>
        <w:t xml:space="preserve"> (Sic)</w:t>
      </w:r>
    </w:p>
    <w:p w14:paraId="2988C89B"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t>Modalidad elegida para la entrega de la información: SAIMEX.</w:t>
      </w:r>
    </w:p>
    <w:p w14:paraId="7F8498EE"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lastRenderedPageBreak/>
        <w:t xml:space="preserve">2. Respuesta. </w:t>
      </w:r>
      <w:r w:rsidRPr="006E1497">
        <w:rPr>
          <w:rFonts w:ascii="Palatino Linotype" w:eastAsia="Palatino Linotype" w:hAnsi="Palatino Linotype" w:cs="Palatino Linotype"/>
        </w:rPr>
        <w:t xml:space="preserve">Con fecha diez de marzo del dos mil veintidós el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xml:space="preserve"> envió su respuesta a la solicitud de acceso a la información a través del SAIMEX, en los siguientes términos</w:t>
      </w:r>
      <w:proofErr w:type="gramStart"/>
      <w:r w:rsidRPr="006E1497">
        <w:rPr>
          <w:rFonts w:ascii="Palatino Linotype" w:eastAsia="Palatino Linotype" w:hAnsi="Palatino Linotype" w:cs="Palatino Linotype"/>
        </w:rPr>
        <w:t>::</w:t>
      </w:r>
      <w:proofErr w:type="gramEnd"/>
    </w:p>
    <w:p w14:paraId="1CEBCC43" w14:textId="77777777" w:rsidR="009C294B" w:rsidRPr="006E1497" w:rsidRDefault="00F574A6">
      <w:pPr>
        <w:ind w:left="851" w:right="902"/>
        <w:jc w:val="both"/>
        <w:rPr>
          <w:rFonts w:ascii="Palatino Linotype" w:eastAsia="Palatino Linotype" w:hAnsi="Palatino Linotype" w:cs="Palatino Linotype"/>
          <w:i/>
          <w:color w:val="000000"/>
          <w:sz w:val="22"/>
          <w:szCs w:val="22"/>
        </w:rPr>
      </w:pPr>
      <w:r w:rsidRPr="006E1497">
        <w:rPr>
          <w:rFonts w:ascii="Palatino Linotype" w:eastAsia="Palatino Linotype" w:hAnsi="Palatino Linotype" w:cs="Palatino Linotype"/>
          <w:i/>
          <w:color w:val="000000"/>
          <w:sz w:val="22"/>
          <w:szCs w:val="22"/>
        </w:rPr>
        <w:t xml:space="preserve">“En respuesta a la solicitud recibida, nos permitimos hacer de su conocimiento que con fundamento en el </w:t>
      </w:r>
      <w:r w:rsidRPr="006E1497">
        <w:rPr>
          <w:rFonts w:ascii="Palatino Linotype" w:eastAsia="Palatino Linotype" w:hAnsi="Palatino Linotype" w:cs="Palatino Linotype"/>
          <w:i/>
          <w:sz w:val="22"/>
          <w:szCs w:val="22"/>
        </w:rPr>
        <w:t>artículo</w:t>
      </w:r>
      <w:r w:rsidRPr="006E1497">
        <w:rPr>
          <w:rFonts w:ascii="Palatino Linotype" w:eastAsia="Palatino Linotype" w:hAnsi="Palatino Linotype" w:cs="Palatino Linotype"/>
          <w:i/>
          <w:color w:val="000000"/>
          <w:sz w:val="22"/>
          <w:szCs w:val="22"/>
        </w:rPr>
        <w:t xml:space="preserve"> 53, Fracciones: II, V y VI de la Ley de Transparencia y Acceso  a la información Pública del Estado de México y Municipios, le contestamos que:</w:t>
      </w:r>
    </w:p>
    <w:p w14:paraId="1D07EC1A" w14:textId="77777777" w:rsidR="009C294B" w:rsidRPr="006E1497" w:rsidRDefault="009C294B">
      <w:pPr>
        <w:ind w:left="851" w:right="902"/>
        <w:jc w:val="both"/>
        <w:rPr>
          <w:rFonts w:ascii="Palatino Linotype" w:eastAsia="Palatino Linotype" w:hAnsi="Palatino Linotype" w:cs="Palatino Linotype"/>
          <w:i/>
          <w:sz w:val="22"/>
          <w:szCs w:val="22"/>
        </w:rPr>
      </w:pPr>
    </w:p>
    <w:p w14:paraId="53F9590B" w14:textId="77777777" w:rsidR="009C294B" w:rsidRPr="006E1497" w:rsidRDefault="00F574A6">
      <w:pPr>
        <w:ind w:left="851" w:right="902"/>
        <w:jc w:val="both"/>
        <w:rPr>
          <w:rFonts w:ascii="Palatino Linotype" w:eastAsia="Palatino Linotype" w:hAnsi="Palatino Linotype" w:cs="Palatino Linotype"/>
          <w:i/>
          <w:color w:val="000000"/>
          <w:sz w:val="22"/>
          <w:szCs w:val="22"/>
        </w:rPr>
      </w:pPr>
      <w:r w:rsidRPr="006E1497">
        <w:rPr>
          <w:rFonts w:ascii="Palatino Linotype" w:eastAsia="Palatino Linotype" w:hAnsi="Palatino Linotype" w:cs="Palatino Linotype"/>
          <w:i/>
          <w:color w:val="000000"/>
          <w:sz w:val="22"/>
          <w:szCs w:val="22"/>
        </w:rPr>
        <w:t xml:space="preserve">Como archivos adjuntos, encontrará el oficio que dará respuesta a su solicitud de información; así como la información correspondiente. Para cualquier duda o aclaración respecto a la presente respuesta, nos ponemos a sus órdenes en el teléfono (01722) 2261900 extensiones 1434072 y 1434073. MUY IMPORTANTE: Se hace de su conocimiento que, hasta nuevo aviso, por la contingencia sanitaria el horario para </w:t>
      </w:r>
      <w:r w:rsidRPr="006E1497">
        <w:rPr>
          <w:rFonts w:ascii="Palatino Linotype" w:eastAsia="Palatino Linotype" w:hAnsi="Palatino Linotype" w:cs="Palatino Linotype"/>
          <w:i/>
          <w:sz w:val="22"/>
          <w:szCs w:val="22"/>
        </w:rPr>
        <w:t>trámites</w:t>
      </w:r>
      <w:r w:rsidRPr="006E1497">
        <w:rPr>
          <w:rFonts w:ascii="Palatino Linotype" w:eastAsia="Palatino Linotype" w:hAnsi="Palatino Linotype" w:cs="Palatino Linotype"/>
          <w:i/>
          <w:color w:val="000000"/>
          <w:sz w:val="22"/>
          <w:szCs w:val="22"/>
        </w:rPr>
        <w:t xml:space="preserve"> en el Módulo de Transparencia es de 9:00 a 15:00 horas. Es indispensable que al presentarse lo realice con cubrebocas y pluma o bolígrafo personal, como medidas de seguridad sanitaria.”</w:t>
      </w:r>
    </w:p>
    <w:p w14:paraId="1FD9CC4C" w14:textId="77777777" w:rsidR="009C294B" w:rsidRPr="006E1497" w:rsidRDefault="009C294B">
      <w:pPr>
        <w:ind w:right="902"/>
        <w:jc w:val="both"/>
        <w:rPr>
          <w:rFonts w:ascii="Palatino Linotype" w:eastAsia="Palatino Linotype" w:hAnsi="Palatino Linotype" w:cs="Palatino Linotype"/>
          <w:i/>
          <w:color w:val="000000"/>
        </w:rPr>
      </w:pPr>
    </w:p>
    <w:p w14:paraId="017F3629" w14:textId="77777777" w:rsidR="009C294B" w:rsidRPr="006E1497" w:rsidRDefault="00F574A6">
      <w:pPr>
        <w:ind w:right="902"/>
        <w:jc w:val="both"/>
        <w:rPr>
          <w:rFonts w:ascii="Palatino Linotype" w:eastAsia="Palatino Linotype" w:hAnsi="Palatino Linotype" w:cs="Palatino Linotype"/>
        </w:rPr>
      </w:pPr>
      <w:r w:rsidRPr="006E1497">
        <w:rPr>
          <w:rFonts w:ascii="Palatino Linotype" w:eastAsia="Palatino Linotype" w:hAnsi="Palatino Linotype" w:cs="Palatino Linotype"/>
          <w:color w:val="000000"/>
        </w:rPr>
        <w:t>El</w:t>
      </w:r>
      <w:r w:rsidRPr="006E1497">
        <w:rPr>
          <w:rFonts w:ascii="Palatino Linotype" w:eastAsia="Palatino Linotype" w:hAnsi="Palatino Linotype" w:cs="Palatino Linotype"/>
        </w:rPr>
        <w:t xml:space="preserve"> Sujeto Obligado </w:t>
      </w:r>
      <w:r w:rsidRPr="006E1497">
        <w:rPr>
          <w:rFonts w:ascii="Palatino Linotype" w:eastAsia="Palatino Linotype" w:hAnsi="Palatino Linotype" w:cs="Palatino Linotype"/>
          <w:color w:val="000000"/>
        </w:rPr>
        <w:t>anex</w:t>
      </w:r>
      <w:r w:rsidRPr="006E1497">
        <w:rPr>
          <w:rFonts w:ascii="Palatino Linotype" w:eastAsia="Palatino Linotype" w:hAnsi="Palatino Linotype" w:cs="Palatino Linotype"/>
        </w:rPr>
        <w:t>ó</w:t>
      </w:r>
      <w:r w:rsidRPr="006E1497">
        <w:rPr>
          <w:rFonts w:ascii="Palatino Linotype" w:eastAsia="Palatino Linotype" w:hAnsi="Palatino Linotype" w:cs="Palatino Linotype"/>
          <w:color w:val="000000"/>
        </w:rPr>
        <w:t xml:space="preserve"> a su respuesta los s</w:t>
      </w:r>
      <w:r w:rsidRPr="006E1497">
        <w:rPr>
          <w:rFonts w:ascii="Palatino Linotype" w:eastAsia="Palatino Linotype" w:hAnsi="Palatino Linotype" w:cs="Palatino Linotype"/>
        </w:rPr>
        <w:t xml:space="preserve">iguientes documentos: </w:t>
      </w:r>
    </w:p>
    <w:p w14:paraId="084D7F5E" w14:textId="77777777" w:rsidR="009C294B" w:rsidRPr="006E1497" w:rsidRDefault="009C294B">
      <w:pPr>
        <w:ind w:right="902"/>
        <w:jc w:val="both"/>
        <w:rPr>
          <w:rFonts w:ascii="Palatino Linotype" w:eastAsia="Palatino Linotype" w:hAnsi="Palatino Linotype" w:cs="Palatino Linotype"/>
          <w:i/>
          <w:color w:val="222222"/>
          <w:sz w:val="22"/>
          <w:szCs w:val="22"/>
        </w:rPr>
      </w:pPr>
    </w:p>
    <w:p w14:paraId="201BDCAB" w14:textId="77777777" w:rsidR="009C294B" w:rsidRPr="006E1497" w:rsidRDefault="0096056A">
      <w:pPr>
        <w:ind w:right="32"/>
        <w:jc w:val="both"/>
        <w:rPr>
          <w:rFonts w:ascii="Palatino Linotype" w:eastAsia="Palatino Linotype" w:hAnsi="Palatino Linotype" w:cs="Palatino Linotype"/>
          <w:color w:val="222222"/>
          <w:sz w:val="22"/>
          <w:szCs w:val="22"/>
        </w:rPr>
      </w:pPr>
      <w:hyperlink r:id="rId8">
        <w:r w:rsidR="00F574A6" w:rsidRPr="006E1497">
          <w:rPr>
            <w:rFonts w:ascii="Palatino Linotype" w:eastAsia="Palatino Linotype" w:hAnsi="Palatino Linotype" w:cs="Palatino Linotype"/>
            <w:b/>
            <w:i/>
            <w:color w:val="222222"/>
            <w:sz w:val="22"/>
            <w:szCs w:val="22"/>
          </w:rPr>
          <w:t>ANEXO-SEGUNDO PAGO UAEMex.pdf</w:t>
        </w:r>
      </w:hyperlink>
      <w:r w:rsidR="00F574A6" w:rsidRPr="006E1497">
        <w:rPr>
          <w:rFonts w:ascii="Palatino Linotype" w:eastAsia="Palatino Linotype" w:hAnsi="Palatino Linotype" w:cs="Palatino Linotype"/>
          <w:i/>
          <w:color w:val="222222"/>
          <w:sz w:val="22"/>
          <w:szCs w:val="22"/>
        </w:rPr>
        <w:t>,</w:t>
      </w:r>
      <w:r w:rsidR="00F574A6" w:rsidRPr="006E1497">
        <w:rPr>
          <w:rFonts w:ascii="Palatino Linotype" w:eastAsia="Palatino Linotype" w:hAnsi="Palatino Linotype" w:cs="Palatino Linotype"/>
          <w:color w:val="222222"/>
          <w:sz w:val="22"/>
          <w:szCs w:val="22"/>
        </w:rPr>
        <w:t xml:space="preserve"> contiene el comprobante de ingresos con folio PR-82300,  tal como se advierte a continuación; </w:t>
      </w:r>
    </w:p>
    <w:p w14:paraId="67ED4ED8" w14:textId="77777777" w:rsidR="009C294B" w:rsidRPr="006E1497" w:rsidRDefault="00F574A6">
      <w:pPr>
        <w:ind w:right="902"/>
        <w:jc w:val="both"/>
        <w:rPr>
          <w:rFonts w:ascii="Palatino Linotype" w:eastAsia="Palatino Linotype" w:hAnsi="Palatino Linotype" w:cs="Palatino Linotype"/>
          <w:color w:val="000000"/>
        </w:rPr>
      </w:pPr>
      <w:r w:rsidRPr="006E1497">
        <w:rPr>
          <w:rFonts w:ascii="Palatino Linotype" w:eastAsia="Palatino Linotype" w:hAnsi="Palatino Linotype" w:cs="Palatino Linotype"/>
          <w:noProof/>
          <w:color w:val="000000"/>
          <w:lang w:val="es-MX" w:eastAsia="es-MX"/>
        </w:rPr>
        <w:lastRenderedPageBreak/>
        <w:drawing>
          <wp:inline distT="0" distB="0" distL="0" distR="0" wp14:anchorId="50C831FD" wp14:editId="2B32A834">
            <wp:extent cx="5553850" cy="5515745"/>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553850" cy="5515745"/>
                    </a:xfrm>
                    <a:prstGeom prst="rect">
                      <a:avLst/>
                    </a:prstGeom>
                    <a:ln/>
                  </pic:spPr>
                </pic:pic>
              </a:graphicData>
            </a:graphic>
          </wp:inline>
        </w:drawing>
      </w:r>
    </w:p>
    <w:p w14:paraId="15F697F0" w14:textId="77777777" w:rsidR="009C294B" w:rsidRPr="006E1497" w:rsidRDefault="009C294B">
      <w:pPr>
        <w:ind w:right="902"/>
        <w:jc w:val="both"/>
        <w:rPr>
          <w:rFonts w:ascii="Palatino Linotype" w:eastAsia="Palatino Linotype" w:hAnsi="Palatino Linotype" w:cs="Palatino Linotype"/>
          <w:color w:val="000000"/>
        </w:rPr>
      </w:pPr>
    </w:p>
    <w:p w14:paraId="302F9DB7" w14:textId="77777777" w:rsidR="009C294B" w:rsidRPr="006E1497" w:rsidRDefault="009C294B">
      <w:pPr>
        <w:ind w:right="902"/>
        <w:jc w:val="both"/>
        <w:rPr>
          <w:rFonts w:ascii="Palatino Linotype" w:eastAsia="Palatino Linotype" w:hAnsi="Palatino Linotype" w:cs="Palatino Linotype"/>
          <w:color w:val="000000"/>
        </w:rPr>
      </w:pPr>
    </w:p>
    <w:p w14:paraId="2DC252EB" w14:textId="77777777" w:rsidR="009C294B" w:rsidRPr="006E1497" w:rsidRDefault="009C294B">
      <w:pPr>
        <w:ind w:right="902"/>
        <w:jc w:val="both"/>
        <w:rPr>
          <w:rFonts w:ascii="Palatino Linotype" w:eastAsia="Palatino Linotype" w:hAnsi="Palatino Linotype" w:cs="Palatino Linotype"/>
          <w:color w:val="000000"/>
        </w:rPr>
      </w:pPr>
    </w:p>
    <w:p w14:paraId="12F3C842" w14:textId="77777777" w:rsidR="009C294B" w:rsidRPr="006E1497" w:rsidRDefault="00F574A6">
      <w:pPr>
        <w:numPr>
          <w:ilvl w:val="0"/>
          <w:numId w:val="4"/>
        </w:numPr>
        <w:ind w:right="902"/>
        <w:jc w:val="both"/>
        <w:rPr>
          <w:rFonts w:ascii="Palatino Linotype" w:eastAsia="Palatino Linotype" w:hAnsi="Palatino Linotype" w:cs="Palatino Linotype"/>
          <w:color w:val="000000"/>
        </w:rPr>
      </w:pPr>
      <w:r w:rsidRPr="006E1497">
        <w:rPr>
          <w:rFonts w:ascii="Palatino Linotype" w:eastAsia="Palatino Linotype" w:hAnsi="Palatino Linotype" w:cs="Palatino Linotype"/>
          <w:color w:val="000000"/>
        </w:rPr>
        <w:t xml:space="preserve"> </w:t>
      </w:r>
      <w:r w:rsidRPr="006E1497">
        <w:rPr>
          <w:rFonts w:ascii="Palatino Linotype" w:eastAsia="Palatino Linotype" w:hAnsi="Palatino Linotype" w:cs="Palatino Linotype"/>
          <w:b/>
          <w:i/>
          <w:color w:val="000000"/>
          <w:sz w:val="22"/>
          <w:szCs w:val="22"/>
        </w:rPr>
        <w:t>RESPUESTA 144.IP.pdf</w:t>
      </w:r>
      <w:r w:rsidRPr="006E1497">
        <w:rPr>
          <w:rFonts w:ascii="Palatino Linotype" w:eastAsia="Palatino Linotype" w:hAnsi="Palatino Linotype" w:cs="Palatino Linotype"/>
          <w:color w:val="000000"/>
        </w:rPr>
        <w:t xml:space="preserve"> el cual </w:t>
      </w:r>
      <w:r w:rsidRPr="006E1497">
        <w:rPr>
          <w:rFonts w:ascii="Palatino Linotype" w:eastAsia="Palatino Linotype" w:hAnsi="Palatino Linotype" w:cs="Palatino Linotype"/>
        </w:rPr>
        <w:t xml:space="preserve">contiene la respuesta emitida por el Sujeto Obligado a través de la cual refiere que una vez realizada la búsqueda en la Dirección de Administración Financiera, se envía el comprobante de pago con número de folio PR-82300 correspondiente al segundo pago que realizó la Universidad </w:t>
      </w:r>
      <w:r w:rsidRPr="006E1497">
        <w:rPr>
          <w:rFonts w:ascii="Palatino Linotype" w:eastAsia="Palatino Linotype" w:hAnsi="Palatino Linotype" w:cs="Palatino Linotype"/>
        </w:rPr>
        <w:lastRenderedPageBreak/>
        <w:t xml:space="preserve">Autónoma del Estado de México derivado del convenio número CAPP/D118/01/2019, tal como se aprecia a continuación: </w:t>
      </w:r>
    </w:p>
    <w:p w14:paraId="553467FD" w14:textId="77777777" w:rsidR="0007118C" w:rsidRDefault="0007118C">
      <w:pPr>
        <w:ind w:right="902"/>
        <w:jc w:val="both"/>
        <w:rPr>
          <w:noProof/>
          <w:lang w:val="es-MX" w:eastAsia="es-MX"/>
        </w:rPr>
      </w:pPr>
    </w:p>
    <w:p w14:paraId="2D563903" w14:textId="594CA59A" w:rsidR="009C294B" w:rsidRPr="006E1497" w:rsidRDefault="0007118C">
      <w:pPr>
        <w:ind w:right="902"/>
        <w:jc w:val="both"/>
        <w:rPr>
          <w:rFonts w:ascii="Palatino Linotype" w:eastAsia="Palatino Linotype" w:hAnsi="Palatino Linotype" w:cs="Palatino Linotype"/>
          <w:color w:val="000000"/>
        </w:rPr>
      </w:pPr>
      <w:r>
        <w:rPr>
          <w:noProof/>
          <w:lang w:val="es-MX" w:eastAsia="es-MX"/>
        </w:rPr>
        <w:drawing>
          <wp:inline distT="0" distB="0" distL="0" distR="0" wp14:anchorId="6C79E8F9" wp14:editId="7625B007">
            <wp:extent cx="5612130" cy="51562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94" t="26956" r="40824" b="28787"/>
                    <a:stretch/>
                  </pic:blipFill>
                  <pic:spPr bwMode="auto">
                    <a:xfrm>
                      <a:off x="0" y="0"/>
                      <a:ext cx="5612130" cy="515620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5FD5E1EF" w14:textId="77777777" w:rsidR="009C294B" w:rsidRPr="006E1497" w:rsidRDefault="00F574A6">
      <w:pPr>
        <w:ind w:right="902"/>
        <w:jc w:val="both"/>
        <w:rPr>
          <w:rFonts w:ascii="Palatino Linotype" w:eastAsia="Palatino Linotype" w:hAnsi="Palatino Linotype" w:cs="Palatino Linotype"/>
          <w:i/>
          <w:color w:val="000000"/>
        </w:rPr>
      </w:pPr>
      <w:r w:rsidRPr="006E1497">
        <w:rPr>
          <w:rFonts w:ascii="Palatino Linotype" w:eastAsia="Palatino Linotype" w:hAnsi="Palatino Linotype" w:cs="Palatino Linotype"/>
          <w:i/>
          <w:noProof/>
          <w:lang w:val="es-MX" w:eastAsia="es-MX"/>
        </w:rPr>
        <w:lastRenderedPageBreak/>
        <w:drawing>
          <wp:inline distT="114300" distB="114300" distL="114300" distR="114300" wp14:anchorId="05CE1ED2" wp14:editId="4F810DF1">
            <wp:extent cx="5612130" cy="4584700"/>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4584700"/>
                    </a:xfrm>
                    <a:prstGeom prst="rect">
                      <a:avLst/>
                    </a:prstGeom>
                    <a:ln/>
                  </pic:spPr>
                </pic:pic>
              </a:graphicData>
            </a:graphic>
          </wp:inline>
        </w:drawing>
      </w:r>
    </w:p>
    <w:p w14:paraId="2B49705B" w14:textId="77777777" w:rsidR="009C294B" w:rsidRPr="006E1497" w:rsidRDefault="009C294B">
      <w:pPr>
        <w:ind w:left="851" w:right="902"/>
        <w:jc w:val="both"/>
        <w:rPr>
          <w:rFonts w:ascii="Palatino Linotype" w:eastAsia="Palatino Linotype" w:hAnsi="Palatino Linotype" w:cs="Palatino Linotype"/>
          <w:i/>
          <w:color w:val="000000"/>
        </w:rPr>
      </w:pPr>
    </w:p>
    <w:p w14:paraId="3B68276E" w14:textId="77777777" w:rsidR="009C294B" w:rsidRPr="006E1497" w:rsidRDefault="009C294B">
      <w:pPr>
        <w:ind w:right="902"/>
        <w:jc w:val="both"/>
        <w:rPr>
          <w:rFonts w:ascii="Palatino Linotype" w:eastAsia="Palatino Linotype" w:hAnsi="Palatino Linotype" w:cs="Palatino Linotype"/>
          <w:i/>
          <w:color w:val="000000"/>
        </w:rPr>
      </w:pPr>
    </w:p>
    <w:p w14:paraId="25BD6EAB"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t xml:space="preserve">3. Interposición del recurso de revisión. </w:t>
      </w:r>
      <w:r w:rsidRPr="006E1497">
        <w:rPr>
          <w:rFonts w:ascii="Palatino Linotype" w:eastAsia="Palatino Linotype" w:hAnsi="Palatino Linotype" w:cs="Palatino Linotype"/>
        </w:rPr>
        <w:t xml:space="preserve">Inconforme el solicitante con la respuesta del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xml:space="preserve"> interpuso el recurso de revisión a través del SAIMEX en fecha dieciocho de marzo del dos mil veintidós, a través del cual expresó lo siguiente:</w:t>
      </w:r>
    </w:p>
    <w:p w14:paraId="6F4B6970" w14:textId="77777777" w:rsidR="009C294B" w:rsidRPr="006E1497" w:rsidRDefault="009C294B">
      <w:pPr>
        <w:spacing w:line="360" w:lineRule="auto"/>
        <w:jc w:val="both"/>
        <w:rPr>
          <w:rFonts w:ascii="Palatino Linotype" w:eastAsia="Palatino Linotype" w:hAnsi="Palatino Linotype" w:cs="Palatino Linotype"/>
        </w:rPr>
      </w:pPr>
    </w:p>
    <w:p w14:paraId="3B18ED4A" w14:textId="77777777" w:rsidR="009C294B" w:rsidRPr="006E1497" w:rsidRDefault="00F574A6">
      <w:pPr>
        <w:numPr>
          <w:ilvl w:val="0"/>
          <w:numId w:val="2"/>
        </w:numPr>
        <w:spacing w:line="360" w:lineRule="auto"/>
        <w:rPr>
          <w:rFonts w:ascii="Palatino Linotype" w:eastAsia="Palatino Linotype" w:hAnsi="Palatino Linotype" w:cs="Palatino Linotype"/>
          <w:b/>
        </w:rPr>
      </w:pPr>
      <w:r w:rsidRPr="006E1497">
        <w:rPr>
          <w:rFonts w:ascii="Palatino Linotype" w:eastAsia="Palatino Linotype" w:hAnsi="Palatino Linotype" w:cs="Palatino Linotype"/>
          <w:b/>
        </w:rPr>
        <w:t xml:space="preserve"> Acto impugnado.</w:t>
      </w:r>
    </w:p>
    <w:p w14:paraId="4654169C" w14:textId="77777777" w:rsidR="009C294B" w:rsidRPr="006E1497" w:rsidRDefault="00F574A6">
      <w:pPr>
        <w:spacing w:after="240"/>
        <w:ind w:left="851" w:right="900"/>
        <w:jc w:val="both"/>
        <w:rPr>
          <w:rFonts w:ascii="Palatino Linotype" w:eastAsia="Palatino Linotype" w:hAnsi="Palatino Linotype" w:cs="Palatino Linotype"/>
          <w:i/>
          <w:color w:val="000000"/>
          <w:sz w:val="22"/>
          <w:szCs w:val="22"/>
        </w:rPr>
      </w:pPr>
      <w:r w:rsidRPr="006E1497">
        <w:rPr>
          <w:rFonts w:ascii="Palatino Linotype" w:eastAsia="Palatino Linotype" w:hAnsi="Palatino Linotype" w:cs="Palatino Linotype"/>
          <w:i/>
          <w:color w:val="000000"/>
          <w:sz w:val="22"/>
          <w:szCs w:val="22"/>
        </w:rPr>
        <w:t xml:space="preserve">“Informe Justificado: La Responsable y titular de la unidad de transparencia del sujeto obligado, resume lo que el Servidor Público Habilitado de la Coordinación de Presentaciones y Seguridad Social, había dado en respuesta parcial en tiempo </w:t>
      </w:r>
      <w:r w:rsidRPr="006E1497">
        <w:rPr>
          <w:rFonts w:ascii="Palatino Linotype" w:eastAsia="Palatino Linotype" w:hAnsi="Palatino Linotype" w:cs="Palatino Linotype"/>
          <w:i/>
          <w:color w:val="000000"/>
          <w:sz w:val="22"/>
          <w:szCs w:val="22"/>
        </w:rPr>
        <w:lastRenderedPageBreak/>
        <w:t>y forma mediante oficio 207C0401210001S-UT-239/2022; sin duda alguna la respuesta es sesgada se apega a la solicitud de información solicitada parcialmente por el recurrente, no así la motivación y fundamentación legal en la que se omite el Artículo Cuarto Transitorio de la ley 1994, entre otros que sirvieron de base a mi solicitud inicial y que no se trata de ninguna ampliación de solicitud de información, si entran en comento a los artículos 62 y 87 de las leyes 1994 y 2002 respectivamente, así como el art 81 de la primera invocada. No tiene ninguna relación al pretender sustentar legalmente la respuesta parcial en el artículo 31 de la Ley 2002 por tratarse otro rubro distinto al que nos ocupa en la solicitud de información pública para el cálculo de las “pensiones topadas” toda vez que es el inherente al cálculo de “CUOTAS Y APORTACIONES” NO OBSTANTE QUE SIEMPRE EN LAS LEYESABROGADAS ANTERIORMENTE EXISTIO UNA SIMILITUD EN EL TOPE MAXIMO DE CUOTAS Y APORTACIONES RESPECTO AL TOPE MAXIMO EN EL CÁLCULO DE LAS PENSIONES; que en  este caso que nos ocupa no es así, en virtud de existir una diferencia por primera vez entre ambos rubros de 16% cuotas y aportaciones a un 12% de tope máximo de las pensiones, en razón de cuatro puntos porcentuales,.” (sic)</w:t>
      </w:r>
    </w:p>
    <w:p w14:paraId="22F439A3" w14:textId="77777777" w:rsidR="009C294B" w:rsidRPr="006E1497" w:rsidRDefault="00F574A6">
      <w:pPr>
        <w:numPr>
          <w:ilvl w:val="0"/>
          <w:numId w:val="5"/>
        </w:numPr>
        <w:spacing w:line="360" w:lineRule="auto"/>
        <w:jc w:val="both"/>
        <w:rPr>
          <w:rFonts w:ascii="Palatino Linotype" w:eastAsia="Palatino Linotype" w:hAnsi="Palatino Linotype" w:cs="Palatino Linotype"/>
          <w:b/>
        </w:rPr>
      </w:pPr>
      <w:r w:rsidRPr="006E1497">
        <w:rPr>
          <w:rFonts w:ascii="Palatino Linotype" w:eastAsia="Palatino Linotype" w:hAnsi="Palatino Linotype" w:cs="Palatino Linotype"/>
          <w:b/>
        </w:rPr>
        <w:t xml:space="preserve"> Motivos de inconformidad.</w:t>
      </w:r>
    </w:p>
    <w:p w14:paraId="0E53E953" w14:textId="77777777" w:rsidR="009C294B" w:rsidRPr="006E1497" w:rsidRDefault="00F574A6">
      <w:pPr>
        <w:spacing w:after="240"/>
        <w:ind w:left="851" w:right="900"/>
        <w:jc w:val="both"/>
        <w:rPr>
          <w:rFonts w:ascii="Palatino Linotype" w:eastAsia="Palatino Linotype" w:hAnsi="Palatino Linotype" w:cs="Palatino Linotype"/>
          <w:i/>
          <w:color w:val="000000"/>
          <w:sz w:val="22"/>
          <w:szCs w:val="22"/>
        </w:rPr>
      </w:pPr>
      <w:r w:rsidRPr="006E1497">
        <w:rPr>
          <w:rFonts w:ascii="Palatino Linotype" w:eastAsia="Palatino Linotype" w:hAnsi="Palatino Linotype" w:cs="Palatino Linotype"/>
          <w:i/>
          <w:color w:val="000000"/>
          <w:sz w:val="22"/>
          <w:szCs w:val="22"/>
        </w:rPr>
        <w:t xml:space="preserve">“Sin menoscabo de lo dispuesto por el Artículo 12 de la Ley de Transparencia y Acceso a la Información Pública del Estado de México y Municipios es pertinente precisar que en todas las instituciones de Seguridad Social en la que se incluye el ISSEMYM tienen dos o tres fuentes de información estadística pública con servidores públicos habilitados para tales efectos, en ese caso ya el SP habilitado de. La Coordinación de Prestaciones y Seguridad Social aporto parcialmente la información solicitada; faltaría el área operativa o sea el Servidor Público Habilitado de la Unidad de Informática complementara la información faltante; que se refiere al número de pensiones topadas en: 9, 9.5, 10 SMM y más derivados de la Ley 1994 </w:t>
      </w:r>
      <w:proofErr w:type="spellStart"/>
      <w:r w:rsidRPr="006E1497">
        <w:rPr>
          <w:rFonts w:ascii="Palatino Linotype" w:eastAsia="Palatino Linotype" w:hAnsi="Palatino Linotype" w:cs="Palatino Linotype"/>
          <w:i/>
          <w:color w:val="000000"/>
          <w:sz w:val="22"/>
          <w:szCs w:val="22"/>
        </w:rPr>
        <w:t>asrtículos</w:t>
      </w:r>
      <w:proofErr w:type="spellEnd"/>
      <w:r w:rsidRPr="006E1497">
        <w:rPr>
          <w:rFonts w:ascii="Palatino Linotype" w:eastAsia="Palatino Linotype" w:hAnsi="Palatino Linotype" w:cs="Palatino Linotype"/>
          <w:i/>
          <w:color w:val="000000"/>
          <w:sz w:val="22"/>
          <w:szCs w:val="22"/>
        </w:rPr>
        <w:t xml:space="preserve"> 62 y 81 y Cuarto Transitorio respectivamente. Por lo que refiere a la Ley 2002 artículo 87 y serían las de 12 SMM y más. Derivado de que por diversas controversias jurisdiccionales existen resoluciones definitivas (sentencias) de pensión topada hasta por 16SMM, advirtiendo que no se trata de </w:t>
      </w:r>
      <w:proofErr w:type="spellStart"/>
      <w:r w:rsidRPr="006E1497">
        <w:rPr>
          <w:rFonts w:ascii="Palatino Linotype" w:eastAsia="Palatino Linotype" w:hAnsi="Palatino Linotype" w:cs="Palatino Linotype"/>
          <w:i/>
          <w:color w:val="000000"/>
          <w:sz w:val="22"/>
          <w:szCs w:val="22"/>
        </w:rPr>
        <w:t>saberel</w:t>
      </w:r>
      <w:proofErr w:type="spellEnd"/>
      <w:r w:rsidRPr="006E1497">
        <w:rPr>
          <w:rFonts w:ascii="Palatino Linotype" w:eastAsia="Palatino Linotype" w:hAnsi="Palatino Linotype" w:cs="Palatino Linotype"/>
          <w:i/>
          <w:color w:val="000000"/>
          <w:sz w:val="22"/>
          <w:szCs w:val="22"/>
        </w:rPr>
        <w:t xml:space="preserve"> </w:t>
      </w:r>
      <w:proofErr w:type="spellStart"/>
      <w:r w:rsidRPr="006E1497">
        <w:rPr>
          <w:rFonts w:ascii="Palatino Linotype" w:eastAsia="Palatino Linotype" w:hAnsi="Palatino Linotype" w:cs="Palatino Linotype"/>
          <w:i/>
          <w:color w:val="000000"/>
          <w:sz w:val="22"/>
          <w:szCs w:val="22"/>
        </w:rPr>
        <w:t>numero</w:t>
      </w:r>
      <w:proofErr w:type="spellEnd"/>
      <w:r w:rsidRPr="006E1497">
        <w:rPr>
          <w:rFonts w:ascii="Palatino Linotype" w:eastAsia="Palatino Linotype" w:hAnsi="Palatino Linotype" w:cs="Palatino Linotype"/>
          <w:i/>
          <w:color w:val="000000"/>
          <w:sz w:val="22"/>
          <w:szCs w:val="22"/>
        </w:rPr>
        <w:t xml:space="preserve"> de juicios, es el número de beneficiarios con estas características que rebasan el tope máximo permisible de manera ordinaria por tratarse de casos extraordinarios emanados de sentencias judiciales, que el instituto de dar cumplimiento a cabalidad. Para mayor abundamiento son las áreas informáticas </w:t>
      </w:r>
      <w:r w:rsidRPr="006E1497">
        <w:rPr>
          <w:rFonts w:ascii="Palatino Linotype" w:eastAsia="Palatino Linotype" w:hAnsi="Palatino Linotype" w:cs="Palatino Linotype"/>
          <w:i/>
          <w:color w:val="000000"/>
          <w:sz w:val="22"/>
          <w:szCs w:val="22"/>
        </w:rPr>
        <w:lastRenderedPageBreak/>
        <w:t xml:space="preserve">sin las que operan las ALTAS de nuevas pensiones topadas y/o generales, así como el cálculo del incremento anual de las pensiones en sus diversas modalidades quienes actualizan la cuota diaria de los pensionados y pensionistas según lo dispuesto por el artículo 70, para el pago quincenal generando las cifras control de las mismas, y tienen el manejo y salvaguarda del padrón (nomina) de pensionados y pensionista. Reiterando que nos es lógico que de un  universo al 31 de Dic 2021 de 74,409 jubilados y pensionados existan solamente 2,394 pensiones topadas, cuando desde 1994 hasta 2022 a casi tres décadas, que existe esa modalidad de cálculo de pensión topada; derivado de las plazas que ostentan los servidores públicos en activo, que por el “sueldo sujeto de cotización” alcanzan ese beneficio de los tres poderes (Ejecutivo, Legislativo, Judicial), y demás Instituciones públicas sujetos de la seguridad social que administra el ISSEMYM en el estado y municipios; organismos autónomos, auxiliares, descentralizados y ayuntamientos.”(sic) </w:t>
      </w:r>
    </w:p>
    <w:p w14:paraId="442AD717" w14:textId="77777777" w:rsidR="009C294B" w:rsidRPr="006E1497" w:rsidRDefault="00F574A6">
      <w:pPr>
        <w:spacing w:before="240" w:line="360" w:lineRule="auto"/>
        <w:jc w:val="both"/>
        <w:rPr>
          <w:rFonts w:ascii="Palatino Linotype" w:eastAsia="Palatino Linotype" w:hAnsi="Palatino Linotype" w:cs="Palatino Linotype"/>
          <w:b/>
        </w:rPr>
      </w:pPr>
      <w:r w:rsidRPr="006E1497">
        <w:rPr>
          <w:rFonts w:ascii="Palatino Linotype" w:eastAsia="Palatino Linotype" w:hAnsi="Palatino Linotype" w:cs="Palatino Linotype"/>
          <w:b/>
        </w:rPr>
        <w:t xml:space="preserve">4. Turno. </w:t>
      </w:r>
      <w:r w:rsidRPr="006E149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6E1497">
        <w:rPr>
          <w:rFonts w:ascii="Palatino Linotype" w:eastAsia="Palatino Linotype" w:hAnsi="Palatino Linotype" w:cs="Palatino Linotype"/>
          <w:b/>
        </w:rPr>
        <w:t xml:space="preserve">04074/INFOEM/IP/RR/2022 </w:t>
      </w:r>
      <w:r w:rsidRPr="006E1497">
        <w:rPr>
          <w:rFonts w:ascii="Palatino Linotype" w:eastAsia="Palatino Linotype" w:hAnsi="Palatino Linotype" w:cs="Palatino Linotype"/>
        </w:rPr>
        <w:t>se turnó</w:t>
      </w:r>
      <w:r w:rsidRPr="006E1497">
        <w:rPr>
          <w:rFonts w:ascii="Palatino Linotype" w:eastAsia="Palatino Linotype" w:hAnsi="Palatino Linotype" w:cs="Palatino Linotype"/>
          <w:b/>
        </w:rPr>
        <w:t xml:space="preserve"> </w:t>
      </w:r>
      <w:r w:rsidRPr="006E1497">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6E1497">
        <w:rPr>
          <w:rFonts w:ascii="Palatino Linotype" w:eastAsia="Palatino Linotype" w:hAnsi="Palatino Linotype" w:cs="Palatino Linotype"/>
          <w:b/>
        </w:rPr>
        <w:t>Guadalupe Ramírez Peña,</w:t>
      </w:r>
      <w:r w:rsidRPr="006E1497">
        <w:rPr>
          <w:rFonts w:ascii="Palatino Linotype" w:eastAsia="Palatino Linotype" w:hAnsi="Palatino Linotype" w:cs="Palatino Linotype"/>
        </w:rPr>
        <w:t xml:space="preserve"> para su análisis, estudio, elaboración del proyecto y presentación ante el Pleno de este Instituto.</w:t>
      </w:r>
    </w:p>
    <w:p w14:paraId="3A8A6133" w14:textId="77777777" w:rsidR="009C294B" w:rsidRPr="006E1497" w:rsidRDefault="00F574A6">
      <w:pPr>
        <w:spacing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t xml:space="preserve">5. Admisión del recurso de revisión: </w:t>
      </w:r>
      <w:r w:rsidRPr="006E1497">
        <w:rPr>
          <w:rFonts w:ascii="Palatino Linotype" w:eastAsia="Palatino Linotype" w:hAnsi="Palatino Linotype" w:cs="Palatino Linotype"/>
        </w:rPr>
        <w:t xml:space="preserve">En fecha veinticuatro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9BFC52E" w14:textId="77777777" w:rsidR="009C294B" w:rsidRPr="006E1497" w:rsidRDefault="00F574A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6E1497">
        <w:rPr>
          <w:rFonts w:ascii="Palatino Linotype" w:eastAsia="Palatino Linotype" w:hAnsi="Palatino Linotype" w:cs="Palatino Linotype"/>
          <w:b/>
          <w:color w:val="000000"/>
        </w:rPr>
        <w:t>6. Manifestaciones</w:t>
      </w:r>
      <w:r w:rsidRPr="006E1497">
        <w:rPr>
          <w:rFonts w:ascii="Palatino Linotype" w:eastAsia="Palatino Linotype" w:hAnsi="Palatino Linotype" w:cs="Palatino Linotype"/>
          <w:color w:val="000000"/>
        </w:rPr>
        <w:t xml:space="preserve">: De las constancias que integran el expediente en que se actúa se advierte que </w:t>
      </w:r>
      <w:r w:rsidRPr="006E1497">
        <w:rPr>
          <w:rFonts w:ascii="Palatino Linotype" w:eastAsia="Palatino Linotype" w:hAnsi="Palatino Linotype" w:cs="Palatino Linotype"/>
        </w:rPr>
        <w:t>el</w:t>
      </w:r>
      <w:r w:rsidRPr="006E1497">
        <w:rPr>
          <w:rFonts w:ascii="Palatino Linotype" w:eastAsia="Palatino Linotype" w:hAnsi="Palatino Linotype" w:cs="Palatino Linotype"/>
          <w:color w:val="000000"/>
        </w:rPr>
        <w:t xml:space="preserve"> recurrente fue omis</w:t>
      </w:r>
      <w:r w:rsidRPr="006E1497">
        <w:rPr>
          <w:rFonts w:ascii="Palatino Linotype" w:eastAsia="Palatino Linotype" w:hAnsi="Palatino Linotype" w:cs="Palatino Linotype"/>
        </w:rPr>
        <w:t>o</w:t>
      </w:r>
      <w:r w:rsidRPr="006E1497">
        <w:rPr>
          <w:rFonts w:ascii="Palatino Linotype" w:eastAsia="Palatino Linotype" w:hAnsi="Palatino Linotype" w:cs="Palatino Linotype"/>
          <w:color w:val="000000"/>
        </w:rPr>
        <w:t xml:space="preserve"> en ofrecer pruebas y alegatos.</w:t>
      </w:r>
    </w:p>
    <w:p w14:paraId="7CFC65E0"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lastRenderedPageBreak/>
        <w:t xml:space="preserve">Por su parte, el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xml:space="preserve"> en fecha primero de abril del año dos mil veintidós, remite los siguientes archivos electrónicos:</w:t>
      </w:r>
    </w:p>
    <w:p w14:paraId="79DD3F5A" w14:textId="77777777" w:rsidR="009C294B" w:rsidRPr="006E1497" w:rsidRDefault="009C294B">
      <w:pPr>
        <w:widowControl w:val="0"/>
        <w:spacing w:line="360" w:lineRule="auto"/>
        <w:jc w:val="both"/>
        <w:rPr>
          <w:rFonts w:ascii="Palatino Linotype" w:eastAsia="Palatino Linotype" w:hAnsi="Palatino Linotype" w:cs="Palatino Linotype"/>
        </w:rPr>
      </w:pPr>
    </w:p>
    <w:p w14:paraId="37D45F00" w14:textId="77777777" w:rsidR="009C294B" w:rsidRPr="006E1497" w:rsidRDefault="00F574A6">
      <w:pPr>
        <w:numPr>
          <w:ilvl w:val="0"/>
          <w:numId w:val="1"/>
        </w:numPr>
        <w:spacing w:line="360" w:lineRule="auto"/>
        <w:jc w:val="both"/>
      </w:pPr>
      <w:r w:rsidRPr="006E1497">
        <w:rPr>
          <w:b/>
          <w:i/>
        </w:rPr>
        <w:t>RESPUESTA 144 IP.pdf</w:t>
      </w:r>
      <w:r w:rsidRPr="006E1497">
        <w:rPr>
          <w:rFonts w:ascii="Palatino Linotype" w:eastAsia="Palatino Linotype" w:hAnsi="Palatino Linotype" w:cs="Palatino Linotype"/>
        </w:rPr>
        <w:t xml:space="preserve"> en el cual consiste en el archivo remitido en respuesta por el Sujeto Obligado. </w:t>
      </w:r>
    </w:p>
    <w:p w14:paraId="694D4DDA" w14:textId="77777777" w:rsidR="009C294B" w:rsidRPr="006E1497" w:rsidRDefault="00F574A6">
      <w:pPr>
        <w:numPr>
          <w:ilvl w:val="0"/>
          <w:numId w:val="6"/>
        </w:num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i/>
        </w:rPr>
        <w:t>Acuse de solicitud 144 IP.pdf</w:t>
      </w:r>
      <w:r w:rsidRPr="006E1497">
        <w:rPr>
          <w:rFonts w:ascii="Palatino Linotype" w:eastAsia="Palatino Linotype" w:hAnsi="Palatino Linotype" w:cs="Palatino Linotype"/>
        </w:rPr>
        <w:t xml:space="preserve">, en el cual remite captura del acuse de solicitud. </w:t>
      </w:r>
    </w:p>
    <w:p w14:paraId="55B08FA4" w14:textId="77777777" w:rsidR="009C294B" w:rsidRPr="006E1497" w:rsidRDefault="009C294B">
      <w:pPr>
        <w:spacing w:line="360" w:lineRule="auto"/>
        <w:ind w:left="720"/>
        <w:jc w:val="both"/>
        <w:rPr>
          <w:rFonts w:ascii="Palatino Linotype" w:eastAsia="Palatino Linotype" w:hAnsi="Palatino Linotype" w:cs="Palatino Linotype"/>
        </w:rPr>
      </w:pPr>
    </w:p>
    <w:p w14:paraId="7183728C" w14:textId="77777777" w:rsidR="009C294B" w:rsidRPr="006E1497" w:rsidRDefault="00F574A6">
      <w:pPr>
        <w:numPr>
          <w:ilvl w:val="0"/>
          <w:numId w:val="6"/>
        </w:num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i/>
        </w:rPr>
        <w:t xml:space="preserve">Acuse del recurso de revisión 04074 IP-RR.pdf, </w:t>
      </w:r>
      <w:r w:rsidRPr="006E1497">
        <w:rPr>
          <w:rFonts w:ascii="Palatino Linotype" w:eastAsia="Palatino Linotype" w:hAnsi="Palatino Linotype" w:cs="Palatino Linotype"/>
        </w:rPr>
        <w:t xml:space="preserve">en el cual se remite captura de pantalla del Acuse del recurso de revisión de mérito. </w:t>
      </w:r>
    </w:p>
    <w:p w14:paraId="5ACE5B3F" w14:textId="77777777" w:rsidR="009C294B" w:rsidRPr="006E1497" w:rsidRDefault="009C294B">
      <w:pPr>
        <w:spacing w:line="360" w:lineRule="auto"/>
        <w:ind w:left="720"/>
        <w:jc w:val="both"/>
        <w:rPr>
          <w:rFonts w:ascii="Palatino Linotype" w:eastAsia="Palatino Linotype" w:hAnsi="Palatino Linotype" w:cs="Palatino Linotype"/>
        </w:rPr>
      </w:pPr>
    </w:p>
    <w:p w14:paraId="398F596D" w14:textId="77777777" w:rsidR="009C294B" w:rsidRPr="006E1497" w:rsidRDefault="00F574A6">
      <w:pPr>
        <w:numPr>
          <w:ilvl w:val="0"/>
          <w:numId w:val="6"/>
        </w:num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i/>
        </w:rPr>
        <w:t>INFORME JUSTIFICADO 144 IP 2022.pdf,</w:t>
      </w:r>
      <w:r w:rsidRPr="006E1497">
        <w:rPr>
          <w:rFonts w:ascii="Palatino Linotype" w:eastAsia="Palatino Linotype" w:hAnsi="Palatino Linotype" w:cs="Palatino Linotype"/>
        </w:rPr>
        <w:t xml:space="preserve"> el cual contiene el informe justificado del Sujeto Obligado a través del cual ratifica en términos generales su respuesta inicial y señala que las razones o motivos de inconformidad que señala el recurrente son inoperantes ya que no versan sobre la solicitud inicial, ni sobre la respuesta que la Unidad de Transparencia, tal como se advierte a continuación: </w:t>
      </w:r>
    </w:p>
    <w:p w14:paraId="4B6686C2"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noProof/>
          <w:lang w:val="es-MX" w:eastAsia="es-MX"/>
        </w:rPr>
        <w:drawing>
          <wp:inline distT="114300" distB="114300" distL="114300" distR="114300" wp14:anchorId="2500C479" wp14:editId="297E1B58">
            <wp:extent cx="5612130" cy="140970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1409700"/>
                    </a:xfrm>
                    <a:prstGeom prst="rect">
                      <a:avLst/>
                    </a:prstGeom>
                    <a:ln/>
                  </pic:spPr>
                </pic:pic>
              </a:graphicData>
            </a:graphic>
          </wp:inline>
        </w:drawing>
      </w:r>
    </w:p>
    <w:p w14:paraId="374CAA5A"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noProof/>
          <w:lang w:val="es-MX" w:eastAsia="es-MX"/>
        </w:rPr>
        <w:lastRenderedPageBreak/>
        <w:drawing>
          <wp:inline distT="114300" distB="114300" distL="114300" distR="114300" wp14:anchorId="65EBBA16" wp14:editId="1F4EC3E6">
            <wp:extent cx="5438775" cy="6515100"/>
            <wp:effectExtent l="0" t="0" r="0" b="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438775" cy="6515100"/>
                    </a:xfrm>
                    <a:prstGeom prst="rect">
                      <a:avLst/>
                    </a:prstGeom>
                    <a:ln/>
                  </pic:spPr>
                </pic:pic>
              </a:graphicData>
            </a:graphic>
          </wp:inline>
        </w:drawing>
      </w:r>
    </w:p>
    <w:p w14:paraId="13300B6D"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noProof/>
          <w:lang w:val="es-MX" w:eastAsia="es-MX"/>
        </w:rPr>
        <w:lastRenderedPageBreak/>
        <w:drawing>
          <wp:inline distT="114300" distB="114300" distL="114300" distR="114300" wp14:anchorId="2BBE033B" wp14:editId="338EBC83">
            <wp:extent cx="5467350" cy="6686550"/>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67350" cy="6686550"/>
                    </a:xfrm>
                    <a:prstGeom prst="rect">
                      <a:avLst/>
                    </a:prstGeom>
                    <a:ln/>
                  </pic:spPr>
                </pic:pic>
              </a:graphicData>
            </a:graphic>
          </wp:inline>
        </w:drawing>
      </w:r>
    </w:p>
    <w:p w14:paraId="35330813"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lastRenderedPageBreak/>
        <w:t xml:space="preserve">7. Acuerdo de Ampliación de Plazo. </w:t>
      </w:r>
      <w:r w:rsidRPr="006E1497">
        <w:rPr>
          <w:rFonts w:ascii="Palatino Linotype" w:eastAsia="Palatino Linotype" w:hAnsi="Palatino Linotype" w:cs="Palatino Linotype"/>
        </w:rPr>
        <w:t xml:space="preserve">En fecha </w:t>
      </w:r>
      <w:r w:rsidRPr="006E1497">
        <w:rPr>
          <w:rFonts w:ascii="Palatino Linotype" w:eastAsia="Palatino Linotype" w:hAnsi="Palatino Linotype" w:cs="Palatino Linotype"/>
          <w:b/>
        </w:rPr>
        <w:t>trece de mayo del año dos mil veintidós</w:t>
      </w:r>
      <w:r w:rsidRPr="006E149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1C99294"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D08EACB" w14:textId="77777777" w:rsidR="009C294B" w:rsidRPr="006E1497" w:rsidRDefault="009C294B">
      <w:pPr>
        <w:spacing w:line="360" w:lineRule="auto"/>
        <w:jc w:val="both"/>
        <w:rPr>
          <w:rFonts w:ascii="Palatino Linotype" w:eastAsia="Palatino Linotype" w:hAnsi="Palatino Linotype" w:cs="Palatino Linotype"/>
        </w:rPr>
      </w:pPr>
    </w:p>
    <w:p w14:paraId="4A243BF9"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B1DA236" w14:textId="77777777" w:rsidR="009C294B" w:rsidRPr="006E1497" w:rsidRDefault="009C294B">
      <w:pPr>
        <w:spacing w:line="360" w:lineRule="auto"/>
        <w:jc w:val="both"/>
        <w:rPr>
          <w:rFonts w:ascii="Palatino Linotype" w:eastAsia="Palatino Linotype" w:hAnsi="Palatino Linotype" w:cs="Palatino Linotype"/>
        </w:rPr>
      </w:pPr>
    </w:p>
    <w:p w14:paraId="6AE4DAE4"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AE3E9B" w14:textId="77777777" w:rsidR="009C294B" w:rsidRPr="006E1497" w:rsidRDefault="009C294B">
      <w:pPr>
        <w:spacing w:line="360" w:lineRule="auto"/>
        <w:jc w:val="both"/>
        <w:rPr>
          <w:rFonts w:ascii="Palatino Linotype" w:eastAsia="Palatino Linotype" w:hAnsi="Palatino Linotype" w:cs="Palatino Linotype"/>
        </w:rPr>
      </w:pPr>
    </w:p>
    <w:p w14:paraId="7FA4C228"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EB9706A" w14:textId="77777777" w:rsidR="009C294B" w:rsidRPr="006E1497" w:rsidRDefault="009C294B">
      <w:pPr>
        <w:spacing w:line="360" w:lineRule="auto"/>
        <w:jc w:val="both"/>
        <w:rPr>
          <w:rFonts w:ascii="Palatino Linotype" w:eastAsia="Palatino Linotype" w:hAnsi="Palatino Linotype" w:cs="Palatino Linotype"/>
        </w:rPr>
      </w:pPr>
    </w:p>
    <w:p w14:paraId="5B1A8453" w14:textId="77777777" w:rsidR="009C294B" w:rsidRPr="006E1497" w:rsidRDefault="00F574A6">
      <w:pPr>
        <w:spacing w:line="360" w:lineRule="auto"/>
        <w:jc w:val="both"/>
        <w:rPr>
          <w:rFonts w:ascii="Palatino Linotype" w:eastAsia="Palatino Linotype" w:hAnsi="Palatino Linotype" w:cs="Palatino Linotype"/>
          <w:strike/>
          <w:color w:val="FF0000"/>
        </w:rPr>
      </w:pPr>
      <w:r w:rsidRPr="006E149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3533AB2" w14:textId="77777777" w:rsidR="009C294B" w:rsidRPr="006E1497" w:rsidRDefault="009C294B">
      <w:pPr>
        <w:spacing w:line="360" w:lineRule="auto"/>
        <w:jc w:val="both"/>
        <w:rPr>
          <w:rFonts w:ascii="Palatino Linotype" w:eastAsia="Palatino Linotype" w:hAnsi="Palatino Linotype" w:cs="Palatino Linotype"/>
        </w:rPr>
      </w:pPr>
    </w:p>
    <w:p w14:paraId="4AFF90A3" w14:textId="77777777" w:rsidR="009C294B" w:rsidRPr="006E1497" w:rsidRDefault="00F574A6">
      <w:pPr>
        <w:numPr>
          <w:ilvl w:val="0"/>
          <w:numId w:val="7"/>
        </w:num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95C8C1D" w14:textId="77777777" w:rsidR="009C294B" w:rsidRPr="006E1497" w:rsidRDefault="009C294B">
      <w:pPr>
        <w:spacing w:line="360" w:lineRule="auto"/>
        <w:ind w:left="927"/>
        <w:jc w:val="both"/>
        <w:rPr>
          <w:rFonts w:ascii="Palatino Linotype" w:eastAsia="Palatino Linotype" w:hAnsi="Palatino Linotype" w:cs="Palatino Linotype"/>
        </w:rPr>
      </w:pPr>
    </w:p>
    <w:p w14:paraId="7E7818A3" w14:textId="77777777" w:rsidR="009C294B" w:rsidRPr="006E1497" w:rsidRDefault="00F574A6">
      <w:pPr>
        <w:numPr>
          <w:ilvl w:val="0"/>
          <w:numId w:val="7"/>
        </w:num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Actividad Procesal del interesado. Acciones u omisiones del interesado.</w:t>
      </w:r>
    </w:p>
    <w:p w14:paraId="605618D4" w14:textId="77777777" w:rsidR="009C294B" w:rsidRPr="006E1497" w:rsidRDefault="009C294B">
      <w:pPr>
        <w:spacing w:line="360" w:lineRule="auto"/>
        <w:jc w:val="both"/>
        <w:rPr>
          <w:rFonts w:ascii="Palatino Linotype" w:eastAsia="Palatino Linotype" w:hAnsi="Palatino Linotype" w:cs="Palatino Linotype"/>
        </w:rPr>
      </w:pPr>
    </w:p>
    <w:p w14:paraId="62036158" w14:textId="77777777" w:rsidR="009C294B" w:rsidRPr="006E1497" w:rsidRDefault="00F574A6">
      <w:pPr>
        <w:numPr>
          <w:ilvl w:val="0"/>
          <w:numId w:val="7"/>
        </w:num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Conducta de la Autoridad: Las Acciones u omisiones realizadas en el procedimiento. Así como si la autoridad actuó con la debida diligencia.</w:t>
      </w:r>
    </w:p>
    <w:p w14:paraId="36BA4F20" w14:textId="77777777" w:rsidR="009C294B" w:rsidRPr="006E1497" w:rsidRDefault="009C294B">
      <w:pPr>
        <w:spacing w:line="360" w:lineRule="auto"/>
        <w:ind w:left="708"/>
        <w:rPr>
          <w:rFonts w:ascii="Palatino Linotype" w:eastAsia="Palatino Linotype" w:hAnsi="Palatino Linotype" w:cs="Palatino Linotype"/>
        </w:rPr>
      </w:pPr>
    </w:p>
    <w:p w14:paraId="247A5685" w14:textId="77777777" w:rsidR="009C294B" w:rsidRPr="006E1497" w:rsidRDefault="00F574A6">
      <w:pPr>
        <w:spacing w:line="360" w:lineRule="auto"/>
        <w:ind w:left="567"/>
        <w:jc w:val="both"/>
        <w:rPr>
          <w:rFonts w:ascii="Palatino Linotype" w:eastAsia="Palatino Linotype" w:hAnsi="Palatino Linotype" w:cs="Palatino Linotype"/>
        </w:rPr>
      </w:pPr>
      <w:r w:rsidRPr="006E1497">
        <w:rPr>
          <w:rFonts w:ascii="Palatino Linotype" w:eastAsia="Palatino Linotype" w:hAnsi="Palatino Linotype" w:cs="Palatino Linotype"/>
        </w:rPr>
        <w:t>d) La afectación generada en la situación jurídica de la persona involucrada en el proceso: Violación a sus derechos humanos.</w:t>
      </w:r>
    </w:p>
    <w:p w14:paraId="0455E245" w14:textId="77777777" w:rsidR="009C294B" w:rsidRPr="006E1497" w:rsidRDefault="009C294B">
      <w:pPr>
        <w:spacing w:line="360" w:lineRule="auto"/>
        <w:jc w:val="both"/>
        <w:rPr>
          <w:rFonts w:ascii="Palatino Linotype" w:eastAsia="Palatino Linotype" w:hAnsi="Palatino Linotype" w:cs="Palatino Linotype"/>
        </w:rPr>
      </w:pPr>
    </w:p>
    <w:p w14:paraId="6DD61C26"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02C8A7" w14:textId="77777777" w:rsidR="009C294B" w:rsidRPr="006E1497" w:rsidRDefault="009C294B">
      <w:pPr>
        <w:spacing w:line="360" w:lineRule="auto"/>
        <w:jc w:val="both"/>
        <w:rPr>
          <w:rFonts w:ascii="Palatino Linotype" w:eastAsia="Palatino Linotype" w:hAnsi="Palatino Linotype" w:cs="Palatino Linotype"/>
        </w:rPr>
      </w:pPr>
    </w:p>
    <w:p w14:paraId="67D88967" w14:textId="77777777" w:rsidR="009C294B" w:rsidRPr="006E1497" w:rsidRDefault="00F574A6">
      <w:pPr>
        <w:spacing w:line="360" w:lineRule="auto"/>
        <w:jc w:val="both"/>
        <w:rPr>
          <w:rFonts w:ascii="Palatino Linotype" w:eastAsia="Palatino Linotype" w:hAnsi="Palatino Linotype" w:cs="Palatino Linotype"/>
          <w:b/>
        </w:rPr>
      </w:pPr>
      <w:r w:rsidRPr="006E149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E149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E1497">
        <w:rPr>
          <w:rFonts w:ascii="Palatino Linotype" w:eastAsia="Palatino Linotype" w:hAnsi="Palatino Linotype" w:cs="Palatino Linotype"/>
        </w:rPr>
        <w:t>, visible en la Gaceta del Seminario Judicial de la Federación con el registro digital 205635.</w:t>
      </w:r>
    </w:p>
    <w:p w14:paraId="791C3358" w14:textId="77777777" w:rsidR="009C294B" w:rsidRPr="006E1497" w:rsidRDefault="009C294B">
      <w:pPr>
        <w:spacing w:line="360" w:lineRule="auto"/>
        <w:jc w:val="both"/>
        <w:rPr>
          <w:rFonts w:ascii="Palatino Linotype" w:eastAsia="Palatino Linotype" w:hAnsi="Palatino Linotype" w:cs="Palatino Linotype"/>
        </w:rPr>
      </w:pPr>
    </w:p>
    <w:p w14:paraId="49EAABA2"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6E1497">
        <w:rPr>
          <w:rFonts w:ascii="Palatino Linotype" w:eastAsia="Palatino Linotype" w:hAnsi="Palatino Linotype" w:cs="Palatino Linotype"/>
        </w:rPr>
        <w:lastRenderedPageBreak/>
        <w:t>los términos legales previamente establecidos por la Ley, por tratarse de causas de fuerza mayor.</w:t>
      </w:r>
    </w:p>
    <w:p w14:paraId="4AC738A6" w14:textId="77777777" w:rsidR="009C294B" w:rsidRPr="006E1497" w:rsidRDefault="009C294B">
      <w:pPr>
        <w:spacing w:line="360" w:lineRule="auto"/>
        <w:jc w:val="both"/>
        <w:rPr>
          <w:rFonts w:ascii="Palatino Linotype" w:eastAsia="Palatino Linotype" w:hAnsi="Palatino Linotype" w:cs="Palatino Linotype"/>
        </w:rPr>
      </w:pPr>
    </w:p>
    <w:p w14:paraId="57D50721"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27F5A20" w14:textId="77777777" w:rsidR="009C294B" w:rsidRPr="006E1497" w:rsidRDefault="009C294B">
      <w:pPr>
        <w:spacing w:line="360" w:lineRule="auto"/>
        <w:jc w:val="both"/>
        <w:rPr>
          <w:rFonts w:ascii="Palatino Linotype" w:eastAsia="Palatino Linotype" w:hAnsi="Palatino Linotype" w:cs="Palatino Linotype"/>
        </w:rPr>
      </w:pPr>
    </w:p>
    <w:p w14:paraId="0AB14F00"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 </w:t>
      </w:r>
      <w:r w:rsidRPr="006E1497">
        <w:rPr>
          <w:rFonts w:ascii="Palatino Linotype" w:eastAsia="Palatino Linotype" w:hAnsi="Palatino Linotype" w:cs="Palatino Linotype"/>
          <w:i/>
        </w:rPr>
        <w:t>“PLAZO RAZONABLE PARA RESOLVER. DIMENSIÓN Y EFECTOS DE ESTE CONCEPTO CUANDO SE ADUCE EXCESIVA CARGA DE TRABAJO.”</w:t>
      </w:r>
      <w:r w:rsidRPr="006E1497">
        <w:rPr>
          <w:rFonts w:ascii="Palatino Linotype" w:eastAsia="Palatino Linotype" w:hAnsi="Palatino Linotype" w:cs="Palatino Linotype"/>
        </w:rPr>
        <w:t xml:space="preserve"> consultable en el Seminario Judicial de la Federación y su gaceta, con el registro digital 2002351.</w:t>
      </w:r>
    </w:p>
    <w:p w14:paraId="4F307084" w14:textId="77777777" w:rsidR="009C294B" w:rsidRPr="006E1497" w:rsidRDefault="009C294B">
      <w:pPr>
        <w:spacing w:line="360" w:lineRule="auto"/>
        <w:jc w:val="both"/>
        <w:rPr>
          <w:rFonts w:ascii="Palatino Linotype" w:eastAsia="Palatino Linotype" w:hAnsi="Palatino Linotype" w:cs="Palatino Linotype"/>
          <w:b/>
        </w:rPr>
      </w:pPr>
    </w:p>
    <w:p w14:paraId="105956AA"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i/>
        </w:rPr>
        <w:t>“PLAZO RAZONABLE PARA RESOLVER. CONCEPTO Y ELEMENTOS QUE LO INTEGRAN A LA LUZ DEL DERECHO INTERNACIONAL DE LOS DERECHOS HUMANOS.”</w:t>
      </w:r>
      <w:r w:rsidRPr="006E1497">
        <w:rPr>
          <w:rFonts w:ascii="Palatino Linotype" w:eastAsia="Palatino Linotype" w:hAnsi="Palatino Linotype" w:cs="Palatino Linotype"/>
        </w:rPr>
        <w:t>, visible en el Seminario Judicial de la Federación y su gaceta, con el registro digital 2002350.</w:t>
      </w:r>
    </w:p>
    <w:p w14:paraId="4E5E8203" w14:textId="77777777" w:rsidR="009C294B" w:rsidRPr="006E1497" w:rsidRDefault="009C294B">
      <w:pPr>
        <w:spacing w:line="360" w:lineRule="auto"/>
        <w:jc w:val="both"/>
        <w:rPr>
          <w:rFonts w:ascii="Palatino Linotype" w:eastAsia="Palatino Linotype" w:hAnsi="Palatino Linotype" w:cs="Palatino Linotype"/>
        </w:rPr>
      </w:pPr>
    </w:p>
    <w:p w14:paraId="1AAE8728"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483C9BF" w14:textId="77777777" w:rsidR="009C294B" w:rsidRPr="006E1497" w:rsidRDefault="009C294B">
      <w:pPr>
        <w:spacing w:line="360" w:lineRule="auto"/>
        <w:jc w:val="both"/>
        <w:rPr>
          <w:rFonts w:ascii="Palatino Linotype" w:eastAsia="Palatino Linotype" w:hAnsi="Palatino Linotype" w:cs="Palatino Linotype"/>
        </w:rPr>
      </w:pPr>
    </w:p>
    <w:p w14:paraId="3EDF716A" w14:textId="77777777" w:rsidR="009C294B" w:rsidRPr="006E1497" w:rsidRDefault="00F574A6">
      <w:pPr>
        <w:widowControl w:val="0"/>
        <w:spacing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t>8.- Cierre de Instrucción</w:t>
      </w:r>
      <w:r w:rsidRPr="006E1497">
        <w:rPr>
          <w:rFonts w:ascii="Palatino Linotype" w:eastAsia="Palatino Linotype" w:hAnsi="Palatino Linotype" w:cs="Palatino Linotype"/>
        </w:rPr>
        <w:t xml:space="preserve">. Con fecha diez de junio de dos mil veintidós, al no existir diligencias pendientes por desahogar, se emitió el acuerdo por medio del cual se declaró cerrada la instrucción y se determinó pasar el expediente a resolución, en </w:t>
      </w:r>
      <w:r w:rsidRPr="006E1497">
        <w:rPr>
          <w:rFonts w:ascii="Palatino Linotype" w:eastAsia="Palatino Linotype" w:hAnsi="Palatino Linotype" w:cs="Palatino Linotype"/>
        </w:rPr>
        <w:lastRenderedPageBreak/>
        <w:t xml:space="preserve">términos de los dispuesto en los artículos 185, fracciones VI y VIII, de la Ley de Transparencia y Acceso a la Información Pública del Estado de México y Municipios. </w:t>
      </w:r>
    </w:p>
    <w:p w14:paraId="1D0EBEDC" w14:textId="77777777" w:rsidR="009C294B" w:rsidRPr="006E1497" w:rsidRDefault="00F574A6">
      <w:pPr>
        <w:widowControl w:val="0"/>
        <w:spacing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9BCBF1C" w14:textId="77777777" w:rsidR="009C294B" w:rsidRPr="006E1497" w:rsidRDefault="00F574A6">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sidRPr="006E1497">
        <w:rPr>
          <w:rFonts w:ascii="Palatino Linotype" w:eastAsia="Palatino Linotype" w:hAnsi="Palatino Linotype" w:cs="Palatino Linotype"/>
          <w:b/>
          <w:color w:val="000000"/>
        </w:rPr>
        <w:t>II</w:t>
      </w:r>
      <w:r w:rsidRPr="006E1497">
        <w:rPr>
          <w:rFonts w:ascii="Palatino Linotype" w:eastAsia="Palatino Linotype" w:hAnsi="Palatino Linotype" w:cs="Palatino Linotype"/>
          <w:b/>
          <w:color w:val="000000"/>
        </w:rPr>
        <w:tab/>
        <w:t>C O N S I D E R A N D O:</w:t>
      </w:r>
    </w:p>
    <w:p w14:paraId="38FC7010"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t xml:space="preserve">Primero. Competencia. </w:t>
      </w:r>
      <w:r w:rsidRPr="006E1497">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763D5F3" w14:textId="77777777" w:rsidR="009C294B" w:rsidRPr="006E1497" w:rsidRDefault="00F574A6">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6E1497">
        <w:rPr>
          <w:rFonts w:ascii="Palatino Linotype" w:eastAsia="Palatino Linotype" w:hAnsi="Palatino Linotype" w:cs="Palatino Linotype"/>
          <w:b/>
        </w:rPr>
        <w:t>Segundo. Oportunidad y Procedibilidad del Recurso de Revisión</w:t>
      </w:r>
      <w:r w:rsidRPr="006E1497">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6E1497">
        <w:rPr>
          <w:rFonts w:ascii="Palatino Linotype" w:eastAsia="Palatino Linotype" w:hAnsi="Palatino Linotype" w:cs="Palatino Linotype"/>
        </w:rPr>
        <w:lastRenderedPageBreak/>
        <w:t>artículos 178 y 180 de la Ley de Transparencia y Acceso a la Información Pública del Estado de México y Municipios.</w:t>
      </w:r>
    </w:p>
    <w:p w14:paraId="5C13B7B2"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E1497">
        <w:rPr>
          <w:rFonts w:ascii="Palatino Linotype" w:eastAsia="Palatino Linotype" w:hAnsi="Palatino Linotype" w:cs="Palatino Linotype"/>
          <w:b/>
        </w:rPr>
        <w:t xml:space="preserve">Sujeto Obligado </w:t>
      </w:r>
      <w:r w:rsidRPr="006E1497">
        <w:rPr>
          <w:rFonts w:ascii="Palatino Linotype" w:eastAsia="Palatino Linotype" w:hAnsi="Palatino Linotype" w:cs="Palatino Linotype"/>
        </w:rPr>
        <w:t xml:space="preserve">remitió la respuesta a la solicitud de información el día </w:t>
      </w:r>
      <w:r w:rsidRPr="006E1497">
        <w:rPr>
          <w:rFonts w:ascii="Palatino Linotype" w:eastAsia="Palatino Linotype" w:hAnsi="Palatino Linotype" w:cs="Palatino Linotype"/>
          <w:b/>
        </w:rPr>
        <w:t>diez de marzo de</w:t>
      </w:r>
      <w:r w:rsidRPr="006E1497">
        <w:rPr>
          <w:rFonts w:ascii="Palatino Linotype" w:eastAsia="Palatino Linotype" w:hAnsi="Palatino Linotype" w:cs="Palatino Linotype"/>
        </w:rPr>
        <w:t xml:space="preserve"> </w:t>
      </w:r>
      <w:r w:rsidRPr="006E1497">
        <w:rPr>
          <w:rFonts w:ascii="Palatino Linotype" w:eastAsia="Palatino Linotype" w:hAnsi="Palatino Linotype" w:cs="Palatino Linotype"/>
          <w:b/>
        </w:rPr>
        <w:t xml:space="preserve">dos mil veintidós, </w:t>
      </w:r>
      <w:r w:rsidRPr="006E1497">
        <w:rPr>
          <w:rFonts w:ascii="Palatino Linotype" w:eastAsia="Palatino Linotype" w:hAnsi="Palatino Linotype" w:cs="Palatino Linotype"/>
        </w:rPr>
        <w:t xml:space="preserve">mientras que el recurso de revisión interpuesto por la parte </w:t>
      </w:r>
      <w:r w:rsidRPr="006E1497">
        <w:rPr>
          <w:rFonts w:ascii="Palatino Linotype" w:eastAsia="Palatino Linotype" w:hAnsi="Palatino Linotype" w:cs="Palatino Linotype"/>
          <w:b/>
        </w:rPr>
        <w:t>Recurrente</w:t>
      </w:r>
      <w:r w:rsidRPr="006E1497">
        <w:rPr>
          <w:rFonts w:ascii="Palatino Linotype" w:eastAsia="Palatino Linotype" w:hAnsi="Palatino Linotype" w:cs="Palatino Linotype"/>
        </w:rPr>
        <w:t>, se tuvo por presentado el día dieciocho</w:t>
      </w:r>
      <w:r w:rsidRPr="006E1497">
        <w:rPr>
          <w:rFonts w:ascii="Palatino Linotype" w:eastAsia="Palatino Linotype" w:hAnsi="Palatino Linotype" w:cs="Palatino Linotype"/>
          <w:b/>
        </w:rPr>
        <w:t xml:space="preserve"> de marzo de dos mil veintidós</w:t>
      </w:r>
      <w:r w:rsidRPr="006E1497">
        <w:rPr>
          <w:rFonts w:ascii="Palatino Linotype" w:eastAsia="Palatino Linotype" w:hAnsi="Palatino Linotype" w:cs="Palatino Linotype"/>
        </w:rPr>
        <w:t>, esto es, al sexto día hábil posterior en que tuvo conocimiento de la respuesta impugnada.</w:t>
      </w:r>
    </w:p>
    <w:p w14:paraId="7B7B217F" w14:textId="77777777" w:rsidR="009C294B" w:rsidRPr="006E1497" w:rsidRDefault="00F574A6">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6E1497">
        <w:rPr>
          <w:rFonts w:ascii="Palatino Linotype" w:eastAsia="Palatino Linotype" w:hAnsi="Palatino Linotype" w:cs="Palatino Linotype"/>
        </w:rPr>
        <w:t xml:space="preserve">En este sentido, al considerar la fecha en que se formuló la solicitud y la fecha en que respondió a ésta el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DC0EC50"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D36978C" w14:textId="77777777" w:rsidR="009C294B" w:rsidRPr="006E1497" w:rsidRDefault="00F574A6">
      <w:pPr>
        <w:spacing w:before="240" w:after="240" w:line="360" w:lineRule="auto"/>
        <w:jc w:val="both"/>
      </w:pPr>
      <w:r w:rsidRPr="006E1497">
        <w:rPr>
          <w:rFonts w:ascii="Palatino Linotype" w:eastAsia="Palatino Linotype" w:hAnsi="Palatino Linotype" w:cs="Palatino Linotype"/>
          <w:b/>
        </w:rPr>
        <w:t>Tercero. Análisis de las causales de improcedencia y sobreseimiento del recurso de revisión.</w:t>
      </w:r>
      <w:r w:rsidRPr="006E1497">
        <w:t xml:space="preserve"> </w:t>
      </w:r>
      <w:r w:rsidRPr="006E1497">
        <w:rPr>
          <w:rFonts w:ascii="Palatino Linotype" w:eastAsia="Palatino Linotype" w:hAnsi="Palatino Linotype" w:cs="Palatino Linotype"/>
        </w:rPr>
        <w:t xml:space="preserve">Es menester resaltar que en el procedimiento de acceso a la información </w:t>
      </w:r>
      <w:r w:rsidRPr="006E1497">
        <w:rPr>
          <w:rFonts w:ascii="Palatino Linotype" w:eastAsia="Palatino Linotype" w:hAnsi="Palatino Linotype" w:cs="Palatino Linotype"/>
        </w:rPr>
        <w:lastRenderedPageBreak/>
        <w:t>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60B193" w14:textId="77777777" w:rsidR="009C294B" w:rsidRPr="006E1497" w:rsidRDefault="00F574A6">
      <w:pPr>
        <w:spacing w:line="360" w:lineRule="auto"/>
        <w:jc w:val="both"/>
      </w:pPr>
      <w:r w:rsidRPr="006E1497">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72891477" w14:textId="77777777" w:rsidR="009C294B" w:rsidRPr="006E1497" w:rsidRDefault="009C294B"/>
    <w:p w14:paraId="0FE2FEB0" w14:textId="77777777" w:rsidR="009C294B" w:rsidRPr="006E1497" w:rsidRDefault="00F574A6">
      <w:pPr>
        <w:spacing w:line="360" w:lineRule="auto"/>
        <w:ind w:right="51"/>
        <w:jc w:val="both"/>
        <w:rPr>
          <w:rFonts w:ascii="Palatino Linotype" w:eastAsia="Palatino Linotype" w:hAnsi="Palatino Linotype" w:cs="Palatino Linotype"/>
        </w:rPr>
      </w:pPr>
      <w:r w:rsidRPr="006E1497">
        <w:rPr>
          <w:rFonts w:ascii="Palatino Linotype" w:eastAsia="Palatino Linotype" w:hAnsi="Palatino Linotype" w:cs="Palatino Linotype"/>
        </w:rPr>
        <w:t>De manera preliminar en el caso concreto conviene analizar si se actualiza alguna de las causales de sobreseimiento del recurso de revisión.</w:t>
      </w:r>
    </w:p>
    <w:p w14:paraId="12515752" w14:textId="77777777" w:rsidR="009C294B" w:rsidRPr="006E1497" w:rsidRDefault="009C294B">
      <w:pPr>
        <w:spacing w:line="360" w:lineRule="auto"/>
        <w:ind w:right="51"/>
        <w:jc w:val="both"/>
        <w:rPr>
          <w:rFonts w:ascii="Palatino Linotype" w:eastAsia="Palatino Linotype" w:hAnsi="Palatino Linotype" w:cs="Palatino Linotype"/>
        </w:rPr>
      </w:pPr>
    </w:p>
    <w:p w14:paraId="558F8CCD" w14:textId="77777777" w:rsidR="009C294B" w:rsidRPr="006E1497" w:rsidRDefault="00F574A6">
      <w:pPr>
        <w:spacing w:line="360" w:lineRule="auto"/>
        <w:ind w:right="51"/>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Así, del análisis de la solicitud de información motivo del recurso de revisión que ahora se resuelve, se advierte que la parte solicitante requirió al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xml:space="preserve"> le proporcione información consistente en lo siguiente:</w:t>
      </w:r>
    </w:p>
    <w:p w14:paraId="7F196E29" w14:textId="77777777" w:rsidR="009C294B" w:rsidRPr="006E1497" w:rsidRDefault="00F574A6">
      <w:pPr>
        <w:spacing w:before="120" w:after="120"/>
        <w:ind w:left="851" w:right="900"/>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i/>
          <w:sz w:val="22"/>
          <w:szCs w:val="22"/>
        </w:rPr>
        <w:lastRenderedPageBreak/>
        <w:t xml:space="preserve"> “EL SOPORTE DOCUMENTAL (EVIDENCIAS) DEL SEGUNDO PAGO QUE EFECTUO LA UAEMEX DERIVADO DEL CONVENIO No. CCAPP/D118/01/2019 DE FECHA 23/DIC/2019 CELEBRADO ENTRE LA UAEM-ISSEMYM ; EN COMPLEMENTO A LA SOLICITUD 00076/UAEM/IP/2021</w:t>
      </w:r>
      <w:proofErr w:type="gramStart"/>
      <w:r w:rsidRPr="006E1497">
        <w:rPr>
          <w:rFonts w:ascii="Palatino Linotype" w:eastAsia="Palatino Linotype" w:hAnsi="Palatino Linotype" w:cs="Palatino Linotype"/>
          <w:i/>
          <w:sz w:val="22"/>
          <w:szCs w:val="22"/>
        </w:rPr>
        <w:t>..”</w:t>
      </w:r>
      <w:proofErr w:type="gramEnd"/>
      <w:r w:rsidRPr="006E1497">
        <w:rPr>
          <w:rFonts w:ascii="Palatino Linotype" w:eastAsia="Palatino Linotype" w:hAnsi="Palatino Linotype" w:cs="Palatino Linotype"/>
          <w:i/>
          <w:sz w:val="22"/>
          <w:szCs w:val="22"/>
        </w:rPr>
        <w:t xml:space="preserve"> (Sic)</w:t>
      </w:r>
    </w:p>
    <w:p w14:paraId="0DA404FF" w14:textId="77777777" w:rsidR="009C294B" w:rsidRPr="006E1497" w:rsidRDefault="009C294B">
      <w:pPr>
        <w:spacing w:before="120" w:after="120"/>
        <w:ind w:right="-234"/>
        <w:jc w:val="both"/>
      </w:pPr>
    </w:p>
    <w:p w14:paraId="686065E7" w14:textId="77777777" w:rsidR="009C294B" w:rsidRPr="006E1497" w:rsidRDefault="00F574A6">
      <w:pPr>
        <w:spacing w:after="16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En respuesta, el </w:t>
      </w:r>
      <w:r w:rsidRPr="006E1497">
        <w:rPr>
          <w:rFonts w:ascii="Palatino Linotype" w:eastAsia="Palatino Linotype" w:hAnsi="Palatino Linotype" w:cs="Palatino Linotype"/>
          <w:b/>
        </w:rPr>
        <w:t xml:space="preserve">Sujeto Obligado, </w:t>
      </w:r>
      <w:r w:rsidRPr="006E1497">
        <w:rPr>
          <w:rFonts w:ascii="Palatino Linotype" w:eastAsia="Palatino Linotype" w:hAnsi="Palatino Linotype" w:cs="Palatino Linotype"/>
        </w:rPr>
        <w:t xml:space="preserve"> través del Director General de Administración hizo del conocimiento de la persona solicitante lo siguiente:</w:t>
      </w:r>
    </w:p>
    <w:p w14:paraId="553242C2" w14:textId="77777777" w:rsidR="009C294B" w:rsidRPr="006E1497" w:rsidRDefault="00F574A6">
      <w:pPr>
        <w:spacing w:after="160"/>
        <w:ind w:left="-425" w:right="900"/>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i/>
          <w:noProof/>
          <w:sz w:val="22"/>
          <w:szCs w:val="22"/>
          <w:lang w:val="es-MX" w:eastAsia="es-MX"/>
        </w:rPr>
        <w:drawing>
          <wp:inline distT="114300" distB="114300" distL="114300" distR="114300" wp14:anchorId="05E2AB69" wp14:editId="63D68900">
            <wp:extent cx="5612130" cy="1219200"/>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2130" cy="1219200"/>
                    </a:xfrm>
                    <a:prstGeom prst="rect">
                      <a:avLst/>
                    </a:prstGeom>
                    <a:ln/>
                  </pic:spPr>
                </pic:pic>
              </a:graphicData>
            </a:graphic>
          </wp:inline>
        </w:drawing>
      </w:r>
    </w:p>
    <w:p w14:paraId="0437DF47" w14:textId="77777777" w:rsidR="009C294B" w:rsidRPr="006E1497" w:rsidRDefault="009C294B">
      <w:pPr>
        <w:spacing w:after="160"/>
        <w:ind w:left="567" w:right="900"/>
        <w:jc w:val="both"/>
        <w:rPr>
          <w:rFonts w:ascii="Palatino Linotype" w:eastAsia="Palatino Linotype" w:hAnsi="Palatino Linotype" w:cs="Palatino Linotype"/>
          <w:i/>
          <w:sz w:val="22"/>
          <w:szCs w:val="22"/>
        </w:rPr>
      </w:pPr>
    </w:p>
    <w:p w14:paraId="6E7D4F40" w14:textId="77777777" w:rsidR="009C294B" w:rsidRPr="006E1497" w:rsidRDefault="00F574A6">
      <w:pPr>
        <w:spacing w:after="160" w:line="360" w:lineRule="auto"/>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señaló como acto impugnado:  </w:t>
      </w:r>
      <w:r w:rsidRPr="006E1497">
        <w:rPr>
          <w:rFonts w:ascii="Palatino Linotype" w:eastAsia="Palatino Linotype" w:hAnsi="Palatino Linotype" w:cs="Palatino Linotype"/>
          <w:i/>
          <w:sz w:val="22"/>
          <w:szCs w:val="22"/>
        </w:rPr>
        <w:t xml:space="preserve">“Informe Justificado: La responsable y titular de la unidad de transparencia del sujeto obligado, resume lo que el Servidor </w:t>
      </w:r>
      <w:proofErr w:type="spellStart"/>
      <w:r w:rsidRPr="006E1497">
        <w:rPr>
          <w:rFonts w:ascii="Palatino Linotype" w:eastAsia="Palatino Linotype" w:hAnsi="Palatino Linotype" w:cs="Palatino Linotype"/>
          <w:i/>
          <w:sz w:val="22"/>
          <w:szCs w:val="22"/>
        </w:rPr>
        <w:t>publico</w:t>
      </w:r>
      <w:proofErr w:type="spellEnd"/>
      <w:r w:rsidRPr="006E1497">
        <w:rPr>
          <w:rFonts w:ascii="Palatino Linotype" w:eastAsia="Palatino Linotype" w:hAnsi="Palatino Linotype" w:cs="Palatino Linotype"/>
          <w:i/>
          <w:sz w:val="22"/>
          <w:szCs w:val="22"/>
        </w:rPr>
        <w:t xml:space="preserve"> Habilitado de la Coordinación de Prestaciones y Seguridad Social , había dado en respuesta parcial en tiempo y forma mediante oficio 207C0401210001S-UT-239/2022; sin duda alguna la respuesta sesgada se apega a la solicitud de información solicitada parcialmente por el recurrente , no así la motivación y fundamentación legal en la que se omite el </w:t>
      </w:r>
      <w:proofErr w:type="spellStart"/>
      <w:r w:rsidRPr="006E1497">
        <w:rPr>
          <w:rFonts w:ascii="Palatino Linotype" w:eastAsia="Palatino Linotype" w:hAnsi="Palatino Linotype" w:cs="Palatino Linotype"/>
          <w:i/>
          <w:sz w:val="22"/>
          <w:szCs w:val="22"/>
        </w:rPr>
        <w:t>Articulo</w:t>
      </w:r>
      <w:proofErr w:type="spellEnd"/>
      <w:r w:rsidRPr="006E1497">
        <w:rPr>
          <w:rFonts w:ascii="Palatino Linotype" w:eastAsia="Palatino Linotype" w:hAnsi="Palatino Linotype" w:cs="Palatino Linotype"/>
          <w:i/>
          <w:sz w:val="22"/>
          <w:szCs w:val="22"/>
        </w:rPr>
        <w:t xml:space="preserve"> Cuarto Transitorio de la ley 1994, entre otros que sirvieron de base a mi solicitud inicial y que no se trata de ninguna ampliación de solicitud de información, si entran en comento a los artículos 62 y 87 de las leyes 1994 y 2002 respectivamente, así como el art 81 de la primera invocada. No tiene ninguna relación al pretender sustentar legalmente la respuesta parcial en el artículo 31 de la Ley 2002 por tratarse de otro rubro distinto al que nos ocupa en la solicitud de </w:t>
      </w:r>
      <w:r w:rsidRPr="006E1497">
        <w:rPr>
          <w:rFonts w:ascii="Palatino Linotype" w:eastAsia="Palatino Linotype" w:hAnsi="Palatino Linotype" w:cs="Palatino Linotype"/>
          <w:i/>
          <w:sz w:val="22"/>
          <w:szCs w:val="22"/>
        </w:rPr>
        <w:lastRenderedPageBreak/>
        <w:t xml:space="preserve">información </w:t>
      </w:r>
      <w:proofErr w:type="spellStart"/>
      <w:r w:rsidRPr="006E1497">
        <w:rPr>
          <w:rFonts w:ascii="Palatino Linotype" w:eastAsia="Palatino Linotype" w:hAnsi="Palatino Linotype" w:cs="Palatino Linotype"/>
          <w:i/>
          <w:sz w:val="22"/>
          <w:szCs w:val="22"/>
        </w:rPr>
        <w:t>publica</w:t>
      </w:r>
      <w:proofErr w:type="spellEnd"/>
      <w:r w:rsidRPr="006E1497">
        <w:rPr>
          <w:rFonts w:ascii="Palatino Linotype" w:eastAsia="Palatino Linotype" w:hAnsi="Palatino Linotype" w:cs="Palatino Linotype"/>
          <w:i/>
          <w:sz w:val="22"/>
          <w:szCs w:val="22"/>
        </w:rPr>
        <w:t xml:space="preserve"> para el </w:t>
      </w:r>
      <w:proofErr w:type="spellStart"/>
      <w:r w:rsidRPr="006E1497">
        <w:rPr>
          <w:rFonts w:ascii="Palatino Linotype" w:eastAsia="Palatino Linotype" w:hAnsi="Palatino Linotype" w:cs="Palatino Linotype"/>
          <w:i/>
          <w:sz w:val="22"/>
          <w:szCs w:val="22"/>
        </w:rPr>
        <w:t>calculo</w:t>
      </w:r>
      <w:proofErr w:type="spellEnd"/>
      <w:r w:rsidRPr="006E1497">
        <w:rPr>
          <w:rFonts w:ascii="Palatino Linotype" w:eastAsia="Palatino Linotype" w:hAnsi="Palatino Linotype" w:cs="Palatino Linotype"/>
          <w:i/>
          <w:sz w:val="22"/>
          <w:szCs w:val="22"/>
        </w:rPr>
        <w:t xml:space="preserve"> de las "pensiones topadas" toda vez que es el inherente al </w:t>
      </w:r>
      <w:proofErr w:type="spellStart"/>
      <w:r w:rsidRPr="006E1497">
        <w:rPr>
          <w:rFonts w:ascii="Palatino Linotype" w:eastAsia="Palatino Linotype" w:hAnsi="Palatino Linotype" w:cs="Palatino Linotype"/>
          <w:i/>
          <w:sz w:val="22"/>
          <w:szCs w:val="22"/>
        </w:rPr>
        <w:t>calculo</w:t>
      </w:r>
      <w:proofErr w:type="spellEnd"/>
      <w:r w:rsidRPr="006E1497">
        <w:rPr>
          <w:rFonts w:ascii="Palatino Linotype" w:eastAsia="Palatino Linotype" w:hAnsi="Palatino Linotype" w:cs="Palatino Linotype"/>
          <w:i/>
          <w:sz w:val="22"/>
          <w:szCs w:val="22"/>
        </w:rPr>
        <w:t xml:space="preserve"> de "CUOTAS Y APORTACIONES", NO OBSTANTE QUE SIEMPRE EN LAS LEYES ABROGADAS ANTERIRMENTE EXISTIO UNA SIMILITUD EN EL TOPE MAXIMO DE CUOTAS Y APORTACIONES CON RESPECTO AL TOPE MAXIMO EN EL CALCULO DE LAS PENSIONES ; que en este caso que nos ocupa no es así, en virtud de existir una diferencia por primera vez entre ambos rubros, de un 16% cuotas y aportaciones a un 12% de tope máximo de las pensiones, en razón de cuatro puntos porcentuales.”(sic)</w:t>
      </w:r>
    </w:p>
    <w:p w14:paraId="58564DBF" w14:textId="77777777" w:rsidR="009C294B" w:rsidRPr="006E1497" w:rsidRDefault="00F574A6">
      <w:pPr>
        <w:spacing w:after="160" w:line="360" w:lineRule="auto"/>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sz w:val="22"/>
          <w:szCs w:val="22"/>
        </w:rPr>
        <w:t>Asimismo, señaló como motivos de inconformidad “</w:t>
      </w:r>
      <w:r w:rsidRPr="006E1497">
        <w:rPr>
          <w:rFonts w:ascii="Palatino Linotype" w:eastAsia="Palatino Linotype" w:hAnsi="Palatino Linotype" w:cs="Palatino Linotype"/>
          <w:i/>
          <w:sz w:val="22"/>
          <w:szCs w:val="22"/>
        </w:rPr>
        <w:t xml:space="preserve">Sin menoscabo de lo dispuesto por el Articulo 12 de la Ley de Transparencia y Acceso a la Información </w:t>
      </w:r>
      <w:proofErr w:type="spellStart"/>
      <w:r w:rsidRPr="006E1497">
        <w:rPr>
          <w:rFonts w:ascii="Palatino Linotype" w:eastAsia="Palatino Linotype" w:hAnsi="Palatino Linotype" w:cs="Palatino Linotype"/>
          <w:i/>
          <w:sz w:val="22"/>
          <w:szCs w:val="22"/>
        </w:rPr>
        <w:t>Publica</w:t>
      </w:r>
      <w:proofErr w:type="spellEnd"/>
      <w:r w:rsidRPr="006E1497">
        <w:rPr>
          <w:rFonts w:ascii="Palatino Linotype" w:eastAsia="Palatino Linotype" w:hAnsi="Palatino Linotype" w:cs="Palatino Linotype"/>
          <w:i/>
          <w:sz w:val="22"/>
          <w:szCs w:val="22"/>
        </w:rPr>
        <w:t xml:space="preserve"> del Estado de México y Municipios es pertinente precisar que en todas las Instituciones de Seguridad Social en la que se Incluye el ISSEMYM tienen dos o tres fuentes de información estadística publica con servidores públicos habilitados para tales efectos, en este caso ya el SP habilitado de la Coordinación de Prestaciones y Seguridad Social aporto parcialmente la información solicitada; faltaría el área operativa o sea el Servidor </w:t>
      </w:r>
      <w:proofErr w:type="spellStart"/>
      <w:r w:rsidRPr="006E1497">
        <w:rPr>
          <w:rFonts w:ascii="Palatino Linotype" w:eastAsia="Palatino Linotype" w:hAnsi="Palatino Linotype" w:cs="Palatino Linotype"/>
          <w:i/>
          <w:sz w:val="22"/>
          <w:szCs w:val="22"/>
        </w:rPr>
        <w:t>Publico</w:t>
      </w:r>
      <w:proofErr w:type="spellEnd"/>
      <w:r w:rsidRPr="006E1497">
        <w:rPr>
          <w:rFonts w:ascii="Palatino Linotype" w:eastAsia="Palatino Linotype" w:hAnsi="Palatino Linotype" w:cs="Palatino Linotype"/>
          <w:i/>
          <w:sz w:val="22"/>
          <w:szCs w:val="22"/>
        </w:rPr>
        <w:t xml:space="preserve"> Habilitado de la Unidad de Informática complementara la información faltante ; que se refiere al </w:t>
      </w:r>
      <w:proofErr w:type="spellStart"/>
      <w:r w:rsidRPr="006E1497">
        <w:rPr>
          <w:rFonts w:ascii="Palatino Linotype" w:eastAsia="Palatino Linotype" w:hAnsi="Palatino Linotype" w:cs="Palatino Linotype"/>
          <w:i/>
          <w:sz w:val="22"/>
          <w:szCs w:val="22"/>
        </w:rPr>
        <w:t>numero</w:t>
      </w:r>
      <w:proofErr w:type="spellEnd"/>
      <w:r w:rsidRPr="006E1497">
        <w:rPr>
          <w:rFonts w:ascii="Palatino Linotype" w:eastAsia="Palatino Linotype" w:hAnsi="Palatino Linotype" w:cs="Palatino Linotype"/>
          <w:i/>
          <w:sz w:val="22"/>
          <w:szCs w:val="22"/>
        </w:rPr>
        <w:t xml:space="preserve"> de pensiones topadas en : 9,9.5,10 SMM y más derivados de la Ley 1994 artículos 62 y 81 y Cuarto Transitorio respectivamente. Por lo que refiere a la Ley 2002 articulo 87 y </w:t>
      </w:r>
      <w:proofErr w:type="spellStart"/>
      <w:r w:rsidRPr="006E1497">
        <w:rPr>
          <w:rFonts w:ascii="Palatino Linotype" w:eastAsia="Palatino Linotype" w:hAnsi="Palatino Linotype" w:cs="Palatino Linotype"/>
          <w:i/>
          <w:sz w:val="22"/>
          <w:szCs w:val="22"/>
        </w:rPr>
        <w:t>serian</w:t>
      </w:r>
      <w:proofErr w:type="spellEnd"/>
      <w:r w:rsidRPr="006E1497">
        <w:rPr>
          <w:rFonts w:ascii="Palatino Linotype" w:eastAsia="Palatino Linotype" w:hAnsi="Palatino Linotype" w:cs="Palatino Linotype"/>
          <w:i/>
          <w:sz w:val="22"/>
          <w:szCs w:val="22"/>
        </w:rPr>
        <w:t xml:space="preserve"> las de 12 SMM y más. Derivado de que por diversas controversias jurisdiccionales existen resoluciones definitivas (sentencias) de pensión topada hasta por 16 </w:t>
      </w:r>
      <w:proofErr w:type="gramStart"/>
      <w:r w:rsidRPr="006E1497">
        <w:rPr>
          <w:rFonts w:ascii="Palatino Linotype" w:eastAsia="Palatino Linotype" w:hAnsi="Palatino Linotype" w:cs="Palatino Linotype"/>
          <w:i/>
          <w:sz w:val="22"/>
          <w:szCs w:val="22"/>
        </w:rPr>
        <w:t>SMM ,</w:t>
      </w:r>
      <w:proofErr w:type="gramEnd"/>
      <w:r w:rsidRPr="006E1497">
        <w:rPr>
          <w:rFonts w:ascii="Palatino Linotype" w:eastAsia="Palatino Linotype" w:hAnsi="Palatino Linotype" w:cs="Palatino Linotype"/>
          <w:i/>
          <w:sz w:val="22"/>
          <w:szCs w:val="22"/>
        </w:rPr>
        <w:t xml:space="preserve"> advirtiendo que no se trata de saber el </w:t>
      </w:r>
      <w:proofErr w:type="spellStart"/>
      <w:r w:rsidRPr="006E1497">
        <w:rPr>
          <w:rFonts w:ascii="Palatino Linotype" w:eastAsia="Palatino Linotype" w:hAnsi="Palatino Linotype" w:cs="Palatino Linotype"/>
          <w:i/>
          <w:sz w:val="22"/>
          <w:szCs w:val="22"/>
        </w:rPr>
        <w:t>numero</w:t>
      </w:r>
      <w:proofErr w:type="spellEnd"/>
      <w:r w:rsidRPr="006E1497">
        <w:rPr>
          <w:rFonts w:ascii="Palatino Linotype" w:eastAsia="Palatino Linotype" w:hAnsi="Palatino Linotype" w:cs="Palatino Linotype"/>
          <w:i/>
          <w:sz w:val="22"/>
          <w:szCs w:val="22"/>
        </w:rPr>
        <w:t xml:space="preserve"> de juicios, es el </w:t>
      </w:r>
      <w:proofErr w:type="spellStart"/>
      <w:r w:rsidRPr="006E1497">
        <w:rPr>
          <w:rFonts w:ascii="Palatino Linotype" w:eastAsia="Palatino Linotype" w:hAnsi="Palatino Linotype" w:cs="Palatino Linotype"/>
          <w:i/>
          <w:sz w:val="22"/>
          <w:szCs w:val="22"/>
        </w:rPr>
        <w:t>numero</w:t>
      </w:r>
      <w:proofErr w:type="spellEnd"/>
      <w:r w:rsidRPr="006E1497">
        <w:rPr>
          <w:rFonts w:ascii="Palatino Linotype" w:eastAsia="Palatino Linotype" w:hAnsi="Palatino Linotype" w:cs="Palatino Linotype"/>
          <w:i/>
          <w:sz w:val="22"/>
          <w:szCs w:val="22"/>
        </w:rPr>
        <w:t xml:space="preserve"> de beneficiarios con estas características que rebasan el tope máximo permisible de manera ordinaria, por tratarse de casos extraordinarios emanados de sentencias judiciales, que el instituto de dar cumplimiento a cabalidad. Para mayor abundamiento son las áreas informáticas son las que operan las ALTAS de nuevas pensiones topadas y/o generales, así como el </w:t>
      </w:r>
      <w:proofErr w:type="spellStart"/>
      <w:r w:rsidRPr="006E1497">
        <w:rPr>
          <w:rFonts w:ascii="Palatino Linotype" w:eastAsia="Palatino Linotype" w:hAnsi="Palatino Linotype" w:cs="Palatino Linotype"/>
          <w:i/>
          <w:sz w:val="22"/>
          <w:szCs w:val="22"/>
        </w:rPr>
        <w:t>calculo</w:t>
      </w:r>
      <w:proofErr w:type="spellEnd"/>
      <w:r w:rsidRPr="006E1497">
        <w:rPr>
          <w:rFonts w:ascii="Palatino Linotype" w:eastAsia="Palatino Linotype" w:hAnsi="Palatino Linotype" w:cs="Palatino Linotype"/>
          <w:i/>
          <w:sz w:val="22"/>
          <w:szCs w:val="22"/>
        </w:rPr>
        <w:t xml:space="preserve"> del incremento anual de las pensiones en sus diversas modalidades quienes actualizan la cuota diaria de los pensionados y pensionistas según lo dispuesto por el </w:t>
      </w:r>
      <w:proofErr w:type="spellStart"/>
      <w:r w:rsidRPr="006E1497">
        <w:rPr>
          <w:rFonts w:ascii="Palatino Linotype" w:eastAsia="Palatino Linotype" w:hAnsi="Palatino Linotype" w:cs="Palatino Linotype"/>
          <w:i/>
          <w:sz w:val="22"/>
          <w:szCs w:val="22"/>
        </w:rPr>
        <w:t>articulo</w:t>
      </w:r>
      <w:proofErr w:type="spellEnd"/>
      <w:r w:rsidRPr="006E1497">
        <w:rPr>
          <w:rFonts w:ascii="Palatino Linotype" w:eastAsia="Palatino Linotype" w:hAnsi="Palatino Linotype" w:cs="Palatino Linotype"/>
          <w:i/>
          <w:sz w:val="22"/>
          <w:szCs w:val="22"/>
        </w:rPr>
        <w:t xml:space="preserve"> 70, para el pago quincenal generando las cifras control de las mismas. y </w:t>
      </w:r>
      <w:r w:rsidRPr="006E1497">
        <w:rPr>
          <w:rFonts w:ascii="Palatino Linotype" w:eastAsia="Palatino Linotype" w:hAnsi="Palatino Linotype" w:cs="Palatino Linotype"/>
          <w:i/>
          <w:sz w:val="22"/>
          <w:szCs w:val="22"/>
        </w:rPr>
        <w:lastRenderedPageBreak/>
        <w:t xml:space="preserve">tienen el manejo y salvaguarda del padrón(nomina) de pensionados y pensionistas. Reiterando que nos es lógico que de un universo al 31 de Dic 2021 de 74,409 jubilados y pensionados existan solamente 2,394 pensiones topadas, cuando desde 1994 hasta 2022 a casi tres décadas, que existe esa modalidad de </w:t>
      </w:r>
      <w:proofErr w:type="spellStart"/>
      <w:r w:rsidRPr="006E1497">
        <w:rPr>
          <w:rFonts w:ascii="Palatino Linotype" w:eastAsia="Palatino Linotype" w:hAnsi="Palatino Linotype" w:cs="Palatino Linotype"/>
          <w:i/>
          <w:sz w:val="22"/>
          <w:szCs w:val="22"/>
        </w:rPr>
        <w:t>calculo</w:t>
      </w:r>
      <w:proofErr w:type="spellEnd"/>
      <w:r w:rsidRPr="006E1497">
        <w:rPr>
          <w:rFonts w:ascii="Palatino Linotype" w:eastAsia="Palatino Linotype" w:hAnsi="Palatino Linotype" w:cs="Palatino Linotype"/>
          <w:i/>
          <w:sz w:val="22"/>
          <w:szCs w:val="22"/>
        </w:rPr>
        <w:t xml:space="preserve"> de pensión topada; derivado de las plazas que ostentan los servidores públicos en activo, que por el "sueldo sujeto de cotización" alcanzan ese beneficio de los tres poderes (Ejecutivo ,Legislativo, Judicial), y demás instituciones </w:t>
      </w:r>
      <w:proofErr w:type="spellStart"/>
      <w:r w:rsidRPr="006E1497">
        <w:rPr>
          <w:rFonts w:ascii="Palatino Linotype" w:eastAsia="Palatino Linotype" w:hAnsi="Palatino Linotype" w:cs="Palatino Linotype"/>
          <w:i/>
          <w:sz w:val="22"/>
          <w:szCs w:val="22"/>
        </w:rPr>
        <w:t>publicas</w:t>
      </w:r>
      <w:proofErr w:type="spellEnd"/>
      <w:r w:rsidRPr="006E1497">
        <w:rPr>
          <w:rFonts w:ascii="Palatino Linotype" w:eastAsia="Palatino Linotype" w:hAnsi="Palatino Linotype" w:cs="Palatino Linotype"/>
          <w:i/>
          <w:sz w:val="22"/>
          <w:szCs w:val="22"/>
        </w:rPr>
        <w:t xml:space="preserve"> sujetos de la seguridad social que administra el ISSEMYM en el estado y municipios ; organismos autónomos , auxiliares , descentralizados y ayuntamientos.”(Sic)</w:t>
      </w:r>
    </w:p>
    <w:p w14:paraId="01F19033" w14:textId="77777777" w:rsidR="00147390" w:rsidRPr="006E1497" w:rsidRDefault="00F574A6" w:rsidP="00815A0A">
      <w:pPr>
        <w:spacing w:after="16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Ahora bien, atentos a la inconformidad planteada resulta necesario señalar que la misma no versa ni sobre la materia de la solicitud de información inicial, ni sobre el contenido de la respuesta emitida por el Sujeto Obligado, en esa virtud, </w:t>
      </w:r>
      <w:r w:rsidR="00815A0A" w:rsidRPr="006E1497">
        <w:rPr>
          <w:rFonts w:ascii="Palatino Linotype" w:eastAsia="Palatino Linotype" w:hAnsi="Palatino Linotype" w:cs="Palatino Linotype"/>
        </w:rPr>
        <w:t xml:space="preserve">no se actualiza ninguna causal de procedencia, </w:t>
      </w:r>
      <w:r w:rsidRPr="006E1497">
        <w:rPr>
          <w:rFonts w:ascii="Palatino Linotype" w:eastAsia="Palatino Linotype" w:hAnsi="Palatino Linotype" w:cs="Palatino Linotype"/>
        </w:rPr>
        <w:t xml:space="preserve">al acreditarse con las constancias que integran el expediente, que las razones o motivos de inconformidad no guardan relación con la solicitud inicial, ni con la respuesta emitida a la misma,  </w:t>
      </w:r>
      <w:r w:rsidR="00147390" w:rsidRPr="006E1497">
        <w:rPr>
          <w:rFonts w:ascii="Palatino Linotype" w:eastAsia="Palatino Linotype" w:hAnsi="Palatino Linotype" w:cs="Palatino Linotype"/>
        </w:rPr>
        <w:t xml:space="preserve">es por ello que se actualiza la causal de improcedencia prevista en la fracción IV del artículo 192 de la Ley en la materia, en relación con la fracción III del artículo 191 del mismo ordenamiento, disposiciones normativas que señalan: </w:t>
      </w:r>
    </w:p>
    <w:p w14:paraId="2B35B903" w14:textId="77777777" w:rsidR="00147390" w:rsidRPr="006E1497" w:rsidRDefault="00147390" w:rsidP="00815A0A">
      <w:pPr>
        <w:spacing w:after="160" w:line="360" w:lineRule="auto"/>
        <w:jc w:val="both"/>
        <w:rPr>
          <w:rFonts w:ascii="Palatino Linotype" w:eastAsia="Palatino Linotype" w:hAnsi="Palatino Linotype" w:cs="Palatino Linotype"/>
        </w:rPr>
      </w:pPr>
    </w:p>
    <w:p w14:paraId="470782AE" w14:textId="77777777" w:rsidR="009C294B" w:rsidRPr="006E1497" w:rsidRDefault="00147390" w:rsidP="00815A0A">
      <w:pPr>
        <w:spacing w:after="16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 </w:t>
      </w:r>
    </w:p>
    <w:p w14:paraId="062D2ED9" w14:textId="77777777" w:rsidR="00147390" w:rsidRPr="006E1497" w:rsidRDefault="00147390" w:rsidP="00147390">
      <w:pPr>
        <w:tabs>
          <w:tab w:val="left" w:pos="7938"/>
        </w:tabs>
        <w:ind w:left="560" w:right="620"/>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b/>
          <w:i/>
          <w:sz w:val="22"/>
          <w:szCs w:val="22"/>
        </w:rPr>
        <w:t xml:space="preserve">“Artículo 191. El recurso será desechado por improcedente cuando: </w:t>
      </w:r>
    </w:p>
    <w:p w14:paraId="0E6AE1F3" w14:textId="77777777" w:rsidR="00147390" w:rsidRPr="006E1497" w:rsidRDefault="00147390" w:rsidP="00147390">
      <w:pPr>
        <w:tabs>
          <w:tab w:val="left" w:pos="7938"/>
        </w:tabs>
        <w:ind w:left="560" w:right="620"/>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b/>
          <w:i/>
          <w:sz w:val="22"/>
          <w:szCs w:val="22"/>
        </w:rPr>
        <w:t>III. No se actualice alguno de los supuestos previstos en la Ley.</w:t>
      </w:r>
    </w:p>
    <w:p w14:paraId="356AD3B6" w14:textId="77777777" w:rsidR="00147390" w:rsidRPr="006E1497" w:rsidRDefault="003E1628" w:rsidP="003E1628">
      <w:pPr>
        <w:tabs>
          <w:tab w:val="left" w:pos="2025"/>
        </w:tabs>
        <w:ind w:left="560" w:right="620"/>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b/>
          <w:i/>
          <w:sz w:val="22"/>
          <w:szCs w:val="22"/>
        </w:rPr>
        <w:tab/>
      </w:r>
    </w:p>
    <w:p w14:paraId="5E48BBF1" w14:textId="77777777" w:rsidR="00147390" w:rsidRPr="006E1497" w:rsidRDefault="00147390" w:rsidP="00147390">
      <w:pPr>
        <w:tabs>
          <w:tab w:val="left" w:pos="7938"/>
        </w:tabs>
        <w:ind w:left="560" w:right="620"/>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b/>
          <w:i/>
          <w:sz w:val="22"/>
          <w:szCs w:val="22"/>
        </w:rPr>
        <w:t xml:space="preserve">Artículo 192. El recurso será </w:t>
      </w:r>
      <w:r w:rsidRPr="006E1497">
        <w:rPr>
          <w:rFonts w:ascii="Palatino Linotype" w:eastAsia="Palatino Linotype" w:hAnsi="Palatino Linotype" w:cs="Palatino Linotype"/>
          <w:b/>
          <w:i/>
          <w:sz w:val="22"/>
          <w:szCs w:val="22"/>
          <w:u w:val="single"/>
        </w:rPr>
        <w:t>sobreseído</w:t>
      </w:r>
      <w:r w:rsidRPr="006E1497">
        <w:rPr>
          <w:rFonts w:ascii="Palatino Linotype" w:eastAsia="Palatino Linotype" w:hAnsi="Palatino Linotype" w:cs="Palatino Linotype"/>
          <w:b/>
          <w:i/>
          <w:sz w:val="22"/>
          <w:szCs w:val="22"/>
        </w:rPr>
        <w:t>, en todo o en parte, cuando una vez admitido, se actualicen alguno de los siguientes supuestos:</w:t>
      </w:r>
    </w:p>
    <w:p w14:paraId="275EE9B0" w14:textId="77777777" w:rsidR="00147390" w:rsidRPr="006E1497" w:rsidRDefault="00147390" w:rsidP="00147390">
      <w:pPr>
        <w:tabs>
          <w:tab w:val="left" w:pos="7938"/>
        </w:tabs>
        <w:ind w:left="560" w:right="620"/>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b/>
          <w:i/>
          <w:sz w:val="22"/>
          <w:szCs w:val="22"/>
        </w:rPr>
        <w:lastRenderedPageBreak/>
        <w:t>(…)</w:t>
      </w:r>
    </w:p>
    <w:p w14:paraId="7F37D64E" w14:textId="77777777" w:rsidR="00147390" w:rsidRPr="006E1497" w:rsidRDefault="00147390" w:rsidP="00147390">
      <w:pPr>
        <w:tabs>
          <w:tab w:val="left" w:pos="7938"/>
        </w:tabs>
        <w:ind w:left="560" w:right="620"/>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b/>
          <w:i/>
          <w:sz w:val="22"/>
          <w:szCs w:val="22"/>
        </w:rPr>
        <w:t>V. Admitido el recurso de revisión aparezca alguna causal de improcedencia en términos de la presente Ley… (Sic)”</w:t>
      </w:r>
    </w:p>
    <w:p w14:paraId="1C257895" w14:textId="77777777" w:rsidR="00147390" w:rsidRPr="006E1497" w:rsidRDefault="00147390" w:rsidP="00147390">
      <w:pPr>
        <w:tabs>
          <w:tab w:val="left" w:pos="7938"/>
        </w:tabs>
        <w:spacing w:before="120" w:after="120"/>
        <w:ind w:right="902"/>
        <w:jc w:val="both"/>
        <w:rPr>
          <w:rFonts w:ascii="Palatino Linotype" w:eastAsia="Palatino Linotype" w:hAnsi="Palatino Linotype" w:cs="Palatino Linotype"/>
          <w:b/>
          <w:i/>
          <w:sz w:val="22"/>
          <w:szCs w:val="22"/>
        </w:rPr>
      </w:pPr>
    </w:p>
    <w:p w14:paraId="648FA48C"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Por consiguiente, en estricto derecho, la alegación de la parte </w:t>
      </w:r>
      <w:r w:rsidRPr="006E1497">
        <w:rPr>
          <w:rFonts w:ascii="Palatino Linotype" w:eastAsia="Palatino Linotype" w:hAnsi="Palatino Linotype" w:cs="Palatino Linotype"/>
          <w:b/>
        </w:rPr>
        <w:t>Recurrente</w:t>
      </w:r>
      <w:r w:rsidRPr="006E1497">
        <w:rPr>
          <w:rFonts w:ascii="Palatino Linotype" w:eastAsia="Palatino Linotype" w:hAnsi="Palatino Linotype" w:cs="Palatino Linotype"/>
        </w:rPr>
        <w:t xml:space="preserve"> se limita a realizar manifestaciones sin sustento, las cuales han quedado demostradas, por ello se califican de inoperantes</w:t>
      </w:r>
      <w:r w:rsidR="00147390" w:rsidRPr="006E1497">
        <w:rPr>
          <w:rFonts w:ascii="Palatino Linotype" w:eastAsia="Palatino Linotype" w:hAnsi="Palatino Linotype" w:cs="Palatino Linotype"/>
        </w:rPr>
        <w:t>, motivo por el cual lo procedente es sobreseer el recurso de revisión</w:t>
      </w:r>
      <w:r w:rsidRPr="006E1497">
        <w:rPr>
          <w:rFonts w:ascii="Palatino Linotype" w:eastAsia="Palatino Linotype" w:hAnsi="Palatino Linotype" w:cs="Palatino Linotype"/>
        </w:rPr>
        <w:t>; resultando necesario traer a colación la Tesis Aislada con número de registro 2017549, de rubro y texto siguiente:</w:t>
      </w:r>
    </w:p>
    <w:p w14:paraId="75A88671" w14:textId="77777777" w:rsidR="009C294B" w:rsidRPr="006E1497" w:rsidRDefault="00F574A6">
      <w:pPr>
        <w:spacing w:before="120" w:after="120"/>
        <w:ind w:left="851" w:right="902"/>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i/>
          <w:sz w:val="22"/>
          <w:szCs w:val="22"/>
        </w:rPr>
        <w:t>“</w:t>
      </w:r>
      <w:r w:rsidRPr="006E1497">
        <w:rPr>
          <w:rFonts w:ascii="Palatino Linotype" w:eastAsia="Palatino Linotype" w:hAnsi="Palatino Linotype" w:cs="Palatino Linotype"/>
          <w:b/>
          <w:i/>
          <w:sz w:val="22"/>
          <w:szCs w:val="22"/>
        </w:rPr>
        <w:t>INEXISTENCIA DE LOS ACTOS RECLAMADOS EN EL AMPARO. NO ES UN MOTIVO MANIFIESTO E INDUDABLE DE IMPROCEDENCIA QUE DÉ LUGAR AL DESECHAMIENTO DE LA DEMANDA, SINO QUE CONSTITUYE UNA CAUSAL DE SOBRESEIMIENTO EN EL JUICIO</w:t>
      </w:r>
      <w:r w:rsidRPr="006E1497">
        <w:rPr>
          <w:rFonts w:ascii="Palatino Linotype" w:eastAsia="Palatino Linotype" w:hAnsi="Palatino Linotype" w:cs="Palatino Linotype"/>
          <w:i/>
          <w:sz w:val="22"/>
          <w:szCs w:val="22"/>
        </w:rPr>
        <w:t>. Conforme al artículo 63, fracción IV, de la Ley de Amparo, la inexistencia de los actos reclamados es una causal de sobreseimiento, pero no de improcedencia del juicio de amparo; por ende, no puede ser un motivo manifiesto e indudable que dé lugar al desechamiento de la demanda con sustento en el diverso precepto 113 de ese ordenamiento, pues el pronunciamiento relativo necesariamente debe efectuarse hasta la sentencia, al no haberse demostrado su existencia en la audiencia constitucional.”</w:t>
      </w:r>
    </w:p>
    <w:p w14:paraId="5D3A995B" w14:textId="77777777" w:rsidR="00147390"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La cual constituye un criterio orientador para este Organismo Garante, que pone en aptitudes de poder sobreseer el presente recurso de revisión, lo que en el caso particular, se tiene por acreditada la i</w:t>
      </w:r>
      <w:r w:rsidR="00147390" w:rsidRPr="006E1497">
        <w:rPr>
          <w:rFonts w:ascii="Palatino Linotype" w:eastAsia="Palatino Linotype" w:hAnsi="Palatino Linotype" w:cs="Palatino Linotype"/>
        </w:rPr>
        <w:t xml:space="preserve">nexistencia del acto reclamado. </w:t>
      </w:r>
    </w:p>
    <w:p w14:paraId="2C1A1F16"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Derivado de lo expuesto, es necesario hacer del conocimiento de la persona solicitante que, de la simple lectura a su Recurso de Revisión, se desprende que</w:t>
      </w:r>
      <w:r w:rsidRPr="006E1497">
        <w:rPr>
          <w:rFonts w:ascii="Palatino Linotype" w:eastAsia="Palatino Linotype" w:hAnsi="Palatino Linotype" w:cs="Palatino Linotype"/>
          <w:b/>
          <w:u w:val="single"/>
        </w:rPr>
        <w:t xml:space="preserve"> las razones o motivos de inconformidad hechas valer, no corresponden ni con la solicitud, ni la respuesta del Sujeto Obligado para atender su requerimiento de </w:t>
      </w:r>
      <w:r w:rsidRPr="006E1497">
        <w:rPr>
          <w:rFonts w:ascii="Palatino Linotype" w:eastAsia="Palatino Linotype" w:hAnsi="Palatino Linotype" w:cs="Palatino Linotype"/>
          <w:b/>
          <w:u w:val="single"/>
        </w:rPr>
        <w:lastRenderedPageBreak/>
        <w:t>información,</w:t>
      </w:r>
      <w:r w:rsidRPr="006E1497">
        <w:rPr>
          <w:rFonts w:ascii="Palatino Linotype" w:eastAsia="Palatino Linotype" w:hAnsi="Palatino Linotype" w:cs="Palatino Linotype"/>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14:paraId="01275F78"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Por tales circunstancias, este Instituto se encuentra impedido a entrar al estudio de fondo, en virtud que la particular no manifestó razones o motivos de inconformidad, relacionados con la solicitud inicial ni con la respuesta del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a fin de atender su solicitud de acceso.</w:t>
      </w:r>
    </w:p>
    <w:p w14:paraId="5E863537" w14:textId="77777777" w:rsidR="00147390" w:rsidRPr="006E1497" w:rsidRDefault="00F574A6" w:rsidP="00147390">
      <w:pPr>
        <w:spacing w:before="240" w:after="240" w:line="360" w:lineRule="auto"/>
        <w:ind w:right="96"/>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rPr>
        <w:t>Por lo tanto, en virtud de  los argumentos expuestos con anterioridad así como del análisis realizado a las constancias que obran en el expediente electrónico,</w:t>
      </w:r>
      <w:r w:rsidR="00147390" w:rsidRPr="006E1497">
        <w:rPr>
          <w:rFonts w:ascii="Palatino Linotype" w:eastAsia="Palatino Linotype" w:hAnsi="Palatino Linotype" w:cs="Palatino Linotype"/>
        </w:rPr>
        <w:t xml:space="preserve"> </w:t>
      </w:r>
      <w:r w:rsidRPr="006E1497">
        <w:rPr>
          <w:rFonts w:ascii="Palatino Linotype" w:eastAsia="Palatino Linotype" w:hAnsi="Palatino Linotype" w:cs="Palatino Linotype"/>
        </w:rPr>
        <w:t>toda vez que no se actualizó algún supuesto de procedencia</w:t>
      </w:r>
      <w:r w:rsidRPr="006E1497">
        <w:rPr>
          <w:rFonts w:ascii="Palatino Linotype" w:eastAsia="Palatino Linotype" w:hAnsi="Palatino Linotype" w:cs="Palatino Linotype"/>
          <w:sz w:val="22"/>
          <w:szCs w:val="22"/>
        </w:rPr>
        <w:t xml:space="preserve">, </w:t>
      </w:r>
      <w:r w:rsidRPr="006E1497">
        <w:rPr>
          <w:rFonts w:ascii="Palatino Linotype" w:eastAsia="Palatino Linotype" w:hAnsi="Palatino Linotype" w:cs="Palatino Linotype"/>
        </w:rPr>
        <w:t xml:space="preserve">se determina </w:t>
      </w:r>
      <w:r w:rsidRPr="006E1497">
        <w:rPr>
          <w:rFonts w:ascii="Palatino Linotype" w:eastAsia="Palatino Linotype" w:hAnsi="Palatino Linotype" w:cs="Palatino Linotype"/>
          <w:i/>
        </w:rPr>
        <w:t xml:space="preserve">sobreseer </w:t>
      </w:r>
      <w:r w:rsidR="00147390" w:rsidRPr="006E1497">
        <w:rPr>
          <w:rFonts w:ascii="Palatino Linotype" w:eastAsia="Palatino Linotype" w:hAnsi="Palatino Linotype" w:cs="Palatino Linotype"/>
        </w:rPr>
        <w:t xml:space="preserve">el presente recurso de revisión. </w:t>
      </w:r>
    </w:p>
    <w:p w14:paraId="5DB468C7" w14:textId="77777777" w:rsidR="009C294B" w:rsidRPr="006E1497" w:rsidRDefault="00F574A6" w:rsidP="00147390">
      <w:pPr>
        <w:spacing w:before="240" w:after="240" w:line="360" w:lineRule="auto"/>
        <w:ind w:right="96"/>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rPr>
        <w:t xml:space="preserve">Siendo el </w:t>
      </w:r>
      <w:r w:rsidRPr="006E1497">
        <w:rPr>
          <w:rFonts w:ascii="Palatino Linotype" w:eastAsia="Palatino Linotype" w:hAnsi="Palatino Linotype" w:cs="Palatino Linotype"/>
          <w:i/>
        </w:rPr>
        <w:t>sobreseimiento</w:t>
      </w:r>
      <w:r w:rsidRPr="006E1497">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6D2491E0" w14:textId="77777777" w:rsidR="009C294B" w:rsidRPr="006E1497" w:rsidRDefault="00F574A6">
      <w:pPr>
        <w:spacing w:after="120"/>
        <w:ind w:left="851" w:right="902"/>
        <w:jc w:val="both"/>
        <w:rPr>
          <w:rFonts w:ascii="Palatino Linotype" w:eastAsia="Palatino Linotype" w:hAnsi="Palatino Linotype" w:cs="Palatino Linotype"/>
          <w:b/>
          <w:i/>
        </w:rPr>
      </w:pPr>
      <w:r w:rsidRPr="006E1497">
        <w:rPr>
          <w:rFonts w:ascii="Palatino Linotype" w:eastAsia="Palatino Linotype" w:hAnsi="Palatino Linotype" w:cs="Palatino Linotype"/>
          <w:i/>
          <w:sz w:val="22"/>
          <w:szCs w:val="22"/>
        </w:rPr>
        <w:t>“</w:t>
      </w:r>
      <w:r w:rsidRPr="006E1497">
        <w:rPr>
          <w:rFonts w:ascii="Palatino Linotype" w:eastAsia="Palatino Linotype" w:hAnsi="Palatino Linotype" w:cs="Palatino Linotype"/>
          <w:b/>
          <w:i/>
          <w:sz w:val="22"/>
          <w:szCs w:val="22"/>
        </w:rPr>
        <w:t>SOBRESEIMIENTO, NO PERMITE ENTRAR AL ESTUDIO DE LAS CUESTIONES DE FONDO</w:t>
      </w:r>
    </w:p>
    <w:p w14:paraId="2EFD3AAF" w14:textId="77777777" w:rsidR="009C294B" w:rsidRPr="006E1497" w:rsidRDefault="00F574A6">
      <w:pPr>
        <w:spacing w:before="120" w:after="120"/>
        <w:ind w:left="851" w:right="902"/>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i/>
          <w:sz w:val="22"/>
          <w:szCs w:val="22"/>
        </w:rPr>
        <w:lastRenderedPageBreak/>
        <w:t>Localización: 213609. II.2o.183 K. Tribunales Colegiados de Circuito. Octava Época. Semanario Judicial de la Federación. Tomo XIII, Febrero de 1994, Pág. 420</w:t>
      </w:r>
    </w:p>
    <w:p w14:paraId="43C10C3D" w14:textId="77777777" w:rsidR="009C294B" w:rsidRPr="006E1497" w:rsidRDefault="00F574A6">
      <w:pPr>
        <w:spacing w:before="120" w:after="120"/>
        <w:ind w:left="851" w:right="902"/>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5FFF50A2"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60C533D6" w14:textId="77777777" w:rsidR="009C294B" w:rsidRPr="006E1497" w:rsidRDefault="00F574A6">
      <w:pPr>
        <w:spacing w:before="120" w:after="120"/>
        <w:ind w:left="851" w:right="902"/>
        <w:jc w:val="both"/>
        <w:rPr>
          <w:rFonts w:ascii="Palatino Linotype" w:eastAsia="Palatino Linotype" w:hAnsi="Palatino Linotype" w:cs="Palatino Linotype"/>
          <w:b/>
          <w:i/>
          <w:sz w:val="22"/>
          <w:szCs w:val="22"/>
        </w:rPr>
      </w:pPr>
      <w:r w:rsidRPr="006E1497">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0862828B" w14:textId="77777777" w:rsidR="009C294B" w:rsidRPr="006E1497" w:rsidRDefault="00F574A6">
      <w:pPr>
        <w:spacing w:before="120" w:after="120"/>
        <w:ind w:left="851" w:right="902"/>
        <w:jc w:val="both"/>
        <w:rPr>
          <w:rFonts w:ascii="Palatino Linotype" w:eastAsia="Palatino Linotype" w:hAnsi="Palatino Linotype" w:cs="Palatino Linotype"/>
          <w:i/>
          <w:sz w:val="22"/>
          <w:szCs w:val="22"/>
        </w:rPr>
      </w:pPr>
      <w:r w:rsidRPr="006E1497">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6E1497">
        <w:rPr>
          <w:rFonts w:ascii="Palatino Linotype" w:eastAsia="Palatino Linotype" w:hAnsi="Palatino Linotype" w:cs="Palatino Linotype"/>
        </w:rPr>
        <w:tab/>
      </w:r>
    </w:p>
    <w:p w14:paraId="4636D441"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w:t>
      </w:r>
      <w:r w:rsidRPr="006E1497">
        <w:rPr>
          <w:rFonts w:ascii="Palatino Linotype" w:eastAsia="Palatino Linotype" w:hAnsi="Palatino Linotype" w:cs="Palatino Linotype"/>
        </w:rPr>
        <w:lastRenderedPageBreak/>
        <w:t xml:space="preserve">México y Municipios, se </w:t>
      </w:r>
      <w:r w:rsidRPr="006E1497">
        <w:rPr>
          <w:rFonts w:ascii="Palatino Linotype" w:eastAsia="Palatino Linotype" w:hAnsi="Palatino Linotype" w:cs="Palatino Linotype"/>
          <w:b/>
        </w:rPr>
        <w:t xml:space="preserve">Sobresee </w:t>
      </w:r>
      <w:r w:rsidRPr="006E1497">
        <w:rPr>
          <w:rFonts w:ascii="Palatino Linotype" w:eastAsia="Palatino Linotype" w:hAnsi="Palatino Linotype" w:cs="Palatino Linotype"/>
        </w:rPr>
        <w:t xml:space="preserve">el recurso de revisión </w:t>
      </w:r>
      <w:r w:rsidRPr="006E1497">
        <w:rPr>
          <w:rFonts w:ascii="Palatino Linotype" w:eastAsia="Palatino Linotype" w:hAnsi="Palatino Linotype" w:cs="Palatino Linotype"/>
          <w:b/>
        </w:rPr>
        <w:t>04074/INFOEM/IP/RR/2022</w:t>
      </w:r>
      <w:r w:rsidRPr="006E1497">
        <w:rPr>
          <w:rFonts w:ascii="Palatino Linotype" w:eastAsia="Palatino Linotype" w:hAnsi="Palatino Linotype" w:cs="Palatino Linotype"/>
        </w:rPr>
        <w:t>, que ha sido materia del presente fallo.</w:t>
      </w:r>
    </w:p>
    <w:p w14:paraId="40799F93" w14:textId="77777777" w:rsidR="009C294B" w:rsidRPr="006E1497" w:rsidRDefault="00F574A6">
      <w:pPr>
        <w:spacing w:before="240" w:after="240" w:line="360" w:lineRule="auto"/>
        <w:ind w:right="96"/>
        <w:jc w:val="both"/>
        <w:rPr>
          <w:rFonts w:ascii="Palatino Linotype" w:eastAsia="Palatino Linotype" w:hAnsi="Palatino Linotype" w:cs="Palatino Linotype"/>
        </w:rPr>
      </w:pPr>
      <w:r w:rsidRPr="006E149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4EB9BB4" w14:textId="77777777" w:rsidR="009C294B" w:rsidRPr="006E1497" w:rsidRDefault="00F574A6">
      <w:pPr>
        <w:spacing w:before="240" w:after="240" w:line="360" w:lineRule="auto"/>
        <w:jc w:val="center"/>
        <w:rPr>
          <w:rFonts w:ascii="Palatino Linotype" w:eastAsia="Palatino Linotype" w:hAnsi="Palatino Linotype" w:cs="Palatino Linotype"/>
          <w:b/>
        </w:rPr>
      </w:pPr>
      <w:bookmarkStart w:id="4" w:name="_heading=h.1fob9te" w:colFirst="0" w:colLast="0"/>
      <w:bookmarkEnd w:id="4"/>
      <w:r w:rsidRPr="006E1497">
        <w:rPr>
          <w:rFonts w:ascii="Palatino Linotype" w:eastAsia="Palatino Linotype" w:hAnsi="Palatino Linotype" w:cs="Palatino Linotype"/>
          <w:b/>
        </w:rPr>
        <w:t>III. R E S U E L V E:</w:t>
      </w:r>
    </w:p>
    <w:p w14:paraId="2DC0FEF1" w14:textId="77777777" w:rsidR="009C294B" w:rsidRPr="006E1497" w:rsidRDefault="00F574A6">
      <w:pPr>
        <w:tabs>
          <w:tab w:val="left" w:pos="7936"/>
        </w:tabs>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t xml:space="preserve">Primero. </w:t>
      </w:r>
      <w:r w:rsidRPr="006E1497">
        <w:rPr>
          <w:rFonts w:ascii="Palatino Linotype" w:eastAsia="Palatino Linotype" w:hAnsi="Palatino Linotype" w:cs="Palatino Linotype"/>
        </w:rPr>
        <w:t>Se</w:t>
      </w:r>
      <w:r w:rsidRPr="006E1497">
        <w:rPr>
          <w:rFonts w:ascii="Palatino Linotype" w:eastAsia="Palatino Linotype" w:hAnsi="Palatino Linotype" w:cs="Palatino Linotype"/>
          <w:b/>
        </w:rPr>
        <w:t xml:space="preserve"> Sobresee </w:t>
      </w:r>
      <w:r w:rsidRPr="006E1497">
        <w:rPr>
          <w:rFonts w:ascii="Palatino Linotype" w:eastAsia="Palatino Linotype" w:hAnsi="Palatino Linotype" w:cs="Palatino Linotype"/>
        </w:rPr>
        <w:t xml:space="preserve">el recurso de revisión número </w:t>
      </w:r>
      <w:r w:rsidRPr="006E1497">
        <w:rPr>
          <w:rFonts w:ascii="Palatino Linotype" w:eastAsia="Palatino Linotype" w:hAnsi="Palatino Linotype" w:cs="Palatino Linotype"/>
          <w:b/>
        </w:rPr>
        <w:t xml:space="preserve">04074/INFOEM/IP/RR/2022, </w:t>
      </w:r>
      <w:r w:rsidR="00197E5F" w:rsidRPr="006E1497">
        <w:rPr>
          <w:rFonts w:ascii="Palatino Linotype" w:eastAsia="Palatino Linotype" w:hAnsi="Palatino Linotype" w:cs="Palatino Linotype"/>
        </w:rPr>
        <w:t>por improcedente</w:t>
      </w:r>
      <w:r w:rsidR="00197E5F" w:rsidRPr="006E1497">
        <w:rPr>
          <w:rFonts w:ascii="Palatino Linotype" w:eastAsia="Palatino Linotype" w:hAnsi="Palatino Linotype" w:cs="Palatino Linotype"/>
          <w:b/>
        </w:rPr>
        <w:t xml:space="preserve">, </w:t>
      </w:r>
      <w:r w:rsidR="00147390" w:rsidRPr="006E1497">
        <w:rPr>
          <w:rFonts w:ascii="Palatino Linotype" w:eastAsia="Palatino Linotype" w:hAnsi="Palatino Linotype" w:cs="Palatino Linotype"/>
        </w:rPr>
        <w:t xml:space="preserve">por actualizarse la fracción IV </w:t>
      </w:r>
      <w:r w:rsidRPr="006E1497">
        <w:rPr>
          <w:rFonts w:ascii="Palatino Linotype" w:eastAsia="Palatino Linotype" w:hAnsi="Palatino Linotype" w:cs="Palatino Linotype"/>
        </w:rPr>
        <w:t>del artículo 192</w:t>
      </w:r>
      <w:r w:rsidR="00197E5F" w:rsidRPr="006E1497">
        <w:rPr>
          <w:rFonts w:ascii="Palatino Linotype" w:eastAsia="Palatino Linotype" w:hAnsi="Palatino Linotype" w:cs="Palatino Linotype"/>
        </w:rPr>
        <w:t xml:space="preserve">, </w:t>
      </w:r>
      <w:r w:rsidRPr="006E1497">
        <w:rPr>
          <w:rFonts w:ascii="Palatino Linotype" w:eastAsia="Palatino Linotype" w:hAnsi="Palatino Linotype" w:cs="Palatino Linotype"/>
        </w:rPr>
        <w:t xml:space="preserve"> </w:t>
      </w:r>
      <w:r w:rsidR="00197E5F" w:rsidRPr="006E1497">
        <w:rPr>
          <w:rFonts w:ascii="Palatino Linotype" w:eastAsia="Palatino Linotype" w:hAnsi="Palatino Linotype" w:cs="Palatino Linotype"/>
        </w:rPr>
        <w:t>en relación con la fracción III</w:t>
      </w:r>
      <w:r w:rsidRPr="006E1497">
        <w:rPr>
          <w:rFonts w:ascii="Palatino Linotype" w:eastAsia="Palatino Linotype" w:hAnsi="Palatino Linotype" w:cs="Palatino Linotype"/>
        </w:rPr>
        <w:t xml:space="preserve"> </w:t>
      </w:r>
      <w:r w:rsidR="00197E5F" w:rsidRPr="006E1497">
        <w:rPr>
          <w:rFonts w:ascii="Palatino Linotype" w:eastAsia="Palatino Linotype" w:hAnsi="Palatino Linotype" w:cs="Palatino Linotype"/>
        </w:rPr>
        <w:t xml:space="preserve">del artículo 191, ambos, de la Ley de Transparencia y Acceso a la Información Pública del Estado de México y Municipios, </w:t>
      </w:r>
      <w:r w:rsidRPr="006E1497">
        <w:rPr>
          <w:rFonts w:ascii="Palatino Linotype" w:eastAsia="Palatino Linotype" w:hAnsi="Palatino Linotype" w:cs="Palatino Linotype"/>
        </w:rPr>
        <w:t>en términos del Considerando Tercero de la presente resolución.</w:t>
      </w:r>
    </w:p>
    <w:p w14:paraId="60012004" w14:textId="77777777" w:rsidR="009C294B" w:rsidRPr="006E1497" w:rsidRDefault="00F574A6">
      <w:pPr>
        <w:tabs>
          <w:tab w:val="left" w:pos="7936"/>
        </w:tabs>
        <w:spacing w:before="240" w:after="240" w:line="360" w:lineRule="auto"/>
        <w:jc w:val="both"/>
        <w:rPr>
          <w:rFonts w:ascii="Palatino Linotype" w:eastAsia="Palatino Linotype" w:hAnsi="Palatino Linotype" w:cs="Palatino Linotype"/>
        </w:rPr>
      </w:pPr>
      <w:bookmarkStart w:id="5" w:name="_heading=h.30j0zll" w:colFirst="0" w:colLast="0"/>
      <w:bookmarkEnd w:id="5"/>
      <w:r w:rsidRPr="006E1497">
        <w:rPr>
          <w:rFonts w:ascii="Palatino Linotype" w:eastAsia="Palatino Linotype" w:hAnsi="Palatino Linotype" w:cs="Palatino Linotype"/>
          <w:b/>
        </w:rPr>
        <w:t xml:space="preserve">Segundo. Notifíquese, </w:t>
      </w:r>
      <w:r w:rsidRPr="006E1497">
        <w:rPr>
          <w:rFonts w:ascii="Palatino Linotype" w:eastAsia="Palatino Linotype" w:hAnsi="Palatino Linotype" w:cs="Palatino Linotype"/>
        </w:rPr>
        <w:t>vía</w:t>
      </w:r>
      <w:r w:rsidRPr="006E1497">
        <w:rPr>
          <w:rFonts w:ascii="Palatino Linotype" w:eastAsia="Palatino Linotype" w:hAnsi="Palatino Linotype" w:cs="Palatino Linotype"/>
          <w:b/>
        </w:rPr>
        <w:t xml:space="preserve"> SAIMEX,</w:t>
      </w:r>
      <w:r w:rsidRPr="006E1497">
        <w:rPr>
          <w:rFonts w:ascii="Palatino Linotype" w:eastAsia="Palatino Linotype" w:hAnsi="Palatino Linotype" w:cs="Palatino Linotype"/>
        </w:rPr>
        <w:t xml:space="preserve"> al Titular la Unidad de Transparencia del </w:t>
      </w:r>
      <w:r w:rsidRPr="006E1497">
        <w:rPr>
          <w:rFonts w:ascii="Palatino Linotype" w:eastAsia="Palatino Linotype" w:hAnsi="Palatino Linotype" w:cs="Palatino Linotype"/>
          <w:b/>
        </w:rPr>
        <w:t>Sujeto Obligado</w:t>
      </w:r>
      <w:r w:rsidRPr="006E1497">
        <w:rPr>
          <w:rFonts w:ascii="Palatino Linotype" w:eastAsia="Palatino Linotype" w:hAnsi="Palatino Linotype" w:cs="Palatino Linotype"/>
        </w:rPr>
        <w:t xml:space="preserve"> la presente resolución, para su conocimiento.</w:t>
      </w:r>
    </w:p>
    <w:p w14:paraId="263629B3" w14:textId="77777777" w:rsidR="009C294B" w:rsidRPr="006E1497" w:rsidRDefault="00F574A6">
      <w:pPr>
        <w:spacing w:before="240" w:after="240"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b/>
        </w:rPr>
        <w:t xml:space="preserve">Tercero. Notifíquese, </w:t>
      </w:r>
      <w:r w:rsidRPr="006E1497">
        <w:rPr>
          <w:rFonts w:ascii="Palatino Linotype" w:eastAsia="Palatino Linotype" w:hAnsi="Palatino Linotype" w:cs="Palatino Linotype"/>
        </w:rPr>
        <w:t>vía</w:t>
      </w:r>
      <w:r w:rsidRPr="006E1497">
        <w:rPr>
          <w:rFonts w:ascii="Palatino Linotype" w:eastAsia="Palatino Linotype" w:hAnsi="Palatino Linotype" w:cs="Palatino Linotype"/>
          <w:b/>
        </w:rPr>
        <w:t xml:space="preserve"> SAIMEX</w:t>
      </w:r>
      <w:r w:rsidRPr="006E1497">
        <w:rPr>
          <w:rFonts w:ascii="Palatino Linotype" w:eastAsia="Palatino Linotype" w:hAnsi="Palatino Linotype" w:cs="Palatino Linotype"/>
        </w:rPr>
        <w:t>, a</w:t>
      </w:r>
      <w:r w:rsidRPr="006E1497">
        <w:rPr>
          <w:rFonts w:ascii="Palatino Linotype" w:eastAsia="Palatino Linotype" w:hAnsi="Palatino Linotype" w:cs="Palatino Linotype"/>
          <w:b/>
        </w:rPr>
        <w:t xml:space="preserve"> </w:t>
      </w:r>
      <w:r w:rsidRPr="006E1497">
        <w:rPr>
          <w:rFonts w:ascii="Palatino Linotype" w:eastAsia="Palatino Linotype" w:hAnsi="Palatino Linotype" w:cs="Palatino Linotype"/>
        </w:rPr>
        <w:t xml:space="preserve">la parte </w:t>
      </w:r>
      <w:r w:rsidRPr="006E1497">
        <w:rPr>
          <w:rFonts w:ascii="Palatino Linotype" w:eastAsia="Palatino Linotype" w:hAnsi="Palatino Linotype" w:cs="Palatino Linotype"/>
          <w:b/>
        </w:rPr>
        <w:t>Recurrente</w:t>
      </w:r>
      <w:r w:rsidRPr="006E149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6EA6F41" w14:textId="77777777" w:rsidR="009C294B" w:rsidRPr="006E1497" w:rsidRDefault="00F574A6">
      <w:pPr>
        <w:spacing w:line="360" w:lineRule="auto"/>
        <w:jc w:val="both"/>
        <w:rPr>
          <w:rFonts w:ascii="Palatino Linotype" w:eastAsia="Palatino Linotype" w:hAnsi="Palatino Linotype" w:cs="Palatino Linotype"/>
        </w:rPr>
      </w:pPr>
      <w:r w:rsidRPr="006E1497">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DE AGOSTO DE DOS MIL VEINTIDÓS, ANTE EL SECRETARIO TÉCNICO DEL PLENO ALEXIS TAPIA RAMÍREZ.</w:t>
      </w:r>
    </w:p>
    <w:p w14:paraId="6ABABF11" w14:textId="77777777" w:rsidR="009C294B" w:rsidRDefault="009C294B">
      <w:pPr>
        <w:rPr>
          <w:rFonts w:ascii="Palatino Linotype" w:eastAsia="Palatino Linotype" w:hAnsi="Palatino Linotype" w:cs="Palatino Linotype"/>
        </w:rPr>
      </w:pPr>
    </w:p>
    <w:p w14:paraId="1940E0B2" w14:textId="77777777" w:rsidR="009C294B" w:rsidRDefault="009C294B">
      <w:pPr>
        <w:spacing w:line="360" w:lineRule="auto"/>
        <w:jc w:val="both"/>
        <w:rPr>
          <w:rFonts w:ascii="Palatino Linotype" w:eastAsia="Palatino Linotype" w:hAnsi="Palatino Linotype" w:cs="Palatino Linotype"/>
        </w:rPr>
      </w:pPr>
      <w:bookmarkStart w:id="6" w:name="_heading=h.3rdcrjn" w:colFirst="0" w:colLast="0"/>
      <w:bookmarkEnd w:id="6"/>
    </w:p>
    <w:p w14:paraId="68F8C741" w14:textId="6B97209E" w:rsidR="009C294B" w:rsidRDefault="00625A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1FCB3EC4" wp14:editId="34AD5C92">
                <wp:simplePos x="0" y="0"/>
                <wp:positionH relativeFrom="column">
                  <wp:posOffset>387157</wp:posOffset>
                </wp:positionH>
                <wp:positionV relativeFrom="paragraph">
                  <wp:posOffset>75298</wp:posOffset>
                </wp:positionV>
                <wp:extent cx="4582633" cy="3179135"/>
                <wp:effectExtent l="0" t="0" r="27940" b="21590"/>
                <wp:wrapNone/>
                <wp:docPr id="1" name="Conector recto 1"/>
                <wp:cNvGraphicFramePr/>
                <a:graphic xmlns:a="http://schemas.openxmlformats.org/drawingml/2006/main">
                  <a:graphicData uri="http://schemas.microsoft.com/office/word/2010/wordprocessingShape">
                    <wps:wsp>
                      <wps:cNvCnPr/>
                      <wps:spPr>
                        <a:xfrm>
                          <a:off x="0" y="0"/>
                          <a:ext cx="4582633" cy="3179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4418F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5pt,5.95pt" to="391.35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" strokecolor="#4472c4 [3204]" strokeweight=".5pt">
                <v:stroke joinstyle="miter"/>
              </v:line>
            </w:pict>
          </mc:Fallback>
        </mc:AlternateContent>
      </w:r>
    </w:p>
    <w:p w14:paraId="2B010A77" w14:textId="77777777" w:rsidR="009C294B" w:rsidRDefault="009C294B">
      <w:pPr>
        <w:spacing w:line="360" w:lineRule="auto"/>
        <w:jc w:val="both"/>
        <w:rPr>
          <w:rFonts w:ascii="Palatino Linotype" w:eastAsia="Palatino Linotype" w:hAnsi="Palatino Linotype" w:cs="Palatino Linotype"/>
        </w:rPr>
      </w:pPr>
    </w:p>
    <w:p w14:paraId="61FB48C0" w14:textId="77777777" w:rsidR="009C294B" w:rsidRDefault="009C294B">
      <w:pPr>
        <w:spacing w:line="360" w:lineRule="auto"/>
        <w:jc w:val="both"/>
        <w:rPr>
          <w:rFonts w:ascii="Palatino Linotype" w:eastAsia="Palatino Linotype" w:hAnsi="Palatino Linotype" w:cs="Palatino Linotype"/>
        </w:rPr>
      </w:pPr>
    </w:p>
    <w:p w14:paraId="0022DF92" w14:textId="77777777" w:rsidR="009C294B" w:rsidRDefault="009C294B">
      <w:pPr>
        <w:spacing w:line="360" w:lineRule="auto"/>
        <w:jc w:val="both"/>
        <w:rPr>
          <w:rFonts w:ascii="Palatino Linotype" w:eastAsia="Palatino Linotype" w:hAnsi="Palatino Linotype" w:cs="Palatino Linotype"/>
        </w:rPr>
      </w:pPr>
    </w:p>
    <w:p w14:paraId="54E79424" w14:textId="77777777" w:rsidR="009C294B" w:rsidRDefault="009C294B">
      <w:pPr>
        <w:spacing w:line="360" w:lineRule="auto"/>
        <w:jc w:val="both"/>
        <w:rPr>
          <w:rFonts w:ascii="Palatino Linotype" w:eastAsia="Palatino Linotype" w:hAnsi="Palatino Linotype" w:cs="Palatino Linotype"/>
        </w:rPr>
      </w:pPr>
    </w:p>
    <w:p w14:paraId="532B1A72" w14:textId="77777777" w:rsidR="009C294B" w:rsidRDefault="009C294B">
      <w:pPr>
        <w:spacing w:line="360" w:lineRule="auto"/>
        <w:jc w:val="both"/>
        <w:rPr>
          <w:rFonts w:ascii="Palatino Linotype" w:eastAsia="Palatino Linotype" w:hAnsi="Palatino Linotype" w:cs="Palatino Linotype"/>
        </w:rPr>
      </w:pPr>
    </w:p>
    <w:p w14:paraId="37A268D2" w14:textId="77777777" w:rsidR="009C294B" w:rsidRDefault="009C294B">
      <w:pPr>
        <w:spacing w:line="360" w:lineRule="auto"/>
        <w:jc w:val="both"/>
        <w:rPr>
          <w:rFonts w:ascii="Palatino Linotype" w:eastAsia="Palatino Linotype" w:hAnsi="Palatino Linotype" w:cs="Palatino Linotype"/>
        </w:rPr>
      </w:pPr>
    </w:p>
    <w:p w14:paraId="6C9C1F39" w14:textId="77777777" w:rsidR="009C294B" w:rsidRDefault="009C294B">
      <w:pPr>
        <w:spacing w:line="360" w:lineRule="auto"/>
        <w:jc w:val="both"/>
        <w:rPr>
          <w:rFonts w:ascii="Palatino Linotype" w:eastAsia="Palatino Linotype" w:hAnsi="Palatino Linotype" w:cs="Palatino Linotype"/>
        </w:rPr>
      </w:pPr>
    </w:p>
    <w:p w14:paraId="3C66ACDE" w14:textId="77777777" w:rsidR="009C294B" w:rsidRDefault="009C294B">
      <w:pPr>
        <w:spacing w:line="360" w:lineRule="auto"/>
        <w:jc w:val="both"/>
        <w:rPr>
          <w:rFonts w:ascii="Palatino Linotype" w:eastAsia="Palatino Linotype" w:hAnsi="Palatino Linotype" w:cs="Palatino Linotype"/>
        </w:rPr>
      </w:pPr>
    </w:p>
    <w:p w14:paraId="4A028E80" w14:textId="77777777" w:rsidR="009C294B" w:rsidRDefault="009C294B">
      <w:pPr>
        <w:spacing w:line="360" w:lineRule="auto"/>
        <w:jc w:val="both"/>
        <w:rPr>
          <w:rFonts w:ascii="Palatino Linotype" w:eastAsia="Palatino Linotype" w:hAnsi="Palatino Linotype" w:cs="Palatino Linotype"/>
        </w:rPr>
      </w:pPr>
    </w:p>
    <w:p w14:paraId="5F2193C6" w14:textId="77777777" w:rsidR="009C294B" w:rsidRDefault="009C294B">
      <w:pPr>
        <w:spacing w:line="360" w:lineRule="auto"/>
        <w:jc w:val="both"/>
        <w:rPr>
          <w:rFonts w:ascii="Palatino Linotype" w:eastAsia="Palatino Linotype" w:hAnsi="Palatino Linotype" w:cs="Palatino Linotype"/>
        </w:rPr>
      </w:pPr>
    </w:p>
    <w:p w14:paraId="262EF384" w14:textId="77777777" w:rsidR="009C294B" w:rsidRDefault="009C294B">
      <w:pPr>
        <w:spacing w:line="360" w:lineRule="auto"/>
        <w:jc w:val="both"/>
        <w:rPr>
          <w:rFonts w:ascii="Palatino Linotype" w:eastAsia="Palatino Linotype" w:hAnsi="Palatino Linotype" w:cs="Palatino Linotype"/>
        </w:rPr>
      </w:pPr>
    </w:p>
    <w:p w14:paraId="7240C799" w14:textId="77777777" w:rsidR="009C294B" w:rsidRDefault="009C294B">
      <w:pPr>
        <w:spacing w:line="360" w:lineRule="auto"/>
        <w:jc w:val="both"/>
        <w:rPr>
          <w:rFonts w:ascii="Palatino Linotype" w:eastAsia="Palatino Linotype" w:hAnsi="Palatino Linotype" w:cs="Palatino Linotype"/>
        </w:rPr>
      </w:pPr>
    </w:p>
    <w:p w14:paraId="3A361EB6" w14:textId="77777777" w:rsidR="009C294B" w:rsidRDefault="009C294B">
      <w:pPr>
        <w:spacing w:line="360" w:lineRule="auto"/>
        <w:jc w:val="both"/>
        <w:rPr>
          <w:rFonts w:ascii="Palatino Linotype" w:eastAsia="Palatino Linotype" w:hAnsi="Palatino Linotype" w:cs="Palatino Linotype"/>
        </w:rPr>
      </w:pPr>
    </w:p>
    <w:p w14:paraId="4944F5C5" w14:textId="77777777" w:rsidR="009C294B" w:rsidRDefault="009C294B">
      <w:pPr>
        <w:spacing w:line="360" w:lineRule="auto"/>
        <w:jc w:val="both"/>
        <w:rPr>
          <w:rFonts w:ascii="Palatino Linotype" w:eastAsia="Palatino Linotype" w:hAnsi="Palatino Linotype" w:cs="Palatino Linotype"/>
        </w:rPr>
      </w:pPr>
    </w:p>
    <w:p w14:paraId="7595759B" w14:textId="77777777" w:rsidR="009C294B" w:rsidRDefault="009C294B">
      <w:pPr>
        <w:spacing w:line="360" w:lineRule="auto"/>
        <w:jc w:val="both"/>
        <w:rPr>
          <w:rFonts w:ascii="Palatino Linotype" w:eastAsia="Palatino Linotype" w:hAnsi="Palatino Linotype" w:cs="Palatino Linotype"/>
        </w:rPr>
      </w:pPr>
    </w:p>
    <w:p w14:paraId="01CDC2DC" w14:textId="77777777" w:rsidR="009C294B" w:rsidRDefault="009C294B">
      <w:pPr>
        <w:spacing w:line="360" w:lineRule="auto"/>
        <w:jc w:val="both"/>
        <w:rPr>
          <w:rFonts w:ascii="Palatino Linotype" w:eastAsia="Palatino Linotype" w:hAnsi="Palatino Linotype" w:cs="Palatino Linotype"/>
        </w:rPr>
      </w:pPr>
    </w:p>
    <w:p w14:paraId="4DB915AA" w14:textId="77777777" w:rsidR="009C294B" w:rsidRDefault="009C294B">
      <w:pPr>
        <w:spacing w:line="360" w:lineRule="auto"/>
        <w:jc w:val="both"/>
        <w:rPr>
          <w:rFonts w:ascii="Palatino Linotype" w:eastAsia="Palatino Linotype" w:hAnsi="Palatino Linotype" w:cs="Palatino Linotype"/>
        </w:rPr>
      </w:pPr>
    </w:p>
    <w:p w14:paraId="5080E6E3" w14:textId="77777777" w:rsidR="009C294B" w:rsidRDefault="009C294B">
      <w:pPr>
        <w:spacing w:line="360" w:lineRule="auto"/>
        <w:jc w:val="both"/>
        <w:rPr>
          <w:rFonts w:ascii="Palatino Linotype" w:eastAsia="Palatino Linotype" w:hAnsi="Palatino Linotype" w:cs="Palatino Linotype"/>
        </w:rPr>
      </w:pPr>
    </w:p>
    <w:p w14:paraId="7C2671EC" w14:textId="77777777" w:rsidR="009C294B" w:rsidRDefault="009C294B">
      <w:pPr>
        <w:spacing w:line="360" w:lineRule="auto"/>
        <w:jc w:val="both"/>
        <w:rPr>
          <w:rFonts w:ascii="Palatino Linotype" w:eastAsia="Palatino Linotype" w:hAnsi="Palatino Linotype" w:cs="Palatino Linotype"/>
        </w:rPr>
      </w:pPr>
    </w:p>
    <w:p w14:paraId="69ED544E" w14:textId="77777777" w:rsidR="009C294B" w:rsidRDefault="009C294B">
      <w:pPr>
        <w:rPr>
          <w:rFonts w:ascii="Palatino Linotype" w:eastAsia="Palatino Linotype" w:hAnsi="Palatino Linotype" w:cs="Palatino Linotype"/>
          <w:b/>
        </w:rPr>
      </w:pPr>
    </w:p>
    <w:sectPr w:rsidR="009C294B">
      <w:headerReference w:type="default" r:id="rId16"/>
      <w:footerReference w:type="default" r:id="rId17"/>
      <w:headerReference w:type="first" r:id="rId18"/>
      <w:footerReference w:type="first" r:id="rId19"/>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58B1F" w14:textId="77777777" w:rsidR="0096056A" w:rsidRDefault="0096056A">
      <w:r>
        <w:separator/>
      </w:r>
    </w:p>
  </w:endnote>
  <w:endnote w:type="continuationSeparator" w:id="0">
    <w:p w14:paraId="1D0BB5AD" w14:textId="77777777" w:rsidR="0096056A" w:rsidRDefault="0096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3D164" w14:textId="77777777" w:rsidR="009C294B" w:rsidRDefault="00F574A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7118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7118C">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2EE4B528" w14:textId="77777777" w:rsidR="009C294B" w:rsidRDefault="009C294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65D89" w14:textId="77777777" w:rsidR="009C294B" w:rsidRDefault="00F574A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7118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7118C">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56BF316D" w14:textId="77777777" w:rsidR="009C294B" w:rsidRDefault="009C294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6E95F" w14:textId="77777777" w:rsidR="0096056A" w:rsidRDefault="0096056A">
      <w:r>
        <w:separator/>
      </w:r>
    </w:p>
  </w:footnote>
  <w:footnote w:type="continuationSeparator" w:id="0">
    <w:p w14:paraId="3B32703C" w14:textId="77777777" w:rsidR="0096056A" w:rsidRDefault="00960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2C4F" w14:textId="77777777" w:rsidR="009C294B" w:rsidRDefault="00F574A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58744707" wp14:editId="7FD5CAC7">
          <wp:simplePos x="0" y="0"/>
          <wp:positionH relativeFrom="column">
            <wp:posOffset>-1246505</wp:posOffset>
          </wp:positionH>
          <wp:positionV relativeFrom="paragraph">
            <wp:posOffset>-529590</wp:posOffset>
          </wp:positionV>
          <wp:extent cx="7635600" cy="9943200"/>
          <wp:effectExtent l="0" t="0" r="0" b="0"/>
          <wp:wrapNone/>
          <wp:docPr id="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037" w:type="dxa"/>
      <w:tblInd w:w="3119" w:type="dxa"/>
      <w:tblLayout w:type="fixed"/>
      <w:tblLook w:val="0400" w:firstRow="0" w:lastRow="0" w:firstColumn="0" w:lastColumn="0" w:noHBand="0" w:noVBand="1"/>
    </w:tblPr>
    <w:tblGrid>
      <w:gridCol w:w="2650"/>
      <w:gridCol w:w="3387"/>
    </w:tblGrid>
    <w:tr w:rsidR="009C294B" w14:paraId="23742D0A" w14:textId="77777777" w:rsidTr="005E0A59">
      <w:trPr>
        <w:trHeight w:val="107"/>
      </w:trPr>
      <w:tc>
        <w:tcPr>
          <w:tcW w:w="2650" w:type="dxa"/>
          <w:vAlign w:val="center"/>
        </w:tcPr>
        <w:p w14:paraId="4940AE09" w14:textId="77777777" w:rsidR="009C294B" w:rsidRDefault="00F574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87" w:type="dxa"/>
          <w:vAlign w:val="center"/>
        </w:tcPr>
        <w:p w14:paraId="51617938" w14:textId="77777777" w:rsidR="009C294B" w:rsidRDefault="00F574A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04074/INFOEM/IP/RR/2022. </w:t>
          </w:r>
        </w:p>
      </w:tc>
    </w:tr>
    <w:tr w:rsidR="009C294B" w14:paraId="24BA42E5" w14:textId="77777777" w:rsidTr="005E0A59">
      <w:trPr>
        <w:trHeight w:val="107"/>
      </w:trPr>
      <w:tc>
        <w:tcPr>
          <w:tcW w:w="2650" w:type="dxa"/>
          <w:vAlign w:val="center"/>
        </w:tcPr>
        <w:p w14:paraId="3AF0AE5A" w14:textId="77777777" w:rsidR="009C294B" w:rsidRDefault="009C294B">
          <w:pPr>
            <w:rPr>
              <w:rFonts w:ascii="Palatino Linotype" w:eastAsia="Palatino Linotype" w:hAnsi="Palatino Linotype" w:cs="Palatino Linotype"/>
              <w:b/>
              <w:sz w:val="22"/>
              <w:szCs w:val="22"/>
            </w:rPr>
          </w:pPr>
        </w:p>
      </w:tc>
      <w:tc>
        <w:tcPr>
          <w:tcW w:w="3387" w:type="dxa"/>
          <w:vAlign w:val="center"/>
        </w:tcPr>
        <w:p w14:paraId="3E5D84BE" w14:textId="77777777" w:rsidR="009C294B" w:rsidRDefault="009C294B">
          <w:pPr>
            <w:jc w:val="both"/>
            <w:rPr>
              <w:rFonts w:ascii="Palatino Linotype" w:eastAsia="Palatino Linotype" w:hAnsi="Palatino Linotype" w:cs="Palatino Linotype"/>
              <w:b/>
              <w:sz w:val="22"/>
              <w:szCs w:val="22"/>
            </w:rPr>
          </w:pPr>
        </w:p>
      </w:tc>
    </w:tr>
    <w:tr w:rsidR="009C294B" w14:paraId="2A87AB2C" w14:textId="77777777" w:rsidTr="005E0A59">
      <w:trPr>
        <w:trHeight w:val="82"/>
      </w:trPr>
      <w:tc>
        <w:tcPr>
          <w:tcW w:w="2650" w:type="dxa"/>
          <w:vAlign w:val="center"/>
        </w:tcPr>
        <w:p w14:paraId="18A504D0" w14:textId="77777777" w:rsidR="009C294B" w:rsidRDefault="00F574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87" w:type="dxa"/>
          <w:vAlign w:val="center"/>
        </w:tcPr>
        <w:p w14:paraId="0DB66D31" w14:textId="77777777" w:rsidR="009C294B" w:rsidRDefault="00F574A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roofErr w:type="gramStart"/>
          <w:r>
            <w:rPr>
              <w:rFonts w:ascii="Palatino Linotype" w:eastAsia="Palatino Linotype" w:hAnsi="Palatino Linotype" w:cs="Palatino Linotype"/>
              <w:b/>
              <w:sz w:val="22"/>
              <w:szCs w:val="22"/>
            </w:rPr>
            <w:t>..</w:t>
          </w:r>
          <w:proofErr w:type="gramEnd"/>
        </w:p>
      </w:tc>
    </w:tr>
    <w:tr w:rsidR="009C294B" w14:paraId="0D1CBBA5" w14:textId="77777777" w:rsidTr="005E0A59">
      <w:trPr>
        <w:trHeight w:val="658"/>
      </w:trPr>
      <w:tc>
        <w:tcPr>
          <w:tcW w:w="2650" w:type="dxa"/>
          <w:vAlign w:val="center"/>
        </w:tcPr>
        <w:p w14:paraId="31BE7D91" w14:textId="77777777" w:rsidR="009C294B" w:rsidRDefault="00F574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87" w:type="dxa"/>
          <w:vAlign w:val="center"/>
        </w:tcPr>
        <w:p w14:paraId="73E4018F" w14:textId="77777777" w:rsidR="009C294B" w:rsidRDefault="00F574A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57639D" w14:textId="77777777" w:rsidR="009C294B" w:rsidRDefault="009C294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E2F14" w14:textId="77777777" w:rsidR="009C294B" w:rsidRDefault="00F574A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47D1426F" wp14:editId="41EE65D4">
          <wp:simplePos x="0" y="0"/>
          <wp:positionH relativeFrom="column">
            <wp:posOffset>-680312</wp:posOffset>
          </wp:positionH>
          <wp:positionV relativeFrom="paragraph">
            <wp:posOffset>-168883</wp:posOffset>
          </wp:positionV>
          <wp:extent cx="7635600" cy="9943200"/>
          <wp:effectExtent l="0" t="0" r="0" b="0"/>
          <wp:wrapNone/>
          <wp:docPr id="4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812" w:type="dxa"/>
      <w:tblInd w:w="3119" w:type="dxa"/>
      <w:tblLayout w:type="fixed"/>
      <w:tblLook w:val="0400" w:firstRow="0" w:lastRow="0" w:firstColumn="0" w:lastColumn="0" w:noHBand="0" w:noVBand="1"/>
    </w:tblPr>
    <w:tblGrid>
      <w:gridCol w:w="2551"/>
      <w:gridCol w:w="3261"/>
    </w:tblGrid>
    <w:tr w:rsidR="009C294B" w14:paraId="76023840" w14:textId="77777777">
      <w:tc>
        <w:tcPr>
          <w:tcW w:w="2551" w:type="dxa"/>
          <w:vAlign w:val="center"/>
        </w:tcPr>
        <w:p w14:paraId="70D10D85" w14:textId="77777777" w:rsidR="009C294B" w:rsidRDefault="00F574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1F009FE1" w14:textId="77777777" w:rsidR="009C294B" w:rsidRDefault="00F574A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04074/INFOEM/IP/RR/2022. </w:t>
          </w:r>
        </w:p>
      </w:tc>
    </w:tr>
    <w:tr w:rsidR="009C294B" w14:paraId="3D9A15D8" w14:textId="77777777">
      <w:tc>
        <w:tcPr>
          <w:tcW w:w="2551" w:type="dxa"/>
          <w:vAlign w:val="center"/>
        </w:tcPr>
        <w:p w14:paraId="4E34F452" w14:textId="77777777" w:rsidR="009C294B" w:rsidRDefault="00F574A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608DDE68" w14:textId="5FA2A7F4" w:rsidR="009C294B" w:rsidRDefault="005E21A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r w:rsidR="00F574A6">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r w:rsidR="00F574A6">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w:t>
          </w:r>
        </w:p>
      </w:tc>
    </w:tr>
    <w:tr w:rsidR="009C294B" w14:paraId="3B05D051" w14:textId="77777777">
      <w:trPr>
        <w:trHeight w:val="228"/>
      </w:trPr>
      <w:tc>
        <w:tcPr>
          <w:tcW w:w="2551" w:type="dxa"/>
          <w:vAlign w:val="center"/>
        </w:tcPr>
        <w:p w14:paraId="5B44E60B" w14:textId="77777777" w:rsidR="009C294B" w:rsidRDefault="00F574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7D3A2762" w14:textId="77777777" w:rsidR="009C294B" w:rsidRDefault="00F574A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roofErr w:type="gramStart"/>
          <w:r>
            <w:rPr>
              <w:rFonts w:ascii="Palatino Linotype" w:eastAsia="Palatino Linotype" w:hAnsi="Palatino Linotype" w:cs="Palatino Linotype"/>
              <w:b/>
              <w:sz w:val="22"/>
              <w:szCs w:val="22"/>
            </w:rPr>
            <w:t>..</w:t>
          </w:r>
          <w:proofErr w:type="gramEnd"/>
        </w:p>
      </w:tc>
    </w:tr>
    <w:tr w:rsidR="009C294B" w14:paraId="308FFF21" w14:textId="77777777">
      <w:tc>
        <w:tcPr>
          <w:tcW w:w="2551" w:type="dxa"/>
          <w:vAlign w:val="center"/>
        </w:tcPr>
        <w:p w14:paraId="691574B0" w14:textId="77777777" w:rsidR="009C294B" w:rsidRDefault="00F574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772A65CA" w14:textId="77777777" w:rsidR="009C294B" w:rsidRDefault="00F574A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F3B5B80" w14:textId="77777777" w:rsidR="009C294B" w:rsidRDefault="009C294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5FAD"/>
    <w:multiLevelType w:val="multilevel"/>
    <w:tmpl w:val="8BC8F8F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FAB4C95"/>
    <w:multiLevelType w:val="multilevel"/>
    <w:tmpl w:val="5D9C9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9011D4"/>
    <w:multiLevelType w:val="multilevel"/>
    <w:tmpl w:val="5DDC32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953FBA"/>
    <w:multiLevelType w:val="multilevel"/>
    <w:tmpl w:val="1C542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8B533F"/>
    <w:multiLevelType w:val="multilevel"/>
    <w:tmpl w:val="A1827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882198"/>
    <w:multiLevelType w:val="multilevel"/>
    <w:tmpl w:val="F0C2E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0239A9"/>
    <w:multiLevelType w:val="multilevel"/>
    <w:tmpl w:val="7CD69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2"/>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94B"/>
    <w:rsid w:val="0007118C"/>
    <w:rsid w:val="00147390"/>
    <w:rsid w:val="00197E5F"/>
    <w:rsid w:val="001C33A5"/>
    <w:rsid w:val="00204F86"/>
    <w:rsid w:val="003E1628"/>
    <w:rsid w:val="005E0A59"/>
    <w:rsid w:val="005E21AB"/>
    <w:rsid w:val="00625AA6"/>
    <w:rsid w:val="006E1497"/>
    <w:rsid w:val="00815A0A"/>
    <w:rsid w:val="008D53E3"/>
    <w:rsid w:val="0096056A"/>
    <w:rsid w:val="009C294B"/>
    <w:rsid w:val="00A764ED"/>
    <w:rsid w:val="00CE7A82"/>
    <w:rsid w:val="00D27475"/>
    <w:rsid w:val="00F574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C29B0"/>
  <w15:docId w15:val="{C1DCB716-D6A3-4EAC-A8C3-AB0B19DC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AD7"/>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85AD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85AD7"/>
    <w:pPr>
      <w:ind w:left="708"/>
    </w:pPr>
    <w:rPr>
      <w:sz w:val="22"/>
      <w:szCs w:val="22"/>
      <w:lang w:eastAsia="en-US"/>
    </w:rPr>
  </w:style>
  <w:style w:type="paragraph" w:customStyle="1" w:styleId="paragraph">
    <w:name w:val="paragraph"/>
    <w:basedOn w:val="Normal"/>
    <w:rsid w:val="00E85AD7"/>
    <w:pPr>
      <w:spacing w:before="100" w:beforeAutospacing="1" w:after="100" w:afterAutospacing="1"/>
    </w:pPr>
    <w:rPr>
      <w:lang w:val="es-MX" w:eastAsia="es-MX"/>
    </w:rPr>
  </w:style>
  <w:style w:type="character" w:customStyle="1" w:styleId="normaltextrun">
    <w:name w:val="normaltextrun"/>
    <w:basedOn w:val="Fuentedeprrafopredeter"/>
    <w:rsid w:val="00E85AD7"/>
  </w:style>
  <w:style w:type="character" w:customStyle="1" w:styleId="apple-converted-space">
    <w:name w:val="apple-converted-space"/>
    <w:basedOn w:val="Fuentedeprrafopredeter"/>
    <w:rsid w:val="00E85AD7"/>
  </w:style>
  <w:style w:type="table" w:styleId="Tablaconcuadrcula">
    <w:name w:val="Table Grid"/>
    <w:basedOn w:val="Tablanormal"/>
    <w:uiPriority w:val="39"/>
    <w:rsid w:val="00E85AD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85AD7"/>
    <w:pPr>
      <w:tabs>
        <w:tab w:val="center" w:pos="4419"/>
        <w:tab w:val="right" w:pos="8838"/>
      </w:tabs>
    </w:pPr>
  </w:style>
  <w:style w:type="character" w:customStyle="1" w:styleId="EncabezadoCar">
    <w:name w:val="Encabezado Car"/>
    <w:basedOn w:val="Fuentedeprrafopredeter"/>
    <w:link w:val="Encabezado"/>
    <w:uiPriority w:val="99"/>
    <w:rsid w:val="00E85AD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85AD7"/>
    <w:pPr>
      <w:tabs>
        <w:tab w:val="center" w:pos="4419"/>
        <w:tab w:val="right" w:pos="8838"/>
      </w:tabs>
    </w:pPr>
  </w:style>
  <w:style w:type="character" w:customStyle="1" w:styleId="PiedepginaCar">
    <w:name w:val="Pie de página Car"/>
    <w:basedOn w:val="Fuentedeprrafopredeter"/>
    <w:link w:val="Piedepgina"/>
    <w:uiPriority w:val="99"/>
    <w:rsid w:val="00E85AD7"/>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E85AD7"/>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61543.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SWX2dJfqNGHTFbiB4Nb+6atY9A==">AMUW2mXnoNpkO8tGBqbig5pmF6xcQL7OWNGqRAzH7ECv8lw0hdW14RNIhpitsg54rKd2vqW7UUIkKtOZvC0acPpzvPH90HODesGHKA2TXYnhWY3LpGVCqDuxc+yccho5Y2XiIJMpU9pkU0pWsEAOs/frMvUtZR0yC+DQGJpgJu6gWWUjsTitobC2F8AQNMFvZLR0yk5IGxIl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4905</Words>
  <Characters>26982</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KEPZAR Productos y Servicios de Tecnología</dc:creator>
  <cp:lastModifiedBy>Jhancarlo</cp:lastModifiedBy>
  <cp:revision>3</cp:revision>
  <cp:lastPrinted>2022-08-12T18:26:00Z</cp:lastPrinted>
  <dcterms:created xsi:type="dcterms:W3CDTF">2022-09-06T23:13:00Z</dcterms:created>
  <dcterms:modified xsi:type="dcterms:W3CDTF">2022-10-14T19:52:00Z</dcterms:modified>
</cp:coreProperties>
</file>