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34EF905B" w:rsidR="00D34057" w:rsidRPr="00B21190" w:rsidRDefault="00D34057" w:rsidP="00E91EE4">
      <w:pPr>
        <w:shd w:val="clear" w:color="auto" w:fill="FFFFFF"/>
        <w:spacing w:before="240" w:line="360" w:lineRule="auto"/>
        <w:jc w:val="both"/>
        <w:rPr>
          <w:rFonts w:ascii="Palatino Linotype" w:hAnsi="Palatino Linotype" w:cs="Arial"/>
          <w:color w:val="000000"/>
          <w:lang w:eastAsia="es-MX"/>
        </w:rPr>
      </w:pPr>
      <w:r w:rsidRPr="00B21190">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FE434F">
        <w:rPr>
          <w:rFonts w:ascii="Palatino Linotype" w:hAnsi="Palatino Linotype" w:cs="Arial"/>
          <w:color w:val="000000"/>
          <w:lang w:eastAsia="es-MX"/>
        </w:rPr>
        <w:t>vein</w:t>
      </w:r>
      <w:r w:rsidR="006E4031">
        <w:rPr>
          <w:rFonts w:ascii="Palatino Linotype" w:hAnsi="Palatino Linotype" w:cs="Arial"/>
          <w:color w:val="000000"/>
          <w:lang w:eastAsia="es-MX"/>
        </w:rPr>
        <w:t>tisiete</w:t>
      </w:r>
      <w:r w:rsidR="003A47D8">
        <w:rPr>
          <w:rFonts w:ascii="Palatino Linotype" w:hAnsi="Palatino Linotype" w:cs="Arial"/>
          <w:color w:val="000000"/>
          <w:lang w:eastAsia="es-MX"/>
        </w:rPr>
        <w:t xml:space="preserve"> de enero de dos mil veintidós</w:t>
      </w:r>
      <w:r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0AA1F60B"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bookmarkStart w:id="0" w:name="_Hlk93565887"/>
      <w:r w:rsidR="00FE434F" w:rsidRPr="00FE434F">
        <w:rPr>
          <w:rFonts w:ascii="Palatino Linotype" w:hAnsi="Palatino Linotype" w:cs="Arial"/>
          <w:b/>
          <w:bCs/>
          <w:lang w:eastAsia="es-MX"/>
        </w:rPr>
        <w:t>05440/INFOEM/IP/RR/2021</w:t>
      </w:r>
      <w:bookmarkEnd w:id="0"/>
      <w:r w:rsidR="000D4CB2" w:rsidRPr="00B21190">
        <w:rPr>
          <w:rFonts w:ascii="Palatino Linotype" w:hAnsi="Palatino Linotype" w:cs="Arial"/>
        </w:rPr>
        <w:t xml:space="preserve">, </w:t>
      </w:r>
      <w:r w:rsidR="00165D3D" w:rsidRPr="00224181">
        <w:rPr>
          <w:rFonts w:ascii="Palatino Linotype" w:hAnsi="Palatino Linotype"/>
        </w:rPr>
        <w:t>interpuesto por</w:t>
      </w:r>
      <w:r w:rsidR="00165D3D">
        <w:rPr>
          <w:rFonts w:ascii="Palatino Linotype" w:hAnsi="Palatino Linotype"/>
        </w:rPr>
        <w:t xml:space="preserve"> </w:t>
      </w:r>
      <w:proofErr w:type="spellStart"/>
      <w:r w:rsidR="007939EB">
        <w:rPr>
          <w:rFonts w:ascii="Palatino Linotype" w:hAnsi="Palatino Linotype"/>
          <w:b/>
          <w:bCs/>
        </w:rPr>
        <w:t>xxxx</w:t>
      </w:r>
      <w:proofErr w:type="spellEnd"/>
      <w:r w:rsidR="00165D3D">
        <w:rPr>
          <w:rFonts w:ascii="Palatino Linotype" w:hAnsi="Palatino Linotype"/>
        </w:rPr>
        <w:t xml:space="preserve">, en lo sucesivo </w:t>
      </w:r>
      <w:r w:rsidR="00FE434F">
        <w:rPr>
          <w:rFonts w:ascii="Palatino Linotype" w:hAnsi="Palatino Linotype"/>
        </w:rPr>
        <w:t>el</w:t>
      </w:r>
      <w:r w:rsidR="00165D3D">
        <w:rPr>
          <w:rFonts w:ascii="Palatino Linotype" w:hAnsi="Palatino Linotype"/>
          <w:b/>
        </w:rPr>
        <w:t xml:space="preserve">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165D3D">
        <w:rPr>
          <w:rFonts w:ascii="Palatino Linotype" w:hAnsi="Palatino Linotype" w:cs="Arial"/>
        </w:rPr>
        <w:t>l</w:t>
      </w:r>
      <w:r w:rsidRPr="00B21190">
        <w:rPr>
          <w:rFonts w:ascii="Palatino Linotype" w:hAnsi="Palatino Linotype" w:cs="Arial"/>
        </w:rPr>
        <w:t xml:space="preserve"> </w:t>
      </w:r>
      <w:r w:rsidR="00FE434F" w:rsidRPr="00FE434F">
        <w:rPr>
          <w:rFonts w:ascii="Palatino Linotype" w:hAnsi="Palatino Linotype" w:cs="Arial"/>
          <w:b/>
        </w:rPr>
        <w:t>Ayuntamiento de Tepotzotlán</w:t>
      </w:r>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42DB484B" w14:textId="77777777" w:rsidR="00D34057" w:rsidRPr="00B21190" w:rsidRDefault="00D34057" w:rsidP="00FF74F5">
      <w:pPr>
        <w:spacing w:line="360" w:lineRule="auto"/>
        <w:jc w:val="both"/>
        <w:rPr>
          <w:rFonts w:ascii="Palatino Linotype" w:hAnsi="Palatino Linotype"/>
        </w:rPr>
      </w:pPr>
      <w:r w:rsidRPr="00B21190">
        <w:rPr>
          <w:rFonts w:ascii="Palatino Linotype" w:hAnsi="Palatino Linotype" w:cs="Arial"/>
          <w:b/>
          <w:sz w:val="28"/>
        </w:rPr>
        <w:t>PRIMERO.</w:t>
      </w:r>
      <w:r w:rsidRPr="00B21190">
        <w:rPr>
          <w:rFonts w:ascii="Palatino Linotype" w:hAnsi="Palatino Linotype" w:cs="Arial"/>
        </w:rPr>
        <w:t xml:space="preserve"> </w:t>
      </w:r>
      <w:r w:rsidRPr="00B21190">
        <w:rPr>
          <w:rFonts w:ascii="Palatino Linotype" w:hAnsi="Palatino Linotype"/>
          <w:b/>
          <w:sz w:val="28"/>
          <w:szCs w:val="28"/>
        </w:rPr>
        <w:t>De la Solicitud de Información.</w:t>
      </w:r>
    </w:p>
    <w:p w14:paraId="73B12099" w14:textId="645B6DEB" w:rsidR="005219ED" w:rsidRPr="005219ED" w:rsidRDefault="005219ED" w:rsidP="005219ED">
      <w:pPr>
        <w:spacing w:line="360" w:lineRule="auto"/>
        <w:jc w:val="both"/>
        <w:rPr>
          <w:rFonts w:ascii="Palatino Linotype" w:hAnsi="Palatino Linotype"/>
        </w:rPr>
      </w:pPr>
      <w:r w:rsidRPr="005219ED">
        <w:rPr>
          <w:rFonts w:ascii="Palatino Linotype" w:hAnsi="Palatino Linotype"/>
        </w:rPr>
        <w:t xml:space="preserve">Con fecha </w:t>
      </w:r>
      <w:r w:rsidR="00FE434F">
        <w:rPr>
          <w:rFonts w:ascii="Palatino Linotype" w:hAnsi="Palatino Linotype"/>
        </w:rPr>
        <w:t>cinco de octubre</w:t>
      </w:r>
      <w:r w:rsidR="00BA55C8">
        <w:rPr>
          <w:rFonts w:ascii="Palatino Linotype" w:hAnsi="Palatino Linotype"/>
        </w:rPr>
        <w:t xml:space="preserve"> de dos mil veintiuno</w:t>
      </w:r>
      <w:r w:rsidRPr="005219ED">
        <w:rPr>
          <w:rFonts w:ascii="Palatino Linotype" w:hAnsi="Palatino Linotype"/>
        </w:rPr>
        <w:t xml:space="preserve">, </w:t>
      </w:r>
      <w:r w:rsidR="006A6499">
        <w:rPr>
          <w:rFonts w:ascii="Palatino Linotype" w:hAnsi="Palatino Linotype"/>
          <w:b/>
        </w:rPr>
        <w:t>el</w:t>
      </w:r>
      <w:r w:rsidR="00293D51">
        <w:rPr>
          <w:rFonts w:ascii="Palatino Linotype" w:hAnsi="Palatino Linotype"/>
          <w:b/>
        </w:rPr>
        <w:t xml:space="preserve"> Recurrente</w:t>
      </w:r>
      <w:r w:rsidRPr="005219ED">
        <w:rPr>
          <w:rFonts w:ascii="Palatino Linotype" w:hAnsi="Palatino Linotype"/>
        </w:rPr>
        <w:t>, presentó a través del Sistema de Acceso a la Información Mexiquense (</w:t>
      </w:r>
      <w:r w:rsidRPr="005219ED">
        <w:rPr>
          <w:rFonts w:ascii="Palatino Linotype" w:hAnsi="Palatino Linotype"/>
          <w:b/>
        </w:rPr>
        <w:t>SAIMEX)</w:t>
      </w:r>
      <w:r w:rsidRPr="005219ED">
        <w:rPr>
          <w:rFonts w:ascii="Palatino Linotype" w:hAnsi="Palatino Linotype"/>
        </w:rPr>
        <w:t xml:space="preserve"> ante </w:t>
      </w:r>
      <w:r w:rsidRPr="005219ED">
        <w:rPr>
          <w:rFonts w:ascii="Palatino Linotype" w:hAnsi="Palatino Linotype"/>
          <w:b/>
        </w:rPr>
        <w:t>el</w:t>
      </w:r>
      <w:r w:rsidRPr="005219ED">
        <w:rPr>
          <w:rFonts w:ascii="Palatino Linotype" w:hAnsi="Palatino Linotype"/>
        </w:rPr>
        <w:t xml:space="preserve"> </w:t>
      </w:r>
      <w:r w:rsidRPr="005219ED">
        <w:rPr>
          <w:rFonts w:ascii="Palatino Linotype" w:hAnsi="Palatino Linotype"/>
          <w:b/>
        </w:rPr>
        <w:t>Sujeto Obligado</w:t>
      </w:r>
      <w:r w:rsidRPr="005219ED">
        <w:rPr>
          <w:rFonts w:ascii="Palatino Linotype" w:hAnsi="Palatino Linotype"/>
        </w:rPr>
        <w:t>, solicitud de acceso a la información pública, registrada bajo el número de expediente</w:t>
      </w:r>
      <w:r w:rsidRPr="005219ED">
        <w:rPr>
          <w:rFonts w:ascii="Palatino Linotype" w:hAnsi="Palatino Linotype"/>
          <w:b/>
        </w:rPr>
        <w:t xml:space="preserve"> </w:t>
      </w:r>
      <w:r w:rsidR="00FE434F" w:rsidRPr="00FE434F">
        <w:rPr>
          <w:rFonts w:ascii="Palatino Linotype" w:hAnsi="Palatino Linotype"/>
          <w:b/>
        </w:rPr>
        <w:t>00200/TEPOTZOT/IP/2021</w:t>
      </w:r>
      <w:r w:rsidRPr="005219ED">
        <w:rPr>
          <w:rFonts w:ascii="Palatino Linotype" w:hAnsi="Palatino Linotype"/>
          <w:b/>
          <w:lang w:eastAsia="es-MX"/>
        </w:rPr>
        <w:t xml:space="preserve">, </w:t>
      </w:r>
      <w:r w:rsidRPr="005219ED">
        <w:rPr>
          <w:rFonts w:ascii="Palatino Linotype" w:hAnsi="Palatino Linotype"/>
        </w:rPr>
        <w:t>mediante la cual solicitó información en el tenor siguiente:</w:t>
      </w:r>
    </w:p>
    <w:p w14:paraId="6D3C7D4C" w14:textId="77777777" w:rsidR="005219ED" w:rsidRPr="005219ED" w:rsidRDefault="005219ED" w:rsidP="005219ED">
      <w:pPr>
        <w:spacing w:line="360" w:lineRule="auto"/>
        <w:jc w:val="both"/>
        <w:rPr>
          <w:rFonts w:ascii="Palatino Linotype" w:hAnsi="Palatino Linotype"/>
        </w:rPr>
      </w:pPr>
    </w:p>
    <w:p w14:paraId="408424B1" w14:textId="59E17B0A" w:rsidR="005219ED" w:rsidRPr="00755085" w:rsidRDefault="0066233C" w:rsidP="00755085">
      <w:pPr>
        <w:ind w:left="567" w:right="567"/>
        <w:jc w:val="both"/>
        <w:rPr>
          <w:rFonts w:ascii="Palatino Linotype" w:hAnsi="Palatino Linotype"/>
          <w:i/>
          <w:lang w:val="es-ES_tradnl"/>
        </w:rPr>
      </w:pPr>
      <w:r>
        <w:rPr>
          <w:rFonts w:ascii="Palatino Linotype" w:hAnsi="Palatino Linotype"/>
          <w:i/>
          <w:lang w:val="es-ES_tradnl"/>
        </w:rPr>
        <w:t>“</w:t>
      </w:r>
      <w:r w:rsidR="00B30770" w:rsidRPr="00B30770">
        <w:rPr>
          <w:rFonts w:ascii="Palatino Linotype" w:hAnsi="Palatino Linotype"/>
          <w:i/>
          <w:lang w:val="es-ES_tradnl"/>
        </w:rPr>
        <w:t xml:space="preserve">del contralor interno, haga entrega de los informes mensuales de la autoridad substanciadora, e informe como superior jerárquico el </w:t>
      </w:r>
      <w:proofErr w:type="spellStart"/>
      <w:r w:rsidR="00B30770" w:rsidRPr="00B30770">
        <w:rPr>
          <w:rFonts w:ascii="Palatino Linotype" w:hAnsi="Palatino Linotype"/>
          <w:i/>
          <w:lang w:val="es-ES_tradnl"/>
        </w:rPr>
        <w:t>porque</w:t>
      </w:r>
      <w:proofErr w:type="spellEnd"/>
      <w:r w:rsidR="00B30770" w:rsidRPr="00B30770">
        <w:rPr>
          <w:rFonts w:ascii="Palatino Linotype" w:hAnsi="Palatino Linotype"/>
          <w:i/>
          <w:lang w:val="es-ES_tradnl"/>
        </w:rPr>
        <w:t xml:space="preserve"> las llaves de la oficina se encuentran en poder del personal de servicio social, quienes cubren las ausencias, de la autoridad substanciadora, y de la autoridad </w:t>
      </w:r>
      <w:proofErr w:type="spellStart"/>
      <w:r w:rsidR="00B30770" w:rsidRPr="00B30770">
        <w:rPr>
          <w:rFonts w:ascii="Palatino Linotype" w:hAnsi="Palatino Linotype"/>
          <w:i/>
          <w:lang w:val="es-ES_tradnl"/>
        </w:rPr>
        <w:t>substancidora</w:t>
      </w:r>
      <w:proofErr w:type="spellEnd"/>
      <w:r w:rsidR="00B30770" w:rsidRPr="00B30770">
        <w:rPr>
          <w:rFonts w:ascii="Palatino Linotype" w:hAnsi="Palatino Linotype"/>
          <w:i/>
          <w:lang w:val="es-ES_tradnl"/>
        </w:rPr>
        <w:t xml:space="preserve"> informe el </w:t>
      </w:r>
      <w:proofErr w:type="spellStart"/>
      <w:r w:rsidR="00B30770" w:rsidRPr="00B30770">
        <w:rPr>
          <w:rFonts w:ascii="Palatino Linotype" w:hAnsi="Palatino Linotype"/>
          <w:i/>
          <w:lang w:val="es-ES_tradnl"/>
        </w:rPr>
        <w:t>numero</w:t>
      </w:r>
      <w:proofErr w:type="spellEnd"/>
      <w:r w:rsidR="00B30770" w:rsidRPr="00B30770">
        <w:rPr>
          <w:rFonts w:ascii="Palatino Linotype" w:hAnsi="Palatino Linotype"/>
          <w:i/>
          <w:lang w:val="es-ES_tradnl"/>
        </w:rPr>
        <w:t xml:space="preserve"> de expedientes por responsabilidad iniciados por daño a la hacienda </w:t>
      </w:r>
      <w:proofErr w:type="spellStart"/>
      <w:r w:rsidR="00B30770" w:rsidRPr="00B30770">
        <w:rPr>
          <w:rFonts w:ascii="Palatino Linotype" w:hAnsi="Palatino Linotype"/>
          <w:i/>
          <w:lang w:val="es-ES_tradnl"/>
        </w:rPr>
        <w:t>publica</w:t>
      </w:r>
      <w:proofErr w:type="spellEnd"/>
      <w:r w:rsidR="00B30770" w:rsidRPr="00B30770">
        <w:rPr>
          <w:rFonts w:ascii="Palatino Linotype" w:hAnsi="Palatino Linotype"/>
          <w:i/>
          <w:lang w:val="es-ES_tradnl"/>
        </w:rPr>
        <w:t xml:space="preserve">, entregue la versión </w:t>
      </w:r>
      <w:proofErr w:type="spellStart"/>
      <w:r w:rsidR="00B30770" w:rsidRPr="00B30770">
        <w:rPr>
          <w:rFonts w:ascii="Palatino Linotype" w:hAnsi="Palatino Linotype"/>
          <w:i/>
          <w:lang w:val="es-ES_tradnl"/>
        </w:rPr>
        <w:t>publica</w:t>
      </w:r>
      <w:proofErr w:type="spellEnd"/>
      <w:r w:rsidR="00B30770" w:rsidRPr="00B30770">
        <w:rPr>
          <w:rFonts w:ascii="Palatino Linotype" w:hAnsi="Palatino Linotype"/>
          <w:i/>
          <w:lang w:val="es-ES_tradnl"/>
        </w:rPr>
        <w:t xml:space="preserve"> de la audiencia inicial de cada uno de ellos,, así como de </w:t>
      </w:r>
      <w:proofErr w:type="spellStart"/>
      <w:r w:rsidR="00B30770" w:rsidRPr="00B30770">
        <w:rPr>
          <w:rFonts w:ascii="Palatino Linotype" w:hAnsi="Palatino Linotype"/>
          <w:i/>
          <w:lang w:val="es-ES_tradnl"/>
        </w:rPr>
        <w:t>de</w:t>
      </w:r>
      <w:proofErr w:type="spellEnd"/>
      <w:r w:rsidR="00B30770" w:rsidRPr="00B30770">
        <w:rPr>
          <w:rFonts w:ascii="Palatino Linotype" w:hAnsi="Palatino Linotype"/>
          <w:i/>
          <w:lang w:val="es-ES_tradnl"/>
        </w:rPr>
        <w:t xml:space="preserve"> los expedientes iniciados por manifestación de bienes a servidores y </w:t>
      </w:r>
      <w:proofErr w:type="spellStart"/>
      <w:r w:rsidR="00B30770" w:rsidRPr="00B30770">
        <w:rPr>
          <w:rFonts w:ascii="Palatino Linotype" w:hAnsi="Palatino Linotype"/>
          <w:i/>
          <w:lang w:val="es-ES_tradnl"/>
        </w:rPr>
        <w:t>exservidores</w:t>
      </w:r>
      <w:proofErr w:type="spellEnd"/>
      <w:r w:rsidR="00B30770" w:rsidRPr="00B30770">
        <w:rPr>
          <w:rFonts w:ascii="Palatino Linotype" w:hAnsi="Palatino Linotype"/>
          <w:i/>
          <w:lang w:val="es-ES_tradnl"/>
        </w:rPr>
        <w:t xml:space="preserve">, que sean omisos, o extemporáneos,, de la misma forma de otro tipo de faltas </w:t>
      </w:r>
      <w:r w:rsidR="00B30770" w:rsidRPr="00B30770">
        <w:rPr>
          <w:rFonts w:ascii="Palatino Linotype" w:hAnsi="Palatino Linotype"/>
          <w:i/>
          <w:lang w:val="es-ES_tradnl"/>
        </w:rPr>
        <w:lastRenderedPageBreak/>
        <w:t>administrativas de servidores públicos de los años 2020 y 2021, y acredite mediante la entrega del oficio el turno correspondiente para resolución a la autoridad resolutora.</w:t>
      </w:r>
      <w:r w:rsidR="005219ED" w:rsidRPr="005219ED">
        <w:rPr>
          <w:rFonts w:ascii="Palatino Linotype" w:hAnsi="Palatino Linotype"/>
          <w:i/>
          <w:lang w:val="es-ES_tradnl"/>
        </w:rPr>
        <w:t>” [Sic]</w:t>
      </w:r>
    </w:p>
    <w:p w14:paraId="5873ADB0" w14:textId="77777777" w:rsidR="00165D3D" w:rsidRDefault="00165D3D" w:rsidP="00293D51">
      <w:pPr>
        <w:spacing w:line="360" w:lineRule="auto"/>
        <w:jc w:val="both"/>
        <w:rPr>
          <w:rFonts w:ascii="Palatino Linotype" w:hAnsi="Palatino Linotype"/>
          <w:lang w:val="es-ES_tradnl"/>
        </w:rPr>
      </w:pPr>
    </w:p>
    <w:p w14:paraId="679F57FD" w14:textId="41F3558E" w:rsidR="0087697C" w:rsidRPr="00293D51" w:rsidRDefault="005219ED" w:rsidP="00293D51">
      <w:pPr>
        <w:spacing w:line="360" w:lineRule="auto"/>
        <w:jc w:val="both"/>
        <w:rPr>
          <w:rFonts w:ascii="Palatino Linotype" w:hAnsi="Palatino Linotype"/>
          <w:lang w:val="es-ES_tradnl"/>
        </w:rPr>
      </w:pPr>
      <w:r w:rsidRPr="005219ED">
        <w:rPr>
          <w:rFonts w:ascii="Palatino Linotype" w:hAnsi="Palatino Linotype"/>
          <w:lang w:val="es-ES_tradnl"/>
        </w:rPr>
        <w:t xml:space="preserve">Modalidad de entrega: </w:t>
      </w:r>
      <w:r w:rsidR="00B30770">
        <w:rPr>
          <w:rFonts w:ascii="Palatino Linotype" w:hAnsi="Palatino Linotype"/>
          <w:b/>
          <w:lang w:val="es-ES_tradnl"/>
        </w:rPr>
        <w:t>A través del SAIMEX</w:t>
      </w:r>
      <w:r w:rsidRPr="005219ED">
        <w:rPr>
          <w:rFonts w:ascii="Palatino Linotype" w:hAnsi="Palatino Linotype"/>
          <w:b/>
          <w:lang w:val="es-ES_tradnl"/>
        </w:rPr>
        <w:t>.</w:t>
      </w:r>
    </w:p>
    <w:p w14:paraId="0E1BF3F4" w14:textId="77777777" w:rsidR="0066233C" w:rsidRDefault="0066233C" w:rsidP="00FF74F5">
      <w:pPr>
        <w:spacing w:line="360" w:lineRule="auto"/>
        <w:jc w:val="both"/>
        <w:rPr>
          <w:rFonts w:ascii="Palatino Linotype" w:hAnsi="Palatino Linotype" w:cs="Arial"/>
          <w:b/>
          <w:sz w:val="28"/>
        </w:rPr>
      </w:pPr>
    </w:p>
    <w:p w14:paraId="23878A07" w14:textId="77777777" w:rsidR="00B30770" w:rsidRPr="00B30770" w:rsidRDefault="00B30770" w:rsidP="00B30770">
      <w:pPr>
        <w:spacing w:line="360" w:lineRule="auto"/>
        <w:jc w:val="both"/>
        <w:rPr>
          <w:rFonts w:ascii="Palatino Linotype" w:eastAsiaTheme="minorHAnsi" w:hAnsi="Palatino Linotype" w:cs="Arial"/>
          <w:b/>
          <w:sz w:val="28"/>
          <w:szCs w:val="28"/>
          <w:lang w:val="es-MX" w:eastAsia="en-US"/>
        </w:rPr>
      </w:pPr>
      <w:r w:rsidRPr="00B30770">
        <w:rPr>
          <w:rFonts w:ascii="Palatino Linotype" w:eastAsiaTheme="minorHAnsi" w:hAnsi="Palatino Linotype" w:cs="Arial"/>
          <w:b/>
          <w:sz w:val="28"/>
          <w:szCs w:val="28"/>
          <w:lang w:val="es-MX" w:eastAsia="en-US"/>
        </w:rPr>
        <w:t>SEGUNDO. De la prórroga para emitir respuesta.</w:t>
      </w:r>
    </w:p>
    <w:p w14:paraId="6E60C8A0" w14:textId="49D31D45" w:rsidR="00B30770" w:rsidRPr="00B30770" w:rsidRDefault="00B30770" w:rsidP="00FF74F5">
      <w:pPr>
        <w:spacing w:line="360" w:lineRule="auto"/>
        <w:jc w:val="both"/>
        <w:rPr>
          <w:rFonts w:ascii="Palatino Linotype" w:hAnsi="Palatino Linotype" w:cs="Arial"/>
          <w:lang w:val="es-MX"/>
        </w:rPr>
      </w:pPr>
      <w:r w:rsidRPr="00B30770">
        <w:rPr>
          <w:rFonts w:ascii="Palatino Linotype" w:hAnsi="Palatino Linotype" w:cs="Arial"/>
          <w:lang w:val="es-MX"/>
        </w:rPr>
        <w:t xml:space="preserve">Del expediente electrónico del </w:t>
      </w:r>
      <w:r w:rsidRPr="00B30770">
        <w:rPr>
          <w:rFonts w:ascii="Palatino Linotype" w:hAnsi="Palatino Linotype" w:cs="Arial"/>
          <w:b/>
          <w:lang w:val="es-MX"/>
        </w:rPr>
        <w:t>SAIMEX</w:t>
      </w:r>
      <w:r w:rsidRPr="00B30770">
        <w:rPr>
          <w:rFonts w:ascii="Palatino Linotype" w:hAnsi="Palatino Linotype" w:cs="Arial"/>
          <w:lang w:val="es-MX"/>
        </w:rPr>
        <w:t xml:space="preserve">, se aprecia que </w:t>
      </w:r>
      <w:r>
        <w:rPr>
          <w:rFonts w:ascii="Palatino Linotype" w:hAnsi="Palatino Linotype" w:cs="Arial"/>
          <w:b/>
          <w:lang w:val="es-MX"/>
        </w:rPr>
        <w:t>E</w:t>
      </w:r>
      <w:r w:rsidRPr="00B30770">
        <w:rPr>
          <w:rFonts w:ascii="Palatino Linotype" w:hAnsi="Palatino Linotype" w:cs="Arial"/>
          <w:b/>
          <w:lang w:val="es-MX"/>
        </w:rPr>
        <w:t xml:space="preserve">l </w:t>
      </w:r>
      <w:r>
        <w:rPr>
          <w:rFonts w:ascii="Palatino Linotype" w:hAnsi="Palatino Linotype" w:cs="Arial"/>
          <w:b/>
          <w:lang w:val="es-MX"/>
        </w:rPr>
        <w:t>S</w:t>
      </w:r>
      <w:r w:rsidRPr="00B30770">
        <w:rPr>
          <w:rFonts w:ascii="Palatino Linotype" w:hAnsi="Palatino Linotype" w:cs="Arial"/>
          <w:b/>
          <w:lang w:val="es-MX"/>
        </w:rPr>
        <w:t xml:space="preserve">ujeto </w:t>
      </w:r>
      <w:r>
        <w:rPr>
          <w:rFonts w:ascii="Palatino Linotype" w:hAnsi="Palatino Linotype" w:cs="Arial"/>
          <w:b/>
          <w:lang w:val="es-MX"/>
        </w:rPr>
        <w:t>O</w:t>
      </w:r>
      <w:r w:rsidRPr="00B30770">
        <w:rPr>
          <w:rFonts w:ascii="Palatino Linotype" w:hAnsi="Palatino Linotype" w:cs="Arial"/>
          <w:b/>
          <w:lang w:val="es-MX"/>
        </w:rPr>
        <w:t>bligado,</w:t>
      </w:r>
      <w:r w:rsidRPr="00B30770">
        <w:rPr>
          <w:rFonts w:ascii="Palatino Linotype" w:hAnsi="Palatino Linotype" w:cs="Arial"/>
          <w:lang w:val="es-MX"/>
        </w:rPr>
        <w:t xml:space="preserve"> en fecha </w:t>
      </w:r>
      <w:r>
        <w:rPr>
          <w:rFonts w:ascii="Palatino Linotype" w:hAnsi="Palatino Linotype" w:cs="Arial"/>
          <w:lang w:val="es-MX"/>
        </w:rPr>
        <w:t>veintiséis de octubre de dos mil veintiuno,</w:t>
      </w:r>
      <w:r w:rsidRPr="00B30770">
        <w:rPr>
          <w:rFonts w:ascii="Palatino Linotype" w:hAnsi="Palatino Linotype" w:cs="Arial"/>
          <w:lang w:val="es-MX"/>
        </w:rPr>
        <w:t xml:space="preserve"> notific</w:t>
      </w:r>
      <w:r>
        <w:rPr>
          <w:rFonts w:ascii="Palatino Linotype" w:hAnsi="Palatino Linotype" w:cs="Arial"/>
          <w:lang w:val="es-MX"/>
        </w:rPr>
        <w:t>ó</w:t>
      </w:r>
      <w:r w:rsidRPr="00B30770">
        <w:rPr>
          <w:rFonts w:ascii="Palatino Linotype" w:hAnsi="Palatino Linotype" w:cs="Arial"/>
          <w:lang w:val="es-MX"/>
        </w:rPr>
        <w:t xml:space="preserve"> al </w:t>
      </w:r>
      <w:r w:rsidRPr="00B30770">
        <w:rPr>
          <w:rFonts w:ascii="Palatino Linotype" w:hAnsi="Palatino Linotype" w:cs="Arial"/>
          <w:b/>
          <w:lang w:val="es-MX"/>
        </w:rPr>
        <w:t>Recurrente</w:t>
      </w:r>
      <w:r w:rsidRPr="00B30770">
        <w:rPr>
          <w:rFonts w:ascii="Palatino Linotype" w:hAnsi="Palatino Linotype" w:cs="Arial"/>
          <w:lang w:val="es-MX"/>
        </w:rPr>
        <w:t xml:space="preserve"> que el plazo de quince días hábiles para emitir su respuesta había sido prorrogado por siete días hábiles, empero no pasa desapercibido para este Órgano Garante, que dicha prorroga no fue emitida conforme al procedimiento establecido en las Ley de Transparencia local.</w:t>
      </w:r>
    </w:p>
    <w:p w14:paraId="460AB326" w14:textId="77777777" w:rsidR="00B30770" w:rsidRDefault="00B30770" w:rsidP="00FF74F5">
      <w:pPr>
        <w:spacing w:line="360" w:lineRule="auto"/>
        <w:jc w:val="both"/>
        <w:rPr>
          <w:rFonts w:ascii="Palatino Linotype" w:hAnsi="Palatino Linotype" w:cs="Arial"/>
          <w:b/>
          <w:sz w:val="28"/>
        </w:rPr>
      </w:pPr>
    </w:p>
    <w:p w14:paraId="4F492B14" w14:textId="33266F48" w:rsidR="00D34057" w:rsidRPr="00B21190" w:rsidRDefault="00B30770" w:rsidP="00FF74F5">
      <w:pPr>
        <w:spacing w:line="360" w:lineRule="auto"/>
        <w:jc w:val="both"/>
        <w:rPr>
          <w:rFonts w:ascii="Palatino Linotype" w:hAnsi="Palatino Linotype" w:cs="Arial"/>
          <w:b/>
          <w:sz w:val="28"/>
          <w:szCs w:val="20"/>
        </w:rPr>
      </w:pPr>
      <w:r>
        <w:rPr>
          <w:rFonts w:ascii="Palatino Linotype" w:hAnsi="Palatino Linotype" w:cs="Arial"/>
          <w:b/>
          <w:sz w:val="28"/>
        </w:rPr>
        <w:t>TERCERO</w:t>
      </w:r>
      <w:r w:rsidR="00D34057" w:rsidRPr="00B21190">
        <w:rPr>
          <w:rFonts w:ascii="Palatino Linotype" w:hAnsi="Palatino Linotype" w:cs="Arial"/>
          <w:b/>
          <w:sz w:val="28"/>
        </w:rPr>
        <w:t xml:space="preserve">. </w:t>
      </w:r>
      <w:r w:rsidR="00D34057" w:rsidRPr="00B21190">
        <w:rPr>
          <w:rFonts w:ascii="Palatino Linotype" w:hAnsi="Palatino Linotype" w:cs="Arial"/>
          <w:b/>
          <w:sz w:val="28"/>
          <w:szCs w:val="20"/>
        </w:rPr>
        <w:t xml:space="preserve">De </w:t>
      </w:r>
      <w:r w:rsidR="00480FEA" w:rsidRPr="00B21190">
        <w:rPr>
          <w:rFonts w:ascii="Palatino Linotype" w:hAnsi="Palatino Linotype" w:cs="Arial"/>
          <w:b/>
          <w:sz w:val="28"/>
          <w:szCs w:val="20"/>
        </w:rPr>
        <w:t>la respuesta del Sujeto O</w:t>
      </w:r>
      <w:r w:rsidR="00D34057" w:rsidRPr="00B21190">
        <w:rPr>
          <w:rFonts w:ascii="Palatino Linotype" w:hAnsi="Palatino Linotype" w:cs="Arial"/>
          <w:b/>
          <w:sz w:val="28"/>
          <w:szCs w:val="20"/>
        </w:rPr>
        <w:t>bligado</w:t>
      </w:r>
    </w:p>
    <w:p w14:paraId="4506813A" w14:textId="2EBAC42A" w:rsidR="00972636" w:rsidRPr="00B21190" w:rsidRDefault="0050427F" w:rsidP="003D0754">
      <w:pPr>
        <w:spacing w:line="360" w:lineRule="auto"/>
        <w:jc w:val="both"/>
        <w:rPr>
          <w:rFonts w:ascii="Palatino Linotype" w:hAnsi="Palatino Linotype" w:cs="Arial"/>
        </w:rPr>
      </w:pPr>
      <w:r w:rsidRPr="00B21190">
        <w:rPr>
          <w:rFonts w:ascii="Palatino Linotype" w:hAnsi="Palatino Linotype" w:cs="Arial"/>
        </w:rPr>
        <w:t>En el expediente electrónico</w:t>
      </w:r>
      <w:r w:rsidR="006A6499">
        <w:rPr>
          <w:rFonts w:ascii="Palatino Linotype" w:hAnsi="Palatino Linotype" w:cs="Arial"/>
        </w:rPr>
        <w:t xml:space="preserve"> del Sistema de Acceso a la Información Mexiquense</w:t>
      </w:r>
      <w:r w:rsidRPr="00B21190">
        <w:rPr>
          <w:rFonts w:ascii="Palatino Linotype" w:hAnsi="Palatino Linotype" w:cs="Arial"/>
        </w:rPr>
        <w:t xml:space="preserve"> </w:t>
      </w:r>
      <w:r w:rsidRPr="00B21190">
        <w:rPr>
          <w:rFonts w:ascii="Palatino Linotype" w:hAnsi="Palatino Linotype" w:cs="Arial"/>
          <w:b/>
        </w:rPr>
        <w:t>SAIMEX</w:t>
      </w:r>
      <w:r w:rsidRPr="00B21190">
        <w:rPr>
          <w:rFonts w:ascii="Palatino Linotype" w:hAnsi="Palatino Linotype" w:cs="Arial"/>
        </w:rPr>
        <w:t xml:space="preserve">, se aprecia que el día </w:t>
      </w:r>
      <w:r w:rsidR="00B30770">
        <w:rPr>
          <w:rFonts w:ascii="Palatino Linotype" w:hAnsi="Palatino Linotype" w:cs="Arial"/>
        </w:rPr>
        <w:t>cinco de noviembre</w:t>
      </w:r>
      <w:r w:rsidR="00BA55C8">
        <w:rPr>
          <w:rFonts w:ascii="Palatino Linotype" w:hAnsi="Palatino Linotype" w:cs="Arial"/>
        </w:rPr>
        <w:t xml:space="preserve"> de dos mil veintiuno</w:t>
      </w:r>
      <w:r w:rsidRPr="00B21190">
        <w:rPr>
          <w:rFonts w:ascii="Palatino Linotype" w:hAnsi="Palatino Linotype" w:cs="Arial"/>
        </w:rPr>
        <w:t xml:space="preserve">, </w:t>
      </w:r>
      <w:r w:rsidRPr="00B21190">
        <w:rPr>
          <w:rFonts w:ascii="Palatino Linotype" w:hAnsi="Palatino Linotype" w:cs="Arial"/>
          <w:b/>
        </w:rPr>
        <w:t>El Sujeto Obligado</w:t>
      </w:r>
      <w:r w:rsidRPr="00B21190">
        <w:rPr>
          <w:rFonts w:ascii="Palatino Linotype" w:hAnsi="Palatino Linotype" w:cs="Arial"/>
        </w:rPr>
        <w:t xml:space="preserve"> dio respuesta a la solicitud de información</w:t>
      </w:r>
      <w:r w:rsidR="000C7DA1" w:rsidRPr="000C7DA1">
        <w:t xml:space="preserve"> </w:t>
      </w:r>
      <w:r w:rsidR="000C7DA1" w:rsidRPr="000C7DA1">
        <w:rPr>
          <w:rFonts w:ascii="Palatino Linotype" w:hAnsi="Palatino Linotype" w:cs="Arial"/>
        </w:rPr>
        <w:t>en los siguientes términos:</w:t>
      </w:r>
    </w:p>
    <w:p w14:paraId="25986DC1" w14:textId="77777777" w:rsidR="003F3CC8" w:rsidRPr="00B21190" w:rsidRDefault="003F3CC8" w:rsidP="00FF74F5">
      <w:pPr>
        <w:pStyle w:val="Sinespaciado"/>
      </w:pPr>
    </w:p>
    <w:p w14:paraId="1185F1B2" w14:textId="77777777" w:rsidR="00B30770" w:rsidRPr="00B30770" w:rsidRDefault="003F3CC8" w:rsidP="00B30770">
      <w:pPr>
        <w:ind w:left="567" w:right="567"/>
        <w:jc w:val="right"/>
        <w:rPr>
          <w:rFonts w:ascii="Palatino Linotype" w:hAnsi="Palatino Linotype" w:cs="Arial"/>
          <w:i/>
        </w:rPr>
      </w:pPr>
      <w:r w:rsidRPr="00B21190">
        <w:rPr>
          <w:rFonts w:ascii="Palatino Linotype" w:hAnsi="Palatino Linotype" w:cs="Arial"/>
          <w:i/>
        </w:rPr>
        <w:t>“</w:t>
      </w:r>
      <w:r w:rsidR="00B30770" w:rsidRPr="00B30770">
        <w:rPr>
          <w:rFonts w:ascii="Palatino Linotype" w:hAnsi="Palatino Linotype" w:cs="Arial"/>
          <w:i/>
        </w:rPr>
        <w:t>Folio de la solicitud: 00200/TEPOTZOT/IP/2021</w:t>
      </w:r>
    </w:p>
    <w:p w14:paraId="5844403F" w14:textId="77777777" w:rsidR="00B30770" w:rsidRDefault="00B30770" w:rsidP="00B30770">
      <w:pPr>
        <w:ind w:left="567" w:right="567"/>
        <w:jc w:val="both"/>
        <w:rPr>
          <w:rFonts w:ascii="Palatino Linotype" w:hAnsi="Palatino Linotype" w:cs="Arial"/>
          <w:i/>
        </w:rPr>
      </w:pPr>
    </w:p>
    <w:p w14:paraId="5A95FC6D" w14:textId="45D0045D" w:rsidR="00B30770" w:rsidRPr="00B30770" w:rsidRDefault="00B30770" w:rsidP="00B30770">
      <w:pPr>
        <w:ind w:left="567" w:right="567"/>
        <w:jc w:val="both"/>
        <w:rPr>
          <w:rFonts w:ascii="Palatino Linotype" w:hAnsi="Palatino Linotype" w:cs="Arial"/>
          <w:i/>
        </w:rPr>
      </w:pPr>
      <w:r w:rsidRPr="00B3077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5B01F8" w14:textId="77777777" w:rsidR="00B30770" w:rsidRDefault="00B30770" w:rsidP="00B30770">
      <w:pPr>
        <w:ind w:left="567" w:right="567"/>
        <w:jc w:val="both"/>
        <w:rPr>
          <w:rFonts w:ascii="Palatino Linotype" w:hAnsi="Palatino Linotype" w:cs="Arial"/>
          <w:i/>
        </w:rPr>
      </w:pPr>
    </w:p>
    <w:p w14:paraId="4701B55E" w14:textId="4D61A746" w:rsidR="00B30770" w:rsidRPr="00B30770" w:rsidRDefault="00B30770" w:rsidP="00B30770">
      <w:pPr>
        <w:ind w:left="567" w:right="567"/>
        <w:jc w:val="both"/>
        <w:rPr>
          <w:rFonts w:ascii="Palatino Linotype" w:hAnsi="Palatino Linotype" w:cs="Arial"/>
          <w:i/>
        </w:rPr>
      </w:pPr>
      <w:r w:rsidRPr="00B30770">
        <w:rPr>
          <w:rFonts w:ascii="Palatino Linotype" w:hAnsi="Palatino Linotype" w:cs="Arial"/>
          <w:i/>
        </w:rPr>
        <w:t>SE ADJUNTA RESPUESTA DE SERVIDOR PÚBLICO HABILITADO</w:t>
      </w:r>
    </w:p>
    <w:p w14:paraId="2797B3D6" w14:textId="77777777" w:rsidR="00B30770" w:rsidRPr="00B30770" w:rsidRDefault="00B30770" w:rsidP="00B30770">
      <w:pPr>
        <w:ind w:left="567" w:right="567"/>
        <w:jc w:val="both"/>
        <w:rPr>
          <w:rFonts w:ascii="Palatino Linotype" w:hAnsi="Palatino Linotype" w:cs="Arial"/>
          <w:i/>
        </w:rPr>
      </w:pPr>
      <w:r w:rsidRPr="00B30770">
        <w:rPr>
          <w:rFonts w:ascii="Palatino Linotype" w:hAnsi="Palatino Linotype" w:cs="Arial"/>
          <w:i/>
        </w:rPr>
        <w:t>ATENTAMENTE</w:t>
      </w:r>
    </w:p>
    <w:p w14:paraId="05579E7E" w14:textId="77777777" w:rsidR="00B30770" w:rsidRDefault="00B30770" w:rsidP="00B30770">
      <w:pPr>
        <w:ind w:left="567" w:right="567"/>
        <w:jc w:val="both"/>
        <w:rPr>
          <w:rFonts w:ascii="Palatino Linotype" w:hAnsi="Palatino Linotype" w:cs="Arial"/>
          <w:i/>
        </w:rPr>
      </w:pPr>
    </w:p>
    <w:p w14:paraId="54820A0C" w14:textId="5C676341" w:rsidR="003F3CC8" w:rsidRPr="00B21190" w:rsidRDefault="00B30770" w:rsidP="00B30770">
      <w:pPr>
        <w:ind w:left="567" w:right="567"/>
        <w:jc w:val="both"/>
        <w:rPr>
          <w:rFonts w:ascii="Palatino Linotype" w:hAnsi="Palatino Linotype" w:cs="Arial"/>
          <w:i/>
        </w:rPr>
      </w:pPr>
      <w:r w:rsidRPr="00B30770">
        <w:rPr>
          <w:rFonts w:ascii="Palatino Linotype" w:hAnsi="Palatino Linotype" w:cs="Arial"/>
          <w:i/>
        </w:rPr>
        <w:t>Ing. Miguel Ángel Bayardo Parra</w:t>
      </w:r>
      <w:r w:rsidR="003F3CC8" w:rsidRPr="00B21190">
        <w:rPr>
          <w:rFonts w:ascii="Palatino Linotype" w:hAnsi="Palatino Linotype" w:cs="Arial"/>
          <w:i/>
        </w:rPr>
        <w:t>”</w:t>
      </w:r>
      <w:r w:rsidR="00755085">
        <w:rPr>
          <w:rFonts w:ascii="Palatino Linotype" w:hAnsi="Palatino Linotype" w:cs="Arial"/>
          <w:i/>
        </w:rPr>
        <w:t xml:space="preserve"> </w:t>
      </w:r>
      <w:r w:rsidR="006A6499">
        <w:rPr>
          <w:rFonts w:ascii="Palatino Linotype" w:hAnsi="Palatino Linotype" w:cs="Arial"/>
          <w:i/>
        </w:rPr>
        <w:t>(Sic)</w:t>
      </w:r>
    </w:p>
    <w:p w14:paraId="1BC84A99" w14:textId="77777777" w:rsidR="00F3632E" w:rsidRPr="00B21190" w:rsidRDefault="00F3632E" w:rsidP="00F3632E">
      <w:pPr>
        <w:pStyle w:val="Sinespaciado"/>
      </w:pPr>
    </w:p>
    <w:p w14:paraId="1D09219D" w14:textId="3CB89D8C" w:rsidR="00FD1200" w:rsidRPr="00755085" w:rsidRDefault="00165D3D" w:rsidP="00755085">
      <w:pPr>
        <w:pStyle w:val="Sinespaciado"/>
        <w:spacing w:line="360" w:lineRule="auto"/>
        <w:jc w:val="both"/>
        <w:rPr>
          <w:rFonts w:ascii="Palatino Linotype" w:eastAsiaTheme="minorHAnsi" w:hAnsi="Palatino Linotype" w:cs="Arial"/>
          <w:lang w:eastAsia="en-US"/>
        </w:rPr>
      </w:pPr>
      <w:bookmarkStart w:id="1" w:name="_Hlk90488978"/>
      <w:r>
        <w:rPr>
          <w:rFonts w:ascii="Palatino Linotype" w:eastAsiaTheme="minorHAnsi" w:hAnsi="Palatino Linotype" w:cs="Arial"/>
          <w:lang w:eastAsia="en-US"/>
        </w:rPr>
        <w:t>Adjuntando para tal efecto, los</w:t>
      </w:r>
      <w:r w:rsidR="00F46230" w:rsidRPr="00F46230">
        <w:rPr>
          <w:rFonts w:ascii="Palatino Linotype" w:eastAsiaTheme="minorHAnsi" w:hAnsi="Palatino Linotype" w:cs="Arial"/>
          <w:lang w:eastAsia="en-US"/>
        </w:rPr>
        <w:t xml:space="preserve"> </w:t>
      </w:r>
      <w:r w:rsidR="0066233C">
        <w:rPr>
          <w:rFonts w:ascii="Palatino Linotype" w:eastAsiaTheme="minorHAnsi" w:hAnsi="Palatino Linotype" w:cs="Arial"/>
          <w:lang w:eastAsia="en-US"/>
        </w:rPr>
        <w:t>archivo</w:t>
      </w:r>
      <w:r>
        <w:rPr>
          <w:rFonts w:ascii="Palatino Linotype" w:eastAsiaTheme="minorHAnsi" w:hAnsi="Palatino Linotype" w:cs="Arial"/>
          <w:lang w:eastAsia="en-US"/>
        </w:rPr>
        <w:t>s</w:t>
      </w:r>
      <w:r w:rsidR="0066233C">
        <w:rPr>
          <w:rFonts w:ascii="Palatino Linotype" w:eastAsiaTheme="minorHAnsi" w:hAnsi="Palatino Linotype" w:cs="Arial"/>
          <w:lang w:eastAsia="en-US"/>
        </w:rPr>
        <w:t xml:space="preserve"> electrónico</w:t>
      </w:r>
      <w:r>
        <w:rPr>
          <w:rFonts w:ascii="Palatino Linotype" w:eastAsiaTheme="minorHAnsi" w:hAnsi="Palatino Linotype" w:cs="Arial"/>
          <w:lang w:eastAsia="en-US"/>
        </w:rPr>
        <w:t>s</w:t>
      </w:r>
      <w:bookmarkEnd w:id="1"/>
      <w:r w:rsidR="0066233C">
        <w:rPr>
          <w:rFonts w:ascii="Palatino Linotype" w:eastAsiaTheme="minorHAnsi" w:hAnsi="Palatino Linotype" w:cs="Arial"/>
          <w:lang w:eastAsia="en-US"/>
        </w:rPr>
        <w:t xml:space="preserve"> denominado</w:t>
      </w:r>
      <w:r>
        <w:rPr>
          <w:rFonts w:ascii="Palatino Linotype" w:eastAsiaTheme="minorHAnsi" w:hAnsi="Palatino Linotype" w:cs="Arial"/>
          <w:lang w:eastAsia="en-US"/>
        </w:rPr>
        <w:t>s</w:t>
      </w:r>
      <w:r w:rsidR="00F46230" w:rsidRPr="00F46230">
        <w:rPr>
          <w:rFonts w:ascii="Palatino Linotype" w:eastAsiaTheme="minorHAnsi" w:hAnsi="Palatino Linotype" w:cs="Arial"/>
          <w:lang w:eastAsia="en-US"/>
        </w:rPr>
        <w:t xml:space="preserve"> “</w:t>
      </w:r>
      <w:r w:rsidR="00B30770" w:rsidRPr="00B30770">
        <w:rPr>
          <w:rFonts w:ascii="Palatino Linotype" w:eastAsiaTheme="minorHAnsi" w:hAnsi="Palatino Linotype" w:cs="Arial"/>
          <w:b/>
          <w:bCs/>
          <w:lang w:eastAsia="en-US"/>
        </w:rPr>
        <w:t>autoridad substanciadora a contraloría.pdf</w:t>
      </w:r>
      <w:r>
        <w:rPr>
          <w:rFonts w:ascii="Palatino Linotype" w:eastAsiaTheme="minorHAnsi" w:hAnsi="Palatino Linotype" w:cs="Arial"/>
          <w:lang w:eastAsia="en-US"/>
        </w:rPr>
        <w:t>”</w:t>
      </w:r>
      <w:r w:rsidR="00B30770">
        <w:rPr>
          <w:rFonts w:ascii="Palatino Linotype" w:eastAsiaTheme="minorHAnsi" w:hAnsi="Palatino Linotype" w:cs="Arial"/>
          <w:lang w:eastAsia="en-US"/>
        </w:rPr>
        <w:t xml:space="preserve">, </w:t>
      </w:r>
      <w:r w:rsidR="00B30770" w:rsidRPr="0098118E">
        <w:rPr>
          <w:rFonts w:ascii="Palatino Linotype" w:eastAsiaTheme="minorHAnsi" w:hAnsi="Palatino Linotype" w:cs="Arial"/>
          <w:b/>
          <w:bCs/>
          <w:lang w:eastAsia="en-US"/>
        </w:rPr>
        <w:t>“acuerdo para solicitante sol. 200</w:t>
      </w:r>
      <w:proofErr w:type="gramStart"/>
      <w:r w:rsidR="00B30770" w:rsidRPr="0098118E">
        <w:rPr>
          <w:rFonts w:ascii="Palatino Linotype" w:eastAsiaTheme="minorHAnsi" w:hAnsi="Palatino Linotype" w:cs="Arial"/>
          <w:b/>
          <w:bCs/>
          <w:lang w:eastAsia="en-US"/>
        </w:rPr>
        <w:t>.pdf</w:t>
      </w:r>
      <w:proofErr w:type="gramEnd"/>
      <w:r w:rsidR="00B30770" w:rsidRPr="0098118E">
        <w:rPr>
          <w:rFonts w:ascii="Palatino Linotype" w:eastAsiaTheme="minorHAnsi" w:hAnsi="Palatino Linotype" w:cs="Arial"/>
          <w:b/>
          <w:bCs/>
          <w:lang w:eastAsia="en-US"/>
        </w:rPr>
        <w:t>”, “</w:t>
      </w:r>
      <w:r w:rsidR="0098118E" w:rsidRPr="0098118E">
        <w:rPr>
          <w:rFonts w:ascii="Palatino Linotype" w:eastAsiaTheme="minorHAnsi" w:hAnsi="Palatino Linotype" w:cs="Arial"/>
          <w:b/>
          <w:bCs/>
          <w:lang w:eastAsia="en-US"/>
        </w:rPr>
        <w:t>autoridad substanciadora a autoridad resolutora.zip</w:t>
      </w:r>
      <w:r w:rsidR="00B30770">
        <w:rPr>
          <w:rFonts w:ascii="Palatino Linotype" w:eastAsiaTheme="minorHAnsi" w:hAnsi="Palatino Linotype" w:cs="Arial"/>
          <w:lang w:eastAsia="en-US"/>
        </w:rPr>
        <w:t>”</w:t>
      </w:r>
      <w:r>
        <w:rPr>
          <w:rFonts w:ascii="Palatino Linotype" w:eastAsiaTheme="minorHAnsi" w:hAnsi="Palatino Linotype" w:cs="Arial"/>
          <w:lang w:eastAsia="en-US"/>
        </w:rPr>
        <w:t xml:space="preserve"> y “</w:t>
      </w:r>
      <w:r w:rsidRPr="00165D3D">
        <w:rPr>
          <w:rFonts w:ascii="Palatino Linotype" w:eastAsiaTheme="minorHAnsi" w:hAnsi="Palatino Linotype" w:cs="Arial"/>
          <w:b/>
          <w:lang w:eastAsia="en-US"/>
        </w:rPr>
        <w:t>1</w:t>
      </w:r>
      <w:r w:rsidR="0098118E" w:rsidRPr="0098118E">
        <w:t xml:space="preserve"> </w:t>
      </w:r>
      <w:r w:rsidR="0098118E" w:rsidRPr="0098118E">
        <w:rPr>
          <w:rFonts w:ascii="Palatino Linotype" w:eastAsiaTheme="minorHAnsi" w:hAnsi="Palatino Linotype" w:cs="Arial"/>
          <w:b/>
          <w:lang w:eastAsia="en-US"/>
        </w:rPr>
        <w:t>CIM-668-2021.pdf</w:t>
      </w:r>
      <w:r>
        <w:rPr>
          <w:rFonts w:ascii="Palatino Linotype" w:eastAsiaTheme="minorHAnsi" w:hAnsi="Palatino Linotype" w:cs="Arial"/>
          <w:lang w:eastAsia="en-US"/>
        </w:rPr>
        <w:t>”</w:t>
      </w:r>
      <w:r w:rsidR="00F46230">
        <w:rPr>
          <w:rFonts w:ascii="Palatino Linotype" w:eastAsiaTheme="minorHAnsi" w:hAnsi="Palatino Linotype" w:cs="Arial"/>
          <w:lang w:eastAsia="en-US"/>
        </w:rPr>
        <w:t xml:space="preserve">, </w:t>
      </w:r>
      <w:r>
        <w:rPr>
          <w:rFonts w:ascii="Palatino Linotype" w:eastAsiaTheme="minorHAnsi" w:hAnsi="Palatino Linotype" w:cs="Arial"/>
          <w:lang w:eastAsia="en-US"/>
        </w:rPr>
        <w:t>los</w:t>
      </w:r>
      <w:r w:rsidR="0066233C">
        <w:rPr>
          <w:rFonts w:ascii="Palatino Linotype" w:eastAsiaTheme="minorHAnsi" w:hAnsi="Palatino Linotype" w:cs="Arial"/>
          <w:lang w:eastAsia="en-US"/>
        </w:rPr>
        <w:t xml:space="preserve"> cual</w:t>
      </w:r>
      <w:r>
        <w:rPr>
          <w:rFonts w:ascii="Palatino Linotype" w:eastAsiaTheme="minorHAnsi" w:hAnsi="Palatino Linotype" w:cs="Arial"/>
          <w:lang w:eastAsia="en-US"/>
        </w:rPr>
        <w:t>es</w:t>
      </w:r>
      <w:r w:rsidR="0066233C">
        <w:rPr>
          <w:rFonts w:ascii="Palatino Linotype" w:eastAsiaTheme="minorHAnsi" w:hAnsi="Palatino Linotype" w:cs="Arial"/>
          <w:lang w:eastAsia="en-US"/>
        </w:rPr>
        <w:t xml:space="preserve"> no se reproduce</w:t>
      </w:r>
      <w:r>
        <w:rPr>
          <w:rFonts w:ascii="Palatino Linotype" w:eastAsiaTheme="minorHAnsi" w:hAnsi="Palatino Linotype" w:cs="Arial"/>
          <w:lang w:eastAsia="en-US"/>
        </w:rPr>
        <w:t>n</w:t>
      </w:r>
      <w:r w:rsidR="00F46230" w:rsidRPr="00F46230">
        <w:rPr>
          <w:rFonts w:ascii="Palatino Linotype" w:eastAsiaTheme="minorHAnsi" w:hAnsi="Palatino Linotype" w:cs="Arial"/>
          <w:lang w:eastAsia="en-US"/>
        </w:rPr>
        <w:t xml:space="preserve"> toda vez que su contenido es del conocimiento de las partes; no obstante, se hará mérito de su contenido más adelante.</w:t>
      </w:r>
    </w:p>
    <w:p w14:paraId="30630136" w14:textId="77777777" w:rsidR="00F46230" w:rsidRPr="00B21190" w:rsidRDefault="00F46230" w:rsidP="00D81C1B">
      <w:pPr>
        <w:spacing w:line="360" w:lineRule="auto"/>
        <w:jc w:val="both"/>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62F489DD"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6A6499">
        <w:rPr>
          <w:rFonts w:ascii="Palatino Linotype" w:hAnsi="Palatino Linotype" w:cs="Arial"/>
          <w:b/>
        </w:rPr>
        <w:t>el</w:t>
      </w:r>
      <w:r w:rsidR="00293D51">
        <w:rPr>
          <w:rFonts w:ascii="Palatino Linotype" w:hAnsi="Palatino Linotype" w:cs="Arial"/>
          <w:b/>
        </w:rPr>
        <w:t xml:space="preserve"> Recurrente</w:t>
      </w:r>
      <w:r w:rsidRPr="00B21190">
        <w:rPr>
          <w:rFonts w:ascii="Palatino Linotype" w:hAnsi="Palatino Linotype" w:cs="Arial"/>
          <w:b/>
        </w:rPr>
        <w:t xml:space="preserve"> </w:t>
      </w:r>
      <w:r w:rsidRPr="00B21190">
        <w:rPr>
          <w:rFonts w:ascii="Palatino Linotype" w:hAnsi="Palatino Linotype" w:cs="Arial"/>
        </w:rPr>
        <w:t xml:space="preserve">interpuso el recurso de revisión, en fecha </w:t>
      </w:r>
      <w:r w:rsidR="00D81C1B">
        <w:rPr>
          <w:rFonts w:ascii="Palatino Linotype" w:hAnsi="Palatino Linotype" w:cs="Arial"/>
        </w:rPr>
        <w:t>cinco de noviembre</w:t>
      </w:r>
      <w:r w:rsidR="00BA55C8">
        <w:rPr>
          <w:rFonts w:ascii="Palatino Linotype" w:hAnsi="Palatino Linotype" w:cs="Arial"/>
        </w:rPr>
        <w:t xml:space="preserve"> de dos mil veintiuno</w:t>
      </w:r>
      <w:r w:rsidRPr="00B21190">
        <w:rPr>
          <w:rFonts w:ascii="Palatino Linotype" w:hAnsi="Palatino Linotype" w:cs="Arial"/>
        </w:rPr>
        <w:t>, el cual fue registrado</w:t>
      </w:r>
      <w:r w:rsidRPr="00B21190">
        <w:rPr>
          <w:rFonts w:ascii="Palatino Linotype" w:hAnsi="Palatino Linotype" w:cs="Arial"/>
          <w:b/>
        </w:rPr>
        <w:t xml:space="preserve"> </w:t>
      </w:r>
      <w:r w:rsidRPr="00B21190">
        <w:rPr>
          <w:rFonts w:ascii="Palatino Linotype" w:hAnsi="Palatino Linotype" w:cs="Arial"/>
        </w:rPr>
        <w:t xml:space="preserve">en el sistema electrónico con el expediente número </w:t>
      </w:r>
      <w:r w:rsidR="00D81C1B" w:rsidRPr="00D81C1B">
        <w:rPr>
          <w:rFonts w:ascii="Palatino Linotype" w:hAnsi="Palatino Linotype" w:cs="Arial"/>
          <w:b/>
          <w:bCs/>
          <w:lang w:eastAsia="es-MX"/>
        </w:rPr>
        <w:t>05440/INFOEM/IP/RR/2021</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485F034C" w:rsidR="00D34057" w:rsidRPr="00B21190" w:rsidRDefault="00D34057" w:rsidP="007D7483">
      <w:pPr>
        <w:ind w:left="851" w:right="850"/>
        <w:jc w:val="both"/>
        <w:rPr>
          <w:rFonts w:ascii="Palatino Linotype" w:hAnsi="Palatino Linotype" w:cs="Arial"/>
          <w:i/>
        </w:rPr>
      </w:pPr>
      <w:r w:rsidRPr="00B21190">
        <w:rPr>
          <w:rFonts w:ascii="Palatino Linotype" w:hAnsi="Palatino Linotype" w:cs="Arial"/>
          <w:i/>
        </w:rPr>
        <w:t>“</w:t>
      </w:r>
      <w:r w:rsidR="00D81C1B" w:rsidRPr="00D81C1B">
        <w:rPr>
          <w:rFonts w:ascii="Palatino Linotype" w:hAnsi="Palatino Linotype"/>
          <w:i/>
          <w:color w:val="000000"/>
        </w:rPr>
        <w:t xml:space="preserve">la contestación emitida por el contralor interno mediante oficio CIM/688/2021, el cual fuera subido a la plataforma el cinco de noviembre de dos mil veinteno, ya que de los anexos </w:t>
      </w:r>
      <w:r w:rsidR="00D81C1B" w:rsidRPr="00D81C1B">
        <w:rPr>
          <w:rFonts w:ascii="Palatino Linotype" w:hAnsi="Palatino Linotype"/>
          <w:b/>
          <w:bCs/>
          <w:i/>
          <w:color w:val="000000"/>
        </w:rPr>
        <w:t>no se desprende que haya hecho entrega de la versión pública de la audiencia inicial de cada uno de los expedientes solicitados</w:t>
      </w:r>
      <w:r w:rsidR="00D81C1B" w:rsidRPr="00D81C1B">
        <w:rPr>
          <w:rFonts w:ascii="Palatino Linotype" w:hAnsi="Palatino Linotype"/>
          <w:i/>
          <w:color w:val="000000"/>
        </w:rPr>
        <w:t xml:space="preserve">, en el entendido de que menciona es dicho oficio que la autoridad substanciadora tiene en proceso 258 expedientes en </w:t>
      </w:r>
      <w:proofErr w:type="spellStart"/>
      <w:r w:rsidR="00D81C1B" w:rsidRPr="00D81C1B">
        <w:rPr>
          <w:rFonts w:ascii="Palatino Linotype" w:hAnsi="Palatino Linotype"/>
          <w:i/>
          <w:color w:val="000000"/>
        </w:rPr>
        <w:t>tramite</w:t>
      </w:r>
      <w:proofErr w:type="spellEnd"/>
      <w:r w:rsidR="00D81C1B" w:rsidRPr="00D81C1B">
        <w:rPr>
          <w:rFonts w:ascii="Palatino Linotype" w:hAnsi="Palatino Linotype"/>
          <w:i/>
          <w:color w:val="000000"/>
        </w:rPr>
        <w:t xml:space="preserve"> y que a la autoridad resolutora se han remitido 26 oficios de lo que se deduce que fueron resueltos.</w:t>
      </w:r>
      <w:r w:rsidRPr="00B21190">
        <w:rPr>
          <w:rFonts w:ascii="Palatino Linotype" w:hAnsi="Palatino Linotype" w:cs="Arial"/>
          <w:i/>
        </w:rPr>
        <w:t>”</w:t>
      </w:r>
      <w:r w:rsidR="00CF70A0">
        <w:rPr>
          <w:rFonts w:ascii="Palatino Linotype" w:hAnsi="Palatino Linotype" w:cs="Arial"/>
          <w:i/>
        </w:rPr>
        <w:t xml:space="preserve"> </w:t>
      </w:r>
      <w:r w:rsidRPr="00B21190">
        <w:rPr>
          <w:rFonts w:ascii="Palatino Linotype" w:hAnsi="Palatino Linotype" w:cs="Arial"/>
          <w:i/>
        </w:rPr>
        <w:t>[</w:t>
      </w:r>
      <w:proofErr w:type="gramStart"/>
      <w:r w:rsidRPr="00B21190">
        <w:rPr>
          <w:rFonts w:ascii="Palatino Linotype" w:hAnsi="Palatino Linotype" w:cs="Arial"/>
          <w:i/>
        </w:rPr>
        <w:t>sic</w:t>
      </w:r>
      <w:proofErr w:type="gramEnd"/>
      <w:r w:rsidRPr="00B21190">
        <w:rPr>
          <w:rFonts w:ascii="Palatino Linotype" w:hAnsi="Palatino Linotype" w:cs="Arial"/>
          <w:i/>
        </w:rPr>
        <w:t>]</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78377472" w14:textId="08C5CAC5" w:rsidR="0088792E" w:rsidRDefault="00D34057" w:rsidP="0088792E">
      <w:pPr>
        <w:ind w:left="851" w:right="850"/>
        <w:jc w:val="both"/>
        <w:rPr>
          <w:rFonts w:ascii="Palatino Linotype" w:hAnsi="Palatino Linotype" w:cs="Arial"/>
          <w:i/>
        </w:rPr>
      </w:pPr>
      <w:r w:rsidRPr="00B21190">
        <w:rPr>
          <w:rFonts w:ascii="Palatino Linotype" w:hAnsi="Palatino Linotype" w:cs="Arial"/>
          <w:i/>
        </w:rPr>
        <w:t>“</w:t>
      </w:r>
      <w:r w:rsidR="00D81C1B" w:rsidRPr="00D81C1B">
        <w:rPr>
          <w:rFonts w:ascii="Palatino Linotype" w:hAnsi="Palatino Linotype"/>
          <w:b/>
          <w:bCs/>
          <w:i/>
          <w:color w:val="000000"/>
        </w:rPr>
        <w:t>no haber entregado la versión pública de la audiencia inicial, solicitadas</w:t>
      </w:r>
      <w:r w:rsidR="00D81C1B" w:rsidRPr="00D81C1B">
        <w:rPr>
          <w:rFonts w:ascii="Palatino Linotype" w:hAnsi="Palatino Linotype"/>
          <w:i/>
          <w:color w:val="000000"/>
        </w:rPr>
        <w:t xml:space="preserve">, violando con ello el derecho humano al acceso a la información pública, toda vez, que las audiencias iniciales en los procedimientos de </w:t>
      </w:r>
      <w:r w:rsidR="00D81C1B" w:rsidRPr="00D81C1B">
        <w:rPr>
          <w:rFonts w:ascii="Palatino Linotype" w:hAnsi="Palatino Linotype"/>
          <w:i/>
          <w:color w:val="000000"/>
        </w:rPr>
        <w:lastRenderedPageBreak/>
        <w:t xml:space="preserve">responsabilidad administrativa son </w:t>
      </w:r>
      <w:proofErr w:type="spellStart"/>
      <w:r w:rsidR="00D81C1B" w:rsidRPr="00D81C1B">
        <w:rPr>
          <w:rFonts w:ascii="Palatino Linotype" w:hAnsi="Palatino Linotype"/>
          <w:i/>
          <w:color w:val="000000"/>
        </w:rPr>
        <w:t>publicas</w:t>
      </w:r>
      <w:proofErr w:type="spellEnd"/>
      <w:r w:rsidR="00D81C1B" w:rsidRPr="00D81C1B">
        <w:rPr>
          <w:rFonts w:ascii="Palatino Linotype" w:hAnsi="Palatino Linotype"/>
          <w:i/>
          <w:color w:val="000000"/>
        </w:rPr>
        <w:t xml:space="preserve">, de acuerdo a la ley de Responsabilidades Administrativas del Estado de México y Municipios, por lo que se puede apreciar que el contralor interno carece de conocimientos para ejercer su función al igual que la autoridad substanciadora, ya que motivan ni fundamental </w:t>
      </w:r>
      <w:proofErr w:type="spellStart"/>
      <w:r w:rsidR="00D81C1B" w:rsidRPr="00D81C1B">
        <w:rPr>
          <w:rFonts w:ascii="Palatino Linotype" w:hAnsi="Palatino Linotype"/>
          <w:i/>
          <w:color w:val="000000"/>
        </w:rPr>
        <w:t>el porque</w:t>
      </w:r>
      <w:proofErr w:type="spellEnd"/>
      <w:r w:rsidR="00D81C1B" w:rsidRPr="00D81C1B">
        <w:rPr>
          <w:rFonts w:ascii="Palatino Linotype" w:hAnsi="Palatino Linotype"/>
          <w:i/>
          <w:color w:val="000000"/>
        </w:rPr>
        <w:t xml:space="preserve"> no hacen entrega de las audiencias iniciales solicitadas.</w:t>
      </w:r>
      <w:r w:rsidRPr="00B21190">
        <w:rPr>
          <w:rFonts w:ascii="Palatino Linotype" w:hAnsi="Palatino Linotype" w:cs="Arial"/>
          <w:i/>
        </w:rPr>
        <w:t>” [</w:t>
      </w:r>
      <w:proofErr w:type="gramStart"/>
      <w:r w:rsidRPr="00B21190">
        <w:rPr>
          <w:rFonts w:ascii="Palatino Linotype" w:hAnsi="Palatino Linotype" w:cs="Arial"/>
          <w:i/>
        </w:rPr>
        <w:t>sic</w:t>
      </w:r>
      <w:proofErr w:type="gramEnd"/>
      <w:r w:rsidRPr="00B21190">
        <w:rPr>
          <w:rFonts w:ascii="Palatino Linotype" w:hAnsi="Palatino Linotype" w:cs="Arial"/>
          <w:i/>
        </w:rPr>
        <w:t>]</w:t>
      </w:r>
    </w:p>
    <w:p w14:paraId="1BAB5DFF" w14:textId="77777777" w:rsidR="0088792E" w:rsidRPr="0088792E" w:rsidRDefault="0088792E" w:rsidP="0088792E">
      <w:pPr>
        <w:ind w:left="851" w:right="850"/>
        <w:jc w:val="both"/>
        <w:rPr>
          <w:rFonts w:ascii="Palatino Linotype" w:hAnsi="Palatino Linotype" w:cs="Arial"/>
          <w:i/>
        </w:rPr>
      </w:pPr>
    </w:p>
    <w:p w14:paraId="5AE43361" w14:textId="77777777" w:rsidR="0088792E" w:rsidRDefault="0088792E" w:rsidP="003D0754">
      <w:pPr>
        <w:spacing w:line="360" w:lineRule="auto"/>
        <w:jc w:val="both"/>
        <w:rPr>
          <w:rFonts w:ascii="Palatino Linotype" w:hAnsi="Palatino Linotype" w:cs="Arial"/>
          <w:b/>
          <w:sz w:val="28"/>
        </w:rPr>
      </w:pPr>
    </w:p>
    <w:p w14:paraId="3DE918EE" w14:textId="595CDF02"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326E2B84" w14:textId="5AAEE70A"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Medio de impugnación que le fue turnado a</w:t>
      </w:r>
      <w:r w:rsidR="006A6499">
        <w:rPr>
          <w:rFonts w:ascii="Palatino Linotype" w:hAnsi="Palatino Linotype" w:cs="Arial"/>
        </w:rPr>
        <w:t>l</w:t>
      </w:r>
      <w:r w:rsidRPr="00B21190">
        <w:rPr>
          <w:rFonts w:ascii="Palatino Linotype" w:hAnsi="Palatino Linotype" w:cs="Arial"/>
        </w:rPr>
        <w:t xml:space="preserve"> Comisionad</w:t>
      </w:r>
      <w:r w:rsidR="006A6499">
        <w:rPr>
          <w:rFonts w:ascii="Palatino Linotype" w:hAnsi="Palatino Linotype" w:cs="Arial"/>
        </w:rPr>
        <w:t>o</w:t>
      </w:r>
      <w:r w:rsidRPr="00B21190">
        <w:rPr>
          <w:rFonts w:ascii="Palatino Linotype" w:hAnsi="Palatino Linotype" w:cs="Arial"/>
        </w:rPr>
        <w:t xml:space="preserve"> </w:t>
      </w:r>
      <w:r w:rsidR="006A6499">
        <w:rPr>
          <w:rFonts w:ascii="Palatino Linotype" w:hAnsi="Palatino Linotype" w:cs="Arial"/>
          <w:b/>
        </w:rPr>
        <w:t>José Martínez Vilchis</w:t>
      </w:r>
      <w:r w:rsidRPr="00B21190">
        <w:rPr>
          <w:rFonts w:ascii="Palatino Linotype" w:hAnsi="Palatino Linotype" w:cs="Arial"/>
        </w:rPr>
        <w:t>, por medio del sistema electrónico en términos del arábigo 185</w:t>
      </w:r>
      <w:r w:rsidR="003D0754" w:rsidRPr="00B21190">
        <w:rPr>
          <w:rFonts w:ascii="Palatino Linotype" w:hAnsi="Palatino Linotype" w:cs="Arial"/>
        </w:rPr>
        <w:t>,</w:t>
      </w:r>
      <w:r w:rsidRPr="00B21190">
        <w:rPr>
          <w:rFonts w:ascii="Palatino Linotype" w:hAnsi="Palatino Linotype" w:cs="Arial"/>
        </w:rPr>
        <w:t xml:space="preserve"> fracción I</w:t>
      </w:r>
      <w:r w:rsidR="003D0754" w:rsidRPr="00B21190">
        <w:rPr>
          <w:rFonts w:ascii="Palatino Linotype" w:hAnsi="Palatino Linotype" w:cs="Arial"/>
        </w:rPr>
        <w:t>,</w:t>
      </w:r>
      <w:r w:rsidRPr="00B21190">
        <w:rPr>
          <w:rFonts w:ascii="Palatino Linotype" w:hAnsi="Palatino Linotype" w:cs="Arial"/>
        </w:rPr>
        <w:t xml:space="preserve"> de la Ley de Transparencia y Acceso a la información Pública del Estado de México y Municipios, del cual recayó acuerdo de admisión en fecha</w:t>
      </w:r>
      <w:r w:rsidR="00D27E5B">
        <w:rPr>
          <w:rFonts w:ascii="Palatino Linotype" w:hAnsi="Palatino Linotype" w:cs="Arial"/>
        </w:rPr>
        <w:t xml:space="preserve"> </w:t>
      </w:r>
      <w:r w:rsidR="003F11D0">
        <w:rPr>
          <w:rFonts w:ascii="Palatino Linotype" w:hAnsi="Palatino Linotype" w:cs="Arial"/>
        </w:rPr>
        <w:t>dieciséis de noviembre</w:t>
      </w:r>
      <w:r w:rsidRPr="00B21190">
        <w:rPr>
          <w:rFonts w:ascii="Palatino Linotype" w:hAnsi="Palatino Linotype" w:cs="Arial"/>
        </w:rPr>
        <w:t xml:space="preserve"> de</w:t>
      </w:r>
      <w:r w:rsidR="00BD28E3" w:rsidRPr="00B21190">
        <w:rPr>
          <w:rFonts w:ascii="Palatino Linotype" w:hAnsi="Palatino Linotype" w:cs="Arial"/>
        </w:rPr>
        <w:t>l</w:t>
      </w:r>
      <w:r w:rsidRPr="00B21190">
        <w:rPr>
          <w:rFonts w:ascii="Palatino Linotype" w:hAnsi="Palatino Linotype" w:cs="Arial"/>
        </w:rPr>
        <w:t xml:space="preserve"> </w:t>
      </w:r>
      <w:r w:rsidR="00BD28E3" w:rsidRPr="00B21190">
        <w:rPr>
          <w:rFonts w:ascii="Palatino Linotype" w:hAnsi="Palatino Linotype" w:cs="Arial"/>
        </w:rPr>
        <w:t>año en curso</w:t>
      </w:r>
      <w:r w:rsidRPr="00B21190">
        <w:rPr>
          <w:rFonts w:ascii="Palatino Linotype" w:hAnsi="Palatino Linotype" w:cs="Arial"/>
        </w:rPr>
        <w:t>, determinándose en él, un plazo de siete días para que las partes manifestaran lo que a su derecho corresponda en términos del numeral ya citado.</w:t>
      </w:r>
    </w:p>
    <w:p w14:paraId="4788449D" w14:textId="77777777" w:rsidR="00C07D77" w:rsidRPr="00B21190" w:rsidRDefault="00C07D77" w:rsidP="00E91EE4">
      <w:pPr>
        <w:spacing w:before="240" w:line="360" w:lineRule="auto"/>
        <w:jc w:val="both"/>
        <w:rPr>
          <w:rFonts w:ascii="Palatino Linotype" w:hAnsi="Palatino Linotype" w:cs="Arial"/>
          <w:sz w:val="6"/>
        </w:rPr>
      </w:pPr>
    </w:p>
    <w:p w14:paraId="51BD16D2"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5DEF163C" w14:textId="4707887A" w:rsidR="00073779" w:rsidRPr="00073779" w:rsidRDefault="00073779" w:rsidP="00073779">
      <w:pPr>
        <w:spacing w:line="360" w:lineRule="auto"/>
        <w:jc w:val="both"/>
        <w:rPr>
          <w:rFonts w:ascii="Palatino Linotype" w:hAnsi="Palatino Linotype"/>
          <w:lang w:val="es-MX"/>
        </w:rPr>
      </w:pPr>
      <w:r w:rsidRPr="00073779">
        <w:rPr>
          <w:rFonts w:ascii="Palatino Linotype" w:hAnsi="Palatino Linotype"/>
          <w:lang w:val="es-MX"/>
        </w:rPr>
        <w:t xml:space="preserve">Así, una vez abierta la etapa de instrucción, en el sumario se observa que </w:t>
      </w:r>
      <w:r w:rsidRPr="00073779">
        <w:rPr>
          <w:rFonts w:ascii="Palatino Linotype" w:hAnsi="Palatino Linotype"/>
          <w:b/>
          <w:bCs/>
          <w:lang w:val="es-MX"/>
        </w:rPr>
        <w:t>el Sujeto Obligado</w:t>
      </w:r>
      <w:r w:rsidRPr="00073779">
        <w:rPr>
          <w:rFonts w:ascii="Palatino Linotype" w:hAnsi="Palatino Linotype"/>
          <w:lang w:val="es-MX"/>
        </w:rPr>
        <w:t xml:space="preserve"> en fecha </w:t>
      </w:r>
      <w:r w:rsidR="00E21FD0">
        <w:rPr>
          <w:rFonts w:ascii="Palatino Linotype" w:hAnsi="Palatino Linotype"/>
          <w:lang w:val="es-MX"/>
        </w:rPr>
        <w:t>dieciséis de noviembre</w:t>
      </w:r>
      <w:r w:rsidRPr="00073779">
        <w:rPr>
          <w:rFonts w:ascii="Palatino Linotype" w:hAnsi="Palatino Linotype"/>
          <w:lang w:val="es-MX"/>
        </w:rPr>
        <w:t xml:space="preserve"> de dos mil veintiuno, presentó su informe justificado, dicho Informe consiste de </w:t>
      </w:r>
      <w:r w:rsidR="00E21FD0">
        <w:rPr>
          <w:rFonts w:ascii="Palatino Linotype" w:hAnsi="Palatino Linotype"/>
          <w:lang w:val="es-MX"/>
        </w:rPr>
        <w:t>seis</w:t>
      </w:r>
      <w:r w:rsidRPr="00073779">
        <w:rPr>
          <w:rFonts w:ascii="Palatino Linotype" w:hAnsi="Palatino Linotype"/>
          <w:lang w:val="es-MX"/>
        </w:rPr>
        <w:t xml:space="preserve"> archivos electrónicos, de los cuales cuatro de ellos</w:t>
      </w:r>
      <w:r w:rsidR="00E21FD0">
        <w:rPr>
          <w:rFonts w:ascii="Palatino Linotype" w:hAnsi="Palatino Linotype"/>
          <w:lang w:val="es-MX"/>
        </w:rPr>
        <w:t xml:space="preserve"> pudieran contener información considerada como reservada, ello en virtud de que este Instituto no tiene la certeza del estado procesal de los procedimientos administrativos de los cuales forman parte, como se verá en el Considerando correspondiente</w:t>
      </w:r>
      <w:r w:rsidRPr="00073779">
        <w:rPr>
          <w:rFonts w:ascii="Palatino Linotype" w:hAnsi="Palatino Linotype"/>
          <w:lang w:val="es-MX"/>
        </w:rPr>
        <w:t xml:space="preserve">, por lo que únicamente se pusieron a la vista del </w:t>
      </w:r>
      <w:r w:rsidRPr="00073779">
        <w:rPr>
          <w:rFonts w:ascii="Palatino Linotype" w:hAnsi="Palatino Linotype"/>
          <w:b/>
          <w:bCs/>
          <w:lang w:val="es-MX"/>
        </w:rPr>
        <w:t>Recurrente</w:t>
      </w:r>
      <w:r w:rsidRPr="00073779">
        <w:rPr>
          <w:rFonts w:ascii="Palatino Linotype" w:hAnsi="Palatino Linotype"/>
          <w:lang w:val="es-MX"/>
        </w:rPr>
        <w:t xml:space="preserve"> </w:t>
      </w:r>
      <w:r w:rsidR="00E21FD0">
        <w:rPr>
          <w:rFonts w:ascii="Palatino Linotype" w:hAnsi="Palatino Linotype"/>
          <w:lang w:val="es-MX"/>
        </w:rPr>
        <w:t>dos</w:t>
      </w:r>
      <w:r w:rsidRPr="00073779">
        <w:rPr>
          <w:rFonts w:ascii="Palatino Linotype" w:hAnsi="Palatino Linotype"/>
          <w:lang w:val="es-MX"/>
        </w:rPr>
        <w:t xml:space="preserve"> archivos electrónicos mediante acuerdo de fecha </w:t>
      </w:r>
      <w:r w:rsidR="00E21FD0">
        <w:rPr>
          <w:rFonts w:ascii="Palatino Linotype" w:hAnsi="Palatino Linotype"/>
          <w:lang w:val="es-MX"/>
        </w:rPr>
        <w:t>veintidós de diciembre de dos mil veintiuno</w:t>
      </w:r>
      <w:r w:rsidRPr="00073779">
        <w:rPr>
          <w:rFonts w:ascii="Palatino Linotype" w:hAnsi="Palatino Linotype"/>
          <w:lang w:val="es-MX"/>
        </w:rPr>
        <w:t xml:space="preserve">, para que en un término de tres días el </w:t>
      </w:r>
      <w:r w:rsidRPr="00073779">
        <w:rPr>
          <w:rFonts w:ascii="Palatino Linotype" w:hAnsi="Palatino Linotype"/>
          <w:b/>
          <w:bCs/>
          <w:lang w:val="es-MX"/>
        </w:rPr>
        <w:t>Recurrente</w:t>
      </w:r>
      <w:r w:rsidRPr="00073779">
        <w:rPr>
          <w:rFonts w:ascii="Palatino Linotype" w:hAnsi="Palatino Linotype"/>
          <w:lang w:val="es-MX"/>
        </w:rPr>
        <w:t xml:space="preserve"> adujera manifestaciones; </w:t>
      </w:r>
      <w:r w:rsidRPr="00073779">
        <w:rPr>
          <w:rFonts w:ascii="Palatino Linotype" w:hAnsi="Palatino Linotype"/>
          <w:lang w:val="es-MX"/>
        </w:rPr>
        <w:lastRenderedPageBreak/>
        <w:t xml:space="preserve">asimismo, se hace constar que el </w:t>
      </w:r>
      <w:r w:rsidRPr="00073779">
        <w:rPr>
          <w:rFonts w:ascii="Palatino Linotype" w:hAnsi="Palatino Linotype"/>
          <w:b/>
          <w:bCs/>
          <w:lang w:val="es-MX"/>
        </w:rPr>
        <w:t>Recurrente</w:t>
      </w:r>
      <w:r w:rsidRPr="00073779">
        <w:rPr>
          <w:rFonts w:ascii="Palatino Linotype" w:hAnsi="Palatino Linotype"/>
          <w:lang w:val="es-MX"/>
        </w:rPr>
        <w:t xml:space="preserve"> fue omiso en presentar sus manifestaciones respecto al informe justificado remitido por </w:t>
      </w:r>
      <w:r w:rsidRPr="00073779">
        <w:rPr>
          <w:rFonts w:ascii="Palatino Linotype" w:hAnsi="Palatino Linotype"/>
          <w:b/>
          <w:bCs/>
          <w:lang w:val="es-MX"/>
        </w:rPr>
        <w:t>el Sujeto Obligado</w:t>
      </w:r>
      <w:r w:rsidRPr="00073779">
        <w:rPr>
          <w:rFonts w:ascii="Palatino Linotype" w:hAnsi="Palatino Linotype"/>
          <w:lang w:val="es-MX"/>
        </w:rPr>
        <w:t>, finalmente se advierte de las constancias que integran el presente expediente, que no existe prueba alguna que deba desahogarse.</w:t>
      </w:r>
    </w:p>
    <w:p w14:paraId="2FFA296B" w14:textId="77777777" w:rsidR="00220EE7" w:rsidRDefault="00220EE7" w:rsidP="00D27E5B">
      <w:pPr>
        <w:spacing w:line="360" w:lineRule="auto"/>
        <w:jc w:val="both"/>
        <w:rPr>
          <w:rFonts w:ascii="Palatino Linotype" w:hAnsi="Palatino Linotype"/>
          <w:b/>
          <w:sz w:val="28"/>
          <w:szCs w:val="28"/>
        </w:rPr>
      </w:pPr>
    </w:p>
    <w:p w14:paraId="6878CCBD" w14:textId="2EB9FBB5"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3B23231B" w:rsidR="00D27E5B" w:rsidRPr="00D27E5B" w:rsidRDefault="00D27E5B" w:rsidP="00D27E5B">
      <w:pPr>
        <w:spacing w:line="360" w:lineRule="auto"/>
        <w:jc w:val="both"/>
        <w:rPr>
          <w:rFonts w:ascii="Palatino Linotype" w:hAnsi="Palatino Linotype"/>
        </w:rPr>
      </w:pPr>
      <w:r w:rsidRPr="00D27E5B">
        <w:rPr>
          <w:rFonts w:ascii="Palatino Linotype" w:hAnsi="Palatino Linotype"/>
        </w:rPr>
        <w:t xml:space="preserve">Así, una vez transcurrido el término legal, se decretó el cierre de instrucción en fecha </w:t>
      </w:r>
      <w:r w:rsidR="00833AEC">
        <w:rPr>
          <w:rFonts w:ascii="Palatino Linotype" w:hAnsi="Palatino Linotype"/>
        </w:rPr>
        <w:t>veinte</w:t>
      </w:r>
      <w:r w:rsidR="00E21FD0">
        <w:rPr>
          <w:rFonts w:ascii="Palatino Linotype" w:hAnsi="Palatino Linotype"/>
        </w:rPr>
        <w:t xml:space="preserve"> de enero de dos mil veintidós</w:t>
      </w:r>
      <w:r w:rsidRPr="00D27E5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437645E0" w14:textId="77777777" w:rsidR="00220EE7" w:rsidRPr="00220EE7" w:rsidRDefault="00220EE7" w:rsidP="00220EE7">
      <w:pPr>
        <w:spacing w:line="360" w:lineRule="auto"/>
        <w:jc w:val="both"/>
        <w:rPr>
          <w:rFonts w:ascii="Palatino Linotype" w:hAnsi="Palatino Linotype"/>
          <w:b/>
          <w:sz w:val="28"/>
          <w:szCs w:val="28"/>
        </w:rPr>
      </w:pPr>
    </w:p>
    <w:p w14:paraId="6690F465" w14:textId="381973A5" w:rsidR="00220EE7" w:rsidRPr="00220EE7" w:rsidRDefault="00220EE7" w:rsidP="00220EE7">
      <w:pPr>
        <w:spacing w:line="360" w:lineRule="auto"/>
        <w:jc w:val="both"/>
        <w:rPr>
          <w:rFonts w:ascii="Palatino Linotype" w:hAnsi="Palatino Linotype" w:cs="Arial"/>
          <w:b/>
        </w:rPr>
      </w:pPr>
      <w:r w:rsidRPr="00220EE7">
        <w:rPr>
          <w:rFonts w:ascii="Palatino Linotype" w:hAnsi="Palatino Linotype"/>
          <w:b/>
          <w:sz w:val="28"/>
          <w:szCs w:val="28"/>
        </w:rPr>
        <w:t>SÉPTIMO</w:t>
      </w:r>
      <w:r w:rsidRPr="00220EE7">
        <w:rPr>
          <w:rFonts w:ascii="Palatino Linotype" w:hAnsi="Palatino Linotype" w:cs="Arial"/>
          <w:b/>
        </w:rPr>
        <w:t>. De la ampliación del término para resolver.</w:t>
      </w:r>
    </w:p>
    <w:p w14:paraId="318DC940" w14:textId="1992569C" w:rsidR="00BD28E3" w:rsidRPr="00220EE7" w:rsidRDefault="00220EE7" w:rsidP="00E21FD0">
      <w:pPr>
        <w:spacing w:before="120" w:line="360" w:lineRule="auto"/>
        <w:jc w:val="both"/>
        <w:rPr>
          <w:rFonts w:ascii="Palatino Linotype" w:hAnsi="Palatino Linotype" w:cs="Arial"/>
        </w:rPr>
      </w:pPr>
      <w:r w:rsidRPr="00220EE7">
        <w:rPr>
          <w:rFonts w:ascii="Palatino Linotype" w:hAnsi="Palatino Linotype" w:cs="Arial"/>
        </w:rPr>
        <w:t xml:space="preserve">En fecha </w:t>
      </w:r>
      <w:r w:rsidR="00E21FD0">
        <w:rPr>
          <w:rFonts w:ascii="Palatino Linotype" w:hAnsi="Palatino Linotype" w:cs="Arial"/>
        </w:rPr>
        <w:t>trece de enero de dos mil veintidós</w:t>
      </w:r>
      <w:r w:rsidRPr="00220EE7">
        <w:rPr>
          <w:rFonts w:ascii="Palatino Linotype" w:hAnsi="Palatino Linotype" w:cs="Arial"/>
        </w:rPr>
        <w:t>, se amplió el término para resolver el recurso de revisión en términos del artículo 181 párrafo tercero de la Ley de Transparencia y Acceso a la Información Pública del Estado de México y Municipios por un plazo de quince días hábiles.</w:t>
      </w: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43DC994D" w14:textId="77777777" w:rsidR="00BA55C8" w:rsidRPr="00B81A2B" w:rsidRDefault="00BA55C8" w:rsidP="00BA55C8">
      <w:pPr>
        <w:spacing w:line="360" w:lineRule="auto"/>
        <w:jc w:val="both"/>
        <w:rPr>
          <w:rFonts w:ascii="Palatino Linotype" w:hAnsi="Palatino Linotype" w:cs="Arial"/>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4B21AE6B" w14:textId="77777777" w:rsidR="004D6277" w:rsidRDefault="004D6277" w:rsidP="004D6277">
      <w:pPr>
        <w:spacing w:before="240" w:line="360" w:lineRule="auto"/>
        <w:jc w:val="both"/>
        <w:rPr>
          <w:rFonts w:ascii="Palatino Linotype" w:hAnsi="Palatino Linotype"/>
          <w:b/>
          <w:color w:val="000000" w:themeColor="text1"/>
        </w:rPr>
      </w:pPr>
      <w:r>
        <w:rPr>
          <w:rFonts w:ascii="Palatino Linotype" w:hAnsi="Palatino Linotype" w:cs="Arial"/>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rPr>
        <w:t xml:space="preserve">la parte recurrente </w:t>
      </w:r>
      <w:r>
        <w:rPr>
          <w:rFonts w:ascii="Palatino Linotype" w:hAnsi="Palatino Linotype" w:cs="Arial"/>
        </w:rPr>
        <w:t xml:space="preserve">conforme a lo dispuesto en los </w:t>
      </w:r>
      <w:r>
        <w:rPr>
          <w:rFonts w:ascii="Palatino Linotype" w:hAnsi="Palatino Linotype" w:cs="Arial"/>
        </w:rPr>
        <w:lastRenderedPageBreak/>
        <w:t xml:space="preserve">artículos 1, párrafos segundo y tercero, </w:t>
      </w:r>
      <w:r>
        <w:rPr>
          <w:rFonts w:ascii="Palatino Linotype" w:hAnsi="Palatino Linotype"/>
          <w:color w:val="000000" w:themeColor="text1"/>
        </w:rPr>
        <w:t xml:space="preserve">6, apartado A, fracción IV de la </w:t>
      </w:r>
      <w:r>
        <w:rPr>
          <w:rFonts w:ascii="Palatino Linotype" w:hAnsi="Palatino Linotype"/>
          <w:b/>
          <w:color w:val="000000" w:themeColor="text1"/>
        </w:rPr>
        <w:t>Constitución Política de los Estados Unidos Mexicanos</w:t>
      </w:r>
      <w:r>
        <w:rPr>
          <w:rFonts w:ascii="Palatino Linotype" w:hAnsi="Palatino Linotype"/>
          <w:color w:val="000000" w:themeColor="text1"/>
        </w:rPr>
        <w:t xml:space="preserve">; 5, párrafos trigésimo, trigésimo primero y trigésimo segundo, fracciones IV y V, de la </w:t>
      </w:r>
      <w:r>
        <w:rPr>
          <w:rFonts w:ascii="Palatino Linotype" w:hAnsi="Palatino Linotype"/>
          <w:b/>
          <w:color w:val="000000" w:themeColor="text1"/>
        </w:rPr>
        <w:t>Constitución Política del Estado Libre y Soberano de México</w:t>
      </w:r>
      <w:r>
        <w:rPr>
          <w:rFonts w:ascii="Palatino Linotype" w:hAnsi="Palatino Linotype"/>
          <w:color w:val="000000" w:themeColor="text1"/>
        </w:rPr>
        <w:t xml:space="preserve">; artículos 1, 2 fracción II, 13, 29, 36 fracciones I y II, 176, 178, 179, 181 párrafo tercero y 185 </w:t>
      </w:r>
      <w:r>
        <w:rPr>
          <w:rFonts w:ascii="Palatino Linotype" w:hAnsi="Palatino Linotype" w:cs="Arial"/>
          <w:color w:val="000000" w:themeColor="text1"/>
        </w:rPr>
        <w:t xml:space="preserve">de la </w:t>
      </w:r>
      <w:r>
        <w:rPr>
          <w:rFonts w:ascii="Palatino Linotype" w:hAnsi="Palatino Linotype" w:cs="Arial"/>
          <w:b/>
          <w:color w:val="000000" w:themeColor="text1"/>
        </w:rPr>
        <w:t>Ley de Transparencia y Acceso a la Información Pública del Estado de México y Municipios</w:t>
      </w:r>
      <w:r>
        <w:rPr>
          <w:rFonts w:ascii="Palatino Linotype" w:hAnsi="Palatino Linotype" w:cs="Arial"/>
          <w:color w:val="000000" w:themeColor="text1"/>
        </w:rPr>
        <w:t xml:space="preserve">; y 10, 7, 9 fracciones I y XXIV, y 11 del </w:t>
      </w:r>
      <w:r>
        <w:rPr>
          <w:rFonts w:ascii="Palatino Linotype" w:hAnsi="Palatino Linotype" w:cs="Arial"/>
          <w:b/>
          <w:color w:val="000000" w:themeColor="text1"/>
        </w:rPr>
        <w:t>Reglamento Interior del Instituto de Transparencia, Acceso a la Información Pública y Protección de Datos Personales del Estado de México y Municipios.</w:t>
      </w:r>
    </w:p>
    <w:p w14:paraId="6DC94A69" w14:textId="77777777" w:rsidR="003708E1" w:rsidRPr="00B21190" w:rsidRDefault="003708E1" w:rsidP="00E91EE4">
      <w:pPr>
        <w:spacing w:before="240" w:line="360" w:lineRule="auto"/>
        <w:jc w:val="both"/>
        <w:rPr>
          <w:rFonts w:ascii="Palatino Linotype" w:hAnsi="Palatino Linotype" w:cs="Arial"/>
        </w:rPr>
      </w:pPr>
    </w:p>
    <w:p w14:paraId="5E3884DF" w14:textId="77777777"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04FC6202" w:rsidR="00A47E4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148A9EF" w14:textId="3BAC3368" w:rsidR="00A746AA" w:rsidRDefault="00A746AA" w:rsidP="007B1512">
      <w:pPr>
        <w:pStyle w:val="Prrafodelista"/>
        <w:autoSpaceDE w:val="0"/>
        <w:autoSpaceDN w:val="0"/>
        <w:adjustRightInd w:val="0"/>
        <w:spacing w:line="360" w:lineRule="auto"/>
        <w:ind w:left="0"/>
        <w:jc w:val="both"/>
        <w:rPr>
          <w:rFonts w:ascii="Palatino Linotype" w:hAnsi="Palatino Linotype" w:cs="Arial"/>
        </w:rPr>
      </w:pPr>
    </w:p>
    <w:p w14:paraId="3286A933" w14:textId="77777777" w:rsidR="00A746AA" w:rsidRPr="00161CEB" w:rsidRDefault="00A746AA" w:rsidP="00A746AA">
      <w:pPr>
        <w:autoSpaceDE w:val="0"/>
        <w:autoSpaceDN w:val="0"/>
        <w:adjustRightInd w:val="0"/>
        <w:spacing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315CAA3" w14:textId="77777777" w:rsidR="00A746AA" w:rsidRPr="00161CEB" w:rsidRDefault="00A746AA" w:rsidP="00A746AA">
      <w:pPr>
        <w:autoSpaceDE w:val="0"/>
        <w:autoSpaceDN w:val="0"/>
        <w:adjustRightInd w:val="0"/>
        <w:spacing w:line="360" w:lineRule="auto"/>
        <w:jc w:val="both"/>
        <w:rPr>
          <w:rFonts w:ascii="Palatino Linotype" w:hAnsi="Palatino Linotype" w:cs="Arial"/>
          <w:sz w:val="28"/>
        </w:rPr>
      </w:pPr>
      <w:r w:rsidRPr="00161CEB">
        <w:rPr>
          <w:rFonts w:ascii="Palatino Linotype" w:hAnsi="Palatino Linotype" w:cs="Arial"/>
        </w:rPr>
        <w:t xml:space="preserve">El Recurso de Revisión en estudio contiene los elementos normativos de validez exigidos en </w:t>
      </w:r>
      <w:r w:rsidRPr="00161CEB">
        <w:rPr>
          <w:rFonts w:ascii="Palatino Linotype" w:hAnsi="Palatino Linotype"/>
        </w:rPr>
        <w:t xml:space="preserve">la Ley de Transparencia y </w:t>
      </w:r>
      <w:r w:rsidRPr="00161CEB">
        <w:rPr>
          <w:rFonts w:ascii="Palatino Linotype" w:hAnsi="Palatino Linotype" w:cs="Arial"/>
          <w:lang w:val="es-ES_tradnl"/>
        </w:rPr>
        <w:t>Acceso a la Información Pública del Estado de México y Municipios</w:t>
      </w:r>
      <w:r w:rsidRPr="00161CEB">
        <w:rPr>
          <w:rFonts w:ascii="Palatino Linotype" w:hAnsi="Palatino Linotype"/>
        </w:rPr>
        <w:t>, establecidos en el artículo 180, que enuncia:</w:t>
      </w:r>
    </w:p>
    <w:p w14:paraId="260BC980" w14:textId="77777777" w:rsidR="00A746AA" w:rsidRPr="00161CEB" w:rsidRDefault="00A746AA" w:rsidP="00A746AA">
      <w:pPr>
        <w:pStyle w:val="Sinespaciado"/>
      </w:pPr>
    </w:p>
    <w:p w14:paraId="2D3DF7C3"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3D56B986"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431820AC"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0FAA3BE8"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10C8E975"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06B0ED7F"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 El acto que se recurre;</w:t>
      </w:r>
    </w:p>
    <w:p w14:paraId="4C93D942"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 Las razones o motivos de inconformidad;</w:t>
      </w:r>
    </w:p>
    <w:p w14:paraId="5F0294B0"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010F0A5E"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390D773D" w14:textId="77777777" w:rsidR="00A746AA" w:rsidRPr="00161CEB" w:rsidRDefault="00A746AA" w:rsidP="00A746AA">
      <w:pPr>
        <w:pStyle w:val="Prrafodelista"/>
        <w:ind w:left="851" w:right="1275"/>
        <w:jc w:val="both"/>
        <w:rPr>
          <w:rFonts w:ascii="Palatino Linotype" w:hAnsi="Palatino Linotype" w:cs="Arial"/>
          <w:i/>
          <w:sz w:val="22"/>
        </w:rPr>
      </w:pPr>
    </w:p>
    <w:p w14:paraId="54A436C0"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3AD55604" w14:textId="77777777" w:rsidR="00A746AA" w:rsidRPr="00161CEB" w:rsidRDefault="00A746AA" w:rsidP="00A746AA">
      <w:pPr>
        <w:pStyle w:val="Prrafodelista"/>
        <w:ind w:left="851" w:right="1275"/>
        <w:jc w:val="both"/>
        <w:rPr>
          <w:rFonts w:ascii="Palatino Linotype" w:hAnsi="Palatino Linotype" w:cs="Arial"/>
          <w:i/>
          <w:sz w:val="22"/>
        </w:rPr>
      </w:pPr>
    </w:p>
    <w:p w14:paraId="2551B15E"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4A0E3BCA" w14:textId="77777777" w:rsidR="00A746AA" w:rsidRPr="00161CEB" w:rsidRDefault="00A746AA" w:rsidP="00A746AA">
      <w:pPr>
        <w:pStyle w:val="Prrafodelista"/>
        <w:ind w:left="851" w:right="1275"/>
        <w:jc w:val="both"/>
        <w:rPr>
          <w:rFonts w:ascii="Palatino Linotype" w:hAnsi="Palatino Linotype" w:cs="Arial"/>
          <w:i/>
          <w:sz w:val="22"/>
        </w:rPr>
      </w:pPr>
    </w:p>
    <w:p w14:paraId="1F1889A7" w14:textId="77777777" w:rsidR="00A746AA" w:rsidRPr="00161CEB" w:rsidRDefault="00A746AA" w:rsidP="00A746AA">
      <w:pPr>
        <w:pStyle w:val="Prrafodelista"/>
        <w:ind w:left="851" w:right="1275"/>
        <w:jc w:val="both"/>
        <w:rPr>
          <w:rFonts w:ascii="Palatino Linotype" w:hAnsi="Palatino Linotype" w:cs="Arial"/>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p>
    <w:p w14:paraId="0B659A45" w14:textId="77777777" w:rsidR="00A746AA" w:rsidRPr="004008E2" w:rsidRDefault="00A746AA" w:rsidP="00A746AA">
      <w:pPr>
        <w:pStyle w:val="Prrafodelista"/>
        <w:ind w:left="851"/>
        <w:jc w:val="right"/>
        <w:rPr>
          <w:rFonts w:ascii="Palatino Linotype" w:hAnsi="Palatino Linotype" w:cs="Arial"/>
          <w:b/>
          <w:i/>
          <w:sz w:val="20"/>
        </w:rPr>
      </w:pPr>
      <w:r w:rsidRPr="00161CEB">
        <w:rPr>
          <w:rFonts w:ascii="Palatino Linotype" w:hAnsi="Palatino Linotype" w:cs="Arial"/>
          <w:b/>
          <w:i/>
          <w:sz w:val="20"/>
        </w:rPr>
        <w:t>[Énfasis añadido]</w:t>
      </w:r>
    </w:p>
    <w:p w14:paraId="53DC114C" w14:textId="77777777" w:rsidR="00A746AA" w:rsidRDefault="00A746AA" w:rsidP="00A746AA">
      <w:pPr>
        <w:spacing w:line="360" w:lineRule="auto"/>
        <w:jc w:val="both"/>
        <w:rPr>
          <w:rFonts w:ascii="Palatino Linotype" w:eastAsia="Calibri" w:hAnsi="Palatino Linotype" w:cs="Segoe UI"/>
        </w:rPr>
      </w:pPr>
    </w:p>
    <w:p w14:paraId="3C906E58" w14:textId="79400603" w:rsidR="00A746AA" w:rsidRDefault="00A746AA" w:rsidP="00A746AA">
      <w:pPr>
        <w:spacing w:line="360" w:lineRule="auto"/>
        <w:jc w:val="both"/>
        <w:rPr>
          <w:rFonts w:ascii="Palatino Linotype" w:eastAsia="Calibri" w:hAnsi="Palatino Linotype" w:cs="Arial"/>
        </w:rPr>
      </w:pPr>
      <w:r w:rsidRPr="00161CEB">
        <w:rPr>
          <w:rFonts w:ascii="Palatino Linotype" w:eastAsia="Calibri" w:hAnsi="Palatino Linotype" w:cs="Segoe UI"/>
        </w:rPr>
        <w:t xml:space="preserve">Cabe señalar que </w:t>
      </w:r>
      <w:r w:rsidRPr="00161CEB">
        <w:rPr>
          <w:rFonts w:ascii="Palatino Linotype" w:eastAsia="Calibri" w:hAnsi="Palatino Linotype" w:cs="Segoe UI"/>
          <w:b/>
        </w:rPr>
        <w:t xml:space="preserve">El Recurrente </w:t>
      </w:r>
      <w:r w:rsidRPr="00161CEB">
        <w:rPr>
          <w:rFonts w:ascii="Palatino Linotype" w:eastAsia="Calibri" w:hAnsi="Palatino Linotype" w:cs="Segoe UI"/>
        </w:rPr>
        <w:t>se identifica</w:t>
      </w:r>
      <w:r>
        <w:rPr>
          <w:rFonts w:ascii="Palatino Linotype" w:eastAsia="Calibri" w:hAnsi="Palatino Linotype" w:cs="Segoe UI"/>
        </w:rPr>
        <w:t xml:space="preserve"> como “</w:t>
      </w:r>
      <w:r w:rsidR="007939EB">
        <w:rPr>
          <w:rFonts w:ascii="Palatino Linotype" w:eastAsia="Calibri" w:hAnsi="Palatino Linotype" w:cs="Segoe UI"/>
          <w:b/>
          <w:bCs/>
        </w:rPr>
        <w:t>xxxx</w:t>
      </w:r>
      <w:bookmarkStart w:id="2" w:name="_GoBack"/>
      <w:bookmarkEnd w:id="2"/>
      <w:r>
        <w:rPr>
          <w:rFonts w:ascii="Palatino Linotype" w:eastAsia="Calibri" w:hAnsi="Palatino Linotype" w:cs="Segoe UI"/>
          <w:b/>
          <w:bCs/>
        </w:rPr>
        <w:t>”</w:t>
      </w:r>
      <w:r>
        <w:rPr>
          <w:rFonts w:ascii="Palatino Linotype" w:eastAsia="Calibri" w:hAnsi="Palatino Linotype" w:cs="Segoe UI"/>
        </w:rPr>
        <w:t xml:space="preserve"> </w:t>
      </w:r>
      <w:r w:rsidRPr="00161CEB">
        <w:rPr>
          <w:rFonts w:ascii="Palatino Linotype" w:eastAsia="Calibri" w:hAnsi="Palatino Linotype" w:cs="Segoe UI"/>
        </w:rPr>
        <w:t xml:space="preserve"> en la solicitud de información</w:t>
      </w:r>
      <w:r w:rsidRPr="00161CEB">
        <w:rPr>
          <w:rFonts w:ascii="Palatino Linotype" w:eastAsiaTheme="minorEastAsia" w:hAnsi="Palatino Linotype" w:cs="Arial"/>
        </w:rPr>
        <w:t xml:space="preserve">. </w:t>
      </w:r>
      <w:r w:rsidRPr="00161CEB">
        <w:rPr>
          <w:rFonts w:ascii="Palatino Linotype" w:eastAsia="Calibri" w:hAnsi="Palatino Linotype"/>
        </w:rPr>
        <w:t xml:space="preserve">No obstante lo anterior, proporcionar </w:t>
      </w:r>
      <w:r>
        <w:rPr>
          <w:rFonts w:ascii="Palatino Linotype" w:eastAsia="Calibri" w:hAnsi="Palatino Linotype"/>
        </w:rPr>
        <w:t xml:space="preserve">un seudónimo, </w:t>
      </w:r>
      <w:r w:rsidRPr="00161CEB">
        <w:rPr>
          <w:rFonts w:ascii="Palatino Linotype" w:eastAsia="Calibri" w:hAnsi="Palatino Linotype"/>
        </w:rPr>
        <w:t xml:space="preserve"> no es motivo para desechar las </w:t>
      </w:r>
      <w:r w:rsidRPr="00161CEB">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BE608BA" w14:textId="77777777" w:rsidR="00A746AA" w:rsidRPr="002813C0" w:rsidRDefault="00A746AA" w:rsidP="00A746AA">
      <w:pPr>
        <w:pStyle w:val="Sinespaciado"/>
        <w:rPr>
          <w:rFonts w:eastAsia="Calibri"/>
          <w:sz w:val="16"/>
          <w:lang w:val="es-ES"/>
        </w:rPr>
      </w:pPr>
    </w:p>
    <w:p w14:paraId="12E98A7C" w14:textId="77777777" w:rsidR="00A746AA" w:rsidRPr="00161CEB" w:rsidRDefault="00A746AA" w:rsidP="00A746AA">
      <w:pPr>
        <w:pStyle w:val="Sinespaciado"/>
        <w:rPr>
          <w:rFonts w:eastAsia="Calibri"/>
          <w:sz w:val="2"/>
          <w:lang w:val="es-ES"/>
        </w:rPr>
      </w:pPr>
    </w:p>
    <w:p w14:paraId="24727264" w14:textId="77777777" w:rsidR="00A746AA" w:rsidRDefault="00A746AA" w:rsidP="00A746AA">
      <w:pPr>
        <w:ind w:left="851" w:right="900"/>
        <w:jc w:val="both"/>
        <w:rPr>
          <w:rFonts w:ascii="Palatino Linotype" w:eastAsia="Calibri" w:hAnsi="Palatino Linotype" w:cs="Arial"/>
          <w:i/>
        </w:rPr>
      </w:pPr>
      <w:r w:rsidRPr="00161CEB">
        <w:rPr>
          <w:rFonts w:ascii="Palatino Linotype" w:eastAsia="Calibri" w:hAnsi="Palatino Linotype" w:cs="Arial"/>
          <w:i/>
        </w:rPr>
        <w:t xml:space="preserve">“Las solicitudes anónimas, con nombre incompleto o seudónimo serán procedentes para su trámite por parte del sujeto obligado ante quien se </w:t>
      </w:r>
      <w:r w:rsidRPr="00161CEB">
        <w:rPr>
          <w:rFonts w:ascii="Palatino Linotype" w:eastAsia="Calibri" w:hAnsi="Palatino Linotype" w:cs="Arial"/>
          <w:i/>
        </w:rPr>
        <w:lastRenderedPageBreak/>
        <w:t>presente. No podrá requerirse información adicional con motivo del nombre proporcionado por el solicitante.”</w:t>
      </w:r>
    </w:p>
    <w:p w14:paraId="559B3AC5" w14:textId="77777777" w:rsidR="00A746AA" w:rsidRPr="002813C0" w:rsidRDefault="00A746AA" w:rsidP="00A746AA">
      <w:pPr>
        <w:ind w:left="851" w:right="900"/>
        <w:jc w:val="both"/>
        <w:rPr>
          <w:rFonts w:ascii="Palatino Linotype" w:eastAsia="Calibri" w:hAnsi="Palatino Linotype" w:cs="Arial"/>
          <w:i/>
          <w:sz w:val="12"/>
        </w:rPr>
      </w:pPr>
    </w:p>
    <w:p w14:paraId="3F2A8C9B"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Robusteciendo lo anterior se encuentra lo dispuesto en los artículos 6, Apartado A, fracciones III y IV</w:t>
      </w:r>
      <w:r>
        <w:rPr>
          <w:rFonts w:ascii="Palatino Linotype" w:eastAsia="Calibri" w:hAnsi="Palatino Linotype"/>
        </w:rPr>
        <w:t>,</w:t>
      </w:r>
      <w:r w:rsidRPr="00161CEB">
        <w:rPr>
          <w:rFonts w:ascii="Palatino Linotype" w:eastAsia="Calibri" w:hAnsi="Palatino Linotype"/>
        </w:rPr>
        <w:t xml:space="preserve"> de la Constitución Política de los Estados Unidos Mexicanos y 5 párrafos </w:t>
      </w:r>
      <w:r w:rsidRPr="00161CEB">
        <w:rPr>
          <w:rFonts w:ascii="Palatino Linotype" w:eastAsia="Calibri" w:hAnsi="Palatino Linotype" w:cs="Arial"/>
        </w:rPr>
        <w:t>vigésimo, vigésimo primero</w:t>
      </w:r>
      <w:r w:rsidRPr="00161CEB">
        <w:rPr>
          <w:rFonts w:ascii="Palatino Linotype" w:hAnsi="Palatino Linotype" w:cs="Arial"/>
        </w:rPr>
        <w:t xml:space="preserve"> y vigésimo segundo</w:t>
      </w:r>
      <w:r w:rsidRPr="00161CEB">
        <w:rPr>
          <w:rFonts w:ascii="Palatino Linotype" w:eastAsia="Calibri" w:hAnsi="Palatino Linotype"/>
        </w:rPr>
        <w:t>, de la Constitución Política del Estado Libre y Soberano de México, se establece lo siguiente:</w:t>
      </w:r>
    </w:p>
    <w:p w14:paraId="5E60E582" w14:textId="77777777" w:rsidR="00A746AA" w:rsidRPr="00161CEB" w:rsidRDefault="00A746AA" w:rsidP="00A746AA">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 los Estados Unidos Mexicanos</w:t>
      </w:r>
    </w:p>
    <w:p w14:paraId="465185D7"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6</w:t>
      </w:r>
      <w:r w:rsidRPr="00161CEB">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886C3C"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CAD1F8D"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Para efectos de lo dispuesto en el presente artículo se observará lo siguiente: </w:t>
      </w:r>
    </w:p>
    <w:p w14:paraId="28A03153"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2491137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6CA4C605"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084DAF72" w14:textId="77777777" w:rsidR="00A746AA" w:rsidRPr="002813C0"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2750652F" w14:textId="77777777" w:rsidR="00A746AA" w:rsidRPr="00161CEB" w:rsidRDefault="00A746AA" w:rsidP="00A746AA">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del Estado Libre y Soberano de México</w:t>
      </w:r>
    </w:p>
    <w:p w14:paraId="52467B76"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lastRenderedPageBreak/>
        <w:t>“</w:t>
      </w:r>
      <w:r w:rsidRPr="00161CEB">
        <w:rPr>
          <w:rFonts w:ascii="Palatino Linotype" w:eastAsia="Calibri" w:hAnsi="Palatino Linotype"/>
          <w:b/>
          <w:i/>
        </w:rPr>
        <w:t>Artículo 5</w:t>
      </w:r>
      <w:r w:rsidRPr="00161CEB">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FB5154"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686C0032"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1250619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 (…)</w:t>
      </w:r>
    </w:p>
    <w:p w14:paraId="30BCDF7C"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58D654AA"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7AD593"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50603DBF"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172D9DF5"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C11841D"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VIII. El Estado contará con un organismo autónomo, especializado, imparcial, colegiado, con personalidad jurídica y patrimonio propio, con </w:t>
      </w:r>
      <w:r w:rsidRPr="00161CEB">
        <w:rPr>
          <w:rFonts w:ascii="Palatino Linotype" w:eastAsia="Calibri" w:hAnsi="Palatino Linotype"/>
          <w:i/>
        </w:rPr>
        <w:lastRenderedPageBreak/>
        <w:t>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7062AA5" w14:textId="77777777" w:rsidR="00A746AA" w:rsidRPr="00161CEB" w:rsidRDefault="00A746AA" w:rsidP="00A746AA">
      <w:pPr>
        <w:spacing w:before="240" w:after="240"/>
        <w:ind w:left="851" w:right="900"/>
        <w:jc w:val="both"/>
        <w:rPr>
          <w:rFonts w:ascii="Palatino Linotype" w:eastAsia="Calibri" w:hAnsi="Palatino Linotype"/>
          <w:i/>
        </w:rPr>
      </w:pPr>
    </w:p>
    <w:p w14:paraId="229EDB2D"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Por otra parte, del contenido del artículo 1, de la Constitución Política de los Estados Unidos Mexicanos, se destaca lo siguiente:</w:t>
      </w:r>
    </w:p>
    <w:p w14:paraId="434B2204"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1o</w:t>
      </w:r>
      <w:r w:rsidRPr="00161CEB">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64D709" w14:textId="77777777" w:rsidR="00A746AA" w:rsidRPr="00161CEB"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1B9A371C" w14:textId="77777777" w:rsidR="00A746AA" w:rsidRDefault="00A746AA" w:rsidP="00A746AA">
      <w:pPr>
        <w:spacing w:before="240" w:after="240"/>
        <w:ind w:left="851" w:right="900"/>
        <w:jc w:val="both"/>
        <w:rPr>
          <w:rFonts w:ascii="Palatino Linotype" w:eastAsia="Calibri" w:hAnsi="Palatino Linotype"/>
          <w:i/>
        </w:rPr>
      </w:pPr>
      <w:r w:rsidRPr="00161CEB">
        <w:rPr>
          <w:rFonts w:ascii="Palatino Linotype" w:eastAsia="Calibri"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640E18D" w14:textId="77777777" w:rsidR="00A746AA" w:rsidRPr="004008E2" w:rsidRDefault="00A746AA" w:rsidP="00A746AA">
      <w:pPr>
        <w:pStyle w:val="Sinespaciado"/>
        <w:rPr>
          <w:rFonts w:eastAsia="Calibri"/>
          <w:sz w:val="8"/>
          <w:lang w:val="es-ES"/>
        </w:rPr>
      </w:pPr>
    </w:p>
    <w:p w14:paraId="0219906E" w14:textId="77777777" w:rsidR="00A746AA" w:rsidRPr="00161CEB" w:rsidRDefault="00A746AA" w:rsidP="00A746AA">
      <w:pPr>
        <w:spacing w:before="240" w:after="240" w:line="360" w:lineRule="auto"/>
        <w:jc w:val="both"/>
        <w:rPr>
          <w:rFonts w:ascii="Palatino Linotype" w:eastAsia="Calibri" w:hAnsi="Palatino Linotype"/>
        </w:rPr>
      </w:pPr>
      <w:r w:rsidRPr="00161CEB">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161CEB">
        <w:rPr>
          <w:rFonts w:ascii="Palatino Linotype" w:eastAsia="Calibri" w:hAnsi="Palatino Linotype"/>
        </w:rPr>
        <w:lastRenderedPageBreak/>
        <w:t>posibilidad de que, incluso, la solicitud de acceso a la información pueda ser anónima o no contener un nombre que identifique al solicitante o que permita tener certeza sobre su identidad.</w:t>
      </w:r>
    </w:p>
    <w:p w14:paraId="29C673E6" w14:textId="77777777" w:rsidR="00A746AA" w:rsidRPr="00161CEB" w:rsidRDefault="00A746AA" w:rsidP="00A746AA">
      <w:pPr>
        <w:pStyle w:val="Sinespaciado"/>
        <w:rPr>
          <w:rFonts w:eastAsia="Calibri"/>
          <w:sz w:val="10"/>
          <w:lang w:val="es-ES"/>
        </w:rPr>
      </w:pPr>
    </w:p>
    <w:p w14:paraId="3D591147" w14:textId="77777777" w:rsidR="00A746AA" w:rsidRPr="002813C0" w:rsidRDefault="00A746AA" w:rsidP="00A746AA">
      <w:pPr>
        <w:spacing w:line="360" w:lineRule="auto"/>
        <w:jc w:val="both"/>
        <w:rPr>
          <w:rFonts w:ascii="Palatino Linotype" w:eastAsia="Calibri" w:hAnsi="Palatino Linotype" w:cs="Arial"/>
        </w:rPr>
      </w:pPr>
      <w:r w:rsidRPr="00161CEB">
        <w:rPr>
          <w:rFonts w:ascii="Palatino Linotype" w:eastAsia="Calibri" w:hAnsi="Palatino Linotype" w:cs="Arial"/>
        </w:rPr>
        <w:t>En conclusión, se cubrieron los requisitos de procedencia y procedibilidad y conforme a las constancias que obran en el expediente.</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361C0705" w14:textId="297EEF63" w:rsidR="00912A21" w:rsidRPr="0006149A" w:rsidRDefault="00A746AA"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912A21" w:rsidRPr="0006149A">
        <w:rPr>
          <w:rFonts w:ascii="Palatino Linotype" w:hAnsi="Palatino Linotype" w:cs="Arial"/>
          <w:b/>
        </w:rPr>
        <w:t xml:space="preserve">. </w:t>
      </w:r>
      <w:r w:rsidR="00912A21"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06149A">
        <w:rPr>
          <w:rFonts w:ascii="Palatino Linotype" w:hAnsi="Palatino Linotype" w:cs="Arial"/>
        </w:rPr>
        <w:lastRenderedPageBreak/>
        <w:t>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77A40964"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Así las cosas, al no existir causas de improcedencia invocadas por las partes ni advertidas de oficio por este Resolutor, se </w:t>
      </w:r>
      <w:proofErr w:type="gramStart"/>
      <w:r w:rsidRPr="0006149A">
        <w:rPr>
          <w:rFonts w:ascii="Palatino Linotype" w:hAnsi="Palatino Linotype" w:cs="Arial"/>
        </w:rPr>
        <w:t>procede</w:t>
      </w:r>
      <w:proofErr w:type="gramEnd"/>
      <w:r w:rsidRPr="0006149A">
        <w:rPr>
          <w:rFonts w:ascii="Palatino Linotype" w:hAnsi="Palatino Linotype" w:cs="Arial"/>
        </w:rPr>
        <w:t xml:space="preserve"> al análisis del asunto en los siguientes términos.</w:t>
      </w:r>
    </w:p>
    <w:p w14:paraId="6B09346A" w14:textId="77777777" w:rsidR="00912A21" w:rsidRPr="0006149A" w:rsidRDefault="00912A21" w:rsidP="00912A21">
      <w:pPr>
        <w:tabs>
          <w:tab w:val="left" w:pos="709"/>
        </w:tabs>
        <w:spacing w:before="240" w:line="360" w:lineRule="auto"/>
        <w:ind w:right="51"/>
        <w:jc w:val="both"/>
        <w:rPr>
          <w:rFonts w:ascii="Palatino Linotype" w:hAnsi="Palatino Linotype"/>
        </w:rPr>
      </w:pPr>
    </w:p>
    <w:p w14:paraId="5B2CC6B5" w14:textId="0D2DB8E7" w:rsidR="00912A21" w:rsidRPr="0006149A" w:rsidRDefault="00A746A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912A21" w:rsidRPr="0006149A">
        <w:rPr>
          <w:rFonts w:ascii="Palatino Linotype" w:hAnsi="Palatino Linotype" w:cs="Arial"/>
          <w:b/>
          <w:sz w:val="28"/>
          <w:szCs w:val="28"/>
        </w:rPr>
        <w:t>.</w:t>
      </w:r>
      <w:r w:rsidR="00912A21" w:rsidRPr="0006149A">
        <w:rPr>
          <w:rFonts w:ascii="Palatino Linotype" w:hAnsi="Palatino Linotype" w:cs="Arial"/>
          <w:sz w:val="28"/>
          <w:szCs w:val="28"/>
        </w:rPr>
        <w:t xml:space="preserve"> </w:t>
      </w:r>
      <w:r w:rsidR="00912A21" w:rsidRPr="0006149A">
        <w:rPr>
          <w:rFonts w:ascii="Palatino Linotype" w:hAnsi="Palatino Linotype" w:cs="Arial"/>
          <w:b/>
          <w:sz w:val="28"/>
        </w:rPr>
        <w:t>Estudio y resolución del asunto</w:t>
      </w:r>
      <w:r w:rsidR="00912A21" w:rsidRPr="0006149A">
        <w:rPr>
          <w:rFonts w:ascii="Palatino Linotype" w:hAnsi="Palatino Linotype" w:cs="Arial"/>
          <w:b/>
        </w:rPr>
        <w:t>.</w:t>
      </w:r>
    </w:p>
    <w:p w14:paraId="5FD005DD"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06149A">
        <w:rPr>
          <w:rFonts w:ascii="Palatino Linotype" w:hAnsi="Palatino Linotype" w:cs="Arial"/>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B21190" w:rsidRDefault="007B1512" w:rsidP="009D7D7B">
      <w:pPr>
        <w:autoSpaceDE w:val="0"/>
        <w:autoSpaceDN w:val="0"/>
        <w:adjustRightInd w:val="0"/>
        <w:spacing w:line="360" w:lineRule="auto"/>
        <w:jc w:val="both"/>
        <w:rPr>
          <w:rFonts w:ascii="Palatino Linotype" w:hAnsi="Palatino Linotype" w:cs="Arial"/>
        </w:rPr>
      </w:pPr>
    </w:p>
    <w:p w14:paraId="27CCD24B" w14:textId="77777777" w:rsidR="009D7D7B" w:rsidRPr="00B21190" w:rsidRDefault="009D7D7B" w:rsidP="009D7D7B">
      <w:pPr>
        <w:autoSpaceDE w:val="0"/>
        <w:autoSpaceDN w:val="0"/>
        <w:adjustRightInd w:val="0"/>
        <w:spacing w:line="360" w:lineRule="auto"/>
        <w:jc w:val="both"/>
        <w:rPr>
          <w:rFonts w:ascii="Palatino Linotype" w:hAnsi="Palatino Linotype" w:cs="Arial"/>
        </w:rPr>
      </w:pPr>
      <w:r w:rsidRPr="00B21190">
        <w:rPr>
          <w:rFonts w:ascii="Palatino Linotype" w:hAnsi="Palatino Linotype" w:cs="Arial"/>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B21190" w:rsidRDefault="009D7D7B" w:rsidP="009D7D7B">
      <w:pPr>
        <w:autoSpaceDE w:val="0"/>
        <w:autoSpaceDN w:val="0"/>
        <w:adjustRightInd w:val="0"/>
        <w:spacing w:line="360" w:lineRule="auto"/>
        <w:jc w:val="both"/>
        <w:rPr>
          <w:rFonts w:ascii="Palatino Linotype" w:hAnsi="Palatino Linotype" w:cs="Arial"/>
        </w:rPr>
      </w:pPr>
    </w:p>
    <w:p w14:paraId="28551A5A" w14:textId="7F4B524D" w:rsidR="009D7D7B" w:rsidRDefault="009D7D7B"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w:t>
      </w:r>
      <w:r w:rsidR="009C2A92">
        <w:rPr>
          <w:rFonts w:ascii="Palatino Linotype" w:hAnsi="Palatino Linotype" w:cs="Arial"/>
        </w:rPr>
        <w:t>el</w:t>
      </w:r>
      <w:r w:rsidR="00293D51">
        <w:rPr>
          <w:rFonts w:ascii="Palatino Linotype" w:hAnsi="Palatino Linotype" w:cs="Arial"/>
        </w:rPr>
        <w:t xml:space="preserve"> Recurrente</w:t>
      </w:r>
      <w:r w:rsidRPr="00B21190">
        <w:rPr>
          <w:rFonts w:ascii="Palatino Linotype" w:hAnsi="Palatino Linotype" w:cs="Arial"/>
        </w:rPr>
        <w:t xml:space="preserv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B2119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53638A77" w14:textId="4A85FD19" w:rsidR="00847043" w:rsidRDefault="00C57CB5" w:rsidP="00755085">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B21190">
        <w:rPr>
          <w:rFonts w:ascii="Palatino Linotype" w:hAnsi="Palatino Linotype" w:cs="Arial"/>
        </w:rPr>
        <w:t>,</w:t>
      </w:r>
      <w:r w:rsidRPr="00B21190">
        <w:rPr>
          <w:rFonts w:ascii="Palatino Linotype" w:hAnsi="Palatino Linotype" w:cs="Arial"/>
        </w:rPr>
        <w:t xml:space="preserve"> de la Constitución Federal y el diverso 8</w:t>
      </w:r>
      <w:r w:rsidR="007B1512" w:rsidRPr="00B21190">
        <w:rPr>
          <w:rFonts w:ascii="Palatino Linotype" w:hAnsi="Palatino Linotype" w:cs="Arial"/>
        </w:rPr>
        <w:t>,</w:t>
      </w:r>
      <w:r w:rsidRPr="00B21190">
        <w:rPr>
          <w:rFonts w:ascii="Palatino Linotype" w:hAnsi="Palatino Linotype" w:cs="Arial"/>
        </w:rPr>
        <w:t xml:space="preserve"> de la Ley de Transparencia local.</w:t>
      </w:r>
    </w:p>
    <w:p w14:paraId="114B8200" w14:textId="77777777" w:rsidR="00755085" w:rsidRDefault="00755085" w:rsidP="00755085">
      <w:pPr>
        <w:pStyle w:val="Prrafodelista"/>
        <w:autoSpaceDE w:val="0"/>
        <w:autoSpaceDN w:val="0"/>
        <w:adjustRightInd w:val="0"/>
        <w:spacing w:line="360" w:lineRule="auto"/>
        <w:ind w:left="0"/>
        <w:jc w:val="both"/>
        <w:rPr>
          <w:rFonts w:ascii="Palatino Linotype" w:hAnsi="Palatino Linotype" w:cs="Arial"/>
        </w:rPr>
      </w:pPr>
    </w:p>
    <w:p w14:paraId="7D47C591" w14:textId="5BE0E84F" w:rsidR="005F17DC" w:rsidRDefault="005F17DC" w:rsidP="005F17DC">
      <w:pPr>
        <w:spacing w:after="240" w:line="360" w:lineRule="auto"/>
        <w:jc w:val="both"/>
        <w:rPr>
          <w:rFonts w:ascii="Palatino Linotype" w:hAnsi="Palatino Linotype"/>
        </w:rPr>
      </w:pPr>
      <w:r>
        <w:rPr>
          <w:rFonts w:ascii="Palatino Linotype" w:hAnsi="Palatino Linotype"/>
        </w:rPr>
        <w:t>Una vez analizada la solicitud de información</w:t>
      </w:r>
      <w:r w:rsidRPr="00E152F9">
        <w:rPr>
          <w:rFonts w:ascii="Palatino Linotype" w:hAnsi="Palatino Linotype"/>
        </w:rPr>
        <w:t xml:space="preserve">, podemos determinar que objetivamente </w:t>
      </w:r>
      <w:r w:rsidR="004D6277">
        <w:rPr>
          <w:rFonts w:ascii="Palatino Linotype" w:hAnsi="Palatino Linotype"/>
        </w:rPr>
        <w:t>el</w:t>
      </w:r>
      <w:r w:rsidRPr="00E152F9">
        <w:rPr>
          <w:rFonts w:ascii="Palatino Linotype" w:hAnsi="Palatino Linotype"/>
        </w:rPr>
        <w:t xml:space="preserve"> </w:t>
      </w:r>
      <w:r>
        <w:rPr>
          <w:rFonts w:ascii="Palatino Linotype" w:hAnsi="Palatino Linotype"/>
        </w:rPr>
        <w:t>R</w:t>
      </w:r>
      <w:r w:rsidRPr="00E152F9">
        <w:rPr>
          <w:rFonts w:ascii="Palatino Linotype" w:hAnsi="Palatino Linotype"/>
        </w:rPr>
        <w:t>ecurrente, peticiona</w:t>
      </w:r>
      <w:r w:rsidR="002813F3">
        <w:rPr>
          <w:rFonts w:ascii="Palatino Linotype" w:hAnsi="Palatino Linotype"/>
        </w:rPr>
        <w:t xml:space="preserve"> el o los documentos en donde conste</w:t>
      </w:r>
      <w:r>
        <w:rPr>
          <w:rFonts w:ascii="Palatino Linotype" w:hAnsi="Palatino Linotype"/>
        </w:rPr>
        <w:t xml:space="preserve"> </w:t>
      </w:r>
      <w:r w:rsidR="002813F3">
        <w:rPr>
          <w:rFonts w:ascii="Palatino Linotype" w:hAnsi="Palatino Linotype"/>
        </w:rPr>
        <w:t xml:space="preserve"> lo siguiente</w:t>
      </w:r>
      <w:r w:rsidRPr="00E152F9">
        <w:rPr>
          <w:rFonts w:ascii="Palatino Linotype" w:hAnsi="Palatino Linotype"/>
        </w:rPr>
        <w:t>:</w:t>
      </w:r>
    </w:p>
    <w:p w14:paraId="0FCA4426" w14:textId="45BE0F52" w:rsidR="005F17DC" w:rsidRDefault="00340D58" w:rsidP="00165D3D">
      <w:pPr>
        <w:pStyle w:val="Prrafodelista"/>
        <w:numPr>
          <w:ilvl w:val="0"/>
          <w:numId w:val="16"/>
        </w:numPr>
        <w:spacing w:after="240" w:line="360" w:lineRule="auto"/>
        <w:jc w:val="both"/>
        <w:rPr>
          <w:rFonts w:ascii="Palatino Linotype" w:hAnsi="Palatino Linotype"/>
        </w:rPr>
      </w:pPr>
      <w:r>
        <w:rPr>
          <w:rFonts w:ascii="Palatino Linotype" w:hAnsi="Palatino Linotype"/>
        </w:rPr>
        <w:t xml:space="preserve">Del Órgano Interno de Control, los </w:t>
      </w:r>
      <w:r w:rsidRPr="00340D58">
        <w:rPr>
          <w:rFonts w:ascii="Palatino Linotype" w:hAnsi="Palatino Linotype"/>
        </w:rPr>
        <w:t>informes mensuales de la autoridad substanciadora, e informe como superior jerárquico</w:t>
      </w:r>
      <w:r>
        <w:rPr>
          <w:rFonts w:ascii="Palatino Linotype" w:hAnsi="Palatino Linotype"/>
        </w:rPr>
        <w:t xml:space="preserve"> el</w:t>
      </w:r>
      <w:r w:rsidRPr="00340D58">
        <w:rPr>
          <w:rFonts w:ascii="Palatino Linotype" w:hAnsi="Palatino Linotype"/>
        </w:rPr>
        <w:t xml:space="preserve"> por qué las llaves de la oficina se encuentran en poder del personal de servicio social</w:t>
      </w:r>
      <w:r w:rsidR="00165D3D" w:rsidRPr="00165D3D">
        <w:rPr>
          <w:rFonts w:ascii="Palatino Linotype" w:hAnsi="Palatino Linotype"/>
        </w:rPr>
        <w:t>.</w:t>
      </w:r>
    </w:p>
    <w:p w14:paraId="3E9C8CF7" w14:textId="1341521B" w:rsidR="002813F3" w:rsidRDefault="00340D58" w:rsidP="00926D42">
      <w:pPr>
        <w:pStyle w:val="Prrafodelista"/>
        <w:numPr>
          <w:ilvl w:val="0"/>
          <w:numId w:val="16"/>
        </w:numPr>
        <w:spacing w:after="240" w:line="360" w:lineRule="auto"/>
        <w:jc w:val="both"/>
        <w:rPr>
          <w:rFonts w:ascii="Palatino Linotype" w:hAnsi="Palatino Linotype"/>
        </w:rPr>
      </w:pPr>
      <w:bookmarkStart w:id="3" w:name="_Hlk90493723"/>
      <w:r>
        <w:rPr>
          <w:rFonts w:ascii="Palatino Linotype" w:hAnsi="Palatino Linotype"/>
        </w:rPr>
        <w:t>E</w:t>
      </w:r>
      <w:r w:rsidRPr="00340D58">
        <w:rPr>
          <w:rFonts w:ascii="Palatino Linotype" w:hAnsi="Palatino Linotype"/>
        </w:rPr>
        <w:t xml:space="preserve">l número de expedientes por responsabilidad iniciados por daño a la hacienda </w:t>
      </w:r>
      <w:r w:rsidR="00C457F7" w:rsidRPr="00340D58">
        <w:rPr>
          <w:rFonts w:ascii="Palatino Linotype" w:hAnsi="Palatino Linotype"/>
        </w:rPr>
        <w:t>pública</w:t>
      </w:r>
      <w:r>
        <w:rPr>
          <w:rFonts w:ascii="Palatino Linotype" w:hAnsi="Palatino Linotype"/>
        </w:rPr>
        <w:t>.</w:t>
      </w:r>
    </w:p>
    <w:p w14:paraId="442291FF" w14:textId="7CFAA5E5" w:rsidR="005F17DC" w:rsidRPr="000D6B0C" w:rsidRDefault="00C457F7" w:rsidP="000D6B0C">
      <w:pPr>
        <w:pStyle w:val="Prrafodelista"/>
        <w:numPr>
          <w:ilvl w:val="0"/>
          <w:numId w:val="16"/>
        </w:numPr>
        <w:spacing w:after="240" w:line="360" w:lineRule="auto"/>
        <w:jc w:val="both"/>
        <w:rPr>
          <w:rFonts w:ascii="Palatino Linotype" w:hAnsi="Palatino Linotype"/>
        </w:rPr>
      </w:pPr>
      <w:r>
        <w:rPr>
          <w:rFonts w:ascii="Palatino Linotype" w:hAnsi="Palatino Linotype"/>
        </w:rPr>
        <w:t>L</w:t>
      </w:r>
      <w:r w:rsidR="00340D58" w:rsidRPr="00340D58">
        <w:rPr>
          <w:rFonts w:ascii="Palatino Linotype" w:hAnsi="Palatino Linotype"/>
        </w:rPr>
        <w:t xml:space="preserve">a versión </w:t>
      </w:r>
      <w:proofErr w:type="spellStart"/>
      <w:r w:rsidR="00340D58" w:rsidRPr="00340D58">
        <w:rPr>
          <w:rFonts w:ascii="Palatino Linotype" w:hAnsi="Palatino Linotype"/>
        </w:rPr>
        <w:t>publica</w:t>
      </w:r>
      <w:proofErr w:type="spellEnd"/>
      <w:r w:rsidR="00340D58" w:rsidRPr="00340D58">
        <w:rPr>
          <w:rFonts w:ascii="Palatino Linotype" w:hAnsi="Palatino Linotype"/>
        </w:rPr>
        <w:t xml:space="preserve"> de la audiencia inicial de </w:t>
      </w:r>
      <w:r>
        <w:rPr>
          <w:rFonts w:ascii="Palatino Linotype" w:hAnsi="Palatino Linotype"/>
        </w:rPr>
        <w:t>los</w:t>
      </w:r>
      <w:r w:rsidRPr="00C457F7">
        <w:rPr>
          <w:rFonts w:ascii="Palatino Linotype" w:hAnsi="Palatino Linotype"/>
        </w:rPr>
        <w:t xml:space="preserve"> expedientes por responsabilidad iniciados por daño a la hacienda pública</w:t>
      </w:r>
      <w:r>
        <w:rPr>
          <w:rFonts w:ascii="Palatino Linotype" w:hAnsi="Palatino Linotype"/>
        </w:rPr>
        <w:t xml:space="preserve">, </w:t>
      </w:r>
      <w:r w:rsidRPr="00C457F7">
        <w:rPr>
          <w:rFonts w:ascii="Palatino Linotype" w:hAnsi="Palatino Linotype"/>
        </w:rPr>
        <w:t>por</w:t>
      </w:r>
      <w:r>
        <w:rPr>
          <w:rFonts w:ascii="Palatino Linotype" w:hAnsi="Palatino Linotype"/>
        </w:rPr>
        <w:t xml:space="preserve"> la omisión o entrega extemporánea de la</w:t>
      </w:r>
      <w:r w:rsidRPr="00C457F7">
        <w:rPr>
          <w:rFonts w:ascii="Palatino Linotype" w:hAnsi="Palatino Linotype"/>
        </w:rPr>
        <w:t xml:space="preserve"> manifestación de bienes a servidores y </w:t>
      </w:r>
      <w:proofErr w:type="spellStart"/>
      <w:r w:rsidRPr="00C457F7">
        <w:rPr>
          <w:rFonts w:ascii="Palatino Linotype" w:hAnsi="Palatino Linotype"/>
        </w:rPr>
        <w:t>exservidores</w:t>
      </w:r>
      <w:proofErr w:type="spellEnd"/>
      <w:r>
        <w:rPr>
          <w:rFonts w:ascii="Palatino Linotype" w:hAnsi="Palatino Linotype"/>
        </w:rPr>
        <w:t xml:space="preserve"> públicos</w:t>
      </w:r>
      <w:r w:rsidRPr="00C457F7">
        <w:rPr>
          <w:rFonts w:ascii="Palatino Linotype" w:hAnsi="Palatino Linotype"/>
        </w:rPr>
        <w:t xml:space="preserve">, </w:t>
      </w:r>
      <w:r>
        <w:rPr>
          <w:rFonts w:ascii="Palatino Linotype" w:hAnsi="Palatino Linotype"/>
        </w:rPr>
        <w:t>u</w:t>
      </w:r>
      <w:r w:rsidRPr="00C457F7">
        <w:t xml:space="preserve"> </w:t>
      </w:r>
      <w:r w:rsidRPr="00C457F7">
        <w:rPr>
          <w:rFonts w:ascii="Palatino Linotype" w:hAnsi="Palatino Linotype"/>
        </w:rPr>
        <w:t>otro tipo de faltas administrativas de servidores públicos de los años 2020 y 2021</w:t>
      </w:r>
      <w:r>
        <w:rPr>
          <w:rFonts w:ascii="Palatino Linotype" w:hAnsi="Palatino Linotype"/>
        </w:rPr>
        <w:t>.</w:t>
      </w:r>
    </w:p>
    <w:bookmarkEnd w:id="3"/>
    <w:p w14:paraId="388D0269" w14:textId="53D89BA4" w:rsidR="005E50F1" w:rsidRDefault="00755085" w:rsidP="00FF14FE">
      <w:pPr>
        <w:pStyle w:val="Prrafodelista"/>
        <w:spacing w:line="360" w:lineRule="auto"/>
        <w:ind w:left="0"/>
        <w:contextualSpacing/>
        <w:jc w:val="both"/>
        <w:rPr>
          <w:rFonts w:ascii="Palatino Linotype" w:hAnsi="Palatino Linotype"/>
          <w:color w:val="000000"/>
          <w:lang w:val="es-ES_tradnl"/>
        </w:rPr>
      </w:pPr>
      <w:r>
        <w:rPr>
          <w:rFonts w:ascii="Palatino Linotype" w:hAnsi="Palatino Linotype"/>
          <w:color w:val="000000"/>
          <w:lang w:val="es-ES_tradnl"/>
        </w:rPr>
        <w:lastRenderedPageBreak/>
        <w:t>Ahora bien, en respuesta a</w:t>
      </w:r>
      <w:r w:rsidR="000F5CBE" w:rsidRPr="000F5CBE">
        <w:rPr>
          <w:rFonts w:ascii="Palatino Linotype" w:hAnsi="Palatino Linotype"/>
          <w:color w:val="000000"/>
          <w:lang w:val="es-ES_tradnl"/>
        </w:rPr>
        <w:t xml:space="preserve"> los requerimientos formulados por el particular, </w:t>
      </w:r>
      <w:r w:rsidR="003A6491">
        <w:rPr>
          <w:rFonts w:ascii="Palatino Linotype" w:hAnsi="Palatino Linotype"/>
          <w:color w:val="000000"/>
          <w:lang w:val="es-ES_tradnl"/>
        </w:rPr>
        <w:t>E</w:t>
      </w:r>
      <w:r w:rsidR="000F5CBE" w:rsidRPr="000F5CBE">
        <w:rPr>
          <w:rFonts w:ascii="Palatino Linotype" w:hAnsi="Palatino Linotype"/>
          <w:color w:val="000000"/>
          <w:lang w:val="es-ES_tradnl"/>
        </w:rPr>
        <w:t xml:space="preserve">l </w:t>
      </w:r>
      <w:r w:rsidR="003A6491">
        <w:rPr>
          <w:rFonts w:ascii="Palatino Linotype" w:hAnsi="Palatino Linotype"/>
          <w:b/>
          <w:color w:val="000000"/>
          <w:lang w:val="es-ES_tradnl"/>
        </w:rPr>
        <w:t>S</w:t>
      </w:r>
      <w:r w:rsidR="000F5CBE" w:rsidRPr="000F5CBE">
        <w:rPr>
          <w:rFonts w:ascii="Palatino Linotype" w:hAnsi="Palatino Linotype"/>
          <w:b/>
          <w:color w:val="000000"/>
          <w:lang w:val="es-ES_tradnl"/>
        </w:rPr>
        <w:t xml:space="preserve">ujeto </w:t>
      </w:r>
      <w:r w:rsidR="003A6491">
        <w:rPr>
          <w:rFonts w:ascii="Palatino Linotype" w:hAnsi="Palatino Linotype"/>
          <w:b/>
          <w:color w:val="000000"/>
          <w:lang w:val="es-ES_tradnl"/>
        </w:rPr>
        <w:t>O</w:t>
      </w:r>
      <w:r w:rsidR="000F5CBE" w:rsidRPr="000F5CBE">
        <w:rPr>
          <w:rFonts w:ascii="Palatino Linotype" w:hAnsi="Palatino Linotype"/>
          <w:b/>
          <w:color w:val="000000"/>
          <w:lang w:val="es-ES_tradnl"/>
        </w:rPr>
        <w:t xml:space="preserve">bligado </w:t>
      </w:r>
      <w:r w:rsidR="00943E92">
        <w:rPr>
          <w:rFonts w:ascii="Palatino Linotype" w:hAnsi="Palatino Linotype"/>
          <w:color w:val="000000"/>
          <w:lang w:val="es-ES_tradnl"/>
        </w:rPr>
        <w:t xml:space="preserve">remitió </w:t>
      </w:r>
      <w:r w:rsidR="00C457F7">
        <w:rPr>
          <w:rFonts w:ascii="Palatino Linotype" w:hAnsi="Palatino Linotype"/>
          <w:color w:val="000000"/>
          <w:lang w:val="es-ES_tradnl"/>
        </w:rPr>
        <w:t>cuatro</w:t>
      </w:r>
      <w:r w:rsidR="002813F3">
        <w:rPr>
          <w:rFonts w:ascii="Palatino Linotype" w:hAnsi="Palatino Linotype"/>
          <w:color w:val="000000"/>
          <w:lang w:val="es-ES_tradnl"/>
        </w:rPr>
        <w:t xml:space="preserve"> archivo</w:t>
      </w:r>
      <w:r w:rsidR="00943E92">
        <w:rPr>
          <w:rFonts w:ascii="Palatino Linotype" w:hAnsi="Palatino Linotype"/>
          <w:color w:val="000000"/>
          <w:lang w:val="es-ES_tradnl"/>
        </w:rPr>
        <w:t>s</w:t>
      </w:r>
      <w:r w:rsidR="002813F3">
        <w:rPr>
          <w:rFonts w:ascii="Palatino Linotype" w:hAnsi="Palatino Linotype"/>
          <w:color w:val="000000"/>
          <w:lang w:val="es-ES_tradnl"/>
        </w:rPr>
        <w:t xml:space="preserve"> electrónico</w:t>
      </w:r>
      <w:r w:rsidR="00943E92">
        <w:rPr>
          <w:rFonts w:ascii="Palatino Linotype" w:hAnsi="Palatino Linotype"/>
          <w:color w:val="000000"/>
          <w:lang w:val="es-ES_tradnl"/>
        </w:rPr>
        <w:t>s</w:t>
      </w:r>
      <w:r w:rsidR="005E50F1">
        <w:rPr>
          <w:rFonts w:ascii="Palatino Linotype" w:hAnsi="Palatino Linotype"/>
          <w:color w:val="000000"/>
          <w:lang w:val="es-ES_tradnl"/>
        </w:rPr>
        <w:t xml:space="preserve"> de nombre y contenido siguiente:</w:t>
      </w:r>
    </w:p>
    <w:p w14:paraId="793F0FE0" w14:textId="77777777" w:rsidR="003A6491" w:rsidRDefault="003A6491" w:rsidP="00FF14FE">
      <w:pPr>
        <w:pStyle w:val="Prrafodelista"/>
        <w:spacing w:line="360" w:lineRule="auto"/>
        <w:ind w:left="0"/>
        <w:contextualSpacing/>
        <w:jc w:val="both"/>
        <w:rPr>
          <w:rFonts w:ascii="Palatino Linotype" w:hAnsi="Palatino Linotype"/>
          <w:color w:val="000000"/>
          <w:lang w:val="es-ES_tradnl"/>
        </w:rPr>
      </w:pPr>
    </w:p>
    <w:p w14:paraId="7FD9CE58" w14:textId="1A952A82" w:rsidR="00943E92" w:rsidRPr="005967F1" w:rsidRDefault="00C457F7" w:rsidP="00943E92">
      <w:pPr>
        <w:pStyle w:val="Prrafodelista"/>
        <w:numPr>
          <w:ilvl w:val="0"/>
          <w:numId w:val="14"/>
        </w:numPr>
        <w:spacing w:line="360" w:lineRule="auto"/>
        <w:contextualSpacing/>
        <w:jc w:val="both"/>
        <w:rPr>
          <w:rFonts w:ascii="Palatino Linotype" w:hAnsi="Palatino Linotype"/>
          <w:b/>
          <w:bCs/>
          <w:color w:val="000000"/>
          <w:lang w:val="es-ES_tradnl"/>
        </w:rPr>
      </w:pPr>
      <w:r w:rsidRPr="00C457F7">
        <w:rPr>
          <w:rFonts w:ascii="Palatino Linotype" w:hAnsi="Palatino Linotype"/>
          <w:b/>
          <w:bCs/>
          <w:color w:val="000000"/>
          <w:lang w:val="es-ES_tradnl"/>
        </w:rPr>
        <w:t>autoridad substanciadora a contraloría.pdf</w:t>
      </w:r>
      <w:r w:rsidR="005E50F1">
        <w:rPr>
          <w:rFonts w:ascii="Palatino Linotype" w:hAnsi="Palatino Linotype"/>
          <w:b/>
          <w:bCs/>
          <w:color w:val="000000"/>
          <w:lang w:val="es-ES_tradnl"/>
        </w:rPr>
        <w:t xml:space="preserve">: </w:t>
      </w:r>
      <w:bookmarkStart w:id="4" w:name="_Hlk87023195"/>
      <w:r w:rsidR="004D6277">
        <w:rPr>
          <w:rFonts w:ascii="Palatino Linotype" w:hAnsi="Palatino Linotype"/>
          <w:color w:val="000000"/>
          <w:lang w:val="es-ES_tradnl"/>
        </w:rPr>
        <w:t xml:space="preserve">Archivo electrónico que contiene </w:t>
      </w:r>
      <w:r w:rsidR="00AC2D88">
        <w:rPr>
          <w:rFonts w:ascii="Palatino Linotype" w:hAnsi="Palatino Linotype"/>
          <w:color w:val="000000"/>
          <w:lang w:val="es-ES_tradnl"/>
        </w:rPr>
        <w:t>los</w:t>
      </w:r>
      <w:r w:rsidR="004D6277">
        <w:rPr>
          <w:rFonts w:ascii="Palatino Linotype" w:hAnsi="Palatino Linotype"/>
          <w:color w:val="000000"/>
          <w:lang w:val="es-ES_tradnl"/>
        </w:rPr>
        <w:t xml:space="preserve"> oficio</w:t>
      </w:r>
      <w:r w:rsidR="00AC2D88">
        <w:rPr>
          <w:rFonts w:ascii="Palatino Linotype" w:hAnsi="Palatino Linotype"/>
          <w:color w:val="000000"/>
          <w:lang w:val="es-ES_tradnl"/>
        </w:rPr>
        <w:t>s</w:t>
      </w:r>
      <w:r w:rsidR="004D6277">
        <w:rPr>
          <w:rFonts w:ascii="Palatino Linotype" w:hAnsi="Palatino Linotype"/>
          <w:color w:val="000000"/>
          <w:lang w:val="es-ES_tradnl"/>
        </w:rPr>
        <w:t xml:space="preserve"> No. </w:t>
      </w:r>
      <w:r w:rsidR="00AC2D88">
        <w:rPr>
          <w:rFonts w:ascii="Palatino Linotype" w:hAnsi="Palatino Linotype"/>
          <w:color w:val="000000"/>
          <w:lang w:val="es-ES_tradnl"/>
        </w:rPr>
        <w:t xml:space="preserve">CIM/TEP/UAS/012/2021, </w:t>
      </w:r>
      <w:r w:rsidR="00AC2D88" w:rsidRPr="00AC2D88">
        <w:rPr>
          <w:rFonts w:ascii="Palatino Linotype" w:hAnsi="Palatino Linotype"/>
          <w:color w:val="000000"/>
          <w:lang w:val="es-ES_tradnl"/>
        </w:rPr>
        <w:t>CIM/TEP/UAS/0</w:t>
      </w:r>
      <w:r w:rsidR="00AC2D88">
        <w:rPr>
          <w:rFonts w:ascii="Palatino Linotype" w:hAnsi="Palatino Linotype"/>
          <w:color w:val="000000"/>
          <w:lang w:val="es-ES_tradnl"/>
        </w:rPr>
        <w:t>43</w:t>
      </w:r>
      <w:r w:rsidR="00AC2D88" w:rsidRPr="00AC2D88">
        <w:rPr>
          <w:rFonts w:ascii="Palatino Linotype" w:hAnsi="Palatino Linotype"/>
          <w:color w:val="000000"/>
          <w:lang w:val="es-ES_tradnl"/>
        </w:rPr>
        <w:t>/2021</w:t>
      </w:r>
      <w:r w:rsidR="004D6277">
        <w:rPr>
          <w:rFonts w:ascii="Palatino Linotype" w:hAnsi="Palatino Linotype"/>
          <w:color w:val="000000"/>
          <w:lang w:val="es-ES_tradnl"/>
        </w:rPr>
        <w:t>,</w:t>
      </w:r>
      <w:r w:rsidR="00AC2D88">
        <w:rPr>
          <w:rFonts w:ascii="Palatino Linotype" w:hAnsi="Palatino Linotype"/>
          <w:color w:val="000000"/>
          <w:lang w:val="es-ES_tradnl"/>
        </w:rPr>
        <w:t xml:space="preserve"> </w:t>
      </w:r>
      <w:r w:rsidR="00AC2D88" w:rsidRPr="00AC2D88">
        <w:rPr>
          <w:rFonts w:ascii="Palatino Linotype" w:hAnsi="Palatino Linotype"/>
          <w:color w:val="000000"/>
          <w:lang w:val="es-ES_tradnl"/>
        </w:rPr>
        <w:t>CIM/TEP/UAS/</w:t>
      </w:r>
      <w:r w:rsidR="00AC2D88">
        <w:rPr>
          <w:rFonts w:ascii="Palatino Linotype" w:hAnsi="Palatino Linotype"/>
          <w:color w:val="000000"/>
          <w:lang w:val="es-ES_tradnl"/>
        </w:rPr>
        <w:t>159</w:t>
      </w:r>
      <w:r w:rsidR="00AC2D88" w:rsidRPr="00AC2D88">
        <w:rPr>
          <w:rFonts w:ascii="Palatino Linotype" w:hAnsi="Palatino Linotype"/>
          <w:color w:val="000000"/>
          <w:lang w:val="es-ES_tradnl"/>
        </w:rPr>
        <w:t>/2021</w:t>
      </w:r>
      <w:r w:rsidR="00AC2D88">
        <w:rPr>
          <w:rFonts w:ascii="Palatino Linotype" w:hAnsi="Palatino Linotype"/>
          <w:color w:val="000000"/>
          <w:lang w:val="es-ES_tradnl"/>
        </w:rPr>
        <w:t>, CIM/TEP/UAS/182/2021,</w:t>
      </w:r>
      <w:r w:rsidR="004D6277">
        <w:rPr>
          <w:rFonts w:ascii="Palatino Linotype" w:hAnsi="Palatino Linotype"/>
          <w:color w:val="000000"/>
          <w:lang w:val="es-ES_tradnl"/>
        </w:rPr>
        <w:t xml:space="preserve"> </w:t>
      </w:r>
      <w:r w:rsidR="00AC2D88">
        <w:rPr>
          <w:rFonts w:ascii="Palatino Linotype" w:hAnsi="Palatino Linotype"/>
          <w:color w:val="000000"/>
          <w:lang w:val="es-ES_tradnl"/>
        </w:rPr>
        <w:t xml:space="preserve">CIM/TEP/UAS/340/2021 y CIM/TEP/UAS/441/2021, los cuales fueron </w:t>
      </w:r>
      <w:r w:rsidR="004D6277">
        <w:rPr>
          <w:rFonts w:ascii="Palatino Linotype" w:hAnsi="Palatino Linotype"/>
          <w:color w:val="000000"/>
          <w:lang w:val="es-ES_tradnl"/>
        </w:rPr>
        <w:t>signado</w:t>
      </w:r>
      <w:r w:rsidR="00AC2D88">
        <w:rPr>
          <w:rFonts w:ascii="Palatino Linotype" w:hAnsi="Palatino Linotype"/>
          <w:color w:val="000000"/>
          <w:lang w:val="es-ES_tradnl"/>
        </w:rPr>
        <w:t>s</w:t>
      </w:r>
      <w:r w:rsidR="004D6277">
        <w:rPr>
          <w:rFonts w:ascii="Palatino Linotype" w:hAnsi="Palatino Linotype"/>
          <w:color w:val="000000"/>
          <w:lang w:val="es-ES_tradnl"/>
        </w:rPr>
        <w:t xml:space="preserve"> por </w:t>
      </w:r>
      <w:r w:rsidR="00AC2D88">
        <w:rPr>
          <w:rFonts w:ascii="Palatino Linotype" w:hAnsi="Palatino Linotype"/>
          <w:color w:val="000000"/>
          <w:lang w:val="es-ES_tradnl"/>
        </w:rPr>
        <w:t>la Autoridad Substanciadora, y remitidos al Contralor Interno Municipal</w:t>
      </w:r>
      <w:r w:rsidR="004D6277">
        <w:rPr>
          <w:rFonts w:ascii="Palatino Linotype" w:hAnsi="Palatino Linotype"/>
          <w:color w:val="000000"/>
          <w:lang w:val="es-ES_tradnl"/>
        </w:rPr>
        <w:t>, a través del cual l</w:t>
      </w:r>
      <w:r w:rsidR="00AC2D88">
        <w:rPr>
          <w:rFonts w:ascii="Palatino Linotype" w:hAnsi="Palatino Linotype"/>
          <w:color w:val="000000"/>
          <w:lang w:val="es-ES_tradnl"/>
        </w:rPr>
        <w:t>e remite el informe mensual de actividades de la Unidad Administrativa Substanciadora correspondiente a los meses de marzo, abril, ma</w:t>
      </w:r>
      <w:r w:rsidR="00C679B4">
        <w:rPr>
          <w:rFonts w:ascii="Palatino Linotype" w:hAnsi="Palatino Linotype"/>
          <w:color w:val="000000"/>
          <w:lang w:val="es-ES_tradnl"/>
        </w:rPr>
        <w:t>y</w:t>
      </w:r>
      <w:r w:rsidR="00AC2D88">
        <w:rPr>
          <w:rFonts w:ascii="Palatino Linotype" w:hAnsi="Palatino Linotype"/>
          <w:color w:val="000000"/>
          <w:lang w:val="es-ES_tradnl"/>
        </w:rPr>
        <w:t xml:space="preserve">o, junio, </w:t>
      </w:r>
      <w:r w:rsidR="00F071D8">
        <w:rPr>
          <w:rFonts w:ascii="Palatino Linotype" w:hAnsi="Palatino Linotype"/>
          <w:color w:val="000000"/>
          <w:lang w:val="es-ES_tradnl"/>
        </w:rPr>
        <w:t>septiembre y octubre de 2021.</w:t>
      </w:r>
    </w:p>
    <w:p w14:paraId="6749B613" w14:textId="55C169A9" w:rsidR="005967F1" w:rsidRPr="005967F1" w:rsidRDefault="005967F1" w:rsidP="008E65AF">
      <w:pPr>
        <w:pStyle w:val="Prrafodelista"/>
        <w:spacing w:line="360" w:lineRule="auto"/>
        <w:ind w:left="720"/>
        <w:contextualSpacing/>
        <w:jc w:val="both"/>
        <w:rPr>
          <w:rFonts w:ascii="Palatino Linotype" w:hAnsi="Palatino Linotype"/>
          <w:b/>
          <w:bCs/>
          <w:color w:val="000000"/>
          <w:lang w:val="es-ES_tradnl"/>
        </w:rPr>
      </w:pPr>
    </w:p>
    <w:p w14:paraId="1029A732" w14:textId="2E1F51EA" w:rsidR="005967F1" w:rsidRDefault="005967F1" w:rsidP="00943E92">
      <w:pPr>
        <w:pStyle w:val="Prrafodelista"/>
        <w:numPr>
          <w:ilvl w:val="0"/>
          <w:numId w:val="14"/>
        </w:numPr>
        <w:spacing w:line="360" w:lineRule="auto"/>
        <w:contextualSpacing/>
        <w:jc w:val="both"/>
        <w:rPr>
          <w:rFonts w:ascii="Palatino Linotype" w:hAnsi="Palatino Linotype"/>
          <w:color w:val="000000"/>
          <w:lang w:val="es-ES_tradnl"/>
        </w:rPr>
      </w:pPr>
      <w:r>
        <w:rPr>
          <w:rFonts w:ascii="Palatino Linotype" w:hAnsi="Palatino Linotype"/>
          <w:b/>
          <w:bCs/>
          <w:color w:val="000000"/>
          <w:lang w:val="es-ES_tradnl"/>
        </w:rPr>
        <w:t>“</w:t>
      </w:r>
      <w:r w:rsidRPr="005967F1">
        <w:rPr>
          <w:rFonts w:ascii="Palatino Linotype" w:hAnsi="Palatino Linotype"/>
          <w:b/>
          <w:bCs/>
          <w:color w:val="000000"/>
          <w:lang w:val="es-ES_tradnl"/>
        </w:rPr>
        <w:t>acuerdo para solicitante sol. 200</w:t>
      </w:r>
      <w:proofErr w:type="gramStart"/>
      <w:r w:rsidRPr="005967F1">
        <w:rPr>
          <w:rFonts w:ascii="Palatino Linotype" w:hAnsi="Palatino Linotype"/>
          <w:b/>
          <w:bCs/>
          <w:color w:val="000000"/>
          <w:lang w:val="es-ES_tradnl"/>
        </w:rPr>
        <w:t>.pdf</w:t>
      </w:r>
      <w:proofErr w:type="gramEnd"/>
      <w:r>
        <w:rPr>
          <w:rFonts w:ascii="Palatino Linotype" w:hAnsi="Palatino Linotype"/>
          <w:b/>
          <w:bCs/>
          <w:color w:val="000000"/>
          <w:lang w:val="es-ES_tradnl"/>
        </w:rPr>
        <w:t xml:space="preserve">”: </w:t>
      </w:r>
      <w:r w:rsidRPr="005967F1">
        <w:rPr>
          <w:rFonts w:ascii="Palatino Linotype" w:hAnsi="Palatino Linotype"/>
          <w:color w:val="000000"/>
          <w:lang w:val="es-ES_tradnl"/>
        </w:rPr>
        <w:t>Documento electrónico que contiene el oficio No. HAT/UTAIP/2021/447</w:t>
      </w:r>
      <w:r>
        <w:rPr>
          <w:rFonts w:ascii="Palatino Linotype" w:hAnsi="Palatino Linotype"/>
          <w:color w:val="000000"/>
          <w:lang w:val="es-ES_tradnl"/>
        </w:rPr>
        <w:t xml:space="preserve">, </w:t>
      </w:r>
      <w:r w:rsidR="008E65AF">
        <w:rPr>
          <w:rFonts w:ascii="Palatino Linotype" w:hAnsi="Palatino Linotype"/>
          <w:color w:val="000000"/>
          <w:lang w:val="es-ES_tradnl"/>
        </w:rPr>
        <w:t>signado</w:t>
      </w:r>
      <w:r>
        <w:rPr>
          <w:rFonts w:ascii="Palatino Linotype" w:hAnsi="Palatino Linotype"/>
          <w:color w:val="000000"/>
          <w:lang w:val="es-ES_tradnl"/>
        </w:rPr>
        <w:t xml:space="preserve"> por el Titular de la Unidad de Transparencia del Sujeto Obligado, y remitido al solicitante de información, mediante el cual, medularmente le informa que, mediante Acta de la Cuadragésima Sexta Sesión Extraordinaria del comité de Transparencia, se acordó la clasificación de los datos personales concerniente a servidores públicos del Ayuntamiento de Tepotzotlán que se encuentran en procesos administrativos, como se puede advertir en la imagen que se inserta a continuación:  </w:t>
      </w:r>
    </w:p>
    <w:p w14:paraId="5E47E9FE" w14:textId="5276B8FF" w:rsidR="008E65AF" w:rsidRPr="005967F1" w:rsidRDefault="008E65AF" w:rsidP="008E65AF">
      <w:pPr>
        <w:pStyle w:val="Prrafodelista"/>
        <w:spacing w:line="360" w:lineRule="auto"/>
        <w:ind w:left="720"/>
        <w:contextualSpacing/>
        <w:jc w:val="center"/>
        <w:rPr>
          <w:rFonts w:ascii="Palatino Linotype" w:hAnsi="Palatino Linotype"/>
          <w:color w:val="000000"/>
          <w:lang w:val="es-ES_tradnl"/>
        </w:rPr>
      </w:pPr>
      <w:r w:rsidRPr="008E65AF">
        <w:rPr>
          <w:rFonts w:ascii="Palatino Linotype" w:hAnsi="Palatino Linotype"/>
          <w:noProof/>
          <w:color w:val="000000"/>
          <w:lang w:val="es-MX" w:eastAsia="es-MX"/>
        </w:rPr>
        <w:lastRenderedPageBreak/>
        <w:drawing>
          <wp:inline distT="0" distB="0" distL="0" distR="0" wp14:anchorId="2FA3F1EB" wp14:editId="219D39C2">
            <wp:extent cx="4712970" cy="373266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4155" cy="3733598"/>
                    </a:xfrm>
                    <a:prstGeom prst="rect">
                      <a:avLst/>
                    </a:prstGeom>
                  </pic:spPr>
                </pic:pic>
              </a:graphicData>
            </a:graphic>
          </wp:inline>
        </w:drawing>
      </w:r>
    </w:p>
    <w:p w14:paraId="6821B1A7" w14:textId="77777777" w:rsidR="00943E92" w:rsidRPr="005967F1" w:rsidRDefault="00943E92" w:rsidP="005967F1">
      <w:pPr>
        <w:spacing w:line="360" w:lineRule="auto"/>
        <w:contextualSpacing/>
        <w:jc w:val="both"/>
        <w:rPr>
          <w:rFonts w:ascii="Palatino Linotype" w:hAnsi="Palatino Linotype"/>
          <w:color w:val="000000"/>
          <w:lang w:val="es-ES_tradnl"/>
        </w:rPr>
      </w:pPr>
    </w:p>
    <w:p w14:paraId="241CA04D" w14:textId="3C01F7E8" w:rsidR="009339BD" w:rsidRDefault="009339BD" w:rsidP="009339BD">
      <w:pPr>
        <w:pStyle w:val="Prrafodelista"/>
        <w:numPr>
          <w:ilvl w:val="0"/>
          <w:numId w:val="14"/>
        </w:numPr>
        <w:spacing w:line="360" w:lineRule="auto"/>
        <w:contextualSpacing/>
        <w:jc w:val="both"/>
        <w:rPr>
          <w:rFonts w:ascii="Palatino Linotype" w:hAnsi="Palatino Linotype"/>
          <w:bCs/>
          <w:color w:val="000000"/>
          <w:lang w:val="es-ES_tradnl"/>
        </w:rPr>
      </w:pPr>
      <w:r>
        <w:rPr>
          <w:rFonts w:ascii="Palatino Linotype" w:hAnsi="Palatino Linotype"/>
          <w:b/>
          <w:bCs/>
          <w:color w:val="000000"/>
          <w:lang w:val="es-ES_tradnl"/>
        </w:rPr>
        <w:t>“</w:t>
      </w:r>
      <w:r w:rsidR="008E65AF" w:rsidRPr="008E65AF">
        <w:rPr>
          <w:rFonts w:ascii="Palatino Linotype" w:hAnsi="Palatino Linotype"/>
          <w:b/>
          <w:bCs/>
          <w:color w:val="000000"/>
          <w:lang w:val="es-ES_tradnl"/>
        </w:rPr>
        <w:t>autoridad substanciadora a autoridad resolutora.zip</w:t>
      </w:r>
      <w:r>
        <w:rPr>
          <w:rFonts w:ascii="Palatino Linotype" w:hAnsi="Palatino Linotype"/>
          <w:b/>
          <w:bCs/>
          <w:color w:val="000000"/>
          <w:lang w:val="es-ES_tradnl"/>
        </w:rPr>
        <w:t xml:space="preserve">”: </w:t>
      </w:r>
      <w:r>
        <w:rPr>
          <w:rFonts w:ascii="Palatino Linotype" w:hAnsi="Palatino Linotype"/>
          <w:bCs/>
          <w:color w:val="000000"/>
          <w:lang w:val="es-ES_tradnl"/>
        </w:rPr>
        <w:t xml:space="preserve">Archivo electrónico </w:t>
      </w:r>
      <w:r w:rsidR="008E65AF">
        <w:rPr>
          <w:rFonts w:ascii="Palatino Linotype" w:hAnsi="Palatino Linotype"/>
          <w:bCs/>
          <w:color w:val="000000"/>
          <w:lang w:val="es-ES_tradnl"/>
        </w:rPr>
        <w:t xml:space="preserve">comprimido </w:t>
      </w:r>
      <w:r>
        <w:rPr>
          <w:rFonts w:ascii="Palatino Linotype" w:hAnsi="Palatino Linotype"/>
          <w:bCs/>
          <w:color w:val="000000"/>
          <w:lang w:val="es-ES_tradnl"/>
        </w:rPr>
        <w:t>del cual se desprenden</w:t>
      </w:r>
      <w:r w:rsidR="008E65AF">
        <w:rPr>
          <w:rFonts w:ascii="Palatino Linotype" w:hAnsi="Palatino Linotype"/>
          <w:bCs/>
          <w:color w:val="000000"/>
          <w:lang w:val="es-ES_tradnl"/>
        </w:rPr>
        <w:t xml:space="preserve"> 26 oficios signados por la Autoridad Substanciadora, mismos que fueron remitidos a la Autoridad Resolutora Adscrita </w:t>
      </w:r>
      <w:r w:rsidR="00D43D3C">
        <w:rPr>
          <w:rFonts w:ascii="Palatino Linotype" w:hAnsi="Palatino Linotype"/>
          <w:bCs/>
          <w:color w:val="000000"/>
          <w:lang w:val="es-ES_tradnl"/>
        </w:rPr>
        <w:t xml:space="preserve">a la Contraloría Interna Municipal, con motivo de remitir expedientes iniciados a servidores públicos adscritos al Sujeto obligado, por la omisión o entrega extemporánea  de la declaración de situación patrimonial y de intereses, a efecto de que se inicie el procedimiento administrativo correspondiente, de los cuales </w:t>
      </w:r>
      <w:proofErr w:type="spellStart"/>
      <w:r w:rsidR="00D43D3C">
        <w:rPr>
          <w:rFonts w:ascii="Palatino Linotype" w:hAnsi="Palatino Linotype"/>
          <w:bCs/>
          <w:color w:val="000000"/>
          <w:lang w:val="es-ES_tradnl"/>
        </w:rPr>
        <w:t>de</w:t>
      </w:r>
      <w:proofErr w:type="spellEnd"/>
      <w:r w:rsidR="00D43D3C">
        <w:rPr>
          <w:rFonts w:ascii="Palatino Linotype" w:hAnsi="Palatino Linotype"/>
          <w:bCs/>
          <w:color w:val="000000"/>
          <w:lang w:val="es-ES_tradnl"/>
        </w:rPr>
        <w:t xml:space="preserve"> advierte fueron testados los nombres de los servidores públicos. </w:t>
      </w:r>
    </w:p>
    <w:bookmarkEnd w:id="4"/>
    <w:p w14:paraId="23E6790D" w14:textId="77777777" w:rsidR="00B348DB" w:rsidRDefault="00B348DB" w:rsidP="00B348DB">
      <w:pPr>
        <w:pStyle w:val="Prrafodelista"/>
        <w:spacing w:line="360" w:lineRule="auto"/>
        <w:ind w:left="1440"/>
        <w:contextualSpacing/>
        <w:jc w:val="both"/>
        <w:rPr>
          <w:rFonts w:ascii="Palatino Linotype" w:hAnsi="Palatino Linotype"/>
          <w:color w:val="000000"/>
        </w:rPr>
      </w:pPr>
    </w:p>
    <w:p w14:paraId="6762F98B" w14:textId="0D8E7368" w:rsidR="00B348DB" w:rsidRPr="000C2C26" w:rsidRDefault="00B348DB" w:rsidP="00B348DB">
      <w:pPr>
        <w:pStyle w:val="Prrafodelista"/>
        <w:numPr>
          <w:ilvl w:val="0"/>
          <w:numId w:val="24"/>
        </w:numPr>
        <w:spacing w:line="360" w:lineRule="auto"/>
        <w:contextualSpacing/>
        <w:jc w:val="both"/>
        <w:rPr>
          <w:rFonts w:ascii="Palatino Linotype" w:hAnsi="Palatino Linotype"/>
          <w:color w:val="000000"/>
        </w:rPr>
      </w:pPr>
      <w:r>
        <w:rPr>
          <w:rFonts w:ascii="Palatino Linotype" w:hAnsi="Palatino Linotype"/>
          <w:color w:val="000000"/>
        </w:rPr>
        <w:t>“</w:t>
      </w:r>
      <w:r w:rsidR="00D43D3C" w:rsidRPr="00D43D3C">
        <w:rPr>
          <w:rFonts w:ascii="Palatino Linotype" w:hAnsi="Palatino Linotype"/>
          <w:b/>
          <w:bCs/>
          <w:color w:val="000000"/>
        </w:rPr>
        <w:t>CIM-668-2021.pdf</w:t>
      </w:r>
      <w:r>
        <w:rPr>
          <w:rFonts w:ascii="Palatino Linotype" w:hAnsi="Palatino Linotype"/>
          <w:color w:val="000000"/>
        </w:rPr>
        <w:t xml:space="preserve">”: </w:t>
      </w:r>
      <w:r w:rsidR="00D46C63">
        <w:rPr>
          <w:rFonts w:ascii="Palatino Linotype" w:hAnsi="Palatino Linotype"/>
          <w:color w:val="000000"/>
        </w:rPr>
        <w:t xml:space="preserve">Documento electrónico que contiene el oficio número </w:t>
      </w:r>
      <w:r w:rsidR="000C2C26">
        <w:rPr>
          <w:rFonts w:ascii="Palatino Linotype" w:hAnsi="Palatino Linotype"/>
          <w:color w:val="000000"/>
        </w:rPr>
        <w:t>CIM/668/2021</w:t>
      </w:r>
      <w:r w:rsidR="00D46C63">
        <w:rPr>
          <w:rFonts w:ascii="Palatino Linotype" w:hAnsi="Palatino Linotype"/>
          <w:color w:val="000000"/>
        </w:rPr>
        <w:t xml:space="preserve">, signado por </w:t>
      </w:r>
      <w:r w:rsidR="000C2C26">
        <w:rPr>
          <w:rFonts w:ascii="Palatino Linotype" w:hAnsi="Palatino Linotype"/>
          <w:color w:val="000000"/>
        </w:rPr>
        <w:t>el Contralor Interno municipal</w:t>
      </w:r>
      <w:r w:rsidR="0088792E">
        <w:rPr>
          <w:rFonts w:ascii="Palatino Linotype" w:hAnsi="Palatino Linotype"/>
          <w:color w:val="000000"/>
        </w:rPr>
        <w:t xml:space="preserve"> y dirigido al </w:t>
      </w:r>
      <w:r w:rsidR="000C2C26">
        <w:rPr>
          <w:rFonts w:ascii="Palatino Linotype" w:hAnsi="Palatino Linotype"/>
          <w:color w:val="000000"/>
        </w:rPr>
        <w:t xml:space="preserve">Titular </w:t>
      </w:r>
      <w:r w:rsidR="000C2C26">
        <w:rPr>
          <w:rFonts w:ascii="Palatino Linotype" w:hAnsi="Palatino Linotype"/>
          <w:color w:val="000000"/>
        </w:rPr>
        <w:lastRenderedPageBreak/>
        <w:t>de la unidad de Transparencia, ambos del Sujeto obligado</w:t>
      </w:r>
      <w:r w:rsidR="0088792E">
        <w:rPr>
          <w:rFonts w:ascii="Palatino Linotype" w:hAnsi="Palatino Linotype"/>
          <w:color w:val="000000"/>
        </w:rPr>
        <w:t>, mediante el cual medularmente informa</w:t>
      </w:r>
      <w:r w:rsidR="000C2C26">
        <w:rPr>
          <w:rFonts w:ascii="Palatino Linotype" w:hAnsi="Palatino Linotype"/>
          <w:color w:val="000000"/>
        </w:rPr>
        <w:t xml:space="preserve"> lo siguiente:</w:t>
      </w:r>
    </w:p>
    <w:p w14:paraId="191EB7A7" w14:textId="77777777" w:rsidR="000C2C26" w:rsidRDefault="000C2C26" w:rsidP="000C2C26">
      <w:pPr>
        <w:spacing w:line="360" w:lineRule="auto"/>
        <w:contextualSpacing/>
        <w:jc w:val="both"/>
        <w:rPr>
          <w:rFonts w:ascii="Palatino Linotype" w:hAnsi="Palatino Linotype"/>
          <w:color w:val="000000"/>
        </w:rPr>
      </w:pPr>
    </w:p>
    <w:p w14:paraId="3FB4996A" w14:textId="4BED0A06" w:rsidR="0088792E" w:rsidRPr="000C2C26" w:rsidRDefault="000C2C26" w:rsidP="000C2C26">
      <w:pPr>
        <w:spacing w:line="360" w:lineRule="auto"/>
        <w:contextualSpacing/>
        <w:jc w:val="both"/>
        <w:rPr>
          <w:rFonts w:ascii="Palatino Linotype" w:hAnsi="Palatino Linotype"/>
          <w:color w:val="000000"/>
        </w:rPr>
      </w:pPr>
      <w:r w:rsidRPr="000C2C26">
        <w:rPr>
          <w:rFonts w:ascii="Palatino Linotype" w:hAnsi="Palatino Linotype"/>
          <w:noProof/>
          <w:color w:val="000000"/>
          <w:lang w:val="es-MX" w:eastAsia="es-MX"/>
        </w:rPr>
        <w:drawing>
          <wp:inline distT="0" distB="0" distL="0" distR="0" wp14:anchorId="7534AC53" wp14:editId="7193BE00">
            <wp:extent cx="5929927" cy="2552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1" r="5740"/>
                    <a:stretch/>
                  </pic:blipFill>
                  <pic:spPr bwMode="auto">
                    <a:xfrm>
                      <a:off x="0" y="0"/>
                      <a:ext cx="5941200" cy="2557553"/>
                    </a:xfrm>
                    <a:prstGeom prst="rect">
                      <a:avLst/>
                    </a:prstGeom>
                    <a:ln>
                      <a:noFill/>
                    </a:ln>
                    <a:extLst>
                      <a:ext uri="{53640926-AAD7-44D8-BBD7-CCE9431645EC}">
                        <a14:shadowObscured xmlns:a14="http://schemas.microsoft.com/office/drawing/2010/main"/>
                      </a:ext>
                    </a:extLst>
                  </pic:spPr>
                </pic:pic>
              </a:graphicData>
            </a:graphic>
          </wp:inline>
        </w:drawing>
      </w:r>
    </w:p>
    <w:p w14:paraId="001366DC" w14:textId="49AFA40A" w:rsidR="00BF390A" w:rsidRDefault="00BF390A" w:rsidP="00431378">
      <w:pPr>
        <w:spacing w:before="120" w:after="120" w:line="360" w:lineRule="auto"/>
        <w:jc w:val="both"/>
        <w:rPr>
          <w:rFonts w:ascii="Palatino Linotype" w:hAnsi="Palatino Linotype" w:cs="Arial"/>
        </w:rPr>
      </w:pPr>
      <w:r w:rsidRPr="0019382A">
        <w:rPr>
          <w:rFonts w:ascii="Palatino Linotype" w:hAnsi="Palatino Linotype" w:cs="Arial"/>
        </w:rPr>
        <w:t>Ante la respuesta emitida, el particular interpuso el presente recurso de revisión manifestando como</w:t>
      </w:r>
      <w:r w:rsidR="00431378">
        <w:rPr>
          <w:rFonts w:ascii="Palatino Linotype" w:hAnsi="Palatino Linotype" w:cs="Arial"/>
        </w:rPr>
        <w:t xml:space="preserve"> acto impugnado </w:t>
      </w:r>
      <w:r w:rsidRPr="0019382A">
        <w:rPr>
          <w:rFonts w:ascii="Palatino Linotype" w:hAnsi="Palatino Linotype" w:cs="Arial"/>
        </w:rPr>
        <w:t xml:space="preserve">que </w:t>
      </w:r>
      <w:r>
        <w:rPr>
          <w:rFonts w:ascii="Palatino Linotype" w:hAnsi="Palatino Linotype" w:cs="Arial"/>
        </w:rPr>
        <w:t>“</w:t>
      </w:r>
      <w:r w:rsidR="00431378" w:rsidRPr="00431378">
        <w:rPr>
          <w:rFonts w:ascii="Palatino Linotype" w:hAnsi="Palatino Linotype" w:cs="Arial"/>
          <w:i/>
        </w:rPr>
        <w:t xml:space="preserve">la contestación emitida por el contralor interno mediante oficio CIM/688/2021, el cual fuera subido a la plataforma el cinco de noviembre de dos mil veinteno, </w:t>
      </w:r>
      <w:r w:rsidR="00431378" w:rsidRPr="000F30B3">
        <w:rPr>
          <w:rFonts w:ascii="Palatino Linotype" w:hAnsi="Palatino Linotype" w:cs="Arial"/>
          <w:b/>
          <w:bCs/>
          <w:i/>
          <w:u w:val="single"/>
        </w:rPr>
        <w:t>ya que de los anexos no se desprende que haya hecho entrega de la versión pública de la audiencia inicial de cada uno de los expedientes solicitados</w:t>
      </w:r>
      <w:r w:rsidR="00431378" w:rsidRPr="00431378">
        <w:rPr>
          <w:rFonts w:ascii="Palatino Linotype" w:hAnsi="Palatino Linotype" w:cs="Arial"/>
          <w:i/>
        </w:rPr>
        <w:t xml:space="preserve">, en el entendido de que menciona es dicho oficio que la autoridad substanciadora tiene en proceso 258 expedientes en </w:t>
      </w:r>
      <w:proofErr w:type="spellStart"/>
      <w:r w:rsidR="00431378" w:rsidRPr="00431378">
        <w:rPr>
          <w:rFonts w:ascii="Palatino Linotype" w:hAnsi="Palatino Linotype" w:cs="Arial"/>
          <w:i/>
        </w:rPr>
        <w:t>tramite</w:t>
      </w:r>
      <w:proofErr w:type="spellEnd"/>
      <w:r w:rsidR="00431378" w:rsidRPr="00431378">
        <w:rPr>
          <w:rFonts w:ascii="Palatino Linotype" w:hAnsi="Palatino Linotype" w:cs="Arial"/>
          <w:i/>
        </w:rPr>
        <w:t xml:space="preserve"> y que a la autoridad resolutora se han remitido 26 oficios de lo que se deduce que fueron resueltos.</w:t>
      </w:r>
      <w:r>
        <w:rPr>
          <w:rFonts w:ascii="Palatino Linotype" w:hAnsi="Palatino Linotype" w:cs="Arial"/>
          <w:i/>
          <w:iCs/>
        </w:rPr>
        <w:t>”</w:t>
      </w:r>
      <w:r w:rsidR="00431378">
        <w:rPr>
          <w:rFonts w:ascii="Palatino Linotype" w:hAnsi="Palatino Linotype" w:cs="Arial"/>
          <w:i/>
          <w:iCs/>
        </w:rPr>
        <w:t>(Sic)</w:t>
      </w:r>
      <w:r w:rsidR="00431378">
        <w:rPr>
          <w:rFonts w:ascii="Palatino Linotype" w:hAnsi="Palatino Linotype" w:cs="Arial"/>
        </w:rPr>
        <w:t xml:space="preserve">, y como razones o motivos de inconformidad lo siguiente: </w:t>
      </w:r>
      <w:r w:rsidRPr="0019382A">
        <w:rPr>
          <w:rFonts w:ascii="Palatino Linotype" w:hAnsi="Palatino Linotype" w:cs="Arial"/>
        </w:rPr>
        <w:t xml:space="preserve"> </w:t>
      </w:r>
      <w:r w:rsidR="00431378">
        <w:rPr>
          <w:rFonts w:ascii="Palatino Linotype" w:hAnsi="Palatino Linotype" w:cs="Arial"/>
        </w:rPr>
        <w:t>“</w:t>
      </w:r>
      <w:r w:rsidR="00431378" w:rsidRPr="000F30B3">
        <w:rPr>
          <w:rFonts w:ascii="Palatino Linotype" w:hAnsi="Palatino Linotype" w:cs="Arial"/>
          <w:b/>
          <w:bCs/>
          <w:i/>
          <w:iCs/>
          <w:u w:val="single"/>
        </w:rPr>
        <w:t>no haber entregado la versión pública de la audiencia inicial, solicitadas</w:t>
      </w:r>
      <w:r w:rsidR="00431378" w:rsidRPr="00431378">
        <w:rPr>
          <w:rFonts w:ascii="Palatino Linotype" w:hAnsi="Palatino Linotype" w:cs="Arial"/>
          <w:i/>
          <w:iCs/>
        </w:rPr>
        <w:t xml:space="preserve">, violando con ello el derecho humano al acceso a la información pública, toda vez, que las audiencias iniciales en los procedimientos de responsabilidad administrativa son </w:t>
      </w:r>
      <w:proofErr w:type="spellStart"/>
      <w:r w:rsidR="00431378" w:rsidRPr="00431378">
        <w:rPr>
          <w:rFonts w:ascii="Palatino Linotype" w:hAnsi="Palatino Linotype" w:cs="Arial"/>
          <w:i/>
          <w:iCs/>
        </w:rPr>
        <w:t>publicas</w:t>
      </w:r>
      <w:proofErr w:type="spellEnd"/>
      <w:r w:rsidR="00431378" w:rsidRPr="00431378">
        <w:rPr>
          <w:rFonts w:ascii="Palatino Linotype" w:hAnsi="Palatino Linotype" w:cs="Arial"/>
          <w:i/>
          <w:iCs/>
        </w:rPr>
        <w:t xml:space="preserve">, de acuerdo a la ley de Responsabilidades Administrativas del Estado de México y Municipios, por </w:t>
      </w:r>
      <w:r w:rsidR="00431378" w:rsidRPr="00431378">
        <w:rPr>
          <w:rFonts w:ascii="Palatino Linotype" w:hAnsi="Palatino Linotype" w:cs="Arial"/>
          <w:i/>
          <w:iCs/>
        </w:rPr>
        <w:lastRenderedPageBreak/>
        <w:t xml:space="preserve">lo que se puede apreciar que el contralor interno carece de conocimientos para ejercer su función al igual que la autoridad substanciadora, ya que motivan ni fundamental </w:t>
      </w:r>
      <w:proofErr w:type="spellStart"/>
      <w:r w:rsidR="00431378" w:rsidRPr="00431378">
        <w:rPr>
          <w:rFonts w:ascii="Palatino Linotype" w:hAnsi="Palatino Linotype" w:cs="Arial"/>
          <w:i/>
          <w:iCs/>
        </w:rPr>
        <w:t>el porque</w:t>
      </w:r>
      <w:proofErr w:type="spellEnd"/>
      <w:r w:rsidR="00431378" w:rsidRPr="00431378">
        <w:rPr>
          <w:rFonts w:ascii="Palatino Linotype" w:hAnsi="Palatino Linotype" w:cs="Arial"/>
          <w:i/>
          <w:iCs/>
        </w:rPr>
        <w:t xml:space="preserve"> no hacen entrega de las audiencias iniciales solicitadas</w:t>
      </w:r>
      <w:r w:rsidR="00431378" w:rsidRPr="00431378">
        <w:rPr>
          <w:rFonts w:ascii="Palatino Linotype" w:hAnsi="Palatino Linotype" w:cs="Arial"/>
        </w:rPr>
        <w:t>.</w:t>
      </w:r>
      <w:r w:rsidR="00431378">
        <w:rPr>
          <w:rFonts w:ascii="Palatino Linotype" w:hAnsi="Palatino Linotype" w:cs="Arial"/>
        </w:rPr>
        <w:t>” (Sic)</w:t>
      </w:r>
    </w:p>
    <w:p w14:paraId="54207F85" w14:textId="77777777" w:rsidR="00BF390A" w:rsidRDefault="00BF390A" w:rsidP="005B7C1F">
      <w:pPr>
        <w:tabs>
          <w:tab w:val="left" w:pos="8647"/>
        </w:tabs>
        <w:spacing w:line="360" w:lineRule="auto"/>
        <w:jc w:val="both"/>
        <w:rPr>
          <w:rFonts w:ascii="Palatino Linotype" w:hAnsi="Palatino Linotype" w:cs="Arial"/>
        </w:rPr>
      </w:pPr>
    </w:p>
    <w:p w14:paraId="2056CAAE" w14:textId="2703227C" w:rsidR="00BF390A" w:rsidRDefault="00BF390A" w:rsidP="00BF390A">
      <w:pPr>
        <w:tabs>
          <w:tab w:val="left" w:pos="709"/>
        </w:tabs>
        <w:spacing w:line="360" w:lineRule="auto"/>
        <w:ind w:right="51"/>
        <w:jc w:val="both"/>
        <w:rPr>
          <w:rFonts w:ascii="Palatino Linotype" w:hAnsi="Palatino Linotype" w:cs="Arial"/>
        </w:rPr>
      </w:pPr>
      <w:r w:rsidRPr="007F45B9">
        <w:rPr>
          <w:rFonts w:ascii="Palatino Linotype" w:hAnsi="Palatino Linotype" w:cs="Arial"/>
        </w:rPr>
        <w:t xml:space="preserve">Bajo las premisas anteriores, se concluye que en la especie será motivo de análisis si </w:t>
      </w:r>
      <w:r>
        <w:rPr>
          <w:rFonts w:ascii="Palatino Linotype" w:hAnsi="Palatino Linotype" w:cs="Arial"/>
        </w:rPr>
        <w:t xml:space="preserve">efectivamente, </w:t>
      </w:r>
      <w:r w:rsidRPr="007F45B9">
        <w:rPr>
          <w:rFonts w:ascii="Palatino Linotype" w:hAnsi="Palatino Linotype" w:cs="Arial"/>
        </w:rPr>
        <w:t xml:space="preserve">la </w:t>
      </w:r>
      <w:r>
        <w:rPr>
          <w:rFonts w:ascii="Palatino Linotype" w:hAnsi="Palatino Linotype" w:cs="Arial"/>
        </w:rPr>
        <w:t xml:space="preserve">respuesta </w:t>
      </w:r>
      <w:r w:rsidRPr="007F45B9">
        <w:rPr>
          <w:rFonts w:ascii="Palatino Linotype" w:hAnsi="Palatino Linotype" w:cs="Arial"/>
        </w:rPr>
        <w:t xml:space="preserve">otorgada </w:t>
      </w:r>
      <w:r>
        <w:rPr>
          <w:rFonts w:ascii="Palatino Linotype" w:hAnsi="Palatino Linotype" w:cs="Arial"/>
        </w:rPr>
        <w:t xml:space="preserve">por parte del </w:t>
      </w:r>
      <w:r w:rsidRPr="00A4120B">
        <w:rPr>
          <w:rFonts w:ascii="Palatino Linotype" w:hAnsi="Palatino Linotype" w:cs="Arial"/>
          <w:b/>
        </w:rPr>
        <w:t>Sujeto Obligado</w:t>
      </w:r>
      <w:r w:rsidRPr="007F45B9">
        <w:rPr>
          <w:rFonts w:ascii="Palatino Linotype" w:hAnsi="Palatino Linotype" w:cs="Arial"/>
        </w:rPr>
        <w:t xml:space="preserve"> satisface los</w:t>
      </w:r>
      <w:r>
        <w:rPr>
          <w:rFonts w:ascii="Palatino Linotype" w:hAnsi="Palatino Linotype" w:cs="Arial"/>
        </w:rPr>
        <w:t xml:space="preserve"> requisitos establecidos por la Ley de la materia.</w:t>
      </w:r>
    </w:p>
    <w:p w14:paraId="3E4EB687" w14:textId="77777777" w:rsidR="00895C8A" w:rsidRDefault="00895C8A" w:rsidP="00BF390A">
      <w:pPr>
        <w:tabs>
          <w:tab w:val="left" w:pos="709"/>
        </w:tabs>
        <w:spacing w:line="360" w:lineRule="auto"/>
        <w:ind w:right="51"/>
        <w:jc w:val="both"/>
        <w:rPr>
          <w:rFonts w:ascii="Palatino Linotype" w:hAnsi="Palatino Linotype" w:cs="Arial"/>
        </w:rPr>
      </w:pPr>
    </w:p>
    <w:p w14:paraId="3CAA3187" w14:textId="77777777" w:rsidR="00BF390A" w:rsidRPr="009B3996" w:rsidRDefault="00BF390A" w:rsidP="00BF390A">
      <w:pPr>
        <w:autoSpaceDE w:val="0"/>
        <w:autoSpaceDN w:val="0"/>
        <w:adjustRightInd w:val="0"/>
        <w:spacing w:after="240" w:line="360" w:lineRule="auto"/>
        <w:ind w:right="-91"/>
        <w:jc w:val="both"/>
        <w:rPr>
          <w:rFonts w:ascii="Palatino Linotype" w:hAnsi="Palatino Linotype" w:cs="Arial"/>
          <w:color w:val="000000"/>
        </w:rPr>
      </w:pPr>
      <w:r>
        <w:rPr>
          <w:rFonts w:ascii="Palatino Linotype" w:hAnsi="Palatino Linotype" w:cs="Arial"/>
          <w:color w:val="000000"/>
        </w:rPr>
        <w:t>Primeramente, es de advertirse lo siguiente</w:t>
      </w:r>
      <w:r w:rsidRPr="009B3996">
        <w:rPr>
          <w:rFonts w:ascii="Palatino Linotype" w:hAnsi="Palatino Linotype" w:cs="Arial"/>
          <w:color w:val="000000"/>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83AEA59" w14:textId="77777777" w:rsidR="00BF390A" w:rsidRPr="006F3207" w:rsidRDefault="00BF390A" w:rsidP="00BF390A">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373D3E29" w14:textId="77777777" w:rsidR="00BF390A" w:rsidRPr="006F3207" w:rsidRDefault="00BF390A" w:rsidP="00BF390A">
      <w:pPr>
        <w:ind w:left="851" w:right="851"/>
        <w:jc w:val="both"/>
        <w:rPr>
          <w:rFonts w:ascii="Palatino Linotype" w:hAnsi="Palatino Linotype" w:cs="Arial"/>
          <w:bCs/>
          <w:i/>
        </w:rPr>
      </w:pPr>
      <w:r w:rsidRPr="006F3207">
        <w:rPr>
          <w:rFonts w:ascii="Palatino Linotype" w:hAnsi="Palatino Linotype" w:cs="Arial"/>
          <w:bCs/>
          <w:i/>
        </w:rPr>
        <w:t>…</w:t>
      </w:r>
    </w:p>
    <w:p w14:paraId="43867EF7" w14:textId="77777777" w:rsidR="00BF390A" w:rsidRPr="006F3207" w:rsidRDefault="00BF390A" w:rsidP="00BF390A">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19C19BEE" w14:textId="77777777" w:rsidR="00BF390A" w:rsidRPr="006F3207" w:rsidRDefault="00BF390A" w:rsidP="00BF390A">
      <w:pPr>
        <w:ind w:left="851" w:right="851"/>
        <w:jc w:val="both"/>
        <w:rPr>
          <w:rFonts w:ascii="Palatino Linotype" w:hAnsi="Palatino Linotype" w:cs="Arial"/>
          <w:bCs/>
          <w:i/>
        </w:rPr>
      </w:pPr>
    </w:p>
    <w:p w14:paraId="3387B6E7" w14:textId="77777777" w:rsidR="00BF390A" w:rsidRPr="006F3207" w:rsidRDefault="00BF390A" w:rsidP="00BF390A">
      <w:pPr>
        <w:tabs>
          <w:tab w:val="left" w:pos="709"/>
        </w:tabs>
        <w:ind w:left="851" w:right="851"/>
        <w:jc w:val="both"/>
        <w:rPr>
          <w:rFonts w:ascii="Palatino Linotype" w:hAnsi="Palatino Linotype" w:cs="Arial"/>
          <w:bCs/>
          <w:i/>
        </w:rPr>
      </w:pPr>
      <w:r w:rsidRPr="006F3207">
        <w:rPr>
          <w:rFonts w:ascii="Palatino Linotype" w:hAnsi="Palatino Linotype" w:cs="Arial"/>
          <w:bCs/>
          <w:i/>
        </w:rPr>
        <w:t xml:space="preserve">I. </w:t>
      </w:r>
      <w:r w:rsidRPr="006F3207">
        <w:rPr>
          <w:rFonts w:ascii="Palatino Linotype" w:hAnsi="Palatino Linotype" w:cs="Arial"/>
          <w:bCs/>
          <w:i/>
        </w:rPr>
        <w:tab/>
        <w:t xml:space="preserve">Toda la información en posesión de cualquier autoridad, entidad, órgano y organismo de los Poderes Ejecutivo, Legislativo y Judicial, órganos autónomos, partidos políticos, fideicomisos y fondos públicos, así como de </w:t>
      </w:r>
      <w:r w:rsidRPr="006F3207">
        <w:rPr>
          <w:rFonts w:ascii="Palatino Linotype" w:hAnsi="Palatino Linotype" w:cs="Arial"/>
          <w:bCs/>
          <w:i/>
        </w:rPr>
        <w:lastRenderedPageBreak/>
        <w:t>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8093A8" w14:textId="77777777" w:rsidR="00BF390A" w:rsidRPr="009B3996" w:rsidRDefault="00BF390A" w:rsidP="00BF390A">
      <w:pPr>
        <w:tabs>
          <w:tab w:val="left" w:pos="709"/>
        </w:tabs>
        <w:spacing w:line="480" w:lineRule="auto"/>
        <w:jc w:val="both"/>
        <w:rPr>
          <w:rFonts w:ascii="Palatino Linotype" w:hAnsi="Palatino Linotype" w:cs="Arial"/>
        </w:rPr>
      </w:pPr>
    </w:p>
    <w:p w14:paraId="77AD88C4" w14:textId="77777777" w:rsidR="00BF390A" w:rsidRDefault="00BF390A" w:rsidP="00BF390A">
      <w:pPr>
        <w:tabs>
          <w:tab w:val="left" w:pos="709"/>
        </w:tabs>
        <w:spacing w:line="360" w:lineRule="auto"/>
        <w:jc w:val="both"/>
        <w:rPr>
          <w:rFonts w:ascii="Palatino Linotype" w:hAnsi="Palatino Linotype" w:cs="Arial"/>
        </w:rPr>
      </w:pPr>
      <w:r w:rsidRPr="009B3996">
        <w:rPr>
          <w:rFonts w:ascii="Palatino Linotype" w:hAnsi="Palatino Linotype" w:cs="Arial"/>
        </w:rPr>
        <w:t xml:space="preserve">Ahora bien, en atención a lo dispuesto por los artículos 3, fracción XI y 12 </w:t>
      </w:r>
      <w:r w:rsidRPr="009B3996">
        <w:rPr>
          <w:rFonts w:ascii="Palatino Linotype" w:hAnsi="Palatino Linotype" w:cs="Arial"/>
          <w:bCs/>
        </w:rPr>
        <w:t>de la Ley de Transparencia y Acceso a la Información Pública del Estado de México y Municipios</w:t>
      </w:r>
      <w:r w:rsidRPr="009B3996">
        <w:rPr>
          <w:rFonts w:ascii="Palatino Linotype" w:hAnsi="Palatino Linotype" w:cs="Arial"/>
        </w:rPr>
        <w:t>, los cuales son del tenor literal siguiente:</w:t>
      </w:r>
    </w:p>
    <w:p w14:paraId="5764C768" w14:textId="77777777" w:rsidR="00BF390A" w:rsidRPr="009B3996" w:rsidRDefault="00BF390A" w:rsidP="00BF390A">
      <w:pPr>
        <w:tabs>
          <w:tab w:val="left" w:pos="709"/>
        </w:tabs>
        <w:spacing w:line="360" w:lineRule="auto"/>
        <w:jc w:val="both"/>
        <w:rPr>
          <w:rFonts w:ascii="Palatino Linotype" w:hAnsi="Palatino Linotype" w:cs="Arial"/>
        </w:rPr>
      </w:pPr>
    </w:p>
    <w:p w14:paraId="5042B287"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29C7C567"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i/>
        </w:rPr>
        <w:t>…</w:t>
      </w:r>
    </w:p>
    <w:p w14:paraId="6FECCA85"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6A2242CE" w14:textId="77777777" w:rsidR="00BF390A" w:rsidRPr="006F3207" w:rsidRDefault="00BF390A" w:rsidP="00BF390A">
      <w:pPr>
        <w:ind w:left="851" w:right="851"/>
        <w:jc w:val="both"/>
        <w:rPr>
          <w:rFonts w:ascii="Palatino Linotype" w:hAnsi="Palatino Linotype" w:cs="Arial"/>
          <w:i/>
        </w:rPr>
      </w:pPr>
    </w:p>
    <w:p w14:paraId="3F69C7A8"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81D444F"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w:t>
      </w:r>
      <w:r w:rsidRPr="006F3207">
        <w:rPr>
          <w:rFonts w:ascii="Palatino Linotype" w:hAnsi="Palatino Linotype" w:cs="Arial"/>
          <w:bCs/>
          <w:i/>
        </w:rPr>
        <w:lastRenderedPageBreak/>
        <w:t>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D26117" w14:textId="77777777" w:rsidR="00BF390A" w:rsidRPr="006F3207" w:rsidRDefault="00BF390A" w:rsidP="00BF390A">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22E399C1" w14:textId="77777777" w:rsidR="00BF390A" w:rsidRPr="006F3207" w:rsidRDefault="00BF390A" w:rsidP="00BF390A">
      <w:pPr>
        <w:ind w:left="851" w:right="851"/>
        <w:jc w:val="both"/>
        <w:rPr>
          <w:rFonts w:ascii="Palatino Linotype" w:hAnsi="Palatino Linotype" w:cs="Arial"/>
          <w:i/>
        </w:rPr>
      </w:pPr>
    </w:p>
    <w:p w14:paraId="108E5842" w14:textId="77777777" w:rsidR="00BF390A" w:rsidRPr="006F3207" w:rsidRDefault="00BF390A" w:rsidP="00BF390A">
      <w:pPr>
        <w:ind w:left="851" w:right="851"/>
        <w:jc w:val="both"/>
        <w:rPr>
          <w:rFonts w:ascii="Palatino Linotype" w:hAnsi="Palatino Linotype" w:cs="Arial"/>
          <w:i/>
        </w:rPr>
      </w:pPr>
      <w:r w:rsidRPr="006F3207">
        <w:rPr>
          <w:rFonts w:ascii="Palatino Linotype" w:hAnsi="Palatino Linotype" w:cs="Arial"/>
          <w:b/>
          <w:i/>
        </w:rPr>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3FDC98F8" w14:textId="77777777" w:rsidR="00BF390A" w:rsidRPr="006F3207" w:rsidRDefault="00BF390A" w:rsidP="00BF390A">
      <w:pPr>
        <w:ind w:left="851" w:right="851"/>
        <w:jc w:val="both"/>
        <w:rPr>
          <w:rFonts w:ascii="Palatino Linotype" w:hAnsi="Palatino Linotype" w:cs="Arial"/>
          <w:i/>
        </w:rPr>
      </w:pPr>
    </w:p>
    <w:p w14:paraId="0CE53664" w14:textId="77777777" w:rsidR="00BF390A" w:rsidRPr="006F3207" w:rsidRDefault="00BF390A" w:rsidP="00BF390A">
      <w:pPr>
        <w:ind w:left="851" w:right="851"/>
        <w:jc w:val="both"/>
        <w:rPr>
          <w:rFonts w:ascii="Palatino Linotype" w:hAnsi="Palatino Linotype" w:cs="Arial"/>
          <w:i/>
          <w:u w:val="single"/>
        </w:rPr>
      </w:pPr>
      <w:r w:rsidRPr="006F320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rPr>
        <w:t>.”</w:t>
      </w:r>
    </w:p>
    <w:p w14:paraId="50645B11" w14:textId="77777777" w:rsidR="00BF390A" w:rsidRPr="006F3207" w:rsidRDefault="00BF390A" w:rsidP="00BF390A">
      <w:pPr>
        <w:ind w:left="851" w:right="851"/>
        <w:jc w:val="right"/>
        <w:rPr>
          <w:rFonts w:ascii="Palatino Linotype" w:hAnsi="Palatino Linotype" w:cs="Arial"/>
        </w:rPr>
      </w:pPr>
    </w:p>
    <w:p w14:paraId="3506729E" w14:textId="77777777" w:rsidR="00BF390A" w:rsidRDefault="00BF390A" w:rsidP="00BF390A">
      <w:pPr>
        <w:ind w:left="851" w:right="851"/>
        <w:jc w:val="right"/>
        <w:rPr>
          <w:rFonts w:ascii="Palatino Linotype" w:hAnsi="Palatino Linotype" w:cs="Arial"/>
        </w:rPr>
      </w:pPr>
      <w:r w:rsidRPr="006F3207">
        <w:rPr>
          <w:rFonts w:ascii="Palatino Linotype" w:hAnsi="Palatino Linotype" w:cs="Arial"/>
        </w:rPr>
        <w:t>[Énfasis añadido]</w:t>
      </w:r>
    </w:p>
    <w:p w14:paraId="5367F043" w14:textId="77777777" w:rsidR="00BF390A" w:rsidRPr="006F3207" w:rsidRDefault="00BF390A" w:rsidP="00BF390A">
      <w:pPr>
        <w:ind w:left="851" w:right="851"/>
        <w:jc w:val="right"/>
        <w:rPr>
          <w:rFonts w:ascii="Palatino Linotype" w:hAnsi="Palatino Linotype" w:cs="Arial"/>
        </w:rPr>
      </w:pPr>
    </w:p>
    <w:p w14:paraId="55792483" w14:textId="02598D7A" w:rsidR="00BF390A" w:rsidRDefault="00BF390A" w:rsidP="00BF390A">
      <w:pPr>
        <w:spacing w:line="360" w:lineRule="auto"/>
        <w:jc w:val="both"/>
        <w:rPr>
          <w:rFonts w:ascii="Palatino Linotype" w:hAnsi="Palatino Linotype" w:cs="Aria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EB9E551" w14:textId="62BF01E4" w:rsidR="0081409D" w:rsidRDefault="0081409D" w:rsidP="002D446D">
      <w:pPr>
        <w:autoSpaceDE w:val="0"/>
        <w:autoSpaceDN w:val="0"/>
        <w:adjustRightInd w:val="0"/>
        <w:spacing w:line="360" w:lineRule="auto"/>
        <w:jc w:val="both"/>
        <w:rPr>
          <w:rFonts w:ascii="Palatino Linotype" w:hAnsi="Palatino Linotype"/>
          <w:lang w:val="es-ES_tradnl"/>
        </w:rPr>
      </w:pPr>
    </w:p>
    <w:p w14:paraId="12A98885" w14:textId="7BEA4A9C" w:rsidR="003148B9" w:rsidRPr="007475B4" w:rsidRDefault="00D03BC9" w:rsidP="003148B9">
      <w:pPr>
        <w:spacing w:line="360" w:lineRule="auto"/>
        <w:jc w:val="both"/>
        <w:rPr>
          <w:rFonts w:ascii="Palatino Linotype" w:eastAsia="Calibri" w:hAnsi="Palatino Linotype"/>
          <w:lang w:val="es-MX" w:eastAsia="en-US"/>
        </w:rPr>
      </w:pPr>
      <w:r w:rsidRPr="007475B4">
        <w:rPr>
          <w:rFonts w:ascii="Palatino Linotype" w:eastAsia="Calibri" w:hAnsi="Palatino Linotype"/>
          <w:lang w:val="es-MX" w:eastAsia="en-US"/>
        </w:rPr>
        <w:t>Por otro lado</w:t>
      </w:r>
      <w:r w:rsidR="003148B9" w:rsidRPr="007475B4">
        <w:rPr>
          <w:rFonts w:ascii="Palatino Linotype" w:eastAsia="Calibri" w:hAnsi="Palatino Linotype"/>
          <w:lang w:val="es-MX" w:eastAsia="en-US"/>
        </w:rPr>
        <w:t xml:space="preserve">, no debe soslayarse el hecho de que </w:t>
      </w:r>
      <w:r w:rsidR="003148B9" w:rsidRPr="007475B4">
        <w:rPr>
          <w:rFonts w:ascii="Palatino Linotype" w:eastAsia="Calibri" w:hAnsi="Palatino Linotype"/>
          <w:b/>
          <w:lang w:val="es-MX" w:eastAsia="en-US"/>
        </w:rPr>
        <w:t>el Recurrente</w:t>
      </w:r>
      <w:r w:rsidR="003148B9" w:rsidRPr="007475B4">
        <w:rPr>
          <w:rFonts w:ascii="Palatino Linotype" w:eastAsia="Calibri" w:hAnsi="Palatino Linotype"/>
          <w:lang w:val="es-MX" w:eastAsia="en-US"/>
        </w:rPr>
        <w:t xml:space="preserve"> no impugnó el total del contenido de la respuesta dada por el Sujeto Obligado, ello en virtud de que señaló expresamente la negativa de proporcionar la </w:t>
      </w:r>
      <w:r w:rsidR="00412142">
        <w:rPr>
          <w:rFonts w:ascii="Palatino Linotype" w:eastAsia="Calibri" w:hAnsi="Palatino Linotype"/>
          <w:lang w:val="es-MX" w:eastAsia="en-US"/>
        </w:rPr>
        <w:t>versión pública de las audiencias iniciales de cada uno de los expedientes solicitados</w:t>
      </w:r>
      <w:r w:rsidR="003148B9" w:rsidRPr="007475B4">
        <w:rPr>
          <w:rFonts w:ascii="Palatino Linotype" w:eastAsia="Calibri" w:hAnsi="Palatino Linotype"/>
          <w:lang w:val="es-MX" w:eastAsia="en-US"/>
        </w:rPr>
        <w:t xml:space="preserve">, al manifestar textualmente lo siguiente: </w:t>
      </w:r>
      <w:r w:rsidR="003148B9" w:rsidRPr="007475B4">
        <w:rPr>
          <w:rFonts w:ascii="Palatino Linotype" w:eastAsia="Calibri" w:hAnsi="Palatino Linotype"/>
          <w:i/>
          <w:lang w:val="es-MX" w:eastAsia="en-US"/>
        </w:rPr>
        <w:lastRenderedPageBreak/>
        <w:t>“…</w:t>
      </w:r>
      <w:r w:rsidR="00412142" w:rsidRPr="00412142">
        <w:rPr>
          <w:rFonts w:ascii="Palatino Linotype" w:eastAsia="Calibri" w:hAnsi="Palatino Linotype"/>
          <w:b/>
          <w:bCs/>
          <w:i/>
          <w:u w:val="single"/>
          <w:lang w:val="es-MX" w:eastAsia="en-US"/>
        </w:rPr>
        <w:t>no haber entregado la versión pública de la audiencia inicial, solicitadas</w:t>
      </w:r>
      <w:r w:rsidR="00412142" w:rsidRPr="00412142">
        <w:rPr>
          <w:rFonts w:ascii="Palatino Linotype" w:eastAsia="Calibri" w:hAnsi="Palatino Linotype"/>
          <w:i/>
          <w:u w:val="single"/>
          <w:lang w:val="es-MX" w:eastAsia="en-US"/>
        </w:rPr>
        <w:t>, violando con ello el derecho humano al acceso a la información pública</w:t>
      </w:r>
      <w:r w:rsidR="003148B9" w:rsidRPr="007475B4">
        <w:rPr>
          <w:rFonts w:ascii="Palatino Linotype" w:eastAsia="Calibri" w:hAnsi="Palatino Linotype"/>
          <w:i/>
          <w:lang w:val="es-MX" w:eastAsia="en-US"/>
        </w:rPr>
        <w:t>…” (</w:t>
      </w:r>
      <w:proofErr w:type="gramStart"/>
      <w:r w:rsidR="003148B9" w:rsidRPr="007475B4">
        <w:rPr>
          <w:rFonts w:ascii="Palatino Linotype" w:eastAsia="Calibri" w:hAnsi="Palatino Linotype"/>
          <w:i/>
          <w:lang w:val="es-MX" w:eastAsia="en-US"/>
        </w:rPr>
        <w:t>sic</w:t>
      </w:r>
      <w:proofErr w:type="gramEnd"/>
      <w:r w:rsidR="003148B9" w:rsidRPr="007475B4">
        <w:rPr>
          <w:rFonts w:ascii="Palatino Linotype" w:eastAsia="Calibri" w:hAnsi="Palatino Linotype"/>
          <w:i/>
          <w:lang w:val="es-MX" w:eastAsia="en-US"/>
        </w:rPr>
        <w:t>)</w:t>
      </w:r>
    </w:p>
    <w:p w14:paraId="0CE72465" w14:textId="77777777" w:rsidR="003148B9" w:rsidRPr="007475B4" w:rsidRDefault="003148B9" w:rsidP="003148B9">
      <w:pPr>
        <w:spacing w:line="360" w:lineRule="auto"/>
        <w:jc w:val="both"/>
        <w:rPr>
          <w:rFonts w:ascii="Palatino Linotype" w:eastAsia="Calibri" w:hAnsi="Palatino Linotype"/>
          <w:lang w:val="es-MX" w:eastAsia="en-US"/>
        </w:rPr>
      </w:pPr>
    </w:p>
    <w:p w14:paraId="1A6BF483" w14:textId="008D3B12" w:rsidR="003148B9" w:rsidRPr="007475B4" w:rsidRDefault="003148B9" w:rsidP="008018C3">
      <w:pPr>
        <w:spacing w:line="360" w:lineRule="auto"/>
        <w:jc w:val="both"/>
        <w:rPr>
          <w:rFonts w:ascii="Palatino Linotype" w:eastAsia="Calibri" w:hAnsi="Palatino Linotype"/>
          <w:lang w:val="es-MX" w:eastAsia="en-US"/>
        </w:rPr>
      </w:pPr>
      <w:r w:rsidRPr="007475B4">
        <w:rPr>
          <w:rFonts w:ascii="Palatino Linotype" w:eastAsia="Calibri" w:hAnsi="Palatino Linotype"/>
          <w:lang w:val="es-MX" w:eastAsia="en-US"/>
        </w:rPr>
        <w:t xml:space="preserve">En este tenor, se estima que </w:t>
      </w:r>
      <w:r w:rsidRPr="007475B4">
        <w:rPr>
          <w:rFonts w:ascii="Palatino Linotype" w:eastAsia="Calibri" w:hAnsi="Palatino Linotype"/>
          <w:b/>
          <w:lang w:val="es-MX" w:eastAsia="en-US"/>
        </w:rPr>
        <w:t>el Recurrente</w:t>
      </w:r>
      <w:r w:rsidRPr="007475B4">
        <w:rPr>
          <w:rFonts w:ascii="Palatino Linotype" w:eastAsia="Calibri" w:hAnsi="Palatino Linotype"/>
          <w:lang w:val="es-MX" w:eastAsia="en-US"/>
        </w:rPr>
        <w:t xml:space="preserve"> está conforme con los documentos que le fueron entregados referentes al documento en donde const</w:t>
      </w:r>
      <w:r w:rsidR="008018C3" w:rsidRPr="007475B4">
        <w:rPr>
          <w:rFonts w:ascii="Palatino Linotype" w:eastAsia="Calibri" w:hAnsi="Palatino Linotype"/>
          <w:lang w:val="es-MX" w:eastAsia="en-US"/>
        </w:rPr>
        <w:t>e</w:t>
      </w:r>
      <w:r w:rsidR="00B72AD8">
        <w:rPr>
          <w:rFonts w:ascii="Palatino Linotype" w:eastAsia="Calibri" w:hAnsi="Palatino Linotype"/>
          <w:lang w:val="es-MX" w:eastAsia="en-US"/>
        </w:rPr>
        <w:t>n</w:t>
      </w:r>
      <w:r w:rsidR="008018C3" w:rsidRPr="007475B4">
        <w:rPr>
          <w:rFonts w:ascii="Palatino Linotype" w:eastAsia="Calibri" w:hAnsi="Palatino Linotype"/>
          <w:lang w:val="es-MX" w:eastAsia="en-US"/>
        </w:rPr>
        <w:t xml:space="preserve"> </w:t>
      </w:r>
      <w:r w:rsidR="00B72AD8" w:rsidRPr="00B72AD8">
        <w:rPr>
          <w:rFonts w:ascii="Palatino Linotype" w:eastAsia="Calibri" w:hAnsi="Palatino Linotype"/>
          <w:lang w:val="es-MX" w:eastAsia="en-US"/>
        </w:rPr>
        <w:t>los informes mensuales de la autoridad substanciadora</w:t>
      </w:r>
      <w:r w:rsidR="008018C3" w:rsidRPr="007475B4">
        <w:rPr>
          <w:rFonts w:ascii="Palatino Linotype" w:eastAsia="Calibri" w:hAnsi="Palatino Linotype"/>
          <w:lang w:val="es-MX" w:eastAsia="en-US"/>
        </w:rPr>
        <w:t>, así como e</w:t>
      </w:r>
      <w:r w:rsidR="00B72AD8" w:rsidRPr="00B72AD8">
        <w:rPr>
          <w:rFonts w:ascii="Palatino Linotype" w:eastAsia="Calibri" w:hAnsi="Palatino Linotype"/>
          <w:lang w:val="es-MX" w:eastAsia="en-US"/>
        </w:rPr>
        <w:t>l número de expedientes por responsabilidad iniciados por daño a la hacienda pública</w:t>
      </w:r>
      <w:r w:rsidR="00B72AD8">
        <w:rPr>
          <w:rFonts w:ascii="Palatino Linotype" w:eastAsia="Calibri" w:hAnsi="Palatino Linotype"/>
          <w:lang w:val="es-MX" w:eastAsia="en-US"/>
        </w:rPr>
        <w:t>;</w:t>
      </w:r>
      <w:r w:rsidRPr="007475B4">
        <w:rPr>
          <w:rFonts w:ascii="Palatino Linotype" w:eastAsia="Calibri" w:hAnsi="Palatino Linotype"/>
          <w:lang w:val="es-MX" w:eastAsia="en-US"/>
        </w:rPr>
        <w:t xml:space="preserve"> por lo que el motivo de su inconformidad radica en que no se </w:t>
      </w:r>
      <w:r w:rsidR="008018C3" w:rsidRPr="007475B4">
        <w:rPr>
          <w:rFonts w:ascii="Palatino Linotype" w:eastAsia="Calibri" w:hAnsi="Palatino Linotype"/>
          <w:lang w:val="es-MX" w:eastAsia="en-US"/>
        </w:rPr>
        <w:t xml:space="preserve">entregó </w:t>
      </w:r>
      <w:r w:rsidR="00B72AD8">
        <w:rPr>
          <w:rFonts w:ascii="Palatino Linotype" w:eastAsia="Calibri" w:hAnsi="Palatino Linotype"/>
          <w:lang w:val="es-MX" w:eastAsia="en-US"/>
        </w:rPr>
        <w:t>l</w:t>
      </w:r>
      <w:r w:rsidR="00B72AD8" w:rsidRPr="00B72AD8">
        <w:rPr>
          <w:rFonts w:ascii="Palatino Linotype" w:eastAsia="Calibri" w:hAnsi="Palatino Linotype"/>
          <w:lang w:val="es-MX" w:eastAsia="en-US"/>
        </w:rPr>
        <w:t xml:space="preserve">a versión </w:t>
      </w:r>
      <w:proofErr w:type="spellStart"/>
      <w:r w:rsidR="00B72AD8" w:rsidRPr="00B72AD8">
        <w:rPr>
          <w:rFonts w:ascii="Palatino Linotype" w:eastAsia="Calibri" w:hAnsi="Palatino Linotype"/>
          <w:lang w:val="es-MX" w:eastAsia="en-US"/>
        </w:rPr>
        <w:t>publica</w:t>
      </w:r>
      <w:proofErr w:type="spellEnd"/>
      <w:r w:rsidR="00B72AD8" w:rsidRPr="00B72AD8">
        <w:rPr>
          <w:rFonts w:ascii="Palatino Linotype" w:eastAsia="Calibri" w:hAnsi="Palatino Linotype"/>
          <w:lang w:val="es-MX" w:eastAsia="en-US"/>
        </w:rPr>
        <w:t xml:space="preserve"> de la audiencia inicial de los expedientes por responsabilidad iniciados por daño a la hacienda pública, por la omisión o entrega extemporánea de la manifestación de bienes a servidores y </w:t>
      </w:r>
      <w:proofErr w:type="spellStart"/>
      <w:r w:rsidR="00B72AD8" w:rsidRPr="00B72AD8">
        <w:rPr>
          <w:rFonts w:ascii="Palatino Linotype" w:eastAsia="Calibri" w:hAnsi="Palatino Linotype"/>
          <w:lang w:val="es-MX" w:eastAsia="en-US"/>
        </w:rPr>
        <w:t>exservidores</w:t>
      </w:r>
      <w:proofErr w:type="spellEnd"/>
      <w:r w:rsidR="00B72AD8" w:rsidRPr="00B72AD8">
        <w:rPr>
          <w:rFonts w:ascii="Palatino Linotype" w:eastAsia="Calibri" w:hAnsi="Palatino Linotype"/>
          <w:lang w:val="es-MX" w:eastAsia="en-US"/>
        </w:rPr>
        <w:t xml:space="preserve"> públicos, u otro tipo de faltas administrativas de servidores públicos</w:t>
      </w:r>
      <w:r w:rsidR="00B72AD8">
        <w:rPr>
          <w:rFonts w:ascii="Palatino Linotype" w:eastAsia="Calibri" w:hAnsi="Palatino Linotype"/>
          <w:lang w:val="es-MX" w:eastAsia="en-US"/>
        </w:rPr>
        <w:t xml:space="preserve"> correspondientes a</w:t>
      </w:r>
      <w:r w:rsidR="00B72AD8" w:rsidRPr="00B72AD8">
        <w:rPr>
          <w:rFonts w:ascii="Palatino Linotype" w:eastAsia="Calibri" w:hAnsi="Palatino Linotype"/>
          <w:lang w:val="es-MX" w:eastAsia="en-US"/>
        </w:rPr>
        <w:t xml:space="preserve"> los años 2020 y 2021</w:t>
      </w:r>
      <w:r w:rsidRPr="007475B4">
        <w:rPr>
          <w:rFonts w:ascii="Palatino Linotype" w:eastAsia="Calibri" w:hAnsi="Palatino Linotype"/>
          <w:lang w:val="es-MX" w:eastAsia="en-US"/>
        </w:rPr>
        <w:t xml:space="preserve">, por lo que puede colegirse que la respuesta fue parcialmente consentida. </w:t>
      </w:r>
    </w:p>
    <w:p w14:paraId="3A8FF372" w14:textId="77777777" w:rsidR="003148B9" w:rsidRPr="007475B4" w:rsidRDefault="003148B9" w:rsidP="003148B9">
      <w:pPr>
        <w:spacing w:line="360" w:lineRule="auto"/>
        <w:jc w:val="both"/>
        <w:rPr>
          <w:rFonts w:ascii="Palatino Linotype" w:eastAsia="Calibri" w:hAnsi="Palatino Linotype"/>
          <w:lang w:val="es-MX" w:eastAsia="en-US"/>
        </w:rPr>
      </w:pPr>
    </w:p>
    <w:p w14:paraId="3F7B3C8C" w14:textId="77777777" w:rsidR="003148B9" w:rsidRPr="007475B4" w:rsidRDefault="003148B9" w:rsidP="003148B9">
      <w:pPr>
        <w:spacing w:line="360" w:lineRule="auto"/>
        <w:jc w:val="both"/>
        <w:rPr>
          <w:rFonts w:ascii="Palatino Linotype" w:eastAsia="Calibri" w:hAnsi="Palatino Linotype" w:cs="Arial"/>
          <w:lang w:val="es-MX" w:eastAsia="es-MX"/>
        </w:rPr>
      </w:pPr>
      <w:r w:rsidRPr="007475B4">
        <w:rPr>
          <w:rFonts w:ascii="Palatino Linotype" w:eastAsia="Calibri" w:hAnsi="Palatino Linotype" w:cs="Arial"/>
          <w:lang w:val="es-MX"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5CEA26B" w14:textId="77777777" w:rsidR="003148B9" w:rsidRPr="007475B4" w:rsidRDefault="003148B9" w:rsidP="003148B9">
      <w:pPr>
        <w:spacing w:line="360" w:lineRule="auto"/>
        <w:jc w:val="both"/>
        <w:rPr>
          <w:rFonts w:ascii="Palatino Linotype" w:eastAsia="Calibri" w:hAnsi="Palatino Linotype" w:cs="Arial"/>
          <w:lang w:val="es-MX" w:eastAsia="en-US"/>
        </w:rPr>
      </w:pPr>
    </w:p>
    <w:p w14:paraId="1339E1BA" w14:textId="77777777" w:rsidR="003148B9" w:rsidRPr="007475B4" w:rsidRDefault="003148B9" w:rsidP="003148B9">
      <w:pPr>
        <w:ind w:left="567" w:right="567"/>
        <w:jc w:val="both"/>
        <w:rPr>
          <w:rFonts w:ascii="Palatino Linotype" w:eastAsia="Calibri" w:hAnsi="Palatino Linotype"/>
          <w:i/>
          <w:sz w:val="22"/>
          <w:szCs w:val="22"/>
          <w:lang w:val="es-MX" w:eastAsia="es-MX"/>
        </w:rPr>
      </w:pPr>
      <w:r w:rsidRPr="007475B4">
        <w:rPr>
          <w:rFonts w:ascii="Palatino Linotype" w:eastAsia="Calibri" w:hAnsi="Palatino Linotype"/>
          <w:b/>
          <w:i/>
          <w:sz w:val="22"/>
          <w:szCs w:val="22"/>
          <w:lang w:val="es-MX" w:eastAsia="es-MX"/>
        </w:rPr>
        <w:t>REVISIÓN EN AMPARO. LOS RESOLUTIVOS NO COMBATIDOS DEBEN DECLARARSE FIRMES</w:t>
      </w:r>
      <w:r w:rsidRPr="007475B4">
        <w:rPr>
          <w:rFonts w:ascii="Palatino Linotype" w:eastAsia="Calibri" w:hAnsi="Palatino Linotype"/>
          <w:i/>
          <w:sz w:val="22"/>
          <w:szCs w:val="22"/>
          <w:lang w:val="es-MX"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w:t>
      </w:r>
      <w:r w:rsidRPr="007475B4">
        <w:rPr>
          <w:rFonts w:ascii="Palatino Linotype" w:eastAsia="Calibri" w:hAnsi="Palatino Linotype"/>
          <w:i/>
          <w:sz w:val="22"/>
          <w:szCs w:val="22"/>
          <w:lang w:val="es-MX" w:eastAsia="es-MX"/>
        </w:rPr>
        <w:lastRenderedPageBreak/>
        <w:t>firmes aquéllos en contra de los cuales no se formuló agravio y dicha declaración de firmeza debe reflejarse en la parte considerativa y en los resolutivos debe confirmarse la sentencia recurrida en la parte correspondiente.</w:t>
      </w:r>
    </w:p>
    <w:p w14:paraId="2E9563FA" w14:textId="77777777" w:rsidR="003148B9" w:rsidRPr="007475B4" w:rsidRDefault="003148B9" w:rsidP="003148B9">
      <w:pPr>
        <w:spacing w:line="360" w:lineRule="auto"/>
        <w:jc w:val="both"/>
        <w:rPr>
          <w:rFonts w:ascii="Palatino Linotype" w:eastAsia="Calibri" w:hAnsi="Palatino Linotype"/>
          <w:lang w:val="es-MX" w:eastAsia="en-US"/>
        </w:rPr>
      </w:pPr>
    </w:p>
    <w:p w14:paraId="34294BA2" w14:textId="77777777" w:rsidR="003148B9" w:rsidRPr="007475B4" w:rsidRDefault="003148B9" w:rsidP="003148B9">
      <w:pPr>
        <w:spacing w:line="360" w:lineRule="auto"/>
        <w:jc w:val="both"/>
        <w:rPr>
          <w:rFonts w:ascii="Palatino Linotype" w:eastAsia="Calibri" w:hAnsi="Palatino Linotype"/>
          <w:lang w:val="es-MX" w:eastAsia="en-US"/>
        </w:rPr>
      </w:pPr>
      <w:r w:rsidRPr="007475B4">
        <w:rPr>
          <w:rFonts w:ascii="Palatino Linotype" w:eastAsia="Calibri" w:hAnsi="Palatino Linotype"/>
          <w:lang w:val="es-MX" w:eastAsia="en-US"/>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F474937" w14:textId="77777777" w:rsidR="003148B9" w:rsidRPr="007475B4" w:rsidRDefault="003148B9" w:rsidP="003148B9">
      <w:pPr>
        <w:spacing w:line="360" w:lineRule="auto"/>
        <w:jc w:val="both"/>
        <w:rPr>
          <w:rFonts w:ascii="Palatino Linotype" w:eastAsia="Calibri" w:hAnsi="Palatino Linotype"/>
          <w:lang w:val="es-MX" w:eastAsia="en-US"/>
        </w:rPr>
      </w:pPr>
    </w:p>
    <w:p w14:paraId="5CD081C5" w14:textId="77777777" w:rsidR="003148B9" w:rsidRPr="007475B4" w:rsidRDefault="003148B9" w:rsidP="003148B9">
      <w:pPr>
        <w:ind w:left="567" w:right="567"/>
        <w:jc w:val="both"/>
        <w:rPr>
          <w:rFonts w:ascii="Palatino Linotype" w:eastAsia="Calibri" w:hAnsi="Palatino Linotype"/>
          <w:i/>
          <w:sz w:val="22"/>
          <w:szCs w:val="22"/>
          <w:lang w:val="es-MX" w:eastAsia="en-US"/>
        </w:rPr>
      </w:pPr>
      <w:r w:rsidRPr="007475B4">
        <w:rPr>
          <w:rFonts w:ascii="Palatino Linotype" w:eastAsia="Calibri" w:hAnsi="Palatino Linotype"/>
          <w:b/>
          <w:i/>
          <w:sz w:val="22"/>
          <w:szCs w:val="22"/>
          <w:lang w:val="es-MX" w:eastAsia="en-US"/>
        </w:rPr>
        <w:t>ACTOS CONSENTIDOS. SON LOS QUE NO SE IMPUGNAN MEDIANTE EL RECURSO IDÓNEO.</w:t>
      </w:r>
      <w:r w:rsidRPr="007475B4">
        <w:rPr>
          <w:rFonts w:ascii="Palatino Linotype" w:eastAsia="Calibri" w:hAnsi="Palatino Linotype"/>
          <w:i/>
          <w:sz w:val="22"/>
          <w:szCs w:val="22"/>
          <w:lang w:val="es-MX" w:eastAsia="en-US"/>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0F44A6" w14:textId="77777777" w:rsidR="003148B9" w:rsidRPr="007475B4" w:rsidRDefault="003148B9" w:rsidP="003148B9">
      <w:pPr>
        <w:spacing w:line="360" w:lineRule="auto"/>
        <w:jc w:val="both"/>
        <w:rPr>
          <w:rFonts w:ascii="Palatino Linotype" w:eastAsia="Calibri" w:hAnsi="Palatino Linotype"/>
          <w:lang w:val="es-MX" w:eastAsia="en-US"/>
        </w:rPr>
      </w:pPr>
    </w:p>
    <w:p w14:paraId="52C9653A" w14:textId="7BD2B72A" w:rsidR="003148B9" w:rsidRPr="007475B4" w:rsidRDefault="003148B9" w:rsidP="003148B9">
      <w:pPr>
        <w:spacing w:line="360" w:lineRule="auto"/>
        <w:jc w:val="both"/>
        <w:rPr>
          <w:rFonts w:ascii="Palatino Linotype" w:eastAsia="Calibri" w:hAnsi="Palatino Linotype"/>
          <w:lang w:val="es-MX" w:eastAsia="en-US"/>
        </w:rPr>
      </w:pPr>
      <w:r w:rsidRPr="007475B4">
        <w:rPr>
          <w:rFonts w:ascii="Palatino Linotype" w:eastAsia="Calibri" w:hAnsi="Palatino Linotype"/>
          <w:lang w:val="es-MX" w:eastAsia="en-US"/>
        </w:rPr>
        <w:t>Así, una vez establecido que el motivo de inconformidad del Recurrente es</w:t>
      </w:r>
      <w:r w:rsidR="008018C3" w:rsidRPr="007475B4">
        <w:rPr>
          <w:rFonts w:ascii="Palatino Linotype" w:eastAsia="Calibri" w:hAnsi="Palatino Linotype"/>
          <w:lang w:val="es-MX" w:eastAsia="en-US"/>
        </w:rPr>
        <w:t xml:space="preserve"> la </w:t>
      </w:r>
      <w:r w:rsidR="000C35CC">
        <w:rPr>
          <w:rFonts w:ascii="Palatino Linotype" w:eastAsia="Calibri" w:hAnsi="Palatino Linotype"/>
          <w:lang w:val="es-MX" w:eastAsia="en-US"/>
        </w:rPr>
        <w:t>omisión de la entrega</w:t>
      </w:r>
      <w:r w:rsidR="008018C3" w:rsidRPr="007475B4">
        <w:rPr>
          <w:rFonts w:ascii="Palatino Linotype" w:eastAsia="Calibri" w:hAnsi="Palatino Linotype"/>
          <w:lang w:val="es-MX" w:eastAsia="en-US"/>
        </w:rPr>
        <w:t xml:space="preserve"> de información respecto </w:t>
      </w:r>
      <w:proofErr w:type="spellStart"/>
      <w:r w:rsidR="008018C3" w:rsidRPr="007475B4">
        <w:rPr>
          <w:rFonts w:ascii="Palatino Linotype" w:eastAsia="Calibri" w:hAnsi="Palatino Linotype"/>
          <w:lang w:val="es-MX" w:eastAsia="en-US"/>
        </w:rPr>
        <w:t>del</w:t>
      </w:r>
      <w:proofErr w:type="spellEnd"/>
      <w:r w:rsidR="008018C3" w:rsidRPr="007475B4">
        <w:rPr>
          <w:rFonts w:ascii="Palatino Linotype" w:eastAsia="Calibri" w:hAnsi="Palatino Linotype"/>
          <w:lang w:val="es-MX" w:eastAsia="en-US"/>
        </w:rPr>
        <w:t xml:space="preserve"> </w:t>
      </w:r>
      <w:r w:rsidR="000C35CC">
        <w:rPr>
          <w:rFonts w:ascii="Palatino Linotype" w:eastAsia="Calibri" w:hAnsi="Palatino Linotype"/>
          <w:lang w:val="es-MX" w:eastAsia="en-US"/>
        </w:rPr>
        <w:t>l</w:t>
      </w:r>
      <w:r w:rsidR="000C35CC" w:rsidRPr="000C35CC">
        <w:rPr>
          <w:rFonts w:ascii="Palatino Linotype" w:eastAsia="Calibri" w:hAnsi="Palatino Linotype"/>
          <w:lang w:val="es-MX" w:eastAsia="en-US"/>
        </w:rPr>
        <w:t xml:space="preserve">a versión </w:t>
      </w:r>
      <w:proofErr w:type="spellStart"/>
      <w:r w:rsidR="000C35CC" w:rsidRPr="000C35CC">
        <w:rPr>
          <w:rFonts w:ascii="Palatino Linotype" w:eastAsia="Calibri" w:hAnsi="Palatino Linotype"/>
          <w:lang w:val="es-MX" w:eastAsia="en-US"/>
        </w:rPr>
        <w:t>publica</w:t>
      </w:r>
      <w:proofErr w:type="spellEnd"/>
      <w:r w:rsidR="000C35CC" w:rsidRPr="000C35CC">
        <w:rPr>
          <w:rFonts w:ascii="Palatino Linotype" w:eastAsia="Calibri" w:hAnsi="Palatino Linotype"/>
          <w:lang w:val="es-MX" w:eastAsia="en-US"/>
        </w:rPr>
        <w:t xml:space="preserve"> de la audiencia inicial de los expedientes por responsabilidad</w:t>
      </w:r>
      <w:r w:rsidR="000C35CC">
        <w:rPr>
          <w:rFonts w:ascii="Palatino Linotype" w:eastAsia="Calibri" w:hAnsi="Palatino Linotype"/>
          <w:lang w:val="es-MX" w:eastAsia="en-US"/>
        </w:rPr>
        <w:t xml:space="preserve"> administrativa</w:t>
      </w:r>
      <w:r w:rsidR="000C35CC" w:rsidRPr="000C35CC">
        <w:rPr>
          <w:rFonts w:ascii="Palatino Linotype" w:eastAsia="Calibri" w:hAnsi="Palatino Linotype"/>
          <w:lang w:val="es-MX" w:eastAsia="en-US"/>
        </w:rPr>
        <w:t xml:space="preserve"> iniciados por daño a la hacienda pública, </w:t>
      </w:r>
      <w:r w:rsidR="000C35CC">
        <w:rPr>
          <w:rFonts w:ascii="Palatino Linotype" w:eastAsia="Calibri" w:hAnsi="Palatino Linotype"/>
          <w:lang w:val="es-MX" w:eastAsia="en-US"/>
        </w:rPr>
        <w:t xml:space="preserve">así como </w:t>
      </w:r>
      <w:r w:rsidR="000C35CC" w:rsidRPr="000C35CC">
        <w:rPr>
          <w:rFonts w:ascii="Palatino Linotype" w:eastAsia="Calibri" w:hAnsi="Palatino Linotype"/>
          <w:lang w:val="es-MX" w:eastAsia="en-US"/>
        </w:rPr>
        <w:t xml:space="preserve">por la omisión o entrega extemporánea de la </w:t>
      </w:r>
      <w:r w:rsidR="000C35CC">
        <w:rPr>
          <w:rFonts w:ascii="Palatino Linotype" w:eastAsia="Calibri" w:hAnsi="Palatino Linotype"/>
          <w:lang w:val="es-MX" w:eastAsia="en-US"/>
        </w:rPr>
        <w:t>Declaración de Situación Patrimonial y de Intereses</w:t>
      </w:r>
      <w:r w:rsidR="000C35CC" w:rsidRPr="000C35CC">
        <w:rPr>
          <w:rFonts w:ascii="Palatino Linotype" w:eastAsia="Calibri" w:hAnsi="Palatino Linotype"/>
          <w:lang w:val="es-MX" w:eastAsia="en-US"/>
        </w:rPr>
        <w:t xml:space="preserve"> a servidores y </w:t>
      </w:r>
      <w:proofErr w:type="spellStart"/>
      <w:r w:rsidR="000C35CC" w:rsidRPr="000C35CC">
        <w:rPr>
          <w:rFonts w:ascii="Palatino Linotype" w:eastAsia="Calibri" w:hAnsi="Palatino Linotype"/>
          <w:lang w:val="es-MX" w:eastAsia="en-US"/>
        </w:rPr>
        <w:t>exservidores</w:t>
      </w:r>
      <w:proofErr w:type="spellEnd"/>
      <w:r w:rsidR="000C35CC" w:rsidRPr="000C35CC">
        <w:rPr>
          <w:rFonts w:ascii="Palatino Linotype" w:eastAsia="Calibri" w:hAnsi="Palatino Linotype"/>
          <w:lang w:val="es-MX" w:eastAsia="en-US"/>
        </w:rPr>
        <w:t xml:space="preserve"> públicos u otro tipo de faltas administrativas de servidores públicos de los años 2020 y 2021</w:t>
      </w:r>
      <w:r w:rsidRPr="007475B4">
        <w:rPr>
          <w:rFonts w:ascii="Palatino Linotype" w:eastAsia="Calibri" w:hAnsi="Palatino Linotype"/>
          <w:lang w:val="es-MX" w:eastAsia="en-US"/>
        </w:rPr>
        <w:t xml:space="preserve">, se infiere que la </w:t>
      </w:r>
      <w:proofErr w:type="spellStart"/>
      <w:r w:rsidRPr="007475B4">
        <w:rPr>
          <w:rFonts w:ascii="Palatino Linotype" w:eastAsia="Calibri" w:hAnsi="Palatino Linotype"/>
          <w:i/>
          <w:lang w:val="es-MX" w:eastAsia="en-US"/>
        </w:rPr>
        <w:t>litis</w:t>
      </w:r>
      <w:proofErr w:type="spellEnd"/>
      <w:r w:rsidRPr="007475B4">
        <w:rPr>
          <w:rFonts w:ascii="Palatino Linotype" w:eastAsia="Calibri" w:hAnsi="Palatino Linotype"/>
          <w:i/>
          <w:lang w:val="es-MX" w:eastAsia="en-US"/>
        </w:rPr>
        <w:t xml:space="preserve"> </w:t>
      </w:r>
      <w:r w:rsidRPr="007475B4">
        <w:rPr>
          <w:rFonts w:ascii="Palatino Linotype" w:eastAsia="Calibri" w:hAnsi="Palatino Linotype"/>
          <w:lang w:val="es-MX" w:eastAsia="en-US"/>
        </w:rPr>
        <w:t xml:space="preserve">radica en establecer si el Sujeto Obligado entregó lo señalado como documentación faltante. </w:t>
      </w:r>
    </w:p>
    <w:p w14:paraId="133D4282" w14:textId="77777777" w:rsidR="003148B9" w:rsidRPr="007475B4" w:rsidRDefault="003148B9" w:rsidP="003148B9">
      <w:pPr>
        <w:tabs>
          <w:tab w:val="left" w:pos="709"/>
        </w:tabs>
        <w:spacing w:line="360" w:lineRule="auto"/>
        <w:jc w:val="both"/>
        <w:rPr>
          <w:rFonts w:ascii="Palatino Linotype" w:eastAsia="Calibri" w:hAnsi="Palatino Linotype" w:cs="Arial"/>
          <w:lang w:val="es-MX" w:eastAsia="en-US"/>
        </w:rPr>
      </w:pPr>
    </w:p>
    <w:p w14:paraId="302D1FF0" w14:textId="33160144" w:rsidR="003148B9" w:rsidRPr="007475B4" w:rsidRDefault="003148B9" w:rsidP="003148B9">
      <w:pPr>
        <w:tabs>
          <w:tab w:val="left" w:pos="709"/>
        </w:tabs>
        <w:spacing w:line="360" w:lineRule="auto"/>
        <w:jc w:val="both"/>
        <w:rPr>
          <w:rFonts w:ascii="Palatino Linotype" w:eastAsia="Calibri" w:hAnsi="Palatino Linotype" w:cs="Arial"/>
          <w:lang w:val="es-MX" w:eastAsia="en-US"/>
        </w:rPr>
      </w:pPr>
      <w:r w:rsidRPr="007475B4">
        <w:rPr>
          <w:rFonts w:ascii="Palatino Linotype" w:eastAsia="Calibri" w:hAnsi="Palatino Linotype" w:cs="Arial"/>
          <w:lang w:val="es-MX" w:eastAsia="en-US"/>
        </w:rPr>
        <w:t xml:space="preserve">En ese contexto, a efecto de realizar un análisis respecto de si la información otorgada colma lo requerido por la entonces solicitante, es de precisarse que </w:t>
      </w:r>
      <w:r w:rsidRPr="007475B4">
        <w:rPr>
          <w:rFonts w:ascii="Palatino Linotype" w:eastAsia="Calibri" w:hAnsi="Palatino Linotype" w:cs="Arial"/>
          <w:b/>
          <w:lang w:val="es-MX" w:eastAsia="en-US"/>
        </w:rPr>
        <w:t>el Recurrente</w:t>
      </w:r>
      <w:r w:rsidRPr="007475B4">
        <w:rPr>
          <w:rFonts w:ascii="Palatino Linotype" w:eastAsia="Calibri" w:hAnsi="Palatino Linotype" w:cs="Arial"/>
          <w:lang w:val="es-MX" w:eastAsia="en-US"/>
        </w:rPr>
        <w:t xml:space="preserve"> desea conocer específicamente, </w:t>
      </w:r>
      <w:bookmarkStart w:id="5" w:name="_Hlk85133410"/>
      <w:r w:rsidRPr="007475B4">
        <w:rPr>
          <w:rFonts w:ascii="Palatino Linotype" w:eastAsia="Calibri" w:hAnsi="Palatino Linotype" w:cs="Arial"/>
          <w:lang w:val="es-MX" w:eastAsia="en-US"/>
        </w:rPr>
        <w:t xml:space="preserve">del Municipio </w:t>
      </w:r>
      <w:bookmarkEnd w:id="5"/>
      <w:r w:rsidR="000C35CC">
        <w:rPr>
          <w:rFonts w:ascii="Palatino Linotype" w:eastAsia="Calibri" w:hAnsi="Palatino Linotype" w:cs="Arial"/>
          <w:lang w:val="es-MX" w:eastAsia="en-US"/>
        </w:rPr>
        <w:t>de Tepotzotlán</w:t>
      </w:r>
      <w:r w:rsidRPr="007475B4">
        <w:rPr>
          <w:rFonts w:ascii="Palatino Linotype" w:eastAsia="Calibri" w:hAnsi="Palatino Linotype" w:cs="Arial"/>
          <w:lang w:val="es-MX" w:eastAsia="en-US"/>
        </w:rPr>
        <w:t>, el o los documentos en donde conste lo siguiente lo siguiente:</w:t>
      </w:r>
    </w:p>
    <w:p w14:paraId="4E2F0231" w14:textId="77777777" w:rsidR="003148B9" w:rsidRPr="007475B4" w:rsidRDefault="003148B9" w:rsidP="003148B9">
      <w:pPr>
        <w:spacing w:line="360" w:lineRule="auto"/>
        <w:jc w:val="both"/>
        <w:rPr>
          <w:rFonts w:ascii="Palatino Linotype" w:hAnsi="Palatino Linotype"/>
          <w:lang w:val="es-MX"/>
        </w:rPr>
      </w:pPr>
    </w:p>
    <w:p w14:paraId="14D035B8" w14:textId="4BF4BFF4" w:rsidR="003148B9" w:rsidRPr="00490BFE" w:rsidRDefault="000C35CC" w:rsidP="00490BFE">
      <w:pPr>
        <w:numPr>
          <w:ilvl w:val="0"/>
          <w:numId w:val="27"/>
        </w:numPr>
        <w:spacing w:after="240" w:line="259" w:lineRule="auto"/>
        <w:jc w:val="both"/>
        <w:rPr>
          <w:rFonts w:ascii="Palatino Linotype" w:hAnsi="Palatino Linotype"/>
          <w:i/>
        </w:rPr>
      </w:pPr>
      <w:r>
        <w:rPr>
          <w:rFonts w:ascii="Palatino Linotype" w:hAnsi="Palatino Linotype"/>
          <w:i/>
        </w:rPr>
        <w:t>L</w:t>
      </w:r>
      <w:r w:rsidRPr="000C35CC">
        <w:rPr>
          <w:rFonts w:ascii="Palatino Linotype" w:hAnsi="Palatino Linotype"/>
          <w:i/>
        </w:rPr>
        <w:t xml:space="preserve">a versión </w:t>
      </w:r>
      <w:proofErr w:type="spellStart"/>
      <w:r w:rsidRPr="000C35CC">
        <w:rPr>
          <w:rFonts w:ascii="Palatino Linotype" w:hAnsi="Palatino Linotype"/>
          <w:i/>
        </w:rPr>
        <w:t>publica</w:t>
      </w:r>
      <w:proofErr w:type="spellEnd"/>
      <w:r w:rsidRPr="000C35CC">
        <w:rPr>
          <w:rFonts w:ascii="Palatino Linotype" w:hAnsi="Palatino Linotype"/>
          <w:i/>
        </w:rPr>
        <w:t xml:space="preserve"> de la audiencia inicial de los expedientes por responsabilidad administrativa iniciados por daño a la hacienda pública, así como por la omisión o entrega extemporánea de la Declaración de Situación Patrimonial y de Intereses a servidores y </w:t>
      </w:r>
      <w:proofErr w:type="spellStart"/>
      <w:r w:rsidRPr="000C35CC">
        <w:rPr>
          <w:rFonts w:ascii="Palatino Linotype" w:hAnsi="Palatino Linotype"/>
          <w:i/>
        </w:rPr>
        <w:t>exservidores</w:t>
      </w:r>
      <w:proofErr w:type="spellEnd"/>
      <w:r w:rsidRPr="000C35CC">
        <w:rPr>
          <w:rFonts w:ascii="Palatino Linotype" w:hAnsi="Palatino Linotype"/>
          <w:i/>
        </w:rPr>
        <w:t xml:space="preserve"> públicos u otro tipo de faltas administrativas de servidores públicos de los años 2020 y 2021</w:t>
      </w:r>
      <w:r w:rsidR="003148B9" w:rsidRPr="007475B4">
        <w:rPr>
          <w:rFonts w:ascii="Palatino Linotype" w:hAnsi="Palatino Linotype"/>
          <w:i/>
        </w:rPr>
        <w:t>.</w:t>
      </w:r>
    </w:p>
    <w:p w14:paraId="4E8EC9DB" w14:textId="26F42A08" w:rsidR="003C4E5D" w:rsidRDefault="000B0C51" w:rsidP="0081409D">
      <w:pPr>
        <w:spacing w:line="360" w:lineRule="auto"/>
        <w:jc w:val="both"/>
        <w:rPr>
          <w:rFonts w:ascii="Palatino Linotype" w:hAnsi="Palatino Linotype" w:cs="Arial"/>
        </w:rPr>
      </w:pPr>
      <w:r>
        <w:rPr>
          <w:rFonts w:ascii="Palatino Linotype" w:hAnsi="Palatino Linotype" w:cs="Arial"/>
        </w:rPr>
        <w:t>Señalado lo anterior</w:t>
      </w:r>
      <w:r w:rsidR="0081409D" w:rsidRPr="0081409D">
        <w:rPr>
          <w:rFonts w:ascii="Palatino Linotype" w:hAnsi="Palatino Linotype" w:cs="Arial"/>
        </w:rPr>
        <w:t xml:space="preserve">, es conveniente </w:t>
      </w:r>
      <w:r w:rsidR="00490BFE">
        <w:rPr>
          <w:rFonts w:ascii="Palatino Linotype" w:hAnsi="Palatino Linotype" w:cs="Arial"/>
        </w:rPr>
        <w:t>precisar</w:t>
      </w:r>
      <w:r w:rsidR="0081409D" w:rsidRPr="0081409D">
        <w:rPr>
          <w:rFonts w:ascii="Palatino Linotype" w:hAnsi="Palatino Linotype" w:cs="Arial"/>
        </w:rPr>
        <w:t xml:space="preserve"> que</w:t>
      </w:r>
      <w:r>
        <w:rPr>
          <w:rFonts w:ascii="Palatino Linotype" w:hAnsi="Palatino Linotype" w:cs="Arial"/>
        </w:rPr>
        <w:t xml:space="preserve">, mediante </w:t>
      </w:r>
      <w:r w:rsidR="00490BFE">
        <w:rPr>
          <w:rFonts w:ascii="Palatino Linotype" w:hAnsi="Palatino Linotype" w:cs="Arial"/>
        </w:rPr>
        <w:t>informe justificado</w:t>
      </w:r>
      <w:r w:rsidR="0081409D" w:rsidRPr="0081409D">
        <w:rPr>
          <w:rFonts w:ascii="Palatino Linotype" w:hAnsi="Palatino Linotype" w:cs="Arial"/>
        </w:rPr>
        <w:t>,</w:t>
      </w:r>
      <w:r w:rsidR="00490BFE">
        <w:rPr>
          <w:rFonts w:ascii="Palatino Linotype" w:hAnsi="Palatino Linotype" w:cs="Arial"/>
        </w:rPr>
        <w:t xml:space="preserve"> el Sujeto Obligado a través del Contralor Interno Municipal, informó que solo se han generado 17 actas de audiencias iniciales, </w:t>
      </w:r>
      <w:r w:rsidR="003C4E5D">
        <w:rPr>
          <w:rFonts w:ascii="Palatino Linotype" w:hAnsi="Palatino Linotype" w:cs="Arial"/>
        </w:rPr>
        <w:t>como se puede advertir de la imagen que se inserta a continuación:</w:t>
      </w:r>
    </w:p>
    <w:p w14:paraId="401B7C7B" w14:textId="486E28F3" w:rsidR="003C4E5D" w:rsidRDefault="003C4E5D" w:rsidP="00CC4FA2">
      <w:pPr>
        <w:spacing w:line="360" w:lineRule="auto"/>
        <w:jc w:val="center"/>
        <w:rPr>
          <w:rFonts w:ascii="Palatino Linotype" w:hAnsi="Palatino Linotype" w:cs="Arial"/>
        </w:rPr>
      </w:pPr>
      <w:r w:rsidRPr="00490BFE">
        <w:rPr>
          <w:rFonts w:ascii="Palatino Linotype" w:hAnsi="Palatino Linotype" w:cs="Arial"/>
          <w:noProof/>
          <w:lang w:val="es-MX" w:eastAsia="es-MX"/>
        </w:rPr>
        <w:drawing>
          <wp:inline distT="0" distB="0" distL="0" distR="0" wp14:anchorId="6683ED87" wp14:editId="2B150FAC">
            <wp:extent cx="4294654" cy="314102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898" b="6964"/>
                    <a:stretch/>
                  </pic:blipFill>
                  <pic:spPr bwMode="auto">
                    <a:xfrm>
                      <a:off x="0" y="0"/>
                      <a:ext cx="4416647" cy="3230247"/>
                    </a:xfrm>
                    <a:prstGeom prst="rect">
                      <a:avLst/>
                    </a:prstGeom>
                    <a:ln>
                      <a:noFill/>
                    </a:ln>
                    <a:extLst>
                      <a:ext uri="{53640926-AAD7-44D8-BBD7-CCE9431645EC}">
                        <a14:shadowObscured xmlns:a14="http://schemas.microsoft.com/office/drawing/2010/main"/>
                      </a:ext>
                    </a:extLst>
                  </pic:spPr>
                </pic:pic>
              </a:graphicData>
            </a:graphic>
          </wp:inline>
        </w:drawing>
      </w:r>
    </w:p>
    <w:p w14:paraId="030E2EE6" w14:textId="4EF470FE" w:rsidR="002D7098" w:rsidRPr="002D7098" w:rsidRDefault="003C4E5D" w:rsidP="002D7098">
      <w:pPr>
        <w:spacing w:line="360" w:lineRule="auto"/>
        <w:jc w:val="both"/>
        <w:rPr>
          <w:rFonts w:ascii="Palatino Linotype" w:hAnsi="Palatino Linotype" w:cs="Arial"/>
        </w:rPr>
      </w:pPr>
      <w:r>
        <w:rPr>
          <w:rFonts w:ascii="Palatino Linotype" w:hAnsi="Palatino Linotype" w:cs="Arial"/>
        </w:rPr>
        <w:lastRenderedPageBreak/>
        <w:t>De lo anterior, se debe señalar que el Sujeto obligado remitió</w:t>
      </w:r>
      <w:r w:rsidR="00490BFE">
        <w:rPr>
          <w:rFonts w:ascii="Palatino Linotype" w:hAnsi="Palatino Linotype" w:cs="Arial"/>
        </w:rPr>
        <w:t xml:space="preserve"> para tal efecto 4 </w:t>
      </w:r>
      <w:r>
        <w:rPr>
          <w:rFonts w:ascii="Palatino Linotype" w:hAnsi="Palatino Linotype" w:cs="Arial"/>
        </w:rPr>
        <w:t xml:space="preserve">actas de audiencias iniciales </w:t>
      </w:r>
      <w:r w:rsidR="00490BFE">
        <w:rPr>
          <w:rFonts w:ascii="Palatino Linotype" w:hAnsi="Palatino Linotype" w:cs="Arial"/>
        </w:rPr>
        <w:t>en versión pública, testando el nombre del servidor público presunto responsable, sin embargo</w:t>
      </w:r>
      <w:r w:rsidR="0081409D" w:rsidRPr="0081409D">
        <w:rPr>
          <w:rFonts w:ascii="Palatino Linotype" w:hAnsi="Palatino Linotype" w:cs="Arial"/>
        </w:rPr>
        <w:t>,</w:t>
      </w:r>
      <w:r w:rsidR="00490BFE">
        <w:rPr>
          <w:rFonts w:ascii="Palatino Linotype" w:hAnsi="Palatino Linotype" w:cs="Arial"/>
        </w:rPr>
        <w:t xml:space="preserve"> toda vez que no se tiene certeza del estado procesal de los expedientes de los cuales forman parte dichas actas,</w:t>
      </w:r>
      <w:r>
        <w:rPr>
          <w:rFonts w:ascii="Palatino Linotype" w:hAnsi="Palatino Linotype" w:cs="Arial"/>
        </w:rPr>
        <w:t xml:space="preserve"> no fueron puestas a la vista del particular, ello en virtud de que existe la posibilidad de que formen parte de procedimientos de los cuales no se haya causado estado, y por ende, encuadren en el supuesto de información considerada como reservada, por tal motivo,</w:t>
      </w:r>
      <w:r w:rsidR="00490BFE">
        <w:rPr>
          <w:rFonts w:ascii="Palatino Linotype" w:hAnsi="Palatino Linotype" w:cs="Arial"/>
        </w:rPr>
        <w:t xml:space="preserve"> </w:t>
      </w:r>
      <w:r w:rsidR="0081409D" w:rsidRPr="0081409D">
        <w:rPr>
          <w:rFonts w:ascii="Palatino Linotype" w:hAnsi="Palatino Linotype" w:cs="Arial"/>
        </w:rPr>
        <w:t xml:space="preserve"> no colma el derecho de acceso a la información del Recurrente, </w:t>
      </w:r>
      <w:r>
        <w:rPr>
          <w:rFonts w:ascii="Palatino Linotype" w:hAnsi="Palatino Linotype" w:cs="Arial"/>
        </w:rPr>
        <w:t>con base en las siguientes consideraciones de hecho y de derecho:</w:t>
      </w:r>
    </w:p>
    <w:p w14:paraId="5229E167" w14:textId="77777777"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 xml:space="preserve"> </w:t>
      </w:r>
    </w:p>
    <w:p w14:paraId="2BB920EF" w14:textId="77526CE2" w:rsidR="002D7098" w:rsidRPr="002D7098" w:rsidRDefault="002D7098" w:rsidP="002D7098">
      <w:pPr>
        <w:tabs>
          <w:tab w:val="left" w:pos="709"/>
        </w:tabs>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 xml:space="preserve">El artículo 1 de la Ley de Transparencia y Acceso a la Información Pública del Estado de México y Municipios, establece los principios, bases generales y procedimientos para tutelar y garantizar la transparencia y el derecho humano de acceso a la información pública en posesión de los sujetos obligados, así mismo el numeral 3° del mismo ordenamiento legal, define a los sujetos obligados como cualquier autoridad, entidad, órgano y organismo de los Poderes Ejecutivo, Legislativo y Judicial, órganos autónomos, partidos políticos, fideicomisos y fondos públicos estatales y municipales, así como de la administración pública municipal y sus organismos descentralizados o cualquier persona física, jurídico colectiva o sindicato que reciba y ejerza recursos públicos o realice actos de autoridad en el ámbito estatal y municipal, que deba cumplir con las obligaciones previstas en la Ley de Transparencia y Acceso a la Información Pública del Estado de México y Municipios; que en el presente caso es el Ayuntamiento de </w:t>
      </w:r>
      <w:r w:rsidR="00E43ABA">
        <w:rPr>
          <w:rFonts w:ascii="Palatino Linotype" w:eastAsiaTheme="minorHAnsi" w:hAnsi="Palatino Linotype" w:cs="Arial"/>
          <w:lang w:val="es-MX" w:eastAsia="en-US"/>
        </w:rPr>
        <w:t>Tepotzotlán.</w:t>
      </w:r>
    </w:p>
    <w:p w14:paraId="52A46F82" w14:textId="77777777" w:rsidR="002D7098" w:rsidRPr="002D7098" w:rsidRDefault="002D7098" w:rsidP="002D7098">
      <w:pPr>
        <w:tabs>
          <w:tab w:val="left" w:pos="709"/>
        </w:tabs>
        <w:spacing w:line="360" w:lineRule="auto"/>
        <w:jc w:val="both"/>
        <w:rPr>
          <w:rFonts w:ascii="Palatino Linotype" w:eastAsiaTheme="minorHAnsi" w:hAnsi="Palatino Linotype" w:cs="Arial"/>
          <w:lang w:val="es-MX" w:eastAsia="en-US"/>
        </w:rPr>
      </w:pPr>
    </w:p>
    <w:p w14:paraId="0956A632" w14:textId="77777777"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lastRenderedPageBreak/>
        <w:t>Por lo anterior,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w:t>
      </w:r>
    </w:p>
    <w:p w14:paraId="5C328914"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19C1B7F5" w14:textId="77777777"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Respecto a la información reservada, resulta necesario señalar que de conformidad con el artículo 3, fracciones XXIV de la Ley de Transparencia y Acceso a la Información Pública del Estado de México y Municipios, se define de la siguiente manera:</w:t>
      </w:r>
    </w:p>
    <w:p w14:paraId="37BAF6DD" w14:textId="77777777" w:rsidR="002D7098" w:rsidRPr="002D7098" w:rsidRDefault="002D7098" w:rsidP="002D7098">
      <w:pPr>
        <w:spacing w:line="360" w:lineRule="auto"/>
        <w:jc w:val="both"/>
        <w:rPr>
          <w:rFonts w:ascii="Palatino Linotype" w:eastAsiaTheme="minorHAnsi" w:hAnsi="Palatino Linotype" w:cs="Arial"/>
          <w:sz w:val="14"/>
          <w:lang w:val="es-MX" w:eastAsia="en-US"/>
        </w:rPr>
      </w:pPr>
    </w:p>
    <w:p w14:paraId="1A9D535B" w14:textId="77777777" w:rsidR="002D7098" w:rsidRPr="002D7098" w:rsidRDefault="002D7098" w:rsidP="002D7098">
      <w:pPr>
        <w:ind w:left="567" w:right="567"/>
        <w:jc w:val="both"/>
        <w:rPr>
          <w:rFonts w:ascii="Palatino Linotype" w:eastAsiaTheme="minorHAnsi" w:hAnsi="Palatino Linotype" w:cs="Arial"/>
          <w:i/>
          <w:sz w:val="22"/>
          <w:szCs w:val="22"/>
          <w:lang w:val="es-MX" w:eastAsia="en-US"/>
        </w:rPr>
      </w:pPr>
      <w:r w:rsidRPr="002D7098">
        <w:rPr>
          <w:rFonts w:ascii="Palatino Linotype" w:eastAsiaTheme="minorHAnsi" w:hAnsi="Palatino Linotype" w:cs="Arial"/>
          <w:b/>
          <w:i/>
          <w:sz w:val="22"/>
          <w:szCs w:val="22"/>
          <w:lang w:val="es-MX" w:eastAsia="en-US"/>
        </w:rPr>
        <w:t>“…XXIV. Información reservada:</w:t>
      </w:r>
      <w:r w:rsidRPr="002D7098">
        <w:rPr>
          <w:rFonts w:ascii="Palatino Linotype" w:eastAsiaTheme="minorHAnsi" w:hAnsi="Palatino Linotype" w:cs="Arial"/>
          <w:i/>
          <w:sz w:val="22"/>
          <w:szCs w:val="22"/>
          <w:lang w:val="es-MX" w:eastAsia="en-US"/>
        </w:rPr>
        <w:t xml:space="preserve"> La clasificada con este carácter de manera temporal por las disposiciones de esta Ley, cuya divulgación puede causar daño en términos de lo establecido por esta Ley…”</w:t>
      </w:r>
    </w:p>
    <w:p w14:paraId="20938016"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55A57E0B" w14:textId="3028045A" w:rsidR="002D7098" w:rsidRPr="002D7098" w:rsidRDefault="002D7098" w:rsidP="002D7098">
      <w:pPr>
        <w:spacing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lang w:val="es-MX" w:eastAsia="en-US"/>
        </w:rPr>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48E152B9"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072F5E2C" w14:textId="77777777" w:rsidR="002D7098" w:rsidRPr="002D7098" w:rsidRDefault="002D7098" w:rsidP="002D7098">
      <w:pPr>
        <w:spacing w:line="360" w:lineRule="auto"/>
        <w:jc w:val="both"/>
        <w:rPr>
          <w:rFonts w:ascii="Palatino Linotype" w:eastAsia="Calibri" w:hAnsi="Palatino Linotype" w:cs="Arial"/>
        </w:rPr>
      </w:pPr>
      <w:r w:rsidRPr="002D7098">
        <w:rPr>
          <w:rFonts w:ascii="Palatino Linotype" w:eastAsia="Calibri" w:hAnsi="Palatino Linotype" w:cs="Arial"/>
          <w:lang w:eastAsia="es-CO"/>
        </w:rPr>
        <w:lastRenderedPageBreak/>
        <w:t xml:space="preserve">Es así, que respecto a la información clasificada como reservada la </w:t>
      </w:r>
      <w:r w:rsidRPr="002D7098">
        <w:rPr>
          <w:rFonts w:ascii="Palatino Linotype" w:eastAsia="Calibri" w:hAnsi="Palatino Linotype" w:cs="Arial"/>
        </w:rPr>
        <w:t>Ley de Transparencia vigente en nuestra entidad establece en su artículo 140 una serie de hipótesis en las cuales radica la posibilidad de tal clasificación de información, que son:</w:t>
      </w:r>
    </w:p>
    <w:p w14:paraId="3F3C8517"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i/>
          <w:lang w:eastAsia="en-US"/>
        </w:rPr>
        <w:t xml:space="preserve"> </w:t>
      </w:r>
      <w:r w:rsidRPr="002D7098">
        <w:rPr>
          <w:rFonts w:ascii="Palatino Linotype" w:eastAsia="Calibri" w:hAnsi="Palatino Linotype"/>
          <w:i/>
          <w:sz w:val="22"/>
          <w:szCs w:val="22"/>
          <w:lang w:val="es-MX" w:eastAsia="en-US"/>
        </w:rPr>
        <w:t>“</w:t>
      </w:r>
      <w:r w:rsidRPr="002D7098">
        <w:rPr>
          <w:rFonts w:ascii="Palatino Linotype" w:eastAsia="Calibri" w:hAnsi="Palatino Linotype"/>
          <w:b/>
          <w:i/>
          <w:sz w:val="22"/>
          <w:szCs w:val="22"/>
          <w:lang w:eastAsia="en-US"/>
        </w:rPr>
        <w:t>Artículo 140.</w:t>
      </w:r>
      <w:r w:rsidRPr="002D7098">
        <w:rPr>
          <w:rFonts w:ascii="Palatino Linotype" w:eastAsia="Calibri" w:hAnsi="Palatino Linotype"/>
          <w:i/>
          <w:sz w:val="22"/>
          <w:szCs w:val="22"/>
          <w:lang w:eastAsia="en-US"/>
        </w:rPr>
        <w:t xml:space="preserve"> El acceso a la información pública será restringido excepcionalmente, cuando por razones de interés público, ésta sea clasificada como reservada, conforme a los criterios siguientes: </w:t>
      </w:r>
    </w:p>
    <w:p w14:paraId="0FCAABA9"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w:t>
      </w:r>
      <w:r w:rsidRPr="002D7098">
        <w:rPr>
          <w:rFonts w:ascii="Palatino Linotype" w:eastAsia="Calibri" w:hAnsi="Palatino Linotype"/>
          <w:i/>
          <w:sz w:val="22"/>
          <w:szCs w:val="22"/>
          <w:lang w:eastAsia="en-US"/>
        </w:rPr>
        <w:t xml:space="preserve"> Comprometa la seguridad pública y cuente con un propósito genuino y un efecto demostrable; </w:t>
      </w:r>
    </w:p>
    <w:p w14:paraId="6D281FE0"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II.</w:t>
      </w:r>
      <w:r w:rsidRPr="002D7098">
        <w:rPr>
          <w:rFonts w:ascii="Palatino Linotype" w:eastAsia="Calibri" w:hAnsi="Palatino Linotype"/>
          <w:i/>
          <w:sz w:val="22"/>
          <w:szCs w:val="22"/>
          <w:lang w:eastAsia="en-US"/>
        </w:rPr>
        <w:t xml:space="preserve"> Pueda menoscabar la conducción de las negociaciones y relaciones internacionales; </w:t>
      </w:r>
    </w:p>
    <w:p w14:paraId="375BB808"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III.</w:t>
      </w:r>
      <w:r w:rsidRPr="002D7098">
        <w:rPr>
          <w:rFonts w:ascii="Palatino Linotype" w:eastAsia="Calibri" w:hAnsi="Palatino Linotype"/>
          <w:i/>
          <w:sz w:val="22"/>
          <w:szCs w:val="22"/>
          <w:lang w:eastAsia="en-U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4AFD4DC"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IV.</w:t>
      </w:r>
      <w:r w:rsidRPr="002D7098">
        <w:rPr>
          <w:rFonts w:ascii="Palatino Linotype" w:eastAsia="Calibri" w:hAnsi="Palatino Linotype"/>
          <w:i/>
          <w:sz w:val="22"/>
          <w:szCs w:val="22"/>
          <w:lang w:eastAsia="en-US"/>
        </w:rPr>
        <w:t xml:space="preserve"> Ponga en riesgo la vida, la seguridad o la salud de una persona física; </w:t>
      </w:r>
    </w:p>
    <w:p w14:paraId="7885E079"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w:t>
      </w:r>
      <w:r w:rsidRPr="002D7098">
        <w:rPr>
          <w:rFonts w:ascii="Palatino Linotype" w:eastAsia="Calibri" w:hAnsi="Palatino Linotype"/>
          <w:i/>
          <w:sz w:val="22"/>
          <w:szCs w:val="22"/>
          <w:lang w:eastAsia="en-US"/>
        </w:rPr>
        <w:t xml:space="preserve"> Aquella cuya divulgación obstruya o pueda causar un serio perjuicio a: </w:t>
      </w:r>
    </w:p>
    <w:p w14:paraId="43017905"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1.</w:t>
      </w:r>
      <w:r w:rsidRPr="002D7098">
        <w:rPr>
          <w:rFonts w:ascii="Palatino Linotype" w:eastAsia="Calibri" w:hAnsi="Palatino Linotype"/>
          <w:i/>
          <w:sz w:val="22"/>
          <w:szCs w:val="22"/>
          <w:lang w:eastAsia="en-US"/>
        </w:rPr>
        <w:t xml:space="preserve"> Las actividades de fiscalización, verificación, inspección, comprobación y auditoría sobre el cumplimiento de las Leyes; o </w:t>
      </w:r>
    </w:p>
    <w:p w14:paraId="2A8C806C"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2.</w:t>
      </w:r>
      <w:r w:rsidRPr="002D7098">
        <w:rPr>
          <w:rFonts w:ascii="Palatino Linotype" w:eastAsia="Calibri" w:hAnsi="Palatino Linotype"/>
          <w:i/>
          <w:sz w:val="22"/>
          <w:szCs w:val="22"/>
          <w:lang w:eastAsia="en-US"/>
        </w:rPr>
        <w:t xml:space="preserve"> La recaudación de las contribuciones. </w:t>
      </w:r>
    </w:p>
    <w:p w14:paraId="6B276D46"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VI.</w:t>
      </w:r>
      <w:r w:rsidRPr="002D7098">
        <w:rPr>
          <w:rFonts w:ascii="Palatino Linotype" w:eastAsia="Calibri" w:hAnsi="Palatino Linotype"/>
          <w:i/>
          <w:sz w:val="22"/>
          <w:szCs w:val="22"/>
          <w:lang w:eastAsia="en-U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297FF8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VII.</w:t>
      </w:r>
      <w:r w:rsidRPr="002D7098">
        <w:rPr>
          <w:rFonts w:ascii="Palatino Linotype" w:eastAsia="Calibri" w:hAnsi="Palatino Linotype"/>
          <w:i/>
          <w:sz w:val="22"/>
          <w:szCs w:val="22"/>
          <w:lang w:eastAsia="en-US"/>
        </w:rPr>
        <w:t xml:space="preserve"> La que contengan las opiniones, recomendaciones o puntos de vista que formen parte del proceso deliberativo de los servidores públicos, hasta en tanto sea adoptada la decisión definitiva, la cual deberá estar documentada; </w:t>
      </w:r>
    </w:p>
    <w:p w14:paraId="7C33BE6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lastRenderedPageBreak/>
        <w:t>VIII.</w:t>
      </w:r>
      <w:r w:rsidRPr="002D7098">
        <w:rPr>
          <w:rFonts w:ascii="Palatino Linotype" w:eastAsia="Calibri" w:hAnsi="Palatino Linotype"/>
          <w:i/>
          <w:sz w:val="22"/>
          <w:szCs w:val="22"/>
          <w:lang w:eastAsia="en-US"/>
        </w:rPr>
        <w:t xml:space="preserve"> </w:t>
      </w:r>
      <w:r w:rsidRPr="002D7098">
        <w:rPr>
          <w:rFonts w:ascii="Palatino Linotype" w:eastAsia="Calibri" w:hAnsi="Palatino Linotype"/>
          <w:b/>
          <w:bCs/>
          <w:i/>
          <w:sz w:val="22"/>
          <w:szCs w:val="22"/>
          <w:lang w:eastAsia="en-US"/>
        </w:rPr>
        <w:t>Vulnere la conducción de los expedientes judiciales o de los procedimientos administrativos seguidos en forma de juicio, en tanto no hayan quedado firmes</w:t>
      </w:r>
      <w:r w:rsidRPr="002D7098">
        <w:rPr>
          <w:rFonts w:ascii="Palatino Linotype" w:eastAsia="Calibri" w:hAnsi="Palatino Linotype"/>
          <w:i/>
          <w:sz w:val="22"/>
          <w:szCs w:val="22"/>
          <w:lang w:eastAsia="en-US"/>
        </w:rPr>
        <w:t xml:space="preserve">; </w:t>
      </w:r>
    </w:p>
    <w:p w14:paraId="681D659D"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IX.</w:t>
      </w:r>
      <w:r w:rsidRPr="002D7098">
        <w:rPr>
          <w:rFonts w:ascii="Palatino Linotype" w:eastAsia="Calibri" w:hAnsi="Palatino Linotype"/>
          <w:i/>
          <w:sz w:val="22"/>
          <w:szCs w:val="22"/>
          <w:lang w:eastAsia="en-US"/>
        </w:rPr>
        <w:t xml:space="preserve"> Se encuentre contenida dentro de las investigaciones de hechos que la Ley señale como delitos y se tramiten ante el Ministerio Público; </w:t>
      </w:r>
    </w:p>
    <w:p w14:paraId="4AD0285A" w14:textId="77777777" w:rsidR="002D7098" w:rsidRPr="002D7098" w:rsidRDefault="002D7098" w:rsidP="002D7098">
      <w:pPr>
        <w:spacing w:after="120"/>
        <w:ind w:left="851" w:right="851"/>
        <w:jc w:val="both"/>
        <w:rPr>
          <w:rFonts w:ascii="Palatino Linotype" w:eastAsia="Calibri" w:hAnsi="Palatino Linotype"/>
          <w:i/>
          <w:sz w:val="22"/>
          <w:szCs w:val="22"/>
          <w:lang w:eastAsia="en-US"/>
        </w:rPr>
      </w:pPr>
      <w:r w:rsidRPr="002D7098">
        <w:rPr>
          <w:rFonts w:ascii="Palatino Linotype" w:eastAsia="Calibri" w:hAnsi="Palatino Linotype"/>
          <w:b/>
          <w:i/>
          <w:sz w:val="22"/>
          <w:szCs w:val="22"/>
          <w:lang w:eastAsia="en-US"/>
        </w:rPr>
        <w:t>X.</w:t>
      </w:r>
      <w:r w:rsidRPr="002D7098">
        <w:rPr>
          <w:rFonts w:ascii="Palatino Linotype" w:eastAsia="Calibri" w:hAnsi="Palatino Linotype"/>
          <w:i/>
          <w:sz w:val="22"/>
          <w:szCs w:val="22"/>
          <w:lang w:eastAsia="en-US"/>
        </w:rPr>
        <w:t xml:space="preserve"> </w:t>
      </w:r>
      <w:r w:rsidRPr="002D7098">
        <w:rPr>
          <w:rFonts w:ascii="Palatino Linotype" w:eastAsia="Calibri" w:hAnsi="Palatino Linotype"/>
          <w:b/>
          <w:bCs/>
          <w:i/>
          <w:sz w:val="22"/>
          <w:szCs w:val="22"/>
          <w:lang w:eastAsia="en-US"/>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2D7098">
        <w:rPr>
          <w:rFonts w:ascii="Palatino Linotype" w:eastAsia="Calibri" w:hAnsi="Palatino Linotype"/>
          <w:i/>
          <w:sz w:val="22"/>
          <w:szCs w:val="22"/>
          <w:lang w:eastAsia="en-US"/>
        </w:rPr>
        <w:t xml:space="preserve"> </w:t>
      </w:r>
    </w:p>
    <w:p w14:paraId="2EA8E940" w14:textId="77777777" w:rsidR="002D7098" w:rsidRPr="002D7098" w:rsidRDefault="002D7098" w:rsidP="002D7098">
      <w:pPr>
        <w:spacing w:after="120"/>
        <w:ind w:left="851" w:right="851"/>
        <w:jc w:val="both"/>
        <w:rPr>
          <w:rFonts w:ascii="Palatino Linotype" w:eastAsia="Calibri" w:hAnsi="Palatino Linotype"/>
          <w:b/>
          <w:bCs/>
          <w:i/>
          <w:sz w:val="22"/>
          <w:szCs w:val="22"/>
          <w:lang w:eastAsia="en-US"/>
        </w:rPr>
      </w:pPr>
      <w:r w:rsidRPr="002D7098">
        <w:rPr>
          <w:rFonts w:ascii="Palatino Linotype" w:eastAsia="Calibri" w:hAnsi="Palatino Linotype"/>
          <w:b/>
          <w:bCs/>
          <w:i/>
          <w:sz w:val="22"/>
          <w:szCs w:val="22"/>
          <w:lang w:eastAsia="en-U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1090CF3" w14:textId="77777777" w:rsidR="002D7098" w:rsidRPr="002D7098" w:rsidRDefault="002D7098" w:rsidP="002D7098">
      <w:pPr>
        <w:spacing w:after="120"/>
        <w:ind w:left="851" w:right="851"/>
        <w:jc w:val="both"/>
        <w:rPr>
          <w:rFonts w:ascii="Palatino Linotype" w:eastAsia="Calibri" w:hAnsi="Palatino Linotype"/>
          <w:sz w:val="22"/>
          <w:szCs w:val="22"/>
          <w:lang w:val="es-MX" w:eastAsia="en-US"/>
        </w:rPr>
      </w:pPr>
      <w:r w:rsidRPr="002D7098">
        <w:rPr>
          <w:rFonts w:ascii="Palatino Linotype" w:eastAsia="Calibri" w:hAnsi="Palatino Linotype"/>
          <w:b/>
          <w:i/>
          <w:sz w:val="22"/>
          <w:szCs w:val="22"/>
          <w:lang w:eastAsia="en-US"/>
        </w:rPr>
        <w:t>XI.</w:t>
      </w:r>
      <w:r w:rsidRPr="002D7098">
        <w:rPr>
          <w:rFonts w:ascii="Palatino Linotype" w:eastAsia="Calibri" w:hAnsi="Palatino Linotype"/>
          <w:i/>
          <w:sz w:val="22"/>
          <w:szCs w:val="22"/>
          <w:lang w:eastAsia="en-US"/>
        </w:rPr>
        <w:t xml:space="preserve"> Las que por disposición expresa de una ley tengan tal carácter, siempre que sean acordes con las bases, principios y disposiciones establecidos en esta Ley y no la contravengan; así como las previstas en tratados internacionales” (Sic).</w:t>
      </w:r>
    </w:p>
    <w:p w14:paraId="734291CD" w14:textId="77777777" w:rsidR="002D7098" w:rsidRPr="002D7098" w:rsidRDefault="002D7098" w:rsidP="002D7098">
      <w:pPr>
        <w:spacing w:line="360" w:lineRule="auto"/>
        <w:jc w:val="both"/>
        <w:rPr>
          <w:rFonts w:ascii="Palatino Linotype" w:eastAsiaTheme="minorHAnsi" w:hAnsi="Palatino Linotype" w:cstheme="minorBidi"/>
        </w:rPr>
      </w:pPr>
    </w:p>
    <w:p w14:paraId="5BE06945" w14:textId="0505836D" w:rsidR="002D7098" w:rsidRPr="002D7098" w:rsidRDefault="002D7098" w:rsidP="002D7098">
      <w:pPr>
        <w:spacing w:line="360" w:lineRule="auto"/>
        <w:jc w:val="both"/>
        <w:rPr>
          <w:rFonts w:ascii="Palatino Linotype" w:eastAsia="Calibri" w:hAnsi="Palatino Linotype"/>
          <w:lang w:val="es-MX" w:eastAsia="en-US"/>
        </w:rPr>
      </w:pPr>
      <w:r w:rsidRPr="002D7098">
        <w:rPr>
          <w:rFonts w:ascii="Palatino Linotype" w:eastAsiaTheme="minorHAnsi" w:hAnsi="Palatino Linotype" w:cstheme="minorBidi"/>
        </w:rPr>
        <w:t xml:space="preserve">En el presente asunto no es la excepción, </w:t>
      </w:r>
      <w:r w:rsidRPr="002D7098">
        <w:rPr>
          <w:rFonts w:ascii="Palatino Linotype" w:eastAsiaTheme="minorHAnsi" w:hAnsi="Palatino Linotype" w:cstheme="minorBidi"/>
          <w:bCs/>
          <w:lang w:eastAsia="en-US"/>
        </w:rPr>
        <w:t xml:space="preserve">pues la reserva de la información implica una clasificación, la cual debe entenderse como el proceso mediante el cual </w:t>
      </w:r>
      <w:r w:rsidRPr="002D7098">
        <w:rPr>
          <w:rFonts w:ascii="Palatino Linotype" w:eastAsiaTheme="minorHAnsi" w:hAnsi="Palatino Linotype" w:cstheme="minorBidi"/>
          <w:b/>
          <w:bCs/>
          <w:lang w:eastAsia="en-US"/>
        </w:rPr>
        <w:t>El Sujeto Obligado</w:t>
      </w:r>
      <w:r w:rsidRPr="002D7098">
        <w:rPr>
          <w:rFonts w:ascii="Palatino Linotype" w:eastAsiaTheme="minorHAnsi" w:hAnsi="Palatino Linotype" w:cstheme="minorBidi"/>
          <w:bCs/>
          <w:lang w:eastAsia="en-US"/>
        </w:rPr>
        <w:t xml:space="preserve"> determina que la información en su poder actualizar alguno de los supuestos de reserva o confidencialidad</w:t>
      </w:r>
      <w:r w:rsidR="00F83493">
        <w:rPr>
          <w:rFonts w:ascii="Palatino Linotype" w:eastAsia="Calibri" w:hAnsi="Palatino Linotype"/>
          <w:lang w:val="es-MX" w:eastAsia="en-US"/>
        </w:rPr>
        <w:t>.</w:t>
      </w:r>
    </w:p>
    <w:p w14:paraId="4B336963" w14:textId="77777777" w:rsidR="002D7098" w:rsidRPr="002D7098" w:rsidRDefault="002D7098" w:rsidP="002D7098">
      <w:pPr>
        <w:spacing w:line="360" w:lineRule="auto"/>
        <w:jc w:val="both"/>
        <w:rPr>
          <w:rFonts w:ascii="Palatino Linotype" w:eastAsia="Calibri" w:hAnsi="Palatino Linotype"/>
          <w:lang w:val="es-MX" w:eastAsia="en-US"/>
        </w:rPr>
      </w:pPr>
    </w:p>
    <w:p w14:paraId="0E5ED555" w14:textId="08B6A297" w:rsidR="002D7098" w:rsidRPr="002D7098" w:rsidRDefault="002D7098" w:rsidP="002D7098">
      <w:pPr>
        <w:spacing w:line="360" w:lineRule="auto"/>
        <w:jc w:val="both"/>
        <w:rPr>
          <w:rFonts w:ascii="Palatino Linotype" w:eastAsia="Calibri" w:hAnsi="Palatino Linotype" w:cstheme="minorBidi"/>
          <w:lang w:val="es-MX" w:eastAsia="en-US"/>
        </w:rPr>
      </w:pPr>
      <w:r w:rsidRPr="002D7098">
        <w:rPr>
          <w:rFonts w:ascii="Palatino Linotype" w:eastAsiaTheme="minorHAnsi" w:hAnsi="Palatino Linotype" w:cstheme="minorBidi"/>
          <w:color w:val="000000" w:themeColor="text1"/>
          <w:lang w:val="es-MX" w:eastAsia="en-US"/>
        </w:rPr>
        <w:t>Por lo que</w:t>
      </w:r>
      <w:r w:rsidR="00F83493">
        <w:rPr>
          <w:rFonts w:ascii="Palatino Linotype" w:eastAsiaTheme="minorHAnsi" w:hAnsi="Palatino Linotype" w:cstheme="minorBidi"/>
          <w:color w:val="000000" w:themeColor="text1"/>
          <w:lang w:val="es-MX" w:eastAsia="en-US"/>
        </w:rPr>
        <w:t>, para el caso que nos ocupa, siendo la reserva de la información,</w:t>
      </w:r>
      <w:r w:rsidRPr="002D7098">
        <w:rPr>
          <w:rFonts w:ascii="Palatino Linotype" w:eastAsiaTheme="minorHAnsi" w:hAnsi="Palatino Linotype" w:cstheme="minorBidi"/>
          <w:color w:val="000000" w:themeColor="text1"/>
          <w:lang w:val="es-MX" w:eastAsia="en-US"/>
        </w:rPr>
        <w:t xml:space="preserve"> cabe mencionar que de ser el caso el Sujeto Obligado deben </w:t>
      </w:r>
      <w:r w:rsidRPr="002D7098">
        <w:rPr>
          <w:rFonts w:ascii="Palatino Linotype" w:eastAsia="Calibri" w:hAnsi="Palatino Linotype" w:cstheme="minorBidi"/>
          <w:lang w:val="es-MX" w:eastAsia="en-US"/>
        </w:rPr>
        <w:t xml:space="preserve">realizar la prueba de daño correspondiente, de conformidad con lo establecido por el artículo 128, párrafo segundo de la Ley de Transparencia y Acceso a la Información Pública del Estado de México y Municipios, establece que a efecto de motivar la clasificación de información, se debe establecer las razones, motivos o circunstancias especiales que lo llevaron a concluir que el caso encuadra en la descripción de la norma jurídica señala como </w:t>
      </w:r>
      <w:r w:rsidRPr="002D7098">
        <w:rPr>
          <w:rFonts w:ascii="Palatino Linotype" w:eastAsia="Calibri" w:hAnsi="Palatino Linotype" w:cstheme="minorBidi"/>
          <w:lang w:val="es-MX" w:eastAsia="en-US"/>
        </w:rPr>
        <w:lastRenderedPageBreak/>
        <w:t xml:space="preserve">fundamento, aplicando en todo momento una prueba de daño en términos del artículo 129, fracciones I, II y III, 134, párrafo tercero de la Ley de Transparencia y Acceso a la Información Pública del Estado de México y Municipios, vigente, los cuales en lo que interesa son del tenor literal siguiente: </w:t>
      </w:r>
    </w:p>
    <w:p w14:paraId="672AD39A" w14:textId="77777777" w:rsidR="002D7098" w:rsidRPr="002D7098" w:rsidRDefault="002D7098" w:rsidP="002D7098">
      <w:pPr>
        <w:spacing w:line="360" w:lineRule="auto"/>
        <w:jc w:val="both"/>
        <w:rPr>
          <w:rFonts w:ascii="Palatino Linotype" w:eastAsia="Calibri" w:hAnsi="Palatino Linotype" w:cstheme="minorBidi"/>
          <w:sz w:val="32"/>
          <w:lang w:val="es-MX" w:eastAsia="en-US"/>
        </w:rPr>
      </w:pPr>
    </w:p>
    <w:p w14:paraId="71049DD9" w14:textId="77777777" w:rsidR="002D7098" w:rsidRPr="002D7098" w:rsidRDefault="002D7098" w:rsidP="002D7098">
      <w:pPr>
        <w:ind w:left="567" w:right="567"/>
        <w:jc w:val="both"/>
        <w:rPr>
          <w:rFonts w:ascii="Palatino Linotype" w:eastAsiaTheme="minorHAnsi" w:hAnsi="Palatino Linotype" w:cs="Arial"/>
          <w:b/>
          <w:i/>
          <w:sz w:val="22"/>
          <w:lang w:val="es-MX" w:eastAsia="en-US"/>
        </w:rPr>
      </w:pPr>
      <w:r w:rsidRPr="002D7098">
        <w:rPr>
          <w:rFonts w:ascii="Palatino Linotype" w:eastAsiaTheme="minorHAnsi" w:hAnsi="Palatino Linotype" w:cs="Arial"/>
          <w:b/>
          <w:i/>
          <w:sz w:val="22"/>
          <w:lang w:val="es-MX" w:eastAsia="en-US"/>
        </w:rPr>
        <w:t>“Artículo 128…</w:t>
      </w:r>
    </w:p>
    <w:p w14:paraId="5928850B"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0284D08A"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Artículo 129.</w:t>
      </w:r>
      <w:r w:rsidRPr="002D7098">
        <w:rPr>
          <w:rFonts w:ascii="Palatino Linotype" w:eastAsiaTheme="minorHAnsi" w:hAnsi="Palatino Linotype" w:cs="Arial"/>
          <w:i/>
          <w:sz w:val="22"/>
          <w:lang w:val="es-MX" w:eastAsia="en-US"/>
        </w:rPr>
        <w:t xml:space="preserve"> En la aplicación de la prueba de daño, el sujeto obligado deberá precisar las razones objetivas por las que la apertura de la información generaría una afectación, justificando que:</w:t>
      </w:r>
    </w:p>
    <w:p w14:paraId="3C40F3EF"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 xml:space="preserve">I. </w:t>
      </w:r>
      <w:r w:rsidRPr="002D7098">
        <w:rPr>
          <w:rFonts w:ascii="Palatino Linotype" w:eastAsiaTheme="minorHAnsi" w:hAnsi="Palatino Linotype" w:cs="Arial"/>
          <w:i/>
          <w:sz w:val="22"/>
          <w:lang w:val="es-MX" w:eastAsia="en-US"/>
        </w:rPr>
        <w:t>La divulgación de la información representa un riesgo real, demostrable e identificable del perjuicio significativo al interés público o a la seguridad pública;</w:t>
      </w:r>
    </w:p>
    <w:p w14:paraId="22DADB57"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II.</w:t>
      </w:r>
      <w:r w:rsidRPr="002D7098">
        <w:rPr>
          <w:rFonts w:ascii="Palatino Linotype" w:eastAsiaTheme="minorHAnsi" w:hAnsi="Palatino Linotype" w:cs="Arial"/>
          <w:i/>
          <w:sz w:val="22"/>
          <w:lang w:val="es-MX" w:eastAsia="en-US"/>
        </w:rPr>
        <w:t xml:space="preserve"> El riesgo de perjuicio que supondría la divulgación supera el interés público general de que se difunda; y</w:t>
      </w:r>
    </w:p>
    <w:p w14:paraId="411D55F9"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b/>
          <w:i/>
          <w:sz w:val="22"/>
          <w:lang w:val="es-MX" w:eastAsia="en-US"/>
        </w:rPr>
        <w:t>III.</w:t>
      </w:r>
      <w:r w:rsidRPr="002D7098">
        <w:rPr>
          <w:rFonts w:ascii="Palatino Linotype" w:eastAsiaTheme="minorHAnsi" w:hAnsi="Palatino Linotype" w:cs="Arial"/>
          <w:i/>
          <w:sz w:val="22"/>
          <w:lang w:val="es-MX" w:eastAsia="en-US"/>
        </w:rPr>
        <w:t xml:space="preserve"> La limitación se adecua al principio de proporcionalidad y representa el medio menos restrictivo disponible representa el medio menos restrictivo disponible para evitar el perjuicio.</w:t>
      </w:r>
    </w:p>
    <w:p w14:paraId="1D78023B" w14:textId="77777777" w:rsidR="002D7098" w:rsidRPr="002D7098" w:rsidRDefault="002D7098" w:rsidP="002D7098">
      <w:pPr>
        <w:ind w:left="567" w:right="567"/>
        <w:jc w:val="both"/>
        <w:rPr>
          <w:rFonts w:ascii="Palatino Linotype" w:eastAsiaTheme="minorHAnsi" w:hAnsi="Palatino Linotype" w:cs="Arial"/>
          <w:b/>
          <w:i/>
          <w:sz w:val="22"/>
          <w:lang w:val="es-MX" w:eastAsia="en-US"/>
        </w:rPr>
      </w:pPr>
      <w:r w:rsidRPr="002D7098">
        <w:rPr>
          <w:rFonts w:ascii="Palatino Linotype" w:eastAsiaTheme="minorHAnsi" w:hAnsi="Palatino Linotype" w:cs="Arial"/>
          <w:b/>
          <w:i/>
          <w:sz w:val="22"/>
          <w:lang w:val="es-MX" w:eastAsia="en-US"/>
        </w:rPr>
        <w:t>Artículo 134</w:t>
      </w:r>
    </w:p>
    <w:p w14:paraId="1FFA63EF" w14:textId="77777777" w:rsidR="002D7098" w:rsidRPr="002D7098" w:rsidRDefault="002D7098" w:rsidP="002D7098">
      <w:pPr>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w:t>
      </w:r>
    </w:p>
    <w:p w14:paraId="63D87AC6" w14:textId="77777777" w:rsidR="002D7098" w:rsidRPr="002D7098" w:rsidRDefault="002D7098" w:rsidP="002D7098">
      <w:pPr>
        <w:ind w:left="567" w:right="567"/>
        <w:jc w:val="both"/>
        <w:rPr>
          <w:rFonts w:ascii="Palatino Linotype" w:eastAsiaTheme="minorHAnsi" w:hAnsi="Palatino Linotype" w:cs="Arial"/>
          <w:b/>
          <w:bCs/>
          <w:i/>
          <w:sz w:val="22"/>
          <w:lang w:val="es-MX" w:eastAsia="en-US"/>
        </w:rPr>
      </w:pPr>
      <w:r w:rsidRPr="002D7098">
        <w:rPr>
          <w:rFonts w:ascii="Palatino Linotype" w:eastAsiaTheme="minorHAnsi" w:hAnsi="Palatino Linotype" w:cs="Arial"/>
          <w:i/>
          <w:sz w:val="22"/>
          <w:lang w:val="es-MX" w:eastAsia="en-US"/>
        </w:rPr>
        <w:t>La clasificación de información se realizará conforme a un análisis caso por caso, mediante la aplicación de la prueba de daño</w:t>
      </w:r>
      <w:r w:rsidRPr="002D7098">
        <w:rPr>
          <w:rFonts w:ascii="Palatino Linotype" w:eastAsiaTheme="minorHAnsi" w:hAnsi="Palatino Linotype" w:cs="Arial"/>
          <w:b/>
          <w:i/>
          <w:sz w:val="22"/>
          <w:lang w:val="es-MX" w:eastAsia="en-US"/>
        </w:rPr>
        <w:t>”</w:t>
      </w:r>
      <w:r w:rsidRPr="002D7098">
        <w:rPr>
          <w:rFonts w:ascii="Palatino Linotype" w:eastAsiaTheme="minorHAnsi" w:hAnsi="Palatino Linotype" w:cs="Arial"/>
          <w:i/>
          <w:sz w:val="22"/>
          <w:lang w:val="es-MX" w:eastAsia="en-US"/>
        </w:rPr>
        <w:t xml:space="preserve"> (Sic).</w:t>
      </w:r>
    </w:p>
    <w:p w14:paraId="02EAEB8E" w14:textId="77777777" w:rsidR="002D7098" w:rsidRPr="002D7098" w:rsidRDefault="002D7098" w:rsidP="002D7098">
      <w:pPr>
        <w:spacing w:after="240"/>
        <w:jc w:val="center"/>
        <w:rPr>
          <w:rFonts w:ascii="Palatino Linotype" w:eastAsia="Calibri" w:hAnsi="Palatino Linotype" w:cstheme="minorBidi"/>
          <w:lang w:val="es-MX" w:eastAsia="en-US"/>
        </w:rPr>
      </w:pPr>
    </w:p>
    <w:p w14:paraId="095B501A" w14:textId="77777777" w:rsidR="002D7098" w:rsidRPr="002D7098" w:rsidRDefault="002D7098" w:rsidP="002D7098">
      <w:pPr>
        <w:spacing w:line="360" w:lineRule="auto"/>
        <w:jc w:val="both"/>
        <w:rPr>
          <w:rFonts w:ascii="Palatino Linotype" w:eastAsia="Calibri" w:hAnsi="Palatino Linotype" w:cstheme="minorBidi"/>
          <w:lang w:val="es-MX" w:eastAsia="en-US"/>
        </w:rPr>
      </w:pPr>
      <w:r w:rsidRPr="002D7098">
        <w:rPr>
          <w:rFonts w:ascii="Palatino Linotype" w:eastAsia="Calibri" w:hAnsi="Palatino Linotype" w:cstheme="minorBidi"/>
          <w:lang w:val="es-MX" w:eastAsia="en-US"/>
        </w:rPr>
        <w:t xml:space="preserve">Correlativo a lo anterior, la prueba de daño es la argumentación fundada y motivada que deben realizar los sujetos obligados para acreditar que la divulgación de la información lesiona un interés jurídicamente protegido y que el daño que puede producir es mayor que el interés de conocer ésta y su validez, no depende de los medios de prueba que el sujeto obligado aporte, sino de la solidez del juicio de </w:t>
      </w:r>
      <w:r w:rsidRPr="002D7098">
        <w:rPr>
          <w:rFonts w:ascii="Palatino Linotype" w:eastAsia="Calibri" w:hAnsi="Palatino Linotype" w:cstheme="minorBidi"/>
          <w:lang w:val="es-MX" w:eastAsia="en-US"/>
        </w:rPr>
        <w:lastRenderedPageBreak/>
        <w:t xml:space="preserve">ponderación que se efectúe de acuerdo con las normas aplicables, lo anterior tiene sustento en </w:t>
      </w:r>
      <w:r w:rsidRPr="002D7098">
        <w:rPr>
          <w:rFonts w:ascii="Palatino Linotype" w:eastAsia="Calibri" w:hAnsi="Palatino Linotype" w:cs="Arial"/>
        </w:rPr>
        <w:t>la siguiente tesis</w:t>
      </w:r>
      <w:r w:rsidRPr="002D7098">
        <w:rPr>
          <w:rFonts w:ascii="Palatino Linotype" w:eastAsia="Calibri" w:hAnsi="Palatino Linotype" w:cs="Arial"/>
          <w:vertAlign w:val="superscript"/>
        </w:rPr>
        <w:footnoteReference w:id="2"/>
      </w:r>
      <w:r w:rsidRPr="002D7098">
        <w:rPr>
          <w:rFonts w:ascii="Palatino Linotype" w:eastAsia="Calibri" w:hAnsi="Palatino Linotype" w:cs="Arial"/>
        </w:rPr>
        <w:t>:</w:t>
      </w:r>
    </w:p>
    <w:p w14:paraId="0F1C9AB1" w14:textId="77777777" w:rsidR="002D7098" w:rsidRPr="002D7098" w:rsidRDefault="002D7098" w:rsidP="002D7098">
      <w:pPr>
        <w:ind w:left="851" w:right="850"/>
        <w:jc w:val="both"/>
        <w:rPr>
          <w:rFonts w:ascii="Palatino Linotype" w:eastAsiaTheme="minorHAnsi" w:hAnsi="Palatino Linotype" w:cstheme="minorBidi"/>
          <w:i/>
          <w:sz w:val="20"/>
          <w:lang w:val="es-MX" w:eastAsia="en-US"/>
        </w:rPr>
      </w:pPr>
    </w:p>
    <w:p w14:paraId="576726F8" w14:textId="77777777" w:rsidR="002D7098" w:rsidRPr="002D7098" w:rsidRDefault="002D7098" w:rsidP="002D7098">
      <w:pPr>
        <w:ind w:left="851" w:right="850"/>
        <w:jc w:val="both"/>
        <w:rPr>
          <w:rFonts w:ascii="Palatino Linotype" w:eastAsiaTheme="minorHAnsi" w:hAnsi="Palatino Linotype" w:cstheme="minorBidi"/>
          <w:i/>
          <w:sz w:val="8"/>
          <w:lang w:val="es-MX" w:eastAsia="en-US"/>
        </w:rPr>
      </w:pPr>
    </w:p>
    <w:p w14:paraId="2B4EEF45" w14:textId="77777777" w:rsidR="002D7098" w:rsidRPr="002D7098" w:rsidRDefault="002D7098" w:rsidP="002D7098">
      <w:pPr>
        <w:ind w:left="567" w:right="567"/>
        <w:jc w:val="both"/>
        <w:rPr>
          <w:rFonts w:ascii="Palatino Linotype" w:eastAsiaTheme="minorHAnsi" w:hAnsi="Palatino Linotype" w:cs="Arial"/>
          <w:b/>
          <w:bCs/>
          <w:i/>
          <w:sz w:val="22"/>
          <w:lang w:val="es-MX" w:eastAsia="en-US"/>
        </w:rPr>
      </w:pPr>
      <w:r w:rsidRPr="002D7098">
        <w:rPr>
          <w:rFonts w:ascii="Palatino Linotype" w:eastAsiaTheme="minorHAnsi" w:hAnsi="Palatino Linotype" w:cs="Arial"/>
          <w:b/>
          <w:bCs/>
          <w:i/>
          <w:sz w:val="22"/>
          <w:lang w:val="es-MX" w:eastAsia="en-US"/>
        </w:rPr>
        <w:t>“PRUEBA DE DAÑO EN LA CLASIFICACIÓN DE LA INFORMACIÓN PÚBLICA. SU VALIDEZ NO DEPENDE DE LOS MEDIOS DE PRUEBA QUE EL SUJETO OBLIGADO APORTE.</w:t>
      </w:r>
    </w:p>
    <w:p w14:paraId="0E3DECE8" w14:textId="77777777" w:rsidR="002D7098" w:rsidRPr="002D7098" w:rsidRDefault="002D7098" w:rsidP="002D7098">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78B634A7" w14:textId="77777777" w:rsidR="002D7098" w:rsidRPr="002D7098" w:rsidRDefault="002D7098" w:rsidP="002D7098">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DÉCIMO TRIBUNAL COLEGIADO EN MATERIA ADMINISTRATIVA DEL PRIMER CIRCUITO.</w:t>
      </w:r>
    </w:p>
    <w:p w14:paraId="34246108" w14:textId="61882A82" w:rsidR="002D7098" w:rsidRPr="002D7098" w:rsidRDefault="002D7098" w:rsidP="00F83493">
      <w:pPr>
        <w:spacing w:before="240" w:after="160"/>
        <w:ind w:left="567" w:right="567"/>
        <w:jc w:val="both"/>
        <w:rPr>
          <w:rFonts w:ascii="Palatino Linotype" w:eastAsiaTheme="minorHAnsi" w:hAnsi="Palatino Linotype" w:cs="Arial"/>
          <w:i/>
          <w:sz w:val="22"/>
          <w:lang w:val="es-MX" w:eastAsia="en-US"/>
        </w:rPr>
      </w:pPr>
      <w:r w:rsidRPr="002D7098">
        <w:rPr>
          <w:rFonts w:ascii="Palatino Linotype" w:eastAsiaTheme="minorHAnsi" w:hAnsi="Palatino Linotype" w:cs="Arial"/>
          <w:i/>
          <w:sz w:val="22"/>
          <w:lang w:val="es-MX" w:eastAsia="en-US"/>
        </w:rPr>
        <w:t>Amparo en revisión 149/2018. Amanda Ibáñez Molina. 6 de septiembre de 2018. Unanimidad de votos. Ponente: Alfredo Enrique Báez López. Secretario: Roberto César Morales Corona”.</w:t>
      </w:r>
    </w:p>
    <w:p w14:paraId="72AB5090" w14:textId="69816781"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lastRenderedPageBreak/>
        <w:t xml:space="preserve">Ahora bien, resulta importante para esta Ponencia señalar que considerando que la solicitud de información </w:t>
      </w:r>
      <w:r w:rsidR="00E3263B" w:rsidRPr="00E3263B">
        <w:rPr>
          <w:rFonts w:ascii="Palatino Linotype" w:eastAsiaTheme="minorHAnsi" w:hAnsi="Palatino Linotype" w:cs="Arial"/>
          <w:b/>
          <w:szCs w:val="22"/>
          <w:lang w:val="es-MX" w:eastAsia="en-US"/>
        </w:rPr>
        <w:t>00200/TEPOTZOT/IP/2021</w:t>
      </w:r>
      <w:r w:rsidRPr="002D7098">
        <w:rPr>
          <w:rFonts w:ascii="Palatino Linotype" w:eastAsiaTheme="minorHAnsi" w:hAnsi="Palatino Linotype" w:cs="Arial"/>
          <w:b/>
          <w:szCs w:val="22"/>
          <w:lang w:val="es-MX" w:eastAsia="en-US"/>
        </w:rPr>
        <w:t xml:space="preserve">, es </w:t>
      </w:r>
      <w:r w:rsidRPr="002D7098">
        <w:rPr>
          <w:rFonts w:ascii="Palatino Linotype" w:eastAsiaTheme="minorHAnsi" w:hAnsi="Palatino Linotype" w:cs="Arial"/>
          <w:szCs w:val="22"/>
          <w:lang w:val="es-MX" w:eastAsia="en-US"/>
        </w:rPr>
        <w:t>referente a la entrega</w:t>
      </w:r>
      <w:r w:rsidR="00E3263B" w:rsidRPr="00E3263B">
        <w:rPr>
          <w:rFonts w:ascii="Palatino Linotype" w:eastAsiaTheme="minorHAnsi" w:hAnsi="Palatino Linotype" w:cstheme="minorBidi"/>
          <w:lang w:val="es-MX" w:eastAsia="en-US"/>
        </w:rPr>
        <w:t xml:space="preserve"> de la</w:t>
      </w:r>
      <w:r w:rsidR="00E3263B">
        <w:rPr>
          <w:rFonts w:ascii="Palatino Linotype" w:eastAsiaTheme="minorHAnsi" w:hAnsi="Palatino Linotype" w:cstheme="minorBidi"/>
          <w:lang w:val="es-MX" w:eastAsia="en-US"/>
        </w:rPr>
        <w:t>s</w:t>
      </w:r>
      <w:r w:rsidR="00E3263B" w:rsidRPr="00E3263B">
        <w:rPr>
          <w:rFonts w:ascii="Palatino Linotype" w:eastAsiaTheme="minorHAnsi" w:hAnsi="Palatino Linotype" w:cstheme="minorBidi"/>
          <w:lang w:val="es-MX" w:eastAsia="en-US"/>
        </w:rPr>
        <w:t xml:space="preserve"> </w:t>
      </w:r>
      <w:r w:rsidR="00E3263B">
        <w:rPr>
          <w:rFonts w:ascii="Palatino Linotype" w:eastAsiaTheme="minorHAnsi" w:hAnsi="Palatino Linotype" w:cstheme="minorBidi"/>
          <w:lang w:val="es-MX" w:eastAsia="en-US"/>
        </w:rPr>
        <w:t xml:space="preserve">actas de </w:t>
      </w:r>
      <w:r w:rsidR="00E3263B" w:rsidRPr="00E3263B">
        <w:rPr>
          <w:rFonts w:ascii="Palatino Linotype" w:eastAsiaTheme="minorHAnsi" w:hAnsi="Palatino Linotype" w:cstheme="minorBidi"/>
          <w:lang w:val="es-MX" w:eastAsia="en-US"/>
        </w:rPr>
        <w:t>audiencia</w:t>
      </w:r>
      <w:r w:rsidR="00E3263B">
        <w:rPr>
          <w:rFonts w:ascii="Palatino Linotype" w:eastAsiaTheme="minorHAnsi" w:hAnsi="Palatino Linotype" w:cstheme="minorBidi"/>
          <w:lang w:val="es-MX" w:eastAsia="en-US"/>
        </w:rPr>
        <w:t>s</w:t>
      </w:r>
      <w:r w:rsidR="00E3263B" w:rsidRPr="00E3263B">
        <w:rPr>
          <w:rFonts w:ascii="Palatino Linotype" w:eastAsiaTheme="minorHAnsi" w:hAnsi="Palatino Linotype" w:cstheme="minorBidi"/>
          <w:lang w:val="es-MX" w:eastAsia="en-US"/>
        </w:rPr>
        <w:t xml:space="preserve"> inicial</w:t>
      </w:r>
      <w:r w:rsidR="00E3263B">
        <w:rPr>
          <w:rFonts w:ascii="Palatino Linotype" w:eastAsiaTheme="minorHAnsi" w:hAnsi="Palatino Linotype" w:cstheme="minorBidi"/>
          <w:lang w:val="es-MX" w:eastAsia="en-US"/>
        </w:rPr>
        <w:t>es</w:t>
      </w:r>
      <w:r w:rsidR="00E3263B" w:rsidRPr="00E3263B">
        <w:rPr>
          <w:rFonts w:ascii="Palatino Linotype" w:eastAsiaTheme="minorHAnsi" w:hAnsi="Palatino Linotype" w:cstheme="minorBidi"/>
          <w:lang w:val="es-MX" w:eastAsia="en-US"/>
        </w:rPr>
        <w:t xml:space="preserve"> de los expedientes por responsabilidad administrativa iniciados por daño a la hacienda pública, así como por la omisión o entrega extemporánea de la Declaración de Situación Patrimonial y de Intereses </w:t>
      </w:r>
      <w:r w:rsidR="00E3263B">
        <w:rPr>
          <w:rFonts w:ascii="Palatino Linotype" w:eastAsiaTheme="minorHAnsi" w:hAnsi="Palatino Linotype" w:cstheme="minorBidi"/>
          <w:lang w:val="es-MX" w:eastAsia="en-US"/>
        </w:rPr>
        <w:t>de</w:t>
      </w:r>
      <w:r w:rsidR="00E3263B" w:rsidRPr="00E3263B">
        <w:rPr>
          <w:rFonts w:ascii="Palatino Linotype" w:eastAsiaTheme="minorHAnsi" w:hAnsi="Palatino Linotype" w:cstheme="minorBidi"/>
          <w:lang w:val="es-MX" w:eastAsia="en-US"/>
        </w:rPr>
        <w:t xml:space="preserve"> servidores y </w:t>
      </w:r>
      <w:proofErr w:type="spellStart"/>
      <w:r w:rsidR="00E3263B" w:rsidRPr="00E3263B">
        <w:rPr>
          <w:rFonts w:ascii="Palatino Linotype" w:eastAsiaTheme="minorHAnsi" w:hAnsi="Palatino Linotype" w:cstheme="minorBidi"/>
          <w:lang w:val="es-MX" w:eastAsia="en-US"/>
        </w:rPr>
        <w:t>exservidores</w:t>
      </w:r>
      <w:proofErr w:type="spellEnd"/>
      <w:r w:rsidR="00E3263B" w:rsidRPr="00E3263B">
        <w:rPr>
          <w:rFonts w:ascii="Palatino Linotype" w:eastAsiaTheme="minorHAnsi" w:hAnsi="Palatino Linotype" w:cstheme="minorBidi"/>
          <w:lang w:val="es-MX" w:eastAsia="en-US"/>
        </w:rPr>
        <w:t xml:space="preserve"> públicos u otro tipo de faltas administrativas de servidores públicos de los años 2020 y 2021</w:t>
      </w:r>
      <w:r w:rsidRPr="002D7098">
        <w:rPr>
          <w:rFonts w:ascii="Palatino Linotype" w:eastAsiaTheme="minorHAnsi" w:hAnsi="Palatino Linotype" w:cstheme="minorBidi"/>
          <w:lang w:val="es-MX" w:eastAsia="en-US"/>
        </w:rPr>
        <w:t>, resulta necesario realizar las siguientes precisiones respecto al origen y estado en el que pueda</w:t>
      </w:r>
      <w:r w:rsidR="00E3263B">
        <w:rPr>
          <w:rFonts w:ascii="Palatino Linotype" w:eastAsiaTheme="minorHAnsi" w:hAnsi="Palatino Linotype" w:cstheme="minorBidi"/>
          <w:lang w:val="es-MX" w:eastAsia="en-US"/>
        </w:rPr>
        <w:t>n</w:t>
      </w:r>
      <w:r w:rsidRPr="002D7098">
        <w:rPr>
          <w:rFonts w:ascii="Palatino Linotype" w:eastAsiaTheme="minorHAnsi" w:hAnsi="Palatino Linotype" w:cstheme="minorBidi"/>
          <w:lang w:val="es-MX" w:eastAsia="en-US"/>
        </w:rPr>
        <w:t xml:space="preserve"> encontrarse </w:t>
      </w:r>
      <w:r w:rsidR="00E3263B">
        <w:rPr>
          <w:rFonts w:ascii="Palatino Linotype" w:eastAsiaTheme="minorHAnsi" w:hAnsi="Palatino Linotype" w:cstheme="minorBidi"/>
          <w:lang w:val="es-MX" w:eastAsia="en-US"/>
        </w:rPr>
        <w:t>los</w:t>
      </w:r>
      <w:r w:rsidRPr="002D7098">
        <w:rPr>
          <w:rFonts w:ascii="Palatino Linotype" w:eastAsiaTheme="minorHAnsi" w:hAnsi="Palatino Linotype" w:cstheme="minorBidi"/>
          <w:lang w:val="es-MX" w:eastAsia="en-US"/>
        </w:rPr>
        <w:t xml:space="preserve"> procedimientos de responsabilidad administrativa de referencia, por lo que se deberá tomar en cuenta las siguientes consideración para el cumplimiento de la presente resolución.</w:t>
      </w:r>
    </w:p>
    <w:p w14:paraId="313E95C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9055726"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 Con fundamento en los artículos 113 fracción IX de la Ley General Transparencia y Acceso a la Información Pública, Vigésimo Octavo de los Lineamientos Generales en Materia de Clasificación y Desclasificación de la Información y 140 fracción IV y VIII de la Ley de Transparencia y Acceso a la Información Pública del Estado de México y Municipios, el cual prevé como algunos de los criterios de reserva de la información cuando: se obstruya los procedimientos para fincar responsabilidad a los servidores públicos, en tanto no se haya dictado la resolución administrativa correspondiente; cuando afecte o vulnere la conducción o los derechos del debido proceso en los procedimientos administrativos, incluidos los de quejas, denuncias, inconformidades, responsabilidades administrativas y resarcitorias en tanto no hayan quedado firmes o afecte la administración de justicia o la seguridad de un denunciante, querellante o testigo, así como sus familias; se vulnere la conducción de los procedimientos </w:t>
      </w:r>
      <w:r w:rsidRPr="002D7098">
        <w:rPr>
          <w:rFonts w:ascii="Palatino Linotype" w:eastAsiaTheme="minorHAnsi" w:hAnsi="Palatino Linotype" w:cstheme="minorBidi"/>
          <w:lang w:val="es-MX" w:eastAsia="en-US"/>
        </w:rPr>
        <w:lastRenderedPageBreak/>
        <w:t>administrativos seguidos en forma de juicio, en tanto no hayan quedado firmes, disposiciones legales que son del tenor literal siguiente:</w:t>
      </w:r>
    </w:p>
    <w:p w14:paraId="6CED34CE"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630FA12B" w14:textId="77777777" w:rsidR="002D7098" w:rsidRPr="002D7098" w:rsidRDefault="002D7098" w:rsidP="002D7098">
      <w:pPr>
        <w:tabs>
          <w:tab w:val="left" w:pos="709"/>
        </w:tabs>
        <w:jc w:val="center"/>
        <w:rPr>
          <w:rFonts w:ascii="Palatino Linotype" w:eastAsiaTheme="minorHAnsi" w:hAnsi="Palatino Linotype" w:cstheme="minorBidi"/>
          <w:b/>
          <w:i/>
          <w:sz w:val="22"/>
          <w:lang w:val="es-MX" w:eastAsia="en-US"/>
        </w:rPr>
      </w:pPr>
      <w:r w:rsidRPr="002D7098">
        <w:rPr>
          <w:rFonts w:ascii="Palatino Linotype" w:eastAsiaTheme="minorHAnsi" w:hAnsi="Palatino Linotype" w:cstheme="minorBidi"/>
          <w:b/>
          <w:i/>
          <w:sz w:val="22"/>
          <w:lang w:val="es-MX" w:eastAsia="en-US"/>
        </w:rPr>
        <w:t>Ley General Transparencia y Acceso a la Información Pública</w:t>
      </w:r>
    </w:p>
    <w:p w14:paraId="69A6E2D5" w14:textId="77777777" w:rsidR="002D7098" w:rsidRPr="002D7098" w:rsidRDefault="002D7098" w:rsidP="002D7098">
      <w:pPr>
        <w:tabs>
          <w:tab w:val="left" w:pos="709"/>
        </w:tabs>
        <w:jc w:val="center"/>
        <w:rPr>
          <w:rFonts w:ascii="Palatino Linotype" w:eastAsiaTheme="minorHAnsi" w:hAnsi="Palatino Linotype" w:cstheme="minorBidi"/>
          <w:b/>
          <w:i/>
          <w:sz w:val="22"/>
          <w:lang w:val="es-MX" w:eastAsia="en-US"/>
        </w:rPr>
      </w:pPr>
    </w:p>
    <w:p w14:paraId="4258FB04"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113.</w:t>
      </w:r>
      <w:r w:rsidRPr="002D7098">
        <w:rPr>
          <w:rFonts w:ascii="Palatino Linotype" w:eastAsiaTheme="minorHAnsi" w:hAnsi="Palatino Linotype" w:cstheme="minorBidi"/>
          <w:i/>
          <w:sz w:val="22"/>
          <w:szCs w:val="22"/>
          <w:lang w:val="es-MX" w:eastAsia="en-US"/>
        </w:rPr>
        <w:t xml:space="preserve"> Como información reservada podrá clasificarse aquella cuya publicación:</w:t>
      </w:r>
    </w:p>
    <w:p w14:paraId="6AA2A90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w:t>
      </w:r>
    </w:p>
    <w:p w14:paraId="7D3B9D46"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IX.</w:t>
      </w:r>
      <w:r w:rsidRPr="002D7098">
        <w:rPr>
          <w:rFonts w:ascii="Palatino Linotype" w:eastAsiaTheme="minorHAnsi" w:hAnsi="Palatino Linotype" w:cstheme="minorBidi"/>
          <w:i/>
          <w:sz w:val="22"/>
          <w:szCs w:val="22"/>
          <w:lang w:val="es-MX" w:eastAsia="en-US"/>
        </w:rPr>
        <w:t xml:space="preserve"> Obstruya los procedimientos para fincar responsabilidad a los Servidores Públicos, en tanto no se haya dictado la resolución administrativa;</w:t>
      </w:r>
    </w:p>
    <w:p w14:paraId="730D92EB"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8"/>
          <w:szCs w:val="22"/>
          <w:lang w:val="es-MX" w:eastAsia="en-US"/>
        </w:rPr>
      </w:pPr>
    </w:p>
    <w:p w14:paraId="6ACA3163"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Vigésimo Octavo de los Lineamientos Generales en Materia de Clasificación y Desclasificación de la Información</w:t>
      </w:r>
    </w:p>
    <w:p w14:paraId="69D59215" w14:textId="77777777" w:rsidR="002D7098" w:rsidRPr="002D7098" w:rsidRDefault="002D7098" w:rsidP="002D7098">
      <w:pPr>
        <w:tabs>
          <w:tab w:val="left" w:pos="709"/>
        </w:tabs>
        <w:ind w:left="567" w:right="567"/>
        <w:jc w:val="both"/>
        <w:rPr>
          <w:rFonts w:ascii="Palatino Linotype" w:eastAsiaTheme="minorHAnsi" w:hAnsi="Palatino Linotype" w:cstheme="minorBidi"/>
          <w:sz w:val="22"/>
          <w:szCs w:val="22"/>
          <w:lang w:val="es-MX" w:eastAsia="en-US"/>
        </w:rPr>
      </w:pPr>
    </w:p>
    <w:p w14:paraId="415217D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Vigésimo octavo.</w:t>
      </w:r>
      <w:r w:rsidRPr="002D7098">
        <w:rPr>
          <w:rFonts w:ascii="Palatino Linotype" w:eastAsiaTheme="minorHAnsi" w:hAnsi="Palatino Linotype" w:cstheme="minorBidi"/>
          <w:i/>
          <w:sz w:val="22"/>
          <w:szCs w:val="22"/>
          <w:lang w:val="es-MX" w:eastAsia="en-US"/>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569F97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w:t>
      </w:r>
      <w:r w:rsidRPr="002D7098">
        <w:rPr>
          <w:rFonts w:ascii="Palatino Linotype" w:eastAsiaTheme="minorHAnsi" w:hAnsi="Palatino Linotype" w:cstheme="minorBidi"/>
          <w:i/>
          <w:sz w:val="22"/>
          <w:szCs w:val="22"/>
          <w:lang w:val="es-MX" w:eastAsia="en-US"/>
        </w:rPr>
        <w:t xml:space="preserve">        La existencia de un procedimiento de responsabilidad administrativa en trámite, y</w:t>
      </w:r>
    </w:p>
    <w:p w14:paraId="4D92FF1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II.</w:t>
      </w:r>
      <w:r w:rsidRPr="002D7098">
        <w:rPr>
          <w:rFonts w:ascii="Palatino Linotype" w:eastAsiaTheme="minorHAnsi" w:hAnsi="Palatino Linotype" w:cstheme="minorBidi"/>
          <w:i/>
          <w:sz w:val="22"/>
          <w:szCs w:val="22"/>
          <w:lang w:val="es-MX" w:eastAsia="en-US"/>
        </w:rPr>
        <w:t xml:space="preserve">       Que la información se refiera a actuaciones, diligencias y constancias propias del procedimiento de responsabilidad.</w:t>
      </w:r>
    </w:p>
    <w:p w14:paraId="1B5151E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8"/>
          <w:szCs w:val="22"/>
          <w:lang w:val="es-MX" w:eastAsia="en-US"/>
        </w:rPr>
      </w:pPr>
    </w:p>
    <w:p w14:paraId="19BED884"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sz w:val="22"/>
          <w:szCs w:val="22"/>
          <w:lang w:val="es-MX" w:eastAsia="en-US"/>
        </w:rPr>
        <w:t>Ley de Transparencia y Acceso a la Información Pública del Estado de México y Municipios</w:t>
      </w:r>
    </w:p>
    <w:p w14:paraId="49850722" w14:textId="77777777" w:rsidR="002D7098" w:rsidRPr="002D7098" w:rsidRDefault="002D7098" w:rsidP="002D7098">
      <w:pPr>
        <w:tabs>
          <w:tab w:val="left" w:pos="709"/>
        </w:tabs>
        <w:ind w:left="567" w:right="567"/>
        <w:jc w:val="both"/>
        <w:rPr>
          <w:rFonts w:asciiTheme="minorHAnsi" w:eastAsiaTheme="minorHAnsi" w:hAnsiTheme="minorHAnsi" w:cstheme="minorBidi"/>
          <w:sz w:val="22"/>
          <w:szCs w:val="22"/>
          <w:lang w:val="es-MX" w:eastAsia="en-US"/>
        </w:rPr>
      </w:pPr>
    </w:p>
    <w:p w14:paraId="0F6F92A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140.</w:t>
      </w:r>
      <w:r w:rsidRPr="002D7098">
        <w:rPr>
          <w:rFonts w:ascii="Palatino Linotype" w:eastAsiaTheme="minorHAnsi" w:hAnsi="Palatino Linotype" w:cstheme="minorBidi"/>
          <w:i/>
          <w:sz w:val="22"/>
          <w:szCs w:val="22"/>
          <w:lang w:val="es-MX" w:eastAsia="en-US"/>
        </w:rPr>
        <w:t xml:space="preserve"> El acceso a la información pública será restringido excepcionalmente, cuando por razones de interés público, ésta sea clasificada como reservada, conforme a los criterios siguientes:</w:t>
      </w:r>
    </w:p>
    <w:p w14:paraId="4658AD7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w:t>
      </w:r>
    </w:p>
    <w:p w14:paraId="5304521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67CD8F8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IV.</w:t>
      </w:r>
      <w:r w:rsidRPr="002D7098">
        <w:rPr>
          <w:rFonts w:ascii="Palatino Linotype" w:eastAsiaTheme="minorHAnsi" w:hAnsi="Palatino Linotype" w:cstheme="minorBidi"/>
          <w:i/>
          <w:sz w:val="22"/>
          <w:szCs w:val="22"/>
          <w:lang w:val="es-MX" w:eastAsia="en-US"/>
        </w:rPr>
        <w:t xml:space="preserve"> Ponga en riesgo la vida, la seguridad o la salud de una persona física;</w:t>
      </w:r>
    </w:p>
    <w:p w14:paraId="5408D63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w:t>
      </w:r>
    </w:p>
    <w:p w14:paraId="720F969B" w14:textId="77777777" w:rsidR="002D7098" w:rsidRPr="002D7098" w:rsidRDefault="002D7098" w:rsidP="002D7098">
      <w:pPr>
        <w:tabs>
          <w:tab w:val="left" w:pos="709"/>
        </w:tabs>
        <w:ind w:left="567" w:right="567"/>
        <w:jc w:val="both"/>
        <w:rPr>
          <w:rFonts w:ascii="Palatino Linotype" w:eastAsiaTheme="minorHAnsi" w:hAnsi="Palatino Linotype" w:cstheme="minorBidi"/>
          <w:sz w:val="32"/>
          <w:lang w:val="es-MX" w:eastAsia="en-US"/>
        </w:rPr>
      </w:pPr>
      <w:r w:rsidRPr="002D7098">
        <w:rPr>
          <w:rFonts w:ascii="Palatino Linotype" w:eastAsiaTheme="minorHAnsi" w:hAnsi="Palatino Linotype" w:cstheme="minorBidi"/>
          <w:b/>
          <w:i/>
          <w:sz w:val="22"/>
          <w:szCs w:val="22"/>
          <w:lang w:val="es-MX" w:eastAsia="en-US"/>
        </w:rPr>
        <w:t>VIII.</w:t>
      </w:r>
      <w:r w:rsidRPr="002D7098">
        <w:rPr>
          <w:rFonts w:ascii="Palatino Linotype" w:eastAsiaTheme="minorHAnsi" w:hAnsi="Palatino Linotype" w:cstheme="minorBidi"/>
          <w:i/>
          <w:sz w:val="22"/>
          <w:szCs w:val="22"/>
          <w:lang w:val="es-MX" w:eastAsia="en-US"/>
        </w:rPr>
        <w:t xml:space="preserve"> Vulnere la conducción de los expedientes judiciales o de los procedimientos administrativos seguidos en forma de juicio, en tanto no hayan quedado firmes;</w:t>
      </w:r>
      <w:r w:rsidRPr="002D7098">
        <w:rPr>
          <w:rFonts w:ascii="Palatino Linotype" w:eastAsiaTheme="minorHAnsi" w:hAnsi="Palatino Linotype" w:cstheme="minorBidi"/>
          <w:i/>
          <w:sz w:val="22"/>
          <w:szCs w:val="22"/>
          <w:lang w:val="es-MX" w:eastAsia="en-US"/>
        </w:rPr>
        <w:cr/>
      </w:r>
    </w:p>
    <w:p w14:paraId="5B11BE34" w14:textId="000AD4D9"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lastRenderedPageBreak/>
        <w:t>En tal contexto, en el presente asunto la información requerida</w:t>
      </w:r>
      <w:r w:rsidR="002C3329">
        <w:rPr>
          <w:rFonts w:ascii="Palatino Linotype" w:eastAsiaTheme="minorHAnsi" w:hAnsi="Palatino Linotype" w:cstheme="minorBidi"/>
          <w:lang w:val="es-MX" w:eastAsia="en-US"/>
        </w:rPr>
        <w:t xml:space="preserve"> correspondiente a </w:t>
      </w:r>
      <w:r w:rsidRPr="002D7098">
        <w:rPr>
          <w:rFonts w:ascii="Palatino Linotype" w:eastAsiaTheme="minorHAnsi" w:hAnsi="Palatino Linotype" w:cstheme="minorBidi"/>
          <w:lang w:val="es-MX" w:eastAsia="en-US"/>
        </w:rPr>
        <w:t xml:space="preserve"> </w:t>
      </w:r>
      <w:r w:rsidR="006A6797">
        <w:rPr>
          <w:rFonts w:ascii="Palatino Linotype" w:eastAsiaTheme="minorHAnsi" w:hAnsi="Palatino Linotype" w:cstheme="minorBidi"/>
          <w:lang w:val="es-MX" w:eastAsia="en-US"/>
        </w:rPr>
        <w:t>las actas de</w:t>
      </w:r>
      <w:r w:rsidR="002C3329" w:rsidRPr="002C3329">
        <w:rPr>
          <w:rFonts w:ascii="Palatino Linotype" w:eastAsiaTheme="minorHAnsi" w:hAnsi="Palatino Linotype" w:cstheme="minorBidi"/>
          <w:lang w:val="es-MX" w:eastAsia="en-US"/>
        </w:rPr>
        <w:t xml:space="preserve"> audiencia inicial de los expedientes por responsabilidad administrativa iniciados por daño a la hacienda pública, así como por la omisión o entrega extemporánea de la Declaración de Situación Patrimonial y de Intereses a servidores y </w:t>
      </w:r>
      <w:proofErr w:type="spellStart"/>
      <w:r w:rsidR="002C3329" w:rsidRPr="002C3329">
        <w:rPr>
          <w:rFonts w:ascii="Palatino Linotype" w:eastAsiaTheme="minorHAnsi" w:hAnsi="Palatino Linotype" w:cstheme="minorBidi"/>
          <w:lang w:val="es-MX" w:eastAsia="en-US"/>
        </w:rPr>
        <w:t>exservidores</w:t>
      </w:r>
      <w:proofErr w:type="spellEnd"/>
      <w:r w:rsidR="002C3329" w:rsidRPr="002C3329">
        <w:rPr>
          <w:rFonts w:ascii="Palatino Linotype" w:eastAsiaTheme="minorHAnsi" w:hAnsi="Palatino Linotype" w:cstheme="minorBidi"/>
          <w:lang w:val="es-MX" w:eastAsia="en-US"/>
        </w:rPr>
        <w:t xml:space="preserve"> públicos u otro tipo de faltas administrativas de servidores públicos de los años 2020 y 2021</w:t>
      </w:r>
      <w:r w:rsidRPr="002D7098">
        <w:rPr>
          <w:rFonts w:ascii="Palatino Linotype" w:eastAsiaTheme="minorHAnsi" w:hAnsi="Palatino Linotype" w:cs="Arial"/>
          <w:b/>
          <w:szCs w:val="22"/>
          <w:lang w:val="es-MX" w:eastAsia="en-US"/>
        </w:rPr>
        <w:t>,</w:t>
      </w:r>
      <w:r w:rsidRPr="002D7098">
        <w:rPr>
          <w:rFonts w:ascii="Palatino Linotype" w:eastAsiaTheme="minorHAnsi" w:hAnsi="Palatino Linotype" w:cstheme="minorBidi"/>
          <w:lang w:val="es-MX" w:eastAsia="en-US"/>
        </w:rPr>
        <w:t xml:space="preserve"> colma los extremos establecidos en los preceptos de referencia toda vez que se trata de</w:t>
      </w:r>
      <w:r w:rsidR="006A6797">
        <w:rPr>
          <w:rFonts w:ascii="Palatino Linotype" w:eastAsiaTheme="minorHAnsi" w:hAnsi="Palatino Linotype" w:cstheme="minorBidi"/>
          <w:lang w:val="es-MX" w:eastAsia="en-US"/>
        </w:rPr>
        <w:t xml:space="preserve"> documentos inmersos en expedientes formados con motivo de</w:t>
      </w:r>
      <w:r w:rsidRPr="002D7098">
        <w:rPr>
          <w:rFonts w:ascii="Palatino Linotype" w:eastAsiaTheme="minorHAnsi" w:hAnsi="Palatino Linotype" w:cstheme="minorBidi"/>
          <w:lang w:val="es-MX" w:eastAsia="en-US"/>
        </w:rPr>
        <w:t xml:space="preserve"> procedimiento</w:t>
      </w:r>
      <w:r w:rsidR="006A6797">
        <w:rPr>
          <w:rFonts w:ascii="Palatino Linotype" w:eastAsiaTheme="minorHAnsi" w:hAnsi="Palatino Linotype" w:cstheme="minorBidi"/>
          <w:lang w:val="es-MX" w:eastAsia="en-US"/>
        </w:rPr>
        <w:t>s</w:t>
      </w:r>
      <w:r w:rsidRPr="002D7098">
        <w:rPr>
          <w:rFonts w:ascii="Palatino Linotype" w:eastAsiaTheme="minorHAnsi" w:hAnsi="Palatino Linotype" w:cstheme="minorBidi"/>
          <w:lang w:val="es-MX" w:eastAsia="en-US"/>
        </w:rPr>
        <w:t xml:space="preserve"> de responsabilidad administrativa</w:t>
      </w:r>
      <w:r w:rsidR="006A6797">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w:t>
      </w:r>
      <w:r w:rsidR="006A6797">
        <w:rPr>
          <w:rFonts w:ascii="Palatino Linotype" w:eastAsiaTheme="minorHAnsi" w:hAnsi="Palatino Linotype" w:cstheme="minorBidi"/>
          <w:lang w:val="es-MX" w:eastAsia="en-US"/>
        </w:rPr>
        <w:t>los</w:t>
      </w:r>
      <w:r w:rsidRPr="002D7098">
        <w:rPr>
          <w:rFonts w:ascii="Palatino Linotype" w:eastAsiaTheme="minorHAnsi" w:hAnsi="Palatino Linotype" w:cstheme="minorBidi"/>
          <w:lang w:val="es-MX" w:eastAsia="en-US"/>
        </w:rPr>
        <w:t xml:space="preserve"> cual</w:t>
      </w:r>
      <w:r w:rsidR="006A6797">
        <w:rPr>
          <w:rFonts w:ascii="Palatino Linotype" w:eastAsiaTheme="minorHAnsi" w:hAnsi="Palatino Linotype" w:cstheme="minorBidi"/>
          <w:lang w:val="es-MX" w:eastAsia="en-US"/>
        </w:rPr>
        <w:t>es</w:t>
      </w:r>
      <w:r w:rsidRPr="002D7098">
        <w:rPr>
          <w:rFonts w:ascii="Palatino Linotype" w:eastAsiaTheme="minorHAnsi" w:hAnsi="Palatino Linotype" w:cstheme="minorBidi"/>
          <w:lang w:val="es-MX" w:eastAsia="en-US"/>
        </w:rPr>
        <w:t xml:space="preserve"> se encuentra</w:t>
      </w:r>
      <w:r w:rsidR="006A6797">
        <w:rPr>
          <w:rFonts w:ascii="Palatino Linotype" w:eastAsiaTheme="minorHAnsi" w:hAnsi="Palatino Linotype" w:cstheme="minorBidi"/>
          <w:lang w:val="es-MX" w:eastAsia="en-US"/>
        </w:rPr>
        <w:t>n</w:t>
      </w:r>
      <w:r w:rsidRPr="002D7098">
        <w:rPr>
          <w:rFonts w:ascii="Palatino Linotype" w:eastAsiaTheme="minorHAnsi" w:hAnsi="Palatino Linotype" w:cstheme="minorBidi"/>
          <w:lang w:val="es-MX" w:eastAsia="en-US"/>
        </w:rPr>
        <w:t xml:space="preserve"> previsto</w:t>
      </w:r>
      <w:r w:rsidR="006A6797">
        <w:rPr>
          <w:rFonts w:ascii="Palatino Linotype" w:eastAsiaTheme="minorHAnsi" w:hAnsi="Palatino Linotype" w:cstheme="minorBidi"/>
          <w:lang w:val="es-MX" w:eastAsia="en-US"/>
        </w:rPr>
        <w:t>s</w:t>
      </w:r>
      <w:r w:rsidRPr="002D7098">
        <w:rPr>
          <w:rFonts w:ascii="Palatino Linotype" w:eastAsiaTheme="minorHAnsi" w:hAnsi="Palatino Linotype" w:cstheme="minorBidi"/>
          <w:lang w:val="es-MX" w:eastAsia="en-US"/>
        </w:rPr>
        <w:t xml:space="preserve"> en la Ley de Responsabilidades Administrativas del Estado de México, y la cual tiene su naturaleza en el derecho administrativo, entendiéndose desde el inicio de la investigación correspondiente y hasta antes del dictado de la resolución del procedimiento, en tal contexto </w:t>
      </w:r>
      <w:r w:rsidRPr="002D7098">
        <w:rPr>
          <w:rFonts w:ascii="Palatino Linotype" w:eastAsiaTheme="minorHAnsi" w:hAnsi="Palatino Linotype" w:cstheme="minorBidi"/>
          <w:b/>
          <w:lang w:val="es-MX" w:eastAsia="en-US"/>
        </w:rPr>
        <w:t xml:space="preserve">si el expediente que contiene el procedimiento de responsabilidad administrativa actualiza la hipótesis normativa señalada anteriormente debe ser considerado como información reservada, </w:t>
      </w:r>
      <w:r w:rsidRPr="002D7098">
        <w:rPr>
          <w:rFonts w:ascii="Palatino Linotype" w:eastAsiaTheme="minorHAnsi" w:hAnsi="Palatino Linotype" w:cstheme="minorBidi"/>
          <w:lang w:val="es-MX" w:eastAsia="en-US"/>
        </w:rPr>
        <w:t xml:space="preserve">previa cumplimiento de todas y cada una de las formalidades establecidas para su clasificación, </w:t>
      </w:r>
      <w:r w:rsidRPr="002D7098">
        <w:rPr>
          <w:rFonts w:ascii="Palatino Linotype" w:eastAsiaTheme="minorHAnsi" w:hAnsi="Palatino Linotype" w:cstheme="minorBidi"/>
          <w:b/>
          <w:lang w:val="es-MX" w:eastAsia="en-US"/>
        </w:rPr>
        <w:t xml:space="preserve">lo anterior resulta aplicable tanto a las investigaciones o procedimientos de responsabilidad administrativa originado por faltas administrativas no graves y las graves </w:t>
      </w:r>
      <w:r w:rsidRPr="002D7098">
        <w:rPr>
          <w:rFonts w:ascii="Palatino Linotype" w:eastAsiaTheme="minorHAnsi" w:hAnsi="Palatino Linotype" w:cs="Arial"/>
          <w:szCs w:val="22"/>
          <w:lang w:val="es-MX" w:eastAsia="en-US"/>
        </w:rPr>
        <w:t>siempre que se encuentre en trámite.</w:t>
      </w:r>
      <w:r w:rsidRPr="002D7098">
        <w:rPr>
          <w:rFonts w:ascii="Palatino Linotype" w:eastAsiaTheme="minorHAnsi" w:hAnsi="Palatino Linotype" w:cstheme="minorBidi"/>
          <w:lang w:val="es-MX" w:eastAsia="en-US"/>
        </w:rPr>
        <w:t xml:space="preserve"> </w:t>
      </w:r>
    </w:p>
    <w:p w14:paraId="52BAC182"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619E724A" w14:textId="5021F092" w:rsidR="002D7098" w:rsidRPr="002D7098" w:rsidRDefault="002D7098" w:rsidP="002D7098">
      <w:pPr>
        <w:tabs>
          <w:tab w:val="left" w:pos="709"/>
        </w:tabs>
        <w:spacing w:line="360" w:lineRule="auto"/>
        <w:jc w:val="both"/>
        <w:rPr>
          <w:rFonts w:ascii="Palatino Linotype" w:eastAsia="Calibri" w:hAnsi="Palatino Linotype" w:cs="Tahoma"/>
          <w:bCs/>
          <w:lang w:val="es-MX" w:eastAsia="en-US"/>
        </w:rPr>
      </w:pPr>
      <w:r w:rsidRPr="002D7098">
        <w:rPr>
          <w:rFonts w:ascii="Palatino Linotype" w:eastAsiaTheme="minorHAnsi" w:hAnsi="Palatino Linotype" w:cstheme="minorBidi"/>
          <w:lang w:val="es-MX" w:eastAsia="en-US"/>
        </w:rPr>
        <w:t>En suma a lo anterior, no se omite señalar que</w:t>
      </w:r>
      <w:r w:rsidR="007949E4">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es criterio del Pleno del máximo Tribunal que</w:t>
      </w:r>
      <w:r w:rsidR="007949E4">
        <w:rPr>
          <w:rFonts w:ascii="Palatino Linotype" w:eastAsiaTheme="minorHAnsi" w:hAnsi="Palatino Linotype" w:cstheme="minorBidi"/>
          <w:lang w:val="es-MX" w:eastAsia="en-US"/>
        </w:rPr>
        <w:t>,</w:t>
      </w:r>
      <w:r w:rsidRPr="002D7098">
        <w:rPr>
          <w:rFonts w:ascii="Palatino Linotype" w:eastAsiaTheme="minorHAnsi" w:hAnsi="Palatino Linotype" w:cstheme="minorBidi"/>
          <w:lang w:val="es-MX" w:eastAsia="en-US"/>
        </w:rPr>
        <w:t xml:space="preserve"> </w:t>
      </w:r>
      <w:r w:rsidRPr="002D7098">
        <w:rPr>
          <w:rFonts w:ascii="Palatino Linotype" w:eastAsia="Calibri" w:hAnsi="Palatino Linotype" w:cs="Tahoma"/>
          <w:bCs/>
          <w:lang w:val="es-MX" w:eastAsia="en-US"/>
        </w:rPr>
        <w:t xml:space="preserve">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w:t>
      </w:r>
      <w:r w:rsidRPr="002D7098">
        <w:rPr>
          <w:rFonts w:ascii="Palatino Linotype" w:eastAsia="Calibri" w:hAnsi="Palatino Linotype" w:cs="Tahoma"/>
          <w:bCs/>
          <w:lang w:val="es-MX" w:eastAsia="en-US"/>
        </w:rPr>
        <w:lastRenderedPageBreak/>
        <w:t>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16936776" w14:textId="77777777" w:rsidR="002D7098" w:rsidRPr="002D7098" w:rsidRDefault="002D7098" w:rsidP="002D7098">
      <w:pPr>
        <w:tabs>
          <w:tab w:val="left" w:pos="709"/>
        </w:tabs>
        <w:spacing w:line="360" w:lineRule="auto"/>
        <w:jc w:val="both"/>
        <w:rPr>
          <w:rFonts w:ascii="Palatino Linotype" w:eastAsia="Calibri" w:hAnsi="Palatino Linotype" w:cs="Tahoma"/>
          <w:bCs/>
          <w:lang w:val="es-MX" w:eastAsia="en-US"/>
        </w:rPr>
      </w:pPr>
    </w:p>
    <w:p w14:paraId="2FF4E6E5" w14:textId="77777777" w:rsidR="002D7098" w:rsidRPr="002D7098" w:rsidRDefault="002D7098" w:rsidP="002D7098">
      <w:pPr>
        <w:tabs>
          <w:tab w:val="left" w:pos="709"/>
        </w:tabs>
        <w:ind w:left="567" w:right="567"/>
        <w:jc w:val="both"/>
        <w:rPr>
          <w:rFonts w:ascii="Palatino Linotype" w:eastAsia="Calibri" w:hAnsi="Palatino Linotype" w:cs="Tahoma"/>
          <w:b/>
          <w:i/>
          <w:sz w:val="22"/>
          <w:szCs w:val="22"/>
          <w:lang w:val="es-MX" w:eastAsia="en-US"/>
        </w:rPr>
      </w:pPr>
      <w:r w:rsidRPr="002D7098">
        <w:rPr>
          <w:rFonts w:ascii="Palatino Linotype" w:eastAsia="Calibri" w:hAnsi="Palatino Linotype" w:cs="Tahoma"/>
          <w:b/>
          <w:i/>
          <w:sz w:val="22"/>
          <w:szCs w:val="22"/>
          <w:lang w:val="es-MX" w:eastAsia="en-US"/>
        </w:rPr>
        <w:t>PRESUNCIÓN DE INOCENCIA. ESTE PRINCIPIO ES APLICABLE AL PROCEDIMIENTO ADMINISTRATIVO SANCIONADOR, CON MATICES O MODULACIONES.</w:t>
      </w:r>
    </w:p>
    <w:p w14:paraId="614AAE8A"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0916CBB0"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 xml:space="preserve">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w:t>
      </w:r>
      <w:r w:rsidRPr="002D7098">
        <w:rPr>
          <w:rFonts w:ascii="Palatino Linotype" w:eastAsia="Calibri" w:hAnsi="Palatino Linotype" w:cs="Tahoma"/>
          <w:bCs/>
          <w:i/>
          <w:sz w:val="22"/>
          <w:szCs w:val="22"/>
          <w:lang w:val="es-MX" w:eastAsia="en-US"/>
        </w:rPr>
        <w:lastRenderedPageBreak/>
        <w:t>cuya consecuencia procesal, entre otras, es desplazar la carga de la prueba a la autoridad, en atención al derecho al debido proceso.</w:t>
      </w:r>
    </w:p>
    <w:p w14:paraId="4A90D37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310D3C5F"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63D1CE91"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 xml:space="preserve">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w:t>
      </w:r>
      <w:proofErr w:type="spellStart"/>
      <w:r w:rsidRPr="002D7098">
        <w:rPr>
          <w:rFonts w:ascii="Palatino Linotype" w:eastAsia="Calibri" w:hAnsi="Palatino Linotype" w:cs="Tahoma"/>
          <w:bCs/>
          <w:i/>
          <w:sz w:val="22"/>
          <w:szCs w:val="22"/>
          <w:lang w:val="es-MX" w:eastAsia="en-US"/>
        </w:rPr>
        <w:t>Dayán</w:t>
      </w:r>
      <w:proofErr w:type="spellEnd"/>
      <w:r w:rsidRPr="002D7098">
        <w:rPr>
          <w:rFonts w:ascii="Palatino Linotype" w:eastAsia="Calibri" w:hAnsi="Palatino Linotype" w:cs="Tahoma"/>
          <w:bCs/>
          <w:i/>
          <w:sz w:val="22"/>
          <w:szCs w:val="22"/>
          <w:lang w:val="es-MX" w:eastAsia="en-US"/>
        </w:rPr>
        <w:t>. Ponente: Olga Sánchez Cordero de García Villegas. Secretario: Octavio Joel Flores Díaz.</w:t>
      </w:r>
    </w:p>
    <w:p w14:paraId="02EE8A83"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14448468"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239841D5"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y/o criterios contendientes:</w:t>
      </w:r>
    </w:p>
    <w:p w14:paraId="23224DC4"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760E135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150816B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725B5F5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36655AAF"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6954A98A"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6FF8F549"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 xml:space="preserve">Tesis 2a. XCI/2012 (10a.), de rubro: "PRESUNCIÓN DE INOCENCIA. NO ES UN PRINCIPIO APLICABLE EN EL PROCEDIMIENTO ADMINISTRATIVO </w:t>
      </w:r>
      <w:r w:rsidRPr="002D7098">
        <w:rPr>
          <w:rFonts w:ascii="Palatino Linotype" w:eastAsia="Calibri" w:hAnsi="Palatino Linotype" w:cs="Tahoma"/>
          <w:bCs/>
          <w:i/>
          <w:sz w:val="22"/>
          <w:szCs w:val="22"/>
          <w:lang w:val="es-MX" w:eastAsia="en-US"/>
        </w:rPr>
        <w:lastRenderedPageBreak/>
        <w:t>SANCIONADOR.", aprobada por la Segunda Sala de la Suprema Corte de Justicia de la Nación, y publicada en el Semanario Judicial de la Federación y su Gaceta, Décima Época, Libro XVI, Tomo 2, enero de 2013, página 1688.</w:t>
      </w:r>
    </w:p>
    <w:p w14:paraId="3CE6EFC6"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02895B5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El Tribunal Pleno, el veintiséis de mayo en curso, aprobó, con el número 43/2014 (10a.), la tesis jurisprudencial que antecede. México, Distrito Federal, a veintiséis de mayo de dos mil catorce.</w:t>
      </w:r>
    </w:p>
    <w:p w14:paraId="6A810AD7"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7389C0D5"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06B79D59"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4D1C1D7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p>
    <w:p w14:paraId="4AA28E82" w14:textId="77777777" w:rsidR="002D7098" w:rsidRPr="002D7098" w:rsidRDefault="002D7098" w:rsidP="002D7098">
      <w:pPr>
        <w:tabs>
          <w:tab w:val="left" w:pos="709"/>
        </w:tabs>
        <w:ind w:left="567" w:right="567"/>
        <w:jc w:val="both"/>
        <w:rPr>
          <w:rFonts w:ascii="Palatino Linotype" w:eastAsia="Calibri" w:hAnsi="Palatino Linotype" w:cs="Tahoma"/>
          <w:bCs/>
          <w:i/>
          <w:sz w:val="22"/>
          <w:szCs w:val="22"/>
          <w:lang w:val="es-MX" w:eastAsia="en-US"/>
        </w:rPr>
      </w:pPr>
      <w:r w:rsidRPr="002D7098">
        <w:rPr>
          <w:rFonts w:ascii="Palatino Linotype" w:eastAsia="Calibri" w:hAnsi="Palatino Linotype" w:cs="Tahoma"/>
          <w:bCs/>
          <w:i/>
          <w:sz w:val="22"/>
          <w:szCs w:val="22"/>
          <w:lang w:val="es-MX" w:eastAsia="en-US"/>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5941E0E0" w14:textId="77777777" w:rsidR="002D7098" w:rsidRPr="002D7098" w:rsidRDefault="002D7098" w:rsidP="002D7098">
      <w:pPr>
        <w:tabs>
          <w:tab w:val="left" w:pos="709"/>
        </w:tabs>
        <w:ind w:left="567" w:right="567"/>
        <w:jc w:val="both"/>
        <w:rPr>
          <w:rFonts w:ascii="Palatino Linotype" w:eastAsia="Calibri" w:hAnsi="Palatino Linotype" w:cs="Tahoma"/>
          <w:bCs/>
          <w:i/>
          <w:sz w:val="28"/>
          <w:szCs w:val="22"/>
          <w:lang w:val="es-MX" w:eastAsia="en-US"/>
        </w:rPr>
      </w:pPr>
    </w:p>
    <w:p w14:paraId="4F5CCE6F"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w:t>
      </w:r>
      <w:r w:rsidRPr="002D7098">
        <w:rPr>
          <w:rFonts w:ascii="Palatino Linotype" w:eastAsiaTheme="minorHAnsi" w:hAnsi="Palatino Linotype" w:cstheme="minorBidi"/>
          <w:sz w:val="22"/>
          <w:szCs w:val="22"/>
          <w:lang w:val="es-MX" w:eastAsia="en-US"/>
        </w:rPr>
        <w:t>delitos de lesa humanidad</w:t>
      </w:r>
      <w:r w:rsidRPr="002D7098">
        <w:rPr>
          <w:rFonts w:asciiTheme="minorHAnsi" w:eastAsiaTheme="minorHAnsi" w:hAnsiTheme="minorHAnsi" w:cstheme="minorBidi"/>
          <w:sz w:val="22"/>
          <w:szCs w:val="22"/>
          <w:lang w:val="es-MX" w:eastAsia="en-US"/>
        </w:rPr>
        <w:t xml:space="preserve"> </w:t>
      </w:r>
      <w:r w:rsidRPr="002D7098">
        <w:rPr>
          <w:rFonts w:ascii="Palatino Linotype" w:eastAsiaTheme="minorHAnsi" w:hAnsi="Palatino Linotype" w:cstheme="minorBidi"/>
          <w:lang w:val="es-MX" w:eastAsia="en-US"/>
        </w:rPr>
        <w:t>o actos de corrupción, preceptos legales que establecen lo siguiente:</w:t>
      </w:r>
    </w:p>
    <w:p w14:paraId="3668691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5E947F5B" w14:textId="77777777" w:rsidR="002D7098" w:rsidRPr="002D7098" w:rsidRDefault="002D7098" w:rsidP="002D7098">
      <w:pPr>
        <w:tabs>
          <w:tab w:val="left" w:pos="709"/>
        </w:tabs>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Transparencia y Acceso a la Información Pública</w:t>
      </w:r>
    </w:p>
    <w:p w14:paraId="01E6A466"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115.</w:t>
      </w:r>
      <w:r w:rsidRPr="002D7098">
        <w:rPr>
          <w:rFonts w:ascii="Palatino Linotype" w:eastAsiaTheme="minorHAnsi" w:hAnsi="Palatino Linotype" w:cstheme="minorBidi"/>
          <w:i/>
          <w:sz w:val="22"/>
          <w:szCs w:val="22"/>
          <w:lang w:val="es-MX" w:eastAsia="en-US"/>
        </w:rPr>
        <w:t xml:space="preserve"> No podrá invocarse el carácter de reservado cuando:</w:t>
      </w:r>
    </w:p>
    <w:p w14:paraId="083D847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 o delitos de lesa humanidad, o</w:t>
      </w:r>
    </w:p>
    <w:p w14:paraId="3B0FB7E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información relacionada con actos de corrupción de acuerdo con las leyes aplicables.</w:t>
      </w:r>
    </w:p>
    <w:p w14:paraId="650EEE4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08D6F9E6"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lastRenderedPageBreak/>
        <w:t>Ley de Transparencia y Acceso a la Información Pública del Estado de México y Municipios</w:t>
      </w:r>
    </w:p>
    <w:p w14:paraId="3A3DAE9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Artículo 142. Bajo ninguna circunstancia podrá invocarse el carácter de reservado cuando:</w:t>
      </w:r>
    </w:p>
    <w:p w14:paraId="6B5ECB7D"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 calificada así por autoridad competente;</w:t>
      </w:r>
    </w:p>
    <w:p w14:paraId="2EB159F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64D4632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2ED42AF"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IV. Se trate de información relacionada con actos de corrupción de conformidad con las disposiciones jurídicas aplicables.</w:t>
      </w:r>
    </w:p>
    <w:p w14:paraId="23241A2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3B0C1732"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color w:val="2F2F2F"/>
          <w:sz w:val="22"/>
          <w:szCs w:val="22"/>
          <w:shd w:val="clear" w:color="auto" w:fill="FFFFFF"/>
          <w:lang w:val="es-MX" w:eastAsia="en-US"/>
        </w:rPr>
        <w:t>LINEAMIENTOS GENERALES EN MATERIA DE CLASIFICACIÓN Y DESCLASIFICACIÓN DE LA INFORMACIÓN, ASÍ COMO PARA LA ELABORACIÓN DE VERSIONES PÚBLICAS.</w:t>
      </w:r>
    </w:p>
    <w:p w14:paraId="59E2A88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Trigésimo séptimo. No podrá invocarse el carácter de reservado de la información cuando:</w:t>
      </w:r>
    </w:p>
    <w:p w14:paraId="67679123"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        Se trate de violaciones graves de derechos humanos;</w:t>
      </w:r>
    </w:p>
    <w:p w14:paraId="0B37ECF8"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7B8AA63B"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111811DC"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6371D21A" w14:textId="77777777" w:rsidR="002D7098" w:rsidRPr="002D7098" w:rsidRDefault="002D7098" w:rsidP="002D7098">
      <w:pPr>
        <w:tabs>
          <w:tab w:val="left" w:pos="709"/>
        </w:tabs>
        <w:spacing w:line="360" w:lineRule="auto"/>
        <w:ind w:right="567"/>
        <w:jc w:val="both"/>
        <w:rPr>
          <w:rFonts w:ascii="Palatino Linotype" w:eastAsiaTheme="minorHAnsi" w:hAnsi="Palatino Linotype" w:cstheme="minorBidi"/>
          <w:i/>
          <w:sz w:val="22"/>
          <w:szCs w:val="22"/>
          <w:lang w:val="es-MX" w:eastAsia="en-US"/>
        </w:rPr>
      </w:pPr>
    </w:p>
    <w:p w14:paraId="20961D9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Al respecto, derivado de la excepción establecida en los preceptos legales antes citados, resulta oportuno mencionar que en tal supuesto, esta ponencia considera que si la </w:t>
      </w:r>
      <w:r w:rsidRPr="002D7098">
        <w:rPr>
          <w:rFonts w:ascii="Palatino Linotype" w:eastAsiaTheme="minorHAnsi" w:hAnsi="Palatino Linotype" w:cstheme="minorBidi"/>
          <w:lang w:val="es-MX" w:eastAsia="en-US"/>
        </w:rPr>
        <w:lastRenderedPageBreak/>
        <w:t xml:space="preserve">información del 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415058FA"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2723F4B" w14:textId="2CDA79F9" w:rsidR="002D7098" w:rsidRPr="002D7098" w:rsidRDefault="00266747" w:rsidP="002D7098">
      <w:pPr>
        <w:tabs>
          <w:tab w:val="left" w:pos="709"/>
        </w:tabs>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Asimismo</w:t>
      </w:r>
      <w:r w:rsidR="002D7098" w:rsidRPr="002D7098">
        <w:rPr>
          <w:rFonts w:ascii="Palatino Linotype" w:eastAsiaTheme="minorHAnsi" w:hAnsi="Palatino Linotype" w:cstheme="minorBidi"/>
          <w:lang w:val="es-MX" w:eastAsia="en-US"/>
        </w:rPr>
        <w:t>,</w:t>
      </w:r>
      <w:r w:rsidR="002D7098" w:rsidRPr="002D7098">
        <w:rPr>
          <w:rFonts w:ascii="Palatino Linotype" w:eastAsiaTheme="minorHAnsi" w:hAnsi="Palatino Linotype" w:cstheme="minorBidi"/>
          <w:b/>
          <w:lang w:val="es-MX" w:eastAsia="en-US"/>
        </w:rPr>
        <w:t xml:space="preserve"> </w:t>
      </w:r>
      <w:r w:rsidR="002D7098" w:rsidRPr="002D7098">
        <w:rPr>
          <w:rFonts w:ascii="Palatino Linotype" w:eastAsiaTheme="minorHAnsi" w:hAnsi="Palatino Linotype" w:cstheme="minorBidi"/>
          <w:lang w:val="es-MX" w:eastAsia="en-US"/>
        </w:rPr>
        <w:t>con</w:t>
      </w:r>
      <w:r w:rsidR="002D7098" w:rsidRPr="002D7098">
        <w:rPr>
          <w:rFonts w:ascii="Palatino Linotype" w:eastAsiaTheme="minorHAnsi" w:hAnsi="Palatino Linotype" w:cstheme="minorBidi"/>
          <w:b/>
          <w:lang w:val="es-MX" w:eastAsia="en-US"/>
        </w:rPr>
        <w:t xml:space="preserve"> </w:t>
      </w:r>
      <w:r w:rsidR="002D7098" w:rsidRPr="002D7098">
        <w:rPr>
          <w:rFonts w:ascii="Palatino Linotype" w:eastAsiaTheme="minorHAnsi" w:hAnsi="Palatino Linotype" w:cstheme="minorBidi"/>
          <w:lang w:val="es-MX" w:eastAsia="en-US"/>
        </w:rPr>
        <w:t>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w:t>
      </w:r>
      <w:r>
        <w:rPr>
          <w:rFonts w:ascii="Palatino Linotype" w:eastAsiaTheme="minorHAnsi" w:hAnsi="Palatino Linotype" w:cstheme="minorBidi"/>
          <w:lang w:val="es-MX" w:eastAsia="en-US"/>
        </w:rPr>
        <w:t>,</w:t>
      </w:r>
      <w:r w:rsidR="002D7098" w:rsidRPr="002D7098">
        <w:rPr>
          <w:rFonts w:ascii="Palatino Linotype" w:eastAsiaTheme="minorHAnsi" w:hAnsi="Palatino Linotype" w:cstheme="minorBidi"/>
          <w:lang w:val="es-MX" w:eastAsia="en-US"/>
        </w:rPr>
        <w:t xml:space="preserve">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w:t>
      </w:r>
      <w:r w:rsidR="002D7098" w:rsidRPr="002D7098">
        <w:rPr>
          <w:rFonts w:ascii="Palatino Linotype" w:eastAsiaTheme="minorHAnsi" w:hAnsi="Palatino Linotype" w:cstheme="minorBidi"/>
          <w:lang w:val="es-MX" w:eastAsia="en-US"/>
        </w:rPr>
        <w:lastRenderedPageBreak/>
        <w:t>administrativas definitivas, especificando la causa de sanción, disposiciones legales que son del tenor literal siguiente:</w:t>
      </w:r>
    </w:p>
    <w:p w14:paraId="33F2FD3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BE9AA3C"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del Sistema Nacional Anticorrupción.</w:t>
      </w:r>
    </w:p>
    <w:p w14:paraId="1E34858F"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53.</w:t>
      </w:r>
      <w:r w:rsidRPr="002D7098">
        <w:rPr>
          <w:rFonts w:ascii="Palatino Linotype" w:eastAsiaTheme="minorHAnsi" w:hAnsi="Palatino Linotype" w:cstheme="minorBidi"/>
          <w:i/>
          <w:sz w:val="22"/>
          <w:szCs w:val="22"/>
          <w:lang w:val="es-MX" w:eastAsia="en-US"/>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5FF4768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074AA28"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Responsabilidades Administrativas.</w:t>
      </w:r>
    </w:p>
    <w:p w14:paraId="56B09D71"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“27…</w:t>
      </w:r>
    </w:p>
    <w:p w14:paraId="5094DAE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i/>
          <w:sz w:val="22"/>
          <w:szCs w:val="22"/>
          <w:lang w:val="es-MX" w:eastAsia="en-US"/>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799DD9FA"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8"/>
          <w:lang w:val="es-MX" w:eastAsia="en-US"/>
        </w:rPr>
      </w:pPr>
    </w:p>
    <w:p w14:paraId="37C04FC5" w14:textId="77777777" w:rsidR="002D7098" w:rsidRPr="002D7098" w:rsidRDefault="002D7098" w:rsidP="002D7098">
      <w:pPr>
        <w:tabs>
          <w:tab w:val="left" w:pos="709"/>
        </w:tabs>
        <w:ind w:left="567" w:right="567"/>
        <w:jc w:val="center"/>
        <w:rPr>
          <w:rFonts w:ascii="Palatino Linotype" w:eastAsiaTheme="minorHAnsi" w:hAnsi="Palatino Linotype" w:cstheme="minorBidi"/>
          <w:b/>
          <w:i/>
          <w:lang w:val="es-MX" w:eastAsia="en-US"/>
        </w:rPr>
      </w:pPr>
      <w:r w:rsidRPr="002D7098">
        <w:rPr>
          <w:rFonts w:ascii="Palatino Linotype" w:eastAsiaTheme="minorHAnsi" w:hAnsi="Palatino Linotype" w:cstheme="minorBidi"/>
          <w:b/>
          <w:i/>
          <w:lang w:val="es-MX" w:eastAsia="en-US"/>
        </w:rPr>
        <w:t>Ley del Sistema Anticorrupción del Estado de México</w:t>
      </w:r>
    </w:p>
    <w:p w14:paraId="67C10D75"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 xml:space="preserve">“Artículo 53. </w:t>
      </w:r>
      <w:r w:rsidRPr="002D7098">
        <w:rPr>
          <w:rFonts w:ascii="Palatino Linotype" w:eastAsiaTheme="minorHAnsi" w:hAnsi="Palatino Linotype" w:cstheme="minorBidi"/>
          <w:i/>
          <w:sz w:val="22"/>
          <w:szCs w:val="22"/>
          <w:lang w:val="es-MX" w:eastAsia="en-US"/>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2D7098">
        <w:rPr>
          <w:rFonts w:ascii="Palatino Linotype" w:eastAsiaTheme="minorHAnsi" w:hAnsi="Palatino Linotype" w:cstheme="minorBidi"/>
          <w:b/>
          <w:i/>
          <w:sz w:val="22"/>
          <w:szCs w:val="22"/>
          <w:lang w:val="es-MX" w:eastAsia="en-US"/>
        </w:rPr>
        <w:t>”.</w:t>
      </w:r>
    </w:p>
    <w:p w14:paraId="742E39FC"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p>
    <w:p w14:paraId="2C737BBF"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Transparencia y Acceso a la Información Pública.</w:t>
      </w:r>
    </w:p>
    <w:p w14:paraId="655F2A5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70.</w:t>
      </w:r>
      <w:r w:rsidRPr="002D7098">
        <w:rPr>
          <w:rFonts w:ascii="Palatino Linotype" w:eastAsiaTheme="minorHAnsi" w:hAnsi="Palatino Linotype" w:cstheme="minorBidi"/>
          <w:i/>
          <w:sz w:val="22"/>
          <w:szCs w:val="22"/>
          <w:lang w:val="es-MX" w:eastAsia="en-U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EE78720"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w:t>
      </w:r>
    </w:p>
    <w:p w14:paraId="6337895A"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XVII.</w:t>
      </w:r>
      <w:r w:rsidRPr="002D7098">
        <w:rPr>
          <w:rFonts w:ascii="Palatino Linotype" w:eastAsiaTheme="minorHAnsi" w:hAnsi="Palatino Linotype" w:cstheme="minorBidi"/>
          <w:i/>
          <w:sz w:val="22"/>
          <w:szCs w:val="22"/>
          <w:lang w:val="es-MX" w:eastAsia="en-US"/>
        </w:rPr>
        <w:t xml:space="preserve"> La información curricular, desde el nivel de jefe de departamento o equivalente, hasta el titular del sujeto obligado, así como, en su caso, las sanciones administrativas de que haya sido objeto;</w:t>
      </w:r>
    </w:p>
    <w:p w14:paraId="649D1A69"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lastRenderedPageBreak/>
        <w:t>XVIII.</w:t>
      </w:r>
      <w:r w:rsidRPr="002D7098">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7A0B0A61"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149A1C15" w14:textId="77777777" w:rsidR="002D7098" w:rsidRPr="002D7098" w:rsidRDefault="002D7098" w:rsidP="002D7098">
      <w:pPr>
        <w:tabs>
          <w:tab w:val="left" w:pos="709"/>
        </w:tabs>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de Transparencia y Acceso a la Información Pública del Estado de México y Municipios.</w:t>
      </w:r>
    </w:p>
    <w:p w14:paraId="77341A6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Artículo 92.</w:t>
      </w:r>
      <w:r w:rsidRPr="002D7098">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E509C1" w14:textId="77777777" w:rsidR="002D7098" w:rsidRPr="002D7098" w:rsidRDefault="002D7098" w:rsidP="002D7098">
      <w:pPr>
        <w:tabs>
          <w:tab w:val="left" w:pos="709"/>
        </w:tabs>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w:t>
      </w:r>
    </w:p>
    <w:p w14:paraId="01B3F72D"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r w:rsidRPr="002D7098">
        <w:rPr>
          <w:rFonts w:ascii="Palatino Linotype" w:eastAsiaTheme="minorHAnsi" w:hAnsi="Palatino Linotype" w:cstheme="minorBidi"/>
          <w:b/>
          <w:i/>
          <w:sz w:val="22"/>
          <w:szCs w:val="22"/>
          <w:lang w:val="es-MX" w:eastAsia="en-US"/>
        </w:rPr>
        <w:t>XXII.</w:t>
      </w:r>
      <w:r w:rsidRPr="002D7098">
        <w:rPr>
          <w:rFonts w:ascii="Palatino Linotype" w:eastAsiaTheme="minorHAnsi" w:hAnsi="Palatino Linotype" w:cstheme="minorBidi"/>
          <w:i/>
          <w:sz w:val="22"/>
          <w:szCs w:val="22"/>
          <w:lang w:val="es-MX" w:eastAsia="en-US"/>
        </w:rPr>
        <w:t xml:space="preserve"> El listado de Servidores Públicos con sanciones administrativas definitivas, especificando la causa de sanción y la disposición;</w:t>
      </w:r>
    </w:p>
    <w:p w14:paraId="701E2674"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4FB61752"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17A973D7" w14:textId="77777777" w:rsidR="002D7098" w:rsidRPr="002D7098" w:rsidRDefault="002D7098" w:rsidP="002D7098">
      <w:pPr>
        <w:tabs>
          <w:tab w:val="left" w:pos="709"/>
        </w:tabs>
        <w:ind w:left="567" w:right="567"/>
        <w:jc w:val="both"/>
        <w:rPr>
          <w:rFonts w:ascii="Palatino Linotype" w:eastAsiaTheme="minorHAnsi" w:hAnsi="Palatino Linotype" w:cstheme="minorBidi"/>
          <w:i/>
          <w:sz w:val="22"/>
          <w:szCs w:val="22"/>
          <w:lang w:val="es-MX" w:eastAsia="en-US"/>
        </w:rPr>
      </w:pPr>
    </w:p>
    <w:p w14:paraId="5ACDCAC8" w14:textId="78055B63" w:rsidR="002D7098" w:rsidRPr="009F375A" w:rsidRDefault="002D7098" w:rsidP="002D7098">
      <w:pPr>
        <w:tabs>
          <w:tab w:val="left" w:pos="709"/>
        </w:tabs>
        <w:spacing w:line="360" w:lineRule="auto"/>
        <w:jc w:val="both"/>
        <w:rPr>
          <w:rFonts w:ascii="Palatino Linotype" w:eastAsiaTheme="minorHAnsi" w:hAnsi="Palatino Linotype" w:cstheme="minorBidi"/>
          <w:lang w:val="es-MX" w:eastAsia="en-US"/>
        </w:rPr>
      </w:pPr>
      <w:r w:rsidRPr="009F375A">
        <w:rPr>
          <w:rFonts w:ascii="Palatino Linotype" w:eastAsiaTheme="minorHAnsi" w:hAnsi="Palatino Linotype" w:cstheme="minorBidi"/>
          <w:lang w:val="es-MX" w:eastAsia="en-US"/>
        </w:rPr>
        <w:t xml:space="preserve">En tal sentido, en el supuesto de que </w:t>
      </w:r>
      <w:r w:rsidR="00266747" w:rsidRPr="009F375A">
        <w:rPr>
          <w:rFonts w:ascii="Palatino Linotype" w:eastAsiaTheme="minorHAnsi" w:hAnsi="Palatino Linotype" w:cstheme="minorBidi"/>
          <w:lang w:val="es-MX" w:eastAsia="en-US"/>
        </w:rPr>
        <w:t>las actas iniciales inmersas en expedientes formados con motivo de procedimientos administrativo</w:t>
      </w:r>
      <w:r w:rsidR="00266747" w:rsidRPr="009F375A">
        <w:rPr>
          <w:rFonts w:ascii="Palatino Linotype" w:eastAsiaTheme="minorHAnsi" w:hAnsi="Palatino Linotype" w:cs="Arial"/>
          <w:b/>
          <w:lang w:val="es-MX" w:eastAsia="en-US"/>
        </w:rPr>
        <w:t>s</w:t>
      </w:r>
      <w:r w:rsidRPr="009F375A">
        <w:rPr>
          <w:rFonts w:ascii="Palatino Linotype" w:eastAsiaTheme="minorHAnsi" w:hAnsi="Palatino Linotype" w:cstheme="minorBidi"/>
          <w:lang w:val="es-MX" w:eastAsia="en-US"/>
        </w:rPr>
        <w:t xml:space="preserve"> se ajuste</w:t>
      </w:r>
      <w:r w:rsidR="00266747" w:rsidRPr="009F375A">
        <w:rPr>
          <w:rFonts w:ascii="Palatino Linotype" w:eastAsiaTheme="minorHAnsi" w:hAnsi="Palatino Linotype" w:cstheme="minorBidi"/>
          <w:lang w:val="es-MX" w:eastAsia="en-US"/>
        </w:rPr>
        <w:t>n</w:t>
      </w:r>
      <w:r w:rsidRPr="009F375A">
        <w:rPr>
          <w:rFonts w:ascii="Palatino Linotype" w:eastAsiaTheme="minorHAnsi" w:hAnsi="Palatino Linotype" w:cstheme="minorBidi"/>
          <w:lang w:val="es-MX" w:eastAsia="en-US"/>
        </w:rPr>
        <w:t xml:space="preserve"> a las hipótesis establecidos en los artículos de referencia, es decir que </w:t>
      </w:r>
      <w:r w:rsidR="00266747" w:rsidRPr="009F375A">
        <w:rPr>
          <w:rFonts w:ascii="Palatino Linotype" w:eastAsiaTheme="minorHAnsi" w:hAnsi="Palatino Linotype" w:cstheme="minorBidi"/>
          <w:lang w:val="es-MX" w:eastAsia="en-US"/>
        </w:rPr>
        <w:t>en los expedientes en referencia</w:t>
      </w:r>
      <w:r w:rsidRPr="009F375A">
        <w:rPr>
          <w:rFonts w:ascii="Palatino Linotype" w:eastAsiaTheme="minorHAnsi" w:hAnsi="Palatino Linotype" w:cstheme="minorBidi"/>
          <w:lang w:val="es-MX" w:eastAsia="en-US"/>
        </w:rPr>
        <w:t xml:space="preserve"> </w:t>
      </w:r>
      <w:r w:rsidRPr="009F375A">
        <w:rPr>
          <w:rFonts w:ascii="Palatino Linotype" w:eastAsiaTheme="minorHAnsi" w:hAnsi="Palatino Linotype" w:cstheme="minorBidi"/>
          <w:b/>
          <w:lang w:val="es-MX" w:eastAsia="en-US"/>
        </w:rPr>
        <w:t>contenga</w:t>
      </w:r>
      <w:r w:rsidR="00266747" w:rsidRPr="009F375A">
        <w:rPr>
          <w:rFonts w:ascii="Palatino Linotype" w:eastAsiaTheme="minorHAnsi" w:hAnsi="Palatino Linotype" w:cstheme="minorBidi"/>
          <w:b/>
          <w:lang w:val="es-MX" w:eastAsia="en-US"/>
        </w:rPr>
        <w:t>n</w:t>
      </w:r>
      <w:r w:rsidRPr="009F375A">
        <w:rPr>
          <w:rFonts w:ascii="Palatino Linotype" w:eastAsiaTheme="minorHAnsi" w:hAnsi="Palatino Linotype" w:cstheme="minorBidi"/>
          <w:b/>
          <w:lang w:val="es-MX" w:eastAsia="en-US"/>
        </w:rPr>
        <w:t xml:space="preserve"> resolución con sanción  por responsabilidad administrativa por motivo de una faltas administrativas graves, y la misma hayan causado estado,</w:t>
      </w:r>
      <w:r w:rsidRPr="009F375A">
        <w:rPr>
          <w:rFonts w:ascii="Palatino Linotype" w:eastAsiaTheme="minorHAnsi" w:hAnsi="Palatino Linotype" w:cstheme="minorBidi"/>
          <w:lang w:val="es-MX" w:eastAsia="en-US"/>
        </w:rPr>
        <w:t xml:space="preserve"> </w:t>
      </w:r>
      <w:r w:rsidRPr="009F375A">
        <w:rPr>
          <w:rFonts w:ascii="Palatino Linotype" w:eastAsiaTheme="minorHAnsi" w:hAnsi="Palatino Linotype" w:cstheme="minorBidi"/>
          <w:b/>
          <w:lang w:val="es-MX" w:eastAsia="en-US"/>
        </w:rPr>
        <w:t xml:space="preserve">debe ser considerado como información pública, </w:t>
      </w:r>
      <w:r w:rsidRPr="009F375A">
        <w:rPr>
          <w:rFonts w:ascii="Palatino Linotype" w:eastAsiaTheme="minorHAnsi" w:hAnsi="Palatino Linotype" w:cstheme="minorBidi"/>
          <w:lang w:val="es-MX" w:eastAsia="en-US"/>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23E94608"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47305F8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Correlativo a lo anterior, los artículos 53, párrafo segundo de la Ley General del Sistema Nacional Anticorrupción, 53, párrafo segundo de la Ley del Sistema </w:t>
      </w:r>
      <w:r w:rsidRPr="002D7098">
        <w:rPr>
          <w:rFonts w:ascii="Palatino Linotype" w:eastAsiaTheme="minorHAnsi" w:hAnsi="Palatino Linotype" w:cstheme="minorBidi"/>
          <w:lang w:val="es-MX" w:eastAsia="en-US"/>
        </w:rPr>
        <w:lastRenderedPageBreak/>
        <w:t>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25CE5201"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772CC986"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del Sistema Nacional Anticorrupción</w:t>
      </w:r>
    </w:p>
    <w:p w14:paraId="0C3C1FBB"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“53…</w:t>
      </w:r>
    </w:p>
    <w:p w14:paraId="7999FAC2"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i/>
          <w:sz w:val="22"/>
          <w:szCs w:val="22"/>
          <w:lang w:val="es-MX" w:eastAsia="en-US"/>
        </w:rPr>
        <w:t>Los registros de las sanciones relativas a responsabilidades administrativas no graves, quedarán registradas para efectos de eventual reincidencia, pero no serán públicas</w:t>
      </w:r>
      <w:r w:rsidRPr="002D7098">
        <w:rPr>
          <w:rFonts w:ascii="Palatino Linotype" w:eastAsiaTheme="minorHAnsi" w:hAnsi="Palatino Linotype" w:cstheme="minorBidi"/>
          <w:b/>
          <w:i/>
          <w:sz w:val="22"/>
          <w:szCs w:val="22"/>
          <w:lang w:val="es-MX" w:eastAsia="en-US"/>
        </w:rPr>
        <w:t xml:space="preserve">...” </w:t>
      </w:r>
    </w:p>
    <w:p w14:paraId="2335DCAA"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p>
    <w:p w14:paraId="645F26B8"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del Sistema Anticorrupción del Estado de México</w:t>
      </w:r>
    </w:p>
    <w:p w14:paraId="315D4D31"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“53…</w:t>
      </w:r>
    </w:p>
    <w:p w14:paraId="63671D4D"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sz w:val="22"/>
          <w:szCs w:val="22"/>
          <w:lang w:val="es-MX" w:eastAsia="en-US"/>
        </w:rPr>
      </w:pPr>
      <w:r w:rsidRPr="002D7098">
        <w:rPr>
          <w:rFonts w:ascii="Palatino Linotype" w:eastAsiaTheme="minorHAnsi" w:hAnsi="Palatino Linotype" w:cstheme="minorBidi"/>
          <w:sz w:val="22"/>
          <w:szCs w:val="22"/>
          <w:lang w:val="es-MX" w:eastAsia="en-US"/>
        </w:rPr>
        <w:t>Los registros de las sanciones relativas a responsabilidades administrativas no graves, quedarán registradas para efectos de eventual reincidencia, pero no serán públicas…”</w:t>
      </w:r>
    </w:p>
    <w:p w14:paraId="05DBFE46"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sz w:val="22"/>
          <w:szCs w:val="22"/>
          <w:lang w:val="es-MX" w:eastAsia="en-US"/>
        </w:rPr>
      </w:pPr>
    </w:p>
    <w:p w14:paraId="63B67B19" w14:textId="77777777" w:rsidR="002D7098" w:rsidRPr="002D7098" w:rsidRDefault="002D7098" w:rsidP="002D7098">
      <w:pPr>
        <w:tabs>
          <w:tab w:val="left" w:pos="709"/>
        </w:tabs>
        <w:spacing w:line="360" w:lineRule="auto"/>
        <w:ind w:left="567" w:right="567"/>
        <w:jc w:val="center"/>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Ley General de Responsabilidades Administrativas</w:t>
      </w:r>
    </w:p>
    <w:p w14:paraId="6A9D6CB5"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b/>
          <w:i/>
          <w:sz w:val="22"/>
          <w:szCs w:val="22"/>
          <w:lang w:val="es-MX" w:eastAsia="en-US"/>
        </w:rPr>
      </w:pPr>
      <w:r w:rsidRPr="002D7098">
        <w:rPr>
          <w:rFonts w:ascii="Palatino Linotype" w:eastAsiaTheme="minorHAnsi" w:hAnsi="Palatino Linotype" w:cstheme="minorBidi"/>
          <w:b/>
          <w:i/>
          <w:sz w:val="22"/>
          <w:szCs w:val="22"/>
          <w:lang w:val="es-MX" w:eastAsia="en-US"/>
        </w:rPr>
        <w:t>“27…</w:t>
      </w:r>
    </w:p>
    <w:p w14:paraId="34605AE9" w14:textId="77777777" w:rsidR="002D7098" w:rsidRPr="002D7098" w:rsidRDefault="002D7098" w:rsidP="002D7098">
      <w:pPr>
        <w:tabs>
          <w:tab w:val="left" w:pos="709"/>
        </w:tabs>
        <w:spacing w:line="360" w:lineRule="auto"/>
        <w:ind w:left="567" w:right="567"/>
        <w:jc w:val="both"/>
        <w:rPr>
          <w:rFonts w:ascii="Palatino Linotype" w:eastAsiaTheme="minorHAnsi" w:hAnsi="Palatino Linotype" w:cstheme="minorBidi"/>
          <w:i/>
          <w:sz w:val="22"/>
          <w:szCs w:val="22"/>
          <w:lang w:val="es-MX" w:eastAsia="en-US"/>
        </w:rPr>
      </w:pPr>
      <w:proofErr w:type="gramStart"/>
      <w:r w:rsidRPr="002D7098">
        <w:rPr>
          <w:rFonts w:ascii="Palatino Linotype" w:eastAsiaTheme="minorHAnsi" w:hAnsi="Palatino Linotype" w:cstheme="minorBidi"/>
          <w:i/>
          <w:sz w:val="22"/>
          <w:szCs w:val="22"/>
          <w:lang w:val="es-MX" w:eastAsia="en-US"/>
        </w:rPr>
        <w:t>así</w:t>
      </w:r>
      <w:proofErr w:type="gramEnd"/>
      <w:r w:rsidRPr="002D7098">
        <w:rPr>
          <w:rFonts w:ascii="Palatino Linotype" w:eastAsiaTheme="minorHAnsi" w:hAnsi="Palatino Linotype" w:cstheme="minorBidi"/>
          <w:i/>
          <w:sz w:val="22"/>
          <w:szCs w:val="22"/>
          <w:lang w:val="es-MX" w:eastAsia="en-US"/>
        </w:rPr>
        <w:t xml:space="preserve"> como la anotación de aquellas abstenciones que hayan realizado las autoridades investigadoras o el Tribunal, en términos de los artículos 77 y 80 de esta Ley”.</w:t>
      </w:r>
    </w:p>
    <w:p w14:paraId="6F8C597C" w14:textId="77777777" w:rsidR="002D7098" w:rsidRPr="002D7098" w:rsidRDefault="002D7098" w:rsidP="002D7098">
      <w:pPr>
        <w:tabs>
          <w:tab w:val="left" w:pos="709"/>
        </w:tabs>
        <w:spacing w:line="360" w:lineRule="auto"/>
        <w:ind w:right="567"/>
        <w:jc w:val="both"/>
        <w:rPr>
          <w:rFonts w:ascii="Palatino Linotype" w:eastAsiaTheme="minorHAnsi" w:hAnsi="Palatino Linotype" w:cstheme="minorBidi"/>
          <w:sz w:val="22"/>
          <w:szCs w:val="22"/>
          <w:lang w:val="es-MX" w:eastAsia="en-US"/>
        </w:rPr>
      </w:pPr>
    </w:p>
    <w:p w14:paraId="7651D6C4"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w:t>
      </w:r>
      <w:r w:rsidRPr="002D7098">
        <w:rPr>
          <w:rFonts w:ascii="Palatino Linotype" w:eastAsiaTheme="minorHAnsi" w:hAnsi="Palatino Linotype" w:cstheme="minorBidi"/>
          <w:lang w:val="es-MX" w:eastAsia="en-US"/>
        </w:rPr>
        <w:lastRenderedPageBreak/>
        <w:t>procedimientos de responsabilidad administrativa originados por motivo de faltas administrativas no graves, en las que se haya determinado imponer alguna sanción, por determinación de la ley las mismas no son consideradas públicas.</w:t>
      </w:r>
    </w:p>
    <w:p w14:paraId="3CA90C9F"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3C560D7F" w14:textId="77777777" w:rsid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0831BF13" w14:textId="77777777" w:rsidR="009F375A" w:rsidRDefault="009F375A" w:rsidP="002D7098">
      <w:pPr>
        <w:tabs>
          <w:tab w:val="left" w:pos="709"/>
        </w:tabs>
        <w:spacing w:line="360" w:lineRule="auto"/>
        <w:jc w:val="both"/>
        <w:rPr>
          <w:rFonts w:ascii="Palatino Linotype" w:eastAsiaTheme="minorHAnsi" w:hAnsi="Palatino Linotype" w:cstheme="minorBidi"/>
          <w:lang w:val="es-MX" w:eastAsia="en-US"/>
        </w:rPr>
      </w:pPr>
    </w:p>
    <w:p w14:paraId="777BE5EF" w14:textId="51E60182" w:rsidR="009F375A" w:rsidRPr="002D7098" w:rsidRDefault="009F375A" w:rsidP="009F375A">
      <w:pPr>
        <w:tabs>
          <w:tab w:val="left" w:pos="709"/>
        </w:tabs>
        <w:spacing w:line="360" w:lineRule="auto"/>
        <w:jc w:val="both"/>
        <w:rPr>
          <w:rFonts w:ascii="Palatino Linotype" w:eastAsiaTheme="minorHAnsi" w:hAnsi="Palatino Linotype" w:cstheme="minorBidi"/>
          <w:lang w:val="es-MX" w:eastAsia="en-US"/>
        </w:rPr>
      </w:pPr>
      <w:r w:rsidRPr="00C90B9B">
        <w:rPr>
          <w:rFonts w:ascii="Palatino Linotype" w:eastAsiaTheme="minorHAnsi" w:hAnsi="Palatino Linotype" w:cstheme="minorBidi"/>
          <w:lang w:val="es-MX" w:eastAsia="en-US"/>
        </w:rPr>
        <w:t>Finalmente, para el caso de los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4C50A3E4" w14:textId="77777777" w:rsidR="002D7098" w:rsidRPr="002D7098" w:rsidRDefault="002D7098" w:rsidP="002D7098">
      <w:pPr>
        <w:tabs>
          <w:tab w:val="left" w:pos="709"/>
        </w:tabs>
        <w:spacing w:line="360" w:lineRule="auto"/>
        <w:jc w:val="both"/>
        <w:rPr>
          <w:rFonts w:ascii="Palatino Linotype" w:eastAsiaTheme="minorHAnsi" w:hAnsi="Palatino Linotype" w:cstheme="minorBidi"/>
          <w:b/>
          <w:lang w:val="es-MX" w:eastAsia="en-US"/>
        </w:rPr>
      </w:pPr>
    </w:p>
    <w:p w14:paraId="4CAC4B1A" w14:textId="1CE2B1CF"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Bajo este contexto, se considera que en el supuesto de que la información se encuentre en alguno de los supuestos antes establecidos, el Sujeto Obligado deberá clasificar la información, emitiendo en su caso el acuerdo correspondiente</w:t>
      </w:r>
      <w:r w:rsidRPr="002D7098">
        <w:rPr>
          <w:rFonts w:ascii="Palatino Linotype" w:eastAsiaTheme="minorHAnsi" w:hAnsi="Palatino Linotype" w:cstheme="minorBidi"/>
          <w:b/>
          <w:lang w:val="es-MX" w:eastAsia="en-US"/>
        </w:rPr>
        <w:t xml:space="preserve">, </w:t>
      </w:r>
      <w:r w:rsidRPr="002D7098">
        <w:rPr>
          <w:rFonts w:ascii="Palatino Linotype" w:eastAsiaTheme="minorHAnsi" w:hAnsi="Palatino Linotype" w:cstheme="minorBidi"/>
          <w:lang w:val="es-MX" w:eastAsia="en-US"/>
        </w:rPr>
        <w:t xml:space="preserve">tomando en consideración </w:t>
      </w:r>
      <w:r w:rsidR="00A23FAD" w:rsidRPr="002D7098">
        <w:rPr>
          <w:rFonts w:ascii="Palatino Linotype" w:eastAsiaTheme="minorHAnsi" w:hAnsi="Palatino Linotype" w:cstheme="minorBidi"/>
          <w:lang w:val="es-MX" w:eastAsia="en-US"/>
        </w:rPr>
        <w:t>que,</w:t>
      </w:r>
      <w:r w:rsidRPr="002D7098">
        <w:rPr>
          <w:rFonts w:ascii="Palatino Linotype" w:eastAsiaTheme="minorHAnsi" w:hAnsi="Palatino Linotype" w:cstheme="minorBidi"/>
          <w:lang w:val="es-MX" w:eastAsia="en-US"/>
        </w:rPr>
        <w:t xml:space="preserve"> de proporcionar el nombre de los servidores públicos relacionados al procedimiento de responsabilidades administrativas por faltas no graves, podría afectar su</w:t>
      </w:r>
      <w:r w:rsidR="009F375A">
        <w:rPr>
          <w:rFonts w:ascii="Palatino Linotype" w:eastAsiaTheme="minorHAnsi" w:hAnsi="Palatino Linotype" w:cstheme="minorBidi"/>
          <w:lang w:val="es-MX" w:eastAsia="en-US"/>
        </w:rPr>
        <w:t xml:space="preserve"> honor, buen nombre y su imagen.</w:t>
      </w:r>
    </w:p>
    <w:p w14:paraId="08CA062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495ADA9D"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Al respecto, la Suprema Corte de Justicia de la Nación ha reconocido como derechos fundamentales de las personas, el derecho a la intimidad y a la propia imagen, en el siguiente criterio:</w:t>
      </w:r>
    </w:p>
    <w:p w14:paraId="3D8187B6"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2D402051" w14:textId="77777777" w:rsidR="002D7098" w:rsidRPr="002D7098" w:rsidRDefault="002D7098" w:rsidP="00A23FAD">
      <w:pPr>
        <w:tabs>
          <w:tab w:val="left" w:pos="709"/>
        </w:tabs>
        <w:ind w:left="851" w:right="851"/>
        <w:jc w:val="both"/>
        <w:rPr>
          <w:rFonts w:ascii="Palatino Linotype" w:eastAsiaTheme="minorHAnsi" w:hAnsi="Palatino Linotype" w:cstheme="minorBidi"/>
          <w:sz w:val="22"/>
          <w:szCs w:val="22"/>
          <w:lang w:val="es-MX" w:eastAsia="en-US"/>
        </w:rPr>
      </w:pPr>
      <w:r w:rsidRPr="002D7098">
        <w:rPr>
          <w:rFonts w:ascii="Palatino Linotype" w:eastAsiaTheme="minorHAnsi" w:hAnsi="Palatino Linotype" w:cstheme="minorBidi"/>
          <w:sz w:val="22"/>
          <w:szCs w:val="22"/>
          <w:lang w:val="es-MX" w:eastAsia="en-US"/>
        </w:rPr>
        <w:t>“</w:t>
      </w:r>
      <w:r w:rsidRPr="002D7098">
        <w:rPr>
          <w:rFonts w:ascii="Palatino Linotype" w:eastAsiaTheme="minorHAnsi" w:hAnsi="Palatino Linotype" w:cstheme="minorBidi"/>
          <w:b/>
          <w:bCs/>
          <w:sz w:val="22"/>
          <w:szCs w:val="22"/>
          <w:lang w:val="es-MX" w:eastAsia="en-US"/>
        </w:rPr>
        <w:t>DERECHOS A LA INTIMIDAD, PROPIA IMAGEN, IDENTIDAD PERSONAL Y SEXUAL. CONSTITUYEN DERECHOS DE DEFENSA Y GARANTÍA ESENCIAL PARA LA CONDICIÓN HUMANA</w:t>
      </w:r>
      <w:r w:rsidRPr="002D7098">
        <w:rPr>
          <w:rFonts w:ascii="Palatino Linotype" w:eastAsiaTheme="minorHAnsi" w:hAnsi="Palatino Linotype" w:cstheme="minorBidi"/>
          <w:sz w:val="22"/>
          <w:szCs w:val="22"/>
          <w:lang w:val="es-MX" w:eastAsia="en-US"/>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w:t>
      </w:r>
      <w:r w:rsidRPr="002D7098">
        <w:rPr>
          <w:rFonts w:ascii="Palatino Linotype" w:eastAsiaTheme="minorHAnsi" w:hAnsi="Palatino Linotype" w:cstheme="minorBidi"/>
          <w:sz w:val="22"/>
          <w:szCs w:val="22"/>
          <w:lang w:val="es-MX" w:eastAsia="en-US"/>
        </w:rPr>
        <w:lastRenderedPageBreak/>
        <w:t>ley podrá justificarse su intromisión, siempre que medie un interés superior.”</w:t>
      </w:r>
    </w:p>
    <w:p w14:paraId="10249D0B"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 </w:t>
      </w:r>
    </w:p>
    <w:p w14:paraId="67A96BC3" w14:textId="7654C029"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En ese sentido, se puede hacer notar el derecho de todo individuo a no ser conocido por otros en ciertos aspectos de su vida y, por ende, el poder de decisión sobre la publicidad o información de datos relativos a su persona (derecho a la intimidad), aunado </w:t>
      </w:r>
      <w:r w:rsidR="00A23FAD" w:rsidRPr="002D7098">
        <w:rPr>
          <w:rFonts w:ascii="Palatino Linotype" w:eastAsiaTheme="minorHAnsi" w:hAnsi="Palatino Linotype" w:cstheme="minorBidi"/>
          <w:lang w:val="es-MX" w:eastAsia="en-US"/>
        </w:rPr>
        <w:t>al derecho</w:t>
      </w:r>
      <w:r w:rsidRPr="002D7098">
        <w:rPr>
          <w:rFonts w:ascii="Palatino Linotype" w:eastAsiaTheme="minorHAnsi" w:hAnsi="Palatino Linotype" w:cstheme="minorBidi"/>
          <w:lang w:val="es-MX" w:eastAsia="en-US"/>
        </w:rPr>
        <w:t xml:space="preserve"> a la propia imagen es el derecho de decidir, de forma libre, sobre la manera en que elige mostrarse frente a los demás.</w:t>
      </w:r>
    </w:p>
    <w:p w14:paraId="6997FD97"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6E87D53"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201C891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01C4B43E" w14:textId="53EAEC54"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theme="minorBidi"/>
          <w:lang w:val="es-MX" w:eastAsia="en-US"/>
        </w:rPr>
        <w:t xml:space="preserve">Finalmente, no pasa desapercibido que respecto a la información que da cuenta de lo solicitado, que en el presente caso </w:t>
      </w:r>
      <w:r w:rsidR="00A23FAD">
        <w:rPr>
          <w:rFonts w:ascii="Palatino Linotype" w:eastAsiaTheme="minorHAnsi" w:hAnsi="Palatino Linotype" w:cstheme="minorBidi"/>
          <w:color w:val="000000"/>
          <w:lang w:val="es-MX" w:eastAsia="en-US"/>
        </w:rPr>
        <w:t>las actas de</w:t>
      </w:r>
      <w:r w:rsidR="00A23FAD" w:rsidRPr="00A23FAD">
        <w:rPr>
          <w:rFonts w:ascii="Palatino Linotype" w:eastAsiaTheme="minorHAnsi" w:hAnsi="Palatino Linotype" w:cstheme="minorBidi"/>
          <w:color w:val="000000"/>
          <w:lang w:val="es-MX" w:eastAsia="en-US"/>
        </w:rPr>
        <w:t xml:space="preserve"> audiencia inicial de los expedientes por responsabilidad administrativa iniciados por daño a la hacienda pública, así como por la omisión o entrega extemporánea de la Declaración de Situación Patrimonial y de Intereses a servidores y </w:t>
      </w:r>
      <w:proofErr w:type="spellStart"/>
      <w:r w:rsidR="00A23FAD" w:rsidRPr="00A23FAD">
        <w:rPr>
          <w:rFonts w:ascii="Palatino Linotype" w:eastAsiaTheme="minorHAnsi" w:hAnsi="Palatino Linotype" w:cstheme="minorBidi"/>
          <w:color w:val="000000"/>
          <w:lang w:val="es-MX" w:eastAsia="en-US"/>
        </w:rPr>
        <w:t>exservidores</w:t>
      </w:r>
      <w:proofErr w:type="spellEnd"/>
      <w:r w:rsidR="00A23FAD" w:rsidRPr="00A23FAD">
        <w:rPr>
          <w:rFonts w:ascii="Palatino Linotype" w:eastAsiaTheme="minorHAnsi" w:hAnsi="Palatino Linotype" w:cstheme="minorBidi"/>
          <w:color w:val="000000"/>
          <w:lang w:val="es-MX" w:eastAsia="en-US"/>
        </w:rPr>
        <w:t xml:space="preserve"> públicos u otro tipo de faltas administrativas de servidores públicos de los años 2020 y 2021</w:t>
      </w:r>
      <w:r w:rsidRPr="002D7098">
        <w:rPr>
          <w:rFonts w:ascii="Palatino Linotype" w:eastAsiaTheme="minorHAnsi" w:hAnsi="Palatino Linotype" w:cstheme="minorBidi"/>
          <w:color w:val="000000"/>
          <w:lang w:val="es-MX" w:eastAsia="en-US"/>
        </w:rPr>
        <w:t>,</w:t>
      </w:r>
      <w:r w:rsidRPr="002D7098">
        <w:rPr>
          <w:rFonts w:ascii="Palatino Linotype" w:eastAsiaTheme="minorHAnsi" w:hAnsi="Palatino Linotype" w:cstheme="minorBidi"/>
          <w:lang w:val="es-MX" w:eastAsia="en-US"/>
        </w:rPr>
        <w:t xml:space="preserve">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w:t>
      </w:r>
      <w:r w:rsidRPr="002D7098">
        <w:rPr>
          <w:rFonts w:ascii="Palatino Linotype" w:eastAsiaTheme="minorHAnsi" w:hAnsi="Palatino Linotype" w:cstheme="minorBidi"/>
          <w:lang w:val="es-MX" w:eastAsia="en-US"/>
        </w:rPr>
        <w:lastRenderedPageBreak/>
        <w:t>y VIII, 128, 132, fracción I, 138, 143 y 149 de la Ley de Transparencia y Acceso a la Información Pública de Estado de México y Municipios.</w:t>
      </w:r>
    </w:p>
    <w:p w14:paraId="7243636C"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1E4A0938" w14:textId="77777777" w:rsidR="002D7098" w:rsidRPr="002D7098" w:rsidRDefault="002D7098" w:rsidP="002D7098">
      <w:pPr>
        <w:tabs>
          <w:tab w:val="left" w:pos="709"/>
        </w:tabs>
        <w:spacing w:line="360" w:lineRule="auto"/>
        <w:jc w:val="both"/>
        <w:rPr>
          <w:rFonts w:ascii="Palatino Linotype" w:eastAsiaTheme="minorHAnsi" w:hAnsi="Palatino Linotype" w:cstheme="minorBidi"/>
          <w:lang w:val="es-MX" w:eastAsia="en-US"/>
        </w:rPr>
      </w:pPr>
    </w:p>
    <w:p w14:paraId="195071CD" w14:textId="77777777" w:rsidR="002D7098" w:rsidRPr="002D7098" w:rsidRDefault="002D7098" w:rsidP="002D7098">
      <w:pPr>
        <w:spacing w:line="360" w:lineRule="auto"/>
        <w:jc w:val="both"/>
        <w:rPr>
          <w:rFonts w:asciiTheme="minorHAnsi" w:eastAsiaTheme="minorHAnsi" w:hAnsiTheme="minorHAnsi" w:cs="Arial"/>
          <w:sz w:val="22"/>
          <w:szCs w:val="22"/>
          <w:lang w:val="es-MX" w:eastAsia="en-US"/>
        </w:rPr>
      </w:pPr>
      <w:r w:rsidRPr="002D7098">
        <w:rPr>
          <w:rFonts w:ascii="Palatino Linotype" w:eastAsiaTheme="minorHAnsi" w:hAnsi="Palatino Linotype" w:cstheme="minorBidi"/>
          <w:b/>
          <w:i/>
          <w:sz w:val="28"/>
          <w:szCs w:val="28"/>
          <w:u w:val="single"/>
          <w:lang w:val="es-MX" w:eastAsia="en-US"/>
        </w:rPr>
        <w:t>De la Versión Pública.</w:t>
      </w:r>
    </w:p>
    <w:p w14:paraId="3E2A91C0" w14:textId="77777777" w:rsidR="002D7098" w:rsidRPr="002D7098" w:rsidRDefault="002D7098" w:rsidP="002D7098">
      <w:pPr>
        <w:autoSpaceDE w:val="0"/>
        <w:autoSpaceDN w:val="0"/>
        <w:adjustRightInd w:val="0"/>
        <w:spacing w:line="360" w:lineRule="auto"/>
        <w:jc w:val="both"/>
        <w:rPr>
          <w:rFonts w:ascii="Palatino Linotype" w:hAnsi="Palatino Linotype" w:cs="Arial"/>
        </w:rPr>
      </w:pPr>
      <w:r w:rsidRPr="002D7098">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2D7098">
        <w:rPr>
          <w:rFonts w:ascii="Palatino Linotype" w:eastAsia="Arial Unicode MS" w:hAnsi="Palatino Linotype" w:cs="Arial"/>
        </w:rPr>
        <w:t>esto es, omitirá, eliminará o suprimirá la información personal de los servidores públicos sujetos a evaluación, e</w:t>
      </w:r>
      <w:r w:rsidRPr="002D7098">
        <w:rPr>
          <w:rFonts w:ascii="Palatino Linotype" w:hAnsi="Palatino Linotype"/>
        </w:rPr>
        <w:t xml:space="preserve">n el caso específico en dichos documentos pueden obran datos que son considerados confidenciales, cuyo acceso debe ser restringido, los cuales </w:t>
      </w:r>
      <w:r w:rsidRPr="002D7098">
        <w:rPr>
          <w:rFonts w:ascii="Palatino Linotype" w:hAnsi="Palatino Linotype" w:cs="Arial"/>
        </w:rPr>
        <w:t xml:space="preserve">deben testarse al momento de la elaboración de versiones públicas, como es el caso del </w:t>
      </w:r>
      <w:r w:rsidRPr="002D7098">
        <w:rPr>
          <w:rFonts w:ascii="Palatino Linotype" w:hAnsi="Palatino Linotype" w:cs="Arial"/>
          <w:b/>
        </w:rPr>
        <w:t>Registro Federal de Contribuyentes</w:t>
      </w:r>
      <w:r w:rsidRPr="002D7098">
        <w:rPr>
          <w:rFonts w:ascii="Palatino Linotype" w:hAnsi="Palatino Linotype" w:cs="Arial"/>
        </w:rPr>
        <w:t xml:space="preserve"> (RFC), la </w:t>
      </w:r>
      <w:r w:rsidRPr="002D7098">
        <w:rPr>
          <w:rFonts w:ascii="Palatino Linotype" w:hAnsi="Palatino Linotype" w:cs="Arial"/>
          <w:b/>
        </w:rPr>
        <w:t>Clave Única de Registro de Población</w:t>
      </w:r>
      <w:r w:rsidRPr="002D7098">
        <w:rPr>
          <w:rFonts w:ascii="Palatino Linotype" w:hAnsi="Palatino Linotype" w:cs="Arial"/>
        </w:rPr>
        <w:t xml:space="preserve"> (CURP), la </w:t>
      </w:r>
      <w:r w:rsidRPr="002D7098">
        <w:rPr>
          <w:rFonts w:ascii="Palatino Linotype" w:hAnsi="Palatino Linotype" w:cs="Arial"/>
          <w:b/>
        </w:rPr>
        <w:t>Clave de cualquier tipo de seguridad social</w:t>
      </w:r>
      <w:r w:rsidRPr="002D7098">
        <w:rPr>
          <w:rFonts w:ascii="Palatino Linotype" w:hAnsi="Palatino Linotype" w:cs="Arial"/>
        </w:rPr>
        <w:t xml:space="preserve"> (ISSEMYM); </w:t>
      </w:r>
      <w:r w:rsidRPr="002D7098">
        <w:rPr>
          <w:rFonts w:ascii="Palatino Linotype" w:hAnsi="Palatino Linotype" w:cs="Arial"/>
          <w:b/>
        </w:rPr>
        <w:t>préstamos o descuentos</w:t>
      </w:r>
      <w:r w:rsidRPr="002D7098">
        <w:rPr>
          <w:rFonts w:ascii="Palatino Linotype" w:hAnsi="Palatino Linotype" w:cs="Arial"/>
        </w:rPr>
        <w:t xml:space="preserve"> que se les hagan y que no tengan relación con los impuestos o la cuota por seguridad social, así como, firmas y calificaciones, entre otros datos.</w:t>
      </w:r>
    </w:p>
    <w:p w14:paraId="02264925" w14:textId="77777777" w:rsidR="002D7098" w:rsidRPr="002D7098" w:rsidRDefault="002D7098" w:rsidP="002D7098">
      <w:pPr>
        <w:autoSpaceDE w:val="0"/>
        <w:autoSpaceDN w:val="0"/>
        <w:adjustRightInd w:val="0"/>
        <w:spacing w:line="360" w:lineRule="auto"/>
        <w:jc w:val="both"/>
        <w:rPr>
          <w:rFonts w:ascii="Palatino Linotype" w:eastAsiaTheme="minorHAnsi" w:hAnsi="Palatino Linotype" w:cs="Arial"/>
          <w:lang w:val="es-MX" w:eastAsia="en-US"/>
        </w:rPr>
      </w:pPr>
    </w:p>
    <w:p w14:paraId="11D0D47B" w14:textId="77777777" w:rsidR="002D7098" w:rsidRPr="002D7098" w:rsidRDefault="002D7098" w:rsidP="002D7098">
      <w:pPr>
        <w:autoSpaceDE w:val="0"/>
        <w:autoSpaceDN w:val="0"/>
        <w:adjustRightInd w:val="0"/>
        <w:spacing w:after="160" w:line="360" w:lineRule="auto"/>
        <w:ind w:right="-91"/>
        <w:jc w:val="both"/>
        <w:rPr>
          <w:rFonts w:ascii="Palatino Linotype" w:eastAsiaTheme="minorHAnsi" w:hAnsi="Palatino Linotype" w:cstheme="minorBidi"/>
          <w:szCs w:val="22"/>
          <w:lang w:val="es-MX" w:eastAsia="en-US"/>
        </w:rPr>
      </w:pPr>
      <w:r w:rsidRPr="002D7098">
        <w:rPr>
          <w:rFonts w:ascii="Palatino Linotype" w:eastAsiaTheme="minorHAnsi" w:hAnsi="Palatino Linotype" w:cs="Arial"/>
          <w:szCs w:val="22"/>
          <w:lang w:val="es-MX" w:eastAsia="es-MX"/>
        </w:rPr>
        <w:t xml:space="preserve">Por cuanto hace al </w:t>
      </w:r>
      <w:r w:rsidRPr="002D7098">
        <w:rPr>
          <w:rFonts w:ascii="Palatino Linotype" w:eastAsiaTheme="minorHAnsi" w:hAnsi="Palatino Linotype" w:cs="Arial"/>
          <w:b/>
          <w:szCs w:val="22"/>
          <w:lang w:val="es-MX" w:eastAsia="es-MX"/>
        </w:rPr>
        <w:t>Registro Federal de Contribuyentes</w:t>
      </w:r>
      <w:r w:rsidRPr="002D7098">
        <w:rPr>
          <w:rFonts w:ascii="Palatino Linotype" w:eastAsiaTheme="minorHAnsi" w:hAnsi="Palatino Linotype" w:cs="Arial"/>
          <w:szCs w:val="22"/>
          <w:lang w:val="es-MX" w:eastAsia="es-MX"/>
        </w:rPr>
        <w:t xml:space="preserve"> </w:t>
      </w:r>
      <w:r w:rsidRPr="002D7098">
        <w:rPr>
          <w:rFonts w:ascii="Palatino Linotype" w:eastAsiaTheme="minorHAnsi" w:hAnsi="Palatino Linotype" w:cs="Arial"/>
          <w:b/>
          <w:szCs w:val="22"/>
          <w:lang w:val="es-MX" w:eastAsia="es-MX"/>
        </w:rPr>
        <w:t>de las personas físicas</w:t>
      </w:r>
      <w:r w:rsidRPr="002D7098">
        <w:rPr>
          <w:rFonts w:ascii="Palatino Linotype" w:eastAsiaTheme="minorHAnsi" w:hAnsi="Palatino Linotype" w:cs="Arial"/>
          <w:szCs w:val="22"/>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D7098">
        <w:rPr>
          <w:rFonts w:ascii="Palatino Linotype" w:eastAsiaTheme="minorHAnsi" w:hAnsi="Palatino Linotype" w:cstheme="minorBidi"/>
          <w:szCs w:val="22"/>
          <w:lang w:val="es-MX" w:eastAsia="en-US"/>
        </w:rPr>
        <w:t xml:space="preserve"> y finalmente la </w:t>
      </w:r>
      <w:proofErr w:type="spellStart"/>
      <w:r w:rsidRPr="002D7098">
        <w:rPr>
          <w:rFonts w:ascii="Palatino Linotype" w:eastAsiaTheme="minorHAnsi" w:hAnsi="Palatino Linotype" w:cstheme="minorBidi"/>
          <w:szCs w:val="22"/>
          <w:lang w:val="es-MX" w:eastAsia="en-US"/>
        </w:rPr>
        <w:t>homoclave</w:t>
      </w:r>
      <w:proofErr w:type="spellEnd"/>
      <w:r w:rsidRPr="002D7098">
        <w:rPr>
          <w:rFonts w:ascii="Palatino Linotype" w:eastAsiaTheme="minorHAnsi" w:hAnsi="Palatino Linotype" w:cstheme="minorBidi"/>
          <w:szCs w:val="22"/>
          <w:lang w:val="es-MX" w:eastAsia="en-US"/>
        </w:rPr>
        <w:t>; la cual para su obtención es necesario acreditar personalidad, fecha de nacimiento entre otros con documentos oficiales.</w:t>
      </w:r>
    </w:p>
    <w:p w14:paraId="13742378" w14:textId="77777777" w:rsidR="002D7098" w:rsidRPr="002D7098" w:rsidRDefault="002D7098" w:rsidP="002D7098">
      <w:pPr>
        <w:rPr>
          <w:lang w:val="es-MX"/>
        </w:rPr>
      </w:pPr>
    </w:p>
    <w:p w14:paraId="69816039"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Al respecto, el Instituto Nacional de Transparencia, Acceso a la Información y Protección de Datos Personales (INAI) a través del Criterio 19/17, señala literalmente lo siguiente:</w:t>
      </w:r>
    </w:p>
    <w:p w14:paraId="23555C4D" w14:textId="77777777" w:rsidR="002D7098" w:rsidRPr="002D7098" w:rsidRDefault="002D7098" w:rsidP="002D7098">
      <w:pPr>
        <w:rPr>
          <w:lang w:val="es-MX"/>
        </w:rPr>
      </w:pPr>
    </w:p>
    <w:p w14:paraId="1CC2B78A" w14:textId="77777777" w:rsidR="002D7098" w:rsidRPr="002D7098" w:rsidRDefault="002D7098" w:rsidP="002D7098">
      <w:pPr>
        <w:spacing w:after="160" w:line="259" w:lineRule="auto"/>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 xml:space="preserve">“Registro Federal de Contribuyentes (RFC) de personas físicas. </w:t>
      </w:r>
      <w:r w:rsidRPr="002D7098">
        <w:rPr>
          <w:rFonts w:ascii="Palatino Linotype" w:eastAsiaTheme="minorHAnsi" w:hAnsi="Palatino Linotype" w:cs="Arial"/>
          <w:bCs/>
          <w:i/>
          <w:sz w:val="22"/>
          <w:szCs w:val="22"/>
          <w:lang w:val="es-MX" w:eastAsia="en-US"/>
        </w:rPr>
        <w:t xml:space="preserve">El RFC es una clave de carácter fiscal, </w:t>
      </w:r>
      <w:proofErr w:type="gramStart"/>
      <w:r w:rsidRPr="002D7098">
        <w:rPr>
          <w:rFonts w:ascii="Palatino Linotype" w:eastAsiaTheme="minorHAnsi" w:hAnsi="Palatino Linotype" w:cs="Arial"/>
          <w:bCs/>
          <w:i/>
          <w:sz w:val="22"/>
          <w:szCs w:val="22"/>
          <w:lang w:val="es-MX" w:eastAsia="en-US"/>
        </w:rPr>
        <w:t>única</w:t>
      </w:r>
      <w:proofErr w:type="gramEnd"/>
      <w:r w:rsidRPr="002D7098">
        <w:rPr>
          <w:rFonts w:ascii="Palatino Linotype" w:eastAsiaTheme="minorHAnsi" w:hAnsi="Palatino Linotype" w:cs="Arial"/>
          <w:bCs/>
          <w:i/>
          <w:sz w:val="22"/>
          <w:szCs w:val="22"/>
          <w:lang w:val="es-MX" w:eastAsia="en-US"/>
        </w:rPr>
        <w:t xml:space="preserve"> e irrepetible, que permite identificar al titular, su edad y fecha de nacimiento, por lo que es un dato personal de carácter confidencial.</w:t>
      </w:r>
    </w:p>
    <w:p w14:paraId="7507DA22" w14:textId="77777777" w:rsidR="002D7098" w:rsidRPr="002D7098" w:rsidRDefault="002D7098" w:rsidP="002D7098">
      <w:pPr>
        <w:rPr>
          <w:lang w:val="es-MX"/>
        </w:rPr>
      </w:pPr>
    </w:p>
    <w:p w14:paraId="4948429C" w14:textId="77777777" w:rsidR="002D7098" w:rsidRPr="002D7098" w:rsidRDefault="002D7098" w:rsidP="002D7098">
      <w:pPr>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Resoluciones:</w:t>
      </w:r>
    </w:p>
    <w:p w14:paraId="7430490A" w14:textId="77777777" w:rsidR="002D7098" w:rsidRPr="002D7098" w:rsidRDefault="002D7098" w:rsidP="002D7098">
      <w:pPr>
        <w:ind w:left="851" w:right="902"/>
        <w:jc w:val="both"/>
        <w:rPr>
          <w:rFonts w:ascii="Palatino Linotype" w:eastAsiaTheme="minorHAnsi" w:hAnsi="Palatino Linotype" w:cs="Arial"/>
          <w:bCs/>
          <w:i/>
          <w:sz w:val="22"/>
          <w:szCs w:val="22"/>
          <w:lang w:val="es-MX" w:eastAsia="en-US"/>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0189/17. </w:t>
      </w:r>
      <w:r w:rsidRPr="002D7098">
        <w:rPr>
          <w:rFonts w:ascii="Palatino Linotype" w:eastAsiaTheme="minorHAnsi" w:hAnsi="Palatino Linotype" w:cs="Arial"/>
          <w:bCs/>
          <w:i/>
          <w:sz w:val="22"/>
          <w:szCs w:val="22"/>
          <w:lang w:val="es-MX" w:eastAsia="en-US"/>
        </w:rPr>
        <w:t>Morena. 08 de febrero de 2017. Por unanimidad. Comisionado Ponente Joel Salas Suárez.</w:t>
      </w:r>
    </w:p>
    <w:p w14:paraId="7B6EF3D3" w14:textId="77777777" w:rsidR="002D7098" w:rsidRPr="002D7098" w:rsidRDefault="002D7098" w:rsidP="002D7098">
      <w:pPr>
        <w:ind w:left="851" w:right="902"/>
        <w:jc w:val="both"/>
        <w:rPr>
          <w:rFonts w:ascii="Palatino Linotype" w:eastAsiaTheme="minorHAnsi" w:hAnsi="Palatino Linotype" w:cs="Arial"/>
          <w:b/>
          <w:bCs/>
          <w:i/>
          <w:sz w:val="22"/>
          <w:szCs w:val="22"/>
          <w:lang w:val="es-MX" w:eastAsia="en-US"/>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0677/17. </w:t>
      </w:r>
      <w:r w:rsidRPr="002D7098">
        <w:rPr>
          <w:rFonts w:ascii="Palatino Linotype" w:eastAsiaTheme="minorHAnsi" w:hAnsi="Palatino Linotype" w:cs="Arial"/>
          <w:bCs/>
          <w:i/>
          <w:sz w:val="22"/>
          <w:szCs w:val="22"/>
          <w:lang w:val="es-MX" w:eastAsia="en-US"/>
        </w:rPr>
        <w:t xml:space="preserve">Universidad Nacional Autónoma de México. 08 de marzo de 2017. Por unanimidad. Comisionado Ponente </w:t>
      </w:r>
      <w:proofErr w:type="spellStart"/>
      <w:r w:rsidRPr="002D7098">
        <w:rPr>
          <w:rFonts w:ascii="Palatino Linotype" w:eastAsiaTheme="minorHAnsi" w:hAnsi="Palatino Linotype" w:cs="Arial"/>
          <w:bCs/>
          <w:i/>
          <w:sz w:val="22"/>
          <w:szCs w:val="22"/>
          <w:lang w:val="es-MX" w:eastAsia="en-US"/>
        </w:rPr>
        <w:t>Rosendoevgueni</w:t>
      </w:r>
      <w:proofErr w:type="spellEnd"/>
      <w:r w:rsidRPr="002D7098">
        <w:rPr>
          <w:rFonts w:ascii="Palatino Linotype" w:eastAsiaTheme="minorHAnsi" w:hAnsi="Palatino Linotype" w:cs="Arial"/>
          <w:bCs/>
          <w:i/>
          <w:sz w:val="22"/>
          <w:szCs w:val="22"/>
          <w:lang w:val="es-MX" w:eastAsia="en-US"/>
        </w:rPr>
        <w:t xml:space="preserve"> Monterrey </w:t>
      </w:r>
      <w:proofErr w:type="spellStart"/>
      <w:r w:rsidRPr="002D7098">
        <w:rPr>
          <w:rFonts w:ascii="Palatino Linotype" w:eastAsiaTheme="minorHAnsi" w:hAnsi="Palatino Linotype" w:cs="Arial"/>
          <w:bCs/>
          <w:i/>
          <w:sz w:val="22"/>
          <w:szCs w:val="22"/>
          <w:lang w:val="es-MX" w:eastAsia="en-US"/>
        </w:rPr>
        <w:t>Chepov</w:t>
      </w:r>
      <w:proofErr w:type="spellEnd"/>
      <w:r w:rsidRPr="002D7098">
        <w:rPr>
          <w:rFonts w:ascii="Palatino Linotype" w:eastAsiaTheme="minorHAnsi" w:hAnsi="Palatino Linotype" w:cs="Arial"/>
          <w:bCs/>
          <w:i/>
          <w:sz w:val="22"/>
          <w:szCs w:val="22"/>
          <w:lang w:val="es-MX" w:eastAsia="en-US"/>
        </w:rPr>
        <w:t>.</w:t>
      </w:r>
      <w:r w:rsidRPr="002D7098">
        <w:rPr>
          <w:rFonts w:ascii="Palatino Linotype" w:eastAsiaTheme="minorHAnsi" w:hAnsi="Palatino Linotype" w:cs="Arial"/>
          <w:b/>
          <w:bCs/>
          <w:i/>
          <w:sz w:val="22"/>
          <w:szCs w:val="22"/>
          <w:lang w:val="es-MX" w:eastAsia="en-US"/>
        </w:rPr>
        <w:t xml:space="preserve"> </w:t>
      </w:r>
    </w:p>
    <w:p w14:paraId="6A8CD4C5" w14:textId="77777777" w:rsidR="002D7098" w:rsidRPr="002D7098" w:rsidRDefault="002D7098" w:rsidP="002D7098">
      <w:pPr>
        <w:ind w:left="851" w:right="900"/>
        <w:jc w:val="both"/>
        <w:rPr>
          <w:rFonts w:ascii="Palatino Linotype" w:eastAsiaTheme="minorHAnsi" w:hAnsi="Palatino Linotype" w:cs="Arial"/>
          <w:sz w:val="22"/>
          <w:szCs w:val="20"/>
          <w:lang w:val="es-MX" w:eastAsia="es-MX"/>
        </w:rPr>
      </w:pPr>
      <w:r w:rsidRPr="002D7098">
        <w:rPr>
          <w:rFonts w:ascii="Palatino Linotype" w:eastAsiaTheme="minorHAnsi" w:hAnsi="Palatino Linotype" w:cs="Arial"/>
          <w:b/>
          <w:bCs/>
          <w:i/>
          <w:sz w:val="22"/>
          <w:szCs w:val="22"/>
          <w:lang w:val="es-MX" w:eastAsia="en-US"/>
        </w:rPr>
        <w:t>•</w:t>
      </w:r>
      <w:r w:rsidRPr="002D7098">
        <w:rPr>
          <w:rFonts w:ascii="Palatino Linotype" w:eastAsiaTheme="minorHAnsi" w:hAnsi="Palatino Linotype" w:cs="Arial"/>
          <w:b/>
          <w:bCs/>
          <w:i/>
          <w:sz w:val="22"/>
          <w:szCs w:val="22"/>
          <w:lang w:val="es-MX" w:eastAsia="en-US"/>
        </w:rPr>
        <w:tab/>
        <w:t xml:space="preserve">RRA 1564/17. </w:t>
      </w:r>
      <w:r w:rsidRPr="002D7098">
        <w:rPr>
          <w:rFonts w:ascii="Palatino Linotype" w:eastAsiaTheme="minorHAnsi" w:hAnsi="Palatino Linotype" w:cs="Arial"/>
          <w:bCs/>
          <w:i/>
          <w:sz w:val="22"/>
          <w:szCs w:val="22"/>
          <w:lang w:val="es-MX" w:eastAsia="en-US"/>
        </w:rPr>
        <w:t>Tribunal Electoral del Poder Judicial de la Federación. 26 de abril de 2017. Por unanimidad. Comisionado Ponente Oscar Mauricio Guerra Ford</w:t>
      </w:r>
      <w:r w:rsidRPr="002D7098">
        <w:rPr>
          <w:rFonts w:ascii="Palatino Linotype" w:eastAsiaTheme="minorHAnsi" w:hAnsi="Palatino Linotype" w:cs="Arial"/>
          <w:i/>
          <w:sz w:val="22"/>
          <w:szCs w:val="22"/>
          <w:lang w:val="es-MX" w:eastAsia="en-US"/>
        </w:rPr>
        <w:t>.”</w:t>
      </w:r>
    </w:p>
    <w:p w14:paraId="37CB71CB" w14:textId="77777777" w:rsidR="002D7098" w:rsidRPr="002D7098" w:rsidRDefault="002D7098" w:rsidP="002D7098">
      <w:pPr>
        <w:spacing w:after="160" w:line="259" w:lineRule="auto"/>
        <w:jc w:val="both"/>
        <w:rPr>
          <w:rFonts w:ascii="Palatino Linotype" w:eastAsiaTheme="minorHAnsi" w:hAnsi="Palatino Linotype" w:cs="Arial"/>
          <w:sz w:val="16"/>
          <w:szCs w:val="16"/>
          <w:lang w:val="es-MX" w:eastAsia="es-MX"/>
        </w:rPr>
      </w:pPr>
    </w:p>
    <w:p w14:paraId="12D945A0" w14:textId="77777777" w:rsidR="002D7098" w:rsidRPr="002D7098" w:rsidRDefault="002D7098" w:rsidP="002D7098">
      <w:pPr>
        <w:spacing w:after="160" w:line="360" w:lineRule="auto"/>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2D7098">
        <w:rPr>
          <w:rFonts w:ascii="Palatino Linotype" w:eastAsiaTheme="minorHAnsi" w:hAnsi="Palatino Linotype" w:cs="Arial"/>
          <w:szCs w:val="22"/>
          <w:lang w:val="es-MX" w:eastAsia="es-MX"/>
        </w:rPr>
        <w:t>homoclave</w:t>
      </w:r>
      <w:proofErr w:type="spellEnd"/>
      <w:r w:rsidRPr="002D7098">
        <w:rPr>
          <w:rFonts w:ascii="Palatino Linotype" w:eastAsiaTheme="minorHAnsi" w:hAnsi="Palatino Linotype" w:cs="Arial"/>
          <w:szCs w:val="22"/>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450CC8A" w14:textId="77777777" w:rsidR="002D7098" w:rsidRPr="002D7098" w:rsidRDefault="002D7098" w:rsidP="002D7098">
      <w:pPr>
        <w:spacing w:after="160" w:line="259" w:lineRule="auto"/>
        <w:ind w:right="-93"/>
        <w:jc w:val="both"/>
        <w:rPr>
          <w:rFonts w:ascii="Palatino Linotype" w:eastAsiaTheme="minorHAnsi" w:hAnsi="Palatino Linotype" w:cs="Arial"/>
          <w:sz w:val="16"/>
          <w:szCs w:val="16"/>
          <w:lang w:val="es-MX" w:eastAsia="es-MX"/>
        </w:rPr>
      </w:pPr>
    </w:p>
    <w:p w14:paraId="1AC39391"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De igual manera la </w:t>
      </w:r>
      <w:r w:rsidRPr="002D7098">
        <w:rPr>
          <w:rFonts w:ascii="Palatino Linotype" w:eastAsiaTheme="minorHAnsi" w:hAnsi="Palatino Linotype" w:cs="Arial"/>
          <w:b/>
          <w:szCs w:val="22"/>
          <w:lang w:val="es-MX" w:eastAsia="en-US"/>
        </w:rPr>
        <w:t xml:space="preserve">Clave Única de Registro de Población, </w:t>
      </w:r>
      <w:r w:rsidRPr="002D7098">
        <w:rPr>
          <w:rFonts w:ascii="Palatino Linotype" w:eastAsiaTheme="minorHAnsi" w:hAnsi="Palatino Linotype" w:cs="Arial"/>
          <w:szCs w:val="22"/>
          <w:lang w:val="es-MX" w:eastAsia="es-MX"/>
        </w:rPr>
        <w:t xml:space="preserve">constituye un dato personal, ya que tiene como finalidad registrar a cada una de las personas que integran la </w:t>
      </w:r>
      <w:r w:rsidRPr="002D7098">
        <w:rPr>
          <w:rFonts w:ascii="Palatino Linotype" w:eastAsiaTheme="minorHAnsi" w:hAnsi="Palatino Linotype" w:cs="Arial"/>
          <w:szCs w:val="22"/>
          <w:lang w:val="es-MX" w:eastAsia="es-MX"/>
        </w:rPr>
        <w:lastRenderedPageBreak/>
        <w:t>población del país, con los datos que permitan certificar y acreditar fehacientemente su identidad, la cual servirá para identificarla de manera individual.</w:t>
      </w:r>
    </w:p>
    <w:p w14:paraId="5C00D573"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p>
    <w:p w14:paraId="27098A53" w14:textId="77777777" w:rsidR="002D709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Lo anterior, tiene sustento en los artículos 86 y 91, de la Ley General de Población, la cual señala lo siguiente:</w:t>
      </w:r>
    </w:p>
    <w:p w14:paraId="340C5B0F" w14:textId="77777777" w:rsidR="002D7098" w:rsidRPr="002D7098" w:rsidRDefault="002D7098" w:rsidP="002D7098">
      <w:pPr>
        <w:rPr>
          <w:rFonts w:eastAsiaTheme="minorHAnsi"/>
          <w:lang w:val="es-MX" w:eastAsia="es-MX"/>
        </w:rPr>
      </w:pPr>
    </w:p>
    <w:p w14:paraId="590E1E2C" w14:textId="77777777" w:rsidR="002D7098" w:rsidRPr="002D7098" w:rsidRDefault="002D7098" w:rsidP="002D7098">
      <w:pPr>
        <w:rPr>
          <w:sz w:val="4"/>
          <w:lang w:val="es-MX" w:eastAsia="es-MX"/>
        </w:rPr>
      </w:pPr>
    </w:p>
    <w:p w14:paraId="0DA86204"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Bold"/>
          <w:b/>
          <w:bCs/>
          <w:i/>
          <w:sz w:val="22"/>
          <w:szCs w:val="22"/>
          <w:lang w:val="es-MX" w:eastAsia="es-MX"/>
        </w:rPr>
        <w:t xml:space="preserve">“Artículo 86. </w:t>
      </w:r>
      <w:r w:rsidRPr="002D7098">
        <w:rPr>
          <w:rFonts w:ascii="Palatino Linotype" w:eastAsiaTheme="minorHAnsi" w:hAnsi="Palatino Linotype" w:cs="Arial"/>
          <w:i/>
          <w:sz w:val="22"/>
          <w:szCs w:val="22"/>
          <w:lang w:val="es-MX" w:eastAsia="es-MX"/>
        </w:rPr>
        <w:t xml:space="preserve">El </w:t>
      </w:r>
      <w:r w:rsidRPr="002D7098">
        <w:rPr>
          <w:rFonts w:ascii="Palatino Linotype" w:eastAsiaTheme="minorHAnsi" w:hAnsi="Palatino Linotype" w:cs="Arial"/>
          <w:i/>
          <w:color w:val="000000"/>
          <w:sz w:val="22"/>
          <w:szCs w:val="22"/>
          <w:lang w:val="es-MX" w:eastAsia="en-US"/>
        </w:rPr>
        <w:t>Registro</w:t>
      </w:r>
      <w:r w:rsidRPr="002D7098">
        <w:rPr>
          <w:rFonts w:ascii="Palatino Linotype" w:eastAsiaTheme="minorHAnsi" w:hAnsi="Palatino Linotype" w:cs="Arial"/>
          <w:i/>
          <w:sz w:val="22"/>
          <w:szCs w:val="22"/>
          <w:lang w:val="es-MX" w:eastAsia="es-MX"/>
        </w:rPr>
        <w:t xml:space="preserve"> Nacional </w:t>
      </w:r>
      <w:r w:rsidRPr="002D7098">
        <w:rPr>
          <w:rFonts w:ascii="Palatino Linotype" w:eastAsiaTheme="minorHAnsi" w:hAnsi="Palatino Linotype" w:cs="Arial"/>
          <w:i/>
          <w:sz w:val="22"/>
          <w:szCs w:val="22"/>
          <w:lang w:val="es-MX" w:eastAsia="en-US"/>
        </w:rPr>
        <w:t>de</w:t>
      </w:r>
      <w:r w:rsidRPr="002D7098">
        <w:rPr>
          <w:rFonts w:ascii="Palatino Linotype" w:eastAsiaTheme="minorHAnsi" w:hAnsi="Palatino Linotype" w:cs="Arial"/>
          <w:i/>
          <w:sz w:val="22"/>
          <w:szCs w:val="22"/>
          <w:lang w:val="es-MX" w:eastAsia="es-MX"/>
        </w:rPr>
        <w:t xml:space="preserve"> Población tiene como finalidad registrar a cada una de las personas que integran la población del país, con los datos que permitan certificar y acreditar fehacientemente su identidad.</w:t>
      </w:r>
    </w:p>
    <w:p w14:paraId="0FC4F9BD" w14:textId="77777777" w:rsidR="002D7098" w:rsidRPr="002D7098" w:rsidRDefault="002D7098" w:rsidP="002D7098">
      <w:pPr>
        <w:spacing w:line="276" w:lineRule="auto"/>
        <w:ind w:left="851" w:right="900"/>
        <w:jc w:val="both"/>
        <w:rPr>
          <w:rFonts w:ascii="Palatino Linotype" w:eastAsiaTheme="minorHAnsi" w:hAnsi="Palatino Linotype" w:cs="Arial,Bold"/>
          <w:b/>
          <w:bCs/>
          <w:i/>
          <w:sz w:val="22"/>
          <w:szCs w:val="22"/>
          <w:lang w:val="es-MX" w:eastAsia="es-MX"/>
        </w:rPr>
      </w:pPr>
    </w:p>
    <w:p w14:paraId="12AD89AD"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Bold"/>
          <w:b/>
          <w:bCs/>
          <w:i/>
          <w:sz w:val="22"/>
          <w:szCs w:val="22"/>
          <w:lang w:val="es-MX" w:eastAsia="es-MX"/>
        </w:rPr>
        <w:t xml:space="preserve">Artículo 91. </w:t>
      </w:r>
      <w:r w:rsidRPr="002D7098">
        <w:rPr>
          <w:rFonts w:ascii="Palatino Linotype" w:eastAsiaTheme="minorHAnsi" w:hAnsi="Palatino Linotype" w:cs="Arial"/>
          <w:i/>
          <w:sz w:val="22"/>
          <w:szCs w:val="22"/>
          <w:lang w:val="es-MX" w:eastAsia="es-MX"/>
        </w:rPr>
        <w:t xml:space="preserve">Al incorporar a una persona en el Registro Nacional de Población, se le asignará una clave que se denominará </w:t>
      </w:r>
      <w:r w:rsidRPr="002D7098">
        <w:rPr>
          <w:rFonts w:ascii="Palatino Linotype" w:eastAsiaTheme="minorHAnsi" w:hAnsi="Palatino Linotype" w:cs="Arial"/>
          <w:i/>
          <w:color w:val="000000"/>
          <w:sz w:val="22"/>
          <w:szCs w:val="22"/>
          <w:lang w:val="es-MX" w:eastAsia="en-US"/>
        </w:rPr>
        <w:t>Clave</w:t>
      </w:r>
      <w:r w:rsidRPr="002D7098">
        <w:rPr>
          <w:rFonts w:ascii="Palatino Linotype" w:eastAsiaTheme="minorHAnsi" w:hAnsi="Palatino Linotype" w:cs="Arial"/>
          <w:i/>
          <w:sz w:val="22"/>
          <w:szCs w:val="22"/>
          <w:lang w:val="es-MX" w:eastAsia="es-MX"/>
        </w:rPr>
        <w:t xml:space="preserve"> Única de Registro de Población. Esta servirá para registrarla e identificarla en forma </w:t>
      </w:r>
      <w:r w:rsidRPr="002D7098">
        <w:rPr>
          <w:rFonts w:ascii="Palatino Linotype" w:eastAsiaTheme="minorHAnsi" w:hAnsi="Palatino Linotype" w:cs="Arial"/>
          <w:i/>
          <w:sz w:val="22"/>
          <w:szCs w:val="22"/>
          <w:lang w:val="es-MX" w:eastAsia="en-US"/>
        </w:rPr>
        <w:t>individual</w:t>
      </w:r>
      <w:r w:rsidRPr="002D7098">
        <w:rPr>
          <w:rFonts w:ascii="Palatino Linotype" w:eastAsiaTheme="minorHAnsi" w:hAnsi="Palatino Linotype" w:cs="Arial"/>
          <w:i/>
          <w:sz w:val="22"/>
          <w:szCs w:val="22"/>
          <w:lang w:val="es-MX" w:eastAsia="es-MX"/>
        </w:rPr>
        <w:t>.”</w:t>
      </w:r>
    </w:p>
    <w:p w14:paraId="2687664D" w14:textId="77777777" w:rsidR="002D7098" w:rsidRPr="002D7098" w:rsidRDefault="002D7098" w:rsidP="002D7098">
      <w:pPr>
        <w:spacing w:line="276" w:lineRule="auto"/>
        <w:ind w:left="851" w:right="900"/>
        <w:jc w:val="both"/>
        <w:rPr>
          <w:rFonts w:ascii="Palatino Linotype" w:eastAsiaTheme="minorHAnsi" w:hAnsi="Palatino Linotype" w:cs="Arial"/>
          <w:i/>
          <w:sz w:val="22"/>
          <w:szCs w:val="22"/>
          <w:lang w:val="es-MX" w:eastAsia="es-MX"/>
        </w:rPr>
      </w:pPr>
    </w:p>
    <w:p w14:paraId="336C5125" w14:textId="77777777" w:rsidR="002D7098" w:rsidRPr="002D7098" w:rsidRDefault="002D7098" w:rsidP="002D7098">
      <w:pPr>
        <w:shd w:val="clear" w:color="auto" w:fill="FFFFFF"/>
        <w:spacing w:line="360" w:lineRule="auto"/>
        <w:jc w:val="both"/>
        <w:rPr>
          <w:rFonts w:ascii="Palatino Linotype" w:eastAsiaTheme="minorHAnsi" w:hAnsi="Palatino Linotype" w:cstheme="minorBidi"/>
          <w:szCs w:val="22"/>
          <w:lang w:val="es-MX" w:eastAsia="es-MX"/>
        </w:rPr>
      </w:pPr>
      <w:r w:rsidRPr="002D7098">
        <w:rPr>
          <w:rFonts w:ascii="Palatino Linotype" w:eastAsiaTheme="minorHAnsi" w:hAnsi="Palatino Linotype" w:cstheme="minorBidi"/>
          <w:szCs w:val="22"/>
          <w:lang w:val="es-MX"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2D7098">
        <w:rPr>
          <w:rFonts w:ascii="Palatino Linotype" w:eastAsiaTheme="minorHAnsi" w:hAnsi="Palatino Linotype" w:cs="Arial"/>
          <w:szCs w:val="22"/>
          <w:lang w:val="es-MX" w:eastAsia="es-MX"/>
        </w:rPr>
        <w:t>la primera letra del apellido paterno; seguida de la primera letra vocal del primer apellido; seguida de la primera letra del segundo apellido y por último la primera letra del nombre; fecha de nacimiento año/mes/día</w:t>
      </w:r>
      <w:r w:rsidRPr="002D7098">
        <w:rPr>
          <w:rFonts w:ascii="Palatino Linotype" w:eastAsiaTheme="minorHAnsi" w:hAnsi="Palatino Linotype" w:cstheme="minorBidi"/>
          <w:szCs w:val="22"/>
          <w:lang w:val="es-MX" w:eastAsia="es-MX"/>
        </w:rPr>
        <w:t xml:space="preserve">; sexo; entidad federativa o lugar de nacimiento; finalmente una </w:t>
      </w:r>
      <w:proofErr w:type="spellStart"/>
      <w:r w:rsidRPr="002D7098">
        <w:rPr>
          <w:rFonts w:ascii="Palatino Linotype" w:eastAsiaTheme="minorHAnsi" w:hAnsi="Palatino Linotype" w:cstheme="minorBidi"/>
          <w:szCs w:val="22"/>
          <w:lang w:val="es-MX" w:eastAsia="es-MX"/>
        </w:rPr>
        <w:t>homoclave</w:t>
      </w:r>
      <w:proofErr w:type="spellEnd"/>
      <w:r w:rsidRPr="002D7098">
        <w:rPr>
          <w:rFonts w:ascii="Palatino Linotype" w:eastAsiaTheme="minorHAnsi" w:hAnsi="Palatino Linotype" w:cstheme="minorBidi"/>
          <w:szCs w:val="22"/>
          <w:lang w:val="es-MX" w:eastAsia="es-MX"/>
        </w:rPr>
        <w:t xml:space="preserve"> o digito verificador, compuesto de dos elementos, con el que se evitan duplicaciones en la Clave, identifican el cambio de siglo y garantizan la correcta integración. </w:t>
      </w:r>
    </w:p>
    <w:p w14:paraId="5D71C29E"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p>
    <w:p w14:paraId="704420DB" w14:textId="77777777" w:rsidR="002D7098" w:rsidRPr="002D7098" w:rsidRDefault="002D7098" w:rsidP="002D7098">
      <w:pPr>
        <w:spacing w:after="160" w:line="360" w:lineRule="auto"/>
        <w:ind w:right="-91"/>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Al respecto, el INAI a través del Criterio 18/17, señala literalmente lo siguiente:</w:t>
      </w:r>
    </w:p>
    <w:p w14:paraId="00AD5C43" w14:textId="77777777" w:rsidR="002D7098" w:rsidRPr="002D7098" w:rsidRDefault="002D7098" w:rsidP="002D7098">
      <w:pPr>
        <w:spacing w:before="120" w:after="120" w:line="259" w:lineRule="auto"/>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b/>
          <w:bCs/>
          <w:i/>
          <w:sz w:val="22"/>
          <w:szCs w:val="22"/>
          <w:lang w:val="es-MX" w:eastAsia="es-MX"/>
        </w:rPr>
        <w:lastRenderedPageBreak/>
        <w:t>“Clave Única de Registro de Población (CURP)</w:t>
      </w:r>
      <w:r w:rsidRPr="002D7098">
        <w:rPr>
          <w:rFonts w:ascii="Palatino Linotype" w:eastAsiaTheme="minorHAnsi" w:hAnsi="Palatino Linotype" w:cs="Arial"/>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5B91CA2" w14:textId="77777777" w:rsidR="002D7098" w:rsidRPr="002D7098" w:rsidRDefault="002D7098" w:rsidP="002D7098">
      <w:pPr>
        <w:spacing w:before="120" w:after="120" w:line="259" w:lineRule="auto"/>
        <w:ind w:left="851" w:right="900"/>
        <w:jc w:val="both"/>
        <w:rPr>
          <w:rFonts w:ascii="Palatino Linotype" w:eastAsiaTheme="minorHAnsi" w:hAnsi="Palatino Linotype" w:cs="Arial"/>
          <w:i/>
          <w:sz w:val="22"/>
          <w:szCs w:val="22"/>
          <w:lang w:val="es-MX" w:eastAsia="es-MX"/>
        </w:rPr>
      </w:pPr>
    </w:p>
    <w:p w14:paraId="798C1F5B" w14:textId="77777777" w:rsidR="002D7098" w:rsidRPr="002D7098" w:rsidRDefault="002D7098" w:rsidP="002D7098">
      <w:pPr>
        <w:ind w:left="851" w:right="900"/>
        <w:jc w:val="both"/>
        <w:rPr>
          <w:rFonts w:ascii="Palatino Linotype" w:eastAsiaTheme="minorHAnsi" w:hAnsi="Palatino Linotype" w:cs="Arial"/>
          <w:b/>
          <w:i/>
          <w:sz w:val="22"/>
          <w:szCs w:val="22"/>
          <w:lang w:val="es-MX" w:eastAsia="es-MX"/>
        </w:rPr>
      </w:pPr>
      <w:r w:rsidRPr="002D7098">
        <w:rPr>
          <w:rFonts w:ascii="Palatino Linotype" w:eastAsiaTheme="minorHAnsi" w:hAnsi="Palatino Linotype" w:cs="Arial"/>
          <w:b/>
          <w:i/>
          <w:sz w:val="22"/>
          <w:szCs w:val="22"/>
          <w:lang w:val="es-MX" w:eastAsia="es-MX"/>
        </w:rPr>
        <w:t>Resoluciones:</w:t>
      </w:r>
    </w:p>
    <w:p w14:paraId="0F9BEDB8" w14:textId="77777777" w:rsidR="002D7098" w:rsidRPr="002D7098" w:rsidRDefault="002D7098" w:rsidP="002D7098">
      <w:pPr>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3995/16</w:t>
      </w:r>
      <w:r w:rsidRPr="002D7098">
        <w:rPr>
          <w:rFonts w:ascii="Palatino Linotype" w:eastAsiaTheme="minorHAnsi" w:hAnsi="Palatino Linotype" w:cs="Arial"/>
          <w:i/>
          <w:sz w:val="22"/>
          <w:szCs w:val="22"/>
          <w:lang w:val="es-MX" w:eastAsia="es-MX"/>
        </w:rPr>
        <w:t xml:space="preserve">. Secretaría de la Defensa Nacional. 1 de febrero de 2017. Por unanimidad. Comisionado Ponente </w:t>
      </w:r>
      <w:proofErr w:type="spellStart"/>
      <w:r w:rsidRPr="002D7098">
        <w:rPr>
          <w:rFonts w:ascii="Palatino Linotype" w:eastAsiaTheme="minorHAnsi" w:hAnsi="Palatino Linotype" w:cs="Arial"/>
          <w:i/>
          <w:sz w:val="22"/>
          <w:szCs w:val="22"/>
          <w:lang w:val="es-MX" w:eastAsia="es-MX"/>
        </w:rPr>
        <w:t>Rosendoevgueni</w:t>
      </w:r>
      <w:proofErr w:type="spellEnd"/>
      <w:r w:rsidRPr="002D7098">
        <w:rPr>
          <w:rFonts w:ascii="Palatino Linotype" w:eastAsiaTheme="minorHAnsi" w:hAnsi="Palatino Linotype" w:cs="Arial"/>
          <w:i/>
          <w:sz w:val="22"/>
          <w:szCs w:val="22"/>
          <w:lang w:val="es-MX" w:eastAsia="es-MX"/>
        </w:rPr>
        <w:t xml:space="preserve"> Monterrey </w:t>
      </w:r>
      <w:proofErr w:type="spellStart"/>
      <w:r w:rsidRPr="002D7098">
        <w:rPr>
          <w:rFonts w:ascii="Palatino Linotype" w:eastAsiaTheme="minorHAnsi" w:hAnsi="Palatino Linotype" w:cs="Arial"/>
          <w:i/>
          <w:sz w:val="22"/>
          <w:szCs w:val="22"/>
          <w:lang w:val="es-MX" w:eastAsia="es-MX"/>
        </w:rPr>
        <w:t>Chepov</w:t>
      </w:r>
      <w:proofErr w:type="spellEnd"/>
      <w:r w:rsidRPr="002D7098">
        <w:rPr>
          <w:rFonts w:ascii="Palatino Linotype" w:eastAsiaTheme="minorHAnsi" w:hAnsi="Palatino Linotype" w:cs="Arial"/>
          <w:i/>
          <w:sz w:val="22"/>
          <w:szCs w:val="22"/>
          <w:lang w:val="es-MX" w:eastAsia="es-MX"/>
        </w:rPr>
        <w:t>.</w:t>
      </w:r>
    </w:p>
    <w:p w14:paraId="6BFB6D41" w14:textId="77777777" w:rsidR="002D7098" w:rsidRPr="002D7098" w:rsidRDefault="002D7098" w:rsidP="002D7098">
      <w:pPr>
        <w:ind w:left="851" w:right="900"/>
        <w:jc w:val="both"/>
        <w:rPr>
          <w:rFonts w:ascii="Palatino Linotype" w:eastAsiaTheme="minorHAnsi" w:hAnsi="Palatino Linotype" w:cs="Arial"/>
          <w:i/>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0937/17</w:t>
      </w:r>
      <w:r w:rsidRPr="002D7098">
        <w:rPr>
          <w:rFonts w:ascii="Palatino Linotype" w:eastAsiaTheme="minorHAnsi" w:hAnsi="Palatino Linotype" w:cs="Arial"/>
          <w:i/>
          <w:sz w:val="22"/>
          <w:szCs w:val="22"/>
          <w:lang w:val="es-MX" w:eastAsia="es-MX"/>
        </w:rPr>
        <w:t xml:space="preserve">. Senado de la República. 15 de marzo de 2017. Por unanimidad. Comisionada Ponente Ximena Puente de la Mora. </w:t>
      </w:r>
    </w:p>
    <w:p w14:paraId="279B4668" w14:textId="77777777" w:rsidR="002D7098" w:rsidRPr="002D7098" w:rsidRDefault="002D7098" w:rsidP="002D7098">
      <w:pPr>
        <w:ind w:left="851" w:right="900"/>
        <w:jc w:val="both"/>
        <w:rPr>
          <w:rFonts w:ascii="Palatino Linotype" w:eastAsiaTheme="minorHAnsi" w:hAnsi="Palatino Linotype" w:cs="Arial"/>
          <w:sz w:val="22"/>
          <w:szCs w:val="22"/>
          <w:lang w:val="es-MX" w:eastAsia="es-MX"/>
        </w:rPr>
      </w:pPr>
      <w:r w:rsidRPr="002D7098">
        <w:rPr>
          <w:rFonts w:ascii="Palatino Linotype" w:eastAsiaTheme="minorHAnsi" w:hAnsi="Palatino Linotype" w:cs="Arial"/>
          <w:i/>
          <w:sz w:val="22"/>
          <w:szCs w:val="22"/>
          <w:lang w:val="es-MX" w:eastAsia="es-MX"/>
        </w:rPr>
        <w:t>•</w:t>
      </w:r>
      <w:r w:rsidRPr="002D7098">
        <w:rPr>
          <w:rFonts w:ascii="Palatino Linotype" w:eastAsiaTheme="minorHAnsi" w:hAnsi="Palatino Linotype" w:cs="Arial"/>
          <w:i/>
          <w:sz w:val="22"/>
          <w:szCs w:val="22"/>
          <w:lang w:val="es-MX" w:eastAsia="es-MX"/>
        </w:rPr>
        <w:tab/>
      </w:r>
      <w:r w:rsidRPr="002D7098">
        <w:rPr>
          <w:rFonts w:ascii="Palatino Linotype" w:eastAsiaTheme="minorHAnsi" w:hAnsi="Palatino Linotype" w:cs="Arial"/>
          <w:b/>
          <w:i/>
          <w:sz w:val="22"/>
          <w:szCs w:val="22"/>
          <w:lang w:val="es-MX" w:eastAsia="es-MX"/>
        </w:rPr>
        <w:t>RRA 0478/17</w:t>
      </w:r>
      <w:r w:rsidRPr="002D7098">
        <w:rPr>
          <w:rFonts w:ascii="Palatino Linotype" w:eastAsiaTheme="minorHAnsi" w:hAnsi="Palatino Linotype" w:cs="Arial"/>
          <w:i/>
          <w:sz w:val="22"/>
          <w:szCs w:val="22"/>
          <w:lang w:val="es-MX" w:eastAsia="es-MX"/>
        </w:rPr>
        <w:t>. Secretaría de Relaciones Exteriores. 26 de abril de 2017. Por unanimidad. Comisionada Ponente Areli Cano Guadiana.</w:t>
      </w:r>
      <w:r w:rsidRPr="002D7098">
        <w:rPr>
          <w:rFonts w:ascii="Palatino Linotype" w:eastAsiaTheme="minorHAnsi" w:hAnsi="Palatino Linotype" w:cs="Arial"/>
          <w:i/>
          <w:sz w:val="22"/>
          <w:szCs w:val="22"/>
          <w:lang w:val="es-MX" w:eastAsia="en-US"/>
        </w:rPr>
        <w:t>”</w:t>
      </w:r>
    </w:p>
    <w:p w14:paraId="0AE8DDEC" w14:textId="77777777" w:rsidR="002D7098" w:rsidRPr="002D7098" w:rsidRDefault="002D7098" w:rsidP="002D7098">
      <w:pPr>
        <w:spacing w:after="160" w:line="360" w:lineRule="auto"/>
        <w:ind w:left="851" w:right="900"/>
        <w:jc w:val="both"/>
        <w:rPr>
          <w:rFonts w:ascii="Palatino Linotype" w:eastAsiaTheme="minorHAnsi" w:hAnsi="Palatino Linotype" w:cs="Arial"/>
          <w:sz w:val="16"/>
          <w:szCs w:val="16"/>
          <w:lang w:val="es-MX" w:eastAsia="es-MX"/>
        </w:rPr>
      </w:pPr>
    </w:p>
    <w:p w14:paraId="22966DEB" w14:textId="77777777" w:rsidR="002D7098" w:rsidRPr="002D7098" w:rsidRDefault="002D7098" w:rsidP="002D7098">
      <w:pPr>
        <w:spacing w:after="160"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De lo anterior, se desprende que la </w:t>
      </w:r>
      <w:r w:rsidRPr="002D7098">
        <w:rPr>
          <w:rFonts w:ascii="Palatino Linotype" w:eastAsiaTheme="minorHAnsi" w:hAnsi="Palatino Linotype" w:cstheme="minorBidi"/>
          <w:szCs w:val="22"/>
          <w:lang w:val="es-MX" w:eastAsia="es-MX"/>
        </w:rPr>
        <w:t xml:space="preserve">Clave Única de Registro de Población, </w:t>
      </w:r>
      <w:r w:rsidRPr="002D7098">
        <w:rPr>
          <w:rFonts w:ascii="Palatino Linotype" w:eastAsiaTheme="minorHAnsi" w:hAnsi="Palatino Linotype" w:cs="Arial"/>
          <w:szCs w:val="22"/>
          <w:lang w:val="es-MX" w:eastAsia="es-MX"/>
        </w:rPr>
        <w:t xml:space="preserve">se encuentra vinculado al nombre de la persona, permitiendo identificar la edad, fecha de nacimiento, sexo, lugar de nacimiento, así como su </w:t>
      </w:r>
      <w:proofErr w:type="spellStart"/>
      <w:r w:rsidRPr="002D7098">
        <w:rPr>
          <w:rFonts w:ascii="Palatino Linotype" w:eastAsiaTheme="minorHAnsi" w:hAnsi="Palatino Linotype" w:cs="Arial"/>
          <w:szCs w:val="22"/>
          <w:lang w:val="es-MX" w:eastAsia="es-MX"/>
        </w:rPr>
        <w:t>homoclave</w:t>
      </w:r>
      <w:proofErr w:type="spellEnd"/>
      <w:r w:rsidRPr="002D7098">
        <w:rPr>
          <w:rFonts w:ascii="Palatino Linotype" w:eastAsiaTheme="minorHAnsi" w:hAnsi="Palatino Linotype" w:cs="Arial"/>
          <w:szCs w:val="22"/>
          <w:lang w:val="es-MX"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0039948" w14:textId="77777777" w:rsidR="002D7098" w:rsidRPr="002D7098" w:rsidRDefault="002D7098" w:rsidP="002D7098">
      <w:pPr>
        <w:rPr>
          <w:lang w:val="es-MX"/>
        </w:rPr>
      </w:pPr>
    </w:p>
    <w:p w14:paraId="49540140" w14:textId="6581D390" w:rsidR="00D47C18" w:rsidRPr="002D7098" w:rsidRDefault="002D7098" w:rsidP="002D7098">
      <w:pPr>
        <w:spacing w:line="360" w:lineRule="auto"/>
        <w:ind w:right="-93"/>
        <w:jc w:val="both"/>
        <w:rPr>
          <w:rFonts w:ascii="Palatino Linotype" w:eastAsiaTheme="minorHAnsi" w:hAnsi="Palatino Linotype" w:cs="Arial"/>
          <w:szCs w:val="22"/>
          <w:lang w:val="es-MX" w:eastAsia="es-MX"/>
        </w:rPr>
      </w:pPr>
      <w:r w:rsidRPr="002D7098">
        <w:rPr>
          <w:rFonts w:ascii="Palatino Linotype" w:eastAsiaTheme="minorHAnsi" w:hAnsi="Palatino Linotype" w:cs="Arial"/>
          <w:szCs w:val="22"/>
          <w:lang w:val="es-MX" w:eastAsia="es-MX"/>
        </w:rPr>
        <w:t xml:space="preserve">Por cuanto hace a la </w:t>
      </w:r>
      <w:r w:rsidRPr="002D7098">
        <w:rPr>
          <w:rFonts w:ascii="Palatino Linotype" w:eastAsiaTheme="minorHAnsi" w:hAnsi="Palatino Linotype" w:cs="Arial"/>
          <w:b/>
          <w:szCs w:val="22"/>
          <w:lang w:val="es-MX" w:eastAsia="en-US"/>
        </w:rPr>
        <w:t>Clave de cualquier tipo de seguridad social</w:t>
      </w:r>
      <w:r w:rsidRPr="002D7098">
        <w:rPr>
          <w:rFonts w:ascii="Palatino Linotype" w:eastAsiaTheme="minorHAnsi" w:hAnsi="Palatino Linotype" w:cs="Arial"/>
          <w:szCs w:val="22"/>
          <w:lang w:val="es-MX" w:eastAsia="en-US"/>
        </w:rPr>
        <w:t xml:space="preserve"> (ISSEMYM, u otros), está integrada por una </w:t>
      </w:r>
      <w:r w:rsidRPr="002D7098">
        <w:rPr>
          <w:rFonts w:ascii="Palatino Linotype" w:eastAsiaTheme="minorHAnsi" w:hAnsi="Palatino Linotype" w:cs="Arial"/>
          <w:bCs/>
          <w:szCs w:val="22"/>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D7098">
        <w:rPr>
          <w:rFonts w:ascii="Palatino Linotype" w:eastAsiaTheme="minorHAnsi" w:hAnsi="Palatino Linotype" w:cs="Arial"/>
          <w:szCs w:val="22"/>
          <w:lang w:val="es-MX" w:eastAsia="es-MX"/>
        </w:rPr>
        <w:t xml:space="preserve">dato que únicamente le atañen al servidor público, por lo que constituye </w:t>
      </w:r>
      <w:r w:rsidRPr="002D7098">
        <w:rPr>
          <w:rFonts w:ascii="Palatino Linotype" w:eastAsiaTheme="minorHAnsi" w:hAnsi="Palatino Linotype" w:cs="Arial"/>
          <w:szCs w:val="22"/>
          <w:lang w:val="es-MX" w:eastAsia="es-MX"/>
        </w:rPr>
        <w:lastRenderedPageBreak/>
        <w:t>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F7F93FC" w14:textId="77777777" w:rsidR="002D7098" w:rsidRPr="002D7098" w:rsidRDefault="002D7098" w:rsidP="002D7098">
      <w:pPr>
        <w:widowControl w:val="0"/>
        <w:autoSpaceDE w:val="0"/>
        <w:autoSpaceDN w:val="0"/>
        <w:adjustRightInd w:val="0"/>
        <w:spacing w:line="360" w:lineRule="auto"/>
        <w:jc w:val="both"/>
        <w:rPr>
          <w:rFonts w:ascii="Palatino Linotype" w:eastAsiaTheme="minorHAnsi" w:hAnsi="Palatino Linotype" w:cs="Arial"/>
          <w:szCs w:val="22"/>
          <w:lang w:val="es-ES_tradnl" w:eastAsia="en-US"/>
        </w:rPr>
      </w:pPr>
    </w:p>
    <w:p w14:paraId="1C5CFEA8" w14:textId="7DBF419B" w:rsidR="002D7098" w:rsidRPr="002D7098" w:rsidRDefault="002D7098" w:rsidP="002D7098">
      <w:pPr>
        <w:spacing w:line="360" w:lineRule="auto"/>
        <w:jc w:val="both"/>
        <w:rPr>
          <w:rFonts w:ascii="Palatino Linotype" w:hAnsi="Palatino Linotype"/>
          <w:lang w:val="es-MX"/>
        </w:rPr>
      </w:pPr>
      <w:r w:rsidRPr="002D7098">
        <w:rPr>
          <w:rFonts w:ascii="Palatino Linotype" w:hAnsi="Palatino Linotype"/>
          <w:lang w:val="es-MX"/>
        </w:rPr>
        <w:t>En mérito de lo expuesto en líneas anteriores, resultan fundados los motivos de inconformidad que arguye el</w:t>
      </w:r>
      <w:r w:rsidRPr="002D7098">
        <w:rPr>
          <w:rFonts w:ascii="Palatino Linotype" w:hAnsi="Palatino Linotype"/>
          <w:b/>
          <w:lang w:val="es-MX"/>
        </w:rPr>
        <w:t xml:space="preserve"> Recurrente</w:t>
      </w:r>
      <w:r w:rsidRPr="002D7098">
        <w:rPr>
          <w:rFonts w:ascii="Palatino Linotype" w:hAnsi="Palatino Linotype"/>
          <w:lang w:val="es-MX"/>
        </w:rPr>
        <w:t xml:space="preserve"> en su medio de impugnación que fue materia de estudio, por ello </w:t>
      </w:r>
      <w:r w:rsidRPr="002D7098">
        <w:rPr>
          <w:rFonts w:ascii="Palatino Linotype" w:hAnsi="Palatino Linotype" w:cs="Arial"/>
          <w:lang w:val="es-MX"/>
        </w:rPr>
        <w:t>con fundamento en la segunda hipótesis de la</w:t>
      </w:r>
      <w:r w:rsidRPr="002D7098">
        <w:rPr>
          <w:rFonts w:ascii="Palatino Linotype" w:hAnsi="Palatino Linotype" w:cs="Arial"/>
          <w:b/>
          <w:lang w:val="es-MX"/>
        </w:rPr>
        <w:t xml:space="preserve"> </w:t>
      </w:r>
      <w:r w:rsidRPr="002D7098">
        <w:rPr>
          <w:rFonts w:ascii="Palatino Linotype" w:hAnsi="Palatino Linotype" w:cs="Arial"/>
          <w:lang w:val="es-MX"/>
        </w:rPr>
        <w:t>fracción</w:t>
      </w:r>
      <w:r w:rsidRPr="002D7098">
        <w:rPr>
          <w:rFonts w:ascii="Palatino Linotype" w:hAnsi="Palatino Linotype" w:cs="Arial"/>
          <w:b/>
          <w:lang w:val="es-MX"/>
        </w:rPr>
        <w:t xml:space="preserve"> </w:t>
      </w:r>
      <w:r w:rsidRPr="002D7098">
        <w:rPr>
          <w:rFonts w:ascii="Palatino Linotype" w:hAnsi="Palatino Linotype" w:cs="Arial"/>
          <w:lang w:val="es-MX"/>
        </w:rPr>
        <w:t>III, del artículo 186,</w:t>
      </w:r>
      <w:r w:rsidRPr="002D7098">
        <w:rPr>
          <w:rFonts w:ascii="Palatino Linotype" w:hAnsi="Palatino Linotype" w:cs="Arial"/>
          <w:b/>
          <w:lang w:val="es-MX"/>
        </w:rPr>
        <w:t xml:space="preserve"> </w:t>
      </w:r>
      <w:r w:rsidRPr="002D7098">
        <w:rPr>
          <w:rFonts w:ascii="Palatino Linotype" w:hAnsi="Palatino Linotype" w:cs="Arial"/>
          <w:lang w:val="es-MX"/>
        </w:rPr>
        <w:t xml:space="preserve">de la Ley de Transparencia y Acceso a la Información Pública del Estado de México y Municipios, se </w:t>
      </w:r>
      <w:r w:rsidRPr="002D7098">
        <w:rPr>
          <w:rFonts w:ascii="Palatino Linotype" w:hAnsi="Palatino Linotype" w:cs="Arial"/>
          <w:b/>
          <w:lang w:val="es-MX"/>
        </w:rPr>
        <w:t xml:space="preserve">MODIFICA </w:t>
      </w:r>
      <w:r w:rsidRPr="002D7098">
        <w:rPr>
          <w:rFonts w:ascii="Palatino Linotype" w:hAnsi="Palatino Linotype" w:cs="Arial"/>
          <w:lang w:val="es-MX"/>
        </w:rPr>
        <w:t>la respuesta a la solicitud de información número</w:t>
      </w:r>
      <w:r w:rsidRPr="002D7098">
        <w:rPr>
          <w:rFonts w:ascii="Palatino Linotype" w:hAnsi="Palatino Linotype"/>
          <w:b/>
          <w:lang w:val="es-MX"/>
        </w:rPr>
        <w:t xml:space="preserve"> </w:t>
      </w:r>
      <w:r w:rsidR="00A23FAD" w:rsidRPr="00A23FAD">
        <w:rPr>
          <w:rFonts w:ascii="Palatino Linotype" w:eastAsiaTheme="minorHAnsi" w:hAnsi="Palatino Linotype" w:cs="Arial"/>
          <w:b/>
          <w:szCs w:val="22"/>
          <w:lang w:val="es-MX" w:eastAsia="en-US"/>
        </w:rPr>
        <w:t>00200/TEPOTZOT/IP/2021</w:t>
      </w:r>
      <w:r w:rsidRPr="002D7098">
        <w:rPr>
          <w:rFonts w:ascii="Palatino Linotype" w:eastAsiaTheme="minorHAnsi" w:hAnsi="Palatino Linotype" w:cs="Arial"/>
          <w:b/>
          <w:lang w:val="es-MX" w:eastAsia="en-US"/>
        </w:rPr>
        <w:t>,</w:t>
      </w:r>
      <w:r w:rsidRPr="002D7098">
        <w:rPr>
          <w:rFonts w:ascii="Palatino Linotype" w:hAnsi="Palatino Linotype" w:cs="Arial"/>
          <w:b/>
          <w:lang w:val="es-MX"/>
        </w:rPr>
        <w:t xml:space="preserve"> </w:t>
      </w:r>
      <w:r w:rsidRPr="002D7098">
        <w:rPr>
          <w:rFonts w:ascii="Palatino Linotype" w:hAnsi="Palatino Linotype"/>
          <w:lang w:val="es-MX"/>
        </w:rPr>
        <w:t>que ha sido materia del presente fallo.</w:t>
      </w:r>
    </w:p>
    <w:p w14:paraId="36A23592" w14:textId="77777777" w:rsidR="002D7098" w:rsidRPr="002D7098" w:rsidRDefault="002D7098" w:rsidP="002D7098">
      <w:pPr>
        <w:spacing w:line="360" w:lineRule="auto"/>
        <w:jc w:val="both"/>
        <w:rPr>
          <w:rFonts w:ascii="Palatino Linotype" w:hAnsi="Palatino Linotype"/>
          <w:lang w:val="es-MX"/>
        </w:rPr>
      </w:pPr>
    </w:p>
    <w:p w14:paraId="07EDE0E8" w14:textId="77777777" w:rsidR="002D7098" w:rsidRPr="002D7098" w:rsidRDefault="002D7098" w:rsidP="002D7098">
      <w:pPr>
        <w:spacing w:line="360" w:lineRule="auto"/>
        <w:jc w:val="both"/>
        <w:rPr>
          <w:rFonts w:ascii="Palatino Linotype" w:hAnsi="Palatino Linotype"/>
          <w:lang w:val="es-MX"/>
        </w:rPr>
      </w:pPr>
      <w:r w:rsidRPr="002D7098">
        <w:rPr>
          <w:rFonts w:ascii="Palatino Linotype" w:hAnsi="Palatino Linotype"/>
          <w:lang w:val="es-MX"/>
        </w:rPr>
        <w:t>Por lo antes expuesto y fundado es de resolverse y,</w:t>
      </w:r>
    </w:p>
    <w:p w14:paraId="4BD9E6F8" w14:textId="77777777" w:rsidR="002D7098" w:rsidRPr="002D7098" w:rsidRDefault="002D7098" w:rsidP="002D7098">
      <w:pPr>
        <w:spacing w:before="100" w:beforeAutospacing="1" w:after="100" w:afterAutospacing="1" w:line="360" w:lineRule="auto"/>
        <w:ind w:left="1080"/>
        <w:jc w:val="center"/>
        <w:rPr>
          <w:rFonts w:ascii="Palatino Linotype" w:hAnsi="Palatino Linotype" w:cs="Arial"/>
          <w:b/>
          <w:lang w:val="es-MX" w:eastAsia="es-MX"/>
        </w:rPr>
      </w:pPr>
      <w:r w:rsidRPr="002D7098">
        <w:rPr>
          <w:rFonts w:ascii="Palatino Linotype" w:hAnsi="Palatino Linotype" w:cs="Arial"/>
          <w:b/>
          <w:lang w:val="es-MX" w:eastAsia="es-MX"/>
        </w:rPr>
        <w:t>SE      R E S U E L V E:</w:t>
      </w:r>
    </w:p>
    <w:p w14:paraId="017E84E6" w14:textId="5F64533B" w:rsidR="002D7098" w:rsidRPr="002D7098" w:rsidRDefault="002D7098" w:rsidP="002D7098">
      <w:pPr>
        <w:spacing w:line="360" w:lineRule="auto"/>
        <w:jc w:val="both"/>
        <w:rPr>
          <w:rFonts w:ascii="Palatino Linotype" w:eastAsiaTheme="minorHAnsi" w:hAnsi="Palatino Linotype" w:cs="Arial"/>
          <w:b/>
          <w:lang w:val="es-MX" w:eastAsia="en-US"/>
        </w:rPr>
      </w:pPr>
      <w:r w:rsidRPr="002D7098">
        <w:rPr>
          <w:rFonts w:ascii="Palatino Linotype" w:eastAsiaTheme="minorHAnsi" w:hAnsi="Palatino Linotype" w:cs="Arial"/>
          <w:b/>
          <w:lang w:val="es-MX" w:eastAsia="en-US"/>
        </w:rPr>
        <w:t xml:space="preserve">PRIMERO. </w:t>
      </w:r>
      <w:bookmarkStart w:id="6" w:name="_Hlk63453450"/>
      <w:bookmarkStart w:id="7" w:name="_Hlk63431287"/>
      <w:r w:rsidRPr="002D7098">
        <w:rPr>
          <w:rFonts w:ascii="Palatino Linotype" w:eastAsiaTheme="minorHAnsi" w:hAnsi="Palatino Linotype" w:cs="Arial"/>
          <w:lang w:val="es-MX" w:eastAsia="en-US"/>
        </w:rPr>
        <w:t xml:space="preserve">Son fundados los motivos de inconformidad aducidos por </w:t>
      </w:r>
      <w:r w:rsidRPr="002D7098">
        <w:rPr>
          <w:rFonts w:ascii="Palatino Linotype" w:eastAsiaTheme="minorHAnsi" w:hAnsi="Palatino Linotype" w:cs="Arial"/>
          <w:b/>
          <w:lang w:val="es-MX" w:eastAsia="en-US"/>
        </w:rPr>
        <w:t>El Recurrente</w:t>
      </w:r>
      <w:r w:rsidRPr="002D7098">
        <w:rPr>
          <w:rFonts w:ascii="Palatino Linotype" w:eastAsia="Arial Unicode MS" w:hAnsi="Palatino Linotype" w:cs="Arial"/>
          <w:lang w:val="es-MX" w:eastAsia="en-US"/>
        </w:rPr>
        <w:t xml:space="preserve"> </w:t>
      </w:r>
      <w:bookmarkStart w:id="8" w:name="_Hlk62112942"/>
      <w:r w:rsidRPr="002D7098">
        <w:rPr>
          <w:rFonts w:ascii="Palatino Linotype" w:eastAsia="Arial Unicode MS" w:hAnsi="Palatino Linotype" w:cs="Arial"/>
          <w:lang w:val="es-MX" w:eastAsia="en-US"/>
        </w:rPr>
        <w:t xml:space="preserve">en el Recurso de Revisión </w:t>
      </w:r>
      <w:r w:rsidR="00A23FAD" w:rsidRPr="00A23FAD">
        <w:rPr>
          <w:rFonts w:ascii="Palatino Linotype" w:eastAsia="Arial Unicode MS" w:hAnsi="Palatino Linotype" w:cs="Arial"/>
          <w:b/>
          <w:bCs/>
          <w:lang w:val="es-MX" w:eastAsia="en-US"/>
        </w:rPr>
        <w:t>05440/INFOEM/IP/RR/2021</w:t>
      </w:r>
      <w:r w:rsidRPr="002D7098">
        <w:rPr>
          <w:rFonts w:ascii="Palatino Linotype" w:eastAsiaTheme="minorHAnsi" w:hAnsi="Palatino Linotype" w:cs="Arial"/>
          <w:lang w:val="es-MX" w:eastAsia="en-US"/>
        </w:rPr>
        <w:t xml:space="preserve">, </w:t>
      </w:r>
      <w:bookmarkEnd w:id="8"/>
      <w:r w:rsidRPr="002D7098">
        <w:rPr>
          <w:rFonts w:ascii="Palatino Linotype" w:eastAsiaTheme="minorHAnsi" w:hAnsi="Palatino Linotype" w:cs="Arial"/>
          <w:lang w:val="es-MX" w:eastAsia="en-US"/>
        </w:rPr>
        <w:t xml:space="preserve">en términos de los argumentos de derecho señalados en el considerando </w:t>
      </w:r>
      <w:r w:rsidR="00A746AA">
        <w:rPr>
          <w:rFonts w:ascii="Palatino Linotype" w:eastAsiaTheme="minorHAnsi" w:hAnsi="Palatino Linotype" w:cs="Arial"/>
          <w:lang w:val="es-MX" w:eastAsia="en-US"/>
        </w:rPr>
        <w:t>QUINTO</w:t>
      </w:r>
      <w:r w:rsidRPr="002D7098">
        <w:rPr>
          <w:rFonts w:ascii="Palatino Linotype" w:eastAsiaTheme="minorHAnsi" w:hAnsi="Palatino Linotype" w:cs="Arial"/>
          <w:lang w:val="es-MX" w:eastAsia="en-US"/>
        </w:rPr>
        <w:t xml:space="preserve">, por ende, se </w:t>
      </w:r>
      <w:r w:rsidRPr="002D7098">
        <w:rPr>
          <w:rFonts w:ascii="Palatino Linotype" w:eastAsiaTheme="minorHAnsi" w:hAnsi="Palatino Linotype" w:cs="Arial"/>
          <w:b/>
          <w:lang w:val="es-MX" w:eastAsia="en-US"/>
        </w:rPr>
        <w:t xml:space="preserve">MODIFICA, </w:t>
      </w:r>
      <w:r w:rsidRPr="002D7098">
        <w:rPr>
          <w:rFonts w:ascii="Palatino Linotype" w:eastAsiaTheme="minorHAnsi" w:hAnsi="Palatino Linotype" w:cs="Arial"/>
          <w:lang w:val="es-MX" w:eastAsia="en-US"/>
        </w:rPr>
        <w:t xml:space="preserve">la respuesta del </w:t>
      </w:r>
      <w:r w:rsidRPr="002D7098">
        <w:rPr>
          <w:rFonts w:ascii="Palatino Linotype" w:eastAsiaTheme="minorHAnsi" w:hAnsi="Palatino Linotype" w:cs="Arial"/>
          <w:b/>
          <w:lang w:val="es-MX" w:eastAsia="en-US"/>
        </w:rPr>
        <w:t>Sujeto Obligado.</w:t>
      </w:r>
    </w:p>
    <w:p w14:paraId="6DBD25FF" w14:textId="77777777" w:rsidR="002D7098" w:rsidRPr="002D7098" w:rsidRDefault="002D7098" w:rsidP="002D7098">
      <w:pPr>
        <w:spacing w:line="360" w:lineRule="auto"/>
        <w:jc w:val="both"/>
        <w:rPr>
          <w:rFonts w:ascii="Palatino Linotype" w:eastAsiaTheme="minorHAnsi" w:hAnsi="Palatino Linotype" w:cs="Arial"/>
          <w:lang w:val="es-MX" w:eastAsia="en-US"/>
        </w:rPr>
      </w:pPr>
    </w:p>
    <w:p w14:paraId="7DC75599" w14:textId="2F82A2AE" w:rsidR="002D7098" w:rsidRDefault="002D7098" w:rsidP="00CC4FA2">
      <w:pPr>
        <w:spacing w:line="360" w:lineRule="auto"/>
        <w:jc w:val="both"/>
        <w:rPr>
          <w:rFonts w:ascii="Palatino Linotype" w:eastAsiaTheme="minorHAnsi" w:hAnsi="Palatino Linotype" w:cstheme="minorBidi"/>
          <w:lang w:val="es-MX" w:eastAsia="en-US"/>
        </w:rPr>
      </w:pPr>
      <w:r w:rsidRPr="002D7098">
        <w:rPr>
          <w:rFonts w:ascii="Palatino Linotype" w:eastAsiaTheme="minorHAnsi" w:hAnsi="Palatino Linotype" w:cs="Arial"/>
          <w:b/>
          <w:lang w:val="es-MX" w:eastAsia="en-US"/>
        </w:rPr>
        <w:t>SEGUNDO.</w:t>
      </w:r>
      <w:r w:rsidRPr="002D7098">
        <w:rPr>
          <w:rFonts w:ascii="Palatino Linotype" w:eastAsia="Calibri" w:hAnsi="Palatino Linotype" w:cs="Arial"/>
          <w:lang w:val="es-MX" w:eastAsia="en-US"/>
        </w:rPr>
        <w:t xml:space="preserve"> </w:t>
      </w:r>
      <w:r w:rsidRPr="002D7098">
        <w:rPr>
          <w:rFonts w:ascii="Palatino Linotype" w:eastAsiaTheme="minorHAnsi" w:hAnsi="Palatino Linotype" w:cs="Arial"/>
          <w:lang w:val="es-MX" w:eastAsia="en-US"/>
        </w:rPr>
        <w:t>Se</w:t>
      </w:r>
      <w:r w:rsidRPr="002D7098">
        <w:rPr>
          <w:rFonts w:ascii="Palatino Linotype" w:eastAsiaTheme="minorHAnsi" w:hAnsi="Palatino Linotype" w:cs="Arial"/>
          <w:b/>
          <w:lang w:val="es-MX" w:eastAsia="en-US"/>
        </w:rPr>
        <w:t xml:space="preserve"> </w:t>
      </w:r>
      <w:r w:rsidRPr="002D7098">
        <w:rPr>
          <w:rFonts w:ascii="Palatino Linotype" w:eastAsiaTheme="minorHAnsi" w:hAnsi="Palatino Linotype" w:cstheme="minorBidi"/>
          <w:b/>
          <w:lang w:val="es-MX" w:eastAsia="en-US"/>
        </w:rPr>
        <w:t xml:space="preserve">ORDENA </w:t>
      </w:r>
      <w:r w:rsidRPr="002D7098">
        <w:rPr>
          <w:rFonts w:ascii="Palatino Linotype" w:eastAsiaTheme="minorHAnsi" w:hAnsi="Palatino Linotype" w:cstheme="minorBidi"/>
          <w:lang w:val="es-MX" w:eastAsia="en-US"/>
        </w:rPr>
        <w:t xml:space="preserve">al </w:t>
      </w:r>
      <w:r w:rsidRPr="002D7098">
        <w:rPr>
          <w:rFonts w:ascii="Palatino Linotype" w:eastAsiaTheme="minorHAnsi" w:hAnsi="Palatino Linotype" w:cstheme="minorBidi"/>
          <w:b/>
          <w:lang w:val="es-MX" w:eastAsia="en-US"/>
        </w:rPr>
        <w:t>Sujeto Obligado</w:t>
      </w:r>
      <w:r w:rsidRPr="002D7098">
        <w:rPr>
          <w:rFonts w:ascii="Palatino Linotype" w:eastAsiaTheme="minorHAnsi" w:hAnsi="Palatino Linotype" w:cstheme="minorBidi"/>
          <w:lang w:val="es-MX" w:eastAsia="en-US"/>
        </w:rPr>
        <w:t xml:space="preserve"> en términos del Considerando </w:t>
      </w:r>
      <w:r w:rsidR="00A746AA">
        <w:rPr>
          <w:rFonts w:ascii="Palatino Linotype" w:eastAsiaTheme="minorHAnsi" w:hAnsi="Palatino Linotype" w:cstheme="minorBidi"/>
          <w:lang w:val="es-MX" w:eastAsia="en-US"/>
        </w:rPr>
        <w:t>QUINTO</w:t>
      </w:r>
      <w:r w:rsidRPr="002D7098">
        <w:rPr>
          <w:rFonts w:ascii="Palatino Linotype" w:eastAsiaTheme="minorHAnsi" w:hAnsi="Palatino Linotype" w:cstheme="minorBidi"/>
          <w:lang w:val="es-MX" w:eastAsia="en-US"/>
        </w:rPr>
        <w:t xml:space="preserve">, </w:t>
      </w:r>
      <w:r w:rsidRPr="002D7098">
        <w:rPr>
          <w:rFonts w:ascii="Palatino Linotype" w:eastAsiaTheme="minorHAnsi" w:hAnsi="Palatino Linotype" w:cs="Arial"/>
          <w:lang w:val="es-MX" w:eastAsia="en-US"/>
        </w:rPr>
        <w:t xml:space="preserve">haga entrega a través a través del Sistema de Acceso a la Información Mexiquense (SAIMEX), de ser procedente en versión pública, </w:t>
      </w:r>
      <w:r w:rsidRPr="002D7098">
        <w:rPr>
          <w:rFonts w:ascii="Palatino Linotype" w:eastAsiaTheme="minorHAnsi" w:hAnsi="Palatino Linotype" w:cs="Arial"/>
          <w:bCs/>
          <w:lang w:val="es-MX" w:eastAsia="en-US"/>
        </w:rPr>
        <w:t xml:space="preserve">de </w:t>
      </w:r>
      <w:r w:rsidRPr="002D7098">
        <w:rPr>
          <w:rFonts w:ascii="Palatino Linotype" w:eastAsiaTheme="minorHAnsi" w:hAnsi="Palatino Linotype" w:cstheme="minorBidi"/>
          <w:lang w:val="es-MX" w:eastAsia="en-US"/>
        </w:rPr>
        <w:t>lo siguiente:</w:t>
      </w:r>
    </w:p>
    <w:p w14:paraId="41A7CB2C" w14:textId="77777777" w:rsidR="00CC4FA2" w:rsidRPr="00CC4FA2" w:rsidRDefault="00CC4FA2" w:rsidP="00CC4FA2">
      <w:pPr>
        <w:spacing w:line="360" w:lineRule="auto"/>
        <w:jc w:val="both"/>
        <w:rPr>
          <w:rFonts w:ascii="Palatino Linotype" w:eastAsiaTheme="minorHAnsi" w:hAnsi="Palatino Linotype" w:cstheme="minorBidi"/>
          <w:lang w:val="es-MX" w:eastAsia="en-US"/>
        </w:rPr>
      </w:pPr>
    </w:p>
    <w:p w14:paraId="55A5CB41" w14:textId="2D457662" w:rsidR="007538C5" w:rsidRPr="002D7098" w:rsidRDefault="002D7098" w:rsidP="00CC4FA2">
      <w:pPr>
        <w:spacing w:line="276" w:lineRule="auto"/>
        <w:ind w:left="720"/>
        <w:jc w:val="both"/>
        <w:rPr>
          <w:rFonts w:ascii="Palatino Linotype" w:hAnsi="Palatino Linotype"/>
          <w:color w:val="000000"/>
        </w:rPr>
      </w:pPr>
      <w:bookmarkStart w:id="9" w:name="_Hlk62045713"/>
      <w:bookmarkEnd w:id="6"/>
      <w:r w:rsidRPr="002D7098">
        <w:rPr>
          <w:rFonts w:ascii="Palatino Linotype" w:hAnsi="Palatino Linotype"/>
        </w:rPr>
        <w:lastRenderedPageBreak/>
        <w:t xml:space="preserve">1.- </w:t>
      </w:r>
      <w:r w:rsidR="003C2B1D" w:rsidRPr="007538C5">
        <w:rPr>
          <w:rFonts w:ascii="Palatino Linotype" w:hAnsi="Palatino Linotype"/>
          <w:i/>
          <w:iCs/>
        </w:rPr>
        <w:t>Las actas de audiencia inicial de los expedientes concluidos</w:t>
      </w:r>
      <w:r w:rsidR="007538C5">
        <w:rPr>
          <w:rFonts w:ascii="Palatino Linotype" w:hAnsi="Palatino Linotype"/>
          <w:i/>
          <w:iCs/>
        </w:rPr>
        <w:t xml:space="preserve"> y que hayan causado estado</w:t>
      </w:r>
      <w:r w:rsidR="007538C5" w:rsidRPr="007538C5">
        <w:rPr>
          <w:rFonts w:ascii="Palatino Linotype" w:hAnsi="Palatino Linotype"/>
          <w:i/>
          <w:iCs/>
        </w:rPr>
        <w:t xml:space="preserve">; así como, de aquellos que se </w:t>
      </w:r>
      <w:r w:rsidR="007538C5">
        <w:rPr>
          <w:rFonts w:ascii="Palatino Linotype" w:hAnsi="Palatino Linotype"/>
          <w:i/>
          <w:iCs/>
        </w:rPr>
        <w:t>encuentran</w:t>
      </w:r>
      <w:r w:rsidR="007538C5" w:rsidRPr="007538C5">
        <w:rPr>
          <w:rFonts w:ascii="Palatino Linotype" w:hAnsi="Palatino Linotype"/>
          <w:i/>
          <w:iCs/>
        </w:rPr>
        <w:t xml:space="preserve"> en trámite y que se relacionen con actos de corrupción, delitos de lesa humanidad o posibles violaciones graves a derechos humanos</w:t>
      </w:r>
      <w:r w:rsidR="007538C5">
        <w:rPr>
          <w:rFonts w:ascii="Palatino Linotype" w:hAnsi="Palatino Linotype"/>
          <w:i/>
          <w:iCs/>
        </w:rPr>
        <w:t>,</w:t>
      </w:r>
      <w:r w:rsidR="003C2B1D" w:rsidRPr="007538C5">
        <w:rPr>
          <w:rFonts w:ascii="Palatino Linotype" w:hAnsi="Palatino Linotype"/>
          <w:i/>
          <w:iCs/>
        </w:rPr>
        <w:t xml:space="preserve"> con motivo de procedimiento</w:t>
      </w:r>
      <w:r w:rsidR="007538C5">
        <w:rPr>
          <w:rFonts w:ascii="Palatino Linotype" w:hAnsi="Palatino Linotype"/>
          <w:i/>
          <w:iCs/>
        </w:rPr>
        <w:t>s</w:t>
      </w:r>
      <w:r w:rsidR="007538C5" w:rsidRPr="007538C5">
        <w:rPr>
          <w:rFonts w:ascii="Palatino Linotype" w:hAnsi="Palatino Linotype"/>
          <w:i/>
          <w:iCs/>
        </w:rPr>
        <w:t xml:space="preserve"> de</w:t>
      </w:r>
      <w:r w:rsidR="003C2B1D" w:rsidRPr="007538C5">
        <w:rPr>
          <w:rFonts w:ascii="Palatino Linotype" w:hAnsi="Palatino Linotype"/>
          <w:i/>
          <w:iCs/>
        </w:rPr>
        <w:t xml:space="preserve"> responsabilidad administrativa </w:t>
      </w:r>
      <w:r w:rsidR="007538C5" w:rsidRPr="007538C5">
        <w:rPr>
          <w:rFonts w:ascii="Palatino Linotype" w:hAnsi="Palatino Linotype"/>
          <w:i/>
          <w:iCs/>
        </w:rPr>
        <w:t>instaurados en la Contraloría Municipal</w:t>
      </w:r>
      <w:r w:rsidR="003C2B1D" w:rsidRPr="007538C5">
        <w:rPr>
          <w:rFonts w:ascii="Palatino Linotype" w:hAnsi="Palatino Linotype"/>
          <w:i/>
          <w:iCs/>
        </w:rPr>
        <w:t xml:space="preserve"> por daño a la hacienda pública, así como por la omisión o entrega extemporánea de la Declaración de Situación Patrimonial y de Intereses a servidores y </w:t>
      </w:r>
      <w:proofErr w:type="spellStart"/>
      <w:r w:rsidR="003C2B1D" w:rsidRPr="007538C5">
        <w:rPr>
          <w:rFonts w:ascii="Palatino Linotype" w:hAnsi="Palatino Linotype"/>
          <w:i/>
          <w:iCs/>
        </w:rPr>
        <w:t>exservidores</w:t>
      </w:r>
      <w:proofErr w:type="spellEnd"/>
      <w:r w:rsidR="003C2B1D" w:rsidRPr="007538C5">
        <w:rPr>
          <w:rFonts w:ascii="Palatino Linotype" w:hAnsi="Palatino Linotype"/>
          <w:i/>
          <w:iCs/>
        </w:rPr>
        <w:t xml:space="preserve"> públicos u otro tipo de faltas administrativas de servidores públicos del periodo que comprende del 01 de enero de 2020 al 05 de octubre de 2021</w:t>
      </w:r>
      <w:r w:rsidRPr="002D7098">
        <w:rPr>
          <w:rFonts w:ascii="Palatino Linotype" w:hAnsi="Palatino Linotype"/>
          <w:i/>
          <w:iCs/>
          <w:color w:val="000000"/>
        </w:rPr>
        <w:t>.</w:t>
      </w:r>
      <w:r w:rsidRPr="002D7098">
        <w:rPr>
          <w:rFonts w:ascii="Palatino Linotype" w:hAnsi="Palatino Linotype"/>
          <w:color w:val="000000"/>
        </w:rPr>
        <w:t xml:space="preserve"> </w:t>
      </w:r>
    </w:p>
    <w:p w14:paraId="2147369A" w14:textId="77777777" w:rsidR="002D7098" w:rsidRPr="002D7098" w:rsidRDefault="002D7098" w:rsidP="002D7098">
      <w:pPr>
        <w:spacing w:line="360" w:lineRule="auto"/>
        <w:ind w:left="720"/>
        <w:jc w:val="both"/>
        <w:rPr>
          <w:rFonts w:ascii="Palatino Linotype" w:hAnsi="Palatino Linotype"/>
          <w:color w:val="000000"/>
          <w:sz w:val="18"/>
        </w:rPr>
      </w:pPr>
    </w:p>
    <w:p w14:paraId="44066D24"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r w:rsidRPr="002D7098">
        <w:rPr>
          <w:rFonts w:ascii="Palatino Linotype" w:eastAsiaTheme="minorHAnsi" w:hAnsi="Palatino Linotype" w:cs="Arial"/>
          <w:bCs/>
          <w:i/>
          <w:sz w:val="22"/>
          <w:szCs w:val="23"/>
          <w:shd w:val="clear" w:color="auto" w:fill="FFFFFF"/>
          <w:lang w:val="es-MX" w:eastAsia="en-US"/>
        </w:rPr>
        <w:t xml:space="preserve">Para la versión pública, el Sujeto Obligado deberá emitir el Acuerdo del Comité de Transparencia en términos del artículo 49 fracción VIII y </w:t>
      </w:r>
      <w:r w:rsidRPr="002D7098">
        <w:rPr>
          <w:rFonts w:ascii="Palatino Linotype" w:eastAsia="Calibri" w:hAnsi="Palatino Linotype" w:cs="Arial"/>
          <w:i/>
          <w:sz w:val="22"/>
          <w:szCs w:val="23"/>
          <w:lang w:val="es-ES_tradnl" w:eastAsia="en-US"/>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4595C496"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p>
    <w:p w14:paraId="1DA38569" w14:textId="656AE1EA"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r w:rsidRPr="002D7098">
        <w:rPr>
          <w:rFonts w:ascii="Palatino Linotype" w:eastAsia="Calibri" w:hAnsi="Palatino Linotype" w:cs="Arial"/>
          <w:i/>
          <w:sz w:val="22"/>
          <w:szCs w:val="23"/>
          <w:lang w:val="es-ES_tradnl" w:eastAsia="en-US"/>
        </w:rPr>
        <w:t xml:space="preserve">Para el caso de que </w:t>
      </w:r>
      <w:r w:rsidR="00A47F58">
        <w:rPr>
          <w:rFonts w:ascii="Palatino Linotype" w:eastAsia="Calibri" w:hAnsi="Palatino Linotype" w:cs="Arial"/>
          <w:i/>
          <w:sz w:val="22"/>
          <w:szCs w:val="23"/>
          <w:lang w:val="es-ES_tradnl" w:eastAsia="en-US"/>
        </w:rPr>
        <w:t>los</w:t>
      </w:r>
      <w:r w:rsidRPr="002D7098">
        <w:rPr>
          <w:rFonts w:ascii="Palatino Linotype" w:eastAsia="Calibri" w:hAnsi="Palatino Linotype" w:cs="Arial"/>
          <w:i/>
          <w:sz w:val="22"/>
          <w:szCs w:val="23"/>
          <w:lang w:val="es-ES_tradnl" w:eastAsia="en-US"/>
        </w:rPr>
        <w:t xml:space="preserve"> documentos referidos en el numeral 1 del </w:t>
      </w:r>
      <w:r w:rsidR="00A47F58">
        <w:rPr>
          <w:rFonts w:ascii="Palatino Linotype" w:eastAsia="Calibri" w:hAnsi="Palatino Linotype" w:cs="Arial"/>
          <w:i/>
          <w:sz w:val="22"/>
          <w:szCs w:val="23"/>
          <w:lang w:val="es-ES_tradnl" w:eastAsia="en-US"/>
        </w:rPr>
        <w:t xml:space="preserve">presente </w:t>
      </w:r>
      <w:r w:rsidRPr="002D7098">
        <w:rPr>
          <w:rFonts w:ascii="Palatino Linotype" w:eastAsia="Calibri" w:hAnsi="Palatino Linotype" w:cs="Arial"/>
          <w:i/>
          <w:sz w:val="22"/>
          <w:szCs w:val="23"/>
          <w:lang w:val="es-ES_tradnl" w:eastAsia="en-US"/>
        </w:rPr>
        <w:t xml:space="preserve">Resolutivo </w:t>
      </w:r>
      <w:r w:rsidR="00A47F58">
        <w:rPr>
          <w:rFonts w:ascii="Palatino Linotype" w:eastAsia="Calibri" w:hAnsi="Palatino Linotype" w:cs="Arial"/>
          <w:i/>
          <w:sz w:val="22"/>
          <w:szCs w:val="23"/>
          <w:lang w:val="es-ES_tradnl" w:eastAsia="en-US"/>
        </w:rPr>
        <w:t xml:space="preserve">formen parte de expedientes que </w:t>
      </w:r>
      <w:r w:rsidRPr="002D7098">
        <w:rPr>
          <w:rFonts w:ascii="Palatino Linotype" w:eastAsia="Calibri" w:hAnsi="Palatino Linotype" w:cs="Arial"/>
          <w:i/>
          <w:sz w:val="22"/>
          <w:szCs w:val="23"/>
          <w:lang w:val="es-ES_tradnl" w:eastAsia="en-US"/>
        </w:rPr>
        <w:t>corresponda</w:t>
      </w:r>
      <w:r w:rsidR="00A47F58">
        <w:rPr>
          <w:rFonts w:ascii="Palatino Linotype" w:eastAsia="Calibri" w:hAnsi="Palatino Linotype" w:cs="Arial"/>
          <w:i/>
          <w:sz w:val="22"/>
          <w:szCs w:val="23"/>
          <w:lang w:val="es-ES_tradnl" w:eastAsia="en-US"/>
        </w:rPr>
        <w:t>n</w:t>
      </w:r>
      <w:r w:rsidRPr="002D7098">
        <w:rPr>
          <w:rFonts w:ascii="Palatino Linotype" w:eastAsia="Calibri" w:hAnsi="Palatino Linotype" w:cs="Arial"/>
          <w:i/>
          <w:sz w:val="22"/>
          <w:szCs w:val="23"/>
          <w:lang w:val="es-ES_tradnl" w:eastAsia="en-US"/>
        </w:rPr>
        <w:t xml:space="preserve"> a procedimientos administrativos por faltas no graves y que no haya causado estado, deberá emitirse el Acuerdo de Clasificación respectivo en el que se funden y motiven las razones de su RESERVA, mismo que se hará del conocimiento del Recurrente.</w:t>
      </w:r>
    </w:p>
    <w:p w14:paraId="2541DB99" w14:textId="77777777" w:rsidR="002D7098" w:rsidRPr="002D7098" w:rsidRDefault="002D7098" w:rsidP="002D7098">
      <w:pPr>
        <w:spacing w:line="276" w:lineRule="auto"/>
        <w:ind w:left="720"/>
        <w:jc w:val="both"/>
        <w:rPr>
          <w:rFonts w:ascii="Palatino Linotype" w:eastAsia="Calibri" w:hAnsi="Palatino Linotype" w:cs="Arial"/>
          <w:i/>
          <w:sz w:val="22"/>
          <w:szCs w:val="23"/>
          <w:lang w:val="es-ES_tradnl" w:eastAsia="en-US"/>
        </w:rPr>
      </w:pPr>
    </w:p>
    <w:p w14:paraId="6A9236E0" w14:textId="77777777" w:rsidR="002D7098" w:rsidRPr="002D7098" w:rsidRDefault="002D7098" w:rsidP="002D7098">
      <w:pPr>
        <w:spacing w:before="240" w:after="240" w:line="360" w:lineRule="auto"/>
        <w:ind w:right="49"/>
        <w:jc w:val="both"/>
        <w:rPr>
          <w:rFonts w:ascii="Palatino Linotype" w:eastAsia="MS Mincho" w:hAnsi="Palatino Linotype" w:cstheme="minorBidi"/>
          <w:shd w:val="clear" w:color="auto" w:fill="FFFFFF"/>
          <w:lang w:val="es-ES_tradnl" w:eastAsia="en-US"/>
        </w:rPr>
      </w:pPr>
      <w:r w:rsidRPr="002D7098">
        <w:rPr>
          <w:rFonts w:ascii="Palatino Linotype" w:eastAsiaTheme="minorHAnsi" w:hAnsi="Palatino Linotype" w:cs="Arial"/>
          <w:b/>
          <w:bCs/>
          <w:shd w:val="clear" w:color="auto" w:fill="FFFFFF"/>
          <w:lang w:val="es-MX" w:eastAsia="en-US"/>
        </w:rPr>
        <w:t xml:space="preserve">TERCERO. </w:t>
      </w:r>
      <w:r w:rsidRPr="002D7098">
        <w:rPr>
          <w:rFonts w:ascii="Palatino Linotype" w:eastAsia="MS Mincho" w:hAnsi="Palatino Linotype" w:cs="Arial"/>
          <w:b/>
          <w:bCs/>
          <w:shd w:val="clear" w:color="auto" w:fill="FFFFFF"/>
          <w:lang w:val="es-ES_tradnl" w:eastAsia="en-US"/>
        </w:rPr>
        <w:t xml:space="preserve">Notifíquese </w:t>
      </w:r>
      <w:r w:rsidRPr="002D7098">
        <w:rPr>
          <w:rFonts w:ascii="Palatino Linotype" w:eastAsia="MS Mincho" w:hAnsi="Palatino Linotype" w:cstheme="minorBidi"/>
          <w:shd w:val="clear" w:color="auto" w:fill="FFFFFF"/>
          <w:lang w:val="es-ES_tradnl" w:eastAsia="en-US"/>
        </w:rPr>
        <w:t>al Titular de la Unidad de Transparencia del</w:t>
      </w:r>
      <w:r w:rsidRPr="002D7098">
        <w:rPr>
          <w:rFonts w:ascii="Palatino Linotype" w:eastAsia="MS Mincho" w:hAnsi="Palatino Linotype" w:cstheme="minorBidi"/>
          <w:b/>
          <w:bCs/>
          <w:shd w:val="clear" w:color="auto" w:fill="FFFFFF"/>
          <w:lang w:val="es-ES_tradnl" w:eastAsia="en-US"/>
        </w:rPr>
        <w:t xml:space="preserve"> SUJETO OBLIGADO</w:t>
      </w:r>
      <w:r w:rsidRPr="002D7098">
        <w:rPr>
          <w:rFonts w:ascii="Palatino Linotype" w:eastAsia="MS Mincho" w:hAnsi="Palatino Linotype" w:cstheme="minorBidi"/>
          <w:shd w:val="clear" w:color="auto" w:fill="FFFFFF"/>
          <w:lang w:val="es-ES_tradnl" w:eastAsia="en-US"/>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0650155B" w14:textId="77777777" w:rsidR="002D7098" w:rsidRPr="002D7098" w:rsidRDefault="002D7098" w:rsidP="002D7098">
      <w:pPr>
        <w:spacing w:before="240" w:after="240" w:line="360" w:lineRule="auto"/>
        <w:jc w:val="both"/>
        <w:rPr>
          <w:rFonts w:ascii="Palatino Linotype" w:eastAsiaTheme="minorHAnsi" w:hAnsi="Palatino Linotype" w:cs="Arial"/>
          <w:b/>
          <w:bCs/>
          <w:lang w:val="es-MX" w:eastAsia="en-US"/>
        </w:rPr>
      </w:pPr>
      <w:r w:rsidRPr="002D7098">
        <w:rPr>
          <w:rFonts w:ascii="Palatino Linotype" w:eastAsiaTheme="minorHAnsi" w:hAnsi="Palatino Linotype" w:cs="Arial"/>
          <w:b/>
          <w:lang w:val="es-MX" w:eastAsia="en-US"/>
        </w:rPr>
        <w:lastRenderedPageBreak/>
        <w:t xml:space="preserve">CUARTO.  </w:t>
      </w:r>
      <w:r w:rsidRPr="002D7098">
        <w:rPr>
          <w:rFonts w:ascii="Palatino Linotype" w:eastAsiaTheme="minorHAnsi" w:hAnsi="Palatino Linotype" w:cs="Arial"/>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2621DB" w14:textId="4AFC617C" w:rsidR="00F8192C" w:rsidRPr="00263EFE" w:rsidRDefault="002D7098" w:rsidP="00263EFE">
      <w:pPr>
        <w:spacing w:before="240" w:after="240" w:line="360" w:lineRule="auto"/>
        <w:jc w:val="both"/>
        <w:rPr>
          <w:rFonts w:ascii="Palatino Linotype" w:eastAsiaTheme="minorHAnsi" w:hAnsi="Palatino Linotype" w:cs="Arial"/>
          <w:lang w:val="es-MX" w:eastAsia="en-US"/>
        </w:rPr>
      </w:pPr>
      <w:r w:rsidRPr="002D7098">
        <w:rPr>
          <w:rFonts w:ascii="Palatino Linotype" w:eastAsiaTheme="minorHAnsi" w:hAnsi="Palatino Linotype" w:cs="Arial"/>
          <w:b/>
          <w:lang w:val="es-MX" w:eastAsia="en-US"/>
        </w:rPr>
        <w:t xml:space="preserve">QUINTO. Hágase del Conocimiento </w:t>
      </w:r>
      <w:r w:rsidRPr="002D7098">
        <w:rPr>
          <w:rFonts w:ascii="Palatino Linotype" w:eastAsiaTheme="minorHAnsi" w:hAnsi="Palatino Linotype" w:cs="Arial"/>
          <w:lang w:val="es-MX" w:eastAsia="en-US"/>
        </w:rPr>
        <w:t xml:space="preserve">del </w:t>
      </w:r>
      <w:r w:rsidRPr="002D7098">
        <w:rPr>
          <w:rFonts w:ascii="Palatino Linotype" w:eastAsiaTheme="minorHAnsi" w:hAnsi="Palatino Linotype" w:cs="Arial"/>
          <w:b/>
          <w:lang w:val="es-MX" w:eastAsia="en-US"/>
        </w:rPr>
        <w:t>recurrente</w:t>
      </w:r>
      <w:r w:rsidRPr="002D7098">
        <w:rPr>
          <w:rFonts w:ascii="Palatino Linotype" w:eastAsiaTheme="minorHAnsi" w:hAnsi="Palatino Linotype" w:cs="Arial"/>
          <w:lang w:val="es-MX" w:eastAsia="en-US"/>
        </w:rPr>
        <w:t>, la presente resolución, así como, que de conformidad con lo establecido en el artículo 196 de la Ley de Transparencia y Acceso a la Información Pública del Estado de México y Municipios, podrá impugnarla vía Recurso de Inconformidad o Juicio de Amparo en los términos de las leyes aplicables.</w:t>
      </w:r>
      <w:bookmarkEnd w:id="7"/>
      <w:bookmarkEnd w:id="9"/>
    </w:p>
    <w:p w14:paraId="244FE472" w14:textId="428B04F8" w:rsidR="00315E01" w:rsidRDefault="00315E01" w:rsidP="00315E01">
      <w:pPr>
        <w:spacing w:line="360" w:lineRule="auto"/>
        <w:jc w:val="both"/>
        <w:rPr>
          <w:rFonts w:ascii="Palatino Linotype" w:hAnsi="Palatino Linotype" w:cs="Arial"/>
          <w:sz w:val="18"/>
        </w:rPr>
      </w:pPr>
      <w:r w:rsidRPr="000C7EBF">
        <w:rPr>
          <w:rFonts w:ascii="Palatino Linotype" w:hAnsi="Palatino Linotype" w:cs="Arial"/>
        </w:rPr>
        <w:t>ASÍ LO RESUELVE, POR UNANIMIDAD DE VOTOS, EL PLENO DEL</w:t>
      </w:r>
      <w:r w:rsidRPr="000C7EBF">
        <w:rPr>
          <w:rFonts w:ascii="Palatino Linotype" w:eastAsia="Arial Unicode MS" w:hAnsi="Palatino Linotype" w:cs="Arial"/>
        </w:rPr>
        <w:t xml:space="preserve"> INSTITUTO DE TRANSPARENCIA, ACCESO A LA INFORMACIÓN PÚBLICA Y PROTECCIÓN DE DATOS PERSONALES DEL ESTADO DE MÉXICO Y MUNICIPIOS</w:t>
      </w:r>
      <w:r w:rsidRPr="000C7EBF">
        <w:rPr>
          <w:rFonts w:ascii="Palatino Linotype" w:hAnsi="Palatino Linotype" w:cs="Arial"/>
        </w:rPr>
        <w:t xml:space="preserve">, CONFORMADO POR LOS COMISIONADOS </w:t>
      </w:r>
      <w:r w:rsidRPr="003D21EB">
        <w:rPr>
          <w:rFonts w:ascii="Palatino Linotype" w:hAnsi="Palatino Linotype" w:cs="Arial"/>
        </w:rPr>
        <w:t>JOSÉ MARTÍNEZ VILCHIS</w:t>
      </w:r>
      <w:r>
        <w:rPr>
          <w:rFonts w:ascii="Palatino Linotype" w:hAnsi="Palatino Linotype" w:cs="Arial"/>
        </w:rPr>
        <w:t>;</w:t>
      </w:r>
      <w:r w:rsidRPr="003D21EB">
        <w:rPr>
          <w:rFonts w:ascii="Palatino Linotype" w:hAnsi="Palatino Linotype" w:cs="Arial"/>
        </w:rPr>
        <w:t xml:space="preserve"> MARÍA DEL ROSARIO MEJÍA AYALA</w:t>
      </w:r>
      <w:r w:rsidR="002C4E54">
        <w:rPr>
          <w:rFonts w:ascii="Palatino Linotype" w:hAnsi="Palatino Linotype" w:cs="Arial"/>
        </w:rPr>
        <w:t xml:space="preserve"> (VOTO PARTICULAR)</w:t>
      </w:r>
      <w:r>
        <w:rPr>
          <w:rFonts w:ascii="Palatino Linotype" w:hAnsi="Palatino Linotype" w:cs="Arial"/>
        </w:rPr>
        <w:t>;</w:t>
      </w:r>
      <w:r w:rsidRPr="003D21EB">
        <w:rPr>
          <w:rFonts w:ascii="Palatino Linotype" w:hAnsi="Palatino Linotype" w:cs="Arial"/>
        </w:rPr>
        <w:t xml:space="preserve"> SHARON CRISTINA MORALES MARTÍNEZ</w:t>
      </w:r>
      <w:r w:rsidR="00C703AA">
        <w:rPr>
          <w:rFonts w:ascii="Palatino Linotype" w:hAnsi="Palatino Linotype" w:cs="Arial"/>
        </w:rPr>
        <w:t xml:space="preserve"> (AUSENCIA JUSTIFICADA)</w:t>
      </w:r>
      <w:r>
        <w:rPr>
          <w:rFonts w:ascii="Palatino Linotype" w:hAnsi="Palatino Linotype" w:cs="Arial"/>
        </w:rPr>
        <w:t>;</w:t>
      </w:r>
      <w:r w:rsidRPr="003D21EB">
        <w:rPr>
          <w:rFonts w:ascii="Palatino Linotype" w:hAnsi="Palatino Linotype" w:cs="Arial"/>
        </w:rPr>
        <w:t xml:space="preserve"> LUIS GUSTAVO PARRA NORIEGA</w:t>
      </w:r>
      <w:r w:rsidR="002C4E54">
        <w:rPr>
          <w:rFonts w:ascii="Palatino Linotype" w:hAnsi="Palatino Linotype" w:cs="Arial"/>
        </w:rPr>
        <w:t xml:space="preserve"> (VOTO PARTICULAR)</w:t>
      </w:r>
      <w:r w:rsidRPr="003D21EB">
        <w:rPr>
          <w:rFonts w:ascii="Palatino Linotype" w:hAnsi="Palatino Linotype" w:cs="Arial"/>
        </w:rPr>
        <w:t xml:space="preserve"> Y GUADALUPE RAMÍREZ PEÑA;</w:t>
      </w:r>
      <w:r w:rsidRPr="000C7EBF">
        <w:rPr>
          <w:rFonts w:ascii="Palatino Linotype" w:hAnsi="Palatino Linotype" w:cs="Arial"/>
        </w:rPr>
        <w:t xml:space="preserve"> EN LA </w:t>
      </w:r>
      <w:r w:rsidR="007E7228">
        <w:rPr>
          <w:rFonts w:ascii="Palatino Linotype" w:hAnsi="Palatino Linotype" w:cs="Arial"/>
        </w:rPr>
        <w:t>TERCERA</w:t>
      </w:r>
      <w:r w:rsidRPr="000C7EBF">
        <w:rPr>
          <w:rFonts w:ascii="Palatino Linotype" w:hAnsi="Palatino Linotype" w:cs="Arial"/>
        </w:rPr>
        <w:t xml:space="preserve"> SESIÓN ORDINARIA CELEBRADA EL </w:t>
      </w:r>
      <w:r w:rsidR="007E7228">
        <w:rPr>
          <w:rFonts w:ascii="Palatino Linotype" w:hAnsi="Palatino Linotype" w:cs="Arial"/>
          <w:color w:val="000000"/>
          <w:lang w:eastAsia="es-MX"/>
        </w:rPr>
        <w:t>VEINTI</w:t>
      </w:r>
      <w:r w:rsidR="00833AEC">
        <w:rPr>
          <w:rFonts w:ascii="Palatino Linotype" w:hAnsi="Palatino Linotype" w:cs="Arial"/>
          <w:color w:val="000000"/>
          <w:lang w:eastAsia="es-MX"/>
        </w:rPr>
        <w:t>SIETE</w:t>
      </w:r>
      <w:r w:rsidR="00C703AA">
        <w:rPr>
          <w:rFonts w:ascii="Palatino Linotype" w:hAnsi="Palatino Linotype" w:cs="Arial"/>
          <w:color w:val="000000"/>
          <w:lang w:eastAsia="es-MX"/>
        </w:rPr>
        <w:t xml:space="preserve"> DE E</w:t>
      </w:r>
      <w:r w:rsidR="008E67E1">
        <w:rPr>
          <w:rFonts w:ascii="Palatino Linotype" w:hAnsi="Palatino Linotype" w:cs="Arial"/>
          <w:color w:val="000000"/>
          <w:lang w:eastAsia="es-MX"/>
        </w:rPr>
        <w:t>N</w:t>
      </w:r>
      <w:r w:rsidR="00C703AA">
        <w:rPr>
          <w:rFonts w:ascii="Palatino Linotype" w:hAnsi="Palatino Linotype" w:cs="Arial"/>
          <w:color w:val="000000"/>
          <w:lang w:eastAsia="es-MX"/>
        </w:rPr>
        <w:t>ERO DE DOS MIL VEINTIDÓS</w:t>
      </w:r>
      <w:r w:rsidRPr="000C7EBF">
        <w:rPr>
          <w:rFonts w:ascii="Palatino Linotype" w:hAnsi="Palatino Linotype" w:cs="Arial"/>
        </w:rPr>
        <w:t>, ANTE EL SECRETARIO TÉCNICO, ALEXIS TAPIA RAMÍREZ.------</w:t>
      </w:r>
      <w:r w:rsidR="00263EFE">
        <w:rPr>
          <w:rFonts w:ascii="Palatino Linotype" w:hAnsi="Palatino Linotype" w:cs="Arial"/>
        </w:rPr>
        <w:t>-----------------------------------------------------------------------------------------------------------------------------------------------------------------------------------------------------------------------------------------------------------------------------------------------------------------------------------------------------------------------------------------------------------------------------------------------------------</w:t>
      </w:r>
      <w:r w:rsidR="00F72317">
        <w:rPr>
          <w:rFonts w:ascii="Palatino Linotype" w:hAnsi="Palatino Linotype" w:cs="Arial"/>
        </w:rPr>
        <w:t>-------</w:t>
      </w:r>
      <w:r>
        <w:rPr>
          <w:rFonts w:ascii="Palatino Linotype" w:hAnsi="Palatino Linotype" w:cs="Arial"/>
          <w:sz w:val="18"/>
        </w:rPr>
        <w:t>JMV/CCR/EJDG</w:t>
      </w:r>
    </w:p>
    <w:p w14:paraId="1762B449" w14:textId="40AB1735" w:rsidR="00315E01" w:rsidRDefault="00315E01" w:rsidP="00315E01">
      <w:pPr>
        <w:spacing w:line="360" w:lineRule="auto"/>
        <w:jc w:val="both"/>
        <w:rPr>
          <w:rFonts w:ascii="Palatino Linotype" w:hAnsi="Palatino Linotype" w:cs="Arial"/>
          <w:sz w:val="18"/>
        </w:rPr>
      </w:pPr>
    </w:p>
    <w:p w14:paraId="7EA6190D" w14:textId="77777777" w:rsidR="00315E01" w:rsidRPr="003D21EB" w:rsidRDefault="00315E01" w:rsidP="00315E01">
      <w:pPr>
        <w:spacing w:line="360" w:lineRule="auto"/>
        <w:jc w:val="both"/>
        <w:rPr>
          <w:rFonts w:ascii="Palatino Linotype" w:hAnsi="Palatino Linotype"/>
          <w:sz w:val="18"/>
        </w:rPr>
      </w:pPr>
    </w:p>
    <w:p w14:paraId="75DFD40B" w14:textId="77777777" w:rsidR="000D38E9" w:rsidRPr="00755A9B" w:rsidRDefault="000D38E9" w:rsidP="00FE459F">
      <w:pPr>
        <w:spacing w:line="276" w:lineRule="auto"/>
        <w:rPr>
          <w:sz w:val="20"/>
        </w:rPr>
      </w:pPr>
    </w:p>
    <w:sectPr w:rsidR="000D38E9" w:rsidRPr="00755A9B" w:rsidSect="00564DB2">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3AF87" w14:textId="77777777" w:rsidR="007E6F84" w:rsidRDefault="007E6F84" w:rsidP="00D34057">
      <w:r>
        <w:separator/>
      </w:r>
    </w:p>
  </w:endnote>
  <w:endnote w:type="continuationSeparator" w:id="0">
    <w:p w14:paraId="1E0624C0" w14:textId="77777777" w:rsidR="007E6F84" w:rsidRDefault="007E6F84"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9339BD" w:rsidRPr="000B69FA" w:rsidRDefault="009339BD"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5D8F">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5D8F">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9339BD" w:rsidRPr="008171C2" w:rsidRDefault="009339BD"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7939EB">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7939EB">
      <w:rPr>
        <w:rFonts w:ascii="Palatino Linotype" w:hAnsi="Palatino Linotype"/>
        <w:b/>
        <w:bCs/>
        <w:noProof/>
        <w:sz w:val="20"/>
      </w:rPr>
      <w:t>51</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9AB5" w14:textId="77777777" w:rsidR="007E6F84" w:rsidRDefault="007E6F84" w:rsidP="00D34057">
      <w:r>
        <w:separator/>
      </w:r>
    </w:p>
  </w:footnote>
  <w:footnote w:type="continuationSeparator" w:id="0">
    <w:p w14:paraId="6235E756" w14:textId="77777777" w:rsidR="007E6F84" w:rsidRDefault="007E6F84" w:rsidP="00D34057">
      <w:r>
        <w:continuationSeparator/>
      </w:r>
    </w:p>
  </w:footnote>
  <w:footnote w:id="1">
    <w:p w14:paraId="4A7DCFA5" w14:textId="77777777" w:rsidR="009339BD" w:rsidRPr="00EE06B0" w:rsidRDefault="009339BD"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9339BD" w:rsidRPr="00EE06B0" w:rsidRDefault="009339BD"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D116659" w14:textId="77777777" w:rsidR="002D7098" w:rsidRDefault="002D7098" w:rsidP="002D7098">
      <w:pPr>
        <w:pStyle w:val="Textonotapie"/>
        <w:jc w:val="both"/>
      </w:pPr>
      <w:r>
        <w:rPr>
          <w:rStyle w:val="Refdenotaalpie"/>
        </w:rPr>
        <w:footnoteRef/>
      </w:r>
      <w:r>
        <w:t xml:space="preserve"> </w:t>
      </w:r>
      <w:r>
        <w:rPr>
          <w:rFonts w:ascii="Palatino Linotype" w:hAnsi="Palatino Linotype"/>
          <w:sz w:val="16"/>
          <w:szCs w:val="16"/>
        </w:rPr>
        <w:t>Registro</w:t>
      </w:r>
      <w:r>
        <w:t xml:space="preserve"> </w:t>
      </w:r>
      <w:r>
        <w:rPr>
          <w:rFonts w:ascii="Palatino Linotype" w:hAnsi="Palatino Linotype"/>
          <w:sz w:val="16"/>
          <w:szCs w:val="16"/>
        </w:rPr>
        <w:t>digital 2018460. I.10o.A.79 A (10a.). Tribunales Colegiados de Circuito. Décima Época. Semanario Judicial de la Federación y su Gaceta. Libro 60, Noviembre de 2018, Tomo III, página 2318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03927094" w:rsidR="009339BD" w:rsidRDefault="009339BD" w:rsidP="00E63D62">
    <w:pPr>
      <w:pStyle w:val="Encabezado"/>
      <w:tabs>
        <w:tab w:val="clear" w:pos="4419"/>
        <w:tab w:val="clear" w:pos="8838"/>
        <w:tab w:val="left" w:pos="6380"/>
      </w:tabs>
    </w:pPr>
    <w:r>
      <w:rPr>
        <w:noProof/>
        <w:lang w:val="es-MX" w:eastAsia="es-MX"/>
      </w:rPr>
      <w:drawing>
        <wp:anchor distT="0" distB="0" distL="114300" distR="114300" simplePos="0" relativeHeight="251661312" behindDoc="1" locked="0" layoutInCell="1" allowOverlap="1" wp14:anchorId="75661367" wp14:editId="58258C4F">
          <wp:simplePos x="0" y="0"/>
          <wp:positionH relativeFrom="page">
            <wp:align>right</wp:align>
          </wp:positionH>
          <wp:positionV relativeFrom="paragraph">
            <wp:posOffset>-464659</wp:posOffset>
          </wp:positionV>
          <wp:extent cx="7635600" cy="9943200"/>
          <wp:effectExtent l="0" t="0" r="381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339BD" w14:paraId="3EBBCCA0" w14:textId="77777777" w:rsidTr="00E31501">
      <w:trPr>
        <w:trHeight w:val="227"/>
      </w:trPr>
      <w:tc>
        <w:tcPr>
          <w:tcW w:w="5529" w:type="dxa"/>
          <w:hideMark/>
        </w:tcPr>
        <w:p w14:paraId="5F4AF24B" w14:textId="135FE8E4" w:rsidR="009339BD" w:rsidRDefault="009339BD" w:rsidP="00564DB2">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0611679C" w:rsidR="009339BD" w:rsidRDefault="00FE434F" w:rsidP="00564DB2">
          <w:pPr>
            <w:spacing w:after="120"/>
            <w:ind w:left="-486" w:right="214" w:firstLine="1585"/>
            <w:jc w:val="right"/>
            <w:rPr>
              <w:rFonts w:ascii="Palatino Linotype" w:hAnsi="Palatino Linotype" w:cs="Arial"/>
              <w:szCs w:val="20"/>
            </w:rPr>
          </w:pPr>
          <w:r w:rsidRPr="00FE434F">
            <w:rPr>
              <w:rFonts w:ascii="Palatino Linotype" w:hAnsi="Palatino Linotype" w:cs="Arial"/>
              <w:bCs/>
              <w:lang w:eastAsia="es-MX"/>
            </w:rPr>
            <w:t>05440/INFOEM/IP/RR/2021</w:t>
          </w:r>
        </w:p>
      </w:tc>
    </w:tr>
    <w:tr w:rsidR="009339BD" w14:paraId="05B82912" w14:textId="77777777" w:rsidTr="00E31501">
      <w:trPr>
        <w:trHeight w:val="242"/>
      </w:trPr>
      <w:tc>
        <w:tcPr>
          <w:tcW w:w="5529" w:type="dxa"/>
          <w:hideMark/>
        </w:tcPr>
        <w:p w14:paraId="45A5E639" w14:textId="32FD4E12" w:rsidR="009339BD" w:rsidRDefault="009339BD" w:rsidP="00564DB2">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53E852BF" w:rsidR="009339BD" w:rsidRDefault="00FE434F" w:rsidP="00E31501">
          <w:pPr>
            <w:ind w:left="-72" w:right="214" w:firstLine="284"/>
            <w:jc w:val="right"/>
            <w:rPr>
              <w:rFonts w:ascii="Palatino Linotype" w:hAnsi="Palatino Linotype" w:cs="Arial"/>
              <w:szCs w:val="20"/>
            </w:rPr>
          </w:pPr>
          <w:r w:rsidRPr="00FE434F">
            <w:rPr>
              <w:rFonts w:ascii="Palatino Linotype" w:hAnsi="Palatino Linotype" w:cs="Arial"/>
              <w:szCs w:val="20"/>
            </w:rPr>
            <w:t>Ayuntamiento de Tepotzotlán</w:t>
          </w:r>
        </w:p>
      </w:tc>
    </w:tr>
    <w:tr w:rsidR="009339BD" w14:paraId="4AC99349" w14:textId="77777777" w:rsidTr="00E31501">
      <w:trPr>
        <w:trHeight w:val="342"/>
      </w:trPr>
      <w:tc>
        <w:tcPr>
          <w:tcW w:w="5529" w:type="dxa"/>
          <w:hideMark/>
        </w:tcPr>
        <w:p w14:paraId="050C3A62" w14:textId="6E3B079A" w:rsidR="009339BD" w:rsidRDefault="009339BD" w:rsidP="00564DB2">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1B7DDA2E" w:rsidR="009339BD" w:rsidRDefault="009339BD" w:rsidP="00564DB2">
          <w:pPr>
            <w:spacing w:after="120"/>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322445AA" w14:textId="77777777" w:rsidR="009339BD" w:rsidRDefault="009339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339BD" w14:paraId="393A0417" w14:textId="77777777" w:rsidTr="00564DB2">
      <w:trPr>
        <w:trHeight w:val="227"/>
      </w:trPr>
      <w:tc>
        <w:tcPr>
          <w:tcW w:w="5529" w:type="dxa"/>
          <w:hideMark/>
        </w:tcPr>
        <w:p w14:paraId="1D809BCF" w14:textId="1C96103D" w:rsidR="009339BD" w:rsidRDefault="009339BD" w:rsidP="006A6499">
          <w:pPr>
            <w:spacing w:after="120" w:line="257"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078CBCA8" w:rsidR="009339BD" w:rsidRPr="00B4142F" w:rsidRDefault="00FE434F" w:rsidP="006A6499">
          <w:pPr>
            <w:spacing w:after="120" w:line="257" w:lineRule="auto"/>
            <w:ind w:left="-486" w:right="214" w:firstLine="1408"/>
            <w:jc w:val="right"/>
            <w:rPr>
              <w:rFonts w:ascii="Palatino Linotype" w:hAnsi="Palatino Linotype" w:cs="Arial"/>
              <w:szCs w:val="20"/>
            </w:rPr>
          </w:pPr>
          <w:r w:rsidRPr="00FE434F">
            <w:rPr>
              <w:rFonts w:ascii="Palatino Linotype" w:hAnsi="Palatino Linotype" w:cs="Arial"/>
              <w:bCs/>
              <w:lang w:eastAsia="es-MX"/>
            </w:rPr>
            <w:t>05440/INFOEM/IP/RR/2021</w:t>
          </w:r>
        </w:p>
      </w:tc>
    </w:tr>
    <w:tr w:rsidR="009339BD" w14:paraId="3CBA8370" w14:textId="77777777" w:rsidTr="00564DB2">
      <w:trPr>
        <w:trHeight w:val="196"/>
      </w:trPr>
      <w:tc>
        <w:tcPr>
          <w:tcW w:w="5529" w:type="dxa"/>
          <w:hideMark/>
        </w:tcPr>
        <w:p w14:paraId="01BBAC1E" w14:textId="77777777" w:rsidR="009339BD" w:rsidRDefault="009339BD" w:rsidP="006A6499">
          <w:pPr>
            <w:spacing w:after="120" w:line="257"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5DC58D42" w:rsidR="009339BD" w:rsidRPr="00F06FED" w:rsidRDefault="007939EB" w:rsidP="006A6499">
          <w:pPr>
            <w:spacing w:after="120" w:line="257"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9339BD" w14:paraId="3016720F" w14:textId="77777777" w:rsidTr="00564DB2">
      <w:trPr>
        <w:trHeight w:val="242"/>
      </w:trPr>
      <w:tc>
        <w:tcPr>
          <w:tcW w:w="5529" w:type="dxa"/>
          <w:hideMark/>
        </w:tcPr>
        <w:p w14:paraId="5A512D3D" w14:textId="03E13640" w:rsidR="009339BD" w:rsidRDefault="009339BD" w:rsidP="006A6499">
          <w:pPr>
            <w:spacing w:after="120" w:line="257"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42CDD0AD" w:rsidR="009339BD" w:rsidRDefault="00FE434F" w:rsidP="006A6499">
          <w:pPr>
            <w:spacing w:after="120" w:line="257" w:lineRule="auto"/>
            <w:ind w:left="-495" w:right="214" w:firstLine="567"/>
            <w:jc w:val="right"/>
            <w:rPr>
              <w:rFonts w:ascii="Palatino Linotype" w:hAnsi="Palatino Linotype" w:cs="Arial"/>
              <w:szCs w:val="20"/>
            </w:rPr>
          </w:pPr>
          <w:r w:rsidRPr="00FE434F">
            <w:rPr>
              <w:rFonts w:ascii="Palatino Linotype" w:hAnsi="Palatino Linotype" w:cs="Arial"/>
              <w:szCs w:val="20"/>
            </w:rPr>
            <w:t>Ayuntamiento de Tepotzotlán</w:t>
          </w:r>
        </w:p>
      </w:tc>
    </w:tr>
    <w:tr w:rsidR="009339BD" w14:paraId="1DA38D4E" w14:textId="77777777" w:rsidTr="00564DB2">
      <w:trPr>
        <w:trHeight w:val="342"/>
      </w:trPr>
      <w:tc>
        <w:tcPr>
          <w:tcW w:w="5529" w:type="dxa"/>
          <w:hideMark/>
        </w:tcPr>
        <w:p w14:paraId="68227E44" w14:textId="6B74F957" w:rsidR="009339BD" w:rsidRDefault="009339BD" w:rsidP="006A6499">
          <w:pPr>
            <w:tabs>
              <w:tab w:val="left" w:pos="4892"/>
            </w:tabs>
            <w:spacing w:after="120" w:line="257"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BD01423" w:rsidR="009339BD" w:rsidRDefault="009339BD" w:rsidP="006A6499">
          <w:pPr>
            <w:spacing w:after="120" w:line="257"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6709E76" w14:textId="018E755F" w:rsidR="009339BD" w:rsidRPr="00FF74F5" w:rsidRDefault="009339BD">
    <w:pPr>
      <w:pStyle w:val="Encabezado"/>
      <w:rPr>
        <w:sz w:val="2"/>
      </w:rPr>
    </w:pPr>
    <w:r>
      <w:rPr>
        <w:noProof/>
        <w:lang w:val="es-MX" w:eastAsia="es-MX"/>
      </w:rPr>
      <w:drawing>
        <wp:anchor distT="0" distB="0" distL="114300" distR="114300" simplePos="0" relativeHeight="251659264" behindDoc="1" locked="0" layoutInCell="1" allowOverlap="1" wp14:anchorId="64921234" wp14:editId="62A4209F">
          <wp:simplePos x="0" y="0"/>
          <wp:positionH relativeFrom="page">
            <wp:align>left</wp:align>
          </wp:positionH>
          <wp:positionV relativeFrom="paragraph">
            <wp:posOffset>-1479977</wp:posOffset>
          </wp:positionV>
          <wp:extent cx="7635600" cy="994320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DDB4F19"/>
    <w:multiLevelType w:val="hybridMultilevel"/>
    <w:tmpl w:val="7DD24D3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4C5947"/>
    <w:multiLevelType w:val="multilevel"/>
    <w:tmpl w:val="E9A867CE"/>
    <w:lvl w:ilvl="0">
      <w:start w:val="1"/>
      <w:numFmt w:val="upperRoman"/>
      <w:lvlText w:val="%1."/>
      <w:lvlJc w:val="left"/>
      <w:pPr>
        <w:ind w:left="1422" w:hanging="85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6">
    <w:nsid w:val="2D572703"/>
    <w:multiLevelType w:val="hybridMultilevel"/>
    <w:tmpl w:val="98289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1E16A5"/>
    <w:multiLevelType w:val="hybridMultilevel"/>
    <w:tmpl w:val="460EEB06"/>
    <w:lvl w:ilvl="0" w:tplc="080A0001">
      <w:start w:val="1"/>
      <w:numFmt w:val="bullet"/>
      <w:lvlText w:val=""/>
      <w:lvlJc w:val="left"/>
      <w:pPr>
        <w:ind w:left="720" w:hanging="360"/>
      </w:pPr>
      <w:rPr>
        <w:rFonts w:ascii="Symbol" w:hAnsi="Symbol" w:hint="default"/>
      </w:rPr>
    </w:lvl>
    <w:lvl w:ilvl="1" w:tplc="B57C0E80">
      <w:start w:val="1"/>
      <w:numFmt w:val="bullet"/>
      <w:lvlText w:val="-"/>
      <w:lvlJc w:val="left"/>
      <w:pPr>
        <w:ind w:left="1440" w:hanging="360"/>
      </w:pPr>
      <w:rPr>
        <w:rFonts w:ascii="Palatino Linotype" w:eastAsia="Times New Roman"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BC4F2B"/>
    <w:multiLevelType w:val="hybridMultilevel"/>
    <w:tmpl w:val="DD7C88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567A3DBA"/>
    <w:multiLevelType w:val="hybridMultilevel"/>
    <w:tmpl w:val="93CA5A9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nsid w:val="5DA420EC"/>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67B72EE0"/>
    <w:multiLevelType w:val="hybridMultilevel"/>
    <w:tmpl w:val="03BEC7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num>
  <w:num w:numId="3">
    <w:abstractNumId w:val="15"/>
  </w:num>
  <w:num w:numId="4">
    <w:abstractNumId w:val="14"/>
  </w:num>
  <w:num w:numId="5">
    <w:abstractNumId w:val="26"/>
  </w:num>
  <w:num w:numId="6">
    <w:abstractNumId w:val="18"/>
  </w:num>
  <w:num w:numId="7">
    <w:abstractNumId w:val="11"/>
  </w:num>
  <w:num w:numId="8">
    <w:abstractNumId w:val="21"/>
  </w:num>
  <w:num w:numId="9">
    <w:abstractNumId w:val="10"/>
  </w:num>
  <w:num w:numId="10">
    <w:abstractNumId w:val="9"/>
  </w:num>
  <w:num w:numId="11">
    <w:abstractNumId w:val="0"/>
  </w:num>
  <w:num w:numId="12">
    <w:abstractNumId w:val="8"/>
  </w:num>
  <w:num w:numId="13">
    <w:abstractNumId w:val="4"/>
  </w:num>
  <w:num w:numId="14">
    <w:abstractNumId w:val="7"/>
  </w:num>
  <w:num w:numId="15">
    <w:abstractNumId w:val="25"/>
  </w:num>
  <w:num w:numId="16">
    <w:abstractNumId w:val="19"/>
  </w:num>
  <w:num w:numId="17">
    <w:abstractNumId w:val="6"/>
  </w:num>
  <w:num w:numId="18">
    <w:abstractNumId w:val="2"/>
  </w:num>
  <w:num w:numId="19">
    <w:abstractNumId w:val="13"/>
  </w:num>
  <w:num w:numId="20">
    <w:abstractNumId w:val="20"/>
  </w:num>
  <w:num w:numId="21">
    <w:abstractNumId w:val="16"/>
  </w:num>
  <w:num w:numId="22">
    <w:abstractNumId w:val="5"/>
  </w:num>
  <w:num w:numId="23">
    <w:abstractNumId w:val="17"/>
  </w:num>
  <w:num w:numId="24">
    <w:abstractNumId w:val="1"/>
  </w:num>
  <w:num w:numId="25">
    <w:abstractNumId w:val="23"/>
  </w:num>
  <w:num w:numId="26">
    <w:abstractNumId w:val="2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44E8"/>
    <w:rsid w:val="00016BB6"/>
    <w:rsid w:val="00017B86"/>
    <w:rsid w:val="00041A17"/>
    <w:rsid w:val="00050780"/>
    <w:rsid w:val="00055AB9"/>
    <w:rsid w:val="00056EEB"/>
    <w:rsid w:val="00057F1F"/>
    <w:rsid w:val="000640C9"/>
    <w:rsid w:val="00073779"/>
    <w:rsid w:val="00081CCE"/>
    <w:rsid w:val="00082F09"/>
    <w:rsid w:val="00095A88"/>
    <w:rsid w:val="000A6C3D"/>
    <w:rsid w:val="000B0C51"/>
    <w:rsid w:val="000B1582"/>
    <w:rsid w:val="000C2C26"/>
    <w:rsid w:val="000C35CC"/>
    <w:rsid w:val="000C7DA1"/>
    <w:rsid w:val="000D006F"/>
    <w:rsid w:val="000D38E9"/>
    <w:rsid w:val="000D4CB2"/>
    <w:rsid w:val="000D6B0C"/>
    <w:rsid w:val="000F162F"/>
    <w:rsid w:val="000F30B3"/>
    <w:rsid w:val="000F5CBE"/>
    <w:rsid w:val="000F6CA6"/>
    <w:rsid w:val="00117E65"/>
    <w:rsid w:val="00123ECE"/>
    <w:rsid w:val="0012518E"/>
    <w:rsid w:val="00135F23"/>
    <w:rsid w:val="00140DDF"/>
    <w:rsid w:val="00143843"/>
    <w:rsid w:val="001447C1"/>
    <w:rsid w:val="00152971"/>
    <w:rsid w:val="00152A6B"/>
    <w:rsid w:val="001545AD"/>
    <w:rsid w:val="00155F3D"/>
    <w:rsid w:val="001615BA"/>
    <w:rsid w:val="00165D3D"/>
    <w:rsid w:val="00174621"/>
    <w:rsid w:val="001B0981"/>
    <w:rsid w:val="001C2774"/>
    <w:rsid w:val="001D144F"/>
    <w:rsid w:val="001D40B1"/>
    <w:rsid w:val="001D6B18"/>
    <w:rsid w:val="001E344C"/>
    <w:rsid w:val="001E7A89"/>
    <w:rsid w:val="00220EE7"/>
    <w:rsid w:val="00221793"/>
    <w:rsid w:val="002379F2"/>
    <w:rsid w:val="002468A3"/>
    <w:rsid w:val="00263EFE"/>
    <w:rsid w:val="00266747"/>
    <w:rsid w:val="00272D2A"/>
    <w:rsid w:val="00277412"/>
    <w:rsid w:val="002813F3"/>
    <w:rsid w:val="0028416A"/>
    <w:rsid w:val="00293D51"/>
    <w:rsid w:val="00296D91"/>
    <w:rsid w:val="002A4EE4"/>
    <w:rsid w:val="002A7856"/>
    <w:rsid w:val="002B1BB7"/>
    <w:rsid w:val="002B2B95"/>
    <w:rsid w:val="002B3588"/>
    <w:rsid w:val="002C3329"/>
    <w:rsid w:val="002C4E54"/>
    <w:rsid w:val="002D2D32"/>
    <w:rsid w:val="002D446D"/>
    <w:rsid w:val="002D66D5"/>
    <w:rsid w:val="002D7098"/>
    <w:rsid w:val="002E1CA9"/>
    <w:rsid w:val="002F1E52"/>
    <w:rsid w:val="002F33A9"/>
    <w:rsid w:val="002F5CA8"/>
    <w:rsid w:val="002F62E0"/>
    <w:rsid w:val="002F7BA4"/>
    <w:rsid w:val="00306441"/>
    <w:rsid w:val="003117C7"/>
    <w:rsid w:val="003148B9"/>
    <w:rsid w:val="00315E01"/>
    <w:rsid w:val="00322DC7"/>
    <w:rsid w:val="00331262"/>
    <w:rsid w:val="00340D58"/>
    <w:rsid w:val="00343999"/>
    <w:rsid w:val="00362E23"/>
    <w:rsid w:val="003708E1"/>
    <w:rsid w:val="00371E86"/>
    <w:rsid w:val="003756A5"/>
    <w:rsid w:val="00377CD6"/>
    <w:rsid w:val="00385684"/>
    <w:rsid w:val="00386844"/>
    <w:rsid w:val="003A1A28"/>
    <w:rsid w:val="003A47D8"/>
    <w:rsid w:val="003A5AE4"/>
    <w:rsid w:val="003A6491"/>
    <w:rsid w:val="003B3DD4"/>
    <w:rsid w:val="003C0538"/>
    <w:rsid w:val="003C2B1D"/>
    <w:rsid w:val="003C49D6"/>
    <w:rsid w:val="003C4E5D"/>
    <w:rsid w:val="003D002D"/>
    <w:rsid w:val="003D0754"/>
    <w:rsid w:val="003F11D0"/>
    <w:rsid w:val="003F3CC8"/>
    <w:rsid w:val="003F66C2"/>
    <w:rsid w:val="00402E42"/>
    <w:rsid w:val="00405D74"/>
    <w:rsid w:val="00412142"/>
    <w:rsid w:val="0041558F"/>
    <w:rsid w:val="00416CE7"/>
    <w:rsid w:val="004204BB"/>
    <w:rsid w:val="0042060D"/>
    <w:rsid w:val="00420D92"/>
    <w:rsid w:val="004302BF"/>
    <w:rsid w:val="004308D7"/>
    <w:rsid w:val="00431378"/>
    <w:rsid w:val="00431689"/>
    <w:rsid w:val="0044308F"/>
    <w:rsid w:val="0044703B"/>
    <w:rsid w:val="004558D1"/>
    <w:rsid w:val="00457A19"/>
    <w:rsid w:val="00473A6A"/>
    <w:rsid w:val="00477598"/>
    <w:rsid w:val="00480B9F"/>
    <w:rsid w:val="00480FEA"/>
    <w:rsid w:val="004838E7"/>
    <w:rsid w:val="0048679A"/>
    <w:rsid w:val="00490BFE"/>
    <w:rsid w:val="00496444"/>
    <w:rsid w:val="004A6EF7"/>
    <w:rsid w:val="004B2123"/>
    <w:rsid w:val="004B2C5F"/>
    <w:rsid w:val="004B3A7C"/>
    <w:rsid w:val="004B6B78"/>
    <w:rsid w:val="004C191E"/>
    <w:rsid w:val="004D498F"/>
    <w:rsid w:val="004D55BA"/>
    <w:rsid w:val="004D6277"/>
    <w:rsid w:val="004E02F4"/>
    <w:rsid w:val="004E7801"/>
    <w:rsid w:val="004F3954"/>
    <w:rsid w:val="004F600F"/>
    <w:rsid w:val="004F643D"/>
    <w:rsid w:val="0050427F"/>
    <w:rsid w:val="005219ED"/>
    <w:rsid w:val="00525C26"/>
    <w:rsid w:val="0053007F"/>
    <w:rsid w:val="0053374B"/>
    <w:rsid w:val="00535A1E"/>
    <w:rsid w:val="00535AF3"/>
    <w:rsid w:val="00540376"/>
    <w:rsid w:val="00544ADD"/>
    <w:rsid w:val="005501EF"/>
    <w:rsid w:val="00564DB2"/>
    <w:rsid w:val="00571B7E"/>
    <w:rsid w:val="005733EB"/>
    <w:rsid w:val="00573B4F"/>
    <w:rsid w:val="00594FEE"/>
    <w:rsid w:val="005967F1"/>
    <w:rsid w:val="005A5A62"/>
    <w:rsid w:val="005B4FE2"/>
    <w:rsid w:val="005B5976"/>
    <w:rsid w:val="005B7C1F"/>
    <w:rsid w:val="005E50F1"/>
    <w:rsid w:val="005F17DC"/>
    <w:rsid w:val="005F3218"/>
    <w:rsid w:val="005F4874"/>
    <w:rsid w:val="00601482"/>
    <w:rsid w:val="006054E7"/>
    <w:rsid w:val="00622C8D"/>
    <w:rsid w:val="00627C77"/>
    <w:rsid w:val="00640746"/>
    <w:rsid w:val="00646183"/>
    <w:rsid w:val="00646635"/>
    <w:rsid w:val="00654C45"/>
    <w:rsid w:val="00656B46"/>
    <w:rsid w:val="00657723"/>
    <w:rsid w:val="0066233C"/>
    <w:rsid w:val="00666716"/>
    <w:rsid w:val="00666B5B"/>
    <w:rsid w:val="0067790D"/>
    <w:rsid w:val="006802F0"/>
    <w:rsid w:val="00692906"/>
    <w:rsid w:val="00697C1F"/>
    <w:rsid w:val="006A2320"/>
    <w:rsid w:val="006A6499"/>
    <w:rsid w:val="006A66EE"/>
    <w:rsid w:val="006A6797"/>
    <w:rsid w:val="006D5FEA"/>
    <w:rsid w:val="006E4031"/>
    <w:rsid w:val="007017C7"/>
    <w:rsid w:val="0070231E"/>
    <w:rsid w:val="00722494"/>
    <w:rsid w:val="00722BF3"/>
    <w:rsid w:val="00725027"/>
    <w:rsid w:val="007250E5"/>
    <w:rsid w:val="0073583C"/>
    <w:rsid w:val="007475B4"/>
    <w:rsid w:val="007476C5"/>
    <w:rsid w:val="00751C25"/>
    <w:rsid w:val="007538C5"/>
    <w:rsid w:val="00755085"/>
    <w:rsid w:val="00755A9B"/>
    <w:rsid w:val="0076744D"/>
    <w:rsid w:val="0076759C"/>
    <w:rsid w:val="00767880"/>
    <w:rsid w:val="00770AC2"/>
    <w:rsid w:val="0078004C"/>
    <w:rsid w:val="00783FD2"/>
    <w:rsid w:val="00784AA9"/>
    <w:rsid w:val="007939EB"/>
    <w:rsid w:val="007949E4"/>
    <w:rsid w:val="007A1F2E"/>
    <w:rsid w:val="007B1512"/>
    <w:rsid w:val="007B4746"/>
    <w:rsid w:val="007B51C6"/>
    <w:rsid w:val="007B63C5"/>
    <w:rsid w:val="007C07B0"/>
    <w:rsid w:val="007C4C2E"/>
    <w:rsid w:val="007D2B4B"/>
    <w:rsid w:val="007D7483"/>
    <w:rsid w:val="007E1970"/>
    <w:rsid w:val="007E6808"/>
    <w:rsid w:val="007E6F84"/>
    <w:rsid w:val="007E7228"/>
    <w:rsid w:val="007F2A5E"/>
    <w:rsid w:val="008018C3"/>
    <w:rsid w:val="00805DE1"/>
    <w:rsid w:val="00806692"/>
    <w:rsid w:val="0080743D"/>
    <w:rsid w:val="00812043"/>
    <w:rsid w:val="00813421"/>
    <w:rsid w:val="0081409D"/>
    <w:rsid w:val="00816560"/>
    <w:rsid w:val="008171C2"/>
    <w:rsid w:val="00820DE3"/>
    <w:rsid w:val="008247E9"/>
    <w:rsid w:val="008254B2"/>
    <w:rsid w:val="00827428"/>
    <w:rsid w:val="00833AEC"/>
    <w:rsid w:val="00833B47"/>
    <w:rsid w:val="00841CCD"/>
    <w:rsid w:val="00847043"/>
    <w:rsid w:val="0087697C"/>
    <w:rsid w:val="00881E67"/>
    <w:rsid w:val="008852D8"/>
    <w:rsid w:val="0088792E"/>
    <w:rsid w:val="00893A70"/>
    <w:rsid w:val="00895C8A"/>
    <w:rsid w:val="008A38A0"/>
    <w:rsid w:val="008D7CE1"/>
    <w:rsid w:val="008E5AAE"/>
    <w:rsid w:val="008E5D5B"/>
    <w:rsid w:val="008E65AF"/>
    <w:rsid w:val="008E67E1"/>
    <w:rsid w:val="00902C13"/>
    <w:rsid w:val="009037C5"/>
    <w:rsid w:val="009126FE"/>
    <w:rsid w:val="00912A21"/>
    <w:rsid w:val="00915176"/>
    <w:rsid w:val="00916EEF"/>
    <w:rsid w:val="00917CAA"/>
    <w:rsid w:val="00925243"/>
    <w:rsid w:val="00926051"/>
    <w:rsid w:val="00926497"/>
    <w:rsid w:val="00926D42"/>
    <w:rsid w:val="009339BD"/>
    <w:rsid w:val="00943E92"/>
    <w:rsid w:val="009440E4"/>
    <w:rsid w:val="00950135"/>
    <w:rsid w:val="00960FE0"/>
    <w:rsid w:val="009700F9"/>
    <w:rsid w:val="00972636"/>
    <w:rsid w:val="0098118E"/>
    <w:rsid w:val="00996492"/>
    <w:rsid w:val="009A3EDE"/>
    <w:rsid w:val="009B521E"/>
    <w:rsid w:val="009C2A92"/>
    <w:rsid w:val="009C3C39"/>
    <w:rsid w:val="009D62BD"/>
    <w:rsid w:val="009D7D7B"/>
    <w:rsid w:val="009E6C93"/>
    <w:rsid w:val="009E71C1"/>
    <w:rsid w:val="009F375A"/>
    <w:rsid w:val="009F42F3"/>
    <w:rsid w:val="009F46A9"/>
    <w:rsid w:val="009F47DC"/>
    <w:rsid w:val="009F74E7"/>
    <w:rsid w:val="00A1684F"/>
    <w:rsid w:val="00A23FAD"/>
    <w:rsid w:val="00A301FB"/>
    <w:rsid w:val="00A35B6F"/>
    <w:rsid w:val="00A37185"/>
    <w:rsid w:val="00A41464"/>
    <w:rsid w:val="00A47E40"/>
    <w:rsid w:val="00A47F58"/>
    <w:rsid w:val="00A56F06"/>
    <w:rsid w:val="00A573AC"/>
    <w:rsid w:val="00A7407A"/>
    <w:rsid w:val="00A746AA"/>
    <w:rsid w:val="00A75A8A"/>
    <w:rsid w:val="00A76C35"/>
    <w:rsid w:val="00A80DF7"/>
    <w:rsid w:val="00A8418B"/>
    <w:rsid w:val="00A864B6"/>
    <w:rsid w:val="00AA0796"/>
    <w:rsid w:val="00AA2D91"/>
    <w:rsid w:val="00AA4F99"/>
    <w:rsid w:val="00AB2FF0"/>
    <w:rsid w:val="00AC2D88"/>
    <w:rsid w:val="00AC3F77"/>
    <w:rsid w:val="00AD7C60"/>
    <w:rsid w:val="00AF1B80"/>
    <w:rsid w:val="00AF2A9C"/>
    <w:rsid w:val="00B0067C"/>
    <w:rsid w:val="00B1062C"/>
    <w:rsid w:val="00B12105"/>
    <w:rsid w:val="00B21190"/>
    <w:rsid w:val="00B235E2"/>
    <w:rsid w:val="00B30770"/>
    <w:rsid w:val="00B32668"/>
    <w:rsid w:val="00B348DB"/>
    <w:rsid w:val="00B35972"/>
    <w:rsid w:val="00B42E2D"/>
    <w:rsid w:val="00B506F8"/>
    <w:rsid w:val="00B53702"/>
    <w:rsid w:val="00B61E37"/>
    <w:rsid w:val="00B625E6"/>
    <w:rsid w:val="00B66344"/>
    <w:rsid w:val="00B67362"/>
    <w:rsid w:val="00B71C23"/>
    <w:rsid w:val="00B72016"/>
    <w:rsid w:val="00B72AD8"/>
    <w:rsid w:val="00B75B02"/>
    <w:rsid w:val="00B82F6B"/>
    <w:rsid w:val="00BA06F7"/>
    <w:rsid w:val="00BA55C8"/>
    <w:rsid w:val="00BB1104"/>
    <w:rsid w:val="00BB4154"/>
    <w:rsid w:val="00BB6F51"/>
    <w:rsid w:val="00BB796F"/>
    <w:rsid w:val="00BC080B"/>
    <w:rsid w:val="00BC220C"/>
    <w:rsid w:val="00BC653C"/>
    <w:rsid w:val="00BC73E3"/>
    <w:rsid w:val="00BD28E3"/>
    <w:rsid w:val="00BD6588"/>
    <w:rsid w:val="00BF390A"/>
    <w:rsid w:val="00C05A6A"/>
    <w:rsid w:val="00C07D77"/>
    <w:rsid w:val="00C138BC"/>
    <w:rsid w:val="00C2413A"/>
    <w:rsid w:val="00C30822"/>
    <w:rsid w:val="00C31842"/>
    <w:rsid w:val="00C3360E"/>
    <w:rsid w:val="00C34327"/>
    <w:rsid w:val="00C42C80"/>
    <w:rsid w:val="00C44875"/>
    <w:rsid w:val="00C457F7"/>
    <w:rsid w:val="00C469E4"/>
    <w:rsid w:val="00C55909"/>
    <w:rsid w:val="00C57CB5"/>
    <w:rsid w:val="00C61705"/>
    <w:rsid w:val="00C6304A"/>
    <w:rsid w:val="00C679B4"/>
    <w:rsid w:val="00C703AA"/>
    <w:rsid w:val="00C81700"/>
    <w:rsid w:val="00C858DD"/>
    <w:rsid w:val="00C90B9B"/>
    <w:rsid w:val="00C90E54"/>
    <w:rsid w:val="00C92FAC"/>
    <w:rsid w:val="00CA5CBB"/>
    <w:rsid w:val="00CB3546"/>
    <w:rsid w:val="00CB7DC4"/>
    <w:rsid w:val="00CC2A49"/>
    <w:rsid w:val="00CC3A88"/>
    <w:rsid w:val="00CC416B"/>
    <w:rsid w:val="00CC4FA2"/>
    <w:rsid w:val="00CC6F3C"/>
    <w:rsid w:val="00CD0423"/>
    <w:rsid w:val="00CD51C8"/>
    <w:rsid w:val="00CD5D8F"/>
    <w:rsid w:val="00CE7764"/>
    <w:rsid w:val="00CE789A"/>
    <w:rsid w:val="00CF6DCB"/>
    <w:rsid w:val="00CF70A0"/>
    <w:rsid w:val="00D03BC9"/>
    <w:rsid w:val="00D05E0F"/>
    <w:rsid w:val="00D106BD"/>
    <w:rsid w:val="00D11DBA"/>
    <w:rsid w:val="00D20C1D"/>
    <w:rsid w:val="00D24746"/>
    <w:rsid w:val="00D27E5B"/>
    <w:rsid w:val="00D34057"/>
    <w:rsid w:val="00D36682"/>
    <w:rsid w:val="00D43D3C"/>
    <w:rsid w:val="00D46C63"/>
    <w:rsid w:val="00D47C18"/>
    <w:rsid w:val="00D5047A"/>
    <w:rsid w:val="00D53DDC"/>
    <w:rsid w:val="00D623CE"/>
    <w:rsid w:val="00D677B9"/>
    <w:rsid w:val="00D67A0D"/>
    <w:rsid w:val="00D768CA"/>
    <w:rsid w:val="00D800F2"/>
    <w:rsid w:val="00D801B6"/>
    <w:rsid w:val="00D81C1B"/>
    <w:rsid w:val="00D85DA9"/>
    <w:rsid w:val="00D906A7"/>
    <w:rsid w:val="00D93767"/>
    <w:rsid w:val="00D95458"/>
    <w:rsid w:val="00DA323F"/>
    <w:rsid w:val="00DA43AD"/>
    <w:rsid w:val="00DD13E2"/>
    <w:rsid w:val="00DD62ED"/>
    <w:rsid w:val="00DE2F9E"/>
    <w:rsid w:val="00E02FE0"/>
    <w:rsid w:val="00E131A8"/>
    <w:rsid w:val="00E1740E"/>
    <w:rsid w:val="00E21FD0"/>
    <w:rsid w:val="00E2616D"/>
    <w:rsid w:val="00E31501"/>
    <w:rsid w:val="00E3262B"/>
    <w:rsid w:val="00E3263B"/>
    <w:rsid w:val="00E43ABA"/>
    <w:rsid w:val="00E45777"/>
    <w:rsid w:val="00E53C06"/>
    <w:rsid w:val="00E63D62"/>
    <w:rsid w:val="00E73E41"/>
    <w:rsid w:val="00E746BE"/>
    <w:rsid w:val="00E82F11"/>
    <w:rsid w:val="00E85148"/>
    <w:rsid w:val="00E91EE4"/>
    <w:rsid w:val="00EA3EE4"/>
    <w:rsid w:val="00EA53C7"/>
    <w:rsid w:val="00EA6B10"/>
    <w:rsid w:val="00EB5A3A"/>
    <w:rsid w:val="00EC16A5"/>
    <w:rsid w:val="00EC61B4"/>
    <w:rsid w:val="00ED224E"/>
    <w:rsid w:val="00ED33BB"/>
    <w:rsid w:val="00ED6C96"/>
    <w:rsid w:val="00EE3692"/>
    <w:rsid w:val="00EE435C"/>
    <w:rsid w:val="00F01A91"/>
    <w:rsid w:val="00F039CA"/>
    <w:rsid w:val="00F071D8"/>
    <w:rsid w:val="00F11AD3"/>
    <w:rsid w:val="00F16EF8"/>
    <w:rsid w:val="00F24EFA"/>
    <w:rsid w:val="00F310C8"/>
    <w:rsid w:val="00F324FF"/>
    <w:rsid w:val="00F34FCF"/>
    <w:rsid w:val="00F3632E"/>
    <w:rsid w:val="00F410D1"/>
    <w:rsid w:val="00F457C8"/>
    <w:rsid w:val="00F46230"/>
    <w:rsid w:val="00F50059"/>
    <w:rsid w:val="00F571C1"/>
    <w:rsid w:val="00F60A4C"/>
    <w:rsid w:val="00F66B1E"/>
    <w:rsid w:val="00F72317"/>
    <w:rsid w:val="00F8192C"/>
    <w:rsid w:val="00F83493"/>
    <w:rsid w:val="00F96E94"/>
    <w:rsid w:val="00FB3270"/>
    <w:rsid w:val="00FC3BBC"/>
    <w:rsid w:val="00FD1200"/>
    <w:rsid w:val="00FD6448"/>
    <w:rsid w:val="00FE23C7"/>
    <w:rsid w:val="00FE434F"/>
    <w:rsid w:val="00FE459F"/>
    <w:rsid w:val="00FF14FE"/>
    <w:rsid w:val="00FF3A5F"/>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7C"/>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362E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FF14FE"/>
  </w:style>
  <w:style w:type="character" w:customStyle="1" w:styleId="Mencinsinresolver1">
    <w:name w:val="Mención sin resolver1"/>
    <w:basedOn w:val="Fuentedeprrafopredeter"/>
    <w:uiPriority w:val="99"/>
    <w:semiHidden/>
    <w:unhideWhenUsed/>
    <w:rsid w:val="004E02F4"/>
    <w:rPr>
      <w:color w:val="605E5C"/>
      <w:shd w:val="clear" w:color="auto" w:fill="E1DFDD"/>
    </w:rPr>
  </w:style>
  <w:style w:type="character" w:styleId="Hipervnculovisitado">
    <w:name w:val="FollowedHyperlink"/>
    <w:basedOn w:val="Fuentedeprrafopredeter"/>
    <w:uiPriority w:val="99"/>
    <w:semiHidden/>
    <w:unhideWhenUsed/>
    <w:rsid w:val="00C2413A"/>
    <w:rPr>
      <w:color w:val="954F72" w:themeColor="followedHyperlink"/>
      <w:u w:val="single"/>
    </w:rPr>
  </w:style>
  <w:style w:type="table" w:customStyle="1" w:styleId="Tablaconcuadrcula2">
    <w:name w:val="Tabla con cuadrícula2"/>
    <w:basedOn w:val="Tablanormal"/>
    <w:next w:val="Tablaconcuadrcula"/>
    <w:uiPriority w:val="39"/>
    <w:rsid w:val="00AF2A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2586703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988940686">
      <w:bodyDiv w:val="1"/>
      <w:marLeft w:val="0"/>
      <w:marRight w:val="0"/>
      <w:marTop w:val="0"/>
      <w:marBottom w:val="0"/>
      <w:divBdr>
        <w:top w:val="none" w:sz="0" w:space="0" w:color="auto"/>
        <w:left w:val="none" w:sz="0" w:space="0" w:color="auto"/>
        <w:bottom w:val="none" w:sz="0" w:space="0" w:color="auto"/>
        <w:right w:val="none" w:sz="0" w:space="0" w:color="auto"/>
      </w:divBdr>
    </w:div>
    <w:div w:id="1069113161">
      <w:bodyDiv w:val="1"/>
      <w:marLeft w:val="0"/>
      <w:marRight w:val="0"/>
      <w:marTop w:val="0"/>
      <w:marBottom w:val="0"/>
      <w:divBdr>
        <w:top w:val="none" w:sz="0" w:space="0" w:color="auto"/>
        <w:left w:val="none" w:sz="0" w:space="0" w:color="auto"/>
        <w:bottom w:val="none" w:sz="0" w:space="0" w:color="auto"/>
        <w:right w:val="none" w:sz="0" w:space="0" w:color="auto"/>
      </w:divBdr>
    </w:div>
    <w:div w:id="1777402797">
      <w:bodyDiv w:val="1"/>
      <w:marLeft w:val="0"/>
      <w:marRight w:val="0"/>
      <w:marTop w:val="0"/>
      <w:marBottom w:val="0"/>
      <w:divBdr>
        <w:top w:val="none" w:sz="0" w:space="0" w:color="auto"/>
        <w:left w:val="none" w:sz="0" w:space="0" w:color="auto"/>
        <w:bottom w:val="none" w:sz="0" w:space="0" w:color="auto"/>
        <w:right w:val="none" w:sz="0" w:space="0" w:color="auto"/>
      </w:divBdr>
    </w:div>
    <w:div w:id="1794909615">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43814682">
      <w:bodyDiv w:val="1"/>
      <w:marLeft w:val="0"/>
      <w:marRight w:val="0"/>
      <w:marTop w:val="0"/>
      <w:marBottom w:val="0"/>
      <w:divBdr>
        <w:top w:val="none" w:sz="0" w:space="0" w:color="auto"/>
        <w:left w:val="none" w:sz="0" w:space="0" w:color="auto"/>
        <w:bottom w:val="none" w:sz="0" w:space="0" w:color="auto"/>
        <w:right w:val="none" w:sz="0" w:space="0" w:color="auto"/>
      </w:divBdr>
    </w:div>
    <w:div w:id="2001810152">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1D18F-7B41-409E-BAB5-E371652F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51</Pages>
  <Words>13207</Words>
  <Characters>72642</Characters>
  <Application>Microsoft Office Word</Application>
  <DocSecurity>0</DocSecurity>
  <Lines>605</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27</cp:revision>
  <cp:lastPrinted>2018-04-05T14:31:00Z</cp:lastPrinted>
  <dcterms:created xsi:type="dcterms:W3CDTF">2022-01-14T00:45:00Z</dcterms:created>
  <dcterms:modified xsi:type="dcterms:W3CDTF">2022-02-22T17:06:00Z</dcterms:modified>
</cp:coreProperties>
</file>