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E8B" w:rsidRDefault="004F1D6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89700E">
        <w:rPr>
          <w:rFonts w:ascii="Palatino Linotype" w:eastAsia="Palatino Linotype" w:hAnsi="Palatino Linotype" w:cs="Palatino Linotype"/>
          <w:b/>
        </w:rPr>
        <w:t>veintisiete</w:t>
      </w:r>
      <w:r w:rsidR="00E61CB7">
        <w:rPr>
          <w:rFonts w:ascii="Palatino Linotype" w:eastAsia="Palatino Linotype" w:hAnsi="Palatino Linotype" w:cs="Palatino Linotype"/>
          <w:b/>
        </w:rPr>
        <w:t xml:space="preserve"> de enero de dos mil veintidós</w:t>
      </w:r>
      <w:r>
        <w:rPr>
          <w:rFonts w:ascii="Palatino Linotype" w:eastAsia="Palatino Linotype" w:hAnsi="Palatino Linotype" w:cs="Palatino Linotype"/>
        </w:rPr>
        <w:t xml:space="preserve">. </w:t>
      </w:r>
    </w:p>
    <w:p w:rsidR="00504E8B" w:rsidRDefault="004F1D6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sidR="00E61CB7">
        <w:rPr>
          <w:rFonts w:ascii="Palatino Linotype" w:eastAsia="Palatino Linotype" w:hAnsi="Palatino Linotype" w:cs="Palatino Linotype"/>
          <w:b/>
        </w:rPr>
        <w:t>0536</w:t>
      </w:r>
      <w:r>
        <w:rPr>
          <w:rFonts w:ascii="Palatino Linotype" w:eastAsia="Palatino Linotype" w:hAnsi="Palatino Linotype" w:cs="Palatino Linotype"/>
          <w:b/>
        </w:rPr>
        <w:t xml:space="preserve">4/INFOEM/IP/RR/2021,  </w:t>
      </w:r>
      <w:r>
        <w:rPr>
          <w:rFonts w:ascii="Palatino Linotype" w:eastAsia="Palatino Linotype" w:hAnsi="Palatino Linotype" w:cs="Palatino Linotype"/>
        </w:rPr>
        <w:t>interpuesto por</w:t>
      </w:r>
      <w:r w:rsidR="00E61CB7">
        <w:rPr>
          <w:rFonts w:ascii="Palatino Linotype" w:eastAsia="Palatino Linotype" w:hAnsi="Palatino Linotype" w:cs="Palatino Linotype"/>
          <w:b/>
        </w:rPr>
        <w:t xml:space="preserve"> </w:t>
      </w:r>
      <w:r w:rsidR="009E4726" w:rsidRPr="009E4726">
        <w:rPr>
          <w:rFonts w:ascii="Palatino Linotype" w:eastAsia="Palatino Linotype" w:hAnsi="Palatino Linotype" w:cs="Palatino Linotype"/>
          <w:b/>
        </w:rPr>
        <w:t>XXXX XXXXXXX</w:t>
      </w:r>
      <w:bookmarkStart w:id="0" w:name="_GoBack"/>
      <w:bookmarkEnd w:id="0"/>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sidR="00E61CB7">
        <w:rPr>
          <w:rFonts w:ascii="Palatino Linotype" w:eastAsia="Palatino Linotype" w:hAnsi="Palatino Linotype" w:cs="Palatino Linotype"/>
          <w:b/>
        </w:rPr>
        <w:t xml:space="preserve"> 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 en contra de la respuesta por parte del </w:t>
      </w:r>
      <w:r w:rsidR="00E61CB7" w:rsidRPr="00E61CB7">
        <w:rPr>
          <w:rFonts w:ascii="Palatino Linotype" w:eastAsia="Palatino Linotype" w:hAnsi="Palatino Linotype" w:cs="Palatino Linotype"/>
          <w:b/>
          <w:bCs/>
        </w:rPr>
        <w:t>Hospital Regional de Alta Especialidad de Zumpango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504E8B" w:rsidRDefault="004F1D66">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rsidR="00504E8B" w:rsidRDefault="004F1D6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w:t>
      </w:r>
      <w:r w:rsidR="00E61CB7">
        <w:rPr>
          <w:rFonts w:ascii="Palatino Linotype" w:eastAsia="Palatino Linotype" w:hAnsi="Palatino Linotype" w:cs="Palatino Linotype"/>
          <w:b/>
        </w:rPr>
        <w:t xml:space="preserve"> once de octubre</w:t>
      </w:r>
      <w:r>
        <w:rPr>
          <w:rFonts w:ascii="Palatino Linotype" w:eastAsia="Palatino Linotype" w:hAnsi="Palatino Linotype" w:cs="Palatino Linotype"/>
          <w:b/>
        </w:rPr>
        <w:t xml:space="preserve"> de dos mil veintiuno,</w:t>
      </w:r>
      <w:r>
        <w:rPr>
          <w:rFonts w:ascii="Palatino Linotype" w:eastAsia="Palatino Linotype" w:hAnsi="Palatino Linotype" w:cs="Palatino Linotype"/>
        </w:rPr>
        <w:t xml:space="preserv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solicitud de acceso a la información pública, a la que se le asignó el número de folio </w:t>
      </w:r>
      <w:r>
        <w:rPr>
          <w:rFonts w:ascii="Palatino Linotype" w:eastAsia="Palatino Linotype" w:hAnsi="Palatino Linotype" w:cs="Palatino Linotype"/>
          <w:b/>
        </w:rPr>
        <w:t xml:space="preserve"> </w:t>
      </w:r>
      <w:r w:rsidR="00E61CB7" w:rsidRPr="00E61CB7">
        <w:rPr>
          <w:rFonts w:ascii="Palatino Linotype" w:eastAsia="Palatino Linotype" w:hAnsi="Palatino Linotype" w:cs="Palatino Linotype"/>
          <w:b/>
          <w:bCs/>
        </w:rPr>
        <w:t>00197/HRZUM/IP/2021</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mediante la cual requirió la información siguiente: </w:t>
      </w:r>
    </w:p>
    <w:p w:rsidR="00504E8B" w:rsidRDefault="004F1D66">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sidR="00E61CB7" w:rsidRPr="00E61CB7">
        <w:rPr>
          <w:rFonts w:ascii="Palatino Linotype" w:eastAsia="Palatino Linotype" w:hAnsi="Palatino Linotype" w:cs="Palatino Linotype"/>
          <w:i/>
          <w:sz w:val="22"/>
          <w:szCs w:val="22"/>
        </w:rPr>
        <w:t xml:space="preserve">Se solicita la certificación por parte del Institito de Transparencia del Estado de México, esto de conformidad con lo que establece el artículo 57 de la ley de Transparencia y acceso a la información pública del estado de mexico y sus municipios, certificación con la cual debe contar la titular de la unidad de tranncia Lic. Rosa Edith Ventura Ríos, la cual funge como Titular de la Unidad de Transparencia del Hospital Regional de Alta Especialidad de Zumpango, asicomo todas y cada una de las constancias que acrediten tener la experiencia en el ámbito de Transparencia y acceso a la información pública y protección de datos </w:t>
      </w:r>
      <w:r w:rsidR="00E61CB7" w:rsidRPr="00E61CB7">
        <w:rPr>
          <w:rFonts w:ascii="Palatino Linotype" w:eastAsia="Palatino Linotype" w:hAnsi="Palatino Linotype" w:cs="Palatino Linotype"/>
          <w:i/>
          <w:sz w:val="22"/>
          <w:szCs w:val="22"/>
        </w:rPr>
        <w:lastRenderedPageBreak/>
        <w:t>personales, y el nombramiento debidamente certificado que se le dio para fingir como tal</w:t>
      </w:r>
      <w:r>
        <w:rPr>
          <w:rFonts w:ascii="Palatino Linotype" w:eastAsia="Palatino Linotype" w:hAnsi="Palatino Linotype" w:cs="Palatino Linotype"/>
          <w:i/>
          <w:sz w:val="22"/>
          <w:szCs w:val="22"/>
        </w:rPr>
        <w:t>” (Sic)</w:t>
      </w:r>
    </w:p>
    <w:p w:rsidR="00504E8B" w:rsidRDefault="004F1D6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Archivos adjuntos:</w:t>
      </w:r>
      <w:r>
        <w:rPr>
          <w:rFonts w:ascii="Palatino Linotype" w:eastAsia="Palatino Linotype" w:hAnsi="Palatino Linotype" w:cs="Palatino Linotype"/>
        </w:rPr>
        <w:t xml:space="preserve"> Ninguno</w:t>
      </w:r>
    </w:p>
    <w:p w:rsidR="00504E8B" w:rsidRDefault="004F1D6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Modalidad de Entrega: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b/>
        </w:rPr>
        <w:tab/>
      </w:r>
    </w:p>
    <w:p w:rsidR="00504E8B" w:rsidRDefault="004F1D6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En fecha </w:t>
      </w:r>
      <w:r w:rsidR="000811D9">
        <w:rPr>
          <w:rFonts w:ascii="Palatino Linotype" w:eastAsia="Palatino Linotype" w:hAnsi="Palatino Linotype" w:cs="Palatino Linotype"/>
          <w:b/>
        </w:rPr>
        <w:t>uno de noviembre de dos mil veintiuno</w:t>
      </w:r>
      <w:r>
        <w:rPr>
          <w:rFonts w:ascii="Palatino Linotype" w:eastAsia="Palatino Linotype" w:hAnsi="Palatino Linotype" w:cs="Palatino Linotype"/>
        </w:rPr>
        <w:t>, el Suj</w:t>
      </w:r>
      <w:r w:rsidR="000811D9">
        <w:rPr>
          <w:rFonts w:ascii="Palatino Linotype" w:eastAsia="Palatino Linotype" w:hAnsi="Palatino Linotype" w:cs="Palatino Linotype"/>
        </w:rPr>
        <w:t>eto Obligado notificó a la</w:t>
      </w:r>
      <w:r>
        <w:rPr>
          <w:rFonts w:ascii="Palatino Linotype" w:eastAsia="Palatino Linotype" w:hAnsi="Palatino Linotype" w:cs="Palatino Linotype"/>
        </w:rPr>
        <w:t xml:space="preserve"> Recurrente la respuesta a su solicitud en los términos siguientes: </w:t>
      </w:r>
    </w:p>
    <w:p w:rsidR="000811D9" w:rsidRPr="000811D9" w:rsidRDefault="004F1D66" w:rsidP="000811D9">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0811D9" w:rsidRPr="000811D9">
        <w:rPr>
          <w:rFonts w:ascii="Palatino Linotype" w:eastAsia="Palatino Linotype" w:hAnsi="Palatino Linotype" w:cs="Palatino Linotype"/>
          <w:i/>
          <w:sz w:val="22"/>
          <w:szCs w:val="22"/>
        </w:rPr>
        <w:t>Con fundamento en lo previsto por los artículos 2 fracción II y VII, 4 párrafo tercero, 7, 11, 12, 15, 16, 17, 19, 22, 23, fracción I, 24, fracción XI y último párrafo, 50, 51, 52, 53 fracciones II, IV, V y VI, todos de la Ley de Transparencia y Acceso a la Información Pública del Estado de México y Municipios; en atención a la solicitud de acceso a la información pública, recibida por este Sujeto Obligado, con número de folio 00197/HRZUM/IP/2021; sírvase encontrar adjunto el archivo que detalla de forma precisa el requerimiento del solicitante, por lo que con el acto se cumple en tiempo y forma.</w:t>
      </w:r>
    </w:p>
    <w:p w:rsidR="000811D9" w:rsidRPr="000811D9" w:rsidRDefault="000811D9" w:rsidP="000811D9">
      <w:pPr>
        <w:spacing w:before="240" w:after="240"/>
        <w:ind w:left="567" w:right="900"/>
        <w:jc w:val="both"/>
        <w:rPr>
          <w:rFonts w:ascii="Palatino Linotype" w:eastAsia="Palatino Linotype" w:hAnsi="Palatino Linotype" w:cs="Palatino Linotype"/>
          <w:i/>
          <w:sz w:val="22"/>
          <w:szCs w:val="22"/>
        </w:rPr>
      </w:pPr>
      <w:r w:rsidRPr="000811D9">
        <w:rPr>
          <w:rFonts w:ascii="Palatino Linotype" w:eastAsia="Palatino Linotype" w:hAnsi="Palatino Linotype" w:cs="Palatino Linotype"/>
          <w:i/>
          <w:sz w:val="22"/>
          <w:szCs w:val="22"/>
        </w:rPr>
        <w:t>ATENTAMENTE</w:t>
      </w:r>
    </w:p>
    <w:p w:rsidR="00504E8B" w:rsidRDefault="000811D9" w:rsidP="000811D9">
      <w:pPr>
        <w:spacing w:before="240" w:after="240"/>
        <w:ind w:left="567" w:right="900"/>
        <w:jc w:val="both"/>
        <w:rPr>
          <w:rFonts w:ascii="Palatino Linotype" w:eastAsia="Palatino Linotype" w:hAnsi="Palatino Linotype" w:cs="Palatino Linotype"/>
          <w:i/>
          <w:sz w:val="22"/>
          <w:szCs w:val="22"/>
        </w:rPr>
      </w:pPr>
      <w:r w:rsidRPr="000811D9">
        <w:rPr>
          <w:rFonts w:ascii="Palatino Linotype" w:eastAsia="Palatino Linotype" w:hAnsi="Palatino Linotype" w:cs="Palatino Linotype"/>
          <w:i/>
          <w:sz w:val="22"/>
          <w:szCs w:val="22"/>
        </w:rPr>
        <w:t>LCDA. ROSA EDITH VENTURA RIOS</w:t>
      </w:r>
      <w:r w:rsidR="004F1D66">
        <w:rPr>
          <w:rFonts w:ascii="Palatino Linotype" w:eastAsia="Palatino Linotype" w:hAnsi="Palatino Linotype" w:cs="Palatino Linotype"/>
          <w:i/>
          <w:sz w:val="22"/>
          <w:szCs w:val="22"/>
        </w:rPr>
        <w:t>” (Sic)</w:t>
      </w:r>
    </w:p>
    <w:p w:rsidR="00504E8B" w:rsidRDefault="00504E8B">
      <w:pPr>
        <w:spacing w:before="240" w:after="240"/>
        <w:ind w:left="567" w:right="900"/>
        <w:jc w:val="both"/>
        <w:rPr>
          <w:rFonts w:ascii="Palatino Linotype" w:eastAsia="Palatino Linotype" w:hAnsi="Palatino Linotype" w:cs="Palatino Linotype"/>
          <w:i/>
          <w:sz w:val="22"/>
          <w:szCs w:val="22"/>
        </w:rPr>
      </w:pPr>
    </w:p>
    <w:p w:rsidR="00504E8B" w:rsidRDefault="004F1D66" w:rsidP="000811D9">
      <w:pPr>
        <w:spacing w:before="240" w:after="240" w:line="360"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b/>
        </w:rPr>
        <w:t xml:space="preserve">Archivos adjuntos: </w:t>
      </w:r>
      <w:r>
        <w:rPr>
          <w:rFonts w:ascii="Palatino Linotype" w:eastAsia="Palatino Linotype" w:hAnsi="Palatino Linotype" w:cs="Palatino Linotype"/>
        </w:rPr>
        <w:t xml:space="preserve">El </w:t>
      </w:r>
      <w:r w:rsidRPr="000811D9">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los archivos electrónicos  denominados </w:t>
      </w:r>
      <w:r>
        <w:rPr>
          <w:rFonts w:ascii="Palatino Linotype" w:eastAsia="Palatino Linotype" w:hAnsi="Palatino Linotype" w:cs="Palatino Linotype"/>
          <w:b/>
          <w:i/>
        </w:rPr>
        <w:t>“</w:t>
      </w:r>
      <w:r w:rsidR="000811D9">
        <w:rPr>
          <w:rFonts w:ascii="Palatino Linotype" w:eastAsia="Palatino Linotype" w:hAnsi="Palatino Linotype" w:cs="Palatino Linotype"/>
          <w:b/>
          <w:i/>
        </w:rPr>
        <w:t>contes_sol_197.pdf” y “</w:t>
      </w:r>
      <w:r w:rsidR="000811D9" w:rsidRPr="000811D9">
        <w:rPr>
          <w:rFonts w:ascii="Palatino Linotype" w:eastAsia="Palatino Linotype" w:hAnsi="Palatino Linotype" w:cs="Palatino Linotype"/>
          <w:b/>
          <w:i/>
        </w:rPr>
        <w:t>CONTES_197_doc.pdf</w:t>
      </w:r>
      <w:r w:rsidR="000811D9">
        <w:rPr>
          <w:rFonts w:ascii="Palatino Linotype" w:eastAsia="Palatino Linotype" w:hAnsi="Palatino Linotype" w:cs="Palatino Linotype"/>
          <w:b/>
          <w:i/>
        </w:rPr>
        <w:t>”</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los cuales se </w:t>
      </w:r>
      <w:r w:rsidR="000811D9">
        <w:rPr>
          <w:rFonts w:ascii="Palatino Linotype" w:eastAsia="Palatino Linotype" w:hAnsi="Palatino Linotype" w:cs="Palatino Linotype"/>
        </w:rPr>
        <w:t xml:space="preserve"> describen a continuación: </w:t>
      </w:r>
    </w:p>
    <w:p w:rsidR="000811D9" w:rsidRDefault="000811D9" w:rsidP="000811D9">
      <w:pPr>
        <w:spacing w:before="240" w:after="240" w:line="360"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b/>
          <w:i/>
        </w:rPr>
        <w:t xml:space="preserve">“contes_sol_197.pdf”: </w:t>
      </w:r>
      <w:r>
        <w:rPr>
          <w:rFonts w:ascii="Palatino Linotype" w:eastAsia="Palatino Linotype" w:hAnsi="Palatino Linotype" w:cs="Palatino Linotype"/>
        </w:rPr>
        <w:t xml:space="preserve">Soporte documental de dos fojas, en el cual la Titular de la Unidad de Transparencia remite la respuesta a la solicitud de información pública. </w:t>
      </w:r>
    </w:p>
    <w:p w:rsidR="000811D9" w:rsidRDefault="000811D9" w:rsidP="000811D9">
      <w:pPr>
        <w:spacing w:before="240" w:after="240" w:line="360"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486400" cy="6477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6477000"/>
                    </a:xfrm>
                    <a:prstGeom prst="rect">
                      <a:avLst/>
                    </a:prstGeom>
                    <a:noFill/>
                    <a:ln>
                      <a:noFill/>
                    </a:ln>
                  </pic:spPr>
                </pic:pic>
              </a:graphicData>
            </a:graphic>
          </wp:inline>
        </w:drawing>
      </w:r>
    </w:p>
    <w:p w:rsidR="000811D9" w:rsidRDefault="000811D9" w:rsidP="000811D9">
      <w:pPr>
        <w:spacing w:before="240" w:after="240" w:line="360" w:lineRule="auto"/>
        <w:ind w:left="567" w:right="902"/>
        <w:jc w:val="both"/>
        <w:rPr>
          <w:rFonts w:ascii="Palatino Linotype" w:eastAsia="Palatino Linotype" w:hAnsi="Palatino Linotype" w:cs="Palatino Linotype"/>
        </w:rPr>
      </w:pPr>
    </w:p>
    <w:p w:rsidR="000811D9" w:rsidRDefault="000811D9" w:rsidP="000811D9">
      <w:pPr>
        <w:spacing w:before="240" w:after="240" w:line="360" w:lineRule="auto"/>
        <w:ind w:left="567" w:right="902"/>
        <w:jc w:val="both"/>
        <w:rPr>
          <w:rFonts w:ascii="Palatino Linotype" w:eastAsia="Palatino Linotype" w:hAnsi="Palatino Linotype" w:cs="Palatino Linotype"/>
        </w:rPr>
      </w:pPr>
    </w:p>
    <w:p w:rsidR="000811D9" w:rsidRPr="000811D9" w:rsidRDefault="000811D9" w:rsidP="000811D9">
      <w:pPr>
        <w:spacing w:before="240" w:after="240" w:line="360"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486400" cy="65436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6543675"/>
                    </a:xfrm>
                    <a:prstGeom prst="rect">
                      <a:avLst/>
                    </a:prstGeom>
                    <a:noFill/>
                    <a:ln>
                      <a:noFill/>
                    </a:ln>
                  </pic:spPr>
                </pic:pic>
              </a:graphicData>
            </a:graphic>
          </wp:inline>
        </w:drawing>
      </w:r>
    </w:p>
    <w:p w:rsidR="000811D9" w:rsidRDefault="000811D9">
      <w:pPr>
        <w:spacing w:before="240" w:after="240" w:line="360" w:lineRule="auto"/>
        <w:ind w:right="49"/>
        <w:jc w:val="both"/>
        <w:rPr>
          <w:rFonts w:ascii="Palatino Linotype" w:eastAsia="Palatino Linotype" w:hAnsi="Palatino Linotype" w:cs="Palatino Linotype"/>
          <w:b/>
        </w:rPr>
      </w:pPr>
    </w:p>
    <w:p w:rsidR="00D80E46" w:rsidRDefault="000811D9">
      <w:pPr>
        <w:spacing w:before="240" w:after="240" w:line="360" w:lineRule="auto"/>
        <w:ind w:right="49"/>
        <w:jc w:val="both"/>
        <w:rPr>
          <w:rFonts w:ascii="Palatino Linotype" w:eastAsia="Palatino Linotype" w:hAnsi="Palatino Linotype" w:cs="Palatino Linotype"/>
        </w:rPr>
      </w:pPr>
      <w:r w:rsidRPr="000811D9">
        <w:rPr>
          <w:rFonts w:ascii="Palatino Linotype" w:eastAsia="Palatino Linotype" w:hAnsi="Palatino Linotype" w:cs="Palatino Linotype"/>
          <w:b/>
          <w:i/>
        </w:rPr>
        <w:lastRenderedPageBreak/>
        <w:t>“CONTES_197_doc.pdf”</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Archivo electrónico de seis páginas, consistente en el nombramiento de la Titular de la Unidad de Transparencia, constancias de asistencia a cursos y capturas de pantalla de correos electrónicos enviados a la entonces Directora General de Capacitación, Certificación y Políticas Públicas de este Órgano Garante, se inserta </w:t>
      </w:r>
      <w:r w:rsidR="00D80E46">
        <w:rPr>
          <w:rFonts w:ascii="Palatino Linotype" w:eastAsia="Palatino Linotype" w:hAnsi="Palatino Linotype" w:cs="Palatino Linotype"/>
        </w:rPr>
        <w:t xml:space="preserve">la primera página de manera ilustrativa: </w:t>
      </w:r>
    </w:p>
    <w:p w:rsidR="000811D9" w:rsidRPr="000811D9" w:rsidRDefault="00D80E46" w:rsidP="00D80E46">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905872" cy="57150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5358" cy="5726050"/>
                    </a:xfrm>
                    <a:prstGeom prst="rect">
                      <a:avLst/>
                    </a:prstGeom>
                    <a:noFill/>
                    <a:ln>
                      <a:noFill/>
                    </a:ln>
                  </pic:spPr>
                </pic:pic>
              </a:graphicData>
            </a:graphic>
          </wp:inline>
        </w:drawing>
      </w:r>
    </w:p>
    <w:p w:rsidR="00504E8B" w:rsidRDefault="004F1D6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Sujeto Obligado, en fecha </w:t>
      </w:r>
      <w:r w:rsidR="00D80E46">
        <w:rPr>
          <w:rFonts w:ascii="Palatino Linotype" w:eastAsia="Palatino Linotype" w:hAnsi="Palatino Linotype" w:cs="Palatino Linotype"/>
          <w:b/>
        </w:rPr>
        <w:t>tres de nov</w:t>
      </w:r>
      <w:r>
        <w:rPr>
          <w:rFonts w:ascii="Palatino Linotype" w:eastAsia="Palatino Linotype" w:hAnsi="Palatino Linotype" w:cs="Palatino Linotype"/>
          <w:b/>
        </w:rPr>
        <w:t>iembre de dos mil veintiuno,</w:t>
      </w:r>
      <w:r>
        <w:rPr>
          <w:rFonts w:ascii="Palatino Linotype" w:eastAsia="Palatino Linotype" w:hAnsi="Palatino Linotype" w:cs="Palatino Linotype"/>
        </w:rPr>
        <w:t xml:space="preserve"> la parte recurrente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rsidR="00504E8B" w:rsidRDefault="004F1D66" w:rsidP="00D80E46">
      <w:pPr>
        <w:numPr>
          <w:ilvl w:val="0"/>
          <w:numId w:val="3"/>
        </w:numPr>
        <w:pBdr>
          <w:top w:val="nil"/>
          <w:left w:val="nil"/>
          <w:bottom w:val="nil"/>
          <w:right w:val="nil"/>
          <w:between w:val="nil"/>
        </w:pBdr>
        <w:spacing w:before="240" w:line="360" w:lineRule="auto"/>
        <w:ind w:left="567" w:right="709" w:hanging="141"/>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Acto impugnado: </w:t>
      </w:r>
    </w:p>
    <w:p w:rsidR="00504E8B" w:rsidRDefault="004F1D66" w:rsidP="00D80E46">
      <w:pPr>
        <w:pBdr>
          <w:top w:val="nil"/>
          <w:left w:val="nil"/>
          <w:bottom w:val="nil"/>
          <w:right w:val="nil"/>
          <w:between w:val="nil"/>
        </w:pBdr>
        <w:tabs>
          <w:tab w:val="left" w:pos="567"/>
        </w:tabs>
        <w:ind w:left="567" w:right="709"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D80E46" w:rsidRPr="00D80E46">
        <w:rPr>
          <w:rFonts w:ascii="Palatino Linotype" w:eastAsia="Palatino Linotype" w:hAnsi="Palatino Linotype" w:cs="Palatino Linotype"/>
          <w:i/>
          <w:color w:val="000000"/>
          <w:sz w:val="22"/>
          <w:szCs w:val="22"/>
        </w:rPr>
        <w:t>La negativa de la entrega de información solicitada, entregado parcialmente lo solicitado.</w:t>
      </w:r>
      <w:r>
        <w:rPr>
          <w:rFonts w:ascii="Palatino Linotype" w:eastAsia="Palatino Linotype" w:hAnsi="Palatino Linotype" w:cs="Palatino Linotype"/>
          <w:i/>
          <w:color w:val="000000"/>
          <w:sz w:val="22"/>
          <w:szCs w:val="22"/>
        </w:rPr>
        <w:t>” (Sic)</w:t>
      </w:r>
    </w:p>
    <w:p w:rsidR="00504E8B" w:rsidRDefault="00504E8B" w:rsidP="00D80E46">
      <w:pPr>
        <w:pBdr>
          <w:top w:val="nil"/>
          <w:left w:val="nil"/>
          <w:bottom w:val="nil"/>
          <w:right w:val="nil"/>
          <w:between w:val="nil"/>
        </w:pBdr>
        <w:tabs>
          <w:tab w:val="left" w:pos="567"/>
        </w:tabs>
        <w:ind w:left="567" w:right="709" w:hanging="141"/>
        <w:jc w:val="both"/>
        <w:rPr>
          <w:rFonts w:ascii="Palatino Linotype" w:eastAsia="Palatino Linotype" w:hAnsi="Palatino Linotype" w:cs="Palatino Linotype"/>
          <w:b/>
          <w:color w:val="000000"/>
        </w:rPr>
      </w:pPr>
    </w:p>
    <w:p w:rsidR="00504E8B" w:rsidRDefault="004F1D66" w:rsidP="00D80E46">
      <w:pPr>
        <w:numPr>
          <w:ilvl w:val="0"/>
          <w:numId w:val="3"/>
        </w:numPr>
        <w:pBdr>
          <w:top w:val="nil"/>
          <w:left w:val="nil"/>
          <w:bottom w:val="nil"/>
          <w:right w:val="nil"/>
          <w:between w:val="nil"/>
        </w:pBdr>
        <w:tabs>
          <w:tab w:val="left" w:pos="567"/>
        </w:tabs>
        <w:ind w:left="567" w:right="709"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rPr>
        <w:t xml:space="preserve"> Razones o motivos de inconformidad: </w:t>
      </w:r>
    </w:p>
    <w:p w:rsidR="00504E8B" w:rsidRDefault="00504E8B" w:rsidP="00D80E46">
      <w:pPr>
        <w:pBdr>
          <w:top w:val="nil"/>
          <w:left w:val="nil"/>
          <w:bottom w:val="nil"/>
          <w:right w:val="nil"/>
          <w:between w:val="nil"/>
        </w:pBdr>
        <w:tabs>
          <w:tab w:val="left" w:pos="567"/>
        </w:tabs>
        <w:ind w:left="567" w:right="709" w:hanging="141"/>
        <w:jc w:val="both"/>
        <w:rPr>
          <w:rFonts w:ascii="Palatino Linotype" w:eastAsia="Palatino Linotype" w:hAnsi="Palatino Linotype" w:cs="Palatino Linotype"/>
          <w:b/>
          <w:color w:val="000000"/>
        </w:rPr>
      </w:pPr>
    </w:p>
    <w:p w:rsidR="00504E8B" w:rsidRDefault="004F1D66" w:rsidP="00D80E46">
      <w:pPr>
        <w:pBdr>
          <w:top w:val="nil"/>
          <w:left w:val="nil"/>
          <w:bottom w:val="nil"/>
          <w:right w:val="nil"/>
          <w:between w:val="nil"/>
        </w:pBdr>
        <w:tabs>
          <w:tab w:val="left" w:pos="567"/>
        </w:tabs>
        <w:ind w:left="567" w:right="709"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D80E46" w:rsidRPr="00D80E46">
        <w:rPr>
          <w:rFonts w:ascii="Palatino Linotype" w:eastAsia="Palatino Linotype" w:hAnsi="Palatino Linotype" w:cs="Palatino Linotype"/>
          <w:i/>
          <w:color w:val="000000"/>
          <w:sz w:val="22"/>
          <w:szCs w:val="22"/>
        </w:rPr>
        <w:t>Se solicitó al sujeto obligado la "CERTIFICACIÓN " de la unidad de transparencia del hospital regional de alta especialidad de zumpango, ya que como la ley de Transparencia y acceso a la información pública del estado de mexico y municipios, lo marca en su articulo 57 es un requisito para poder serlo, sin embargo en su respuesta envían un correo electrónico de algunas recomendaciones para la certificación, sin embargo la titular tendría que estar certificada antes de ocupar el puesto, no posterior a esto. Artículo 57. El responsable de la Unidad de Transparencia deberá tener el perfil adecuado para el cumplimiento de las obligaciones que se derivan de la presente Ley. Para ser nombrado titular de la Unidad de Transparencia, deberá cumplir, por lo menos, con los siguientes requisitos: I. Contar con conocimiento o, tratándose de las entidades gubernamentales estatales y los municipios certificación en materia de acceso a la información, transparencia y protección de datos personales, que para tal efecto emita el Instituto; II. Experiencia en materia de acceso a la información y protección de datos personales; y III. Habilidades de organización y comunicación, así como visión y liderazgo.</w:t>
      </w:r>
      <w:r>
        <w:rPr>
          <w:rFonts w:ascii="Palatino Linotype" w:eastAsia="Palatino Linotype" w:hAnsi="Palatino Linotype" w:cs="Palatino Linotype"/>
          <w:i/>
          <w:color w:val="000000"/>
          <w:sz w:val="22"/>
          <w:szCs w:val="22"/>
        </w:rPr>
        <w:t>” (Sic)</w:t>
      </w:r>
    </w:p>
    <w:p w:rsidR="00504E8B" w:rsidRDefault="00504E8B">
      <w:pPr>
        <w:pBdr>
          <w:top w:val="nil"/>
          <w:left w:val="nil"/>
          <w:bottom w:val="nil"/>
          <w:right w:val="nil"/>
          <w:between w:val="nil"/>
        </w:pBdr>
        <w:tabs>
          <w:tab w:val="left" w:pos="567"/>
        </w:tabs>
        <w:spacing w:after="240"/>
        <w:ind w:left="720" w:right="1041"/>
        <w:jc w:val="both"/>
        <w:rPr>
          <w:rFonts w:ascii="Palatino Linotype" w:eastAsia="Palatino Linotype" w:hAnsi="Palatino Linotype" w:cs="Palatino Linotype"/>
          <w:i/>
          <w:color w:val="000000"/>
          <w:sz w:val="22"/>
          <w:szCs w:val="22"/>
        </w:rPr>
      </w:pPr>
    </w:p>
    <w:p w:rsidR="00504E8B" w:rsidRDefault="004F1D6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w:t>
      </w:r>
      <w:r>
        <w:rPr>
          <w:rFonts w:ascii="Palatino Linotype" w:eastAsia="Palatino Linotype" w:hAnsi="Palatino Linotype" w:cs="Palatino Linotype"/>
          <w:b/>
        </w:rPr>
        <w:t xml:space="preserve"> </w:t>
      </w:r>
      <w:r>
        <w:rPr>
          <w:rFonts w:ascii="Palatino Linotype" w:eastAsia="Palatino Linotype" w:hAnsi="Palatino Linotype" w:cs="Palatino Linotype"/>
        </w:rPr>
        <w:t>de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Transparencia, Acceso a la Información Pública y Protección de Datos Personales del Estado de México y Municipios, a la </w:t>
      </w:r>
      <w:r>
        <w:rPr>
          <w:rFonts w:ascii="Palatino Linotype" w:eastAsia="Palatino Linotype" w:hAnsi="Palatino Linotype" w:cs="Palatino Linotype"/>
          <w:b/>
        </w:rPr>
        <w:t xml:space="preserve">Comisionada Guadalupe Ramírez Peña, </w:t>
      </w:r>
      <w:r>
        <w:rPr>
          <w:rFonts w:ascii="Palatino Linotype" w:eastAsia="Palatino Linotype" w:hAnsi="Palatino Linotype" w:cs="Palatino Linotype"/>
        </w:rPr>
        <w:t>a efecto de que se analizara sobre su admisión o su desechamiento.</w:t>
      </w:r>
    </w:p>
    <w:p w:rsidR="00504E8B" w:rsidRDefault="004F1D6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Con fecha</w:t>
      </w:r>
      <w:r w:rsidR="00D80E46">
        <w:rPr>
          <w:rFonts w:ascii="Palatino Linotype" w:eastAsia="Palatino Linotype" w:hAnsi="Palatino Linotype" w:cs="Palatino Linotype"/>
          <w:b/>
        </w:rPr>
        <w:t xml:space="preserve"> ocho de nov</w:t>
      </w:r>
      <w:r>
        <w:rPr>
          <w:rFonts w:ascii="Palatino Linotype" w:eastAsia="Palatino Linotype" w:hAnsi="Palatino Linotype" w:cs="Palatino Linotype"/>
          <w:b/>
        </w:rPr>
        <w:t xml:space="preserve">iembre de dos mil veintiuno, </w:t>
      </w:r>
      <w:r>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rsidR="00504E8B" w:rsidRDefault="004F1D6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De las constancias que obran agregadas en el expediente electrónico al rubro citado, se tiene que el  </w:t>
      </w:r>
      <w:r w:rsidRPr="00D80E46">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D80E46">
        <w:rPr>
          <w:rFonts w:ascii="Palatino Linotype" w:eastAsia="Palatino Linotype" w:hAnsi="Palatino Linotype" w:cs="Palatino Linotype"/>
        </w:rPr>
        <w:t>fue omiso en rendir</w:t>
      </w:r>
      <w:r>
        <w:rPr>
          <w:rFonts w:ascii="Palatino Linotype" w:eastAsia="Palatino Linotype" w:hAnsi="Palatino Linotype" w:cs="Palatino Linotype"/>
        </w:rPr>
        <w:t xml:space="preserve"> su informe justificado, </w:t>
      </w:r>
      <w:r w:rsidR="00D80E46">
        <w:rPr>
          <w:rFonts w:ascii="Palatino Linotype" w:eastAsia="Palatino Linotype" w:hAnsi="Palatino Linotype" w:cs="Palatino Linotype"/>
        </w:rPr>
        <w:t xml:space="preserve">así mismo </w:t>
      </w:r>
      <w:r w:rsidR="005B39E0">
        <w:rPr>
          <w:rFonts w:ascii="Palatino Linotype" w:eastAsia="Palatino Linotype" w:hAnsi="Palatino Linotype" w:cs="Palatino Linotype"/>
        </w:rPr>
        <w:t>por cuanto hace a la</w:t>
      </w:r>
      <w:r>
        <w:rPr>
          <w:rFonts w:ascii="Palatino Linotype" w:eastAsia="Palatino Linotype" w:hAnsi="Palatino Linotype" w:cs="Palatino Linotype"/>
        </w:rPr>
        <w:t xml:space="preserve"> </w:t>
      </w:r>
      <w:r w:rsidRPr="005B39E0">
        <w:rPr>
          <w:rFonts w:ascii="Palatino Linotype" w:eastAsia="Palatino Linotype" w:hAnsi="Palatino Linotype" w:cs="Palatino Linotype"/>
          <w:b/>
        </w:rPr>
        <w:t>Recurrente</w:t>
      </w:r>
      <w:r w:rsidR="00032D93">
        <w:rPr>
          <w:rFonts w:ascii="Palatino Linotype" w:eastAsia="Palatino Linotype" w:hAnsi="Palatino Linotype" w:cs="Palatino Linotype"/>
        </w:rPr>
        <w:t>, se tiene que fue omisa</w:t>
      </w:r>
      <w:r>
        <w:rPr>
          <w:rFonts w:ascii="Palatino Linotype" w:eastAsia="Palatino Linotype" w:hAnsi="Palatino Linotype" w:cs="Palatino Linotype"/>
        </w:rPr>
        <w:t xml:space="preserve"> en presentar manifestaciones, pruebas y/o alegatos en la etapa procedimental previamente reconocida en nuestra Ley de Transparencia, por lo cual se tiene por precluido su derecho.</w:t>
      </w:r>
    </w:p>
    <w:p w:rsidR="00504E8B" w:rsidRDefault="004F1D6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sidR="005B39E0">
        <w:rPr>
          <w:rFonts w:ascii="Palatino Linotype" w:eastAsia="Palatino Linotype" w:hAnsi="Palatino Linotype" w:cs="Palatino Linotype"/>
        </w:rPr>
        <w:t xml:space="preserve"> En fecha </w:t>
      </w:r>
      <w:r w:rsidR="005B39E0" w:rsidRPr="005B39E0">
        <w:rPr>
          <w:rFonts w:ascii="Palatino Linotype" w:eastAsia="Palatino Linotype" w:hAnsi="Palatino Linotype" w:cs="Palatino Linotype"/>
          <w:b/>
        </w:rPr>
        <w:t xml:space="preserve">trece </w:t>
      </w:r>
      <w:r w:rsidR="005B39E0">
        <w:rPr>
          <w:rFonts w:ascii="Palatino Linotype" w:eastAsia="Palatino Linotype" w:hAnsi="Palatino Linotype" w:cs="Palatino Linotype"/>
          <w:b/>
        </w:rPr>
        <w:t>de enero de dos mil veintidós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dado el incremento en el núme</w:t>
      </w:r>
      <w:r w:rsidR="00032D93">
        <w:rPr>
          <w:rFonts w:ascii="Palatino Linotype" w:eastAsia="Palatino Linotype" w:hAnsi="Palatino Linotype" w:cs="Palatino Linotype"/>
        </w:rPr>
        <w:t>ro de recurso</w:t>
      </w:r>
      <w:r>
        <w:rPr>
          <w:rFonts w:ascii="Palatino Linotype" w:eastAsia="Palatino Linotype" w:hAnsi="Palatino Linotype" w:cs="Palatino Linotype"/>
        </w:rPr>
        <w:t xml:space="preserve"> de revisión promovidos en la anualidad próxima pasada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rsidR="00504E8B" w:rsidRDefault="004F1D66">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5B39E0">
        <w:rPr>
          <w:rFonts w:ascii="Palatino Linotype" w:eastAsia="Palatino Linotype" w:hAnsi="Palatino Linotype" w:cs="Palatino Linotype"/>
          <w:b/>
        </w:rPr>
        <w:t>trece de enero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504E8B" w:rsidRDefault="004F1D6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504E8B" w:rsidRDefault="004F1D66">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rsidR="00504E8B" w:rsidRDefault="004F1D66">
      <w:pPr>
        <w:spacing w:before="240" w:after="240" w:line="360" w:lineRule="auto"/>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504E8B" w:rsidRDefault="004F1D6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504E8B" w:rsidRDefault="004F1D6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Sujeto Obligado remitió su respuesta a la solicitud de información el día </w:t>
      </w:r>
      <w:r w:rsidR="005B39E0">
        <w:rPr>
          <w:rFonts w:ascii="Palatino Linotype" w:eastAsia="Palatino Linotype" w:hAnsi="Palatino Linotype" w:cs="Palatino Linotype"/>
          <w:b/>
        </w:rPr>
        <w:t>uno de nov</w:t>
      </w:r>
      <w:r>
        <w:rPr>
          <w:rFonts w:ascii="Palatino Linotype" w:eastAsia="Palatino Linotype" w:hAnsi="Palatino Linotype" w:cs="Palatino Linotype"/>
          <w:b/>
        </w:rPr>
        <w:t xml:space="preserve">iembre de dos mil veintiuno, </w:t>
      </w:r>
      <w:r>
        <w:rPr>
          <w:rFonts w:ascii="Palatino Linotype" w:eastAsia="Palatino Linotype" w:hAnsi="Palatino Linotype" w:cs="Palatino Linotype"/>
        </w:rPr>
        <w:t xml:space="preserve">mientras que el recurso de revisión interpuesto por la parte recurrente, se tuvo por presentados el día </w:t>
      </w:r>
      <w:r w:rsidR="0089700E">
        <w:rPr>
          <w:rFonts w:ascii="Palatino Linotype" w:eastAsia="Palatino Linotype" w:hAnsi="Palatino Linotype" w:cs="Palatino Linotype"/>
          <w:b/>
        </w:rPr>
        <w:t>tre</w:t>
      </w:r>
      <w:r w:rsidR="005B39E0">
        <w:rPr>
          <w:rFonts w:ascii="Palatino Linotype" w:eastAsia="Palatino Linotype" w:hAnsi="Palatino Linotype" w:cs="Palatino Linotype"/>
          <w:b/>
        </w:rPr>
        <w:t>s de nov</w:t>
      </w:r>
      <w:r>
        <w:rPr>
          <w:rFonts w:ascii="Palatino Linotype" w:eastAsia="Palatino Linotype" w:hAnsi="Palatino Linotype" w:cs="Palatino Linotype"/>
          <w:b/>
        </w:rPr>
        <w:t>iembre de dos mil veintiuno</w:t>
      </w:r>
      <w:r>
        <w:rPr>
          <w:rFonts w:ascii="Palatino Linotype" w:eastAsia="Palatino Linotype" w:hAnsi="Palatino Linotype" w:cs="Palatino Linotype"/>
        </w:rPr>
        <w:t xml:space="preserve">, esto es, al </w:t>
      </w:r>
      <w:r w:rsidR="005B39E0">
        <w:rPr>
          <w:rFonts w:ascii="Palatino Linotype" w:eastAsia="Palatino Linotype" w:hAnsi="Palatino Linotype" w:cs="Palatino Linotype"/>
          <w:b/>
        </w:rPr>
        <w:t>prim</w:t>
      </w:r>
      <w:r>
        <w:rPr>
          <w:rFonts w:ascii="Palatino Linotype" w:eastAsia="Palatino Linotype" w:hAnsi="Palatino Linotype" w:cs="Palatino Linotype"/>
          <w:b/>
        </w:rPr>
        <w:t>er día hábil</w:t>
      </w:r>
      <w:r>
        <w:rPr>
          <w:rFonts w:ascii="Palatino Linotype" w:eastAsia="Palatino Linotype" w:hAnsi="Palatino Linotype" w:cs="Palatino Linotype"/>
        </w:rPr>
        <w:t xml:space="preserve"> en que tuvo conocimiento de la respuesta impugnada.</w:t>
      </w:r>
    </w:p>
    <w:p w:rsidR="00504E8B" w:rsidRDefault="004F1D6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 por cuanto hace a la procedibilidad del recurso de revisión una vez realizado el análisis del formato de interposición del recurso, se advierte que el artículo 180 de la Ley de Transparencia y Acceso a la Información Pública del Estado de México y Municipios, establece los siguientes elementos formales para la presentación del recurso:</w:t>
      </w:r>
    </w:p>
    <w:p w:rsidR="00504E8B" w:rsidRDefault="004F1D66">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180.</w:t>
      </w:r>
      <w:r>
        <w:rPr>
          <w:rFonts w:ascii="Palatino Linotype" w:eastAsia="Palatino Linotype" w:hAnsi="Palatino Linotype" w:cs="Palatino Linotype"/>
          <w:i/>
          <w:sz w:val="22"/>
          <w:szCs w:val="22"/>
        </w:rPr>
        <w:t xml:space="preserve"> El recurso de revisión contendrá: </w:t>
      </w:r>
    </w:p>
    <w:p w:rsidR="00504E8B" w:rsidRDefault="004F1D66">
      <w:pPr>
        <w:spacing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04E8B" w:rsidRDefault="004F1D66">
      <w:pPr>
        <w:spacing w:after="120"/>
        <w:ind w:left="1134" w:right="902"/>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II. El nombre del solicitante que recurre o de su representante y, en su caso, del tercero interesado, así como la dirección o medio que señale para recibir notificaciones; </w:t>
      </w:r>
    </w:p>
    <w:p w:rsidR="00504E8B" w:rsidRDefault="004F1D66">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rsidR="00504E8B" w:rsidRDefault="004F1D66">
      <w:pPr>
        <w:spacing w:after="120"/>
        <w:ind w:left="1134" w:right="902"/>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En caso de que el recurso se interponga de manera electrónica no será indispensable que contengan los requisitos establecidos en las fracciones II, IV, VII y VIII.”</w:t>
      </w:r>
    </w:p>
    <w:p w:rsidR="00504E8B" w:rsidRDefault="004F1D6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el artículo 181 del citado ordenamiento dispone, que:</w:t>
      </w:r>
    </w:p>
    <w:p w:rsidR="00504E8B" w:rsidRDefault="004F1D66">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181.</w:t>
      </w:r>
      <w:r>
        <w:rPr>
          <w:rFonts w:ascii="Palatino Linotype" w:eastAsia="Palatino Linotype" w:hAnsi="Palatino Linotype" w:cs="Palatino Linotype"/>
          <w:i/>
          <w:sz w:val="22"/>
          <w:szCs w:val="22"/>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rsidR="00504E8B" w:rsidRDefault="004F1D66">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rsidR="00504E8B" w:rsidRDefault="004F1D66">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rsidR="00504E8B" w:rsidRDefault="004F1D66">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rsidR="00504E8B" w:rsidRDefault="004F1D66">
      <w:pPr>
        <w:spacing w:after="120"/>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Para el caso de interposición del recurso de revisión a través de la Plataforma Nacional o la plataforma que para tales efectos habilite el Instituto, éste podrá solicitar al particular subsane las deficiencias por ese medio.”</w:t>
      </w:r>
    </w:p>
    <w:p w:rsidR="00504E8B" w:rsidRDefault="004F1D6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la interpretación sistemática a los artículos transcritos se advierten los requisitos de los recursos de revisión y por el otro la potestad de este Instituto para requerir al recurrente, por una sola ocasión y a través del medio que haya elegido para recibir notificaciones a fin de que subsane las omisiones de sus recursos o bien que aplique la suplencia de la queja a favor del recurrente sin cambiar los hechos expuestos.</w:t>
      </w:r>
    </w:p>
    <w:p w:rsidR="00504E8B" w:rsidRDefault="004F1D6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Sobre el particular, de la revisión al expediente electrónico del SAIMEX se desprende que la parte solicitante, en ejercicio de su derecho de acceso a la información pública, y ahora recurrente, </w:t>
      </w:r>
      <w:r>
        <w:rPr>
          <w:rFonts w:ascii="Palatino Linotype" w:eastAsia="Palatino Linotype" w:hAnsi="Palatino Linotype" w:cs="Palatino Linotype"/>
          <w:b/>
          <w:color w:val="000000"/>
        </w:rPr>
        <w:t xml:space="preserve">no proporcionó datos que lo hagan identificable, </w:t>
      </w:r>
      <w:r w:rsidR="005B39E0" w:rsidRPr="005B39E0">
        <w:rPr>
          <w:rFonts w:ascii="Palatino Linotype" w:eastAsia="Palatino Linotype" w:hAnsi="Palatino Linotype" w:cs="Palatino Linotype"/>
          <w:color w:val="000000"/>
        </w:rPr>
        <w:t xml:space="preserve">toda vez que en el apartado del nombre expresó </w:t>
      </w:r>
      <w:r w:rsidR="005B39E0">
        <w:rPr>
          <w:rFonts w:ascii="Palatino Linotype" w:eastAsia="Palatino Linotype" w:hAnsi="Palatino Linotype" w:cs="Palatino Linotype"/>
          <w:b/>
          <w:color w:val="000000"/>
        </w:rPr>
        <w:t xml:space="preserve">“Alma Sanchez” </w:t>
      </w:r>
      <w:r>
        <w:rPr>
          <w:rFonts w:ascii="Palatino Linotype" w:eastAsia="Palatino Linotype" w:hAnsi="Palatino Linotype" w:cs="Palatino Linotype"/>
          <w:b/>
          <w:color w:val="000000"/>
        </w:rPr>
        <w:t>por ende no se tiene certeza sobre su identidad,</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lo que en estricto sentido provoca que no se colmen los requisitos establecidos en el citado artículo 180 de la Ley de Transparencia.</w:t>
      </w:r>
    </w:p>
    <w:p w:rsidR="00504E8B" w:rsidRDefault="004F1D6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Empero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Pr>
          <w:rFonts w:ascii="Palatino Linotype" w:eastAsia="Palatino Linotype" w:hAnsi="Palatino Linotype" w:cs="Palatino Linotype"/>
          <w:b/>
          <w:i/>
        </w:rPr>
        <w:t>sine qua non</w:t>
      </w:r>
      <w:r>
        <w:rPr>
          <w:rFonts w:ascii="Palatino Linotype" w:eastAsia="Palatino Linotype" w:hAnsi="Palatino Linotype" w:cs="Palatino Linotype"/>
        </w:rPr>
        <w:t xml:space="preserve"> que los particulares y, en su caso, los recurrentes deban señalar, por el contrario la Ley de Transparencia prevé en su artículo 155, párrafos segundo, tercero y cuarto, la posibilidad de que las solicitudes de información sean anónimas, con nombre incompleto o seudónimo.</w:t>
      </w:r>
    </w:p>
    <w:p w:rsidR="00504E8B" w:rsidRDefault="004F1D66">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Correlativo a ello, cabe mencionar que los artículos 6, apartado A, fracciones I, II, III y IV de la Constitución Política de los Estados Unidos Mexicanos y 5 vigésimo segundo, vigésimo tercero y vigésimo cuarto fracciones I, III,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504E8B" w:rsidRDefault="004F1D66">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504E8B" w:rsidRDefault="004F1D66">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04E8B" w:rsidRDefault="004F1D66">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Para efectos de lo dispuesto en el presente artículo se observará lo siguiente: </w:t>
      </w:r>
    </w:p>
    <w:p w:rsidR="00504E8B" w:rsidRDefault="004F1D66">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Para el ejercicio del derecho de acceso a la información, la Federación, los Estados y el Distrito Federal, en el ámbito de sus respectivas competencias, se regirán por los siguientes principios y bases: </w:t>
      </w:r>
    </w:p>
    <w:p w:rsidR="00504E8B" w:rsidRDefault="004F1D66">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504E8B" w:rsidRDefault="004F1D66">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La información que se refiere a la vida privada y los datos personales será protegida en los términos y con las excepciones que fijen las leyes. </w:t>
      </w:r>
    </w:p>
    <w:p w:rsidR="00504E8B" w:rsidRDefault="004F1D66">
      <w:pPr>
        <w:spacing w:after="120"/>
        <w:ind w:left="851" w:right="902"/>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III. Toda persona, sin necesidad de acreditar interés alguno o justificar su utilización, tendrá acceso gratuito a la información pública, a sus datos personales o a la rectificación de éstos. </w:t>
      </w:r>
    </w:p>
    <w:p w:rsidR="00504E8B" w:rsidRDefault="004F1D66">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Se establecerán mecanismos de acceso a la información y procedimientos de revisión expeditos que se sustanciarán ante los organismos autónomos especializados e imparciales que establece esta Constitución.” </w:t>
      </w:r>
    </w:p>
    <w:p w:rsidR="00504E8B" w:rsidRDefault="004F1D66">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rsidR="00504E8B" w:rsidRDefault="004F1D66">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04E8B" w:rsidRDefault="004F1D66">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504E8B" w:rsidRDefault="004F1D66">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derecho se regirá por los principios y bases siguientes:</w:t>
      </w:r>
    </w:p>
    <w:p w:rsidR="00504E8B" w:rsidRDefault="004F1D66">
      <w:pPr>
        <w:spacing w:after="12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04E8B" w:rsidRDefault="004F1D66">
      <w:pPr>
        <w:spacing w:after="12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04E8B" w:rsidRDefault="004F1D66">
      <w:pPr>
        <w:spacing w:after="120"/>
        <w:ind w:left="567" w:right="709"/>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 III. Toda persona, sin necesidad de acreditar interés alguno o justificar su utilización, tendrá acceso gratuito a la información pública, a sus datos personales o a la rectificación de éstos;</w:t>
      </w:r>
    </w:p>
    <w:p w:rsidR="00504E8B" w:rsidRDefault="004F1D66">
      <w:pPr>
        <w:spacing w:after="12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04E8B" w:rsidRDefault="004F1D66">
      <w:pPr>
        <w:spacing w:after="120"/>
        <w:ind w:left="567" w:right="70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2"/>
          <w:szCs w:val="22"/>
        </w:rPr>
        <w:t xml:space="preserve"> 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Pr>
          <w:rFonts w:ascii="Palatino Linotype" w:eastAsia="Palatino Linotype" w:hAnsi="Palatino Linotype" w:cs="Palatino Linotype"/>
          <w:i/>
          <w:sz w:val="20"/>
          <w:szCs w:val="20"/>
        </w:rPr>
        <w:t>”</w:t>
      </w:r>
    </w:p>
    <w:p w:rsidR="00504E8B" w:rsidRDefault="004F1D66">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Por otra parte, del contenido del artículo 1 de la Constitución Política de los Estados Unidos Mexicanos, se destaca lo siguiente:</w:t>
      </w:r>
    </w:p>
    <w:p w:rsidR="00504E8B" w:rsidRDefault="004F1D66">
      <w:pPr>
        <w:tabs>
          <w:tab w:val="left" w:pos="7655"/>
        </w:tabs>
        <w:spacing w:after="120"/>
        <w:ind w:left="567" w:right="709"/>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504E8B" w:rsidRDefault="004F1D66">
      <w:pPr>
        <w:spacing w:after="120"/>
        <w:ind w:left="567" w:right="13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normas relativas a los derechos humanos se interpretarán de conformidad con esta Constitución y con los tratados internacionales de la materia favoreciendo en todo tiempo a las personas la protección más amplia.</w:t>
      </w:r>
    </w:p>
    <w:p w:rsidR="00504E8B" w:rsidRDefault="004F1D66">
      <w:pPr>
        <w:spacing w:after="12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504E8B" w:rsidRDefault="004F1D66">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504E8B" w:rsidRDefault="004F1D66">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Robustece lo anterior, el Criterio 6/2014 del entonces Instituto Federal de Acceso a la Información y Protección de Datos, el cual se reproduce para una mayor referencia:</w:t>
      </w:r>
    </w:p>
    <w:p w:rsidR="00504E8B" w:rsidRDefault="004F1D66">
      <w:pPr>
        <w:spacing w:after="12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Acceso a información gubernamental. No debe condicionarse a que el solicitante acredite su personalidad, demuestre interés alguno o justifique su utilización. </w:t>
      </w:r>
      <w:r>
        <w:rPr>
          <w:rFonts w:ascii="Palatino Linotype" w:eastAsia="Palatino Linotype" w:hAnsi="Palatino Linotype" w:cs="Palatino Linotype"/>
          <w:i/>
          <w:sz w:val="22"/>
          <w:szCs w:val="22"/>
        </w:rPr>
        <w:t>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504E8B" w:rsidRDefault="004F1D66">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504E8B" w:rsidRDefault="004F1D66">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504E8B" w:rsidRDefault="004F1D66">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en revisión, de las que se desprende que la parte recurrente, es la misma que realizó la solicitud de acceso a la información pública que ahora se impugna.</w:t>
      </w:r>
    </w:p>
    <w:p w:rsidR="00504E8B" w:rsidRDefault="004F1D66">
      <w:pPr>
        <w:spacing w:before="240" w:after="240"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504E8B" w:rsidRDefault="004F1D6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 el recurrente en sus motivos de inconformidad, de acuerdo a los artículos 176 y 179, fracción V del ordenamiento legal citado, que a la letra dice: </w:t>
      </w:r>
    </w:p>
    <w:p w:rsidR="00504E8B" w:rsidRDefault="004F1D6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176.</w:t>
      </w:r>
      <w:r>
        <w:rPr>
          <w:rFonts w:ascii="Palatino Linotype" w:eastAsia="Palatino Linotype" w:hAnsi="Palatino Linotype" w:cs="Palatino Linotype"/>
          <w:i/>
          <w:sz w:val="22"/>
          <w:szCs w:val="22"/>
        </w:rPr>
        <w:t xml:space="preserve"> El recurso de revisión es la garantía secundaria mediante la cual se pretende reparar cualquier posible afectación al derecho de acceso a la información pública en términos del presente y del siguiente Capítulo.</w:t>
      </w:r>
    </w:p>
    <w:p w:rsidR="00504E8B" w:rsidRDefault="004F1D6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504E8B" w:rsidRDefault="004F1D6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04E8B" w:rsidRDefault="004F1D6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La entrega de información incompleta;</w:t>
      </w:r>
      <w:r>
        <w:rPr>
          <w:rFonts w:ascii="Palatino Linotype" w:eastAsia="Palatino Linotype" w:hAnsi="Palatino Linotype" w:cs="Palatino Linotype"/>
          <w:i/>
          <w:sz w:val="22"/>
          <w:szCs w:val="22"/>
        </w:rPr>
        <w:t>”</w:t>
      </w:r>
    </w:p>
    <w:p w:rsidR="00504E8B" w:rsidRDefault="004F1D66">
      <w:pPr>
        <w:pBdr>
          <w:top w:val="nil"/>
          <w:left w:val="nil"/>
          <w:bottom w:val="nil"/>
          <w:right w:val="nil"/>
          <w:between w:val="nil"/>
        </w:pBdr>
        <w:spacing w:before="120" w:after="12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rsidR="00504E8B" w:rsidRDefault="004F1D66">
      <w:pPr>
        <w:spacing w:before="280" w:after="280" w:line="360" w:lineRule="auto"/>
        <w:jc w:val="both"/>
        <w:rPr>
          <w:rFonts w:ascii="Palatino Linotype" w:eastAsia="Palatino Linotype" w:hAnsi="Palatino Linotype" w:cs="Palatino Linotype"/>
        </w:rPr>
      </w:pPr>
      <w:bookmarkStart w:id="3" w:name="_heading=h.1fob9te" w:colFirst="0" w:colLast="0"/>
      <w:bookmarkEnd w:id="3"/>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rsidR="00504E8B" w:rsidRDefault="004F1D6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Previo al estudio del presente asunto, es conveniente recordar que la parte solicitante requirió al </w:t>
      </w:r>
      <w:r w:rsidR="0089700E" w:rsidRPr="0089700E">
        <w:rPr>
          <w:rFonts w:ascii="Palatino Linotype" w:eastAsia="Palatino Linotype" w:hAnsi="Palatino Linotype" w:cs="Palatino Linotype"/>
          <w:b/>
        </w:rPr>
        <w:t>Sujeto Obligado</w:t>
      </w:r>
      <w:r w:rsidR="0089700E">
        <w:rPr>
          <w:rFonts w:ascii="Palatino Linotype" w:eastAsia="Palatino Linotype" w:hAnsi="Palatino Linotype" w:cs="Palatino Linotype"/>
        </w:rPr>
        <w:t xml:space="preserve"> </w:t>
      </w:r>
      <w:r>
        <w:rPr>
          <w:rFonts w:ascii="Palatino Linotype" w:eastAsia="Palatino Linotype" w:hAnsi="Palatino Linotype" w:cs="Palatino Linotype"/>
        </w:rPr>
        <w:t>le proporcionara lo siguiente:</w:t>
      </w:r>
    </w:p>
    <w:p w:rsidR="005B39E0" w:rsidRDefault="005B39E0" w:rsidP="005B39E0">
      <w:pPr>
        <w:pStyle w:val="Prrafodelista"/>
        <w:numPr>
          <w:ilvl w:val="0"/>
          <w:numId w:val="5"/>
        </w:numPr>
        <w:spacing w:before="240" w:after="240" w:line="360" w:lineRule="auto"/>
        <w:ind w:right="709"/>
        <w:jc w:val="both"/>
        <w:rPr>
          <w:rFonts w:ascii="Palatino Linotype" w:eastAsia="Palatino Linotype" w:hAnsi="Palatino Linotype" w:cs="Palatino Linotype"/>
          <w:color w:val="000000"/>
        </w:rPr>
      </w:pPr>
      <w:bookmarkStart w:id="4" w:name="_heading=h.3znysh7" w:colFirst="0" w:colLast="0"/>
      <w:bookmarkEnd w:id="4"/>
      <w:r w:rsidRPr="005B39E0">
        <w:rPr>
          <w:rFonts w:ascii="Palatino Linotype" w:eastAsia="Palatino Linotype" w:hAnsi="Palatino Linotype" w:cs="Palatino Linotype"/>
          <w:color w:val="000000"/>
        </w:rPr>
        <w:t xml:space="preserve">La certificación por parte del Instituto de Transparencia del Estado de México, esto de conformidad con lo que </w:t>
      </w:r>
      <w:r>
        <w:rPr>
          <w:rFonts w:ascii="Palatino Linotype" w:eastAsia="Palatino Linotype" w:hAnsi="Palatino Linotype" w:cs="Palatino Linotype"/>
          <w:color w:val="000000"/>
        </w:rPr>
        <w:t>establece el artículo 57 de la Ley de Transparencia y Acceso a la Información Pública del E</w:t>
      </w:r>
      <w:r w:rsidRPr="005B39E0">
        <w:rPr>
          <w:rFonts w:ascii="Palatino Linotype" w:eastAsia="Palatino Linotype" w:hAnsi="Palatino Linotype" w:cs="Palatino Linotype"/>
          <w:color w:val="000000"/>
        </w:rPr>
        <w:t>stado de México</w:t>
      </w:r>
      <w:r>
        <w:rPr>
          <w:rFonts w:ascii="Palatino Linotype" w:eastAsia="Palatino Linotype" w:hAnsi="Palatino Linotype" w:cs="Palatino Linotype"/>
          <w:color w:val="000000"/>
        </w:rPr>
        <w:t xml:space="preserve"> y sus M</w:t>
      </w:r>
      <w:r w:rsidRPr="005B39E0">
        <w:rPr>
          <w:rFonts w:ascii="Palatino Linotype" w:eastAsia="Palatino Linotype" w:hAnsi="Palatino Linotype" w:cs="Palatino Linotype"/>
          <w:color w:val="000000"/>
        </w:rPr>
        <w:t xml:space="preserve">unicipios, </w:t>
      </w:r>
      <w:r>
        <w:rPr>
          <w:rFonts w:ascii="Palatino Linotype" w:eastAsia="Palatino Linotype" w:hAnsi="Palatino Linotype" w:cs="Palatino Linotype"/>
          <w:color w:val="000000"/>
        </w:rPr>
        <w:t>de la Titular de la Unidad de T</w:t>
      </w:r>
      <w:r w:rsidRPr="005B39E0">
        <w:rPr>
          <w:rFonts w:ascii="Palatino Linotype" w:eastAsia="Palatino Linotype" w:hAnsi="Palatino Linotype" w:cs="Palatino Linotype"/>
          <w:color w:val="000000"/>
        </w:rPr>
        <w:t>ran</w:t>
      </w:r>
      <w:r>
        <w:rPr>
          <w:rFonts w:ascii="Palatino Linotype" w:eastAsia="Palatino Linotype" w:hAnsi="Palatino Linotype" w:cs="Palatino Linotype"/>
          <w:color w:val="000000"/>
        </w:rPr>
        <w:t>spare</w:t>
      </w:r>
      <w:r w:rsidRPr="005B39E0">
        <w:rPr>
          <w:rFonts w:ascii="Palatino Linotype" w:eastAsia="Palatino Linotype" w:hAnsi="Palatino Linotype" w:cs="Palatino Linotype"/>
          <w:color w:val="000000"/>
        </w:rPr>
        <w:t>ncia</w:t>
      </w:r>
      <w:r>
        <w:rPr>
          <w:rFonts w:ascii="Palatino Linotype" w:eastAsia="Palatino Linotype" w:hAnsi="Palatino Linotype" w:cs="Palatino Linotype"/>
          <w:color w:val="000000"/>
        </w:rPr>
        <w:t>,</w:t>
      </w:r>
      <w:r w:rsidRPr="005B39E0">
        <w:rPr>
          <w:rFonts w:ascii="Palatino Linotype" w:eastAsia="Palatino Linotype" w:hAnsi="Palatino Linotype" w:cs="Palatino Linotype"/>
          <w:color w:val="000000"/>
        </w:rPr>
        <w:t xml:space="preserve"> Lic. Rosa Edith Ventura Ríos, </w:t>
      </w:r>
    </w:p>
    <w:p w:rsidR="005B39E0" w:rsidRDefault="005B39E0" w:rsidP="005B39E0">
      <w:pPr>
        <w:pStyle w:val="Prrafodelista"/>
        <w:numPr>
          <w:ilvl w:val="0"/>
          <w:numId w:val="5"/>
        </w:numPr>
        <w:spacing w:before="240" w:after="240" w:line="360" w:lineRule="auto"/>
        <w:ind w:right="70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w:t>
      </w:r>
      <w:r w:rsidRPr="005B39E0">
        <w:rPr>
          <w:rFonts w:ascii="Palatino Linotype" w:eastAsia="Palatino Linotype" w:hAnsi="Palatino Linotype" w:cs="Palatino Linotype"/>
          <w:color w:val="000000"/>
        </w:rPr>
        <w:t>odas y cada una de las constancias que acrediten tener la experiencia e</w:t>
      </w:r>
      <w:r>
        <w:rPr>
          <w:rFonts w:ascii="Palatino Linotype" w:eastAsia="Palatino Linotype" w:hAnsi="Palatino Linotype" w:cs="Palatino Linotype"/>
          <w:color w:val="000000"/>
        </w:rPr>
        <w:t>n el ámbito de Transparencia y A</w:t>
      </w:r>
      <w:r w:rsidRPr="005B39E0">
        <w:rPr>
          <w:rFonts w:ascii="Palatino Linotype" w:eastAsia="Palatino Linotype" w:hAnsi="Palatino Linotype" w:cs="Palatino Linotype"/>
          <w:color w:val="000000"/>
        </w:rPr>
        <w:t>cceso a l</w:t>
      </w:r>
      <w:r>
        <w:rPr>
          <w:rFonts w:ascii="Palatino Linotype" w:eastAsia="Palatino Linotype" w:hAnsi="Palatino Linotype" w:cs="Palatino Linotype"/>
          <w:color w:val="000000"/>
        </w:rPr>
        <w:t xml:space="preserve">a Información Pública y Protección de Datos Personales. </w:t>
      </w:r>
    </w:p>
    <w:p w:rsidR="005B39E0" w:rsidRPr="005B39E0" w:rsidRDefault="005B39E0" w:rsidP="005B39E0">
      <w:pPr>
        <w:pStyle w:val="Prrafodelista"/>
        <w:numPr>
          <w:ilvl w:val="0"/>
          <w:numId w:val="5"/>
        </w:numPr>
        <w:spacing w:before="240" w:after="240" w:line="360" w:lineRule="auto"/>
        <w:ind w:right="70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w:t>
      </w:r>
      <w:r w:rsidRPr="005B39E0">
        <w:rPr>
          <w:rFonts w:ascii="Palatino Linotype" w:eastAsia="Palatino Linotype" w:hAnsi="Palatino Linotype" w:cs="Palatino Linotype"/>
          <w:color w:val="000000"/>
        </w:rPr>
        <w:t>ombramiento debidamente c</w:t>
      </w:r>
      <w:r w:rsidR="0089700E">
        <w:rPr>
          <w:rFonts w:ascii="Palatino Linotype" w:eastAsia="Palatino Linotype" w:hAnsi="Palatino Linotype" w:cs="Palatino Linotype"/>
          <w:color w:val="000000"/>
        </w:rPr>
        <w:t>ertificado que se le dio para fu</w:t>
      </w:r>
      <w:r w:rsidRPr="005B39E0">
        <w:rPr>
          <w:rFonts w:ascii="Palatino Linotype" w:eastAsia="Palatino Linotype" w:hAnsi="Palatino Linotype" w:cs="Palatino Linotype"/>
          <w:color w:val="000000"/>
        </w:rPr>
        <w:t>ngir como tal</w:t>
      </w:r>
      <w:r>
        <w:rPr>
          <w:rFonts w:ascii="Palatino Linotype" w:eastAsia="Palatino Linotype" w:hAnsi="Palatino Linotype" w:cs="Palatino Linotype"/>
          <w:color w:val="000000"/>
        </w:rPr>
        <w:t>.</w:t>
      </w:r>
    </w:p>
    <w:p w:rsidR="00504E8B" w:rsidRDefault="004F1D66" w:rsidP="00C418A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sidRPr="0089700E">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los archivos electrónicos </w:t>
      </w:r>
      <w:r w:rsidR="00C418A2">
        <w:rPr>
          <w:rFonts w:ascii="Palatino Linotype" w:eastAsia="Palatino Linotype" w:hAnsi="Palatino Linotype" w:cs="Palatino Linotype"/>
          <w:b/>
          <w:i/>
        </w:rPr>
        <w:t>“contes_sol_197.pdf” y “</w:t>
      </w:r>
      <w:r w:rsidR="00C418A2" w:rsidRPr="000811D9">
        <w:rPr>
          <w:rFonts w:ascii="Palatino Linotype" w:eastAsia="Palatino Linotype" w:hAnsi="Palatino Linotype" w:cs="Palatino Linotype"/>
          <w:b/>
          <w:i/>
        </w:rPr>
        <w:t>CONTES_197_doc.pdf</w:t>
      </w:r>
      <w:r w:rsidR="00C418A2">
        <w:rPr>
          <w:rFonts w:ascii="Palatino Linotype" w:eastAsia="Palatino Linotype" w:hAnsi="Palatino Linotype" w:cs="Palatino Linotype"/>
          <w:b/>
          <w:i/>
        </w:rPr>
        <w:t xml:space="preserve">”, </w:t>
      </w:r>
      <w:r w:rsidR="00C418A2">
        <w:rPr>
          <w:rFonts w:ascii="Palatino Linotype" w:eastAsia="Palatino Linotype" w:hAnsi="Palatino Linotype" w:cs="Palatino Linotype"/>
        </w:rPr>
        <w:t>mismos que se detallaron en los antecedentes de la presente resolución.</w:t>
      </w:r>
    </w:p>
    <w:p w:rsidR="00504E8B" w:rsidRPr="005D64AB" w:rsidRDefault="004F1D66">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En esta tesitura, una vez conocida la respuesta emitida por el </w:t>
      </w:r>
      <w:r w:rsidRPr="0089700E">
        <w:rPr>
          <w:rFonts w:ascii="Palatino Linotype" w:eastAsia="Palatino Linotype" w:hAnsi="Palatino Linotype" w:cs="Palatino Linotype"/>
          <w:b/>
        </w:rPr>
        <w:t>Sujeto Obligado</w:t>
      </w:r>
      <w:r w:rsidR="0089700E">
        <w:rPr>
          <w:rFonts w:ascii="Palatino Linotype" w:eastAsia="Palatino Linotype" w:hAnsi="Palatino Linotype" w:cs="Palatino Linotype"/>
        </w:rPr>
        <w:t>,  la</w:t>
      </w:r>
      <w:r>
        <w:rPr>
          <w:rFonts w:ascii="Palatino Linotype" w:eastAsia="Palatino Linotype" w:hAnsi="Palatino Linotype" w:cs="Palatino Linotype"/>
        </w:rPr>
        <w:t xml:space="preserve"> particular, al no estar conforme con los términos de la misma, interpuso el recurso de revisión que nos ocupa, donde señaló como </w:t>
      </w:r>
      <w:r w:rsidR="00C418A2">
        <w:rPr>
          <w:rFonts w:ascii="Palatino Linotype" w:eastAsia="Palatino Linotype" w:hAnsi="Palatino Linotype" w:cs="Palatino Linotype"/>
        </w:rPr>
        <w:t xml:space="preserve">razones o motivos de inconformidad: </w:t>
      </w:r>
      <w:r w:rsidR="00C418A2" w:rsidRPr="00C418A2">
        <w:rPr>
          <w:rFonts w:ascii="Palatino Linotype" w:eastAsia="Palatino Linotype" w:hAnsi="Palatino Linotype" w:cs="Palatino Linotype"/>
          <w:i/>
        </w:rPr>
        <w:t>“</w:t>
      </w:r>
      <w:r w:rsidR="00C418A2" w:rsidRPr="005D64AB">
        <w:rPr>
          <w:rFonts w:ascii="Palatino Linotype" w:eastAsia="Palatino Linotype" w:hAnsi="Palatino Linotype" w:cs="Palatino Linotype"/>
          <w:b/>
          <w:i/>
          <w:u w:val="single"/>
        </w:rPr>
        <w:t>Se solicitó al suj</w:t>
      </w:r>
      <w:r w:rsidR="005D64AB">
        <w:rPr>
          <w:rFonts w:ascii="Palatino Linotype" w:eastAsia="Palatino Linotype" w:hAnsi="Palatino Linotype" w:cs="Palatino Linotype"/>
          <w:b/>
          <w:i/>
          <w:u w:val="single"/>
        </w:rPr>
        <w:t xml:space="preserve">eto obligado la "CERTIFICACIÓN </w:t>
      </w:r>
      <w:r w:rsidR="00C418A2" w:rsidRPr="005D64AB">
        <w:rPr>
          <w:rFonts w:ascii="Palatino Linotype" w:eastAsia="Palatino Linotype" w:hAnsi="Palatino Linotype" w:cs="Palatino Linotype"/>
          <w:b/>
          <w:i/>
          <w:u w:val="single"/>
        </w:rPr>
        <w:t>de la unidad de transparencia del hospital regional de alta especialidad de zumpango</w:t>
      </w:r>
      <w:r w:rsidR="00C418A2" w:rsidRPr="00C418A2">
        <w:rPr>
          <w:rFonts w:ascii="Palatino Linotype" w:eastAsia="Palatino Linotype" w:hAnsi="Palatino Linotype" w:cs="Palatino Linotype"/>
          <w:i/>
        </w:rPr>
        <w:t>, ya que como la ley de Transparencia y acceso a la información pública del estado de mexico y municipios, lo marca en su articulo 57 es un requisito para poder serlo, sin embargo en su respuesta envían un correo electrónico de algunas recomendaciones para la certificación, sin embargo la titular tendría que estar certificada antes de ocupar el puesto, no posterior a esto. Artículo 57. El responsable de la Unidad de Transparencia deberá tener el perfil adecuado para el cumplimiento de las obligaciones que se derivan de la presente Ley. Para ser nombrado titular de la Unidad de Transparencia, deberá cumplir, por lo menos, con los siguientes requisitos: I. Contar con conocimiento o, tratándose de las entidades gubernamentales estatales y los municipios certificación en materia de acceso a la información, transparencia y protección de datos personales, que para tal efecto emita el Instituto; II. Experiencia en materia de acceso a la información y protección de datos personales; y III. Habilidades de organización y comunicación, así como visión y liderazgo.” (Sic)</w:t>
      </w:r>
      <w:r w:rsidR="005D64AB">
        <w:rPr>
          <w:rFonts w:ascii="Palatino Linotype" w:eastAsia="Palatino Linotype" w:hAnsi="Palatino Linotype" w:cs="Palatino Linotype"/>
          <w:i/>
        </w:rPr>
        <w:t xml:space="preserve"> (Énfasis añadido)</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es decir, </w:t>
      </w:r>
      <w:r w:rsidR="005D64AB">
        <w:rPr>
          <w:rFonts w:ascii="Palatino Linotype" w:eastAsia="Palatino Linotype" w:hAnsi="Palatino Linotype" w:cs="Palatino Linotype"/>
        </w:rPr>
        <w:t xml:space="preserve">su inconformidad medularmente versa sobre </w:t>
      </w:r>
      <w:r>
        <w:rPr>
          <w:rFonts w:ascii="Palatino Linotype" w:eastAsia="Palatino Linotype" w:hAnsi="Palatino Linotype" w:cs="Palatino Linotype"/>
        </w:rPr>
        <w:t>la entrega de la información incompleta.</w:t>
      </w:r>
    </w:p>
    <w:p w:rsidR="00504E8B" w:rsidRDefault="004F1D66" w:rsidP="005D64A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durante la etapa de manifestaciones, el </w:t>
      </w:r>
      <w:r w:rsidRPr="0089700E">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5D64AB">
        <w:rPr>
          <w:rFonts w:ascii="Palatino Linotype" w:eastAsia="Palatino Linotype" w:hAnsi="Palatino Linotype" w:cs="Palatino Linotype"/>
        </w:rPr>
        <w:t>fue omiso en re</w:t>
      </w:r>
      <w:r>
        <w:rPr>
          <w:rFonts w:ascii="Palatino Linotype" w:eastAsia="Palatino Linotype" w:hAnsi="Palatino Linotype" w:cs="Palatino Linotype"/>
        </w:rPr>
        <w:t>ndi</w:t>
      </w:r>
      <w:r w:rsidR="005D64AB">
        <w:rPr>
          <w:rFonts w:ascii="Palatino Linotype" w:eastAsia="Palatino Linotype" w:hAnsi="Palatino Linotype" w:cs="Palatino Linotype"/>
        </w:rPr>
        <w:t>r</w:t>
      </w:r>
      <w:r>
        <w:rPr>
          <w:rFonts w:ascii="Palatino Linotype" w:eastAsia="Palatino Linotype" w:hAnsi="Palatino Linotype" w:cs="Palatino Linotype"/>
        </w:rPr>
        <w:t xml:space="preserve"> su informe justificado, </w:t>
      </w:r>
      <w:r w:rsidR="005D64AB">
        <w:rPr>
          <w:rFonts w:ascii="Palatino Linotype" w:eastAsia="Palatino Linotype" w:hAnsi="Palatino Linotype" w:cs="Palatino Linotype"/>
        </w:rPr>
        <w:t>así mismo la Recurrente no emitió alegatos, manifestaciones o pronunciamiento alguno que a su derecho conviniera, luego entonces, se tiene por precluido su derecho para tal efecto.</w:t>
      </w:r>
    </w:p>
    <w:p w:rsidR="005D64AB" w:rsidRPr="005D64AB" w:rsidRDefault="005D64AB" w:rsidP="005D64AB">
      <w:pPr>
        <w:spacing w:before="240" w:after="240" w:line="360" w:lineRule="auto"/>
        <w:jc w:val="both"/>
        <w:rPr>
          <w:rFonts w:ascii="Palatino Linotype" w:eastAsia="Arial Unicode MS" w:hAnsi="Palatino Linotype" w:cs="Arial"/>
          <w:b/>
          <w:i/>
          <w:color w:val="000000"/>
          <w:lang w:eastAsia="es-ES"/>
        </w:rPr>
      </w:pPr>
      <w:r w:rsidRPr="005D64AB">
        <w:rPr>
          <w:rFonts w:ascii="Palatino Linotype" w:eastAsia="Arial Unicode MS" w:hAnsi="Palatino Linotype" w:cs="Arial"/>
          <w:color w:val="000000"/>
          <w:lang w:eastAsia="es-ES"/>
        </w:rPr>
        <w:t xml:space="preserve">Bajo este tenor, la parte de la respuesta concerniente a </w:t>
      </w:r>
      <w:r w:rsidRPr="005D64AB">
        <w:rPr>
          <w:rFonts w:ascii="Palatino Linotype" w:eastAsia="Arial Unicode MS" w:hAnsi="Palatino Linotype" w:cs="Arial"/>
          <w:b/>
          <w:i/>
          <w:color w:val="000000"/>
          <w:lang w:eastAsia="es-ES"/>
        </w:rPr>
        <w:t xml:space="preserve"> “todas y cada una de las constancias que acrediten tener la experiencia en el ámbito de Transparencia y acceso a la información pública y protección de datos personales, y el nombramiento debidamente certificado que se le dio para fingir como tal</w:t>
      </w:r>
      <w:r>
        <w:rPr>
          <w:rFonts w:ascii="Palatino Linotype" w:eastAsia="Arial Unicode MS" w:hAnsi="Palatino Linotype" w:cs="Arial"/>
          <w:b/>
          <w:i/>
          <w:color w:val="000000"/>
          <w:lang w:eastAsia="es-ES"/>
        </w:rPr>
        <w:t>” (Sic)</w:t>
      </w:r>
      <w:r w:rsidRPr="005D64AB">
        <w:rPr>
          <w:rFonts w:ascii="Palatino Linotype" w:eastAsia="Arial Unicode MS" w:hAnsi="Palatino Linotype" w:cs="Arial"/>
          <w:b/>
          <w:i/>
          <w:color w:val="000000"/>
          <w:lang w:eastAsia="es-ES"/>
        </w:rPr>
        <w:t xml:space="preserve">, </w:t>
      </w:r>
      <w:r w:rsidRPr="005D64AB">
        <w:rPr>
          <w:rFonts w:ascii="Palatino Linotype" w:eastAsia="Arial Unicode MS" w:hAnsi="Palatino Linotype" w:cs="Arial"/>
          <w:color w:val="000000"/>
          <w:lang w:eastAsia="es-ES"/>
        </w:rPr>
        <w:t>se tiene que no fue impugnada, por lo que consecuentemente debe declararse consentida, toda vez que, al no haber realizado manifestaciones de inconformidad al respecto, se infiere que la información proporcionada por el Sujeto Obligado, satisface estos puntos de la solicitud presentada.</w:t>
      </w:r>
    </w:p>
    <w:p w:rsidR="005D64AB" w:rsidRPr="005D64AB" w:rsidRDefault="005D64AB" w:rsidP="005D64AB">
      <w:pPr>
        <w:spacing w:before="240" w:after="360" w:line="360" w:lineRule="auto"/>
        <w:jc w:val="both"/>
        <w:rPr>
          <w:rFonts w:ascii="Palatino Linotype" w:eastAsia="Calibri" w:hAnsi="Palatino Linotype" w:cs="Arial"/>
          <w:color w:val="000000"/>
          <w:lang w:eastAsia="es-ES"/>
        </w:rPr>
      </w:pPr>
      <w:r w:rsidRPr="005D64AB">
        <w:rPr>
          <w:rFonts w:ascii="Palatino Linotype" w:eastAsia="Calibri" w:hAnsi="Palatino Linotype" w:cs="Arial"/>
          <w:color w:val="000000"/>
          <w:lang w:eastAsia="es-ES"/>
        </w:rPr>
        <w:t>Lo anterior es así, debido a que cuando un Recurrente impugna la respuesta del Sujeto Obligado, y éste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5D64AB" w:rsidRPr="005D64AB" w:rsidRDefault="005D64AB" w:rsidP="005D64AB">
      <w:pPr>
        <w:autoSpaceDE w:val="0"/>
        <w:autoSpaceDN w:val="0"/>
        <w:adjustRightInd w:val="0"/>
        <w:spacing w:before="240" w:after="360"/>
        <w:ind w:left="851" w:right="900"/>
        <w:jc w:val="both"/>
        <w:rPr>
          <w:rFonts w:ascii="Palatino Linotype" w:eastAsia="Calibri" w:hAnsi="Palatino Linotype" w:cs="Arial"/>
          <w:i/>
          <w:color w:val="000000"/>
          <w:sz w:val="22"/>
          <w:lang w:eastAsia="es-ES"/>
        </w:rPr>
      </w:pPr>
      <w:r w:rsidRPr="005D64AB">
        <w:rPr>
          <w:rFonts w:ascii="Palatino Linotype" w:eastAsia="Calibri" w:hAnsi="Palatino Linotype" w:cs="Arial"/>
          <w:b/>
          <w:i/>
          <w:color w:val="000000"/>
          <w:sz w:val="22"/>
          <w:lang w:eastAsia="es-ES"/>
        </w:rPr>
        <w:t xml:space="preserve">“REVISIÓN EN AMPARO. LOS RESOLUTIVOS NO COMBATIDOS DEBEN DECLARARSE FIRMES. </w:t>
      </w:r>
      <w:r w:rsidRPr="005D64AB">
        <w:rPr>
          <w:rFonts w:ascii="Palatino Linotype" w:eastAsia="Calibri" w:hAnsi="Palatino Linotype" w:cs="Arial"/>
          <w:bCs/>
          <w:i/>
          <w:iCs/>
          <w:color w:val="000000"/>
          <w:sz w:val="22"/>
          <w:lang w:eastAsia="es-ES"/>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5D64AB" w:rsidRPr="005D64AB" w:rsidRDefault="005D64AB" w:rsidP="005D64AB">
      <w:pPr>
        <w:spacing w:before="240" w:after="240" w:line="360" w:lineRule="auto"/>
        <w:jc w:val="both"/>
        <w:rPr>
          <w:rFonts w:ascii="Palatino Linotype" w:eastAsia="Arial Unicode MS" w:hAnsi="Palatino Linotype" w:cs="Arial"/>
          <w:color w:val="000000"/>
          <w:lang w:eastAsia="es-ES"/>
        </w:rPr>
      </w:pPr>
      <w:r w:rsidRPr="005D64AB">
        <w:rPr>
          <w:rFonts w:ascii="Palatino Linotype" w:eastAsia="Arial Unicode MS" w:hAnsi="Palatino Linotype" w:cs="Arial"/>
          <w:color w:val="000000"/>
          <w:lang w:eastAsia="es-ES"/>
        </w:rPr>
        <w:t xml:space="preserve">Consecuentemente, se reitera que la parte de la solicitud que no fue impugnada debe declararse consentida por la hoy Recurrente, en razón de que no se realizaron manifestaciones de inconformidad, por lo que no pueden producirse efectos jurídicos tendentes a revocar, confirmar o modificar el acto reclamado ya que se infiere un consentimiento de la Recurrente ante la falta de impugnación eficaz. </w:t>
      </w:r>
    </w:p>
    <w:p w:rsidR="005D64AB" w:rsidRPr="005D64AB" w:rsidRDefault="005D64AB" w:rsidP="005D64AB">
      <w:pPr>
        <w:spacing w:before="240" w:after="240" w:line="360" w:lineRule="auto"/>
        <w:jc w:val="both"/>
        <w:rPr>
          <w:rFonts w:ascii="Palatino Linotype" w:eastAsia="Arial Unicode MS" w:hAnsi="Palatino Linotype" w:cs="Arial"/>
          <w:color w:val="000000"/>
          <w:lang w:eastAsia="es-ES"/>
        </w:rPr>
      </w:pPr>
      <w:r w:rsidRPr="005D64AB">
        <w:rPr>
          <w:rFonts w:ascii="Palatino Linotype" w:eastAsia="Arial Unicode MS" w:hAnsi="Palatino Linotype" w:cs="Arial"/>
          <w:color w:val="000000"/>
          <w:lang w:eastAsia="es-ES"/>
        </w:rPr>
        <w:t xml:space="preserve">Sirve de sustento a lo anterior por analogía la tesis jurisprudencial número </w:t>
      </w:r>
      <w:r w:rsidRPr="005D64AB">
        <w:rPr>
          <w:rFonts w:ascii="Palatino Linotype" w:eastAsia="Calibri" w:hAnsi="Palatino Linotype" w:cs="Arial"/>
          <w:color w:val="000000"/>
          <w:lang w:eastAsia="es-ES"/>
        </w:rPr>
        <w:t>VI.3o.C. J/60, publicada en el Semanario Judicial de la Federación y su Gaceta bajo el número de registro 176,608 que a la letra dice:</w:t>
      </w:r>
    </w:p>
    <w:p w:rsidR="005D64AB" w:rsidRPr="005D64AB" w:rsidRDefault="005D64AB" w:rsidP="005D64AB">
      <w:pPr>
        <w:spacing w:before="240" w:after="240"/>
        <w:ind w:left="567" w:right="900"/>
        <w:jc w:val="both"/>
        <w:rPr>
          <w:rFonts w:ascii="Palatino Linotype" w:eastAsia="MS Mincho" w:hAnsi="Palatino Linotype" w:cs="Bookman Old Style"/>
          <w:lang w:val="es-MX" w:eastAsia="es-ES"/>
        </w:rPr>
      </w:pPr>
      <w:r w:rsidRPr="005D64AB">
        <w:rPr>
          <w:rFonts w:ascii="Palatino Linotype" w:hAnsi="Palatino Linotype" w:cs="Arial"/>
          <w:b/>
          <w:bCs/>
          <w:i/>
          <w:caps/>
          <w:color w:val="000000"/>
          <w:sz w:val="22"/>
        </w:rPr>
        <w:t xml:space="preserve">“ACTOS CONSENTIDOS. SON LOS QUE NO SE IMPUGNAN MEDIANTE EL RECURSO IDÓNEO. </w:t>
      </w:r>
      <w:r w:rsidRPr="005D64AB">
        <w:rPr>
          <w:rFonts w:ascii="Palatino Linotype" w:hAnsi="Palatino Linotype" w:cs="Arial"/>
          <w:i/>
          <w:color w:val="000000"/>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89700E" w:rsidRDefault="0089700E" w:rsidP="0089700E">
      <w:pPr>
        <w:spacing w:before="240" w:after="240" w:line="360" w:lineRule="auto"/>
        <w:jc w:val="both"/>
        <w:rPr>
          <w:rFonts w:ascii="Palatino Linotype" w:hAnsi="Palatino Linotype"/>
          <w:lang w:eastAsia="es-ES"/>
        </w:rPr>
      </w:pPr>
      <w:r w:rsidRPr="0089700E">
        <w:rPr>
          <w:rFonts w:ascii="Palatino Linotype" w:eastAsia="Palatino Linotype" w:hAnsi="Palatino Linotype" w:cs="Palatino Linotype"/>
        </w:rPr>
        <w:t xml:space="preserve">En mérito de lo anterior, </w:t>
      </w:r>
      <w:r w:rsidR="00EB3538">
        <w:rPr>
          <w:rFonts w:ascii="Palatino Linotype" w:eastAsia="Palatino Linotype" w:hAnsi="Palatino Linotype" w:cs="Palatino Linotype"/>
        </w:rPr>
        <w:t xml:space="preserve">el presente estudio versará sobre la entrega de la certificación emitida por este Órgano Garante, para ello debe apuntarse en primera instancia que </w:t>
      </w:r>
      <w:r w:rsidRPr="0089700E">
        <w:rPr>
          <w:rFonts w:ascii="Palatino Linotype" w:eastAsia="Palatino Linotype" w:hAnsi="Palatino Linotype" w:cs="Palatino Linotype"/>
        </w:rPr>
        <w:t xml:space="preserve">del análisis a </w:t>
      </w:r>
      <w:r w:rsidRPr="0089700E">
        <w:rPr>
          <w:rFonts w:ascii="Palatino Linotype" w:hAnsi="Palatino Linotype"/>
          <w:lang w:eastAsia="es-ES"/>
        </w:rPr>
        <w:t xml:space="preserve">la información solicitada por el particular y la respuesta emitida por el </w:t>
      </w:r>
      <w:r w:rsidRPr="0089700E">
        <w:rPr>
          <w:rFonts w:ascii="Palatino Linotype" w:hAnsi="Palatino Linotype"/>
          <w:b/>
          <w:lang w:eastAsia="es-ES"/>
        </w:rPr>
        <w:t>Sujeto Obligado</w:t>
      </w:r>
      <w:r w:rsidRPr="0089700E">
        <w:rPr>
          <w:rFonts w:ascii="Palatino Linotype" w:hAnsi="Palatino Linotype"/>
          <w:lang w:eastAsia="es-ES"/>
        </w:rPr>
        <w:t>, se advierte que esta no satisface el derecho de acceso a la información pública del peticionario, ello en razón de que mediante la respuesta, se remitió la captura de pantalla de un correo electrónico enviado por el Departamento de Certificación de este Instituto,</w:t>
      </w:r>
      <w:r>
        <w:rPr>
          <w:rFonts w:ascii="Palatino Linotype" w:hAnsi="Palatino Linotype"/>
          <w:lang w:eastAsia="es-ES"/>
        </w:rPr>
        <w:t xml:space="preserve"> misma que se inserta a continuación para mejor proveer del presente estudio:</w:t>
      </w:r>
    </w:p>
    <w:p w:rsidR="0089700E" w:rsidRDefault="0089700E" w:rsidP="0089700E">
      <w:pPr>
        <w:spacing w:before="240" w:after="240" w:line="360" w:lineRule="auto"/>
        <w:jc w:val="center"/>
        <w:rPr>
          <w:rFonts w:ascii="Palatino Linotype" w:hAnsi="Palatino Linotype"/>
          <w:lang w:eastAsia="es-ES"/>
        </w:rPr>
      </w:pPr>
      <w:r>
        <w:rPr>
          <w:rFonts w:ascii="Palatino Linotype" w:hAnsi="Palatino Linotype"/>
          <w:noProof/>
          <w:lang w:val="es-MX"/>
        </w:rPr>
        <w:drawing>
          <wp:inline distT="0" distB="0" distL="0" distR="0">
            <wp:extent cx="4026963" cy="42576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0483" cy="4282543"/>
                    </a:xfrm>
                    <a:prstGeom prst="rect">
                      <a:avLst/>
                    </a:prstGeom>
                    <a:noFill/>
                    <a:ln>
                      <a:noFill/>
                    </a:ln>
                  </pic:spPr>
                </pic:pic>
              </a:graphicData>
            </a:graphic>
          </wp:inline>
        </w:drawing>
      </w:r>
    </w:p>
    <w:p w:rsidR="00844330" w:rsidRDefault="007E52A6" w:rsidP="0089700E">
      <w:pPr>
        <w:spacing w:before="240" w:after="240" w:line="360" w:lineRule="auto"/>
        <w:jc w:val="both"/>
        <w:rPr>
          <w:rFonts w:ascii="Palatino Linotype" w:hAnsi="Palatino Linotype"/>
          <w:lang w:eastAsia="es-ES"/>
        </w:rPr>
      </w:pPr>
      <w:r>
        <w:rPr>
          <w:rFonts w:ascii="Palatino Linotype" w:hAnsi="Palatino Linotype"/>
          <w:lang w:eastAsia="es-ES"/>
        </w:rPr>
        <w:t xml:space="preserve">En lo anteriormente ilustrado, se vislumbra </w:t>
      </w:r>
      <w:r w:rsidR="0089700E" w:rsidRPr="0089700E">
        <w:rPr>
          <w:rFonts w:ascii="Palatino Linotype" w:hAnsi="Palatino Linotype"/>
          <w:lang w:eastAsia="es-ES"/>
        </w:rPr>
        <w:t>la presentación del evaluador</w:t>
      </w:r>
      <w:r>
        <w:rPr>
          <w:rFonts w:ascii="Palatino Linotype" w:hAnsi="Palatino Linotype"/>
          <w:lang w:eastAsia="es-ES"/>
        </w:rPr>
        <w:t>, no así la certificación de la Titular de la Unidad de Transparencia o algún pronunciamiento respecto de este punto, por lo tanto, estaríamos ante una omisión de</w:t>
      </w:r>
      <w:r w:rsidR="0089700E" w:rsidRPr="0089700E">
        <w:rPr>
          <w:rFonts w:ascii="Palatino Linotype" w:hAnsi="Palatino Linotype"/>
          <w:lang w:eastAsia="es-ES"/>
        </w:rPr>
        <w:t xml:space="preserve"> proporcionar la documental correspondiente que sust</w:t>
      </w:r>
      <w:r>
        <w:rPr>
          <w:rFonts w:ascii="Palatino Linotype" w:hAnsi="Palatino Linotype"/>
          <w:lang w:eastAsia="es-ES"/>
        </w:rPr>
        <w:t>ente la respuesta.</w:t>
      </w:r>
    </w:p>
    <w:p w:rsidR="007E52A6" w:rsidRPr="007E52A6" w:rsidRDefault="00541B5C" w:rsidP="007E52A6">
      <w:pPr>
        <w:spacing w:after="160" w:line="360" w:lineRule="auto"/>
        <w:jc w:val="both"/>
        <w:rPr>
          <w:rFonts w:ascii="Calibri" w:eastAsia="Calibri" w:hAnsi="Calibri"/>
          <w:sz w:val="22"/>
          <w:szCs w:val="22"/>
          <w:lang w:val="es-MX" w:eastAsia="en-US"/>
        </w:rPr>
      </w:pPr>
      <w:r>
        <w:rPr>
          <w:rFonts w:ascii="Palatino Linotype" w:hAnsi="Palatino Linotype"/>
          <w:lang w:eastAsia="es-ES"/>
        </w:rPr>
        <w:t xml:space="preserve">De ahí que se insista que </w:t>
      </w:r>
      <w:r w:rsidR="007E52A6" w:rsidRPr="007E52A6">
        <w:rPr>
          <w:rFonts w:ascii="Palatino Linotype" w:hAnsi="Palatino Linotype"/>
          <w:lang w:eastAsia="es-ES"/>
        </w:rPr>
        <w:t xml:space="preserve">su respuesta careció de los principios de congruencia y exhaustividad, ya que no se pronunció de manera particular sobre la </w:t>
      </w:r>
      <w:r>
        <w:rPr>
          <w:rFonts w:ascii="Palatino Linotype" w:hAnsi="Palatino Linotype"/>
          <w:lang w:eastAsia="es-ES"/>
        </w:rPr>
        <w:t xml:space="preserve"> certificación de la Titular de la Unidad de Transparencia, ello en razón de que únicamente</w:t>
      </w:r>
      <w:r w:rsidR="007E52A6" w:rsidRPr="007E52A6">
        <w:rPr>
          <w:rFonts w:ascii="Palatino Linotype" w:hAnsi="Palatino Linotype"/>
          <w:lang w:eastAsia="es-ES"/>
        </w:rPr>
        <w:t xml:space="preserve"> se limitó a </w:t>
      </w:r>
      <w:r>
        <w:rPr>
          <w:rFonts w:ascii="Palatino Linotype" w:hAnsi="Palatino Linotype"/>
          <w:lang w:eastAsia="es-ES"/>
        </w:rPr>
        <w:t xml:space="preserve">remitir la captura mediante la cual, se advierte una presentación de la evaluadora, esto </w:t>
      </w:r>
      <w:r w:rsidR="007E52A6" w:rsidRPr="007E52A6">
        <w:rPr>
          <w:rFonts w:ascii="Palatino Linotype" w:hAnsi="Palatino Linotype"/>
          <w:lang w:eastAsia="es-ES"/>
        </w:rPr>
        <w:t>sin manifestarse de manera puntual y expresa respecto a estos puntos de la solicitud, como refuerzo de lo anterior</w:t>
      </w:r>
      <w:r w:rsidR="007E52A6" w:rsidRPr="007E52A6">
        <w:rPr>
          <w:rFonts w:ascii="Palatino Linotype" w:eastAsia="Calibri" w:hAnsi="Palatino Linotype" w:cs="Arial"/>
          <w:bCs/>
          <w:color w:val="000000"/>
          <w:u w:val="single"/>
          <w:lang w:val="es-MX" w:eastAsia="en-US"/>
        </w:rPr>
        <w:t xml:space="preserve">, resulta crucial el Criterio 02/17, emitido por el Pleno del </w:t>
      </w:r>
      <w:r w:rsidR="007E52A6" w:rsidRPr="007E52A6">
        <w:rPr>
          <w:rFonts w:ascii="Palatino Linotype" w:eastAsia="Calibri" w:hAnsi="Palatino Linotype"/>
          <w:lang w:val="es-MX" w:eastAsia="en-US"/>
        </w:rPr>
        <w:t>Instituto Nacional de Transparencia y Acceso a la Información y Protección de Datos Personales, de título y texto siguientes:</w:t>
      </w:r>
    </w:p>
    <w:p w:rsidR="007E52A6" w:rsidRPr="007E52A6" w:rsidRDefault="007E52A6" w:rsidP="007E52A6">
      <w:pPr>
        <w:ind w:left="851" w:right="851"/>
        <w:jc w:val="both"/>
        <w:rPr>
          <w:rFonts w:ascii="Palatino Linotype" w:hAnsi="Palatino Linotype" w:cs="Arial"/>
          <w:i/>
          <w:lang w:eastAsia="es-ES"/>
        </w:rPr>
      </w:pPr>
      <w:r w:rsidRPr="007E52A6">
        <w:rPr>
          <w:rFonts w:ascii="Palatino Linotype" w:hAnsi="Palatino Linotype" w:cs="Arial"/>
          <w:b/>
          <w:i/>
          <w:lang w:eastAsia="es-ES"/>
        </w:rPr>
        <w:t xml:space="preserve">Congruencia y exhaustividad. Sus alcances para garantizar el derecho de acceso a la información. </w:t>
      </w:r>
      <w:r w:rsidRPr="007E52A6">
        <w:rPr>
          <w:rFonts w:ascii="Palatino Linotype" w:hAnsi="Palatino Linotype" w:cs="Arial"/>
          <w:i/>
          <w:lang w:eastAsia="es-ES"/>
        </w:rPr>
        <w:t xml:space="preserve">De conformidad con el artículo </w:t>
      </w:r>
      <w:r w:rsidRPr="007E52A6">
        <w:rPr>
          <w:rFonts w:ascii="Palatino Linotype" w:hAnsi="Palatino Linotype"/>
          <w:i/>
          <w:lang w:val="es-ES_tradnl" w:eastAsia="es-ES"/>
        </w:rPr>
        <w:t>3 de la Ley Federal de Procedimiento Administrativo</w:t>
      </w:r>
      <w:r w:rsidRPr="007E52A6">
        <w:rPr>
          <w:rFonts w:ascii="Palatino Linotype" w:hAnsi="Palatino Linotype" w:cs="Arial"/>
          <w:i/>
          <w:lang w:eastAsia="es-E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7E52A6">
        <w:rPr>
          <w:rFonts w:ascii="Palatino Linotype" w:hAnsi="Palatino Linotype" w:cs="Arial"/>
          <w:b/>
          <w:i/>
          <w:lang w:eastAsia="es-ES"/>
        </w:rPr>
        <w:t>la congruencia implica que exista concordancia entre el requerimiento formulado por el particular y la respuesta proporcionada por el sujeto obligado</w:t>
      </w:r>
      <w:r w:rsidRPr="007E52A6">
        <w:rPr>
          <w:rFonts w:ascii="Palatino Linotype" w:hAnsi="Palatino Linotype" w:cs="Arial"/>
          <w:i/>
          <w:lang w:eastAsia="es-ES"/>
        </w:rPr>
        <w:t xml:space="preserve">; mientras que </w:t>
      </w:r>
      <w:r w:rsidRPr="007E52A6">
        <w:rPr>
          <w:rFonts w:ascii="Palatino Linotype" w:hAnsi="Palatino Linotype" w:cs="Arial"/>
          <w:b/>
          <w:i/>
          <w:lang w:eastAsia="es-ES"/>
        </w:rPr>
        <w:t>la exhaustividad significa que dicha respuesta se refiera expresamente a cada uno de los puntos solicitados</w:t>
      </w:r>
      <w:r w:rsidRPr="007E52A6">
        <w:rPr>
          <w:rFonts w:ascii="Palatino Linotype" w:hAnsi="Palatino Linotype" w:cs="Arial"/>
          <w:i/>
          <w:lang w:eastAsia="es-ES"/>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7E52A6" w:rsidRPr="007E52A6" w:rsidRDefault="007E52A6" w:rsidP="007E52A6">
      <w:pPr>
        <w:spacing w:line="360" w:lineRule="auto"/>
        <w:ind w:right="49"/>
        <w:contextualSpacing/>
        <w:jc w:val="both"/>
        <w:rPr>
          <w:rFonts w:ascii="Palatino Linotype" w:hAnsi="Palatino Linotype"/>
          <w:lang w:eastAsia="es-ES"/>
        </w:rPr>
      </w:pPr>
      <w:r w:rsidRPr="007E52A6">
        <w:rPr>
          <w:rFonts w:ascii="Palatino Linotype" w:hAnsi="Palatino Linotype"/>
          <w:lang w:eastAsia="es-ES"/>
        </w:rPr>
        <w:t xml:space="preserve"> </w:t>
      </w:r>
    </w:p>
    <w:p w:rsidR="00844330" w:rsidRPr="00E87D6D" w:rsidRDefault="00844330" w:rsidP="00844330">
      <w:pPr>
        <w:tabs>
          <w:tab w:val="left" w:pos="709"/>
        </w:tabs>
        <w:spacing w:before="240" w:after="240" w:line="360" w:lineRule="auto"/>
        <w:jc w:val="both"/>
        <w:rPr>
          <w:rFonts w:ascii="Palatino Linotype" w:hAnsi="Palatino Linotype"/>
          <w:lang w:eastAsia="es-ES"/>
        </w:rPr>
      </w:pPr>
      <w:r w:rsidRPr="00E87D6D">
        <w:rPr>
          <w:rFonts w:ascii="Palatino Linotype" w:hAnsi="Palatino Linotype"/>
          <w:lang w:eastAsia="es-ES"/>
        </w:rPr>
        <w:t>Al respecto es pertinente mencionar que la Ley de Transparencia vigente en la Entidad establece en su artículo 23 fracción IV que los Ayuntamientos</w:t>
      </w:r>
      <w:r w:rsidRPr="00E87D6D">
        <w:rPr>
          <w:lang w:eastAsia="es-ES"/>
        </w:rPr>
        <w:t xml:space="preserve"> </w:t>
      </w:r>
      <w:r w:rsidRPr="00E87D6D">
        <w:rPr>
          <w:rFonts w:ascii="Palatino Linotype" w:hAnsi="Palatino Linotype"/>
          <w:lang w:eastAsia="es-ES"/>
        </w:rPr>
        <w:t xml:space="preserve">y las dependencias, organismos, órganos y entidades de la administración municipal son Sujetos Obligados a transparentar y permitir el acceso a su información y proteger los datos personales que obren en su poder, asimismo, la legislación en comento, refiere que los Sujetos Obligados contarán con un área responsable para la atención de las solicitudes de información, a la que se le denominará Unidad de Transparencia, por lo que se deberá designar a un responsable o titular para su atención, quien fungirá como enlace entre los Sujeto Obligado y los solicitantes, unidad administrativa que se encargara de tramitar internamente la solicitud de información y tendrá la responsabilidad de verificar, en cada caso, que la misma no sea confidencial o reservada. </w:t>
      </w:r>
    </w:p>
    <w:p w:rsidR="00844330" w:rsidRPr="00E87D6D" w:rsidRDefault="00844330" w:rsidP="00844330">
      <w:pPr>
        <w:tabs>
          <w:tab w:val="left" w:pos="709"/>
        </w:tabs>
        <w:spacing w:before="240" w:after="240" w:line="360" w:lineRule="auto"/>
        <w:jc w:val="both"/>
        <w:rPr>
          <w:rFonts w:ascii="Palatino Linotype" w:hAnsi="Palatino Linotype"/>
          <w:lang w:eastAsia="es-ES"/>
        </w:rPr>
      </w:pPr>
      <w:r w:rsidRPr="00E87D6D">
        <w:rPr>
          <w:rFonts w:ascii="Palatino Linotype" w:hAnsi="Palatino Linotype"/>
          <w:lang w:eastAsia="es-ES"/>
        </w:rPr>
        <w:t>Asimismo, respecto al responsable de la Unidad de Trasparencia, el artículo 57 de la Ley de la materia vigente en la Entidad, establece los siguientes requisitos:</w:t>
      </w:r>
    </w:p>
    <w:p w:rsidR="00844330" w:rsidRPr="00E87D6D" w:rsidRDefault="00844330" w:rsidP="00844330">
      <w:pPr>
        <w:tabs>
          <w:tab w:val="left" w:pos="709"/>
        </w:tabs>
        <w:ind w:left="851" w:right="851"/>
        <w:jc w:val="both"/>
        <w:rPr>
          <w:rFonts w:ascii="Palatino Linotype" w:hAnsi="Palatino Linotype"/>
          <w:i/>
          <w:sz w:val="22"/>
          <w:szCs w:val="22"/>
          <w:lang w:eastAsia="es-ES"/>
        </w:rPr>
      </w:pPr>
      <w:r w:rsidRPr="00E87D6D">
        <w:rPr>
          <w:rFonts w:ascii="Palatino Linotype" w:hAnsi="Palatino Linotype"/>
          <w:i/>
          <w:sz w:val="22"/>
          <w:szCs w:val="22"/>
          <w:lang w:eastAsia="es-ES"/>
        </w:rPr>
        <w:t>“</w:t>
      </w:r>
      <w:r w:rsidRPr="00E87D6D">
        <w:rPr>
          <w:rFonts w:ascii="Palatino Linotype" w:hAnsi="Palatino Linotype"/>
          <w:b/>
          <w:i/>
          <w:sz w:val="22"/>
          <w:szCs w:val="22"/>
          <w:lang w:eastAsia="es-ES"/>
        </w:rPr>
        <w:t>Artículo 57.</w:t>
      </w:r>
      <w:r w:rsidRPr="00E87D6D">
        <w:rPr>
          <w:rFonts w:ascii="Palatino Linotype" w:hAnsi="Palatino Linotype"/>
          <w:i/>
          <w:sz w:val="22"/>
          <w:szCs w:val="22"/>
          <w:lang w:eastAsia="es-ES"/>
        </w:rPr>
        <w:t xml:space="preserve"> </w:t>
      </w:r>
      <w:r w:rsidRPr="00E87D6D">
        <w:rPr>
          <w:rFonts w:ascii="Palatino Linotype" w:hAnsi="Palatino Linotype"/>
          <w:b/>
          <w:i/>
          <w:sz w:val="22"/>
          <w:szCs w:val="22"/>
          <w:u w:val="single"/>
          <w:lang w:eastAsia="es-ES"/>
        </w:rPr>
        <w:t>El responsable de la Unidad de Transparencia deberá</w:t>
      </w:r>
      <w:r w:rsidRPr="00E87D6D">
        <w:rPr>
          <w:rFonts w:ascii="Palatino Linotype" w:hAnsi="Palatino Linotype"/>
          <w:i/>
          <w:sz w:val="22"/>
          <w:szCs w:val="22"/>
          <w:lang w:eastAsia="es-ES"/>
        </w:rPr>
        <w:t xml:space="preserve"> tener el perfil adecuado para el cumplimiento de las obligaciones que se derivan de la presente Ley. Para ser nombrado titular de la Unidad de Transparencia, deberá </w:t>
      </w:r>
      <w:r w:rsidRPr="00E87D6D">
        <w:rPr>
          <w:rFonts w:ascii="Palatino Linotype" w:hAnsi="Palatino Linotype"/>
          <w:b/>
          <w:i/>
          <w:sz w:val="22"/>
          <w:szCs w:val="22"/>
          <w:u w:val="single"/>
          <w:lang w:eastAsia="es-ES"/>
        </w:rPr>
        <w:t>cumplir, por lo menos, con los siguientes requisitos</w:t>
      </w:r>
      <w:r w:rsidRPr="00E87D6D">
        <w:rPr>
          <w:rFonts w:ascii="Palatino Linotype" w:hAnsi="Palatino Linotype"/>
          <w:i/>
          <w:sz w:val="22"/>
          <w:szCs w:val="22"/>
          <w:lang w:eastAsia="es-ES"/>
        </w:rPr>
        <w:t>:</w:t>
      </w:r>
    </w:p>
    <w:p w:rsidR="00844330" w:rsidRPr="00E87D6D" w:rsidRDefault="00844330" w:rsidP="00844330">
      <w:pPr>
        <w:tabs>
          <w:tab w:val="left" w:pos="709"/>
        </w:tabs>
        <w:ind w:left="851" w:right="851"/>
        <w:jc w:val="both"/>
        <w:rPr>
          <w:rFonts w:ascii="Palatino Linotype" w:hAnsi="Palatino Linotype"/>
          <w:i/>
          <w:sz w:val="22"/>
          <w:szCs w:val="22"/>
          <w:lang w:eastAsia="es-ES"/>
        </w:rPr>
      </w:pPr>
    </w:p>
    <w:p w:rsidR="00844330" w:rsidRPr="00E87D6D" w:rsidRDefault="00844330" w:rsidP="00844330">
      <w:pPr>
        <w:tabs>
          <w:tab w:val="left" w:pos="709"/>
        </w:tabs>
        <w:ind w:left="851" w:right="851"/>
        <w:jc w:val="both"/>
        <w:rPr>
          <w:rFonts w:ascii="Palatino Linotype" w:hAnsi="Palatino Linotype"/>
          <w:i/>
          <w:sz w:val="22"/>
          <w:szCs w:val="22"/>
          <w:lang w:eastAsia="es-ES"/>
        </w:rPr>
      </w:pPr>
      <w:r w:rsidRPr="00E87D6D">
        <w:rPr>
          <w:rFonts w:ascii="Palatino Linotype" w:hAnsi="Palatino Linotype"/>
          <w:b/>
          <w:i/>
          <w:sz w:val="22"/>
          <w:szCs w:val="22"/>
          <w:lang w:eastAsia="es-ES"/>
        </w:rPr>
        <w:t>I.</w:t>
      </w:r>
      <w:r w:rsidRPr="00E87D6D">
        <w:rPr>
          <w:rFonts w:ascii="Palatino Linotype" w:hAnsi="Palatino Linotype"/>
          <w:i/>
          <w:sz w:val="22"/>
          <w:szCs w:val="22"/>
          <w:lang w:eastAsia="es-ES"/>
        </w:rPr>
        <w:t xml:space="preserve"> </w:t>
      </w:r>
      <w:r w:rsidRPr="00E87D6D">
        <w:rPr>
          <w:rFonts w:ascii="Palatino Linotype" w:hAnsi="Palatino Linotype"/>
          <w:b/>
          <w:i/>
          <w:sz w:val="22"/>
          <w:szCs w:val="22"/>
          <w:u w:val="single"/>
          <w:lang w:eastAsia="es-ES"/>
        </w:rPr>
        <w:t>Contar con conocimiento o, tratándose de las entidades gubernamentales estatales y los municipios certificación en materia de acceso a la información, transparencia y protección de datos personales, que para tal efecto emita el Instituto</w:t>
      </w:r>
      <w:r w:rsidRPr="00E87D6D">
        <w:rPr>
          <w:rFonts w:ascii="Palatino Linotype" w:hAnsi="Palatino Linotype"/>
          <w:i/>
          <w:sz w:val="22"/>
          <w:szCs w:val="22"/>
          <w:lang w:eastAsia="es-ES"/>
        </w:rPr>
        <w:t>;</w:t>
      </w:r>
    </w:p>
    <w:p w:rsidR="00844330" w:rsidRPr="00E87D6D" w:rsidRDefault="00844330" w:rsidP="00844330">
      <w:pPr>
        <w:tabs>
          <w:tab w:val="left" w:pos="709"/>
        </w:tabs>
        <w:ind w:left="851" w:right="851"/>
        <w:jc w:val="both"/>
        <w:rPr>
          <w:rFonts w:ascii="Palatino Linotype" w:hAnsi="Palatino Linotype"/>
          <w:i/>
          <w:sz w:val="22"/>
          <w:szCs w:val="22"/>
          <w:lang w:eastAsia="es-ES"/>
        </w:rPr>
      </w:pPr>
    </w:p>
    <w:p w:rsidR="00844330" w:rsidRPr="00E87D6D" w:rsidRDefault="00844330" w:rsidP="00844330">
      <w:pPr>
        <w:tabs>
          <w:tab w:val="left" w:pos="709"/>
        </w:tabs>
        <w:ind w:left="851" w:right="851"/>
        <w:jc w:val="both"/>
        <w:rPr>
          <w:rFonts w:ascii="Palatino Linotype" w:hAnsi="Palatino Linotype"/>
          <w:i/>
          <w:sz w:val="22"/>
          <w:szCs w:val="22"/>
          <w:lang w:eastAsia="es-ES"/>
        </w:rPr>
      </w:pPr>
      <w:r w:rsidRPr="00E87D6D">
        <w:rPr>
          <w:rFonts w:ascii="Palatino Linotype" w:hAnsi="Palatino Linotype"/>
          <w:b/>
          <w:i/>
          <w:sz w:val="22"/>
          <w:szCs w:val="22"/>
          <w:lang w:eastAsia="es-ES"/>
        </w:rPr>
        <w:t>II.</w:t>
      </w:r>
      <w:r w:rsidRPr="00E87D6D">
        <w:rPr>
          <w:rFonts w:ascii="Palatino Linotype" w:hAnsi="Palatino Linotype"/>
          <w:i/>
          <w:sz w:val="22"/>
          <w:szCs w:val="22"/>
          <w:lang w:eastAsia="es-ES"/>
        </w:rPr>
        <w:t xml:space="preserve"> Experiencia en materia de acceso a la información y protección de datos personales; y</w:t>
      </w:r>
    </w:p>
    <w:p w:rsidR="00844330" w:rsidRPr="00E87D6D" w:rsidRDefault="00844330" w:rsidP="00844330">
      <w:pPr>
        <w:tabs>
          <w:tab w:val="left" w:pos="709"/>
        </w:tabs>
        <w:ind w:left="851" w:right="851"/>
        <w:jc w:val="both"/>
        <w:rPr>
          <w:rFonts w:ascii="Palatino Linotype" w:hAnsi="Palatino Linotype"/>
          <w:i/>
          <w:sz w:val="22"/>
          <w:szCs w:val="22"/>
          <w:lang w:eastAsia="es-ES"/>
        </w:rPr>
      </w:pPr>
    </w:p>
    <w:p w:rsidR="00844330" w:rsidRPr="00E87D6D" w:rsidRDefault="00844330" w:rsidP="00BC3E8F">
      <w:pPr>
        <w:tabs>
          <w:tab w:val="left" w:pos="709"/>
        </w:tabs>
        <w:ind w:left="851" w:right="851"/>
        <w:jc w:val="both"/>
        <w:rPr>
          <w:rFonts w:ascii="Palatino Linotype" w:hAnsi="Palatino Linotype"/>
          <w:i/>
          <w:sz w:val="22"/>
          <w:szCs w:val="22"/>
          <w:lang w:eastAsia="es-ES"/>
        </w:rPr>
      </w:pPr>
      <w:r w:rsidRPr="00E87D6D">
        <w:rPr>
          <w:rFonts w:ascii="Palatino Linotype" w:hAnsi="Palatino Linotype"/>
          <w:b/>
          <w:i/>
          <w:sz w:val="22"/>
          <w:szCs w:val="22"/>
          <w:lang w:eastAsia="es-ES"/>
        </w:rPr>
        <w:t>III.</w:t>
      </w:r>
      <w:r w:rsidRPr="00E87D6D">
        <w:rPr>
          <w:rFonts w:ascii="Palatino Linotype" w:hAnsi="Palatino Linotype"/>
          <w:i/>
          <w:sz w:val="22"/>
          <w:szCs w:val="22"/>
          <w:lang w:eastAsia="es-ES"/>
        </w:rPr>
        <w:t xml:space="preserve"> Habilidades de organización y comunicación, así como visión y liderazgo.</w:t>
      </w:r>
    </w:p>
    <w:p w:rsidR="00844330" w:rsidRPr="00BC3E8F" w:rsidRDefault="00844330" w:rsidP="00844330">
      <w:pPr>
        <w:tabs>
          <w:tab w:val="left" w:pos="709"/>
        </w:tabs>
        <w:ind w:left="851" w:right="851"/>
        <w:jc w:val="both"/>
        <w:rPr>
          <w:rFonts w:ascii="Palatino Linotype" w:hAnsi="Palatino Linotype"/>
          <w:i/>
          <w:sz w:val="22"/>
          <w:szCs w:val="22"/>
          <w:lang w:eastAsia="es-ES"/>
        </w:rPr>
      </w:pPr>
      <w:r w:rsidRPr="00BC3E8F">
        <w:rPr>
          <w:rFonts w:ascii="Palatino Linotype" w:hAnsi="Palatino Linotype"/>
          <w:i/>
          <w:sz w:val="22"/>
          <w:szCs w:val="22"/>
          <w:lang w:eastAsia="es-ES"/>
        </w:rPr>
        <w:t>(Énfasis añadido).</w:t>
      </w:r>
    </w:p>
    <w:p w:rsidR="000412FB" w:rsidRDefault="00844330" w:rsidP="00844330">
      <w:pPr>
        <w:tabs>
          <w:tab w:val="left" w:pos="709"/>
        </w:tabs>
        <w:spacing w:before="240" w:after="240" w:line="360" w:lineRule="auto"/>
        <w:jc w:val="both"/>
        <w:rPr>
          <w:rFonts w:ascii="Palatino Linotype" w:hAnsi="Palatino Linotype"/>
          <w:lang w:eastAsia="es-ES"/>
        </w:rPr>
      </w:pPr>
      <w:r w:rsidRPr="00E87D6D">
        <w:rPr>
          <w:rFonts w:ascii="Palatino Linotype" w:hAnsi="Palatino Linotype"/>
          <w:lang w:eastAsia="es-ES"/>
        </w:rPr>
        <w:t xml:space="preserve">Del dispositivo legal en estudio, se advierte que para desempeñar el cargo de Titular de la Unidad de Transparencia se deben cumplir diversos requisitos entre los que destaca </w:t>
      </w:r>
      <w:r w:rsidRPr="00E87D6D">
        <w:rPr>
          <w:rFonts w:ascii="Palatino Linotype" w:hAnsi="Palatino Linotype"/>
          <w:b/>
          <w:lang w:eastAsia="es-ES"/>
        </w:rPr>
        <w:t>la certificación en materia de acceso a la información, transparencia y protección de datos personales</w:t>
      </w:r>
      <w:r w:rsidRPr="00E87D6D">
        <w:rPr>
          <w:rFonts w:ascii="Palatino Linotype" w:hAnsi="Palatino Linotype"/>
          <w:lang w:eastAsia="es-ES"/>
        </w:rPr>
        <w:t xml:space="preserve"> que emita este Órgano Garante, de lo cual resulta el deber a cargo del servidor público correspondiente, de cumplir con la certificación peticionada. </w:t>
      </w:r>
    </w:p>
    <w:p w:rsidR="000412FB" w:rsidRDefault="000412FB" w:rsidP="00844330">
      <w:pPr>
        <w:tabs>
          <w:tab w:val="left" w:pos="709"/>
        </w:tabs>
        <w:spacing w:before="240" w:after="240" w:line="360" w:lineRule="auto"/>
        <w:jc w:val="both"/>
        <w:rPr>
          <w:rFonts w:ascii="Palatino Linotype" w:hAnsi="Palatino Linotype"/>
          <w:lang w:eastAsia="es-ES"/>
        </w:rPr>
      </w:pPr>
      <w:r>
        <w:rPr>
          <w:rFonts w:ascii="Palatino Linotype" w:hAnsi="Palatino Linotype"/>
          <w:lang w:eastAsia="es-ES"/>
        </w:rPr>
        <w:t>Para robustecer el presente estudio, debe apuntarse que en cumplimiento al artículo 36, fracción XI de la Ley de Transparencia y Acceso a la Información Pública del Estado de México y Municipios, este Instituto es el encargado de c</w:t>
      </w:r>
      <w:r w:rsidRPr="000412FB">
        <w:rPr>
          <w:rFonts w:ascii="Palatino Linotype" w:hAnsi="Palatino Linotype"/>
          <w:lang w:eastAsia="es-ES"/>
        </w:rPr>
        <w:t>ertificar las competencias de los titulares d</w:t>
      </w:r>
      <w:r>
        <w:rPr>
          <w:rFonts w:ascii="Palatino Linotype" w:hAnsi="Palatino Linotype"/>
          <w:lang w:eastAsia="es-ES"/>
        </w:rPr>
        <w:t>e las unidades de transparencia, para ello se auxiliará de lo dispuesto por las Políticas de Operación de la Entidad de Certificación y Evaluación ECE</w:t>
      </w:r>
      <w:r w:rsidRPr="000412FB">
        <w:rPr>
          <w:rFonts w:ascii="Palatino Linotype" w:hAnsi="Palatino Linotype"/>
          <w:lang w:eastAsia="es-ES"/>
        </w:rPr>
        <w:t xml:space="preserve"> 346-18</w:t>
      </w:r>
      <w:r>
        <w:rPr>
          <w:rFonts w:ascii="Palatino Linotype" w:hAnsi="Palatino Linotype"/>
          <w:lang w:eastAsia="es-ES"/>
        </w:rPr>
        <w:t xml:space="preserve">, las cuales se traen a colación  en las siguientes líneas: </w:t>
      </w:r>
    </w:p>
    <w:p w:rsidR="000412FB" w:rsidRDefault="000412FB" w:rsidP="000412FB">
      <w:pPr>
        <w:tabs>
          <w:tab w:val="left" w:pos="709"/>
        </w:tabs>
        <w:spacing w:before="240" w:after="240"/>
        <w:ind w:left="567" w:right="709"/>
        <w:jc w:val="both"/>
        <w:rPr>
          <w:rFonts w:ascii="Palatino Linotype" w:hAnsi="Palatino Linotype"/>
          <w:i/>
          <w:sz w:val="22"/>
          <w:lang w:eastAsia="es-ES"/>
        </w:rPr>
      </w:pPr>
      <w:r>
        <w:rPr>
          <w:rFonts w:ascii="Palatino Linotype" w:hAnsi="Palatino Linotype"/>
          <w:i/>
          <w:sz w:val="22"/>
          <w:lang w:eastAsia="es-ES"/>
        </w:rPr>
        <w:t>“</w:t>
      </w:r>
      <w:r w:rsidRPr="000412FB">
        <w:rPr>
          <w:rFonts w:ascii="Palatino Linotype" w:hAnsi="Palatino Linotype"/>
          <w:b/>
          <w:i/>
          <w:sz w:val="22"/>
          <w:u w:val="single"/>
          <w:lang w:eastAsia="es-ES"/>
        </w:rPr>
        <w:t>La Entidad de Certificación ECE-346-18 “Instituto de Transparencia, Acceso a la Información Pública y Protección de Datos Personales del Estado de México y Municipios”, establece que las personas que deseen participar como candidatas y candidatos a certificación, deberán atender lo estipulado en las convocatorias respectivas, considerando los plazos, tiempos y etapas que se establezcan</w:t>
      </w:r>
      <w:r w:rsidRPr="000412FB">
        <w:rPr>
          <w:rFonts w:ascii="Palatino Linotype" w:hAnsi="Palatino Linotype"/>
          <w:i/>
          <w:sz w:val="22"/>
          <w:lang w:eastAsia="es-ES"/>
        </w:rPr>
        <w:t xml:space="preserve">; o en su caso, en atención a lo estipulado en las presentes políticas y de conformidad con lo señalado por la ECE. En ese sentido, los procesos de certificación de la ECE 346-18 consideran el modelo de CONOCER, el cual plantea cinco momentos para determinar que una persona es apta para obtener su certificado de competencia, éstos son: </w:t>
      </w:r>
    </w:p>
    <w:p w:rsidR="000412FB" w:rsidRDefault="000412FB" w:rsidP="000412FB">
      <w:pPr>
        <w:tabs>
          <w:tab w:val="left" w:pos="709"/>
        </w:tabs>
        <w:spacing w:before="240" w:after="240"/>
        <w:ind w:left="567" w:right="709"/>
        <w:jc w:val="center"/>
        <w:rPr>
          <w:rFonts w:ascii="Palatino Linotype" w:hAnsi="Palatino Linotype"/>
          <w:i/>
          <w:sz w:val="22"/>
          <w:lang w:eastAsia="es-ES"/>
        </w:rPr>
      </w:pPr>
      <w:r w:rsidRPr="000412FB">
        <w:rPr>
          <w:rFonts w:ascii="Palatino Linotype" w:hAnsi="Palatino Linotype"/>
          <w:i/>
          <w:sz w:val="22"/>
          <w:lang w:eastAsia="es-ES"/>
        </w:rPr>
        <w:t>PROCESO DE CERTIFICACIÓN ECE 346-18</w:t>
      </w:r>
    </w:p>
    <w:p w:rsidR="000412FB" w:rsidRDefault="000412FB" w:rsidP="000412FB">
      <w:pPr>
        <w:tabs>
          <w:tab w:val="left" w:pos="709"/>
        </w:tabs>
        <w:spacing w:before="240" w:after="240"/>
        <w:ind w:left="567" w:right="709"/>
        <w:jc w:val="center"/>
        <w:rPr>
          <w:rFonts w:ascii="Palatino Linotype" w:hAnsi="Palatino Linotype"/>
          <w:i/>
          <w:sz w:val="22"/>
          <w:lang w:eastAsia="es-ES"/>
        </w:rPr>
      </w:pPr>
    </w:p>
    <w:p w:rsidR="000412FB" w:rsidRDefault="000412FB" w:rsidP="000412FB">
      <w:pPr>
        <w:tabs>
          <w:tab w:val="left" w:pos="709"/>
        </w:tabs>
        <w:spacing w:before="240" w:after="240"/>
        <w:ind w:left="567" w:right="709"/>
        <w:jc w:val="center"/>
        <w:rPr>
          <w:rFonts w:ascii="Palatino Linotype" w:hAnsi="Palatino Linotype"/>
          <w:i/>
          <w:sz w:val="22"/>
          <w:lang w:eastAsia="es-ES"/>
        </w:rPr>
      </w:pPr>
      <w:r>
        <w:rPr>
          <w:rFonts w:ascii="Palatino Linotype" w:hAnsi="Palatino Linotype"/>
          <w:i/>
          <w:noProof/>
          <w:sz w:val="22"/>
          <w:lang w:val="es-MX"/>
        </w:rPr>
        <w:drawing>
          <wp:inline distT="0" distB="0" distL="0" distR="0">
            <wp:extent cx="4419600" cy="39147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9600" cy="3914775"/>
                    </a:xfrm>
                    <a:prstGeom prst="rect">
                      <a:avLst/>
                    </a:prstGeom>
                    <a:noFill/>
                    <a:ln>
                      <a:noFill/>
                    </a:ln>
                  </pic:spPr>
                </pic:pic>
              </a:graphicData>
            </a:graphic>
          </wp:inline>
        </w:drawing>
      </w:r>
    </w:p>
    <w:p w:rsidR="000412FB" w:rsidRDefault="000412FB" w:rsidP="000412FB">
      <w:pPr>
        <w:tabs>
          <w:tab w:val="left" w:pos="709"/>
        </w:tabs>
        <w:spacing w:before="240" w:after="240"/>
        <w:ind w:left="567" w:right="709"/>
        <w:jc w:val="both"/>
        <w:rPr>
          <w:rFonts w:ascii="Palatino Linotype" w:hAnsi="Palatino Linotype"/>
          <w:i/>
          <w:sz w:val="22"/>
          <w:lang w:eastAsia="es-ES"/>
        </w:rPr>
      </w:pPr>
      <w:r w:rsidRPr="000412FB">
        <w:rPr>
          <w:rFonts w:ascii="Palatino Linotype" w:hAnsi="Palatino Linotype"/>
          <w:b/>
          <w:i/>
          <w:sz w:val="22"/>
          <w:u w:val="single"/>
          <w:lang w:eastAsia="es-ES"/>
        </w:rPr>
        <w:t>Atento al modelo citado, es menester señalar que dependiendo la convocatoria que emita esta Entidad de Certificación y Evaluación ECE 346-18, las y los candidatos deberán atender los requerimientos que se establezcan para el proceso de certificación correspondiente; por tanto, considerando los casos en específico que así lo requieran, de conformidad con la convocatoria o invitación respectiva</w:t>
      </w:r>
      <w:r>
        <w:rPr>
          <w:rFonts w:ascii="Palatino Linotype" w:hAnsi="Palatino Linotype"/>
          <w:i/>
          <w:sz w:val="22"/>
          <w:lang w:eastAsia="es-ES"/>
        </w:rPr>
        <w:t>...”</w:t>
      </w:r>
    </w:p>
    <w:p w:rsidR="000412FB" w:rsidRPr="000412FB" w:rsidRDefault="000412FB" w:rsidP="000412FB">
      <w:pPr>
        <w:tabs>
          <w:tab w:val="left" w:pos="709"/>
        </w:tabs>
        <w:spacing w:before="240" w:after="240"/>
        <w:ind w:left="567" w:right="709"/>
        <w:jc w:val="both"/>
        <w:rPr>
          <w:rFonts w:ascii="Palatino Linotype" w:hAnsi="Palatino Linotype"/>
          <w:i/>
          <w:sz w:val="22"/>
          <w:lang w:eastAsia="es-ES"/>
        </w:rPr>
      </w:pPr>
      <w:r w:rsidRPr="000412FB">
        <w:rPr>
          <w:rFonts w:ascii="Palatino Linotype" w:hAnsi="Palatino Linotype"/>
          <w:i/>
          <w:sz w:val="22"/>
          <w:lang w:eastAsia="es-ES"/>
        </w:rPr>
        <w:t>(Énfasis añadido)</w:t>
      </w:r>
    </w:p>
    <w:p w:rsidR="00844330" w:rsidRPr="003B172C" w:rsidRDefault="004F33EF" w:rsidP="00844330">
      <w:pPr>
        <w:tabs>
          <w:tab w:val="left" w:pos="709"/>
        </w:tabs>
        <w:spacing w:before="240" w:after="240" w:line="360" w:lineRule="auto"/>
        <w:jc w:val="both"/>
        <w:rPr>
          <w:rFonts w:ascii="Palatino Linotype" w:hAnsi="Palatino Linotype"/>
          <w:lang w:eastAsia="es-ES"/>
        </w:rPr>
      </w:pPr>
      <w:r>
        <w:rPr>
          <w:rFonts w:ascii="Palatino Linotype" w:hAnsi="Palatino Linotype"/>
          <w:lang w:eastAsia="es-ES"/>
        </w:rPr>
        <w:t>De manera que si bien, la legislación no establece un plazo para que los Titulares de las Unidades de Transparencia deban contar con la certificación, no menos cierto es que al momento de registrarse para el proceso, deberán atender lo estipulado en la convocatoria que para tal efecto se emita, por lo tanto, con la falta de precisión en la respuesta del Sujeto Obligado, no se tiene la certeza de si aún se encuentra dentro del proceso o si cuenta con la certificación, si obtuv</w:t>
      </w:r>
      <w:r w:rsidR="00844330" w:rsidRPr="00E87D6D">
        <w:rPr>
          <w:rFonts w:ascii="Palatino Linotype" w:hAnsi="Palatino Linotype"/>
          <w:lang w:eastAsia="es-ES"/>
        </w:rPr>
        <w:t xml:space="preserve">o una certificación previa en materia de transparencia o si a la fecha de la </w:t>
      </w:r>
      <w:r w:rsidR="00BC3E8F">
        <w:rPr>
          <w:rFonts w:ascii="Palatino Linotype" w:hAnsi="Palatino Linotype"/>
          <w:lang w:eastAsia="es-ES"/>
        </w:rPr>
        <w:t>solicitud continuaba</w:t>
      </w:r>
      <w:r w:rsidR="00844330" w:rsidRPr="00E87D6D">
        <w:rPr>
          <w:rFonts w:ascii="Palatino Linotype" w:hAnsi="Palatino Linotype"/>
          <w:lang w:eastAsia="es-ES"/>
        </w:rPr>
        <w:t xml:space="preserve"> con el proceso de certificación correspondiente, toda vez que</w:t>
      </w:r>
      <w:r w:rsidR="00BC3E8F">
        <w:rPr>
          <w:rFonts w:ascii="Palatino Linotype" w:hAnsi="Palatino Linotype"/>
          <w:lang w:eastAsia="es-ES"/>
        </w:rPr>
        <w:t xml:space="preserve"> </w:t>
      </w:r>
      <w:r>
        <w:rPr>
          <w:rFonts w:ascii="Palatino Linotype" w:hAnsi="Palatino Linotype"/>
          <w:lang w:eastAsia="es-ES"/>
        </w:rPr>
        <w:t xml:space="preserve">se insiste, al no existir exhaustividad y congruencia en la </w:t>
      </w:r>
      <w:r w:rsidR="00BC3E8F">
        <w:rPr>
          <w:rFonts w:ascii="Palatino Linotype" w:hAnsi="Palatino Linotype"/>
          <w:lang w:eastAsia="es-ES"/>
        </w:rPr>
        <w:t>respuesta,</w:t>
      </w:r>
      <w:r w:rsidR="00BC3E8F">
        <w:rPr>
          <w:rFonts w:ascii="Palatino Linotype" w:hAnsi="Palatino Linotype"/>
          <w:i/>
          <w:lang w:eastAsia="es-ES"/>
        </w:rPr>
        <w:t xml:space="preserve"> </w:t>
      </w:r>
      <w:r w:rsidR="00BC3E8F">
        <w:rPr>
          <w:rFonts w:ascii="Palatino Linotype" w:hAnsi="Palatino Linotype"/>
          <w:lang w:eastAsia="es-ES"/>
        </w:rPr>
        <w:t xml:space="preserve">ya que el </w:t>
      </w:r>
      <w:r w:rsidR="00BC3E8F" w:rsidRPr="00BC3E8F">
        <w:rPr>
          <w:rFonts w:ascii="Palatino Linotype" w:hAnsi="Palatino Linotype"/>
          <w:b/>
          <w:lang w:eastAsia="es-ES"/>
        </w:rPr>
        <w:t xml:space="preserve">Sujeto Obligado </w:t>
      </w:r>
      <w:r w:rsidR="00BC3E8F">
        <w:rPr>
          <w:rFonts w:ascii="Palatino Linotype" w:hAnsi="Palatino Linotype"/>
          <w:lang w:eastAsia="es-ES"/>
        </w:rPr>
        <w:t>remitió</w:t>
      </w:r>
      <w:r w:rsidR="00122058">
        <w:rPr>
          <w:rFonts w:ascii="Palatino Linotype" w:hAnsi="Palatino Linotype"/>
          <w:lang w:eastAsia="es-ES"/>
        </w:rPr>
        <w:t xml:space="preserve"> para tal efecto la captura de pantalla de un correo electrónico en el que la evaluadora se presenta con la Titular de la Unidad de Transparencia, sin embargo, del análisis al archivo electrónico </w:t>
      </w:r>
      <w:r w:rsidR="00122058" w:rsidRPr="00122058">
        <w:rPr>
          <w:rFonts w:ascii="Palatino Linotype" w:hAnsi="Palatino Linotype"/>
          <w:b/>
          <w:i/>
          <w:lang w:eastAsia="es-ES"/>
        </w:rPr>
        <w:t>“CONTES_197_doc.pdf”</w:t>
      </w:r>
      <w:r w:rsidR="00122058">
        <w:rPr>
          <w:rFonts w:ascii="Palatino Linotype" w:hAnsi="Palatino Linotype"/>
          <w:lang w:eastAsia="es-ES"/>
        </w:rPr>
        <w:t>, no se advierte argumento alguno que nos conduzca a deducir que no se cuenta con la expresión documental</w:t>
      </w:r>
      <w:r w:rsidR="00BC3E8F">
        <w:rPr>
          <w:rFonts w:ascii="Palatino Linotype" w:hAnsi="Palatino Linotype"/>
          <w:lang w:eastAsia="es-ES"/>
        </w:rPr>
        <w:t xml:space="preserve"> solicitada</w:t>
      </w:r>
      <w:r w:rsidR="003B172C" w:rsidRPr="003B172C">
        <w:rPr>
          <w:rFonts w:ascii="Palatino Linotype" w:hAnsi="Palatino Linotype"/>
          <w:lang w:eastAsia="es-ES"/>
        </w:rPr>
        <w:t xml:space="preserve">, </w:t>
      </w:r>
      <w:r w:rsidR="00844330" w:rsidRPr="003B172C">
        <w:rPr>
          <w:rFonts w:ascii="Palatino Linotype" w:hAnsi="Palatino Linotype"/>
          <w:lang w:eastAsia="es-ES"/>
        </w:rPr>
        <w:t xml:space="preserve">por lo que en términos de los artículos 13 y 181, párrafo cuarto de la Ley de Transparencia en la Entidad, para mejor proveer a la presente resolución, es procedente </w:t>
      </w:r>
      <w:r w:rsidR="00844330" w:rsidRPr="003B172C">
        <w:rPr>
          <w:rFonts w:ascii="Palatino Linotype" w:hAnsi="Palatino Linotype"/>
          <w:b/>
          <w:lang w:eastAsia="es-ES"/>
        </w:rPr>
        <w:t>ordenar</w:t>
      </w:r>
      <w:r w:rsidR="00844330" w:rsidRPr="003B172C">
        <w:rPr>
          <w:rFonts w:ascii="Palatino Linotype" w:hAnsi="Palatino Linotype"/>
          <w:lang w:eastAsia="es-ES"/>
        </w:rPr>
        <w:t xml:space="preserve"> al </w:t>
      </w:r>
      <w:r w:rsidR="003B172C" w:rsidRPr="003B172C">
        <w:rPr>
          <w:rFonts w:ascii="Palatino Linotype" w:hAnsi="Palatino Linotype"/>
          <w:b/>
          <w:lang w:eastAsia="es-ES"/>
        </w:rPr>
        <w:t>Sujeto Obligado</w:t>
      </w:r>
      <w:r w:rsidR="003B172C" w:rsidRPr="003B172C">
        <w:rPr>
          <w:rFonts w:ascii="Palatino Linotype" w:hAnsi="Palatino Linotype"/>
          <w:lang w:eastAsia="es-ES"/>
        </w:rPr>
        <w:t xml:space="preserve"> </w:t>
      </w:r>
      <w:r w:rsidR="00844330" w:rsidRPr="003B172C">
        <w:rPr>
          <w:rFonts w:ascii="Palatino Linotype" w:hAnsi="Palatino Linotype"/>
          <w:lang w:eastAsia="es-ES"/>
        </w:rPr>
        <w:t xml:space="preserve">entregue al particular, </w:t>
      </w:r>
      <w:r w:rsidR="00844330" w:rsidRPr="003B172C">
        <w:rPr>
          <w:rFonts w:ascii="Palatino Linotype" w:hAnsi="Palatino Linotype"/>
          <w:b/>
          <w:lang w:eastAsia="es-ES"/>
        </w:rPr>
        <w:t>previa búsqueda exhaustiva y razonable</w:t>
      </w:r>
      <w:r w:rsidR="00844330" w:rsidRPr="003B172C">
        <w:rPr>
          <w:rFonts w:ascii="Palatino Linotype" w:hAnsi="Palatino Linotype"/>
          <w:lang w:eastAsia="es-ES"/>
        </w:rPr>
        <w:t>, en su caso en versión pública, la certificación en materia de transparencia a favor su Titular de l</w:t>
      </w:r>
      <w:r w:rsidR="003B172C">
        <w:rPr>
          <w:rFonts w:ascii="Palatino Linotype" w:hAnsi="Palatino Linotype"/>
          <w:lang w:eastAsia="es-ES"/>
        </w:rPr>
        <w:t>a Unidad de Transparencia, al 10 de octu</w:t>
      </w:r>
      <w:r w:rsidR="00844330" w:rsidRPr="003B172C">
        <w:rPr>
          <w:rFonts w:ascii="Palatino Linotype" w:hAnsi="Palatino Linotype"/>
          <w:lang w:eastAsia="es-ES"/>
        </w:rPr>
        <w:t>bre de dos mil</w:t>
      </w:r>
      <w:r w:rsidR="00BC3E8F">
        <w:rPr>
          <w:rFonts w:ascii="Palatino Linotype" w:hAnsi="Palatino Linotype"/>
          <w:lang w:eastAsia="es-ES"/>
        </w:rPr>
        <w:t xml:space="preserve"> veintiuno</w:t>
      </w:r>
      <w:r w:rsidR="00844330" w:rsidRPr="003B172C">
        <w:rPr>
          <w:rFonts w:ascii="Palatino Linotype" w:hAnsi="Palatino Linotype"/>
          <w:lang w:eastAsia="es-ES"/>
        </w:rPr>
        <w:t xml:space="preserve">.      </w:t>
      </w:r>
    </w:p>
    <w:p w:rsidR="00844330" w:rsidRPr="003B172C" w:rsidRDefault="00844330" w:rsidP="00844330">
      <w:pPr>
        <w:tabs>
          <w:tab w:val="left" w:pos="709"/>
        </w:tabs>
        <w:spacing w:before="240" w:after="240" w:line="360" w:lineRule="auto"/>
        <w:jc w:val="both"/>
        <w:rPr>
          <w:rFonts w:ascii="Palatino Linotype" w:hAnsi="Palatino Linotype" w:cs="Arial"/>
          <w:lang w:eastAsia="es-ES"/>
        </w:rPr>
      </w:pPr>
      <w:r w:rsidRPr="003B172C">
        <w:rPr>
          <w:rFonts w:ascii="Palatino Linotype" w:hAnsi="Palatino Linotype" w:cs="Arial"/>
          <w:lang w:eastAsia="es-ES"/>
        </w:rPr>
        <w:t xml:space="preserve">Ahora bien, por lo que hace a la búsqueda exhaustiva y razonable a realizar por el </w:t>
      </w:r>
      <w:r w:rsidR="003B172C" w:rsidRPr="003B172C">
        <w:rPr>
          <w:rFonts w:ascii="Palatino Linotype" w:hAnsi="Palatino Linotype" w:cs="Arial"/>
          <w:b/>
          <w:lang w:eastAsia="es-ES"/>
        </w:rPr>
        <w:t>Sujeto Obligado</w:t>
      </w:r>
      <w:r w:rsidRPr="003B172C">
        <w:rPr>
          <w:rFonts w:ascii="Palatino Linotype" w:hAnsi="Palatino Linotype" w:cs="Arial"/>
          <w:lang w:eastAsia="es-ES"/>
        </w:rPr>
        <w:t>, es necesario tomar en cuenta los artículos 50, 51, 53 fracciones II y IV, 59 y 162 de la Ley de la materia, mismos que a continuación se insertan:</w:t>
      </w:r>
    </w:p>
    <w:p w:rsidR="00844330" w:rsidRPr="003B172C" w:rsidRDefault="00844330" w:rsidP="00844330">
      <w:pPr>
        <w:ind w:left="851" w:right="851"/>
        <w:jc w:val="both"/>
        <w:rPr>
          <w:rFonts w:ascii="Palatino Linotype" w:hAnsi="Palatino Linotype" w:cs="Arial"/>
          <w:i/>
          <w:sz w:val="22"/>
          <w:szCs w:val="22"/>
        </w:rPr>
      </w:pPr>
      <w:r w:rsidRPr="003B172C">
        <w:rPr>
          <w:rFonts w:ascii="Palatino Linotype" w:hAnsi="Palatino Linotype"/>
          <w:b/>
          <w:i/>
          <w:sz w:val="22"/>
          <w:szCs w:val="22"/>
          <w:lang w:eastAsia="es-ES"/>
        </w:rPr>
        <w:t>“Artículo 50.</w:t>
      </w:r>
      <w:r w:rsidRPr="003B172C">
        <w:rPr>
          <w:rFonts w:ascii="Palatino Linotype" w:hAnsi="Palatino Linotype"/>
          <w:i/>
          <w:sz w:val="22"/>
          <w:szCs w:val="22"/>
          <w:lang w:eastAsia="es-ES"/>
        </w:rPr>
        <w:t xml:space="preserve"> Los sujetos obligados contarán con un área responsable para la atención de las solicitudes de información, a la que se le denominará Unidad de Transparencia.</w:t>
      </w:r>
    </w:p>
    <w:p w:rsidR="00844330" w:rsidRPr="003B172C" w:rsidRDefault="00844330" w:rsidP="00844330">
      <w:pPr>
        <w:ind w:left="851" w:right="851"/>
        <w:jc w:val="both"/>
        <w:rPr>
          <w:rFonts w:ascii="Palatino Linotype" w:hAnsi="Palatino Linotype"/>
          <w:i/>
          <w:sz w:val="22"/>
          <w:szCs w:val="22"/>
          <w:lang w:eastAsia="es-ES"/>
        </w:rPr>
      </w:pPr>
    </w:p>
    <w:p w:rsidR="00844330" w:rsidRPr="003B172C" w:rsidRDefault="00844330" w:rsidP="00844330">
      <w:pPr>
        <w:ind w:left="851" w:right="851"/>
        <w:jc w:val="both"/>
        <w:rPr>
          <w:rFonts w:ascii="Palatino Linotype" w:hAnsi="Palatino Linotype" w:cs="Arial"/>
          <w:i/>
          <w:sz w:val="22"/>
          <w:szCs w:val="22"/>
        </w:rPr>
      </w:pPr>
      <w:r w:rsidRPr="003B172C">
        <w:rPr>
          <w:rFonts w:ascii="Palatino Linotype" w:hAnsi="Palatino Linotype"/>
          <w:b/>
          <w:i/>
          <w:sz w:val="22"/>
          <w:szCs w:val="22"/>
          <w:lang w:eastAsia="es-ES"/>
        </w:rPr>
        <w:t>Artículo 51.</w:t>
      </w:r>
      <w:r w:rsidRPr="003B172C">
        <w:rPr>
          <w:rFonts w:ascii="Palatino Linotype" w:hAnsi="Palatino Linotype"/>
          <w:i/>
          <w:sz w:val="22"/>
          <w:szCs w:val="22"/>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844330" w:rsidRPr="003B172C" w:rsidRDefault="00844330" w:rsidP="00844330">
      <w:pPr>
        <w:ind w:left="851" w:right="851"/>
        <w:jc w:val="both"/>
        <w:rPr>
          <w:rFonts w:ascii="Palatino Linotype" w:hAnsi="Palatino Linotype"/>
          <w:b/>
          <w:i/>
          <w:sz w:val="22"/>
          <w:szCs w:val="22"/>
          <w:lang w:eastAsia="es-ES"/>
        </w:rPr>
      </w:pPr>
    </w:p>
    <w:p w:rsidR="00844330" w:rsidRPr="003B172C" w:rsidRDefault="00844330" w:rsidP="00844330">
      <w:pPr>
        <w:ind w:left="851" w:right="851"/>
        <w:jc w:val="both"/>
        <w:rPr>
          <w:rFonts w:ascii="Palatino Linotype" w:hAnsi="Palatino Linotype" w:cs="Arial"/>
          <w:i/>
          <w:sz w:val="22"/>
          <w:szCs w:val="22"/>
        </w:rPr>
      </w:pPr>
      <w:r w:rsidRPr="003B172C">
        <w:rPr>
          <w:rFonts w:ascii="Palatino Linotype" w:hAnsi="Palatino Linotype"/>
          <w:b/>
          <w:i/>
          <w:sz w:val="22"/>
          <w:szCs w:val="22"/>
          <w:lang w:eastAsia="es-ES"/>
        </w:rPr>
        <w:t>Artículo 53.</w:t>
      </w:r>
      <w:r w:rsidRPr="003B172C">
        <w:rPr>
          <w:rFonts w:ascii="Palatino Linotype" w:hAnsi="Palatino Linotype"/>
          <w:i/>
          <w:sz w:val="22"/>
          <w:szCs w:val="22"/>
          <w:lang w:eastAsia="es-ES"/>
        </w:rPr>
        <w:t xml:space="preserve"> Las Unidades de Transparencia tendrán las siguientes funciones:</w:t>
      </w:r>
    </w:p>
    <w:p w:rsidR="00844330" w:rsidRPr="003B172C" w:rsidRDefault="00844330" w:rsidP="00844330">
      <w:pPr>
        <w:ind w:left="851" w:right="851"/>
        <w:jc w:val="both"/>
        <w:rPr>
          <w:rFonts w:ascii="Palatino Linotype" w:hAnsi="Palatino Linotype"/>
          <w:b/>
          <w:i/>
          <w:sz w:val="22"/>
          <w:szCs w:val="22"/>
          <w:lang w:eastAsia="es-ES"/>
        </w:rPr>
      </w:pPr>
      <w:r w:rsidRPr="003B172C">
        <w:rPr>
          <w:rFonts w:ascii="Palatino Linotype" w:hAnsi="Palatino Linotype"/>
          <w:b/>
          <w:i/>
          <w:sz w:val="22"/>
          <w:szCs w:val="22"/>
          <w:lang w:eastAsia="es-ES"/>
        </w:rPr>
        <w:t>…</w:t>
      </w:r>
    </w:p>
    <w:p w:rsidR="00844330" w:rsidRPr="003B172C" w:rsidRDefault="00844330" w:rsidP="00844330">
      <w:pPr>
        <w:ind w:left="851" w:right="851"/>
        <w:jc w:val="both"/>
        <w:rPr>
          <w:rFonts w:ascii="Palatino Linotype" w:hAnsi="Palatino Linotype" w:cs="Arial"/>
          <w:i/>
          <w:sz w:val="22"/>
          <w:szCs w:val="22"/>
        </w:rPr>
      </w:pPr>
      <w:r w:rsidRPr="003B172C">
        <w:rPr>
          <w:rFonts w:ascii="Palatino Linotype" w:hAnsi="Palatino Linotype"/>
          <w:b/>
          <w:i/>
          <w:sz w:val="22"/>
          <w:szCs w:val="22"/>
          <w:lang w:eastAsia="es-ES"/>
        </w:rPr>
        <w:t xml:space="preserve">II. Recibir, </w:t>
      </w:r>
      <w:r w:rsidRPr="003B172C">
        <w:rPr>
          <w:rFonts w:ascii="Palatino Linotype" w:hAnsi="Palatino Linotype"/>
          <w:b/>
          <w:i/>
          <w:sz w:val="22"/>
          <w:szCs w:val="22"/>
          <w:u w:val="single"/>
          <w:lang w:eastAsia="es-ES"/>
        </w:rPr>
        <w:t>tramitar</w:t>
      </w:r>
      <w:r w:rsidRPr="003B172C">
        <w:rPr>
          <w:rFonts w:ascii="Palatino Linotype" w:hAnsi="Palatino Linotype"/>
          <w:b/>
          <w:i/>
          <w:sz w:val="22"/>
          <w:szCs w:val="22"/>
          <w:lang w:eastAsia="es-ES"/>
        </w:rPr>
        <w:t xml:space="preserve"> y dar respuesta a las solicitudes de acceso a la información;</w:t>
      </w:r>
    </w:p>
    <w:p w:rsidR="00844330" w:rsidRPr="003B172C" w:rsidRDefault="00844330" w:rsidP="00844330">
      <w:pPr>
        <w:ind w:left="851" w:right="851"/>
        <w:jc w:val="both"/>
        <w:rPr>
          <w:rFonts w:ascii="Palatino Linotype" w:hAnsi="Palatino Linotype"/>
          <w:i/>
          <w:sz w:val="22"/>
          <w:szCs w:val="22"/>
          <w:lang w:eastAsia="es-ES"/>
        </w:rPr>
      </w:pPr>
      <w:r w:rsidRPr="003B172C">
        <w:rPr>
          <w:rFonts w:ascii="Palatino Linotype" w:hAnsi="Palatino Linotype"/>
          <w:i/>
          <w:sz w:val="22"/>
          <w:szCs w:val="22"/>
          <w:lang w:eastAsia="es-ES"/>
        </w:rPr>
        <w:t>…</w:t>
      </w:r>
    </w:p>
    <w:p w:rsidR="00844330" w:rsidRPr="003B172C" w:rsidRDefault="00844330" w:rsidP="00844330">
      <w:pPr>
        <w:ind w:left="851" w:right="851"/>
        <w:jc w:val="both"/>
        <w:rPr>
          <w:rFonts w:ascii="Palatino Linotype" w:hAnsi="Palatino Linotype" w:cs="Arial"/>
          <w:b/>
          <w:i/>
          <w:sz w:val="22"/>
          <w:szCs w:val="22"/>
        </w:rPr>
      </w:pPr>
      <w:r w:rsidRPr="003B172C">
        <w:rPr>
          <w:rFonts w:ascii="Palatino Linotype" w:hAnsi="Palatino Linotype"/>
          <w:b/>
          <w:i/>
          <w:sz w:val="22"/>
          <w:szCs w:val="22"/>
          <w:lang w:eastAsia="es-ES"/>
        </w:rPr>
        <w:t xml:space="preserve"> IV.</w:t>
      </w:r>
      <w:r w:rsidRPr="003B172C">
        <w:rPr>
          <w:rFonts w:ascii="Palatino Linotype" w:hAnsi="Palatino Linotype"/>
          <w:i/>
          <w:sz w:val="22"/>
          <w:szCs w:val="22"/>
          <w:lang w:eastAsia="es-ES"/>
        </w:rPr>
        <w:t xml:space="preserve"> </w:t>
      </w:r>
      <w:r w:rsidRPr="003B172C">
        <w:rPr>
          <w:rFonts w:ascii="Palatino Linotype" w:hAnsi="Palatino Linotype"/>
          <w:b/>
          <w:i/>
          <w:sz w:val="22"/>
          <w:szCs w:val="22"/>
          <w:u w:val="single"/>
          <w:lang w:eastAsia="es-ES"/>
        </w:rPr>
        <w:t>Realizar</w:t>
      </w:r>
      <w:r w:rsidRPr="003B172C">
        <w:rPr>
          <w:rFonts w:ascii="Palatino Linotype" w:hAnsi="Palatino Linotype"/>
          <w:b/>
          <w:i/>
          <w:sz w:val="22"/>
          <w:szCs w:val="22"/>
          <w:lang w:eastAsia="es-ES"/>
        </w:rPr>
        <w:t xml:space="preserve">, con efectividad, </w:t>
      </w:r>
      <w:r w:rsidRPr="003B172C">
        <w:rPr>
          <w:rFonts w:ascii="Palatino Linotype" w:hAnsi="Palatino Linotype"/>
          <w:b/>
          <w:i/>
          <w:sz w:val="22"/>
          <w:szCs w:val="22"/>
          <w:u w:val="single"/>
          <w:lang w:eastAsia="es-ES"/>
        </w:rPr>
        <w:t>los trámites internos necesarios para la atención de las solicitudes de acceso a la información;</w:t>
      </w:r>
      <w:r w:rsidRPr="003B172C">
        <w:rPr>
          <w:rFonts w:ascii="Palatino Linotype" w:hAnsi="Palatino Linotype"/>
          <w:b/>
          <w:i/>
          <w:sz w:val="22"/>
          <w:szCs w:val="22"/>
          <w:lang w:eastAsia="es-ES"/>
        </w:rPr>
        <w:t>…</w:t>
      </w:r>
    </w:p>
    <w:p w:rsidR="00844330" w:rsidRPr="003B172C" w:rsidRDefault="00844330" w:rsidP="00844330">
      <w:pPr>
        <w:ind w:left="851" w:right="851"/>
        <w:jc w:val="both"/>
        <w:rPr>
          <w:rFonts w:ascii="Palatino Linotype" w:hAnsi="Palatino Linotype"/>
          <w:i/>
          <w:sz w:val="22"/>
          <w:szCs w:val="22"/>
          <w:lang w:eastAsia="es-ES"/>
        </w:rPr>
      </w:pPr>
    </w:p>
    <w:p w:rsidR="00844330" w:rsidRPr="003B172C" w:rsidRDefault="00844330" w:rsidP="00844330">
      <w:pPr>
        <w:ind w:left="851" w:right="851"/>
        <w:jc w:val="both"/>
        <w:rPr>
          <w:rFonts w:ascii="Palatino Linotype" w:hAnsi="Palatino Linotype" w:cs="Arial"/>
          <w:i/>
          <w:sz w:val="22"/>
          <w:szCs w:val="22"/>
        </w:rPr>
      </w:pPr>
      <w:r w:rsidRPr="003B172C">
        <w:rPr>
          <w:rFonts w:ascii="Palatino Linotype" w:hAnsi="Palatino Linotype"/>
          <w:b/>
          <w:i/>
          <w:sz w:val="22"/>
          <w:szCs w:val="22"/>
          <w:lang w:eastAsia="es-ES"/>
        </w:rPr>
        <w:t>Artículo 59.</w:t>
      </w:r>
      <w:r w:rsidRPr="003B172C">
        <w:rPr>
          <w:rFonts w:ascii="Palatino Linotype" w:hAnsi="Palatino Linotype"/>
          <w:i/>
          <w:sz w:val="22"/>
          <w:szCs w:val="22"/>
          <w:lang w:eastAsia="es-ES"/>
        </w:rPr>
        <w:t xml:space="preserve"> </w:t>
      </w:r>
      <w:r w:rsidRPr="003B172C">
        <w:rPr>
          <w:rFonts w:ascii="Palatino Linotype" w:hAnsi="Palatino Linotype"/>
          <w:b/>
          <w:i/>
          <w:sz w:val="22"/>
          <w:szCs w:val="22"/>
          <w:u w:val="single"/>
          <w:lang w:eastAsia="es-ES"/>
        </w:rPr>
        <w:t>Los servidores públicos habilitados tendrán</w:t>
      </w:r>
      <w:r w:rsidRPr="003B172C">
        <w:rPr>
          <w:rFonts w:ascii="Palatino Linotype" w:hAnsi="Palatino Linotype"/>
          <w:i/>
          <w:sz w:val="22"/>
          <w:szCs w:val="22"/>
          <w:lang w:eastAsia="es-ES"/>
        </w:rPr>
        <w:t xml:space="preserve"> las funciones siguientes:</w:t>
      </w:r>
    </w:p>
    <w:p w:rsidR="00844330" w:rsidRPr="003B172C" w:rsidRDefault="00844330" w:rsidP="00844330">
      <w:pPr>
        <w:ind w:left="851" w:right="851"/>
        <w:jc w:val="both"/>
        <w:rPr>
          <w:rFonts w:ascii="Palatino Linotype" w:hAnsi="Palatino Linotype" w:cs="Arial"/>
          <w:i/>
          <w:sz w:val="22"/>
          <w:szCs w:val="22"/>
        </w:rPr>
      </w:pPr>
      <w:r w:rsidRPr="003B172C">
        <w:rPr>
          <w:rFonts w:ascii="Palatino Linotype" w:hAnsi="Palatino Linotype"/>
          <w:b/>
          <w:i/>
          <w:sz w:val="22"/>
          <w:szCs w:val="22"/>
          <w:lang w:eastAsia="es-ES"/>
        </w:rPr>
        <w:t>I.</w:t>
      </w:r>
      <w:r w:rsidRPr="003B172C">
        <w:rPr>
          <w:rFonts w:ascii="Palatino Linotype" w:hAnsi="Palatino Linotype"/>
          <w:i/>
          <w:sz w:val="22"/>
          <w:szCs w:val="22"/>
          <w:lang w:eastAsia="es-ES"/>
        </w:rPr>
        <w:t xml:space="preserve"> </w:t>
      </w:r>
      <w:r w:rsidRPr="003B172C">
        <w:rPr>
          <w:rFonts w:ascii="Palatino Linotype" w:hAnsi="Palatino Linotype"/>
          <w:b/>
          <w:i/>
          <w:sz w:val="22"/>
          <w:szCs w:val="22"/>
          <w:u w:val="single"/>
          <w:lang w:eastAsia="es-ES"/>
        </w:rPr>
        <w:t>Localizar la información que le solicite la Unidad de Transparencia</w:t>
      </w:r>
      <w:r w:rsidRPr="003B172C">
        <w:rPr>
          <w:rFonts w:ascii="Palatino Linotype" w:hAnsi="Palatino Linotype"/>
          <w:i/>
          <w:sz w:val="22"/>
          <w:szCs w:val="22"/>
          <w:lang w:eastAsia="es-ES"/>
        </w:rPr>
        <w:t>;</w:t>
      </w:r>
    </w:p>
    <w:p w:rsidR="00844330" w:rsidRPr="003B172C" w:rsidRDefault="00844330" w:rsidP="00844330">
      <w:pPr>
        <w:ind w:left="851" w:right="851"/>
        <w:jc w:val="both"/>
        <w:rPr>
          <w:rFonts w:ascii="Palatino Linotype" w:hAnsi="Palatino Linotype" w:cs="Arial"/>
          <w:i/>
          <w:sz w:val="22"/>
          <w:szCs w:val="22"/>
        </w:rPr>
      </w:pPr>
      <w:r w:rsidRPr="003B172C">
        <w:rPr>
          <w:rFonts w:ascii="Palatino Linotype" w:hAnsi="Palatino Linotype"/>
          <w:b/>
          <w:i/>
          <w:sz w:val="22"/>
          <w:szCs w:val="22"/>
          <w:lang w:eastAsia="es-ES"/>
        </w:rPr>
        <w:t>II.</w:t>
      </w:r>
      <w:r w:rsidRPr="003B172C">
        <w:rPr>
          <w:rFonts w:ascii="Palatino Linotype" w:hAnsi="Palatino Linotype"/>
          <w:i/>
          <w:sz w:val="22"/>
          <w:szCs w:val="22"/>
          <w:lang w:eastAsia="es-ES"/>
        </w:rPr>
        <w:t xml:space="preserve"> </w:t>
      </w:r>
      <w:r w:rsidRPr="003B172C">
        <w:rPr>
          <w:rFonts w:ascii="Palatino Linotype" w:hAnsi="Palatino Linotype"/>
          <w:b/>
          <w:i/>
          <w:sz w:val="22"/>
          <w:szCs w:val="22"/>
          <w:u w:val="single"/>
          <w:lang w:eastAsia="es-ES"/>
        </w:rPr>
        <w:t>Proporcionar la información que obre en los archivos y que le sea solicitada por la Unidad de Transparencia</w:t>
      </w:r>
      <w:r w:rsidRPr="003B172C">
        <w:rPr>
          <w:rFonts w:ascii="Palatino Linotype" w:hAnsi="Palatino Linotype"/>
          <w:i/>
          <w:sz w:val="22"/>
          <w:szCs w:val="22"/>
          <w:lang w:eastAsia="es-ES"/>
        </w:rPr>
        <w:t>;</w:t>
      </w:r>
    </w:p>
    <w:p w:rsidR="00844330" w:rsidRPr="003B172C" w:rsidRDefault="00844330" w:rsidP="00844330">
      <w:pPr>
        <w:ind w:left="851" w:right="851"/>
        <w:jc w:val="both"/>
        <w:rPr>
          <w:rFonts w:ascii="Palatino Linotype" w:hAnsi="Palatino Linotype" w:cs="Arial"/>
          <w:i/>
          <w:sz w:val="22"/>
          <w:szCs w:val="22"/>
        </w:rPr>
      </w:pPr>
      <w:r w:rsidRPr="003B172C">
        <w:rPr>
          <w:rFonts w:ascii="Palatino Linotype" w:hAnsi="Palatino Linotype"/>
          <w:b/>
          <w:i/>
          <w:sz w:val="22"/>
          <w:szCs w:val="22"/>
          <w:lang w:eastAsia="es-ES"/>
        </w:rPr>
        <w:t>III.</w:t>
      </w:r>
      <w:r w:rsidRPr="003B172C">
        <w:rPr>
          <w:rFonts w:ascii="Palatino Linotype" w:hAnsi="Palatino Linotype"/>
          <w:i/>
          <w:sz w:val="22"/>
          <w:szCs w:val="22"/>
          <w:lang w:eastAsia="es-ES"/>
        </w:rPr>
        <w:t xml:space="preserve"> Apoyar a la Unidad de Transparencia en lo que esta le solicite para el cumplimiento de sus funciones;</w:t>
      </w:r>
    </w:p>
    <w:p w:rsidR="00844330" w:rsidRPr="003B172C" w:rsidRDefault="00844330" w:rsidP="00844330">
      <w:pPr>
        <w:ind w:left="851" w:right="851"/>
        <w:jc w:val="both"/>
        <w:rPr>
          <w:rFonts w:ascii="Palatino Linotype" w:hAnsi="Palatino Linotype" w:cs="Arial"/>
          <w:i/>
          <w:sz w:val="22"/>
          <w:szCs w:val="22"/>
        </w:rPr>
      </w:pPr>
      <w:r w:rsidRPr="003B172C">
        <w:rPr>
          <w:rFonts w:ascii="Palatino Linotype" w:hAnsi="Palatino Linotype"/>
          <w:b/>
          <w:i/>
          <w:sz w:val="22"/>
          <w:szCs w:val="22"/>
          <w:lang w:eastAsia="es-ES"/>
        </w:rPr>
        <w:t>IV.</w:t>
      </w:r>
      <w:r w:rsidRPr="003B172C">
        <w:rPr>
          <w:rFonts w:ascii="Palatino Linotype" w:hAnsi="Palatino Linotype"/>
          <w:i/>
          <w:sz w:val="22"/>
          <w:szCs w:val="22"/>
          <w:lang w:eastAsia="es-ES"/>
        </w:rPr>
        <w:t xml:space="preserve"> Proporcionar a la Unidad de Transparencia, las modificaciones a la información pública de oficio que obre en su poder;</w:t>
      </w:r>
    </w:p>
    <w:p w:rsidR="00844330" w:rsidRPr="003B172C" w:rsidRDefault="00844330" w:rsidP="00844330">
      <w:pPr>
        <w:ind w:left="851" w:right="851"/>
        <w:jc w:val="both"/>
        <w:rPr>
          <w:rFonts w:ascii="Palatino Linotype" w:hAnsi="Palatino Linotype" w:cs="Arial"/>
          <w:i/>
          <w:sz w:val="22"/>
          <w:szCs w:val="22"/>
        </w:rPr>
      </w:pPr>
      <w:r w:rsidRPr="003B172C">
        <w:rPr>
          <w:rFonts w:ascii="Palatino Linotype" w:hAnsi="Palatino Linotype"/>
          <w:b/>
          <w:i/>
          <w:sz w:val="22"/>
          <w:szCs w:val="22"/>
          <w:lang w:eastAsia="es-ES"/>
        </w:rPr>
        <w:t>V.</w:t>
      </w:r>
      <w:r w:rsidRPr="003B172C">
        <w:rPr>
          <w:rFonts w:ascii="Palatino Linotype" w:hAnsi="Palatino Linotype"/>
          <w:i/>
          <w:sz w:val="22"/>
          <w:szCs w:val="22"/>
          <w:lang w:eastAsia="es-ES"/>
        </w:rPr>
        <w:t xml:space="preserve"> Integrar y presentar al responsable de la Unidad de Transparencia la propuesta de clasificación de información, la cual tendrá los fundamentos y argumentos en que se basa dicha propuesta;</w:t>
      </w:r>
    </w:p>
    <w:p w:rsidR="00844330" w:rsidRPr="003B172C" w:rsidRDefault="00844330" w:rsidP="00844330">
      <w:pPr>
        <w:ind w:left="851" w:right="851"/>
        <w:jc w:val="both"/>
        <w:rPr>
          <w:rFonts w:ascii="Palatino Linotype" w:hAnsi="Palatino Linotype" w:cs="Arial"/>
          <w:i/>
          <w:sz w:val="22"/>
          <w:szCs w:val="22"/>
        </w:rPr>
      </w:pPr>
      <w:r w:rsidRPr="003B172C">
        <w:rPr>
          <w:rFonts w:ascii="Palatino Linotype" w:hAnsi="Palatino Linotype"/>
          <w:b/>
          <w:i/>
          <w:sz w:val="22"/>
          <w:szCs w:val="22"/>
          <w:lang w:eastAsia="es-ES"/>
        </w:rPr>
        <w:t>VI.</w:t>
      </w:r>
      <w:r w:rsidRPr="003B172C">
        <w:rPr>
          <w:rFonts w:ascii="Palatino Linotype" w:hAnsi="Palatino Linotype"/>
          <w:i/>
          <w:sz w:val="22"/>
          <w:szCs w:val="22"/>
          <w:lang w:eastAsia="es-ES"/>
        </w:rPr>
        <w:t xml:space="preserve"> Verificar, una vez analizado el contenido de la información, que no se encuentre en los supuestos de información clasificada; y</w:t>
      </w:r>
    </w:p>
    <w:p w:rsidR="00844330" w:rsidRPr="003B172C" w:rsidRDefault="00844330" w:rsidP="00844330">
      <w:pPr>
        <w:ind w:left="851" w:right="851"/>
        <w:jc w:val="both"/>
        <w:rPr>
          <w:rFonts w:ascii="Palatino Linotype" w:hAnsi="Palatino Linotype"/>
          <w:i/>
          <w:sz w:val="22"/>
          <w:szCs w:val="22"/>
          <w:lang w:eastAsia="es-ES"/>
        </w:rPr>
      </w:pPr>
      <w:r w:rsidRPr="003B172C">
        <w:rPr>
          <w:rFonts w:ascii="Palatino Linotype" w:hAnsi="Palatino Linotype"/>
          <w:b/>
          <w:i/>
          <w:sz w:val="22"/>
          <w:szCs w:val="22"/>
          <w:lang w:eastAsia="es-ES"/>
        </w:rPr>
        <w:t>VII.</w:t>
      </w:r>
      <w:r w:rsidRPr="003B172C">
        <w:rPr>
          <w:rFonts w:ascii="Palatino Linotype" w:hAnsi="Palatino Linotype"/>
          <w:i/>
          <w:sz w:val="22"/>
          <w:szCs w:val="22"/>
          <w:lang w:eastAsia="es-ES"/>
        </w:rPr>
        <w:t xml:space="preserve"> Dar cuenta a la Unidad de Transparencia del vencimiento de los plazos de reserva.</w:t>
      </w:r>
    </w:p>
    <w:p w:rsidR="00844330" w:rsidRPr="003B172C" w:rsidRDefault="00844330" w:rsidP="00844330">
      <w:pPr>
        <w:ind w:left="851" w:right="851"/>
        <w:jc w:val="both"/>
        <w:rPr>
          <w:rFonts w:ascii="Palatino Linotype" w:hAnsi="Palatino Linotype"/>
          <w:i/>
          <w:sz w:val="22"/>
          <w:szCs w:val="22"/>
          <w:lang w:eastAsia="es-ES"/>
        </w:rPr>
      </w:pPr>
    </w:p>
    <w:p w:rsidR="00844330" w:rsidRPr="003B172C" w:rsidRDefault="00844330" w:rsidP="00844330">
      <w:pPr>
        <w:ind w:left="851" w:right="851"/>
        <w:jc w:val="both"/>
        <w:rPr>
          <w:rFonts w:ascii="Palatino Linotype" w:hAnsi="Palatino Linotype"/>
          <w:i/>
          <w:sz w:val="22"/>
          <w:szCs w:val="22"/>
          <w:lang w:eastAsia="es-ES"/>
        </w:rPr>
      </w:pPr>
      <w:r w:rsidRPr="003B172C">
        <w:rPr>
          <w:rFonts w:ascii="Palatino Linotype" w:hAnsi="Palatino Linotype"/>
          <w:b/>
          <w:i/>
          <w:sz w:val="22"/>
          <w:szCs w:val="22"/>
          <w:lang w:eastAsia="es-ES"/>
        </w:rPr>
        <w:t>Artículo 162.</w:t>
      </w:r>
      <w:r w:rsidRPr="003B172C">
        <w:rPr>
          <w:rFonts w:ascii="Palatino Linotype" w:hAnsi="Palatino Linotype"/>
          <w:i/>
          <w:sz w:val="22"/>
          <w:szCs w:val="22"/>
          <w:lang w:eastAsia="es-ES"/>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844330" w:rsidRPr="003B172C" w:rsidRDefault="00844330" w:rsidP="00844330">
      <w:pPr>
        <w:ind w:left="851" w:right="851"/>
        <w:jc w:val="both"/>
        <w:rPr>
          <w:rFonts w:ascii="Palatino Linotype" w:hAnsi="Palatino Linotype"/>
          <w:b/>
          <w:i/>
          <w:sz w:val="22"/>
          <w:szCs w:val="22"/>
          <w:lang w:eastAsia="es-ES"/>
        </w:rPr>
      </w:pPr>
    </w:p>
    <w:p w:rsidR="00844330" w:rsidRPr="003B172C" w:rsidRDefault="00844330" w:rsidP="00844330">
      <w:pPr>
        <w:ind w:left="851" w:right="851"/>
        <w:jc w:val="both"/>
        <w:rPr>
          <w:rFonts w:ascii="Palatino Linotype" w:hAnsi="Palatino Linotype"/>
          <w:b/>
          <w:i/>
          <w:sz w:val="22"/>
          <w:szCs w:val="22"/>
          <w:lang w:eastAsia="es-ES"/>
        </w:rPr>
      </w:pPr>
      <w:r w:rsidRPr="003B172C">
        <w:rPr>
          <w:rFonts w:ascii="Palatino Linotype" w:hAnsi="Palatino Linotype"/>
          <w:b/>
          <w:i/>
          <w:sz w:val="22"/>
          <w:szCs w:val="22"/>
          <w:lang w:eastAsia="es-ES"/>
        </w:rPr>
        <w:t>Énfasis añadido</w:t>
      </w:r>
    </w:p>
    <w:p w:rsidR="00844330" w:rsidRPr="003B172C" w:rsidRDefault="00844330" w:rsidP="00844330">
      <w:pPr>
        <w:ind w:left="851" w:right="851"/>
        <w:jc w:val="both"/>
        <w:rPr>
          <w:rFonts w:ascii="Palatino Linotype" w:hAnsi="Palatino Linotype" w:cs="Arial"/>
          <w:i/>
          <w:sz w:val="22"/>
          <w:szCs w:val="22"/>
        </w:rPr>
      </w:pPr>
    </w:p>
    <w:p w:rsidR="00844330" w:rsidRPr="003B172C" w:rsidRDefault="00844330" w:rsidP="00844330">
      <w:pPr>
        <w:spacing w:before="240" w:after="240" w:line="360" w:lineRule="auto"/>
        <w:contextualSpacing/>
        <w:jc w:val="both"/>
        <w:rPr>
          <w:rFonts w:ascii="Palatino Linotype" w:eastAsia="Calibri" w:hAnsi="Palatino Linotype"/>
          <w:lang w:eastAsia="es-ES"/>
        </w:rPr>
      </w:pPr>
      <w:r w:rsidRPr="003B172C">
        <w:rPr>
          <w:rFonts w:ascii="Palatino Linotype" w:eastAsia="Calibri" w:hAnsi="Palatino Linotype"/>
          <w:lang w:eastAsia="es-ES"/>
        </w:rPr>
        <w:t>De la normativi</w:t>
      </w:r>
      <w:r w:rsidR="004F33EF">
        <w:rPr>
          <w:rFonts w:ascii="Palatino Linotype" w:eastAsia="Calibri" w:hAnsi="Palatino Linotype"/>
          <w:lang w:eastAsia="es-ES"/>
        </w:rPr>
        <w:t xml:space="preserve">dad en cita se desprende que la Unidad </w:t>
      </w:r>
      <w:r w:rsidRPr="003B172C">
        <w:rPr>
          <w:rFonts w:ascii="Palatino Linotype" w:eastAsia="Calibri" w:hAnsi="Palatino Linotype"/>
          <w:lang w:eastAsia="es-ES"/>
        </w:rPr>
        <w:t>de Transparencia, es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rsidR="00844330" w:rsidRPr="003B172C" w:rsidRDefault="00844330" w:rsidP="00844330">
      <w:pPr>
        <w:spacing w:before="240" w:after="240" w:line="360" w:lineRule="auto"/>
        <w:contextualSpacing/>
        <w:jc w:val="both"/>
        <w:rPr>
          <w:rFonts w:ascii="Palatino Linotype" w:eastAsia="Calibri" w:hAnsi="Palatino Linotype"/>
          <w:sz w:val="16"/>
          <w:szCs w:val="16"/>
          <w:lang w:eastAsia="es-ES"/>
        </w:rPr>
      </w:pPr>
    </w:p>
    <w:p w:rsidR="00844330" w:rsidRPr="003B172C" w:rsidRDefault="00844330" w:rsidP="00844330">
      <w:pPr>
        <w:spacing w:before="240" w:after="240" w:line="360" w:lineRule="auto"/>
        <w:jc w:val="both"/>
        <w:rPr>
          <w:rFonts w:ascii="Palatino Linotype" w:eastAsia="Calibri" w:hAnsi="Palatino Linotype" w:cs="Arial"/>
          <w:i/>
          <w:sz w:val="22"/>
          <w:lang w:eastAsia="es-ES"/>
        </w:rPr>
      </w:pPr>
      <w:r w:rsidRPr="003B172C">
        <w:rPr>
          <w:rFonts w:ascii="Palatino Linotype" w:eastAsia="Calibri" w:hAnsi="Palatino Linotype"/>
          <w:lang w:eastAsia="es-ES"/>
        </w:rPr>
        <w:t>Los servidores públicos habilitados tienen como función, buscar, localizar y en su caso entregar la información solicitada de lo manifestado con antelación se advierte que el Titular de la Unidad de Transparencia debe garantizar que las solicitudes se turnen a todas las áreas competentes que puedan contar con la información, con el objeto de que se realice una búsqueda exhaustiva y razonable de la información solicitada</w:t>
      </w:r>
      <w:r w:rsidRPr="003B172C">
        <w:rPr>
          <w:rFonts w:ascii="Palatino Linotype" w:hAnsi="Palatino Linotype"/>
          <w:lang w:eastAsia="es-ES"/>
        </w:rPr>
        <w:t xml:space="preserve">, </w:t>
      </w:r>
      <w:r w:rsidRPr="003B172C">
        <w:rPr>
          <w:rFonts w:ascii="Palatino Linotype" w:eastAsia="Calibri" w:hAnsi="Palatino Linotype" w:cs="Arial"/>
          <w:lang w:eastAsia="es-ES"/>
        </w:rPr>
        <w:t>obteniendo de cada una de éstas los informes respectivos que sustenten la existencia, o bien, inexistencia del material documental requerido, lo que deberá hacerse del conocimiento del particular, otorgado así  certeza jurídica al peticionario.</w:t>
      </w:r>
    </w:p>
    <w:p w:rsidR="00EB1F72" w:rsidRDefault="00844330" w:rsidP="00EB1F72">
      <w:pPr>
        <w:spacing w:line="360" w:lineRule="auto"/>
        <w:ind w:right="49"/>
        <w:jc w:val="both"/>
        <w:rPr>
          <w:rFonts w:ascii="Palatino Linotype" w:hAnsi="Palatino Linotype" w:cs="Arial"/>
          <w:lang w:eastAsia="es-ES"/>
        </w:rPr>
      </w:pPr>
      <w:r w:rsidRPr="003B172C">
        <w:rPr>
          <w:rFonts w:ascii="Palatino Linotype" w:hAnsi="Palatino Linotype" w:cs="Arial"/>
          <w:lang w:eastAsia="es-ES"/>
        </w:rPr>
        <w:t xml:space="preserve">No obstante lo anterior, es importante mencionar que </w:t>
      </w:r>
      <w:r w:rsidR="00E70479">
        <w:rPr>
          <w:rFonts w:ascii="Palatino Linotype" w:hAnsi="Palatino Linotype" w:cs="Arial"/>
          <w:lang w:eastAsia="es-ES"/>
        </w:rPr>
        <w:t xml:space="preserve">la servidora pública materia de la solicitud, fue dada de alta en el cargo en fecha 16 de abril de dos mil veintiuno, tal como lo indica el portal de Información Pública de Oficio Mexiquense, para lo cual se inserta la siguiente captura de pantalla: </w:t>
      </w:r>
    </w:p>
    <w:p w:rsidR="00E70479" w:rsidRDefault="00E70479" w:rsidP="00EB1F72">
      <w:pPr>
        <w:spacing w:line="360" w:lineRule="auto"/>
        <w:ind w:right="49"/>
        <w:jc w:val="both"/>
        <w:rPr>
          <w:rFonts w:ascii="Palatino Linotype" w:hAnsi="Palatino Linotype" w:cs="Arial"/>
          <w:lang w:eastAsia="es-ES"/>
        </w:rPr>
      </w:pPr>
      <w:r>
        <w:rPr>
          <w:rFonts w:ascii="Palatino Linotype" w:hAnsi="Palatino Linotype" w:cs="Arial"/>
          <w:noProof/>
          <w:lang w:val="es-MX"/>
        </w:rPr>
        <mc:AlternateContent>
          <mc:Choice Requires="wps">
            <w:drawing>
              <wp:anchor distT="0" distB="0" distL="114300" distR="114300" simplePos="0" relativeHeight="251660288" behindDoc="0" locked="0" layoutInCell="1" allowOverlap="1">
                <wp:simplePos x="0" y="0"/>
                <wp:positionH relativeFrom="column">
                  <wp:posOffset>-3811</wp:posOffset>
                </wp:positionH>
                <wp:positionV relativeFrom="paragraph">
                  <wp:posOffset>41909</wp:posOffset>
                </wp:positionV>
                <wp:extent cx="5229225" cy="2352675"/>
                <wp:effectExtent l="0" t="0" r="28575" b="28575"/>
                <wp:wrapNone/>
                <wp:docPr id="8" name="Conector recto 8"/>
                <wp:cNvGraphicFramePr/>
                <a:graphic xmlns:a="http://schemas.openxmlformats.org/drawingml/2006/main">
                  <a:graphicData uri="http://schemas.microsoft.com/office/word/2010/wordprocessingShape">
                    <wps:wsp>
                      <wps:cNvCnPr/>
                      <wps:spPr>
                        <a:xfrm>
                          <a:off x="0" y="0"/>
                          <a:ext cx="5229225" cy="2352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C4FCAC" id="Conector recto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pt,3.3pt" to="411.45pt,1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" strokecolor="black [3040]"/>
            </w:pict>
          </mc:Fallback>
        </mc:AlternateContent>
      </w:r>
    </w:p>
    <w:p w:rsidR="00E70479" w:rsidRDefault="00E70479" w:rsidP="00EB1F72">
      <w:pPr>
        <w:spacing w:line="360" w:lineRule="auto"/>
        <w:ind w:right="49"/>
        <w:jc w:val="both"/>
        <w:rPr>
          <w:rFonts w:ascii="Palatino Linotype" w:hAnsi="Palatino Linotype" w:cs="Arial"/>
          <w:lang w:eastAsia="es-ES"/>
        </w:rPr>
      </w:pPr>
      <w:r>
        <w:rPr>
          <w:rFonts w:ascii="Palatino Linotype" w:hAnsi="Palatino Linotype" w:cs="Arial"/>
          <w:noProof/>
          <w:lang w:val="es-MX"/>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915035</wp:posOffset>
                </wp:positionV>
                <wp:extent cx="5162550" cy="1066800"/>
                <wp:effectExtent l="57150" t="38100" r="76200" b="95250"/>
                <wp:wrapNone/>
                <wp:docPr id="7" name="Rectángulo 7"/>
                <wp:cNvGraphicFramePr/>
                <a:graphic xmlns:a="http://schemas.openxmlformats.org/drawingml/2006/main">
                  <a:graphicData uri="http://schemas.microsoft.com/office/word/2010/wordprocessingShape">
                    <wps:wsp>
                      <wps:cNvSpPr/>
                      <wps:spPr>
                        <a:xfrm>
                          <a:off x="0" y="0"/>
                          <a:ext cx="5162550" cy="1066800"/>
                        </a:xfrm>
                        <a:prstGeom prst="rect">
                          <a:avLst/>
                        </a:prstGeom>
                        <a:noFill/>
                        <a:ln w="3810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C8202" id="Rectángulo 7" o:spid="_x0000_s1026" style="position:absolute;margin-left:-.3pt;margin-top:72.05pt;width:406.5pt;height: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" filled="f" strokecolor="#002060" strokeweight="3pt">
                <v:shadow on="t" color="black" opacity="22937f" origin=",.5" offset="0,.63889mm"/>
              </v:rect>
            </w:pict>
          </mc:Fallback>
        </mc:AlternateContent>
      </w:r>
      <w:r>
        <w:rPr>
          <w:rFonts w:ascii="Palatino Linotype" w:hAnsi="Palatino Linotype" w:cs="Arial"/>
          <w:noProof/>
          <w:lang w:val="es-MX"/>
        </w:rPr>
        <w:drawing>
          <wp:inline distT="0" distB="0" distL="0" distR="0">
            <wp:extent cx="5162550" cy="45243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2550" cy="4524375"/>
                    </a:xfrm>
                    <a:prstGeom prst="rect">
                      <a:avLst/>
                    </a:prstGeom>
                    <a:noFill/>
                    <a:ln>
                      <a:noFill/>
                    </a:ln>
                  </pic:spPr>
                </pic:pic>
              </a:graphicData>
            </a:graphic>
          </wp:inline>
        </w:drawing>
      </w:r>
    </w:p>
    <w:p w:rsidR="00E70479" w:rsidRDefault="00E70479" w:rsidP="00EB1F72">
      <w:pPr>
        <w:spacing w:line="360" w:lineRule="auto"/>
        <w:ind w:right="49"/>
        <w:jc w:val="both"/>
        <w:rPr>
          <w:rFonts w:ascii="Palatino Linotype" w:hAnsi="Palatino Linotype" w:cs="Arial"/>
          <w:lang w:eastAsia="es-ES"/>
        </w:rPr>
      </w:pPr>
    </w:p>
    <w:p w:rsidR="00CF5784" w:rsidRDefault="00F70D05" w:rsidP="002E2C56">
      <w:pPr>
        <w:spacing w:line="360" w:lineRule="auto"/>
        <w:ind w:right="49"/>
        <w:jc w:val="both"/>
        <w:rPr>
          <w:rFonts w:ascii="Palatino Linotype" w:hAnsi="Palatino Linotype" w:cs="Arial"/>
          <w:lang w:eastAsia="es-ES"/>
        </w:rPr>
      </w:pPr>
      <w:r>
        <w:rPr>
          <w:rFonts w:ascii="Palatino Linotype" w:hAnsi="Palatino Linotype" w:cs="Arial"/>
          <w:lang w:eastAsia="es-ES"/>
        </w:rPr>
        <w:t>Por lo tanto, al contabilizar los meses que la servidora pública lleva desempeñando el encargo hasta la fecha de la presentación de la solicitud, nos da un total de cinco meses, sin embargo, debemos recordar que en su respuesta envió una captura de pantalla de un correo electrónico de presentación de su evaluadora sin que obrara pronunciamiento alguno de la etapa de proceso de certificación en la que se encontraba o si en su defecto, no cuenta con ella</w:t>
      </w:r>
      <w:r w:rsidR="002E2C56">
        <w:rPr>
          <w:rFonts w:ascii="Palatino Linotype" w:hAnsi="Palatino Linotype" w:cs="Arial"/>
          <w:lang w:eastAsia="es-ES"/>
        </w:rPr>
        <w:t xml:space="preserve">, por lo tanto, </w:t>
      </w:r>
      <w:r w:rsidR="00CF5784">
        <w:rPr>
          <w:rFonts w:ascii="Palatino Linotype" w:hAnsi="Palatino Linotype" w:cs="Arial"/>
          <w:lang w:eastAsia="es-ES"/>
        </w:rPr>
        <w:t>se concluye que está en proceso.</w:t>
      </w:r>
    </w:p>
    <w:p w:rsidR="00E70479" w:rsidRDefault="00CF5784" w:rsidP="002E2C56">
      <w:pPr>
        <w:spacing w:line="360" w:lineRule="auto"/>
        <w:ind w:right="49"/>
        <w:jc w:val="both"/>
        <w:rPr>
          <w:rFonts w:ascii="Palatino Linotype" w:hAnsi="Palatino Linotype" w:cs="Arial"/>
          <w:lang w:eastAsia="es-ES"/>
        </w:rPr>
      </w:pPr>
      <w:r>
        <w:rPr>
          <w:rFonts w:ascii="Palatino Linotype" w:hAnsi="Palatino Linotype" w:cs="Arial"/>
          <w:lang w:eastAsia="es-ES"/>
        </w:rPr>
        <w:t xml:space="preserve">Así las cosas, </w:t>
      </w:r>
      <w:r w:rsidR="002E2C56">
        <w:rPr>
          <w:rFonts w:ascii="Palatino Linotype" w:hAnsi="Palatino Linotype" w:cs="Arial"/>
          <w:lang w:eastAsia="es-ES"/>
        </w:rPr>
        <w:t xml:space="preserve">al no existir un mandato expreso de la norma para obtener la certificación en materia de transparencia en un tiempo establecido, </w:t>
      </w:r>
      <w:r>
        <w:rPr>
          <w:rFonts w:ascii="Palatino Linotype" w:hAnsi="Palatino Linotype" w:cs="Arial"/>
          <w:lang w:eastAsia="es-ES"/>
        </w:rPr>
        <w:t xml:space="preserve">por lo que </w:t>
      </w:r>
      <w:r w:rsidR="002E2C56">
        <w:rPr>
          <w:rFonts w:ascii="Palatino Linotype" w:hAnsi="Palatino Linotype" w:cs="Arial"/>
          <w:lang w:eastAsia="es-ES"/>
        </w:rPr>
        <w:t xml:space="preserve">en la circunstancia fáctica de no contar con el soporte documental </w:t>
      </w:r>
      <w:r w:rsidR="002E2C56" w:rsidRPr="002E2C56">
        <w:rPr>
          <w:rFonts w:ascii="Palatino Linotype" w:hAnsi="Palatino Linotype" w:cs="Arial"/>
          <w:lang w:eastAsia="es-ES"/>
        </w:rPr>
        <w:t>requerido</w:t>
      </w:r>
      <w:r>
        <w:rPr>
          <w:rFonts w:ascii="Palatino Linotype" w:hAnsi="Palatino Linotype" w:cs="Arial"/>
          <w:lang w:eastAsia="es-ES"/>
        </w:rPr>
        <w:t xml:space="preserve"> por encontrarse en proceso</w:t>
      </w:r>
      <w:r w:rsidR="002E2C56" w:rsidRPr="002E2C56">
        <w:rPr>
          <w:rFonts w:ascii="Palatino Linotype" w:hAnsi="Palatino Linotype" w:cs="Arial"/>
          <w:lang w:eastAsia="es-ES"/>
        </w:rPr>
        <w:t>, así lo hará saber a la peticionaria de manera clara y precisa.</w:t>
      </w:r>
    </w:p>
    <w:p w:rsidR="00F70D05" w:rsidRDefault="00F70D05" w:rsidP="00EB1F72">
      <w:pPr>
        <w:spacing w:line="360" w:lineRule="auto"/>
        <w:ind w:right="49"/>
        <w:jc w:val="both"/>
        <w:rPr>
          <w:rFonts w:ascii="Palatino Linotype" w:hAnsi="Palatino Linotype" w:cs="Arial"/>
          <w:lang w:eastAsia="es-ES"/>
        </w:rPr>
      </w:pPr>
    </w:p>
    <w:p w:rsidR="003B172C" w:rsidRPr="003B172C" w:rsidRDefault="003B172C" w:rsidP="00EB1F72">
      <w:pPr>
        <w:spacing w:line="360" w:lineRule="auto"/>
        <w:ind w:right="49"/>
        <w:jc w:val="both"/>
        <w:rPr>
          <w:rFonts w:ascii="Palatino Linotype" w:hAnsi="Palatino Linotype" w:cs="Arial"/>
          <w:lang w:eastAsia="es-ES"/>
        </w:rPr>
      </w:pPr>
      <w:r>
        <w:rPr>
          <w:rFonts w:ascii="Palatino Linotype" w:hAnsi="Palatino Linotype"/>
          <w:bCs/>
          <w:color w:val="000000"/>
          <w:szCs w:val="22"/>
        </w:rPr>
        <w:t>No escapa de la óptica de</w:t>
      </w:r>
      <w:r w:rsidRPr="00302CD3">
        <w:rPr>
          <w:rFonts w:ascii="Palatino Linotype" w:hAnsi="Palatino Linotype"/>
          <w:bCs/>
          <w:color w:val="000000"/>
          <w:szCs w:val="22"/>
        </w:rPr>
        <w:t xml:space="preserve"> este Órgano Garante que</w:t>
      </w:r>
      <w:r>
        <w:rPr>
          <w:rFonts w:ascii="Palatino Linotype" w:hAnsi="Palatino Linotype"/>
          <w:bCs/>
          <w:color w:val="000000"/>
          <w:szCs w:val="22"/>
        </w:rPr>
        <w:t xml:space="preserve"> en la foja 3 del archivo electrónico </w:t>
      </w:r>
      <w:r w:rsidRPr="003B172C">
        <w:rPr>
          <w:rFonts w:ascii="Palatino Linotype" w:hAnsi="Palatino Linotype"/>
          <w:bCs/>
          <w:i/>
          <w:color w:val="000000"/>
          <w:szCs w:val="22"/>
        </w:rPr>
        <w:t>“</w:t>
      </w:r>
      <w:r w:rsidRPr="003B172C">
        <w:rPr>
          <w:rFonts w:ascii="Palatino Linotype" w:hAnsi="Palatino Linotype"/>
          <w:b/>
          <w:bCs/>
          <w:i/>
          <w:color w:val="000000"/>
          <w:szCs w:val="22"/>
        </w:rPr>
        <w:t>CONTES_197_doc.pdf”</w:t>
      </w:r>
      <w:r>
        <w:rPr>
          <w:rFonts w:ascii="Palatino Linotype" w:hAnsi="Palatino Linotype"/>
          <w:b/>
          <w:bCs/>
          <w:i/>
          <w:color w:val="000000"/>
          <w:szCs w:val="22"/>
        </w:rPr>
        <w:t xml:space="preserve">, </w:t>
      </w:r>
      <w:r>
        <w:rPr>
          <w:rFonts w:ascii="Palatino Linotype" w:hAnsi="Palatino Linotype"/>
          <w:bCs/>
          <w:color w:val="000000"/>
          <w:szCs w:val="22"/>
        </w:rPr>
        <w:t xml:space="preserve">se dejó visible una dirección de correo electrónico, </w:t>
      </w:r>
      <w:r w:rsidRPr="003B172C">
        <w:rPr>
          <w:rFonts w:ascii="Palatino Linotype" w:eastAsia="Palatino Linotype" w:hAnsi="Palatino Linotype" w:cs="Palatino Linotype"/>
        </w:rPr>
        <w:t xml:space="preserve">de la cual no se tiene certeza si su titular es un servidor público o un particular, ello en razón de que la cuenta no da indicios de pertenecer a alguna institución pública, por el contrario, se encuentra alojada en uno de los servidores de correo electrónico que actualmente operan para utilidad de los particulares, consecuentemente, se estaría vulnerando la esfera privada del titular de la </w:t>
      </w:r>
      <w:r>
        <w:rPr>
          <w:rFonts w:ascii="Palatino Linotype" w:eastAsia="Palatino Linotype" w:hAnsi="Palatino Linotype" w:cs="Palatino Linotype"/>
        </w:rPr>
        <w:t xml:space="preserve">cuenta, </w:t>
      </w:r>
      <w:r w:rsidRPr="003B172C">
        <w:rPr>
          <w:rFonts w:ascii="Palatino Linotype" w:hAnsi="Palatino Linotype"/>
          <w:lang w:val="es-MX" w:eastAsia="es-ES"/>
        </w:rPr>
        <w:t>al consentir la emi</w:t>
      </w:r>
      <w:r w:rsidR="004F33EF">
        <w:rPr>
          <w:rFonts w:ascii="Palatino Linotype" w:hAnsi="Palatino Linotype"/>
          <w:lang w:val="es-MX" w:eastAsia="es-ES"/>
        </w:rPr>
        <w:t>sión de esta respuesta</w:t>
      </w:r>
      <w:r w:rsidRPr="003B172C">
        <w:rPr>
          <w:rFonts w:ascii="Palatino Linotype" w:hAnsi="Palatino Linotype"/>
          <w:lang w:val="es-MX" w:eastAsia="es-ES"/>
        </w:rPr>
        <w:t>.</w:t>
      </w:r>
    </w:p>
    <w:p w:rsidR="00E70479" w:rsidRDefault="003B172C" w:rsidP="003B172C">
      <w:pPr>
        <w:spacing w:before="240" w:after="240" w:line="360" w:lineRule="auto"/>
        <w:jc w:val="both"/>
        <w:rPr>
          <w:rFonts w:ascii="Palatino Linotype" w:hAnsi="Palatino Linotype"/>
          <w:lang w:val="es-MX" w:eastAsia="es-ES"/>
        </w:rPr>
      </w:pPr>
      <w:r w:rsidRPr="003B172C">
        <w:rPr>
          <w:rFonts w:ascii="Palatino Linotype" w:hAnsi="Palatino Linotype"/>
          <w:lang w:val="es-MX" w:eastAsia="es-ES"/>
        </w:rPr>
        <w:t xml:space="preserve">También </w:t>
      </w:r>
      <w:r w:rsidRPr="003B172C">
        <w:rPr>
          <w:rFonts w:ascii="Palatino Linotype" w:hAnsi="Palatino Linotype"/>
          <w:lang w:val="es-ES_tradnl" w:eastAsia="es-ES"/>
        </w:rPr>
        <w:t xml:space="preserve">es importante destacar que deberá hacerse del conocimiento del órgano de control interno de este Órgano Garante sobre las posibles infracciones en que </w:t>
      </w:r>
      <w:r w:rsidRPr="003B172C">
        <w:rPr>
          <w:rFonts w:ascii="Palatino Linotype" w:hAnsi="Palatino Linotype"/>
          <w:b/>
          <w:lang w:val="es-ES_tradnl" w:eastAsia="es-ES"/>
        </w:rPr>
        <w:t>El </w:t>
      </w:r>
      <w:r w:rsidRPr="003B172C">
        <w:rPr>
          <w:rFonts w:ascii="Palatino Linotype" w:hAnsi="Palatino Linotype"/>
          <w:b/>
          <w:bCs/>
          <w:lang w:val="es-ES_tradnl" w:eastAsia="es-ES"/>
        </w:rPr>
        <w:t>Sujeto Obligado</w:t>
      </w:r>
      <w:r>
        <w:rPr>
          <w:rFonts w:ascii="Palatino Linotype" w:hAnsi="Palatino Linotype"/>
          <w:lang w:val="es-ES_tradnl" w:eastAsia="es-ES"/>
        </w:rPr>
        <w:t> incurrió, al dejar visible un</w:t>
      </w:r>
      <w:r>
        <w:rPr>
          <w:rFonts w:ascii="Palatino Linotype" w:hAnsi="Palatino Linotype"/>
          <w:lang w:val="es-MX" w:eastAsia="es-ES"/>
        </w:rPr>
        <w:t xml:space="preserve"> dato personal susceptible</w:t>
      </w:r>
      <w:r w:rsidRPr="003B172C">
        <w:rPr>
          <w:rFonts w:ascii="Palatino Linotype" w:hAnsi="Palatino Linotype"/>
          <w:lang w:val="es-MX" w:eastAsia="es-ES"/>
        </w:rPr>
        <w:t xml:space="preserve"> en ser considerados confidenciales en la respuesta</w:t>
      </w:r>
      <w:r w:rsidR="00BA5D23">
        <w:rPr>
          <w:rFonts w:ascii="Palatino Linotype" w:hAnsi="Palatino Linotype"/>
          <w:lang w:val="es-MX" w:eastAsia="es-ES"/>
        </w:rPr>
        <w:t>, ello con fundamento en el artículo 190 de la Ley de Transparencia y Acceso a la Información Pública del Estado de México y Municipios</w:t>
      </w:r>
      <w:r w:rsidRPr="003B172C">
        <w:rPr>
          <w:rFonts w:ascii="Palatino Linotype" w:hAnsi="Palatino Linotype"/>
          <w:lang w:val="es-MX" w:eastAsia="es-ES"/>
        </w:rPr>
        <w:t>.</w:t>
      </w:r>
    </w:p>
    <w:p w:rsidR="00EB1F72" w:rsidRPr="00EB1F72" w:rsidRDefault="00EB1F72" w:rsidP="00EB1F72">
      <w:pPr>
        <w:widowControl w:val="0"/>
        <w:autoSpaceDE w:val="0"/>
        <w:autoSpaceDN w:val="0"/>
        <w:adjustRightInd w:val="0"/>
        <w:spacing w:before="240" w:after="240" w:line="360" w:lineRule="auto"/>
        <w:jc w:val="both"/>
        <w:rPr>
          <w:rFonts w:ascii="Palatino Linotype" w:hAnsi="Palatino Linotype"/>
          <w:bCs/>
        </w:rPr>
      </w:pPr>
      <w:r>
        <w:rPr>
          <w:rFonts w:ascii="Palatino Linotype" w:hAnsi="Palatino Linotype"/>
          <w:bCs/>
        </w:rPr>
        <w:t>Finalmente debe apuntarse que por</w:t>
      </w:r>
      <w:r w:rsidRPr="003B172C">
        <w:rPr>
          <w:rFonts w:ascii="Palatino Linotype" w:hAnsi="Palatino Linotype"/>
          <w:bCs/>
        </w:rPr>
        <w:t xml:space="preserve"> cuanto </w:t>
      </w:r>
      <w:r>
        <w:rPr>
          <w:rFonts w:ascii="Palatino Linotype" w:hAnsi="Palatino Linotype"/>
          <w:bCs/>
        </w:rPr>
        <w:t xml:space="preserve">hace </w:t>
      </w:r>
      <w:r w:rsidRPr="003B172C">
        <w:rPr>
          <w:rFonts w:ascii="Palatino Linotype" w:hAnsi="Palatino Linotype"/>
          <w:bCs/>
        </w:rPr>
        <w:t>a la información que en todo caso el ente obligado entregará a</w:t>
      </w:r>
      <w:r w:rsidR="004F33EF">
        <w:rPr>
          <w:rFonts w:ascii="Palatino Linotype" w:hAnsi="Palatino Linotype"/>
          <w:bCs/>
        </w:rPr>
        <w:t xml:space="preserve"> la</w:t>
      </w:r>
      <w:r w:rsidRPr="003B172C">
        <w:rPr>
          <w:rFonts w:ascii="Palatino Linotype" w:hAnsi="Palatino Linotype"/>
          <w:bCs/>
        </w:rPr>
        <w:t xml:space="preserve"> particular, deberá expedirla en versión pública</w:t>
      </w:r>
      <w:r w:rsidR="004F33EF">
        <w:rPr>
          <w:rFonts w:ascii="Palatino Linotype" w:hAnsi="Palatino Linotype"/>
          <w:bCs/>
        </w:rPr>
        <w:t>, de ser procedente</w:t>
      </w:r>
      <w:r w:rsidRPr="003B172C">
        <w:rPr>
          <w:rFonts w:ascii="Palatino Linotype" w:hAnsi="Palatino Linotype"/>
          <w:bCs/>
        </w:rPr>
        <w:t xml:space="preserve"> conforme a lo </w:t>
      </w:r>
      <w:r w:rsidR="004F33EF">
        <w:rPr>
          <w:rFonts w:ascii="Palatino Linotype" w:hAnsi="Palatino Linotype"/>
          <w:bCs/>
        </w:rPr>
        <w:t xml:space="preserve">dispuesto en el Considerando </w:t>
      </w:r>
      <w:r w:rsidRPr="003B172C">
        <w:rPr>
          <w:rFonts w:ascii="Palatino Linotype" w:hAnsi="Palatino Linotype"/>
          <w:bCs/>
        </w:rPr>
        <w:t>siguiente.</w:t>
      </w:r>
    </w:p>
    <w:p w:rsidR="00844330" w:rsidRPr="00844330" w:rsidRDefault="00844330" w:rsidP="004F33EF">
      <w:pPr>
        <w:spacing w:line="360" w:lineRule="auto"/>
        <w:ind w:right="49"/>
        <w:jc w:val="both"/>
        <w:rPr>
          <w:rFonts w:ascii="Palatino Linotype" w:hAnsi="Palatino Linotype" w:cs="Arial"/>
        </w:rPr>
      </w:pPr>
      <w:r w:rsidRPr="00844330">
        <w:rPr>
          <w:rFonts w:ascii="Palatino Linotype" w:hAnsi="Palatino Linotype" w:cs="Arial"/>
          <w:b/>
          <w:szCs w:val="28"/>
          <w:lang w:eastAsia="es-ES"/>
        </w:rPr>
        <w:t xml:space="preserve">Quinto. Versión Pública. </w:t>
      </w:r>
      <w:r w:rsidRPr="00844330">
        <w:rPr>
          <w:rFonts w:ascii="Palatino Linotype" w:hAnsi="Palatino Linotype" w:cs="Arial"/>
          <w:bCs/>
          <w:lang w:eastAsia="es-ES"/>
        </w:rPr>
        <w:t xml:space="preserve">Como fue debidamente apuntado, el </w:t>
      </w:r>
      <w:r w:rsidR="004F33EF" w:rsidRPr="00844330">
        <w:rPr>
          <w:rFonts w:ascii="Palatino Linotype" w:hAnsi="Palatino Linotype" w:cs="Arial"/>
          <w:b/>
          <w:bCs/>
          <w:lang w:eastAsia="es-ES"/>
        </w:rPr>
        <w:t>Sujeto Obligado</w:t>
      </w:r>
      <w:r w:rsidRPr="00844330">
        <w:rPr>
          <w:rFonts w:ascii="Palatino Linotype" w:hAnsi="Palatino Linotype" w:cs="Arial"/>
          <w:bCs/>
          <w:lang w:eastAsia="es-ES"/>
        </w:rPr>
        <w:t xml:space="preserve"> debe satisfacer la solicitud de acceso a la información del peticionario, sin embargo, por cuanto hace la documentación que en todo caso entregará al </w:t>
      </w:r>
      <w:r w:rsidR="004F33EF" w:rsidRPr="00844330">
        <w:rPr>
          <w:rFonts w:ascii="Palatino Linotype" w:hAnsi="Palatino Linotype" w:cs="Arial"/>
          <w:b/>
          <w:bCs/>
          <w:lang w:eastAsia="es-ES"/>
        </w:rPr>
        <w:t>Recurrente</w:t>
      </w:r>
      <w:r w:rsidRPr="00844330">
        <w:rPr>
          <w:rFonts w:ascii="Palatino Linotype" w:hAnsi="Palatino Linotype" w:cs="Arial"/>
          <w:b/>
          <w:bCs/>
          <w:lang w:eastAsia="es-ES"/>
        </w:rPr>
        <w:t>,</w:t>
      </w:r>
      <w:r w:rsidRPr="00844330">
        <w:rPr>
          <w:rFonts w:ascii="Palatino Linotype" w:hAnsi="Palatino Linotype" w:cs="Arial"/>
          <w:bCs/>
          <w:lang w:eastAsia="es-ES"/>
        </w:rPr>
        <w:t xml:space="preserve"> deberá hacerse</w:t>
      </w:r>
      <w:r w:rsidRPr="00844330">
        <w:rPr>
          <w:rFonts w:ascii="Palatino Linotype" w:eastAsia="Arial Unicode MS" w:hAnsi="Palatino Linotype" w:cs="Arial"/>
          <w:lang w:eastAsia="es-ES"/>
        </w:rPr>
        <w:t xml:space="preserve"> en </w:t>
      </w:r>
      <w:r w:rsidRPr="00844330">
        <w:rPr>
          <w:rFonts w:ascii="Palatino Linotype" w:eastAsia="Arial Unicode MS" w:hAnsi="Palatino Linotype" w:cs="Arial"/>
          <w:b/>
          <w:u w:val="single"/>
          <w:lang w:eastAsia="es-ES"/>
        </w:rPr>
        <w:t>versión pública</w:t>
      </w:r>
      <w:r w:rsidRPr="00844330">
        <w:rPr>
          <w:rFonts w:ascii="Palatino Linotype" w:eastAsia="Arial Unicode MS" w:hAnsi="Palatino Linotype" w:cs="Arial"/>
          <w:lang w:eastAsia="es-ES"/>
        </w:rPr>
        <w:t>, esto es, omitirá, eliminará o suprimirá la información personal de los servidores públicos sujetos a evaluación, e</w:t>
      </w:r>
      <w:r w:rsidRPr="00844330">
        <w:rPr>
          <w:rFonts w:ascii="Palatino Linotype" w:hAnsi="Palatino Linotype"/>
          <w:lang w:eastAsia="es-ES"/>
        </w:rPr>
        <w:t xml:space="preserve">n el  caso específico en dichos documentos pueden obran datos que son considerados confidenciales, cuyo acceso debe ser restringido, los cuales </w:t>
      </w:r>
      <w:r w:rsidRPr="00844330">
        <w:rPr>
          <w:rFonts w:ascii="Palatino Linotype" w:hAnsi="Palatino Linotype" w:cs="Arial"/>
          <w:lang w:eastAsia="es-ES"/>
        </w:rPr>
        <w:t xml:space="preserve">deben testarse al momento de la elaboración de versiones públicas, como es el caso </w:t>
      </w:r>
      <w:r w:rsidR="004F33EF">
        <w:rPr>
          <w:rFonts w:ascii="Palatino Linotype" w:hAnsi="Palatino Linotype" w:cs="Arial"/>
          <w:lang w:eastAsia="es-ES"/>
        </w:rPr>
        <w:t xml:space="preserve"> de</w:t>
      </w:r>
      <w:r w:rsidR="004F33EF">
        <w:rPr>
          <w:rFonts w:ascii="Palatino Linotype" w:hAnsi="Palatino Linotype" w:cs="Arial"/>
        </w:rPr>
        <w:t xml:space="preserve"> </w:t>
      </w:r>
      <w:r w:rsidRPr="00844330">
        <w:rPr>
          <w:rFonts w:ascii="Palatino Linotype" w:hAnsi="Palatino Linotype" w:cs="Arial"/>
        </w:rPr>
        <w:t xml:space="preserve">la </w:t>
      </w:r>
      <w:r w:rsidRPr="00844330">
        <w:rPr>
          <w:rFonts w:ascii="Palatino Linotype" w:hAnsi="Palatino Linotype" w:cs="Arial"/>
          <w:b/>
          <w:lang w:eastAsia="es-ES"/>
        </w:rPr>
        <w:t xml:space="preserve">Clave Única de Registro de Población, </w:t>
      </w:r>
      <w:r w:rsidRPr="00844330">
        <w:rPr>
          <w:rFonts w:ascii="Palatino Linotype" w:hAnsi="Palatino Linotype" w:cs="Aria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844330" w:rsidRPr="00844330" w:rsidRDefault="00844330" w:rsidP="00844330">
      <w:pPr>
        <w:ind w:right="-93"/>
        <w:jc w:val="both"/>
        <w:rPr>
          <w:rFonts w:ascii="Palatino Linotype" w:hAnsi="Palatino Linotype" w:cs="Arial"/>
          <w:sz w:val="16"/>
          <w:szCs w:val="16"/>
        </w:rPr>
      </w:pPr>
    </w:p>
    <w:p w:rsidR="00844330" w:rsidRPr="00844330" w:rsidRDefault="00844330" w:rsidP="00844330">
      <w:pPr>
        <w:spacing w:line="360" w:lineRule="auto"/>
        <w:ind w:right="-93"/>
        <w:jc w:val="both"/>
        <w:rPr>
          <w:rFonts w:ascii="Palatino Linotype" w:hAnsi="Palatino Linotype" w:cs="Arial"/>
        </w:rPr>
      </w:pPr>
      <w:r w:rsidRPr="00844330">
        <w:rPr>
          <w:rFonts w:ascii="Palatino Linotype" w:hAnsi="Palatino Linotype" w:cs="Arial"/>
        </w:rPr>
        <w:t>Lo anterior, tiene sustento en los artículos 86 y 91 de la Ley General de Población, la cual señala lo siguiente:</w:t>
      </w:r>
    </w:p>
    <w:p w:rsidR="00844330" w:rsidRPr="00844330" w:rsidRDefault="00844330" w:rsidP="00844330">
      <w:pPr>
        <w:spacing w:before="120" w:after="120" w:line="276" w:lineRule="auto"/>
        <w:ind w:left="851" w:right="900"/>
        <w:jc w:val="both"/>
        <w:rPr>
          <w:rFonts w:ascii="Palatino Linotype" w:hAnsi="Palatino Linotype" w:cs="Arial"/>
          <w:i/>
          <w:sz w:val="22"/>
        </w:rPr>
      </w:pPr>
      <w:r w:rsidRPr="00844330">
        <w:rPr>
          <w:rFonts w:ascii="Palatino Linotype" w:hAnsi="Palatino Linotype" w:cs="Arial,Bold"/>
          <w:b/>
          <w:bCs/>
          <w:i/>
          <w:sz w:val="22"/>
        </w:rPr>
        <w:t xml:space="preserve">“Artículo 86. </w:t>
      </w:r>
      <w:r w:rsidRPr="00844330">
        <w:rPr>
          <w:rFonts w:ascii="Palatino Linotype" w:hAnsi="Palatino Linotype" w:cs="Arial"/>
          <w:i/>
          <w:sz w:val="22"/>
        </w:rPr>
        <w:t xml:space="preserve">El </w:t>
      </w:r>
      <w:r w:rsidRPr="00844330">
        <w:rPr>
          <w:rFonts w:ascii="Palatino Linotype" w:hAnsi="Palatino Linotype" w:cs="Arial"/>
          <w:i/>
          <w:sz w:val="22"/>
          <w:szCs w:val="22"/>
          <w:lang w:eastAsia="es-ES"/>
        </w:rPr>
        <w:t>Registro</w:t>
      </w:r>
      <w:r w:rsidRPr="00844330">
        <w:rPr>
          <w:rFonts w:ascii="Palatino Linotype" w:hAnsi="Palatino Linotype" w:cs="Arial"/>
          <w:i/>
          <w:sz w:val="22"/>
        </w:rPr>
        <w:t xml:space="preserve"> Nacional </w:t>
      </w:r>
      <w:r w:rsidRPr="00844330">
        <w:rPr>
          <w:rFonts w:ascii="Palatino Linotype" w:hAnsi="Palatino Linotype" w:cs="Arial"/>
          <w:i/>
          <w:sz w:val="22"/>
          <w:lang w:eastAsia="es-ES"/>
        </w:rPr>
        <w:t>de</w:t>
      </w:r>
      <w:r w:rsidRPr="00844330">
        <w:rPr>
          <w:rFonts w:ascii="Palatino Linotype" w:hAnsi="Palatino Linotype" w:cs="Arial"/>
          <w:i/>
          <w:sz w:val="22"/>
        </w:rPr>
        <w:t xml:space="preserve"> Población tiene como finalidad registrar a cada una de las personas que integran la población del país, con los datos que permitan certificar y acreditar fehacientemente su identidad.</w:t>
      </w:r>
    </w:p>
    <w:p w:rsidR="00844330" w:rsidRPr="00844330" w:rsidRDefault="00844330" w:rsidP="00844330">
      <w:pPr>
        <w:spacing w:before="120" w:after="120" w:line="276" w:lineRule="auto"/>
        <w:ind w:left="851" w:right="900"/>
        <w:jc w:val="both"/>
        <w:rPr>
          <w:rFonts w:ascii="Palatino Linotype" w:hAnsi="Palatino Linotype" w:cs="Arial"/>
          <w:i/>
          <w:sz w:val="22"/>
        </w:rPr>
      </w:pPr>
      <w:r w:rsidRPr="00844330">
        <w:rPr>
          <w:rFonts w:ascii="Palatino Linotype" w:hAnsi="Palatino Linotype" w:cs="Arial,Bold"/>
          <w:b/>
          <w:bCs/>
          <w:i/>
          <w:sz w:val="22"/>
        </w:rPr>
        <w:t xml:space="preserve">Artículo 91. </w:t>
      </w:r>
      <w:r w:rsidRPr="00844330">
        <w:rPr>
          <w:rFonts w:ascii="Palatino Linotype" w:hAnsi="Palatino Linotype" w:cs="Arial"/>
          <w:i/>
          <w:sz w:val="22"/>
        </w:rPr>
        <w:t xml:space="preserve">Al incorporar a una persona en el Registro Nacional de Población, se le asignará una clave que se denominará </w:t>
      </w:r>
      <w:r w:rsidRPr="00844330">
        <w:rPr>
          <w:rFonts w:ascii="Palatino Linotype" w:hAnsi="Palatino Linotype" w:cs="Arial"/>
          <w:i/>
          <w:sz w:val="22"/>
          <w:szCs w:val="22"/>
          <w:lang w:eastAsia="es-ES"/>
        </w:rPr>
        <w:t>Clave</w:t>
      </w:r>
      <w:r w:rsidRPr="00844330">
        <w:rPr>
          <w:rFonts w:ascii="Palatino Linotype" w:hAnsi="Palatino Linotype" w:cs="Arial"/>
          <w:i/>
          <w:sz w:val="22"/>
        </w:rPr>
        <w:t xml:space="preserve"> Única de Registro de Población. Esta servirá para registrarla e identificarla en forma </w:t>
      </w:r>
      <w:r w:rsidRPr="00844330">
        <w:rPr>
          <w:rFonts w:ascii="Palatino Linotype" w:hAnsi="Palatino Linotype" w:cs="Arial"/>
          <w:i/>
          <w:sz w:val="22"/>
          <w:lang w:eastAsia="es-ES"/>
        </w:rPr>
        <w:t>individual</w:t>
      </w:r>
      <w:r w:rsidRPr="00844330">
        <w:rPr>
          <w:rFonts w:ascii="Palatino Linotype" w:hAnsi="Palatino Linotype" w:cs="Arial"/>
          <w:i/>
          <w:sz w:val="22"/>
        </w:rPr>
        <w:t>.”</w:t>
      </w:r>
    </w:p>
    <w:p w:rsidR="00844330" w:rsidRPr="00844330" w:rsidRDefault="00844330" w:rsidP="00844330">
      <w:pPr>
        <w:shd w:val="clear" w:color="auto" w:fill="FFFFFF"/>
        <w:jc w:val="both"/>
        <w:rPr>
          <w:rFonts w:ascii="Palatino Linotype" w:hAnsi="Palatino Linotype"/>
          <w:sz w:val="16"/>
          <w:szCs w:val="16"/>
        </w:rPr>
      </w:pPr>
    </w:p>
    <w:p w:rsidR="00844330" w:rsidRPr="00844330" w:rsidRDefault="00844330" w:rsidP="00844330">
      <w:pPr>
        <w:shd w:val="clear" w:color="auto" w:fill="FFFFFF"/>
        <w:spacing w:line="360" w:lineRule="auto"/>
        <w:jc w:val="both"/>
        <w:rPr>
          <w:rFonts w:ascii="Palatino Linotype" w:hAnsi="Palatino Linotype"/>
        </w:rPr>
      </w:pPr>
      <w:r w:rsidRPr="00844330">
        <w:rPr>
          <w:rFonts w:ascii="Palatino Linotype" w:hAnsi="Palatino Linotype"/>
        </w:rPr>
        <w:t xml:space="preserve">Ahora bien, por cuanto a  la Clave Única de Registro de Población CURP, está integrada por  18 elementos representados por letras y números, que se generan a partir de los datos contenidos en un documento probatorio de identidad (acta de nacimiento, carta de naturalización o documento migratorio), la cual se integra con </w:t>
      </w:r>
      <w:r w:rsidRPr="00844330">
        <w:rPr>
          <w:rFonts w:ascii="Palatino Linotype" w:hAnsi="Palatino Linotype" w:cs="Arial"/>
        </w:rPr>
        <w:t>la primera letra del apellido paterno; seguida de la primera letra vocal del primer apellido; seguida de la primera letra del segundo apellido y por último la primera letra del nombre; fecha de nacimiento año/mes/día</w:t>
      </w:r>
      <w:r w:rsidRPr="00844330">
        <w:rPr>
          <w:rFonts w:ascii="Palatino Linotype" w:hAnsi="Palatino Linotype"/>
        </w:rPr>
        <w:t xml:space="preserve">; sexo; entidad federativa o lugar de nacimiento; finalmente una homoclave o digito verificador, compuesto de dos elementos, con el que se evitan duplicaciones en la Clave, identifican el cambio de siglo y garantizan la correcta integración. </w:t>
      </w:r>
    </w:p>
    <w:p w:rsidR="00844330" w:rsidRPr="00844330" w:rsidRDefault="00844330" w:rsidP="00844330">
      <w:pPr>
        <w:spacing w:line="360" w:lineRule="auto"/>
        <w:ind w:right="-91"/>
        <w:jc w:val="both"/>
        <w:rPr>
          <w:rFonts w:ascii="Palatino Linotype" w:hAnsi="Palatino Linotype" w:cs="Arial"/>
          <w:sz w:val="16"/>
          <w:szCs w:val="16"/>
        </w:rPr>
      </w:pPr>
    </w:p>
    <w:p w:rsidR="00844330" w:rsidRPr="00844330" w:rsidRDefault="00844330" w:rsidP="00844330">
      <w:pPr>
        <w:spacing w:line="360" w:lineRule="auto"/>
        <w:ind w:right="-91"/>
        <w:jc w:val="both"/>
        <w:rPr>
          <w:rFonts w:ascii="Palatino Linotype" w:hAnsi="Palatino Linotype" w:cs="Arial"/>
        </w:rPr>
      </w:pPr>
      <w:r w:rsidRPr="00844330">
        <w:rPr>
          <w:rFonts w:ascii="Palatino Linotype" w:hAnsi="Palatino Linotype" w:cs="Arial"/>
        </w:rPr>
        <w:t>Al respecto, el INAI a través del Criterio 18/17, señala literalmente lo siguiente:</w:t>
      </w:r>
    </w:p>
    <w:p w:rsidR="00844330" w:rsidRPr="00844330" w:rsidRDefault="00844330" w:rsidP="00844330">
      <w:pPr>
        <w:spacing w:before="120" w:after="120"/>
        <w:ind w:left="851" w:right="900"/>
        <w:jc w:val="both"/>
        <w:rPr>
          <w:rFonts w:ascii="Palatino Linotype" w:hAnsi="Palatino Linotype" w:cs="Arial"/>
          <w:i/>
          <w:sz w:val="22"/>
        </w:rPr>
      </w:pPr>
      <w:r w:rsidRPr="00844330">
        <w:rPr>
          <w:rFonts w:ascii="Palatino Linotype" w:hAnsi="Palatino Linotype" w:cs="Arial"/>
          <w:b/>
          <w:bCs/>
          <w:i/>
          <w:sz w:val="22"/>
        </w:rPr>
        <w:t>“Clave Única de Registro de Población (CURP)</w:t>
      </w:r>
      <w:r w:rsidRPr="00844330">
        <w:rPr>
          <w:rFonts w:ascii="Palatino Linotype" w:hAnsi="Palatino Linotype" w:cs="Arial"/>
          <w:i/>
          <w:sz w:val="22"/>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844330" w:rsidRPr="00844330" w:rsidRDefault="00844330" w:rsidP="00844330">
      <w:pPr>
        <w:spacing w:before="120" w:after="120"/>
        <w:ind w:left="851" w:right="900"/>
        <w:jc w:val="both"/>
        <w:rPr>
          <w:rFonts w:ascii="Palatino Linotype" w:hAnsi="Palatino Linotype" w:cs="Arial"/>
          <w:i/>
          <w:sz w:val="22"/>
        </w:rPr>
      </w:pPr>
    </w:p>
    <w:p w:rsidR="00844330" w:rsidRPr="00844330" w:rsidRDefault="00844330" w:rsidP="00844330">
      <w:pPr>
        <w:spacing w:before="120" w:after="120"/>
        <w:ind w:left="851" w:right="900"/>
        <w:jc w:val="both"/>
        <w:rPr>
          <w:rFonts w:ascii="Palatino Linotype" w:hAnsi="Palatino Linotype" w:cs="Arial"/>
          <w:b/>
          <w:i/>
          <w:sz w:val="22"/>
        </w:rPr>
      </w:pPr>
      <w:r w:rsidRPr="00844330">
        <w:rPr>
          <w:rFonts w:ascii="Palatino Linotype" w:hAnsi="Palatino Linotype" w:cs="Arial"/>
          <w:b/>
          <w:i/>
          <w:sz w:val="22"/>
        </w:rPr>
        <w:t>Resoluciones:</w:t>
      </w:r>
    </w:p>
    <w:p w:rsidR="00844330" w:rsidRPr="00844330" w:rsidRDefault="00844330" w:rsidP="00844330">
      <w:pPr>
        <w:spacing w:before="120" w:after="120"/>
        <w:ind w:left="851" w:right="900"/>
        <w:jc w:val="both"/>
        <w:rPr>
          <w:rFonts w:ascii="Palatino Linotype" w:hAnsi="Palatino Linotype" w:cs="Arial"/>
          <w:i/>
          <w:sz w:val="22"/>
        </w:rPr>
      </w:pPr>
      <w:r w:rsidRPr="00844330">
        <w:rPr>
          <w:rFonts w:ascii="Palatino Linotype" w:hAnsi="Palatino Linotype" w:cs="Arial"/>
          <w:i/>
          <w:sz w:val="22"/>
        </w:rPr>
        <w:t>•</w:t>
      </w:r>
      <w:r w:rsidRPr="00844330">
        <w:rPr>
          <w:rFonts w:ascii="Palatino Linotype" w:hAnsi="Palatino Linotype" w:cs="Arial"/>
          <w:i/>
          <w:sz w:val="22"/>
        </w:rPr>
        <w:tab/>
      </w:r>
      <w:r w:rsidRPr="00844330">
        <w:rPr>
          <w:rFonts w:ascii="Palatino Linotype" w:hAnsi="Palatino Linotype" w:cs="Arial"/>
          <w:b/>
          <w:i/>
          <w:sz w:val="22"/>
        </w:rPr>
        <w:t>RRA 3995/16</w:t>
      </w:r>
      <w:r w:rsidRPr="00844330">
        <w:rPr>
          <w:rFonts w:ascii="Palatino Linotype" w:hAnsi="Palatino Linotype" w:cs="Arial"/>
          <w:i/>
          <w:sz w:val="22"/>
        </w:rPr>
        <w:t>. Secretaría de la Defensa Nacional. 1 de febrero de 2017. Por unanimidad. Comisionado Ponente Rosendoevgueni Monterrey Chepov.</w:t>
      </w:r>
    </w:p>
    <w:p w:rsidR="00844330" w:rsidRPr="00844330" w:rsidRDefault="00844330" w:rsidP="00844330">
      <w:pPr>
        <w:spacing w:before="120" w:after="120"/>
        <w:ind w:left="851" w:right="900"/>
        <w:jc w:val="both"/>
        <w:rPr>
          <w:rFonts w:ascii="Palatino Linotype" w:hAnsi="Palatino Linotype" w:cs="Arial"/>
          <w:i/>
          <w:sz w:val="22"/>
        </w:rPr>
      </w:pPr>
      <w:r w:rsidRPr="00844330">
        <w:rPr>
          <w:rFonts w:ascii="Palatino Linotype" w:hAnsi="Palatino Linotype" w:cs="Arial"/>
          <w:i/>
          <w:sz w:val="22"/>
        </w:rPr>
        <w:t>•</w:t>
      </w:r>
      <w:r w:rsidRPr="00844330">
        <w:rPr>
          <w:rFonts w:ascii="Palatino Linotype" w:hAnsi="Palatino Linotype" w:cs="Arial"/>
          <w:i/>
          <w:sz w:val="22"/>
        </w:rPr>
        <w:tab/>
      </w:r>
      <w:r w:rsidRPr="00844330">
        <w:rPr>
          <w:rFonts w:ascii="Palatino Linotype" w:hAnsi="Palatino Linotype" w:cs="Arial"/>
          <w:b/>
          <w:i/>
          <w:sz w:val="22"/>
        </w:rPr>
        <w:t>RRA 0937/17</w:t>
      </w:r>
      <w:r w:rsidRPr="00844330">
        <w:rPr>
          <w:rFonts w:ascii="Palatino Linotype" w:hAnsi="Palatino Linotype" w:cs="Arial"/>
          <w:i/>
          <w:sz w:val="22"/>
        </w:rPr>
        <w:t xml:space="preserve">. Senado de la República. 15 de marzo de 2017. Por unanimidad. Comisionada Ponente Ximena Puente de la Mora. </w:t>
      </w:r>
    </w:p>
    <w:p w:rsidR="00844330" w:rsidRPr="00844330" w:rsidRDefault="00844330" w:rsidP="00844330">
      <w:pPr>
        <w:spacing w:before="120" w:after="120"/>
        <w:ind w:left="851" w:right="900"/>
        <w:jc w:val="both"/>
        <w:rPr>
          <w:rFonts w:ascii="Palatino Linotype" w:hAnsi="Palatino Linotype" w:cs="Arial"/>
          <w:sz w:val="22"/>
        </w:rPr>
      </w:pPr>
      <w:r w:rsidRPr="00844330">
        <w:rPr>
          <w:rFonts w:ascii="Palatino Linotype" w:hAnsi="Palatino Linotype" w:cs="Arial"/>
          <w:i/>
          <w:sz w:val="22"/>
        </w:rPr>
        <w:t>•</w:t>
      </w:r>
      <w:r w:rsidRPr="00844330">
        <w:rPr>
          <w:rFonts w:ascii="Palatino Linotype" w:hAnsi="Palatino Linotype" w:cs="Arial"/>
          <w:i/>
          <w:sz w:val="22"/>
        </w:rPr>
        <w:tab/>
      </w:r>
      <w:r w:rsidRPr="00844330">
        <w:rPr>
          <w:rFonts w:ascii="Palatino Linotype" w:hAnsi="Palatino Linotype" w:cs="Arial"/>
          <w:b/>
          <w:i/>
          <w:sz w:val="22"/>
        </w:rPr>
        <w:t>RRA 0478/17</w:t>
      </w:r>
      <w:r w:rsidRPr="00844330">
        <w:rPr>
          <w:rFonts w:ascii="Palatino Linotype" w:hAnsi="Palatino Linotype" w:cs="Arial"/>
          <w:i/>
          <w:sz w:val="22"/>
        </w:rPr>
        <w:t>. Secretaría de Relaciones Exteriores. 26 de abril de 2017. Por unanimidad. Comisionada Ponente Areli Cano Guadiana.</w:t>
      </w:r>
      <w:r w:rsidRPr="00844330">
        <w:rPr>
          <w:rFonts w:ascii="Palatino Linotype" w:hAnsi="Palatino Linotype" w:cs="Arial"/>
          <w:i/>
          <w:sz w:val="22"/>
          <w:szCs w:val="22"/>
          <w:lang w:eastAsia="es-ES"/>
        </w:rPr>
        <w:t>”</w:t>
      </w:r>
    </w:p>
    <w:p w:rsidR="00844330" w:rsidRPr="00844330" w:rsidRDefault="00844330" w:rsidP="00844330">
      <w:pPr>
        <w:spacing w:line="360" w:lineRule="auto"/>
        <w:ind w:left="851" w:right="900"/>
        <w:jc w:val="both"/>
        <w:rPr>
          <w:rFonts w:ascii="Palatino Linotype" w:hAnsi="Palatino Linotype" w:cs="Arial"/>
          <w:sz w:val="16"/>
          <w:szCs w:val="16"/>
        </w:rPr>
      </w:pPr>
    </w:p>
    <w:p w:rsidR="00844330" w:rsidRPr="00844330" w:rsidRDefault="00844330" w:rsidP="00844330">
      <w:pPr>
        <w:spacing w:line="360" w:lineRule="auto"/>
        <w:ind w:right="-93"/>
        <w:jc w:val="both"/>
        <w:rPr>
          <w:rFonts w:ascii="Palatino Linotype" w:hAnsi="Palatino Linotype" w:cs="Arial"/>
        </w:rPr>
      </w:pPr>
      <w:r w:rsidRPr="00844330">
        <w:rPr>
          <w:rFonts w:ascii="Palatino Linotype" w:hAnsi="Palatino Linotype" w:cs="Arial"/>
        </w:rPr>
        <w:t xml:space="preserve">De lo anterior, se desprende que la </w:t>
      </w:r>
      <w:r w:rsidRPr="00844330">
        <w:rPr>
          <w:rFonts w:ascii="Palatino Linotype" w:hAnsi="Palatino Linotype"/>
        </w:rPr>
        <w:t xml:space="preserve">Clave Única de Registro de Población, </w:t>
      </w:r>
      <w:r w:rsidRPr="00844330">
        <w:rPr>
          <w:rFonts w:ascii="Palatino Linotype" w:hAnsi="Palatino Linotype" w:cs="Arial"/>
        </w:rPr>
        <w:t>se encuentra vinculado al nombre de la persona, permitiendo identificar la edad, fecha de nacimiento, sexo, lugar de nacimiento, así como su homoclave;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844330" w:rsidRPr="00844330" w:rsidRDefault="00844330" w:rsidP="00844330">
      <w:pPr>
        <w:ind w:right="-93"/>
        <w:jc w:val="both"/>
        <w:rPr>
          <w:rFonts w:ascii="Palatino Linotype" w:hAnsi="Palatino Linotype" w:cs="Arial"/>
          <w:sz w:val="16"/>
          <w:szCs w:val="16"/>
        </w:rPr>
      </w:pPr>
    </w:p>
    <w:p w:rsidR="00844330" w:rsidRPr="00844330" w:rsidRDefault="00844330" w:rsidP="00844330">
      <w:pPr>
        <w:autoSpaceDE w:val="0"/>
        <w:autoSpaceDN w:val="0"/>
        <w:adjustRightInd w:val="0"/>
        <w:spacing w:line="360" w:lineRule="auto"/>
        <w:jc w:val="both"/>
        <w:rPr>
          <w:rFonts w:ascii="Palatino Linotype" w:hAnsi="Palatino Linotype" w:cs="Arial"/>
          <w:lang w:val="es-ES_tradnl" w:eastAsia="es-ES"/>
        </w:rPr>
      </w:pPr>
      <w:r w:rsidRPr="00844330">
        <w:rPr>
          <w:rFonts w:ascii="Palatino Linotype" w:hAnsi="Palatino Linotype" w:cs="Arial"/>
          <w:lang w:val="es-ES_tradnl" w:eastAsia="es-ES"/>
        </w:rPr>
        <w:t xml:space="preserve">Por ende, en el presente caso el </w:t>
      </w:r>
      <w:r w:rsidR="004F33EF" w:rsidRPr="00844330">
        <w:rPr>
          <w:rFonts w:ascii="Palatino Linotype" w:hAnsi="Palatino Linotype" w:cs="Arial"/>
          <w:b/>
          <w:lang w:val="es-ES_tradnl" w:eastAsia="es-ES"/>
        </w:rPr>
        <w:t>Sujeto Obligado</w:t>
      </w:r>
      <w:r w:rsidR="004F33EF" w:rsidRPr="00844330">
        <w:rPr>
          <w:rFonts w:ascii="Palatino Linotype" w:hAnsi="Palatino Linotype" w:cs="Arial"/>
          <w:lang w:val="es-ES_tradnl" w:eastAsia="es-ES"/>
        </w:rPr>
        <w:t xml:space="preserve"> </w:t>
      </w:r>
      <w:r w:rsidRPr="00844330">
        <w:rPr>
          <w:rFonts w:ascii="Palatino Linotype" w:hAnsi="Palatino Linotype" w:cs="Arial"/>
          <w:lang w:val="es-ES_tradnl" w:eastAsia="es-ES"/>
        </w:rPr>
        <w:t xml:space="preserve">sólo podrá testar los datos referidos con antelación, clasificación que tiene que efectuar mediante la forma y formalidades que la ley impone, es decir, mediante acuerdo debidamente fundado y motivado, en términos de los numerales 49 fracción VIII y 132 fracciones II y III de la Ley de Transparencia y Acceso a la Información Pública del Estado de México y Municipios en vigor. </w:t>
      </w:r>
    </w:p>
    <w:p w:rsidR="00844330" w:rsidRPr="00844330" w:rsidRDefault="00844330" w:rsidP="00844330">
      <w:pPr>
        <w:spacing w:before="240" w:after="240" w:line="360" w:lineRule="auto"/>
        <w:jc w:val="both"/>
        <w:rPr>
          <w:rFonts w:ascii="Palatino Linotype" w:hAnsi="Palatino Linotype"/>
          <w:lang w:eastAsia="es-ES"/>
        </w:rPr>
      </w:pPr>
      <w:r w:rsidRPr="00844330">
        <w:rPr>
          <w:rFonts w:ascii="Palatino Linotype" w:hAnsi="Palatino Linotype" w:cs="Arial"/>
          <w:lang w:eastAsia="es-ES"/>
        </w:rPr>
        <w:t>Asimismo, los Lineamientos Generales en Materia de Clasificación y Desclasificación de la Información, así como para la elaboración de versiones públicas,</w:t>
      </w:r>
      <w:r w:rsidRPr="00844330">
        <w:rPr>
          <w:rFonts w:ascii="Palatino Linotype" w:hAnsi="Palatino Linotype" w:cs="Arial"/>
          <w:bCs/>
          <w:iCs/>
        </w:rPr>
        <w:t xml:space="preserve"> que fueron emitidos por el </w:t>
      </w:r>
      <w:r w:rsidRPr="00844330">
        <w:rPr>
          <w:rFonts w:ascii="Palatino Linotype" w:hAnsi="Palatino Linotype" w:cs="Arial"/>
          <w:bCs/>
          <w:iCs/>
          <w:lang w:val="es-MX"/>
        </w:rPr>
        <w:t>Consejo Nacional del Sistema Nacional de Transparencia, Acceso a la Información Pública y Protección de Datos Personales,</w:t>
      </w:r>
      <w:r w:rsidRPr="00844330">
        <w:rPr>
          <w:rFonts w:ascii="Palatino Linotype" w:hAnsi="Palatino Linotype" w:cs="Arial"/>
          <w:lang w:eastAsia="es-ES"/>
        </w:rPr>
        <w:t xml:space="preserve"> establece en los numerales </w:t>
      </w:r>
      <w:r w:rsidRPr="00844330">
        <w:rPr>
          <w:rFonts w:ascii="Palatino Linotype" w:hAnsi="Palatino Linotype"/>
          <w:lang w:eastAsia="es-ES"/>
        </w:rPr>
        <w:t xml:space="preserve">Quincuagésimo tercero y Quincuagésimo quinto, los formatos para la clasificación parcial y total de los documentos conforme a los siguiente: </w:t>
      </w:r>
    </w:p>
    <w:tbl>
      <w:tblPr>
        <w:tblStyle w:val="Tabladelista1clara-nfasis1111"/>
        <w:tblW w:w="0" w:type="auto"/>
        <w:jc w:val="center"/>
        <w:tblLayout w:type="fixed"/>
        <w:tblLook w:val="04A0" w:firstRow="1" w:lastRow="0" w:firstColumn="1" w:lastColumn="0" w:noHBand="0" w:noVBand="1"/>
      </w:tblPr>
      <w:tblGrid>
        <w:gridCol w:w="846"/>
        <w:gridCol w:w="3568"/>
        <w:gridCol w:w="968"/>
        <w:gridCol w:w="3446"/>
      </w:tblGrid>
      <w:tr w:rsidR="00844330" w:rsidRPr="00844330" w:rsidTr="004D456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4" w:type="dxa"/>
            <w:gridSpan w:val="2"/>
          </w:tcPr>
          <w:p w:rsidR="00844330" w:rsidRPr="00844330" w:rsidRDefault="00844330" w:rsidP="00844330">
            <w:pPr>
              <w:jc w:val="center"/>
              <w:rPr>
                <w:rFonts w:ascii="Palatino Linotype" w:hAnsi="Palatino Linotype"/>
                <w:sz w:val="12"/>
                <w:szCs w:val="12"/>
              </w:rPr>
            </w:pPr>
            <w:r w:rsidRPr="00844330">
              <w:rPr>
                <w:rFonts w:ascii="Palatino Linotype" w:hAnsi="Palatino Linotype"/>
                <w:sz w:val="12"/>
                <w:szCs w:val="12"/>
              </w:rPr>
              <w:t>Parcial</w:t>
            </w:r>
          </w:p>
        </w:tc>
        <w:tc>
          <w:tcPr>
            <w:tcW w:w="4414" w:type="dxa"/>
            <w:gridSpan w:val="2"/>
          </w:tcPr>
          <w:p w:rsidR="00844330" w:rsidRPr="00844330" w:rsidRDefault="00844330" w:rsidP="00844330">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rPr>
            </w:pPr>
            <w:r w:rsidRPr="00844330">
              <w:rPr>
                <w:rFonts w:ascii="Palatino Linotype" w:hAnsi="Palatino Linotype"/>
                <w:sz w:val="12"/>
                <w:szCs w:val="12"/>
              </w:rPr>
              <w:t>Total</w:t>
            </w:r>
          </w:p>
        </w:tc>
      </w:tr>
      <w:tr w:rsidR="00844330" w:rsidRPr="00844330" w:rsidTr="004D45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844330" w:rsidRPr="00844330" w:rsidRDefault="00844330" w:rsidP="00844330">
            <w:pPr>
              <w:jc w:val="center"/>
              <w:rPr>
                <w:rFonts w:ascii="Palatino Linotype" w:hAnsi="Palatino Linotype"/>
                <w:sz w:val="12"/>
                <w:szCs w:val="12"/>
              </w:rPr>
            </w:pPr>
            <w:r w:rsidRPr="00844330">
              <w:rPr>
                <w:rFonts w:ascii="Palatino Linotype" w:hAnsi="Palatino Linotype"/>
                <w:sz w:val="12"/>
                <w:szCs w:val="12"/>
              </w:rPr>
              <w:t>Concepto</w:t>
            </w:r>
          </w:p>
        </w:tc>
        <w:tc>
          <w:tcPr>
            <w:tcW w:w="3568" w:type="dxa"/>
          </w:tcPr>
          <w:p w:rsidR="00844330" w:rsidRPr="00844330" w:rsidRDefault="00844330" w:rsidP="00844330">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44330">
              <w:rPr>
                <w:rFonts w:ascii="Palatino Linotype" w:hAnsi="Palatino Linotype"/>
                <w:b/>
                <w:sz w:val="12"/>
                <w:szCs w:val="12"/>
              </w:rPr>
              <w:t>Dónde</w:t>
            </w:r>
          </w:p>
        </w:tc>
        <w:tc>
          <w:tcPr>
            <w:tcW w:w="968" w:type="dxa"/>
          </w:tcPr>
          <w:p w:rsidR="00844330" w:rsidRPr="00844330" w:rsidRDefault="00844330" w:rsidP="00844330">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44330">
              <w:rPr>
                <w:rFonts w:ascii="Palatino Linotype" w:hAnsi="Palatino Linotype"/>
                <w:b/>
                <w:sz w:val="12"/>
                <w:szCs w:val="12"/>
              </w:rPr>
              <w:t>Concepto</w:t>
            </w:r>
          </w:p>
        </w:tc>
        <w:tc>
          <w:tcPr>
            <w:tcW w:w="3446" w:type="dxa"/>
          </w:tcPr>
          <w:p w:rsidR="00844330" w:rsidRPr="00844330" w:rsidRDefault="00844330" w:rsidP="00844330">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44330">
              <w:rPr>
                <w:rFonts w:ascii="Palatino Linotype" w:hAnsi="Palatino Linotype"/>
                <w:b/>
                <w:sz w:val="12"/>
                <w:szCs w:val="12"/>
              </w:rPr>
              <w:t>Dónde</w:t>
            </w:r>
          </w:p>
        </w:tc>
      </w:tr>
      <w:tr w:rsidR="00844330" w:rsidRPr="00844330" w:rsidTr="004D456E">
        <w:trPr>
          <w:jc w:val="center"/>
        </w:trPr>
        <w:tc>
          <w:tcPr>
            <w:cnfStyle w:val="001000000000" w:firstRow="0" w:lastRow="0" w:firstColumn="1" w:lastColumn="0" w:oddVBand="0" w:evenVBand="0" w:oddHBand="0" w:evenHBand="0" w:firstRowFirstColumn="0" w:firstRowLastColumn="0" w:lastRowFirstColumn="0" w:lastRowLastColumn="0"/>
            <w:tcW w:w="8828" w:type="dxa"/>
            <w:gridSpan w:val="4"/>
          </w:tcPr>
          <w:p w:rsidR="00844330" w:rsidRPr="00844330" w:rsidRDefault="00844330" w:rsidP="00844330">
            <w:pPr>
              <w:jc w:val="center"/>
              <w:rPr>
                <w:rFonts w:ascii="Palatino Linotype" w:hAnsi="Palatino Linotype"/>
                <w:sz w:val="12"/>
                <w:szCs w:val="12"/>
              </w:rPr>
            </w:pPr>
            <w:r w:rsidRPr="00844330">
              <w:rPr>
                <w:rFonts w:ascii="Palatino Linotype" w:hAnsi="Palatino Linotype"/>
                <w:sz w:val="12"/>
                <w:szCs w:val="12"/>
              </w:rPr>
              <w:t>Sello oficial o logotipo del sujeto obligado</w:t>
            </w:r>
          </w:p>
        </w:tc>
      </w:tr>
      <w:tr w:rsidR="00844330" w:rsidRPr="00844330" w:rsidTr="004D45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844330" w:rsidRPr="00844330" w:rsidRDefault="00844330" w:rsidP="00844330">
            <w:pPr>
              <w:jc w:val="both"/>
              <w:rPr>
                <w:rFonts w:ascii="Palatino Linotype" w:hAnsi="Palatino Linotype"/>
                <w:sz w:val="12"/>
                <w:szCs w:val="12"/>
              </w:rPr>
            </w:pPr>
            <w:r w:rsidRPr="00844330">
              <w:rPr>
                <w:rFonts w:ascii="Palatino Linotype" w:hAnsi="Palatino Linotype"/>
                <w:sz w:val="12"/>
                <w:szCs w:val="12"/>
              </w:rPr>
              <w:t>Fecha de clasificación</w:t>
            </w:r>
          </w:p>
        </w:tc>
        <w:tc>
          <w:tcPr>
            <w:tcW w:w="3568" w:type="dxa"/>
          </w:tcPr>
          <w:p w:rsidR="00844330" w:rsidRPr="00844330" w:rsidRDefault="00844330" w:rsidP="0084433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44330">
              <w:rPr>
                <w:rFonts w:ascii="Palatino Linotype" w:hAnsi="Palatino Linotype"/>
                <w:sz w:val="12"/>
                <w:szCs w:val="12"/>
              </w:rPr>
              <w:t>Se anotará la fecha en la que el Comité de Transparencia confirmó la clasificación del documento, en su caso.</w:t>
            </w:r>
          </w:p>
        </w:tc>
        <w:tc>
          <w:tcPr>
            <w:tcW w:w="968" w:type="dxa"/>
          </w:tcPr>
          <w:p w:rsidR="00844330" w:rsidRPr="00844330" w:rsidRDefault="00844330" w:rsidP="0084433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44330">
              <w:rPr>
                <w:rFonts w:ascii="Palatino Linotype" w:hAnsi="Palatino Linotype"/>
                <w:b/>
                <w:sz w:val="12"/>
                <w:szCs w:val="12"/>
              </w:rPr>
              <w:t>Fecha de clasificación</w:t>
            </w:r>
          </w:p>
        </w:tc>
        <w:tc>
          <w:tcPr>
            <w:tcW w:w="3446" w:type="dxa"/>
          </w:tcPr>
          <w:p w:rsidR="00844330" w:rsidRPr="00844330" w:rsidRDefault="00844330" w:rsidP="0084433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44330">
              <w:rPr>
                <w:rFonts w:ascii="Palatino Linotype" w:hAnsi="Palatino Linotype"/>
                <w:sz w:val="12"/>
                <w:szCs w:val="12"/>
              </w:rPr>
              <w:t>Se anotará la fecha en la que el Comité de Transparencia confirmó la clasificación del documento, en su caso.</w:t>
            </w:r>
          </w:p>
        </w:tc>
      </w:tr>
      <w:tr w:rsidR="00844330" w:rsidRPr="00844330" w:rsidTr="004D456E">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844330" w:rsidRPr="00844330" w:rsidRDefault="00844330" w:rsidP="00844330">
            <w:pPr>
              <w:jc w:val="both"/>
              <w:rPr>
                <w:rFonts w:ascii="Palatino Linotype" w:hAnsi="Palatino Linotype"/>
                <w:sz w:val="12"/>
                <w:szCs w:val="12"/>
              </w:rPr>
            </w:pPr>
            <w:r w:rsidRPr="00844330">
              <w:rPr>
                <w:rFonts w:ascii="Palatino Linotype" w:hAnsi="Palatino Linotype"/>
                <w:sz w:val="12"/>
                <w:szCs w:val="12"/>
              </w:rPr>
              <w:t>Área</w:t>
            </w:r>
          </w:p>
        </w:tc>
        <w:tc>
          <w:tcPr>
            <w:tcW w:w="3568" w:type="dxa"/>
          </w:tcPr>
          <w:p w:rsidR="00844330" w:rsidRPr="00844330" w:rsidRDefault="00844330" w:rsidP="0084433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44330">
              <w:rPr>
                <w:rFonts w:ascii="Palatino Linotype" w:hAnsi="Palatino Linotype"/>
                <w:sz w:val="12"/>
                <w:szCs w:val="12"/>
              </w:rPr>
              <w:t>Se señalará el nombre del área del cual es titular quien clasifica.</w:t>
            </w:r>
          </w:p>
        </w:tc>
        <w:tc>
          <w:tcPr>
            <w:tcW w:w="968" w:type="dxa"/>
          </w:tcPr>
          <w:p w:rsidR="00844330" w:rsidRPr="00844330" w:rsidRDefault="00844330" w:rsidP="0084433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844330">
              <w:rPr>
                <w:rFonts w:ascii="Palatino Linotype" w:hAnsi="Palatino Linotype"/>
                <w:b/>
                <w:sz w:val="12"/>
                <w:szCs w:val="12"/>
              </w:rPr>
              <w:t>Área</w:t>
            </w:r>
          </w:p>
        </w:tc>
        <w:tc>
          <w:tcPr>
            <w:tcW w:w="3446" w:type="dxa"/>
          </w:tcPr>
          <w:p w:rsidR="00844330" w:rsidRPr="00844330" w:rsidRDefault="00844330" w:rsidP="0084433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44330">
              <w:rPr>
                <w:rFonts w:ascii="Palatino Linotype" w:hAnsi="Palatino Linotype"/>
                <w:sz w:val="12"/>
                <w:szCs w:val="12"/>
              </w:rPr>
              <w:t>Se señalará el nombre del área de la cual es el titular quien clasifica.</w:t>
            </w:r>
          </w:p>
        </w:tc>
      </w:tr>
      <w:tr w:rsidR="00844330" w:rsidRPr="00844330" w:rsidTr="004D45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844330" w:rsidRPr="00844330" w:rsidRDefault="00844330" w:rsidP="00844330">
            <w:pPr>
              <w:jc w:val="both"/>
              <w:rPr>
                <w:rFonts w:ascii="Palatino Linotype" w:hAnsi="Palatino Linotype"/>
                <w:sz w:val="12"/>
                <w:szCs w:val="12"/>
              </w:rPr>
            </w:pPr>
            <w:r w:rsidRPr="00844330">
              <w:rPr>
                <w:rFonts w:ascii="Palatino Linotype" w:hAnsi="Palatino Linotype"/>
                <w:sz w:val="12"/>
                <w:szCs w:val="12"/>
              </w:rPr>
              <w:t>Información reservada</w:t>
            </w:r>
          </w:p>
        </w:tc>
        <w:tc>
          <w:tcPr>
            <w:tcW w:w="3568" w:type="dxa"/>
          </w:tcPr>
          <w:p w:rsidR="00844330" w:rsidRPr="00844330" w:rsidRDefault="00844330" w:rsidP="0084433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44330">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rsidR="00844330" w:rsidRPr="00844330" w:rsidRDefault="00844330" w:rsidP="0084433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44330">
              <w:rPr>
                <w:rFonts w:ascii="Palatino Linotype" w:hAnsi="Palatino Linotype"/>
                <w:b/>
                <w:sz w:val="12"/>
                <w:szCs w:val="12"/>
              </w:rPr>
              <w:t>Reservado</w:t>
            </w:r>
          </w:p>
        </w:tc>
        <w:tc>
          <w:tcPr>
            <w:tcW w:w="3446" w:type="dxa"/>
          </w:tcPr>
          <w:p w:rsidR="00844330" w:rsidRPr="00844330" w:rsidRDefault="00844330" w:rsidP="0084433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44330">
              <w:rPr>
                <w:rFonts w:ascii="Palatino Linotype" w:hAnsi="Palatino Linotype"/>
                <w:sz w:val="12"/>
                <w:szCs w:val="12"/>
              </w:rPr>
              <w:t>Leyenda de información RESERVADA.</w:t>
            </w:r>
          </w:p>
        </w:tc>
      </w:tr>
      <w:tr w:rsidR="00844330" w:rsidRPr="00844330" w:rsidTr="004D456E">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844330" w:rsidRPr="00844330" w:rsidRDefault="00844330" w:rsidP="00844330">
            <w:pPr>
              <w:jc w:val="both"/>
              <w:rPr>
                <w:rFonts w:ascii="Palatino Linotype" w:hAnsi="Palatino Linotype"/>
                <w:sz w:val="12"/>
                <w:szCs w:val="12"/>
              </w:rPr>
            </w:pPr>
            <w:r w:rsidRPr="00844330">
              <w:rPr>
                <w:rFonts w:ascii="Palatino Linotype" w:hAnsi="Palatino Linotype"/>
                <w:sz w:val="12"/>
                <w:szCs w:val="12"/>
              </w:rPr>
              <w:t>Fundamento legal</w:t>
            </w:r>
          </w:p>
        </w:tc>
        <w:tc>
          <w:tcPr>
            <w:tcW w:w="3568" w:type="dxa"/>
          </w:tcPr>
          <w:p w:rsidR="00844330" w:rsidRPr="00844330" w:rsidRDefault="00844330" w:rsidP="0084433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44330">
              <w:rPr>
                <w:rFonts w:ascii="Palatino Linotype" w:hAnsi="Palatino Linotype"/>
                <w:sz w:val="12"/>
                <w:szCs w:val="12"/>
              </w:rPr>
              <w:t>Se señalará el nombre del ordenamiento, el o los artículos, fracción(es), párrafo(s) con base en los cuales se sustente la reserva.</w:t>
            </w:r>
          </w:p>
        </w:tc>
        <w:tc>
          <w:tcPr>
            <w:tcW w:w="968" w:type="dxa"/>
          </w:tcPr>
          <w:p w:rsidR="00844330" w:rsidRPr="00844330" w:rsidRDefault="00844330" w:rsidP="0084433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844330">
              <w:rPr>
                <w:rFonts w:ascii="Palatino Linotype" w:hAnsi="Palatino Linotype"/>
                <w:b/>
                <w:sz w:val="12"/>
                <w:szCs w:val="12"/>
              </w:rPr>
              <w:t>Periodo de reserva</w:t>
            </w:r>
          </w:p>
        </w:tc>
        <w:tc>
          <w:tcPr>
            <w:tcW w:w="3446" w:type="dxa"/>
          </w:tcPr>
          <w:p w:rsidR="00844330" w:rsidRPr="00844330" w:rsidRDefault="00844330" w:rsidP="0084433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44330">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844330" w:rsidRPr="00844330" w:rsidTr="004D45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844330" w:rsidRPr="00844330" w:rsidRDefault="00844330" w:rsidP="00844330">
            <w:pPr>
              <w:jc w:val="both"/>
              <w:rPr>
                <w:rFonts w:ascii="Palatino Linotype" w:hAnsi="Palatino Linotype"/>
                <w:sz w:val="12"/>
                <w:szCs w:val="12"/>
              </w:rPr>
            </w:pPr>
            <w:r w:rsidRPr="00844330">
              <w:rPr>
                <w:rFonts w:ascii="Palatino Linotype" w:hAnsi="Palatino Linotype"/>
                <w:sz w:val="12"/>
                <w:szCs w:val="12"/>
              </w:rPr>
              <w:t>Ampliación del periodo de reserva</w:t>
            </w:r>
          </w:p>
        </w:tc>
        <w:tc>
          <w:tcPr>
            <w:tcW w:w="3568" w:type="dxa"/>
          </w:tcPr>
          <w:p w:rsidR="00844330" w:rsidRPr="00844330" w:rsidRDefault="00844330" w:rsidP="0084433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44330">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844330" w:rsidRPr="00844330" w:rsidRDefault="00844330" w:rsidP="0084433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44330">
              <w:rPr>
                <w:rFonts w:ascii="Palatino Linotype" w:hAnsi="Palatino Linotype"/>
                <w:b/>
                <w:sz w:val="12"/>
                <w:szCs w:val="12"/>
              </w:rPr>
              <w:t>Fundamento legal</w:t>
            </w:r>
          </w:p>
        </w:tc>
        <w:tc>
          <w:tcPr>
            <w:tcW w:w="3446" w:type="dxa"/>
          </w:tcPr>
          <w:p w:rsidR="00844330" w:rsidRPr="00844330" w:rsidRDefault="00844330" w:rsidP="0084433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44330">
              <w:rPr>
                <w:rFonts w:ascii="Palatino Linotype" w:hAnsi="Palatino Linotype"/>
                <w:sz w:val="12"/>
                <w:szCs w:val="12"/>
              </w:rPr>
              <w:t>Se señalará el nombre del o de los ordenamientos jurídicos, el o los artículos, fracción(es), párrafo(s) con base en los cuales se sustenta la reserva.</w:t>
            </w:r>
          </w:p>
        </w:tc>
      </w:tr>
      <w:tr w:rsidR="00844330" w:rsidRPr="00844330" w:rsidTr="004D456E">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844330" w:rsidRPr="00844330" w:rsidRDefault="00844330" w:rsidP="00844330">
            <w:pPr>
              <w:jc w:val="both"/>
              <w:rPr>
                <w:rFonts w:ascii="Palatino Linotype" w:hAnsi="Palatino Linotype"/>
                <w:sz w:val="12"/>
                <w:szCs w:val="12"/>
              </w:rPr>
            </w:pPr>
            <w:r w:rsidRPr="00844330">
              <w:rPr>
                <w:rFonts w:ascii="Palatino Linotype" w:hAnsi="Palatino Linotype"/>
                <w:sz w:val="12"/>
                <w:szCs w:val="12"/>
              </w:rPr>
              <w:t>Confidencial</w:t>
            </w:r>
          </w:p>
        </w:tc>
        <w:tc>
          <w:tcPr>
            <w:tcW w:w="3568" w:type="dxa"/>
          </w:tcPr>
          <w:p w:rsidR="00844330" w:rsidRPr="00844330" w:rsidRDefault="00844330" w:rsidP="0084433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44330">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844330" w:rsidRPr="00844330" w:rsidRDefault="00844330" w:rsidP="0084433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844330">
              <w:rPr>
                <w:rFonts w:ascii="Palatino Linotype" w:hAnsi="Palatino Linotype"/>
                <w:b/>
                <w:sz w:val="12"/>
                <w:szCs w:val="12"/>
              </w:rPr>
              <w:t>Ampliación del periodo de reserva</w:t>
            </w:r>
          </w:p>
        </w:tc>
        <w:tc>
          <w:tcPr>
            <w:tcW w:w="3446" w:type="dxa"/>
          </w:tcPr>
          <w:p w:rsidR="00844330" w:rsidRPr="00844330" w:rsidRDefault="00844330" w:rsidP="0084433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44330">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844330" w:rsidRPr="00844330" w:rsidTr="004D45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844330" w:rsidRPr="00844330" w:rsidRDefault="00844330" w:rsidP="00844330">
            <w:pPr>
              <w:jc w:val="both"/>
              <w:rPr>
                <w:rFonts w:ascii="Palatino Linotype" w:hAnsi="Palatino Linotype"/>
                <w:sz w:val="12"/>
                <w:szCs w:val="12"/>
              </w:rPr>
            </w:pPr>
            <w:r w:rsidRPr="00844330">
              <w:rPr>
                <w:rFonts w:ascii="Palatino Linotype" w:hAnsi="Palatino Linotype"/>
                <w:sz w:val="12"/>
                <w:szCs w:val="12"/>
              </w:rPr>
              <w:t>Fundamento legal</w:t>
            </w:r>
          </w:p>
        </w:tc>
        <w:tc>
          <w:tcPr>
            <w:tcW w:w="3568" w:type="dxa"/>
          </w:tcPr>
          <w:p w:rsidR="00844330" w:rsidRPr="00844330" w:rsidRDefault="00844330" w:rsidP="0084433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44330">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rsidR="00844330" w:rsidRPr="00844330" w:rsidRDefault="00844330" w:rsidP="0084433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44330">
              <w:rPr>
                <w:rFonts w:ascii="Palatino Linotype" w:hAnsi="Palatino Linotype"/>
                <w:b/>
                <w:sz w:val="12"/>
                <w:szCs w:val="12"/>
              </w:rPr>
              <w:t>Confidencial</w:t>
            </w:r>
          </w:p>
        </w:tc>
        <w:tc>
          <w:tcPr>
            <w:tcW w:w="3446" w:type="dxa"/>
          </w:tcPr>
          <w:p w:rsidR="00844330" w:rsidRPr="00844330" w:rsidRDefault="00844330" w:rsidP="0084433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44330">
              <w:rPr>
                <w:rFonts w:ascii="Palatino Linotype" w:hAnsi="Palatino Linotype"/>
                <w:sz w:val="12"/>
                <w:szCs w:val="12"/>
              </w:rPr>
              <w:t>Leyenda de información CONFIDENCIAL.</w:t>
            </w:r>
          </w:p>
        </w:tc>
      </w:tr>
      <w:tr w:rsidR="00844330" w:rsidRPr="00844330" w:rsidTr="004D456E">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844330" w:rsidRPr="00844330" w:rsidRDefault="00844330" w:rsidP="00844330">
            <w:pPr>
              <w:jc w:val="both"/>
              <w:rPr>
                <w:rFonts w:ascii="Palatino Linotype" w:hAnsi="Palatino Linotype"/>
                <w:sz w:val="12"/>
                <w:szCs w:val="12"/>
              </w:rPr>
            </w:pPr>
            <w:r w:rsidRPr="00844330">
              <w:rPr>
                <w:rFonts w:ascii="Palatino Linotype" w:hAnsi="Palatino Linotype"/>
                <w:sz w:val="12"/>
                <w:szCs w:val="12"/>
              </w:rPr>
              <w:t>Rúbrica del titular del área</w:t>
            </w:r>
          </w:p>
        </w:tc>
        <w:tc>
          <w:tcPr>
            <w:tcW w:w="3568" w:type="dxa"/>
          </w:tcPr>
          <w:p w:rsidR="00844330" w:rsidRPr="00844330" w:rsidRDefault="00844330" w:rsidP="0084433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44330">
              <w:rPr>
                <w:rFonts w:ascii="Palatino Linotype" w:hAnsi="Palatino Linotype"/>
                <w:sz w:val="12"/>
                <w:szCs w:val="12"/>
              </w:rPr>
              <w:t>Rúbrica autógrafa de quien clasifica.</w:t>
            </w:r>
          </w:p>
        </w:tc>
        <w:tc>
          <w:tcPr>
            <w:tcW w:w="968" w:type="dxa"/>
          </w:tcPr>
          <w:p w:rsidR="00844330" w:rsidRPr="00844330" w:rsidRDefault="00844330" w:rsidP="0084433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844330">
              <w:rPr>
                <w:rFonts w:ascii="Palatino Linotype" w:hAnsi="Palatino Linotype"/>
                <w:b/>
                <w:sz w:val="12"/>
                <w:szCs w:val="12"/>
              </w:rPr>
              <w:t>Fundamento legal</w:t>
            </w:r>
          </w:p>
        </w:tc>
        <w:tc>
          <w:tcPr>
            <w:tcW w:w="3446" w:type="dxa"/>
          </w:tcPr>
          <w:p w:rsidR="00844330" w:rsidRPr="00844330" w:rsidRDefault="00844330" w:rsidP="0084433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44330">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844330" w:rsidRPr="00844330" w:rsidTr="004D45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844330" w:rsidRPr="00844330" w:rsidRDefault="00844330" w:rsidP="00844330">
            <w:pPr>
              <w:jc w:val="both"/>
              <w:rPr>
                <w:rFonts w:ascii="Palatino Linotype" w:hAnsi="Palatino Linotype"/>
                <w:sz w:val="12"/>
                <w:szCs w:val="12"/>
              </w:rPr>
            </w:pPr>
            <w:r w:rsidRPr="00844330">
              <w:rPr>
                <w:rFonts w:ascii="Palatino Linotype" w:hAnsi="Palatino Linotype"/>
                <w:sz w:val="12"/>
                <w:szCs w:val="12"/>
              </w:rPr>
              <w:t>Fecha de desclasificación</w:t>
            </w:r>
          </w:p>
        </w:tc>
        <w:tc>
          <w:tcPr>
            <w:tcW w:w="3568" w:type="dxa"/>
          </w:tcPr>
          <w:p w:rsidR="00844330" w:rsidRPr="00844330" w:rsidRDefault="00844330" w:rsidP="0084433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44330">
              <w:rPr>
                <w:rFonts w:ascii="Palatino Linotype" w:hAnsi="Palatino Linotype"/>
                <w:sz w:val="12"/>
                <w:szCs w:val="12"/>
              </w:rPr>
              <w:t>Se anotará la fecha en que se desclasifica el documento.</w:t>
            </w:r>
          </w:p>
        </w:tc>
        <w:tc>
          <w:tcPr>
            <w:tcW w:w="968" w:type="dxa"/>
          </w:tcPr>
          <w:p w:rsidR="00844330" w:rsidRPr="00844330" w:rsidRDefault="00844330" w:rsidP="0084433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44330">
              <w:rPr>
                <w:rFonts w:ascii="Palatino Linotype" w:hAnsi="Palatino Linotype"/>
                <w:b/>
                <w:sz w:val="12"/>
                <w:szCs w:val="12"/>
              </w:rPr>
              <w:t>Rúbrica del titular del área</w:t>
            </w:r>
          </w:p>
        </w:tc>
        <w:tc>
          <w:tcPr>
            <w:tcW w:w="3446" w:type="dxa"/>
          </w:tcPr>
          <w:p w:rsidR="00844330" w:rsidRPr="00844330" w:rsidRDefault="00844330" w:rsidP="0084433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44330">
              <w:rPr>
                <w:rFonts w:ascii="Palatino Linotype" w:hAnsi="Palatino Linotype"/>
                <w:sz w:val="12"/>
                <w:szCs w:val="12"/>
              </w:rPr>
              <w:t>Rúbrica autógrafa de quien clasifica.</w:t>
            </w:r>
          </w:p>
        </w:tc>
      </w:tr>
      <w:tr w:rsidR="00844330" w:rsidRPr="00844330" w:rsidTr="004D456E">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844330" w:rsidRPr="00844330" w:rsidRDefault="00844330" w:rsidP="00844330">
            <w:pPr>
              <w:jc w:val="both"/>
              <w:rPr>
                <w:rFonts w:ascii="Palatino Linotype" w:hAnsi="Palatino Linotype"/>
                <w:sz w:val="12"/>
                <w:szCs w:val="12"/>
              </w:rPr>
            </w:pPr>
            <w:r w:rsidRPr="00844330">
              <w:rPr>
                <w:rFonts w:ascii="Palatino Linotype" w:hAnsi="Palatino Linotype"/>
                <w:sz w:val="12"/>
                <w:szCs w:val="12"/>
              </w:rPr>
              <w:t>Rúbrica y cargo del servidor público</w:t>
            </w:r>
          </w:p>
        </w:tc>
        <w:tc>
          <w:tcPr>
            <w:tcW w:w="3568" w:type="dxa"/>
          </w:tcPr>
          <w:p w:rsidR="00844330" w:rsidRPr="00844330" w:rsidRDefault="00844330" w:rsidP="0084433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44330">
              <w:rPr>
                <w:rFonts w:ascii="Palatino Linotype" w:hAnsi="Palatino Linotype"/>
                <w:sz w:val="12"/>
                <w:szCs w:val="12"/>
              </w:rPr>
              <w:t>Rúbrica autógrafa de quien desclasifica.</w:t>
            </w:r>
          </w:p>
        </w:tc>
        <w:tc>
          <w:tcPr>
            <w:tcW w:w="968" w:type="dxa"/>
          </w:tcPr>
          <w:p w:rsidR="00844330" w:rsidRPr="00844330" w:rsidRDefault="00844330" w:rsidP="0084433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844330">
              <w:rPr>
                <w:rFonts w:ascii="Palatino Linotype" w:hAnsi="Palatino Linotype"/>
                <w:b/>
                <w:sz w:val="12"/>
                <w:szCs w:val="12"/>
              </w:rPr>
              <w:t>Fecha de desclasificación</w:t>
            </w:r>
          </w:p>
        </w:tc>
        <w:tc>
          <w:tcPr>
            <w:tcW w:w="3446" w:type="dxa"/>
          </w:tcPr>
          <w:p w:rsidR="00844330" w:rsidRPr="00844330" w:rsidRDefault="00844330" w:rsidP="0084433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44330">
              <w:rPr>
                <w:rFonts w:ascii="Palatino Linotype" w:hAnsi="Palatino Linotype"/>
                <w:sz w:val="12"/>
                <w:szCs w:val="12"/>
              </w:rPr>
              <w:t>Se anotará la fecha en que se desclasifica.</w:t>
            </w:r>
          </w:p>
        </w:tc>
      </w:tr>
      <w:tr w:rsidR="00844330" w:rsidRPr="00844330" w:rsidTr="004D45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rsidR="00844330" w:rsidRPr="00844330" w:rsidRDefault="00844330" w:rsidP="00844330">
            <w:pPr>
              <w:jc w:val="both"/>
              <w:rPr>
                <w:rFonts w:ascii="Palatino Linotype" w:hAnsi="Palatino Linotype"/>
                <w:sz w:val="12"/>
                <w:szCs w:val="12"/>
              </w:rPr>
            </w:pPr>
          </w:p>
        </w:tc>
        <w:tc>
          <w:tcPr>
            <w:tcW w:w="3568" w:type="dxa"/>
          </w:tcPr>
          <w:p w:rsidR="00844330" w:rsidRPr="00844330" w:rsidRDefault="00844330" w:rsidP="0084433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rsidR="00844330" w:rsidRPr="00844330" w:rsidRDefault="00844330" w:rsidP="0084433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844330">
              <w:rPr>
                <w:rFonts w:ascii="Palatino Linotype" w:hAnsi="Palatino Linotype"/>
                <w:b/>
                <w:sz w:val="12"/>
                <w:szCs w:val="12"/>
              </w:rPr>
              <w:t>Partes o secciones reservadas o confidenciales</w:t>
            </w:r>
          </w:p>
        </w:tc>
        <w:tc>
          <w:tcPr>
            <w:tcW w:w="3446" w:type="dxa"/>
          </w:tcPr>
          <w:p w:rsidR="00844330" w:rsidRPr="00844330" w:rsidRDefault="00844330" w:rsidP="0084433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844330">
              <w:rPr>
                <w:rFonts w:ascii="Palatino Linotype" w:hAnsi="Palatino Linotype"/>
                <w:sz w:val="12"/>
                <w:szCs w:val="12"/>
              </w:rPr>
              <w:t>En caso que una vez desclasificado el expediente, subsistanpartes o secciones del mismo reservadas o confidenciales, se señalará este hecho.</w:t>
            </w:r>
          </w:p>
        </w:tc>
      </w:tr>
      <w:tr w:rsidR="00844330" w:rsidRPr="00844330" w:rsidTr="004D456E">
        <w:trPr>
          <w:jc w:val="center"/>
        </w:trPr>
        <w:tc>
          <w:tcPr>
            <w:cnfStyle w:val="001000000000" w:firstRow="0" w:lastRow="0" w:firstColumn="1" w:lastColumn="0" w:oddVBand="0" w:evenVBand="0" w:oddHBand="0" w:evenHBand="0" w:firstRowFirstColumn="0" w:firstRowLastColumn="0" w:lastRowFirstColumn="0" w:lastRowLastColumn="0"/>
            <w:tcW w:w="846" w:type="dxa"/>
          </w:tcPr>
          <w:p w:rsidR="00844330" w:rsidRPr="00844330" w:rsidRDefault="00844330" w:rsidP="00844330">
            <w:pPr>
              <w:jc w:val="both"/>
              <w:rPr>
                <w:rFonts w:ascii="Palatino Linotype" w:hAnsi="Palatino Linotype"/>
                <w:sz w:val="12"/>
                <w:szCs w:val="12"/>
              </w:rPr>
            </w:pPr>
          </w:p>
        </w:tc>
        <w:tc>
          <w:tcPr>
            <w:tcW w:w="3568" w:type="dxa"/>
          </w:tcPr>
          <w:p w:rsidR="00844330" w:rsidRPr="00844330" w:rsidRDefault="00844330" w:rsidP="0084433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rsidR="00844330" w:rsidRPr="00844330" w:rsidRDefault="00844330" w:rsidP="0084433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844330">
              <w:rPr>
                <w:rFonts w:ascii="Palatino Linotype" w:hAnsi="Palatino Linotype"/>
                <w:b/>
                <w:sz w:val="12"/>
                <w:szCs w:val="12"/>
              </w:rPr>
              <w:t>Rúbrica y cargo del servidor público</w:t>
            </w:r>
          </w:p>
        </w:tc>
        <w:tc>
          <w:tcPr>
            <w:tcW w:w="3446" w:type="dxa"/>
          </w:tcPr>
          <w:p w:rsidR="00844330" w:rsidRPr="00844330" w:rsidRDefault="00844330" w:rsidP="0084433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844330">
              <w:rPr>
                <w:rFonts w:ascii="Palatino Linotype" w:hAnsi="Palatino Linotype"/>
                <w:sz w:val="12"/>
                <w:szCs w:val="12"/>
              </w:rPr>
              <w:t>Rúbrica autógrafa de quien desclasifica.</w:t>
            </w:r>
          </w:p>
        </w:tc>
      </w:tr>
    </w:tbl>
    <w:p w:rsidR="00844330" w:rsidRPr="00844330" w:rsidRDefault="00844330" w:rsidP="00844330">
      <w:pPr>
        <w:spacing w:after="160" w:line="259" w:lineRule="auto"/>
        <w:rPr>
          <w:rFonts w:ascii="Calibri" w:eastAsia="Calibri" w:hAnsi="Calibri"/>
          <w:sz w:val="22"/>
          <w:szCs w:val="22"/>
          <w:lang w:val="es-MX" w:eastAsia="en-US"/>
        </w:rPr>
      </w:pPr>
    </w:p>
    <w:p w:rsidR="00844330" w:rsidRPr="00844330" w:rsidRDefault="00844330" w:rsidP="00844330">
      <w:pPr>
        <w:spacing w:before="100" w:beforeAutospacing="1" w:after="100" w:afterAutospacing="1" w:line="360" w:lineRule="auto"/>
        <w:jc w:val="both"/>
        <w:rPr>
          <w:rFonts w:ascii="Palatino Linotype" w:hAnsi="Palatino Linotype" w:cs="Arial"/>
          <w:lang w:val="es-MX" w:eastAsia="es-ES"/>
        </w:rPr>
      </w:pPr>
      <w:r w:rsidRPr="00844330">
        <w:rPr>
          <w:rFonts w:ascii="Palatino Linotype" w:hAnsi="Palatino Linotype" w:cs="Arial"/>
          <w:lang w:val="es-MX" w:eastAsia="es-ES"/>
        </w:rPr>
        <w:t>Por lo tanto,</w:t>
      </w:r>
      <w:r w:rsidRPr="00844330">
        <w:rPr>
          <w:rFonts w:ascii="Palatino Linotype" w:hAnsi="Palatino Linotype"/>
          <w:lang w:val="es-MX" w:eastAsia="es-ES"/>
        </w:rPr>
        <w:t xml:space="preserve"> el </w:t>
      </w:r>
      <w:r w:rsidR="004F33EF" w:rsidRPr="00844330">
        <w:rPr>
          <w:rFonts w:ascii="Palatino Linotype" w:hAnsi="Palatino Linotype"/>
          <w:b/>
          <w:lang w:val="es-MX" w:eastAsia="es-ES"/>
        </w:rPr>
        <w:t>Sujeto Obligado</w:t>
      </w:r>
      <w:r w:rsidR="004F33EF" w:rsidRPr="00844330">
        <w:rPr>
          <w:rFonts w:ascii="Palatino Linotype" w:hAnsi="Palatino Linotype"/>
          <w:lang w:val="es-MX" w:eastAsia="es-ES"/>
        </w:rPr>
        <w:t xml:space="preserve"> </w:t>
      </w:r>
      <w:r w:rsidRPr="00844330">
        <w:rPr>
          <w:rFonts w:ascii="Palatino Linotype" w:hAnsi="Palatino Linotype"/>
          <w:lang w:val="es-MX" w:eastAsia="es-ES"/>
        </w:rPr>
        <w:t xml:space="preserve">deberá seguir el procedimiento legal establecido para su </w:t>
      </w:r>
      <w:r w:rsidRPr="00844330">
        <w:rPr>
          <w:rFonts w:ascii="Palatino Linotype" w:hAnsi="Palatino Linotype"/>
          <w:lang w:val="es-MX"/>
        </w:rPr>
        <w:t>clasificación</w:t>
      </w:r>
      <w:r w:rsidRPr="00844330">
        <w:rPr>
          <w:rFonts w:ascii="Palatino Linotype" w:hAnsi="Palatino Linotype"/>
          <w:lang w:val="es-MX" w:eastAsia="es-ES"/>
        </w:rPr>
        <w:t>, esto es, que su Comité de</w:t>
      </w:r>
      <w:r w:rsidRPr="00844330">
        <w:rPr>
          <w:rFonts w:ascii="Palatino Linotype" w:hAnsi="Palatino Linotype" w:cs="Arial"/>
          <w:lang w:val="es-MX" w:eastAsia="es-ES"/>
        </w:rPr>
        <w:t xml:space="preserve"> Transparencia emita </w:t>
      </w:r>
      <w:r w:rsidRPr="00844330">
        <w:rPr>
          <w:rFonts w:ascii="Palatino Linotype" w:hAnsi="Palatino Linotype" w:cs="Arial"/>
          <w:lang w:val="es-ES_tradnl" w:eastAsia="es-ES"/>
        </w:rPr>
        <w:t>un</w:t>
      </w:r>
      <w:r w:rsidRPr="00844330">
        <w:rPr>
          <w:rFonts w:ascii="Palatino Linotype" w:hAnsi="Palatino Linotype" w:cs="Arial"/>
          <w:lang w:val="es-MX" w:eastAsia="es-ES"/>
        </w:rPr>
        <w:t xml:space="preserve"> Acuerdo de Clasificación que cumpla con las formalidades previstas, que la sustente, en el </w:t>
      </w:r>
      <w:r w:rsidRPr="00844330">
        <w:rPr>
          <w:rFonts w:ascii="Palatino Linotype" w:hAnsi="Palatino Linotype" w:cs="Arial"/>
          <w:lang w:val="es-MX"/>
        </w:rPr>
        <w:t>que</w:t>
      </w:r>
      <w:r w:rsidRPr="00844330">
        <w:rPr>
          <w:rFonts w:ascii="Palatino Linotype" w:hAnsi="Palatino Linotype" w:cs="Arial"/>
          <w:lang w:val="es-MX" w:eastAsia="es-ES"/>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violentando desde un inicio el derecho de acceso a la información del solicitante; acuerdo que deberá hacerse del conocimiento del Recurrente. </w:t>
      </w:r>
    </w:p>
    <w:p w:rsidR="00504E8B" w:rsidRPr="004F1D66" w:rsidRDefault="004F1D6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lo expuesto, con fundamento en el artículo 186 fracción III de la Ley de Transparencia y Acceso a la Información Pública del Estado de México y Municipios, este Órgano Garante considera procedente</w:t>
      </w:r>
      <w:r>
        <w:rPr>
          <w:rFonts w:ascii="Palatino Linotype" w:eastAsia="Palatino Linotype" w:hAnsi="Palatino Linotype" w:cs="Palatino Linotype"/>
          <w:b/>
        </w:rPr>
        <w:t xml:space="preserve"> modificar la respuesta y ordenar </w:t>
      </w:r>
      <w:r>
        <w:rPr>
          <w:rFonts w:ascii="Palatino Linotype" w:eastAsia="Palatino Linotype" w:hAnsi="Palatino Linotype" w:cs="Palatino Linotype"/>
        </w:rPr>
        <w:t xml:space="preserve">la entrega de la información requerida, es decir, el </w:t>
      </w:r>
      <w:r w:rsidR="004F33EF">
        <w:rPr>
          <w:rFonts w:ascii="Palatino Linotype" w:eastAsia="Palatino Linotype" w:hAnsi="Palatino Linotype" w:cs="Palatino Linotype"/>
          <w:b/>
        </w:rPr>
        <w:t>l</w:t>
      </w:r>
      <w:r w:rsidR="004F33EF" w:rsidRPr="004F33EF">
        <w:rPr>
          <w:rFonts w:ascii="Palatino Linotype" w:eastAsia="Palatino Linotype" w:hAnsi="Palatino Linotype" w:cs="Palatino Linotype"/>
          <w:b/>
        </w:rPr>
        <w:t>a certificación en materia de Transparencia de la Titular de l</w:t>
      </w:r>
      <w:r w:rsidR="00E70479">
        <w:rPr>
          <w:rFonts w:ascii="Palatino Linotype" w:eastAsia="Palatino Linotype" w:hAnsi="Palatino Linotype" w:cs="Palatino Linotype"/>
          <w:b/>
        </w:rPr>
        <w:t>a Unidad de Transparencia, al 11</w:t>
      </w:r>
      <w:r w:rsidR="004F33EF" w:rsidRPr="004F33EF">
        <w:rPr>
          <w:rFonts w:ascii="Palatino Linotype" w:eastAsia="Palatino Linotype" w:hAnsi="Palatino Linotype" w:cs="Palatino Linotype"/>
          <w:b/>
        </w:rPr>
        <w:t xml:space="preserve"> de octubre de 2021</w:t>
      </w:r>
      <w:r>
        <w:rPr>
          <w:rFonts w:ascii="Palatino Linotype" w:eastAsia="Palatino Linotype" w:hAnsi="Palatino Linotype" w:cs="Palatino Linotype"/>
        </w:rPr>
        <w:t>, esto</w:t>
      </w:r>
      <w:r w:rsidR="004F33EF">
        <w:rPr>
          <w:rFonts w:ascii="Palatino Linotype" w:eastAsia="Palatino Linotype" w:hAnsi="Palatino Linotype" w:cs="Palatino Linotype"/>
        </w:rPr>
        <w:t xml:space="preserve"> es a la fecha de la solicitud.</w:t>
      </w:r>
    </w:p>
    <w:p w:rsidR="00504E8B" w:rsidRDefault="004F1D66">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rsidR="00504E8B" w:rsidRDefault="004F1D66">
      <w:pPr>
        <w:numPr>
          <w:ilvl w:val="0"/>
          <w:numId w:val="1"/>
        </w:numPr>
        <w:spacing w:before="240" w:after="240" w:line="360" w:lineRule="auto"/>
        <w:ind w:left="426"/>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rsidR="00504E8B" w:rsidRDefault="004F1D6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 </w:t>
      </w:r>
      <w:r>
        <w:rPr>
          <w:rFonts w:ascii="Palatino Linotype" w:eastAsia="Palatino Linotype" w:hAnsi="Palatino Linotype" w:cs="Palatino Linotype"/>
          <w:b/>
        </w:rPr>
        <w:t>fundado</w:t>
      </w:r>
      <w:r>
        <w:rPr>
          <w:rFonts w:ascii="Palatino Linotype" w:eastAsia="Palatino Linotype" w:hAnsi="Palatino Linotype" w:cs="Palatino Linotype"/>
        </w:rPr>
        <w:t xml:space="preserve"> el motivo de inconformidad planteado por el 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en el recurso de revisión </w:t>
      </w:r>
      <w:r w:rsidR="00C10946">
        <w:rPr>
          <w:rFonts w:ascii="Palatino Linotype" w:eastAsia="Palatino Linotype" w:hAnsi="Palatino Linotype" w:cs="Palatino Linotype"/>
          <w:b/>
        </w:rPr>
        <w:t>0536</w:t>
      </w:r>
      <w:r>
        <w:rPr>
          <w:rFonts w:ascii="Palatino Linotype" w:eastAsia="Palatino Linotype" w:hAnsi="Palatino Linotype" w:cs="Palatino Linotype"/>
          <w:b/>
        </w:rPr>
        <w:t>4/INFOEM/IP/RR/2021</w:t>
      </w:r>
      <w:r>
        <w:rPr>
          <w:rFonts w:ascii="Palatino Linotype" w:eastAsia="Palatino Linotype" w:hAnsi="Palatino Linotype" w:cs="Palatino Linotype"/>
        </w:rPr>
        <w:t xml:space="preserve">, por lo que, en términos del </w:t>
      </w:r>
      <w:r>
        <w:rPr>
          <w:rFonts w:ascii="Palatino Linotype" w:eastAsia="Palatino Linotype" w:hAnsi="Palatino Linotype" w:cs="Palatino Linotype"/>
          <w:b/>
        </w:rPr>
        <w:t>Considerando Cuarto</w:t>
      </w:r>
      <w:r>
        <w:rPr>
          <w:rFonts w:ascii="Palatino Linotype" w:eastAsia="Palatino Linotype" w:hAnsi="Palatino Linotype" w:cs="Palatino Linotype"/>
        </w:rPr>
        <w:t xml:space="preserve"> de la presente resolución, se </w:t>
      </w:r>
      <w:r>
        <w:rPr>
          <w:rFonts w:ascii="Palatino Linotype" w:eastAsia="Palatino Linotype" w:hAnsi="Palatino Linotype" w:cs="Palatino Linotype"/>
          <w:b/>
        </w:rPr>
        <w:t>MODIFICA</w:t>
      </w:r>
      <w:r>
        <w:rPr>
          <w:rFonts w:ascii="Palatino Linotype" w:eastAsia="Palatino Linotype" w:hAnsi="Palatino Linotype" w:cs="Palatino Linotype"/>
        </w:rPr>
        <w:t xml:space="preserve"> la respuesta emitida por el </w:t>
      </w:r>
      <w:r w:rsidR="003B172C" w:rsidRPr="003B172C">
        <w:rPr>
          <w:rFonts w:ascii="Palatino Linotype" w:eastAsia="Palatino Linotype" w:hAnsi="Palatino Linotype" w:cs="Palatino Linotype"/>
          <w:b/>
        </w:rPr>
        <w:t>Hospital Regional de Alta Especialidad de Zumpango</w:t>
      </w:r>
      <w:r>
        <w:rPr>
          <w:rFonts w:ascii="Palatino Linotype" w:eastAsia="Palatino Linotype" w:hAnsi="Palatino Linotype" w:cs="Palatino Linotype"/>
          <w:b/>
        </w:rPr>
        <w:t>.</w:t>
      </w:r>
    </w:p>
    <w:p w:rsidR="00504E8B" w:rsidRDefault="004F1D6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Segundo.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sidRPr="00F70D05">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en términos de los </w:t>
      </w:r>
      <w:r>
        <w:rPr>
          <w:rFonts w:ascii="Palatino Linotype" w:eastAsia="Palatino Linotype" w:hAnsi="Palatino Linotype" w:cs="Palatino Linotype"/>
          <w:b/>
        </w:rPr>
        <w:t xml:space="preserve">Considerandos Cuarto </w:t>
      </w:r>
      <w:r w:rsidR="00C10946">
        <w:rPr>
          <w:rFonts w:ascii="Palatino Linotype" w:eastAsia="Palatino Linotype" w:hAnsi="Palatino Linotype" w:cs="Palatino Linotype"/>
          <w:b/>
        </w:rPr>
        <w:t xml:space="preserve">y Quinto </w:t>
      </w:r>
      <w:r>
        <w:rPr>
          <w:rFonts w:ascii="Palatino Linotype" w:eastAsia="Palatino Linotype" w:hAnsi="Palatino Linotype" w:cs="Palatino Linotype"/>
        </w:rPr>
        <w:t>de e</w:t>
      </w:r>
      <w:r w:rsidR="00F70D05">
        <w:rPr>
          <w:rFonts w:ascii="Palatino Linotype" w:eastAsia="Palatino Linotype" w:hAnsi="Palatino Linotype" w:cs="Palatino Linotype"/>
        </w:rPr>
        <w:t xml:space="preserve">sta resolución haga entrega a </w:t>
      </w:r>
      <w:r w:rsidR="00F70D05" w:rsidRPr="00F70D05">
        <w:rPr>
          <w:rFonts w:ascii="Palatino Linotype" w:eastAsia="Palatino Linotype" w:hAnsi="Palatino Linotype" w:cs="Palatino Linotype"/>
          <w:b/>
        </w:rPr>
        <w:t>la R</w:t>
      </w:r>
      <w:r w:rsidRPr="00F70D05">
        <w:rPr>
          <w:rFonts w:ascii="Palatino Linotype" w:eastAsia="Palatino Linotype" w:hAnsi="Palatino Linotype" w:cs="Palatino Linotype"/>
          <w:b/>
        </w:rPr>
        <w:t>ecurrente</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w:t>
      </w:r>
      <w:r w:rsidR="004F33EF">
        <w:rPr>
          <w:rFonts w:ascii="Palatino Linotype" w:eastAsia="Palatino Linotype" w:hAnsi="Palatino Linotype" w:cs="Palatino Linotype"/>
        </w:rPr>
        <w:t xml:space="preserve">en versión pública de ser procedente, </w:t>
      </w:r>
      <w:r>
        <w:rPr>
          <w:rFonts w:ascii="Palatino Linotype" w:eastAsia="Palatino Linotype" w:hAnsi="Palatino Linotype" w:cs="Palatino Linotype"/>
        </w:rPr>
        <w:t>de lo siguiente:</w:t>
      </w:r>
    </w:p>
    <w:p w:rsidR="003B172C" w:rsidRDefault="003B172C" w:rsidP="003B172C">
      <w:pPr>
        <w:spacing w:before="240" w:after="240" w:line="360" w:lineRule="auto"/>
        <w:ind w:left="567" w:right="709"/>
        <w:jc w:val="both"/>
        <w:rPr>
          <w:rFonts w:ascii="Palatino Linotype" w:eastAsia="Palatino Linotype" w:hAnsi="Palatino Linotype" w:cs="Palatino Linotype"/>
          <w:b/>
          <w:color w:val="000000"/>
        </w:rPr>
      </w:pPr>
      <w:r w:rsidRPr="003B172C">
        <w:rPr>
          <w:rFonts w:ascii="Palatino Linotype" w:eastAsia="Palatino Linotype" w:hAnsi="Palatino Linotype" w:cs="Palatino Linotype"/>
          <w:b/>
          <w:color w:val="000000"/>
        </w:rPr>
        <w:t xml:space="preserve">La certificación </w:t>
      </w:r>
      <w:r>
        <w:rPr>
          <w:rFonts w:ascii="Palatino Linotype" w:eastAsia="Palatino Linotype" w:hAnsi="Palatino Linotype" w:cs="Palatino Linotype"/>
          <w:b/>
          <w:color w:val="000000"/>
        </w:rPr>
        <w:t xml:space="preserve">en materia de Transparencia de la </w:t>
      </w:r>
      <w:r w:rsidRPr="003B172C">
        <w:rPr>
          <w:rFonts w:ascii="Palatino Linotype" w:eastAsia="Palatino Linotype" w:hAnsi="Palatino Linotype" w:cs="Palatino Linotype"/>
          <w:b/>
          <w:color w:val="000000"/>
        </w:rPr>
        <w:t>Titular de l</w:t>
      </w:r>
      <w:r w:rsidR="00E70479">
        <w:rPr>
          <w:rFonts w:ascii="Palatino Linotype" w:eastAsia="Palatino Linotype" w:hAnsi="Palatino Linotype" w:cs="Palatino Linotype"/>
          <w:b/>
          <w:color w:val="000000"/>
        </w:rPr>
        <w:t>a Unidad de Transparencia, al 11</w:t>
      </w:r>
      <w:r>
        <w:rPr>
          <w:rFonts w:ascii="Palatino Linotype" w:eastAsia="Palatino Linotype" w:hAnsi="Palatino Linotype" w:cs="Palatino Linotype"/>
          <w:b/>
          <w:color w:val="000000"/>
        </w:rPr>
        <w:t xml:space="preserve"> de octubre de 2021</w:t>
      </w:r>
      <w:r w:rsidRPr="003B172C">
        <w:rPr>
          <w:rFonts w:ascii="Palatino Linotype" w:eastAsia="Palatino Linotype" w:hAnsi="Palatino Linotype" w:cs="Palatino Linotype"/>
          <w:b/>
          <w:color w:val="000000"/>
        </w:rPr>
        <w:t xml:space="preserve">. </w:t>
      </w:r>
    </w:p>
    <w:p w:rsidR="003B172C" w:rsidRPr="003B172C" w:rsidRDefault="003B172C" w:rsidP="003B172C">
      <w:pPr>
        <w:spacing w:before="240" w:after="240"/>
        <w:ind w:left="567" w:right="709"/>
        <w:jc w:val="both"/>
        <w:rPr>
          <w:rFonts w:ascii="Palatino Linotype" w:eastAsia="Palatino Linotype" w:hAnsi="Palatino Linotype" w:cs="Palatino Linotype"/>
          <w:i/>
          <w:color w:val="000000"/>
          <w:sz w:val="22"/>
        </w:rPr>
      </w:pPr>
      <w:r w:rsidRPr="003B172C">
        <w:rPr>
          <w:rFonts w:ascii="Palatino Linotype" w:eastAsia="Palatino Linotype" w:hAnsi="Palatino Linotype" w:cs="Palatino Linotype"/>
          <w:i/>
          <w:color w:val="000000"/>
          <w:sz w:val="22"/>
        </w:rPr>
        <w:t>Asimismo, 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del Recurrente.</w:t>
      </w:r>
    </w:p>
    <w:p w:rsidR="00F70D05" w:rsidRPr="00F70D05" w:rsidRDefault="00E62E4A" w:rsidP="00E62E4A">
      <w:pPr>
        <w:spacing w:before="240" w:after="240"/>
        <w:ind w:left="567" w:right="709"/>
        <w:jc w:val="both"/>
        <w:rPr>
          <w:rFonts w:ascii="Palatino Linotype" w:eastAsia="Palatino Linotype" w:hAnsi="Palatino Linotype" w:cs="Palatino Linotype"/>
          <w:i/>
          <w:color w:val="000000"/>
          <w:sz w:val="22"/>
        </w:rPr>
      </w:pPr>
      <w:r w:rsidRPr="00E62E4A">
        <w:rPr>
          <w:rFonts w:ascii="Palatino Linotype" w:eastAsia="Palatino Linotype" w:hAnsi="Palatino Linotype" w:cs="Palatino Linotype"/>
          <w:i/>
          <w:color w:val="000000"/>
          <w:sz w:val="22"/>
        </w:rPr>
        <w:t>En caso de que el Sujeto Oblig</w:t>
      </w:r>
      <w:r>
        <w:rPr>
          <w:rFonts w:ascii="Palatino Linotype" w:eastAsia="Palatino Linotype" w:hAnsi="Palatino Linotype" w:cs="Palatino Linotype"/>
          <w:i/>
          <w:color w:val="000000"/>
          <w:sz w:val="22"/>
        </w:rPr>
        <w:t xml:space="preserve">ado no posea en sus archivos la </w:t>
      </w:r>
      <w:r w:rsidRPr="00E62E4A">
        <w:rPr>
          <w:rFonts w:ascii="Palatino Linotype" w:eastAsia="Palatino Linotype" w:hAnsi="Palatino Linotype" w:cs="Palatino Linotype"/>
          <w:i/>
          <w:color w:val="000000"/>
          <w:sz w:val="22"/>
        </w:rPr>
        <w:t>certificación en materia de transparenc</w:t>
      </w:r>
      <w:r>
        <w:rPr>
          <w:rFonts w:ascii="Palatino Linotype" w:eastAsia="Palatino Linotype" w:hAnsi="Palatino Linotype" w:cs="Palatino Linotype"/>
          <w:i/>
          <w:color w:val="000000"/>
          <w:sz w:val="22"/>
        </w:rPr>
        <w:t xml:space="preserve">ia ordenada, bastará </w:t>
      </w:r>
      <w:r w:rsidR="00465ED1">
        <w:rPr>
          <w:rFonts w:ascii="Palatino Linotype" w:eastAsia="Palatino Linotype" w:hAnsi="Palatino Linotype" w:cs="Palatino Linotype"/>
          <w:i/>
          <w:color w:val="000000"/>
          <w:sz w:val="22"/>
        </w:rPr>
        <w:t xml:space="preserve">con </w:t>
      </w:r>
      <w:r>
        <w:rPr>
          <w:rFonts w:ascii="Palatino Linotype" w:eastAsia="Palatino Linotype" w:hAnsi="Palatino Linotype" w:cs="Palatino Linotype"/>
          <w:i/>
          <w:color w:val="000000"/>
          <w:sz w:val="22"/>
        </w:rPr>
        <w:t xml:space="preserve">que así lo </w:t>
      </w:r>
      <w:r w:rsidRPr="00E62E4A">
        <w:rPr>
          <w:rFonts w:ascii="Palatino Linotype" w:eastAsia="Palatino Linotype" w:hAnsi="Palatino Linotype" w:cs="Palatino Linotype"/>
          <w:i/>
          <w:color w:val="000000"/>
          <w:sz w:val="22"/>
        </w:rPr>
        <w:t>haga saber al particular de manera fundada y motivada.</w:t>
      </w:r>
    </w:p>
    <w:p w:rsidR="00504E8B" w:rsidRDefault="004F1D66" w:rsidP="00F70D0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 xml:space="preserve">vía Sistema de Acceso a la Información Mexiquense (SAIMEX), </w:t>
      </w:r>
      <w:r>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504E8B" w:rsidRDefault="004F1D6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504E8B" w:rsidRDefault="004F1D6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rPr>
        <w:t>al recurrente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presente resolución, </w:t>
      </w:r>
      <w:r>
        <w:rPr>
          <w:rFonts w:ascii="Palatino Linotype" w:eastAsia="Palatino Linotype" w:hAnsi="Palatino Linotype" w:cs="Palatino Linotype"/>
          <w:b/>
        </w:rPr>
        <w:t xml:space="preserve">vía Sistema de Acceso a la Información Mexiquense (SAIMEX), </w:t>
      </w:r>
      <w:r>
        <w:rPr>
          <w:rFonts w:ascii="Palatino Linotype" w:eastAsia="Palatino Linotype" w:hAnsi="Palatino Linotype" w:cs="Palatino Linotype"/>
        </w:rPr>
        <w:t xml:space="preserve">así como que podrá impugnarla vía </w:t>
      </w:r>
      <w:r>
        <w:rPr>
          <w:rFonts w:ascii="Palatino Linotype" w:eastAsia="Palatino Linotype" w:hAnsi="Palatino Linotype" w:cs="Palatino Linotype"/>
          <w:b/>
        </w:rPr>
        <w:t>Juicio de Amparo</w:t>
      </w:r>
      <w:r>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 </w:t>
      </w:r>
    </w:p>
    <w:p w:rsidR="003B172C" w:rsidRPr="003B172C" w:rsidRDefault="003B172C">
      <w:pPr>
        <w:spacing w:before="240" w:after="240" w:line="360" w:lineRule="auto"/>
        <w:jc w:val="both"/>
        <w:rPr>
          <w:rFonts w:ascii="Palatino Linotype" w:hAnsi="Palatino Linotype" w:cs="Arial"/>
          <w:b/>
          <w:sz w:val="28"/>
          <w:szCs w:val="28"/>
          <w:lang w:eastAsia="es-ES"/>
        </w:rPr>
      </w:pPr>
      <w:r w:rsidRPr="003B172C">
        <w:rPr>
          <w:rFonts w:ascii="Palatino Linotype" w:hAnsi="Palatino Linotype" w:cs="Arial"/>
          <w:b/>
          <w:szCs w:val="28"/>
          <w:lang w:eastAsia="es-ES"/>
        </w:rPr>
        <w:t>Sexto.</w:t>
      </w:r>
      <w:r w:rsidRPr="003B172C">
        <w:rPr>
          <w:rFonts w:ascii="Palatino Linotype" w:hAnsi="Palatino Linotype" w:cs="Arial"/>
          <w:b/>
          <w:lang w:eastAsia="es-ES"/>
        </w:rPr>
        <w:t xml:space="preserve"> Gírese</w:t>
      </w:r>
      <w:r w:rsidRPr="003B172C">
        <w:rPr>
          <w:rFonts w:ascii="Palatino Linotype" w:hAnsi="Palatino Linotype" w:cs="Arial"/>
          <w:lang w:eastAsia="es-ES"/>
        </w:rPr>
        <w:t xml:space="preserve"> oficio al Contralor Interno de este Instituto para que actúe en razón de su competencia, en término de lo expuesto en el </w:t>
      </w:r>
      <w:r w:rsidRPr="003B172C">
        <w:rPr>
          <w:rFonts w:ascii="Palatino Linotype" w:hAnsi="Palatino Linotype" w:cs="Arial"/>
          <w:b/>
          <w:lang w:eastAsia="es-ES"/>
        </w:rPr>
        <w:t>Considerando Cuarto</w:t>
      </w:r>
      <w:r w:rsidRPr="003B172C">
        <w:rPr>
          <w:rFonts w:ascii="Palatino Linotype" w:hAnsi="Palatino Linotype" w:cs="Arial"/>
          <w:lang w:eastAsia="es-ES"/>
        </w:rPr>
        <w:t xml:space="preserve"> de la presente resolución.</w:t>
      </w:r>
    </w:p>
    <w:p w:rsidR="00504E8B" w:rsidRDefault="00BF17AB">
      <w:pP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222222"/>
          <w:lang w:val="es-MX"/>
        </w:rPr>
        <mc:AlternateContent>
          <mc:Choice Requires="wps">
            <w:drawing>
              <wp:anchor distT="0" distB="0" distL="114300" distR="114300" simplePos="0" relativeHeight="251661312" behindDoc="0" locked="0" layoutInCell="1" allowOverlap="1">
                <wp:simplePos x="0" y="0"/>
                <wp:positionH relativeFrom="column">
                  <wp:posOffset>110489</wp:posOffset>
                </wp:positionH>
                <wp:positionV relativeFrom="paragraph">
                  <wp:posOffset>3009264</wp:posOffset>
                </wp:positionV>
                <wp:extent cx="5114925" cy="3533775"/>
                <wp:effectExtent l="0" t="0" r="28575" b="28575"/>
                <wp:wrapNone/>
                <wp:docPr id="9" name="Conector recto 9"/>
                <wp:cNvGraphicFramePr/>
                <a:graphic xmlns:a="http://schemas.openxmlformats.org/drawingml/2006/main">
                  <a:graphicData uri="http://schemas.microsoft.com/office/word/2010/wordprocessingShape">
                    <wps:wsp>
                      <wps:cNvCnPr/>
                      <wps:spPr>
                        <a:xfrm>
                          <a:off x="0" y="0"/>
                          <a:ext cx="5114925" cy="3533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E59C4E" id="Conector recto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7pt,236.95pt" to="411.45pt,5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" strokecolor="black [3040]"/>
            </w:pict>
          </mc:Fallback>
        </mc:AlternateContent>
      </w:r>
      <w:r w:rsidR="004F1D66">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4F33EF">
        <w:rPr>
          <w:rFonts w:ascii="Palatino Linotype" w:eastAsia="Palatino Linotype" w:hAnsi="Palatino Linotype" w:cs="Palatino Linotype"/>
          <w:color w:val="222222"/>
          <w:highlight w:val="white"/>
        </w:rPr>
        <w:t xml:space="preserve"> (AUNSENCIA JUSTIFICADA)</w:t>
      </w:r>
      <w:r w:rsidR="004F1D66">
        <w:rPr>
          <w:rFonts w:ascii="Palatino Linotype" w:eastAsia="Palatino Linotype" w:hAnsi="Palatino Linotype" w:cs="Palatino Linotype"/>
          <w:color w:val="222222"/>
          <w:highlight w:val="white"/>
        </w:rPr>
        <w:t xml:space="preserve">, LUIS GUSTAVO PARRA NORIEGA Y GUADALUPE RAMÍREZ PEÑA; EN LA </w:t>
      </w:r>
      <w:r w:rsidR="004F33EF">
        <w:rPr>
          <w:rFonts w:ascii="Palatino Linotype" w:eastAsia="Palatino Linotype" w:hAnsi="Palatino Linotype" w:cs="Palatino Linotype"/>
          <w:color w:val="222222"/>
          <w:highlight w:val="white"/>
        </w:rPr>
        <w:t xml:space="preserve">TECERA </w:t>
      </w:r>
      <w:r w:rsidR="004F1D66">
        <w:rPr>
          <w:rFonts w:ascii="Palatino Linotype" w:eastAsia="Palatino Linotype" w:hAnsi="Palatino Linotype" w:cs="Palatino Linotype"/>
          <w:color w:val="222222"/>
          <w:highlight w:val="white"/>
        </w:rPr>
        <w:t>SESIÓN ORDI</w:t>
      </w:r>
      <w:r w:rsidR="004F33EF">
        <w:rPr>
          <w:rFonts w:ascii="Palatino Linotype" w:eastAsia="Palatino Linotype" w:hAnsi="Palatino Linotype" w:cs="Palatino Linotype"/>
          <w:color w:val="222222"/>
          <w:highlight w:val="white"/>
        </w:rPr>
        <w:t>NARIA CELEBRADA EL VEINTISIETE</w:t>
      </w:r>
      <w:r w:rsidR="004F33EF">
        <w:rPr>
          <w:rFonts w:ascii="Palatino Linotype" w:eastAsia="Palatino Linotype" w:hAnsi="Palatino Linotype" w:cs="Palatino Linotype"/>
        </w:rPr>
        <w:t xml:space="preserve"> DE ENERO DE DOS MIL VEINTIDÓS</w:t>
      </w:r>
      <w:r w:rsidR="004F1D66">
        <w:rPr>
          <w:rFonts w:ascii="Palatino Linotype" w:eastAsia="Palatino Linotype" w:hAnsi="Palatino Linotype" w:cs="Palatino Linotype"/>
        </w:rPr>
        <w:t>, ANTE EL SECRETARIO TÉCNICO DEL PLENO ALEXIS TAPIA RAMÍREZ.</w:t>
      </w:r>
    </w:p>
    <w:p w:rsidR="00504E8B" w:rsidRDefault="00504E8B">
      <w:pPr>
        <w:spacing w:before="240" w:after="240" w:line="360" w:lineRule="auto"/>
        <w:jc w:val="both"/>
        <w:rPr>
          <w:rFonts w:ascii="Palatino Linotype" w:eastAsia="Palatino Linotype" w:hAnsi="Palatino Linotype" w:cs="Palatino Linotype"/>
        </w:rPr>
        <w:sectPr w:rsidR="00504E8B">
          <w:headerReference w:type="default" r:id="rId14"/>
          <w:footerReference w:type="default" r:id="rId15"/>
          <w:headerReference w:type="first" r:id="rId16"/>
          <w:footerReference w:type="first" r:id="rId17"/>
          <w:pgSz w:w="12240" w:h="15840"/>
          <w:pgMar w:top="1985" w:right="1892" w:bottom="1701" w:left="1701" w:header="709" w:footer="709" w:gutter="0"/>
          <w:pgNumType w:start="1"/>
          <w:cols w:space="720"/>
          <w:titlePg/>
        </w:sectPr>
      </w:pPr>
    </w:p>
    <w:p w:rsidR="00504E8B" w:rsidRDefault="00504E8B">
      <w:pPr>
        <w:spacing w:before="240" w:after="240" w:line="360" w:lineRule="auto"/>
        <w:jc w:val="both"/>
        <w:rPr>
          <w:rFonts w:ascii="Palatino Linotype" w:eastAsia="Palatino Linotype" w:hAnsi="Palatino Linotype" w:cs="Palatino Linotype"/>
        </w:rPr>
      </w:pPr>
    </w:p>
    <w:sectPr w:rsidR="00504E8B">
      <w:headerReference w:type="first" r:id="rId18"/>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215" w:rsidRDefault="004F1D66">
      <w:r>
        <w:separator/>
      </w:r>
    </w:p>
  </w:endnote>
  <w:endnote w:type="continuationSeparator" w:id="0">
    <w:p w:rsidR="00805215" w:rsidRDefault="004F1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E8B" w:rsidRDefault="004F1D6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E4726">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E4726">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p>
  <w:p w:rsidR="00504E8B" w:rsidRDefault="00504E8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E8B" w:rsidRDefault="004F1D6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E4726">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E4726">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p>
  <w:p w:rsidR="00504E8B" w:rsidRDefault="00504E8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215" w:rsidRDefault="004F1D66">
      <w:r>
        <w:separator/>
      </w:r>
    </w:p>
  </w:footnote>
  <w:footnote w:type="continuationSeparator" w:id="0">
    <w:p w:rsidR="00805215" w:rsidRDefault="004F1D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E8B" w:rsidRDefault="004F1D66">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-1121409</wp:posOffset>
          </wp:positionH>
          <wp:positionV relativeFrom="paragraph">
            <wp:posOffset>-415289</wp:posOffset>
          </wp:positionV>
          <wp:extent cx="7809865" cy="10165715"/>
          <wp:effectExtent l="0" t="0" r="0" b="0"/>
          <wp:wrapNone/>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504E8B">
      <w:tc>
        <w:tcPr>
          <w:tcW w:w="2489" w:type="dxa"/>
          <w:shd w:val="clear" w:color="auto" w:fill="auto"/>
        </w:tcPr>
        <w:p w:rsidR="00504E8B" w:rsidRDefault="004F1D6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504E8B" w:rsidRDefault="00E61CB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0536</w:t>
          </w:r>
          <w:r w:rsidR="004F1D66">
            <w:rPr>
              <w:rFonts w:ascii="Palatino Linotype" w:eastAsia="Palatino Linotype" w:hAnsi="Palatino Linotype" w:cs="Palatino Linotype"/>
              <w:b/>
              <w:sz w:val="22"/>
              <w:szCs w:val="22"/>
            </w:rPr>
            <w:t>4/INFOEM/IP/RR/2021</w:t>
          </w:r>
        </w:p>
      </w:tc>
    </w:tr>
    <w:tr w:rsidR="00504E8B">
      <w:trPr>
        <w:trHeight w:val="228"/>
      </w:trPr>
      <w:tc>
        <w:tcPr>
          <w:tcW w:w="2489" w:type="dxa"/>
          <w:shd w:val="clear" w:color="auto" w:fill="auto"/>
          <w:vAlign w:val="center"/>
        </w:tcPr>
        <w:p w:rsidR="00504E8B" w:rsidRDefault="004F1D6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504E8B" w:rsidRDefault="00E61CB7" w:rsidP="00E61CB7">
          <w:pPr>
            <w:ind w:right="452"/>
            <w:jc w:val="both"/>
            <w:rPr>
              <w:rFonts w:ascii="Palatino Linotype" w:eastAsia="Palatino Linotype" w:hAnsi="Palatino Linotype" w:cs="Palatino Linotype"/>
              <w:b/>
              <w:sz w:val="22"/>
              <w:szCs w:val="22"/>
            </w:rPr>
          </w:pPr>
          <w:r w:rsidRPr="00E61CB7">
            <w:rPr>
              <w:rFonts w:ascii="Palatino Linotype" w:eastAsia="Palatino Linotype" w:hAnsi="Palatino Linotype" w:cs="Palatino Linotype"/>
              <w:b/>
              <w:sz w:val="22"/>
              <w:szCs w:val="22"/>
            </w:rPr>
            <w:t>Hospital Regional de Alta Especialidad de Zumpango</w:t>
          </w:r>
        </w:p>
      </w:tc>
    </w:tr>
    <w:tr w:rsidR="00504E8B">
      <w:tc>
        <w:tcPr>
          <w:tcW w:w="2489" w:type="dxa"/>
          <w:shd w:val="clear" w:color="auto" w:fill="auto"/>
          <w:vAlign w:val="center"/>
        </w:tcPr>
        <w:p w:rsidR="00504E8B" w:rsidRDefault="004F1D6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504E8B" w:rsidRDefault="004F1D6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504E8B" w:rsidRDefault="004F1D66">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E8B" w:rsidRDefault="00504E8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0"/>
      <w:tblW w:w="5953" w:type="dxa"/>
      <w:tblInd w:w="3261" w:type="dxa"/>
      <w:tblLayout w:type="fixed"/>
      <w:tblLook w:val="0400" w:firstRow="0" w:lastRow="0" w:firstColumn="0" w:lastColumn="0" w:noHBand="0" w:noVBand="1"/>
    </w:tblPr>
    <w:tblGrid>
      <w:gridCol w:w="2551"/>
      <w:gridCol w:w="3402"/>
    </w:tblGrid>
    <w:tr w:rsidR="00504E8B">
      <w:tc>
        <w:tcPr>
          <w:tcW w:w="2551" w:type="dxa"/>
          <w:shd w:val="clear" w:color="auto" w:fill="auto"/>
          <w:vAlign w:val="center"/>
        </w:tcPr>
        <w:p w:rsidR="00504E8B" w:rsidRDefault="004F1D6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shd w:val="clear" w:color="auto" w:fill="auto"/>
          <w:vAlign w:val="center"/>
        </w:tcPr>
        <w:p w:rsidR="00504E8B" w:rsidRDefault="00E61CB7">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0536</w:t>
          </w:r>
          <w:r w:rsidR="004F1D66">
            <w:rPr>
              <w:rFonts w:ascii="Palatino Linotype" w:eastAsia="Palatino Linotype" w:hAnsi="Palatino Linotype" w:cs="Palatino Linotype"/>
              <w:b/>
              <w:sz w:val="22"/>
              <w:szCs w:val="22"/>
            </w:rPr>
            <w:t xml:space="preserve">4/INFOEM/IP/RR/2021 </w:t>
          </w:r>
        </w:p>
      </w:tc>
    </w:tr>
    <w:tr w:rsidR="00504E8B">
      <w:trPr>
        <w:trHeight w:val="130"/>
      </w:trPr>
      <w:tc>
        <w:tcPr>
          <w:tcW w:w="2551" w:type="dxa"/>
          <w:shd w:val="clear" w:color="auto" w:fill="auto"/>
          <w:vAlign w:val="center"/>
        </w:tcPr>
        <w:p w:rsidR="00504E8B" w:rsidRDefault="004F1D6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shd w:val="clear" w:color="auto" w:fill="auto"/>
          <w:vAlign w:val="center"/>
        </w:tcPr>
        <w:p w:rsidR="00504E8B" w:rsidRDefault="009E4726">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XXXXXXX</w:t>
          </w:r>
        </w:p>
      </w:tc>
    </w:tr>
    <w:tr w:rsidR="00504E8B">
      <w:trPr>
        <w:trHeight w:val="228"/>
      </w:trPr>
      <w:tc>
        <w:tcPr>
          <w:tcW w:w="2551" w:type="dxa"/>
          <w:shd w:val="clear" w:color="auto" w:fill="auto"/>
          <w:vAlign w:val="center"/>
        </w:tcPr>
        <w:p w:rsidR="00504E8B" w:rsidRDefault="004F1D6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shd w:val="clear" w:color="auto" w:fill="auto"/>
          <w:vAlign w:val="center"/>
        </w:tcPr>
        <w:p w:rsidR="00504E8B" w:rsidRDefault="00E61CB7" w:rsidP="00E61CB7">
          <w:pPr>
            <w:ind w:left="-45" w:right="310"/>
            <w:jc w:val="both"/>
            <w:rPr>
              <w:rFonts w:ascii="Palatino Linotype" w:eastAsia="Palatino Linotype" w:hAnsi="Palatino Linotype" w:cs="Palatino Linotype"/>
              <w:b/>
              <w:sz w:val="22"/>
              <w:szCs w:val="22"/>
            </w:rPr>
          </w:pPr>
          <w:r w:rsidRPr="00E61CB7">
            <w:rPr>
              <w:rFonts w:ascii="Palatino Linotype" w:eastAsia="Palatino Linotype" w:hAnsi="Palatino Linotype" w:cs="Palatino Linotype"/>
              <w:b/>
              <w:bCs/>
              <w:sz w:val="22"/>
              <w:szCs w:val="22"/>
            </w:rPr>
            <w:t>Hospital Regional de Alta Especialidad de Zumpango</w:t>
          </w:r>
        </w:p>
      </w:tc>
    </w:tr>
    <w:tr w:rsidR="00504E8B">
      <w:tc>
        <w:tcPr>
          <w:tcW w:w="2551" w:type="dxa"/>
          <w:shd w:val="clear" w:color="auto" w:fill="auto"/>
          <w:vAlign w:val="center"/>
        </w:tcPr>
        <w:p w:rsidR="00504E8B" w:rsidRDefault="004F1D6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shd w:val="clear" w:color="auto" w:fill="auto"/>
          <w:vAlign w:val="center"/>
        </w:tcPr>
        <w:p w:rsidR="00504E8B" w:rsidRDefault="004F1D66">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504E8B" w:rsidRDefault="004F1D66">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-1139189</wp:posOffset>
          </wp:positionH>
          <wp:positionV relativeFrom="paragraph">
            <wp:posOffset>-1198879</wp:posOffset>
          </wp:positionV>
          <wp:extent cx="7809876" cy="10165823"/>
          <wp:effectExtent l="0" t="0" r="0" b="0"/>
          <wp:wrapNone/>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E8B" w:rsidRDefault="00504E8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519B7"/>
    <w:multiLevelType w:val="multilevel"/>
    <w:tmpl w:val="6AD4B1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7720BE1"/>
    <w:multiLevelType w:val="multilevel"/>
    <w:tmpl w:val="DD98BE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355071C0"/>
    <w:multiLevelType w:val="multilevel"/>
    <w:tmpl w:val="317A8AFC"/>
    <w:lvl w:ilvl="0">
      <w:start w:val="1"/>
      <w:numFmt w:val="lowerLetter"/>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8030217"/>
    <w:multiLevelType w:val="multilevel"/>
    <w:tmpl w:val="90E63C84"/>
    <w:lvl w:ilvl="0">
      <w:start w:val="3"/>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7A40F6B"/>
    <w:multiLevelType w:val="hybridMultilevel"/>
    <w:tmpl w:val="37FC43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E8B"/>
    <w:rsid w:val="00032D93"/>
    <w:rsid w:val="000412FB"/>
    <w:rsid w:val="000811D9"/>
    <w:rsid w:val="00122058"/>
    <w:rsid w:val="002E2C56"/>
    <w:rsid w:val="003B172C"/>
    <w:rsid w:val="00465ED1"/>
    <w:rsid w:val="004F1D66"/>
    <w:rsid w:val="004F33EF"/>
    <w:rsid w:val="00504E8B"/>
    <w:rsid w:val="00541B5C"/>
    <w:rsid w:val="00554E6A"/>
    <w:rsid w:val="005B39E0"/>
    <w:rsid w:val="005D64AB"/>
    <w:rsid w:val="00714A68"/>
    <w:rsid w:val="007E52A6"/>
    <w:rsid w:val="007E5747"/>
    <w:rsid w:val="00805215"/>
    <w:rsid w:val="00844330"/>
    <w:rsid w:val="0089700E"/>
    <w:rsid w:val="0094384E"/>
    <w:rsid w:val="009A0771"/>
    <w:rsid w:val="009E4726"/>
    <w:rsid w:val="00BA5D23"/>
    <w:rsid w:val="00BC3E8F"/>
    <w:rsid w:val="00BF17AB"/>
    <w:rsid w:val="00C10946"/>
    <w:rsid w:val="00C418A2"/>
    <w:rsid w:val="00C829E2"/>
    <w:rsid w:val="00CF5784"/>
    <w:rsid w:val="00D80E46"/>
    <w:rsid w:val="00E61CB7"/>
    <w:rsid w:val="00E62E4A"/>
    <w:rsid w:val="00E70479"/>
    <w:rsid w:val="00E87D6D"/>
    <w:rsid w:val="00EB1F72"/>
    <w:rsid w:val="00EB3538"/>
    <w:rsid w:val="00F70D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8401F0E-13D8-42BA-BD51-ADA7F0640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8A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style>
  <w:style w:type="numbering" w:customStyle="1" w:styleId="Estiloimportado1">
    <w:name w:val="Estilo importado 1"/>
    <w:rsid w:val="005D54F5"/>
  </w:style>
  <w:style w:type="paragraph" w:customStyle="1" w:styleId="INCISO">
    <w:name w:val="INCISO"/>
    <w:basedOn w:val="Normal"/>
    <w:rsid w:val="005D54F5"/>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5D54F5"/>
    <w:pPr>
      <w:spacing w:before="100" w:beforeAutospacing="1" w:after="100" w:afterAutospacing="1"/>
    </w:pPr>
    <w:rPr>
      <w:lang w:val="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rPr>
  </w:style>
  <w:style w:type="table" w:customStyle="1" w:styleId="Tablaconcuadrcula11">
    <w:name w:val="Tabla con cuadrícula11"/>
    <w:basedOn w:val="Tablanormal"/>
    <w:next w:val="Tablaconcuadrcula"/>
    <w:uiPriority w:val="59"/>
    <w:rsid w:val="005D54F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 w:type="table" w:customStyle="1" w:styleId="Tabladelista1clara-nfasis121">
    <w:name w:val="Tabla de lista 1 clara - Énfasis 121"/>
    <w:basedOn w:val="Tablanormal"/>
    <w:next w:val="Tabladelista1clara-nfasis1"/>
    <w:uiPriority w:val="46"/>
    <w:rsid w:val="00DC57D8"/>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Tabladelista1clara-nfasis1111">
    <w:name w:val="Tabla de lista 1 clara - Énfasis 1111"/>
    <w:basedOn w:val="Tablanormal"/>
    <w:next w:val="Tabladelista1clara-nfasis1"/>
    <w:uiPriority w:val="46"/>
    <w:rsid w:val="00844330"/>
    <w:rPr>
      <w:rFonts w:asciiTheme="minorHAnsi" w:eastAsia="MS Mincho" w:hAnsiTheme="minorHAnsi" w:cstheme="minorBidi"/>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baw73EGtxxYtxohVWhIBWUfmQ==">AMUW2mVbaeL3Pavn6+ys+fNgN1MkuF8D5K7VhpGSbX15K2WNNELp5WLephICRDji0UTniKTlFgBiC/aGzj+nP0PRT4L+DitvEOk55Vlk2kafXOMA33fqZL+brrdRgzDtjraN5RdZg76Yt4u+Yzd7mzIv5qnajuQ5t5zYdMj37yqpJ8zMg+cjGiaHeV9F+/zGzGN3W8fVbC1d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8851</Words>
  <Characters>48681</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57418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2</cp:revision>
  <dcterms:created xsi:type="dcterms:W3CDTF">2022-01-30T23:28:00Z</dcterms:created>
  <dcterms:modified xsi:type="dcterms:W3CDTF">2022-01-30T23:28:00Z</dcterms:modified>
</cp:coreProperties>
</file>