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5CA" w:rsidRDefault="00362071">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diecinueve de octubre de dos mil veintidós.</w:t>
      </w:r>
    </w:p>
    <w:p w:rsidR="00B325CA" w:rsidRDefault="00B325CA">
      <w:pPr>
        <w:spacing w:after="0" w:line="360" w:lineRule="auto"/>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08844/INFOEM/IP/RR/2022</w:t>
      </w:r>
      <w:r>
        <w:rPr>
          <w:rFonts w:ascii="Palatino Linotype" w:eastAsia="Palatino Linotype" w:hAnsi="Palatino Linotype" w:cs="Palatino Linotype"/>
          <w:sz w:val="24"/>
          <w:szCs w:val="24"/>
        </w:rPr>
        <w:t xml:space="preserve">, interpuesto por un particular de manera anónima, a quien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04481/DIFMETEPEC/IP/2022</w:t>
      </w:r>
      <w:r>
        <w:rPr>
          <w:rFonts w:ascii="Palatino Linotype" w:eastAsia="Palatino Linotype" w:hAnsi="Palatino Linotype" w:cs="Palatino Linotype"/>
          <w:sz w:val="24"/>
          <w:szCs w:val="24"/>
        </w:rPr>
        <w:t xml:space="preserve">, por parte del Sistema Municipal Para el Desarrollo Integral de la Familia de Metepec,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B325CA" w:rsidRDefault="00B325CA">
      <w:pPr>
        <w:spacing w:after="0" w:line="360" w:lineRule="auto"/>
        <w:jc w:val="center"/>
        <w:rPr>
          <w:rFonts w:ascii="Palatino Linotype" w:eastAsia="Palatino Linotype" w:hAnsi="Palatino Linotype" w:cs="Palatino Linotype"/>
          <w:b/>
        </w:rPr>
      </w:pPr>
    </w:p>
    <w:p w:rsidR="00B325CA" w:rsidRDefault="00362071">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AN T E C E D E N T E S </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cinco de abril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Pr>
          <w:rFonts w:ascii="Palatino Linotype" w:eastAsia="Palatino Linotype" w:hAnsi="Palatino Linotype" w:cs="Palatino Linotype"/>
          <w:b/>
          <w:sz w:val="24"/>
          <w:szCs w:val="24"/>
        </w:rPr>
        <w:t>04481/DIFMETEPEC/IP/2022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rsidR="00B325CA" w:rsidRDefault="00B325CA">
      <w:pPr>
        <w:spacing w:after="0" w:line="360" w:lineRule="auto"/>
        <w:ind w:right="49"/>
        <w:jc w:val="both"/>
        <w:rPr>
          <w:rFonts w:ascii="Palatino Linotype" w:eastAsia="Palatino Linotype" w:hAnsi="Palatino Linotype" w:cs="Palatino Linotype"/>
          <w:sz w:val="24"/>
          <w:szCs w:val="24"/>
        </w:rPr>
      </w:pPr>
    </w:p>
    <w:p w:rsidR="00B325CA" w:rsidRDefault="00362071">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“solicito el documento de certificación de la persona titular del órgano interno de control de quien ocupe el cargo actualmente” (Sic).</w:t>
      </w:r>
    </w:p>
    <w:p w:rsidR="00B325CA" w:rsidRDefault="00B325CA">
      <w:pPr>
        <w:spacing w:after="0" w:line="360" w:lineRule="auto"/>
        <w:ind w:right="49"/>
        <w:jc w:val="both"/>
        <w:rPr>
          <w:rFonts w:ascii="Palatino Linotype" w:eastAsia="Palatino Linotype" w:hAnsi="Palatino Linotype" w:cs="Palatino Linotype"/>
          <w:sz w:val="24"/>
          <w:szCs w:val="24"/>
        </w:rPr>
      </w:pPr>
    </w:p>
    <w:p w:rsidR="00B325CA" w:rsidRDefault="0036207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B325CA" w:rsidRDefault="00B325CA">
      <w:pPr>
        <w:spacing w:after="0" w:line="360" w:lineRule="auto"/>
        <w:ind w:right="49"/>
        <w:jc w:val="both"/>
        <w:rPr>
          <w:rFonts w:ascii="Palatino Linotype" w:eastAsia="Palatino Linotype" w:hAnsi="Palatino Linotype" w:cs="Palatino Linotype"/>
          <w:sz w:val="24"/>
          <w:szCs w:val="24"/>
        </w:rPr>
      </w:pPr>
    </w:p>
    <w:p w:rsidR="00B325CA" w:rsidRDefault="00362071">
      <w:pPr>
        <w:spacing w:after="0" w:line="360" w:lineRule="auto"/>
        <w:jc w:val="both"/>
        <w:rPr>
          <w:sz w:val="24"/>
          <w:szCs w:val="24"/>
        </w:rPr>
      </w:pPr>
      <w:r>
        <w:rPr>
          <w:rFonts w:ascii="Palatino Linotype" w:eastAsia="Palatino Linotype" w:hAnsi="Palatino Linotype" w:cs="Palatino Linotype"/>
          <w:b/>
          <w:sz w:val="24"/>
          <w:szCs w:val="24"/>
        </w:rPr>
        <w:t xml:space="preserve">2. DE LA SOLICITUD DE ACLARACIÓN. </w:t>
      </w:r>
      <w:r>
        <w:rPr>
          <w:rFonts w:ascii="Palatino Linotype" w:eastAsia="Palatino Linotype" w:hAnsi="Palatino Linotype" w:cs="Palatino Linotype"/>
          <w:sz w:val="24"/>
          <w:szCs w:val="24"/>
        </w:rPr>
        <w:t xml:space="preserve">Con fecha diecinueve de abril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aclaración, a través del SAIMEX, a la solicitud de acceso a la información, de la siguiente manera:</w:t>
      </w:r>
      <w:r>
        <w:rPr>
          <w:sz w:val="24"/>
          <w:szCs w:val="24"/>
        </w:rPr>
        <w:t xml:space="preserve"> </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articulo 159 de la Ley de Transparencia y Acceso a la Información Pública del Estado de México y Municipios, se le requiere para que dentro del plazo de diez días hábiles realice lo siguiente:</w:t>
      </w:r>
    </w:p>
    <w:p w:rsidR="00B325CA" w:rsidRDefault="00362071">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 SOLICITUD NO ES CLARA, SE SOLICITA AL RECURRENTE REALICE ACLARACIÓN TOTAL DE LA INFORMACIÓN A OBTENER</w:t>
      </w:r>
    </w:p>
    <w:p w:rsidR="00B325CA" w:rsidRDefault="00362071">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B325CA" w:rsidRDefault="00362071">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B325CA" w:rsidRDefault="00362071">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Licenciado FERNANDO OSCAR ZAPATA NAVARRETE</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3. DE LA RESPUESTA DE ACLARACIÓN. </w:t>
      </w:r>
      <w:r>
        <w:rPr>
          <w:rFonts w:ascii="Palatino Linotype" w:eastAsia="Palatino Linotype" w:hAnsi="Palatino Linotype" w:cs="Palatino Linotype"/>
          <w:sz w:val="24"/>
          <w:szCs w:val="24"/>
        </w:rPr>
        <w:t>Con fecha veinte de abril del dos mil veintidós, el particular dio atención a la solicitud de la aclaración, en los siguientes términos:</w:t>
      </w:r>
    </w:p>
    <w:p w:rsidR="00B325CA" w:rsidRDefault="00362071">
      <w:pPr>
        <w:spacing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“solicito el documento de certificación de la persona titular del órgano interno de control de quien ocupe el cargo actualmente” (Sic)</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DE LA PRÓRROGA</w:t>
      </w:r>
      <w:r>
        <w:rPr>
          <w:rFonts w:ascii="Palatino Linotype" w:eastAsia="Palatino Linotype" w:hAnsi="Palatino Linotype" w:cs="Palatino Linotype"/>
          <w:b/>
          <w:sz w:val="28"/>
          <w:szCs w:val="28"/>
        </w:rPr>
        <w:t>.</w:t>
      </w:r>
      <w:r>
        <w:rPr>
          <w:rFonts w:ascii="Palatino Linotype" w:eastAsia="Palatino Linotype" w:hAnsi="Palatino Linotype" w:cs="Palatino Linotype"/>
        </w:rPr>
        <w:t xml:space="preserve"> En fecha diez de mayo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solicitó una prórroga en la entrega de la información en el siguiente tenor:</w:t>
      </w:r>
    </w:p>
    <w:p w:rsidR="00B325CA" w:rsidRDefault="00362071">
      <w:pPr>
        <w:spacing w:before="120" w:after="12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325CA" w:rsidRDefault="00362071">
      <w:pPr>
        <w:spacing w:before="120" w:after="12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PRORROGA APROBADA</w:t>
      </w:r>
    </w:p>
    <w:p w:rsidR="00B325CA" w:rsidRDefault="00362071">
      <w:pPr>
        <w:spacing w:before="120" w:after="12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Licenciado FERNANDO OSCAR ZAPATA NAVARRETE</w:t>
      </w:r>
    </w:p>
    <w:p w:rsidR="00B325CA" w:rsidRDefault="00362071">
      <w:pPr>
        <w:spacing w:before="120" w:after="12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Responsable de la Unidad de Transparencia</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spacing w:after="0" w:line="360" w:lineRule="auto"/>
        <w:jc w:val="both"/>
      </w:pPr>
      <w:r>
        <w:rPr>
          <w:rFonts w:ascii="Palatino Linotype" w:eastAsia="Palatino Linotype" w:hAnsi="Palatino Linotype" w:cs="Palatino Linotype"/>
          <w:b/>
          <w:sz w:val="24"/>
          <w:szCs w:val="24"/>
        </w:rPr>
        <w:t xml:space="preserve">5. RESPUESTA.  </w:t>
      </w:r>
      <w:r>
        <w:rPr>
          <w:rFonts w:ascii="Palatino Linotype" w:eastAsia="Palatino Linotype" w:hAnsi="Palatino Linotype" w:cs="Palatino Linotype"/>
          <w:sz w:val="24"/>
          <w:szCs w:val="24"/>
        </w:rPr>
        <w:t xml:space="preserve">Con fecha veintitrés de mayo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rsidR="00B325CA" w:rsidRDefault="00B325CA">
      <w:pPr>
        <w:spacing w:after="0" w:line="360" w:lineRule="auto"/>
        <w:jc w:val="both"/>
      </w:pPr>
    </w:p>
    <w:p w:rsidR="00B325CA" w:rsidRDefault="00362071">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325CA" w:rsidRDefault="00362071">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Transparencia y Acceso a la Información Pública del Estado de México y </w:t>
      </w:r>
      <w:r>
        <w:rPr>
          <w:rFonts w:ascii="Palatino Linotype" w:eastAsia="Palatino Linotype" w:hAnsi="Palatino Linotype" w:cs="Palatino Linotype"/>
          <w:i/>
        </w:rPr>
        <w:lastRenderedPageBreak/>
        <w:t xml:space="preserve">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w:t>
      </w:r>
      <w:r w:rsidRPr="00994F4A">
        <w:rPr>
          <w:rFonts w:ascii="Palatino Linotype" w:eastAsia="Palatino Linotype" w:hAnsi="Palatino Linotype" w:cs="Palatino Linotype"/>
          <w:b/>
          <w:i/>
        </w:rPr>
        <w:t>cambio de modalidad de entrega mediante consulta directa (in situ),</w:t>
      </w:r>
      <w:r>
        <w:rPr>
          <w:rFonts w:ascii="Palatino Linotype" w:eastAsia="Palatino Linotype" w:hAnsi="Palatino Linotype" w:cs="Palatino Linotype"/>
          <w:i/>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B325CA" w:rsidRDefault="00362071">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B325CA" w:rsidRDefault="00362071">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Licenciado FERNANDO OSCAR ZAPATA NAVARRETE</w:t>
      </w:r>
    </w:p>
    <w:p w:rsidR="00B325CA" w:rsidRDefault="00B325CA">
      <w:pPr>
        <w:rPr>
          <w:rFonts w:ascii="Palatino Linotype" w:eastAsia="Palatino Linotype" w:hAnsi="Palatino Linotype" w:cs="Palatino Linotype"/>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a su respuesta el siguiente archivo electrónico:</w:t>
      </w:r>
    </w:p>
    <w:p w:rsidR="00B325CA" w:rsidRDefault="0016486F">
      <w:pPr>
        <w:spacing w:line="360" w:lineRule="auto"/>
        <w:jc w:val="both"/>
        <w:rPr>
          <w:rFonts w:ascii="Palatino Linotype" w:eastAsia="Palatino Linotype" w:hAnsi="Palatino Linotype" w:cs="Palatino Linotype"/>
          <w:sz w:val="24"/>
          <w:szCs w:val="24"/>
        </w:rPr>
      </w:pPr>
      <w:hyperlink r:id="rId9">
        <w:r w:rsidR="00362071">
          <w:rPr>
            <w:rFonts w:ascii="Palatino Linotype" w:eastAsia="Palatino Linotype" w:hAnsi="Palatino Linotype" w:cs="Palatino Linotype"/>
            <w:b/>
            <w:i/>
            <w:color w:val="000000"/>
            <w:sz w:val="24"/>
            <w:szCs w:val="24"/>
            <w:u w:val="single"/>
          </w:rPr>
          <w:t>acta primer sesión extraordinaria Comité de transparencia.pdf</w:t>
        </w:r>
      </w:hyperlink>
      <w:r w:rsidR="00362071">
        <w:rPr>
          <w:rFonts w:ascii="Palatino Linotype" w:eastAsia="Palatino Linotype" w:hAnsi="Palatino Linotype" w:cs="Palatino Linotype"/>
          <w:sz w:val="24"/>
          <w:szCs w:val="24"/>
        </w:rPr>
        <w:t>: El cual contiene el acta de la primera sesión extraordinaria del Comité de Transparencia del Sistema Municipal DIF Metepec 2022-2024, mediante el que lleva el estudio y análisis del cambio de modalidad (in situ) del soporte documental con los que se dará respuesta a la solicitud de información, por lo que se anexa la primera página a manera de ejemplo:</w:t>
      </w:r>
    </w:p>
    <w:p w:rsidR="00B325CA" w:rsidRDefault="00362071">
      <w:pPr>
        <w:spacing w:line="360" w:lineRule="auto"/>
        <w:jc w:val="center"/>
        <w:rPr>
          <w:rFonts w:ascii="Palatino Linotype" w:eastAsia="Palatino Linotype" w:hAnsi="Palatino Linotype" w:cs="Palatino Linotype"/>
          <w:strike/>
          <w:color w:val="FF0000"/>
        </w:rPr>
      </w:pPr>
      <w:r>
        <w:rPr>
          <w:noProof/>
        </w:rPr>
        <w:lastRenderedPageBreak/>
        <w:drawing>
          <wp:inline distT="0" distB="0" distL="0" distR="0">
            <wp:extent cx="5077713" cy="734511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6660" t="16898" r="36354" b="13700"/>
                    <a:stretch>
                      <a:fillRect/>
                    </a:stretch>
                  </pic:blipFill>
                  <pic:spPr>
                    <a:xfrm>
                      <a:off x="0" y="0"/>
                      <a:ext cx="5077713" cy="7345119"/>
                    </a:xfrm>
                    <a:prstGeom prst="rect">
                      <a:avLst/>
                    </a:prstGeom>
                    <a:ln/>
                  </pic:spPr>
                </pic:pic>
              </a:graphicData>
            </a:graphic>
          </wp:inline>
        </w:drawing>
      </w:r>
    </w:p>
    <w:p w:rsidR="00B325CA" w:rsidRDefault="00362071">
      <w:pPr>
        <w:spacing w:after="24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sz w:val="24"/>
          <w:szCs w:val="24"/>
        </w:rPr>
        <w:lastRenderedPageBreak/>
        <w:t xml:space="preserve">6.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veinticuatro de mayo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08844/INFOEM/IP/RR/2022</w:t>
      </w:r>
      <w:r>
        <w:rPr>
          <w:rFonts w:ascii="Palatino Linotype" w:eastAsia="Palatino Linotype" w:hAnsi="Palatino Linotype" w:cs="Palatino Linotype"/>
          <w:sz w:val="24"/>
          <w:szCs w:val="24"/>
        </w:rPr>
        <w:t>, en el cual manifiesta, lo siguiente:</w:t>
      </w:r>
    </w:p>
    <w:p w:rsidR="00B325CA" w:rsidRDefault="0036207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B325CA" w:rsidRDefault="00362071">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respuesta proporcionada por el Sujeto Obligado.</w:t>
      </w:r>
      <w:r>
        <w:rPr>
          <w:rFonts w:ascii="Palatino Linotype" w:eastAsia="Palatino Linotype" w:hAnsi="Palatino Linotype" w:cs="Palatino Linotype"/>
          <w:i/>
        </w:rPr>
        <w:t>” [sic]</w:t>
      </w:r>
    </w:p>
    <w:p w:rsidR="00B325CA" w:rsidRDefault="00362071">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B325CA" w:rsidRDefault="00362071">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w:t>
      </w:r>
      <w:r>
        <w:rPr>
          <w:rFonts w:ascii="Palatino Linotype" w:eastAsia="Palatino Linotype" w:hAnsi="Palatino Linotype" w:cs="Palatino Linotype"/>
          <w:i/>
          <w:color w:val="000000"/>
        </w:rPr>
        <w:lastRenderedPageBreak/>
        <w:t xml:space="preserve">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w:t>
      </w:r>
      <w:r>
        <w:rPr>
          <w:rFonts w:ascii="Palatino Linotype" w:eastAsia="Palatino Linotype" w:hAnsi="Palatino Linotype" w:cs="Palatino Linotype"/>
          <w:i/>
          <w:color w:val="000000"/>
        </w:rPr>
        <w:lastRenderedPageBreak/>
        <w:t xml:space="preserve">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w:t>
      </w:r>
      <w:r>
        <w:rPr>
          <w:rFonts w:ascii="Palatino Linotype" w:eastAsia="Palatino Linotype" w:hAnsi="Palatino Linotype" w:cs="Palatino Linotype"/>
          <w:i/>
          <w:color w:val="000000"/>
        </w:rPr>
        <w:lastRenderedPageBreak/>
        <w:t xml:space="preserve">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w:t>
      </w:r>
      <w:r>
        <w:rPr>
          <w:rFonts w:ascii="Palatino Linotype" w:eastAsia="Palatino Linotype" w:hAnsi="Palatino Linotype" w:cs="Palatino Linotype"/>
          <w:i/>
          <w:color w:val="000000"/>
        </w:rPr>
        <w:lastRenderedPageBreak/>
        <w:t xml:space="preserve">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Pr>
          <w:rFonts w:ascii="Palatino Linotype" w:eastAsia="Palatino Linotype" w:hAnsi="Palatino Linotype" w:cs="Palatino Linotype"/>
          <w:i/>
        </w:rPr>
        <w:t>[sic]</w:t>
      </w:r>
    </w:p>
    <w:p w:rsidR="00B325CA" w:rsidRDefault="00B325CA">
      <w:pPr>
        <w:spacing w:after="0" w:line="360" w:lineRule="auto"/>
        <w:ind w:left="851"/>
        <w:jc w:val="both"/>
        <w:rPr>
          <w:rFonts w:ascii="Palatino Linotype" w:eastAsia="Palatino Linotype" w:hAnsi="Palatino Linotype" w:cs="Palatino Linotype"/>
          <w:i/>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7.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B325CA" w:rsidRDefault="00B325CA"/>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veintisiete de mayo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B325CA" w:rsidRDefault="00B325CA"/>
    <w:p w:rsidR="00B325CA" w:rsidRDefault="00362071">
      <w:pPr>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9.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w:t>
      </w:r>
      <w:r>
        <w:rPr>
          <w:rFonts w:ascii="Palatino Linotype" w:eastAsia="Palatino Linotype" w:hAnsi="Palatino Linotype" w:cs="Palatino Linotype"/>
          <w:sz w:val="24"/>
          <w:szCs w:val="24"/>
        </w:rPr>
        <w:lastRenderedPageBreak/>
        <w:t xml:space="preserve">justificado,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rsidR="00B325CA" w:rsidRDefault="00B325CA"/>
    <w:p w:rsidR="00B325CA" w:rsidRDefault="00362071">
      <w:r>
        <w:rPr>
          <w:noProof/>
        </w:rPr>
        <w:drawing>
          <wp:inline distT="0" distB="0" distL="0" distR="0">
            <wp:extent cx="5601447" cy="149218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6280" t="24743" r="52308" b="55642"/>
                    <a:stretch>
                      <a:fillRect/>
                    </a:stretch>
                  </pic:blipFill>
                  <pic:spPr>
                    <a:xfrm>
                      <a:off x="0" y="0"/>
                      <a:ext cx="5601447" cy="1492189"/>
                    </a:xfrm>
                    <a:prstGeom prst="rect">
                      <a:avLst/>
                    </a:prstGeom>
                    <a:ln/>
                  </pic:spPr>
                </pic:pic>
              </a:graphicData>
            </a:graphic>
          </wp:inline>
        </w:drawing>
      </w:r>
    </w:p>
    <w:p w:rsidR="00B325CA" w:rsidRDefault="00B325CA"/>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10. CIERRE DE INSTRUCCIÓN.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sz w:val="24"/>
          <w:szCs w:val="24"/>
        </w:rPr>
        <w:t>quince de junio</w:t>
      </w:r>
      <w:r>
        <w:rPr>
          <w:rFonts w:ascii="Palatino Linotype" w:eastAsia="Palatino Linotype" w:hAnsi="Palatino Linotype" w:cs="Palatino Linotype"/>
          <w:color w:val="000000"/>
          <w:sz w:val="24"/>
          <w:szCs w:val="24"/>
        </w:rPr>
        <w:t xml:space="preserv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B325CA" w:rsidRDefault="00B325CA">
      <w:pPr>
        <w:spacing w:after="0" w:line="360" w:lineRule="auto"/>
        <w:jc w:val="both"/>
        <w:rPr>
          <w:rFonts w:ascii="Palatino Linotype" w:eastAsia="Palatino Linotype" w:hAnsi="Palatino Linotype" w:cs="Palatino Linotype"/>
          <w:color w:val="000000"/>
          <w:sz w:val="24"/>
          <w:szCs w:val="24"/>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11. REQUERIMIENTO DE INFORMACIÓN ADICIONAL.</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sz w:val="24"/>
          <w:szCs w:val="24"/>
        </w:rPr>
        <w:t>siete</w:t>
      </w:r>
      <w:r>
        <w:rPr>
          <w:rFonts w:ascii="Palatino Linotype" w:eastAsia="Palatino Linotype" w:hAnsi="Palatino Linotype" w:cs="Palatino Linotype"/>
          <w:b/>
          <w:color w:val="000000"/>
          <w:sz w:val="24"/>
          <w:szCs w:val="24"/>
        </w:rPr>
        <w:t xml:space="preserve"> de </w:t>
      </w:r>
      <w:r>
        <w:rPr>
          <w:rFonts w:ascii="Palatino Linotype" w:eastAsia="Palatino Linotype" w:hAnsi="Palatino Linotype" w:cs="Palatino Linotype"/>
          <w:b/>
          <w:sz w:val="24"/>
          <w:szCs w:val="24"/>
        </w:rPr>
        <w:t>octubre</w:t>
      </w:r>
      <w:r>
        <w:rPr>
          <w:rFonts w:ascii="Palatino Linotype" w:eastAsia="Palatino Linotype" w:hAnsi="Palatino Linotype" w:cs="Palatino Linotype"/>
          <w:b/>
          <w:color w:val="000000"/>
          <w:sz w:val="24"/>
          <w:szCs w:val="24"/>
        </w:rPr>
        <w:t xml:space="preserve"> de dos mil veintidós</w:t>
      </w:r>
      <w:r>
        <w:rPr>
          <w:rFonts w:ascii="Palatino Linotype" w:eastAsia="Palatino Linotype" w:hAnsi="Palatino Linotype" w:cs="Palatino Linotype"/>
          <w:color w:val="000000"/>
          <w:sz w:val="24"/>
          <w:szCs w:val="24"/>
        </w:rPr>
        <w:t xml:space="preserve">, se envió por correo electrónico un requerimiento de información adicional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el cual consistió en lo siguiente:</w:t>
      </w:r>
    </w:p>
    <w:p w:rsidR="00B325CA" w:rsidRDefault="00B325CA">
      <w:pPr>
        <w:spacing w:after="0" w:line="360" w:lineRule="auto"/>
        <w:jc w:val="both"/>
      </w:pPr>
    </w:p>
    <w:p w:rsidR="00B325CA" w:rsidRDefault="00362071">
      <w:pPr>
        <w:spacing w:after="0"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extent cx="4948955" cy="6958326"/>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4949" t="25650" r="50016" b="16113"/>
                    <a:stretch>
                      <a:fillRect/>
                    </a:stretch>
                  </pic:blipFill>
                  <pic:spPr>
                    <a:xfrm>
                      <a:off x="0" y="0"/>
                      <a:ext cx="4948955" cy="6958326"/>
                    </a:xfrm>
                    <a:prstGeom prst="rect">
                      <a:avLst/>
                    </a:prstGeom>
                    <a:ln/>
                  </pic:spPr>
                </pic:pic>
              </a:graphicData>
            </a:graphic>
          </wp:inline>
        </w:drawing>
      </w:r>
    </w:p>
    <w:p w:rsidR="00B325CA" w:rsidRDefault="00B325CA">
      <w:pPr>
        <w:spacing w:after="0" w:line="360" w:lineRule="auto"/>
        <w:jc w:val="both"/>
      </w:pPr>
    </w:p>
    <w:p w:rsidR="00B325CA" w:rsidRDefault="00362071">
      <w:pP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3372845" cy="446477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51086" t="26251" r="25321" b="18225"/>
                    <a:stretch>
                      <a:fillRect/>
                    </a:stretch>
                  </pic:blipFill>
                  <pic:spPr>
                    <a:xfrm>
                      <a:off x="0" y="0"/>
                      <a:ext cx="3372845" cy="4464773"/>
                    </a:xfrm>
                    <a:prstGeom prst="rect">
                      <a:avLst/>
                    </a:prstGeom>
                    <a:ln/>
                  </pic:spPr>
                </pic:pic>
              </a:graphicData>
            </a:graphic>
          </wp:inline>
        </w:drawing>
      </w:r>
    </w:p>
    <w:p w:rsidR="00B325CA" w:rsidRDefault="00362071">
      <w:pPr>
        <w:spacing w:after="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Sin recibir respuesta alguna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en el plazo otorgado para ello.</w:t>
      </w:r>
    </w:p>
    <w:p w:rsidR="00B325CA" w:rsidRDefault="00B325CA">
      <w:pPr>
        <w:spacing w:after="0" w:line="360" w:lineRule="auto"/>
        <w:rPr>
          <w:rFonts w:ascii="Times New Roman" w:eastAsia="Times New Roman" w:hAnsi="Times New Roman" w:cs="Times New Roman"/>
          <w:sz w:val="24"/>
          <w:szCs w:val="24"/>
        </w:rPr>
      </w:pPr>
    </w:p>
    <w:p w:rsidR="00B325CA" w:rsidRDefault="00362071">
      <w:pPr>
        <w:spacing w:after="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En este sentido, en fecha </w:t>
      </w:r>
      <w:r>
        <w:rPr>
          <w:rFonts w:ascii="Palatino Linotype" w:eastAsia="Palatino Linotype" w:hAnsi="Palatino Linotype" w:cs="Palatino Linotype"/>
          <w:b/>
          <w:color w:val="000000"/>
          <w:sz w:val="24"/>
          <w:szCs w:val="24"/>
        </w:rPr>
        <w:t>diez de octubre de dos mil veintidós</w:t>
      </w:r>
      <w:r>
        <w:rPr>
          <w:rFonts w:ascii="Palatino Linotype" w:eastAsia="Palatino Linotype" w:hAnsi="Palatino Linotype" w:cs="Palatino Linotype"/>
          <w:color w:val="000000"/>
          <w:sz w:val="24"/>
          <w:szCs w:val="24"/>
        </w:rPr>
        <w:t xml:space="preserve">, se envía correo electrónico a la Dirección General de Informática de este Instituto, a fin de corroborar si en la Bitácora de Incidencias, se tenía alguna relacionada con el Recurso </w:t>
      </w:r>
      <w:r>
        <w:rPr>
          <w:rFonts w:ascii="Palatino Linotype" w:eastAsia="Palatino Linotype" w:hAnsi="Palatino Linotype" w:cs="Palatino Linotype"/>
          <w:color w:val="000000"/>
          <w:sz w:val="24"/>
          <w:szCs w:val="24"/>
        </w:rPr>
        <w:lastRenderedPageBreak/>
        <w:t>de Revisión que nos ocupa, en el cual fue respondido en la misma fecha, de la siguiente forma:</w:t>
      </w:r>
    </w:p>
    <w:p w:rsidR="00B325CA" w:rsidRDefault="00362071">
      <w:pPr>
        <w:spacing w:after="0" w:line="360" w:lineRule="auto"/>
        <w:jc w:val="both"/>
        <w:rPr>
          <w:rFonts w:ascii="Palatino Linotype" w:eastAsia="Palatino Linotype" w:hAnsi="Palatino Linotype" w:cs="Palatino Linotype"/>
          <w:sz w:val="24"/>
          <w:szCs w:val="24"/>
        </w:rPr>
      </w:pPr>
      <w:r>
        <w:rPr>
          <w:noProof/>
        </w:rPr>
        <w:drawing>
          <wp:inline distT="0" distB="0" distL="0" distR="0">
            <wp:extent cx="5648550" cy="1306559"/>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9178" t="36510" r="1391" b="45987"/>
                    <a:stretch>
                      <a:fillRect/>
                    </a:stretch>
                  </pic:blipFill>
                  <pic:spPr>
                    <a:xfrm>
                      <a:off x="0" y="0"/>
                      <a:ext cx="5648550" cy="1306559"/>
                    </a:xfrm>
                    <a:prstGeom prst="rect">
                      <a:avLst/>
                    </a:prstGeom>
                    <a:ln/>
                  </pic:spPr>
                </pic:pic>
              </a:graphicData>
            </a:graphic>
          </wp:inline>
        </w:drawing>
      </w: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12.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cinco</w:t>
      </w:r>
      <w:r>
        <w:rPr>
          <w:rFonts w:ascii="Palatino Linotype" w:eastAsia="Palatino Linotype" w:hAnsi="Palatino Linotype" w:cs="Palatino Linotype"/>
          <w:sz w:val="24"/>
          <w:szCs w:val="24"/>
        </w:rPr>
        <w:t xml:space="preserve"> de octubre</w:t>
      </w:r>
      <w:r>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Pr>
          <w:rFonts w:ascii="Palatino Linotype" w:eastAsia="Palatino Linotype" w:hAnsi="Palatino Linotype" w:cs="Palatino Linotype"/>
          <w:sz w:val="24"/>
          <w:szCs w:val="24"/>
        </w:rPr>
        <w:lastRenderedPageBreak/>
        <w:t>razonabilidad de asuntos conforme a los parámetros establecidos por diversos órganos jurisdiccionales federales, aplicables también en procedimientos análogos, como el que nos ocupa.</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B325CA" w:rsidRDefault="00362071">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B325CA" w:rsidRDefault="00B325CA">
      <w:pPr>
        <w:spacing w:after="0" w:line="360" w:lineRule="auto"/>
        <w:ind w:left="927"/>
        <w:jc w:val="both"/>
        <w:rPr>
          <w:rFonts w:ascii="Palatino Linotype" w:eastAsia="Palatino Linotype" w:hAnsi="Palatino Linotype" w:cs="Palatino Linotype"/>
          <w:sz w:val="24"/>
          <w:szCs w:val="24"/>
        </w:rPr>
      </w:pPr>
    </w:p>
    <w:p w:rsidR="00B325CA" w:rsidRDefault="00362071">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rsidR="00B325CA" w:rsidRDefault="00B325CA">
      <w:pPr>
        <w:spacing w:after="0" w:line="360" w:lineRule="auto"/>
        <w:ind w:left="708"/>
        <w:rPr>
          <w:rFonts w:ascii="Palatino Linotype" w:eastAsia="Palatino Linotype" w:hAnsi="Palatino Linotype" w:cs="Palatino Linotype"/>
          <w:sz w:val="24"/>
          <w:szCs w:val="24"/>
        </w:rPr>
      </w:pPr>
    </w:p>
    <w:p w:rsidR="00B325CA" w:rsidRDefault="00362071">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B325CA" w:rsidRDefault="00362071">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B325CA" w:rsidRDefault="00B325CA">
      <w:pPr>
        <w:spacing w:after="0" w:line="360" w:lineRule="auto"/>
        <w:ind w:right="-234"/>
        <w:jc w:val="both"/>
        <w:rPr>
          <w:rFonts w:ascii="Palatino Linotype" w:eastAsia="Palatino Linotype" w:hAnsi="Palatino Linotype" w:cs="Palatino Linotype"/>
          <w:sz w:val="24"/>
          <w:szCs w:val="24"/>
        </w:rPr>
      </w:pPr>
    </w:p>
    <w:p w:rsidR="00B325CA" w:rsidRDefault="00362071">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veintitrés de mayo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veinticuatro de mayo de dos mil veintidós, esto es al siguiente día hábil de haber recibido la respuesta. </w:t>
      </w:r>
    </w:p>
    <w:p w:rsidR="00B325CA" w:rsidRDefault="00B325CA">
      <w:pPr>
        <w:spacing w:after="0" w:line="360" w:lineRule="auto"/>
        <w:ind w:right="-234"/>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362071" w:rsidRDefault="00362071">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señaló un nombre con el cual desee ser identificado, como se advierte en el detalle de seguimiento del SAIMEX, no obstante lo anterior, no proporcionar el nombre no es motivo para archivar la </w:t>
      </w:r>
      <w:r>
        <w:rPr>
          <w:rFonts w:ascii="Palatino Linotype" w:eastAsia="Palatino Linotype" w:hAnsi="Palatino Linotype" w:cs="Palatino Linotype"/>
          <w:sz w:val="24"/>
          <w:szCs w:val="24"/>
        </w:rPr>
        <w:lastRenderedPageBreak/>
        <w:t>solicitud de acceso a la información pública como concluida, conforme a lo previsto en el artículo 155, penúltimo párrafo de la Ley de Transparencia y Acceso a la Información Pública del Estado de México y Municipios que establece lo siguiente:</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rsidR="00B325CA" w:rsidRDefault="00B325CA">
      <w:pPr>
        <w:spacing w:after="0" w:line="360" w:lineRule="auto"/>
        <w:ind w:left="851" w:right="902"/>
        <w:jc w:val="both"/>
        <w:rPr>
          <w:rFonts w:ascii="Palatino Linotype" w:eastAsia="Palatino Linotype" w:hAnsi="Palatino Linotype" w:cs="Palatino Linotype"/>
          <w:i/>
        </w:rPr>
      </w:pPr>
    </w:p>
    <w:p w:rsidR="00B325CA" w:rsidRDefault="0036207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la RECURRENTE en sus razones o motivos de inconformidad, de acuerdo al artículo 179, fracción I </w:t>
      </w:r>
      <w:r w:rsidR="00800519">
        <w:rPr>
          <w:rFonts w:ascii="Palatino Linotype" w:eastAsia="Palatino Linotype" w:hAnsi="Palatino Linotype" w:cs="Palatino Linotype"/>
          <w:sz w:val="24"/>
          <w:szCs w:val="24"/>
        </w:rPr>
        <w:t xml:space="preserve">y VIII </w:t>
      </w:r>
      <w:r>
        <w:rPr>
          <w:rFonts w:ascii="Palatino Linotype" w:eastAsia="Palatino Linotype" w:hAnsi="Palatino Linotype" w:cs="Palatino Linotype"/>
          <w:sz w:val="24"/>
          <w:szCs w:val="24"/>
        </w:rPr>
        <w:t>de la Ley de Transparencia y Acceso a la Información Pública del Estado de México y Municipios; que a la letra dice:</w:t>
      </w:r>
    </w:p>
    <w:p w:rsidR="00B325CA" w:rsidRDefault="00B325CA">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B325CA" w:rsidRDefault="00362071">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B325CA" w:rsidRDefault="00B325CA">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B325CA" w:rsidRDefault="00800519" w:rsidP="00800519">
      <w:pPr>
        <w:pStyle w:val="Prrafodelista"/>
        <w:pBdr>
          <w:top w:val="nil"/>
          <w:left w:val="nil"/>
          <w:bottom w:val="nil"/>
          <w:right w:val="nil"/>
          <w:between w:val="nil"/>
        </w:pBdr>
        <w:spacing w:after="0"/>
        <w:ind w:left="171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I. </w:t>
      </w:r>
      <w:r w:rsidR="00362071" w:rsidRPr="00362071">
        <w:rPr>
          <w:rFonts w:ascii="Palatino Linotype" w:eastAsia="Palatino Linotype" w:hAnsi="Palatino Linotype" w:cs="Palatino Linotype"/>
          <w:i/>
        </w:rPr>
        <w:t xml:space="preserve">La negativa a la información solicitada;” </w:t>
      </w:r>
    </w:p>
    <w:p w:rsidR="00800519" w:rsidRDefault="00800519" w:rsidP="00800519">
      <w:pPr>
        <w:pStyle w:val="Prrafodelista"/>
        <w:pBdr>
          <w:top w:val="nil"/>
          <w:left w:val="nil"/>
          <w:bottom w:val="nil"/>
          <w:right w:val="nil"/>
          <w:between w:val="nil"/>
        </w:pBdr>
        <w:spacing w:after="0"/>
        <w:ind w:left="171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800519" w:rsidRPr="00800519" w:rsidRDefault="00800519" w:rsidP="00800519">
      <w:pPr>
        <w:pStyle w:val="Prrafodelista"/>
        <w:pBdr>
          <w:top w:val="nil"/>
          <w:left w:val="nil"/>
          <w:bottom w:val="nil"/>
          <w:right w:val="nil"/>
          <w:between w:val="nil"/>
        </w:pBdr>
        <w:spacing w:after="0"/>
        <w:ind w:left="1712" w:right="1043"/>
        <w:jc w:val="both"/>
        <w:rPr>
          <w:rFonts w:ascii="Palatino Linotype" w:eastAsia="Palatino Linotype" w:hAnsi="Palatino Linotype" w:cs="Palatino Linotype"/>
          <w:i/>
        </w:rPr>
      </w:pPr>
      <w:r w:rsidRPr="00800519">
        <w:rPr>
          <w:rFonts w:ascii="Palatino Linotype" w:eastAsia="Palatino Linotype" w:hAnsi="Palatino Linotype" w:cs="Palatino Linotype"/>
          <w:i/>
        </w:rPr>
        <w:lastRenderedPageBreak/>
        <w:t>VIII. La notificación, entrega o puesta a disposición de información en una modalidad o formato distinto</w:t>
      </w:r>
    </w:p>
    <w:p w:rsidR="00800519" w:rsidRPr="00362071" w:rsidRDefault="00800519" w:rsidP="00800519">
      <w:pPr>
        <w:pStyle w:val="Prrafodelista"/>
        <w:pBdr>
          <w:top w:val="nil"/>
          <w:left w:val="nil"/>
          <w:bottom w:val="nil"/>
          <w:right w:val="nil"/>
          <w:between w:val="nil"/>
        </w:pBdr>
        <w:spacing w:after="0"/>
        <w:ind w:left="1712" w:right="1043"/>
        <w:jc w:val="both"/>
        <w:rPr>
          <w:rFonts w:ascii="Palatino Linotype" w:eastAsia="Palatino Linotype" w:hAnsi="Palatino Linotype" w:cs="Palatino Linotype"/>
          <w:i/>
        </w:rPr>
      </w:pPr>
      <w:r w:rsidRPr="00800519">
        <w:rPr>
          <w:rFonts w:ascii="Palatino Linotype" w:eastAsia="Palatino Linotype" w:hAnsi="Palatino Linotype" w:cs="Palatino Linotype"/>
          <w:i/>
        </w:rPr>
        <w:t>al solicitado;</w:t>
      </w: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b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B325CA" w:rsidRDefault="00B325C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B325CA" w:rsidRDefault="00362071">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325CA" w:rsidRDefault="00362071">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w:t>
      </w:r>
      <w:r>
        <w:rPr>
          <w:rFonts w:ascii="Palatino Linotype" w:eastAsia="Palatino Linotype" w:hAnsi="Palatino Linotype" w:cs="Palatino Linotype"/>
          <w:i/>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325CA" w:rsidRDefault="00B325CA">
      <w:pPr>
        <w:spacing w:after="0" w:line="360" w:lineRule="auto"/>
        <w:ind w:left="851" w:right="900"/>
        <w:jc w:val="both"/>
        <w:rPr>
          <w:rFonts w:ascii="Palatino Linotype" w:eastAsia="Palatino Linotype" w:hAnsi="Palatino Linotype" w:cs="Palatino Linotype"/>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B325CA" w:rsidRDefault="00362071">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325CA" w:rsidRDefault="00B325CA">
      <w:pPr>
        <w:spacing w:after="0" w:line="360" w:lineRule="auto"/>
        <w:ind w:left="851" w:right="902"/>
        <w:jc w:val="both"/>
        <w:rPr>
          <w:rFonts w:ascii="Palatino Linotype" w:eastAsia="Palatino Linotype" w:hAnsi="Palatino Linotype" w:cs="Palatino Linotype"/>
          <w:i/>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w:t>
      </w:r>
      <w:r>
        <w:rPr>
          <w:rFonts w:ascii="Palatino Linotype" w:eastAsia="Palatino Linotype" w:hAnsi="Palatino Linotype" w:cs="Palatino Linotype"/>
          <w:sz w:val="24"/>
          <w:szCs w:val="24"/>
        </w:rPr>
        <w:lastRenderedPageBreak/>
        <w:t xml:space="preserve">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B325CA" w:rsidRDefault="00B325CA">
      <w:pPr>
        <w:spacing w:after="0" w:line="360" w:lineRule="auto"/>
        <w:jc w:val="both"/>
        <w:rPr>
          <w:rFonts w:ascii="Palatino Linotype" w:eastAsia="Palatino Linotype" w:hAnsi="Palatino Linotype" w:cs="Palatino Linotype"/>
        </w:rPr>
      </w:pPr>
    </w:p>
    <w:p w:rsidR="00B325CA" w:rsidRDefault="00362071">
      <w:pPr>
        <w:spacing w:after="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B325CA" w:rsidRDefault="00362071">
      <w:pPr>
        <w:spacing w:after="0" w:line="276"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25CA" w:rsidRDefault="00362071">
      <w:pPr>
        <w:spacing w:after="0" w:line="276"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B325CA" w:rsidRDefault="00B325CA">
      <w:pPr>
        <w:spacing w:after="0" w:line="360" w:lineRule="auto"/>
        <w:ind w:left="1134" w:right="899"/>
        <w:jc w:val="both"/>
        <w:rPr>
          <w:rFonts w:ascii="Palatino Linotype" w:eastAsia="Palatino Linotype" w:hAnsi="Palatino Linotype" w:cs="Palatino Linotype"/>
          <w:i/>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B325CA" w:rsidRDefault="00362071">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325CA" w:rsidRDefault="00362071">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B325CA" w:rsidRDefault="00362071">
      <w:pPr>
        <w:spacing w:after="0" w:line="276" w:lineRule="auto"/>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1) Que se trate de información registrada en cualquier soporte documental, que en ejercicio de las atribuciones conferidas, sea generada por los Sujetos Obligados;</w:t>
      </w:r>
    </w:p>
    <w:p w:rsidR="00B325CA" w:rsidRDefault="00362071">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B325CA" w:rsidRDefault="00362071">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B325CA" w:rsidRDefault="00B325CA">
      <w:pPr>
        <w:pBdr>
          <w:top w:val="nil"/>
          <w:left w:val="nil"/>
          <w:bottom w:val="nil"/>
          <w:right w:val="nil"/>
          <w:between w:val="nil"/>
        </w:pBdr>
        <w:spacing w:after="0" w:line="360" w:lineRule="auto"/>
        <w:jc w:val="both"/>
        <w:rPr>
          <w:rFonts w:ascii="Palatino Linotype" w:eastAsia="Palatino Linotype" w:hAnsi="Palatino Linotype" w:cs="Palatino Linotype"/>
          <w:color w:val="FF0000"/>
          <w:sz w:val="24"/>
          <w:szCs w:val="24"/>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lo siguiente: </w:t>
      </w:r>
    </w:p>
    <w:p w:rsidR="00B325CA" w:rsidRDefault="00B325CA">
      <w:pPr>
        <w:spacing w:after="0" w:line="360" w:lineRule="auto"/>
        <w:jc w:val="both"/>
        <w:rPr>
          <w:rFonts w:ascii="Palatino Linotype" w:eastAsia="Palatino Linotype" w:hAnsi="Palatino Linotype" w:cs="Palatino Linotype"/>
          <w:color w:val="000000"/>
          <w:sz w:val="24"/>
          <w:szCs w:val="24"/>
        </w:rPr>
      </w:pPr>
    </w:p>
    <w:p w:rsidR="00B325CA" w:rsidRDefault="0036207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40"/>
          <w:szCs w:val="40"/>
        </w:rPr>
      </w:pPr>
      <w:r>
        <w:rPr>
          <w:rFonts w:ascii="Palatino Linotype" w:eastAsia="Palatino Linotype" w:hAnsi="Palatino Linotype" w:cs="Palatino Linotype"/>
          <w:color w:val="000000"/>
          <w:sz w:val="24"/>
          <w:szCs w:val="24"/>
        </w:rPr>
        <w:t>Certificado del titular del órgano interno de control.</w:t>
      </w:r>
    </w:p>
    <w:p w:rsidR="00B325CA" w:rsidRDefault="00B325CA"/>
    <w:p w:rsidR="00B325CA" w:rsidRDefault="0036207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Siendo necesario mencionar que en ejercicio de la facultad conferida en el artículo 159 primer párrafo de la Ley de Transparencia y Acceso a la Información Pública del Estado de México,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través de la Titular de la Unidad de Transparencia, requirió a la persona solicitante al quinto día hábil posterior a la presentación de la solicitud, a efecto de que, dentro de los diez días hábiles siguientes, </w:t>
      </w:r>
      <w:r>
        <w:rPr>
          <w:rFonts w:ascii="Palatino Linotype" w:eastAsia="Palatino Linotype" w:hAnsi="Palatino Linotype" w:cs="Palatino Linotype"/>
          <w:b/>
          <w:color w:val="000000"/>
          <w:sz w:val="24"/>
          <w:szCs w:val="24"/>
        </w:rPr>
        <w:t xml:space="preserve">realizara la aclaración total de la información a obtener, </w:t>
      </w:r>
      <w:r>
        <w:rPr>
          <w:rFonts w:ascii="Palatino Linotype" w:eastAsia="Palatino Linotype" w:hAnsi="Palatino Linotype" w:cs="Palatino Linotype"/>
          <w:color w:val="000000"/>
          <w:sz w:val="24"/>
          <w:szCs w:val="24"/>
        </w:rPr>
        <w:t>desahogando la persona solicitante el requerimiento en los mismos términos de las solicitudes iniciales, como fue detallado en los antecedentes de la presente resolución.</w:t>
      </w:r>
    </w:p>
    <w:p w:rsidR="00B325CA" w:rsidRDefault="00362071">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lastRenderedPageBreak/>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rsidR="00B325CA" w:rsidRDefault="00362071">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rsidR="00B325CA" w:rsidRDefault="00362071">
      <w:pPr>
        <w:pBdr>
          <w:top w:val="nil"/>
          <w:left w:val="nil"/>
          <w:bottom w:val="nil"/>
          <w:right w:val="nil"/>
          <w:between w:val="nil"/>
        </w:pBdr>
        <w:spacing w:before="240" w:after="240" w:line="360" w:lineRule="auto"/>
        <w:ind w:right="49"/>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En tal sentido, a consideración de este Organismo Garante el </w:t>
      </w:r>
      <w:r>
        <w:rPr>
          <w:rFonts w:ascii="Palatino Linotype" w:eastAsia="Palatino Linotype" w:hAnsi="Palatino Linotype" w:cs="Palatino Linotype"/>
          <w:b/>
          <w:color w:val="000000"/>
          <w:sz w:val="24"/>
          <w:szCs w:val="24"/>
        </w:rPr>
        <w:t>Sujeto Obligado hizo un uso excesivo del requerimiento de aclaración</w:t>
      </w:r>
      <w:r>
        <w:rPr>
          <w:rFonts w:ascii="Palatino Linotype" w:eastAsia="Palatino Linotype" w:hAnsi="Palatino Linotype" w:cs="Palatino Linotype"/>
          <w:color w:val="000000"/>
          <w:sz w:val="24"/>
          <w:szCs w:val="24"/>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rsidR="00B325CA" w:rsidRDefault="00362071">
      <w:pPr>
        <w:pBdr>
          <w:top w:val="nil"/>
          <w:left w:val="nil"/>
          <w:bottom w:val="nil"/>
          <w:right w:val="nil"/>
          <w:between w:val="nil"/>
        </w:pBdr>
        <w:spacing w:before="24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desahogado el requerimiento de información adicional por parte de la persona solicitante,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w:t>
      </w:r>
      <w:r>
        <w:rPr>
          <w:rFonts w:ascii="Palatino Linotype" w:eastAsia="Palatino Linotype" w:hAnsi="Palatino Linotype" w:cs="Palatino Linotype"/>
          <w:b/>
          <w:color w:val="000000"/>
          <w:sz w:val="24"/>
          <w:szCs w:val="24"/>
        </w:rPr>
        <w:t>el cambio de modalidad en la entrega de la información a consulta directa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de los soportes documentales que se otorgarán para dar </w:t>
      </w:r>
      <w:r>
        <w:rPr>
          <w:rFonts w:ascii="Palatino Linotype" w:eastAsia="Palatino Linotype" w:hAnsi="Palatino Linotype" w:cs="Palatino Linotype"/>
          <w:b/>
          <w:color w:val="000000"/>
          <w:sz w:val="24"/>
          <w:szCs w:val="24"/>
        </w:rPr>
        <w:lastRenderedPageBreak/>
        <w:t>respuesta a las solicitudes de información,</w:t>
      </w:r>
      <w:r>
        <w:rPr>
          <w:rFonts w:ascii="Palatino Linotype" w:eastAsia="Palatino Linotype" w:hAnsi="Palatino Linotype" w:cs="Palatino Linotype"/>
          <w:color w:val="000000"/>
          <w:sz w:val="24"/>
          <w:szCs w:val="24"/>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rsidR="00B325CA" w:rsidRDefault="00B325C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B325CA" w:rsidRDefault="003620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Conocida la respuesta por el particular, al no estar conforme con los términos de la misma, presentó el recurso de revisión que nos ocupa, mediante el cual señaló en lo medular por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rsidR="00B325CA" w:rsidRDefault="00B325C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B325CA" w:rsidRDefault="003620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Cabe resaltar que durante la etapa de manifestaciones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también resultó omiso de remitir sus informes justificados conforme a derecho les corresponde. </w:t>
      </w:r>
    </w:p>
    <w:p w:rsidR="00362071" w:rsidRDefault="00362071">
      <w:pPr>
        <w:pBdr>
          <w:top w:val="nil"/>
          <w:left w:val="nil"/>
          <w:bottom w:val="nil"/>
          <w:right w:val="nil"/>
          <w:between w:val="nil"/>
        </w:pBdr>
        <w:spacing w:after="0" w:line="360" w:lineRule="auto"/>
        <w:ind w:right="49"/>
        <w:jc w:val="both"/>
        <w:rPr>
          <w:rFonts w:ascii="Times New Roman" w:eastAsia="Times New Roman" w:hAnsi="Times New Roman" w:cs="Times New Roman"/>
          <w:color w:val="000000"/>
          <w:sz w:val="24"/>
          <w:szCs w:val="24"/>
        </w:rPr>
      </w:pPr>
    </w:p>
    <w:p w:rsidR="00B325CA" w:rsidRDefault="0036207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Palatino Linotype" w:eastAsia="Palatino Linotype" w:hAnsi="Palatino Linotype" w:cs="Palatino Linotype"/>
          <w:color w:val="000000"/>
          <w:sz w:val="24"/>
          <w:szCs w:val="24"/>
        </w:rPr>
        <w:t xml:space="preserve">Posteriormente este Organismo Garante, le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mediante correo electrónico precisara la cantidad de información o motivos por los cuales no era posible cargar la información a SAIMEX y de ser el caso hacer entrega de esta, sin contar con respuesta alguna por parte del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Titular de la Unidad de Transparencia</w:t>
      </w:r>
      <w:r>
        <w:rPr>
          <w:rFonts w:ascii="Palatino Linotype" w:eastAsia="Palatino Linotype" w:hAnsi="Palatino Linotype" w:cs="Palatino Linotype"/>
          <w:b/>
          <w:color w:val="000000"/>
          <w:sz w:val="24"/>
          <w:szCs w:val="24"/>
        </w:rPr>
        <w:t xml:space="preserve"> del Sistema Municipal Para el Desarrollo Integral de la Familia de Metepec, </w:t>
      </w:r>
      <w:r>
        <w:rPr>
          <w:rFonts w:ascii="Palatino Linotype" w:eastAsia="Palatino Linotype" w:hAnsi="Palatino Linotype" w:cs="Palatino Linotype"/>
          <w:color w:val="000000"/>
          <w:sz w:val="24"/>
          <w:szCs w:val="24"/>
        </w:rPr>
        <w:t xml:space="preserve">sin embargo no se obtuvo respuesta por parte del </w:t>
      </w:r>
      <w:r>
        <w:rPr>
          <w:rFonts w:ascii="Palatino Linotype" w:eastAsia="Palatino Linotype" w:hAnsi="Palatino Linotype" w:cs="Palatino Linotype"/>
          <w:b/>
          <w:color w:val="000000"/>
          <w:sz w:val="24"/>
          <w:szCs w:val="24"/>
        </w:rPr>
        <w:t>SUJETO OBLIGADO.</w:t>
      </w:r>
    </w:p>
    <w:p w:rsidR="00B325CA" w:rsidRDefault="00362071">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En este sentido, derivado del análisis realizado en las constancias que integran el expediente, este Organismo Garante determina procedente analizar si con la respuesta emitida por el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la solicitud en estudio, se transgredió el derecho humano de acceso a la información pública de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es decir que la </w:t>
      </w:r>
      <w:r>
        <w:rPr>
          <w:rFonts w:ascii="Palatino Linotype" w:eastAsia="Palatino Linotype" w:hAnsi="Palatino Linotype" w:cs="Palatino Linotype"/>
          <w:i/>
          <w:color w:val="000000"/>
          <w:sz w:val="24"/>
          <w:szCs w:val="24"/>
        </w:rPr>
        <w:t>Litis</w:t>
      </w:r>
      <w:r>
        <w:rPr>
          <w:rFonts w:ascii="Palatino Linotype" w:eastAsia="Palatino Linotype" w:hAnsi="Palatino Linotype" w:cs="Palatino Linotype"/>
          <w:color w:val="000000"/>
          <w:sz w:val="24"/>
          <w:szCs w:val="24"/>
        </w:rPr>
        <w:t xml:space="preserve"> consistirá en determinar si la modalidad de entrega presentada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transgrede el derecho del particular.</w:t>
      </w:r>
    </w:p>
    <w:p w:rsidR="00B325CA" w:rsidRDefault="0036207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rsidR="00B325CA" w:rsidRDefault="00362071">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571006" cy="19633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9871" t="38624" r="31601" b="37235"/>
                    <a:stretch>
                      <a:fillRect/>
                    </a:stretch>
                  </pic:blipFill>
                  <pic:spPr>
                    <a:xfrm>
                      <a:off x="0" y="0"/>
                      <a:ext cx="5571006" cy="1963350"/>
                    </a:xfrm>
                    <a:prstGeom prst="rect">
                      <a:avLst/>
                    </a:prstGeom>
                    <a:ln/>
                  </pic:spPr>
                </pic:pic>
              </a:graphicData>
            </a:graphic>
          </wp:inline>
        </w:drawing>
      </w:r>
    </w:p>
    <w:p w:rsidR="00B325CA" w:rsidRDefault="00362071">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al </w:t>
      </w:r>
      <w:r>
        <w:rPr>
          <w:rFonts w:ascii="Palatino Linotype" w:eastAsia="Palatino Linotype" w:hAnsi="Palatino Linotype" w:cs="Palatino Linotype"/>
          <w:b/>
          <w:sz w:val="24"/>
          <w:szCs w:val="24"/>
          <w:u w:val="single"/>
        </w:rPr>
        <w:t>respecto al cambio de modalidad a consulta directa</w:t>
      </w:r>
      <w:r>
        <w:rPr>
          <w:rFonts w:ascii="Palatino Linotype" w:eastAsia="Palatino Linotype" w:hAnsi="Palatino Linotype" w:cs="Palatino Linotype"/>
          <w:sz w:val="24"/>
          <w:szCs w:val="24"/>
        </w:rPr>
        <w:t xml:space="preserve"> conviene mencionar que </w:t>
      </w:r>
      <w:r>
        <w:rPr>
          <w:rFonts w:ascii="Palatino Linotype" w:eastAsia="Palatino Linotype" w:hAnsi="Palatino Linotype" w:cs="Palatino Linotype"/>
          <w:color w:val="000000"/>
          <w:sz w:val="24"/>
          <w:szCs w:val="24"/>
        </w:rPr>
        <w:t>e</w:t>
      </w:r>
      <w:r>
        <w:rPr>
          <w:rFonts w:ascii="Palatino Linotype" w:eastAsia="Palatino Linotype" w:hAnsi="Palatino Linotype" w:cs="Palatino Linotype"/>
          <w:sz w:val="24"/>
          <w:szCs w:val="24"/>
        </w:rPr>
        <w:t xml:space="preserv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sz w:val="24"/>
          <w:szCs w:val="24"/>
        </w:rPr>
        <w:t>la modalidad en la que prefiere se otorgue el acceso a la información</w:t>
      </w:r>
      <w:r>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rsidR="00B325CA" w:rsidRDefault="00B325CA">
      <w:pPr>
        <w:spacing w:after="0" w:line="360" w:lineRule="auto"/>
        <w:ind w:right="-28"/>
        <w:jc w:val="both"/>
        <w:rPr>
          <w:rFonts w:ascii="Palatino Linotype" w:eastAsia="Palatino Linotype" w:hAnsi="Palatino Linotype" w:cs="Palatino Linotype"/>
          <w:sz w:val="24"/>
          <w:szCs w:val="24"/>
        </w:rPr>
      </w:pPr>
    </w:p>
    <w:p w:rsidR="00B325CA" w:rsidRDefault="00362071">
      <w:pPr>
        <w:spacing w:after="0" w:line="360" w:lineRule="auto"/>
        <w:ind w:right="-28"/>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B325CA" w:rsidRDefault="00B325CA">
      <w:pPr>
        <w:spacing w:after="0" w:line="360" w:lineRule="auto"/>
        <w:ind w:right="-28"/>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Pr>
          <w:rFonts w:ascii="Palatino Linotype" w:eastAsia="Palatino Linotype" w:hAnsi="Palatino Linotype" w:cs="Palatino Linotype"/>
          <w:sz w:val="24"/>
          <w:szCs w:val="24"/>
        </w:rPr>
        <w:t xml:space="preserve"> En cualquier caso, </w:t>
      </w:r>
      <w:r>
        <w:rPr>
          <w:rFonts w:ascii="Palatino Linotype" w:eastAsia="Palatino Linotype" w:hAnsi="Palatino Linotype" w:cs="Palatino Linotype"/>
          <w:b/>
          <w:sz w:val="24"/>
          <w:szCs w:val="24"/>
        </w:rPr>
        <w:t>se deberá fundar y motivar</w:t>
      </w:r>
      <w:r>
        <w:rPr>
          <w:rFonts w:ascii="Palatino Linotype" w:eastAsia="Palatino Linotype" w:hAnsi="Palatino Linotype" w:cs="Palatino Linotype"/>
          <w:sz w:val="24"/>
          <w:szCs w:val="24"/>
        </w:rPr>
        <w:t xml:space="preserve"> la necesidad de ofrecer otras modalidades.</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sz w:val="24"/>
          <w:szCs w:val="24"/>
        </w:rPr>
        <w:t>sólo procede, en caso de que se acredite la imposibilidad de atenderla.</w:t>
      </w:r>
      <w:r>
        <w:rPr>
          <w:rFonts w:ascii="Palatino Linotype" w:eastAsia="Palatino Linotype" w:hAnsi="Palatino Linotype" w:cs="Palatino Linotype"/>
          <w:sz w:val="24"/>
          <w:szCs w:val="24"/>
        </w:rPr>
        <w:t xml:space="preserve"> </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cuando se justifique el impedimento, </w:t>
      </w:r>
      <w:r>
        <w:rPr>
          <w:rFonts w:ascii="Palatino Linotype" w:eastAsia="Palatino Linotype" w:hAnsi="Palatino Linotype" w:cs="Palatino Linotype"/>
          <w:b/>
          <w:sz w:val="24"/>
          <w:szCs w:val="24"/>
        </w:rPr>
        <w:t>los Sujetos Obligados deberán ofrecer al particular otras modalidades de entrega que permita la información</w:t>
      </w:r>
      <w:r>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B325CA" w:rsidRDefault="00B325CA">
      <w:pPr>
        <w:spacing w:after="0" w:line="360" w:lineRule="auto"/>
        <w:jc w:val="both"/>
        <w:rPr>
          <w:rFonts w:ascii="Palatino Linotype" w:eastAsia="Palatino Linotype" w:hAnsi="Palatino Linotype" w:cs="Palatino Linotype"/>
        </w:rPr>
      </w:pPr>
    </w:p>
    <w:p w:rsidR="00B325CA" w:rsidRDefault="00362071">
      <w:pPr>
        <w:spacing w:after="0" w:line="24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B325CA" w:rsidRDefault="00B325CA">
      <w:pPr>
        <w:spacing w:after="0" w:line="360" w:lineRule="auto"/>
        <w:ind w:left="567" w:right="567"/>
        <w:jc w:val="both"/>
        <w:rPr>
          <w:rFonts w:ascii="Palatino Linotype" w:eastAsia="Palatino Linotype" w:hAnsi="Palatino Linotype" w:cs="Palatino Linotype"/>
          <w:i/>
          <w:sz w:val="20"/>
          <w:szCs w:val="20"/>
        </w:rPr>
      </w:pPr>
    </w:p>
    <w:p w:rsidR="00B325CA" w:rsidRDefault="00362071">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sz w:val="24"/>
          <w:szCs w:val="24"/>
        </w:rPr>
        <w:t>información en todas las modalidades que lo permitan, procurando reducir los costos de entrega.</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menester recordar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respuesta en un ejercicio de máxima publicidad pretendió la entrega de toda la información solicitada; así pues, planteó un cambio de modalidad al considerar que la información, corresponde a un aproximado de 15,000 fojas, las cuales rebasan las capacidades técnicas del Sistema de Acceso a la Información Mexiquense (SAIMEX); ello de conformidad con lo informado por el Comité de Transparencia del Sistema Municipal DIF de Metepec 2022-2024.</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Asimismo,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 xml:space="preserve">este Organismo Garante solicitó a través de correo electrónico al Personal de la Dirección General de Informática, que señalará si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lastRenderedPageBreak/>
        <w:t>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rsidR="00B325CA" w:rsidRDefault="00362071">
      <w:pPr>
        <w:spacing w:after="0" w:line="360" w:lineRule="auto"/>
        <w:jc w:val="both"/>
        <w:rPr>
          <w:rFonts w:ascii="Palatino Linotype" w:eastAsia="Palatino Linotype" w:hAnsi="Palatino Linotype" w:cs="Palatino Linotype"/>
          <w:sz w:val="24"/>
          <w:szCs w:val="24"/>
        </w:rPr>
      </w:pPr>
      <w:r>
        <w:rPr>
          <w:noProof/>
        </w:rPr>
        <w:drawing>
          <wp:inline distT="0" distB="0" distL="0" distR="0">
            <wp:extent cx="5648550" cy="1306559"/>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9178" t="36510" r="1391" b="45987"/>
                    <a:stretch>
                      <a:fillRect/>
                    </a:stretch>
                  </pic:blipFill>
                  <pic:spPr>
                    <a:xfrm>
                      <a:off x="0" y="0"/>
                      <a:ext cx="5648550" cy="1306559"/>
                    </a:xfrm>
                    <a:prstGeom prst="rect">
                      <a:avLst/>
                    </a:prstGeom>
                    <a:ln/>
                  </pic:spPr>
                </pic:pic>
              </a:graphicData>
            </a:graphic>
          </wp:inline>
        </w:drawing>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pues, este Instituto no tiene constancias 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informará de alguna incidencia para subir la información al Sistema de Acceso a la Información Mexiquense (SAIMEX).</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lo anterior, la Dirección General de Informática señaló que el Sistema de Acceso a la Información Mexiquense (SAIMEX), cuenta con la capacidad de recibir archivos con un peso aproximado de hasta 500Mb, que corresponde a un aproximado de 8,000 hojas.</w:t>
      </w:r>
    </w:p>
    <w:p w:rsidR="00B325CA" w:rsidRDefault="00B325CA">
      <w:pPr>
        <w:spacing w:after="0" w:line="360" w:lineRule="auto"/>
        <w:jc w:val="both"/>
        <w:rPr>
          <w:rFonts w:ascii="Palatino Linotype" w:eastAsia="Palatino Linotype" w:hAnsi="Palatino Linotype" w:cs="Palatino Linotype"/>
          <w:color w:val="FF0000"/>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se tiene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aportó elementos suficientes para validar el cambio de modalidad solicitado.</w:t>
      </w:r>
    </w:p>
    <w:p w:rsidR="00B325CA" w:rsidRDefault="00B325CA">
      <w:pPr>
        <w:spacing w:after="0" w:line="360" w:lineRule="auto"/>
        <w:jc w:val="both"/>
        <w:rPr>
          <w:rFonts w:ascii="Palatino Linotype" w:eastAsia="Palatino Linotype" w:hAnsi="Palatino Linotype" w:cs="Palatino Linotype"/>
          <w:b/>
          <w:sz w:val="24"/>
          <w:szCs w:val="24"/>
        </w:rPr>
      </w:pPr>
    </w:p>
    <w:p w:rsidR="00B325CA" w:rsidRDefault="00362071">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B325CA" w:rsidRDefault="00362071">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razones por las cuales la información implicaba un análisis, estudio o procesamiento de datos;</w:t>
      </w:r>
    </w:p>
    <w:p w:rsidR="00B325CA" w:rsidRDefault="00B325CA">
      <w:pPr>
        <w:spacing w:after="0" w:line="360" w:lineRule="auto"/>
        <w:ind w:left="720"/>
        <w:jc w:val="both"/>
        <w:rPr>
          <w:rFonts w:ascii="Palatino Linotype" w:eastAsia="Palatino Linotype" w:hAnsi="Palatino Linotype" w:cs="Palatino Linotype"/>
          <w:sz w:val="24"/>
          <w:szCs w:val="24"/>
        </w:rPr>
      </w:pPr>
    </w:p>
    <w:p w:rsidR="00B325CA" w:rsidRDefault="00362071">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rsidR="00B325CA" w:rsidRDefault="00B325CA">
      <w:pPr>
        <w:spacing w:after="0" w:line="360" w:lineRule="auto"/>
        <w:ind w:left="720"/>
        <w:rPr>
          <w:rFonts w:ascii="Palatino Linotype" w:eastAsia="Palatino Linotype" w:hAnsi="Palatino Linotype" w:cs="Palatino Linotype"/>
          <w:sz w:val="24"/>
          <w:szCs w:val="24"/>
        </w:rPr>
      </w:pPr>
    </w:p>
    <w:p w:rsidR="00B325CA" w:rsidRDefault="00362071">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cantidad de recursos humanos y materiales con los que cuenta el Sujeto Obligado son insuficientes.</w:t>
      </w:r>
    </w:p>
    <w:p w:rsidR="00B325CA" w:rsidRDefault="00B325CA">
      <w:pPr>
        <w:spacing w:after="0" w:line="360" w:lineRule="auto"/>
        <w:ind w:left="720"/>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el Comité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preciso que ponía a disposición del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la documentación peticionada en consulta directa, por la cantidad de solicitudes y recursos de revisión, recibidas en el primer bimestre del año, sobrepasan las capacidades humanas del Sistema Municipal DIF Metepec. </w:t>
      </w:r>
    </w:p>
    <w:p w:rsidR="00B325CA" w:rsidRDefault="00B325CA">
      <w:pPr>
        <w:spacing w:after="0" w:line="360" w:lineRule="auto"/>
        <w:jc w:val="both"/>
        <w:rPr>
          <w:rFonts w:ascii="Palatino Linotype" w:eastAsia="Palatino Linotype" w:hAnsi="Palatino Linotype" w:cs="Palatino Linotype"/>
          <w:color w:val="000000"/>
          <w:sz w:val="24"/>
          <w:szCs w:val="24"/>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contexto, este Instituto considera que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no preciso la siguiente circunstancia:</w:t>
      </w:r>
    </w:p>
    <w:p w:rsidR="00B325CA" w:rsidRDefault="00B325C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B325CA" w:rsidRDefault="00362071">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número de hojas o peso aproximado de la información solicitada, del cual se pudiera conocer cuántos documentos había generado y recibido las áreas, o bien, cuando menos un aproximado.</w:t>
      </w:r>
    </w:p>
    <w:p w:rsidR="00B325CA" w:rsidRDefault="00B325CA">
      <w:pPr>
        <w:spacing w:after="0" w:line="360" w:lineRule="auto"/>
        <w:rPr>
          <w:rFonts w:ascii="Palatino Linotype" w:eastAsia="Palatino Linotype" w:hAnsi="Palatino Linotype" w:cs="Palatino Linotype"/>
          <w:color w:val="000000"/>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sobrepasará las capacidades técnicas, administrativas y humanas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pues como se refirió, no se precisó el número de personas que se encontraban en las áreas, ni número de hojas aproximadas de lo solicitado, o bien, si lo peticionado, se encontraba en uno o varios expedientes; esto es, no proporcionó los elementos suficientes para acreditar el cambio de modalidad, pues la justificación se basó únicamente en que sobrepasaba las capacidades humanas y técnicas, sin acreditar su dicho.</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w:t>
      </w:r>
      <w:r>
        <w:rPr>
          <w:rFonts w:ascii="Palatino Linotype" w:eastAsia="Palatino Linotype" w:hAnsi="Palatino Linotype" w:cs="Palatino Linotype"/>
          <w:sz w:val="24"/>
          <w:szCs w:val="24"/>
        </w:rPr>
        <w:lastRenderedPageBreak/>
        <w:t xml:space="preserve">directa, sino que los sujetos obligados, deben de buscar la posibilidad de proporcionarla en las otras formas que establecen en la Ley, ya sean electrónicas o físicas. </w:t>
      </w:r>
    </w:p>
    <w:p w:rsidR="00B325CA" w:rsidRDefault="00B325CA">
      <w:pPr>
        <w:tabs>
          <w:tab w:val="left" w:pos="975"/>
        </w:tabs>
        <w:spacing w:after="0" w:line="360" w:lineRule="auto"/>
        <w:jc w:val="both"/>
        <w:rPr>
          <w:rFonts w:ascii="Palatino Linotype" w:eastAsia="Palatino Linotype" w:hAnsi="Palatino Linotype" w:cs="Palatino Linotype"/>
          <w:sz w:val="24"/>
          <w:szCs w:val="24"/>
        </w:rPr>
      </w:pPr>
      <w:bookmarkStart w:id="0" w:name="_heading=h.3rdcrjn" w:colFirst="0" w:colLast="0"/>
      <w:bookmarkEnd w:id="0"/>
    </w:p>
    <w:p w:rsidR="00B325CA" w:rsidRDefault="00362071">
      <w:pPr>
        <w:tabs>
          <w:tab w:val="left" w:pos="975"/>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anterior, se advierte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sz w:val="24"/>
          <w:szCs w:val="24"/>
        </w:rPr>
        <w:t>FUNDADOS</w:t>
      </w:r>
      <w:r>
        <w:rPr>
          <w:rFonts w:ascii="Palatino Linotype" w:eastAsia="Palatino Linotype" w:hAnsi="Palatino Linotype" w:cs="Palatino Linotype"/>
          <w:sz w:val="24"/>
          <w:szCs w:val="24"/>
        </w:rPr>
        <w:t>; situación que se robustece, con el hecho de que tampoco vio la posibilidad de poner a disposición la información, en el resto de modalidades establecidas en la Ley de la materia.</w:t>
      </w:r>
    </w:p>
    <w:p w:rsidR="00B325CA" w:rsidRDefault="00B325CA">
      <w:pPr>
        <w:spacing w:after="0" w:line="360" w:lineRule="auto"/>
        <w:jc w:val="both"/>
        <w:rPr>
          <w:sz w:val="24"/>
          <w:szCs w:val="24"/>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precisado lo anterior Como se advierte del contenido de la solicitud de información el particular pretende acceder al certificado de competencia laboral del Titular del Órgano de Control Interno. </w:t>
      </w:r>
    </w:p>
    <w:p w:rsidR="00B325CA" w:rsidRDefault="00B325CA">
      <w:pPr>
        <w:spacing w:after="0" w:line="360" w:lineRule="auto"/>
        <w:jc w:val="both"/>
        <w:rPr>
          <w:rFonts w:ascii="Palatino Linotype" w:eastAsia="Palatino Linotype" w:hAnsi="Palatino Linotype" w:cs="Palatino Linotype"/>
          <w:color w:val="000000"/>
          <w:sz w:val="24"/>
          <w:szCs w:val="24"/>
        </w:rPr>
      </w:pPr>
    </w:p>
    <w:p w:rsidR="00B325CA" w:rsidRDefault="00362071">
      <w:pPr>
        <w:spacing w:after="24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el artículo 32 fracción IV de la Ley Orgánica Municipal del Estado de México, señala lo conducente:</w:t>
      </w:r>
    </w:p>
    <w:p w:rsidR="00B325CA" w:rsidRDefault="00362071">
      <w:pPr>
        <w:spacing w:before="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Pr>
          <w:rFonts w:ascii="Palatino Linotype" w:eastAsia="Palatino Linotype" w:hAnsi="Palatino Linotype" w:cs="Palatino Linotype"/>
          <w:b/>
          <w:i/>
          <w:u w:val="single"/>
        </w:rPr>
        <w:t>de las unidades administrativas</w:t>
      </w:r>
      <w:r>
        <w:rPr>
          <w:rFonts w:ascii="Palatino Linotype" w:eastAsia="Palatino Linotype" w:hAnsi="Palatino Linotype" w:cs="Palatino Linotype"/>
          <w:i/>
        </w:rPr>
        <w:t xml:space="preserve"> y de los organismos auxiliares, se deberán satisfacer los siguientes requisitos:</w:t>
      </w:r>
    </w:p>
    <w:p w:rsidR="00B325CA" w:rsidRDefault="00362071">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B325CA" w:rsidRDefault="00362071">
      <w:pPr>
        <w:ind w:left="851" w:right="902"/>
        <w:jc w:val="both"/>
        <w:rPr>
          <w:rFonts w:ascii="Palatino Linotype" w:eastAsia="Palatino Linotype" w:hAnsi="Palatino Linotype" w:cs="Palatino Linotype"/>
          <w:i/>
        </w:rPr>
      </w:pPr>
      <w:bookmarkStart w:id="1" w:name="_heading=h.1fob9te" w:colFirst="0" w:colLast="0"/>
      <w:bookmarkEnd w:id="1"/>
      <w:r>
        <w:rPr>
          <w:rFonts w:ascii="Palatino Linotype" w:eastAsia="Palatino Linotype" w:hAnsi="Palatino Linotype" w:cs="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B325CA" w:rsidRDefault="00362071">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25CA" w:rsidRDefault="00362071">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rsidR="00B325CA" w:rsidRDefault="00B325CA">
      <w:pPr>
        <w:ind w:left="851" w:right="902"/>
        <w:jc w:val="both"/>
        <w:rPr>
          <w:rFonts w:ascii="Palatino Linotype" w:eastAsia="Palatino Linotype" w:hAnsi="Palatino Linotype" w:cs="Palatino Linotype"/>
          <w:i/>
        </w:rPr>
      </w:pPr>
    </w:p>
    <w:p w:rsidR="00B325CA" w:rsidRDefault="00362071">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De lo anterior se advierte que se debe contar con certificación de competencia laboral del </w:t>
      </w:r>
      <w:r>
        <w:rPr>
          <w:rFonts w:ascii="Palatino Linotype" w:eastAsia="Palatino Linotype" w:hAnsi="Palatino Linotype" w:cs="Palatino Linotype"/>
          <w:sz w:val="24"/>
          <w:szCs w:val="24"/>
        </w:rPr>
        <w:t>Titular del Órgano de Control Interno, sin embargo, la misma tiene un plazo de seis meses siguientes a la fecha en que inicien sus funciones.</w:t>
      </w:r>
    </w:p>
    <w:p w:rsidR="00B325CA" w:rsidRDefault="00B325CA">
      <w:pPr>
        <w:spacing w:after="0" w:line="360" w:lineRule="auto"/>
        <w:ind w:right="-28"/>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tener, conviene mencionar que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la Comisión Certificadora de Competencia Laboral de los Servidores Públicos del Estado de México (COCERTEM) que el IHAEM certifica al servidor público mencionado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 </w:t>
      </w:r>
    </w:p>
    <w:p w:rsidR="00B325CA" w:rsidRDefault="00B325CA">
      <w:pPr>
        <w:spacing w:after="0" w:line="360" w:lineRule="auto"/>
        <w:jc w:val="both"/>
        <w:rPr>
          <w:sz w:val="28"/>
          <w:szCs w:val="28"/>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Para al fin, la COCERTEM desarrolla planes de evaluación con los candidatos para establecer la fecha y hora en que se llevará a cabo el proceso de evaluación, indicándole los derechos y obligaciones correspondientes; además la evaluación se </w:t>
      </w: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w:t>
      </w: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Norma Institucional de Competencia Laboral, con la finalidad de obtener un certificado o documento emitido por la Comisión en el cual se manifiesta la competencia de una persona para desempeñar una función productiva, por cumplir </w:t>
      </w: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requisitos de una o algunas Normas de Competencia Laboral.</w:t>
      </w:r>
    </w:p>
    <w:p w:rsidR="00B325CA" w:rsidRDefault="00B325CA">
      <w:pPr>
        <w:spacing w:after="0" w:line="360" w:lineRule="auto"/>
        <w:jc w:val="both"/>
        <w:rPr>
          <w:sz w:val="28"/>
          <w:szCs w:val="28"/>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Para tales efectos, la COCERTEM ha desarrollado un calendario de evaluaciones aplicable para los meses de enero a diciembre de dos mil veintidós, para que los nuevos servidores públicos obtengan la certificación correspondiente, circunstancia que podría imposibilitar al </w:t>
      </w:r>
      <w:r>
        <w:rPr>
          <w:rFonts w:ascii="Palatino Linotype" w:eastAsia="Palatino Linotype" w:hAnsi="Palatino Linotype" w:cs="Palatino Linotype"/>
          <w:sz w:val="24"/>
          <w:szCs w:val="24"/>
        </w:rPr>
        <w:t>Titular del Órgano de Control Interno.</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Máxime, que no se debe perder de vista que la actual administración del Ayuntamiento de Ayuntamiento de Metepec 2022-2024, entró en funciones el pasado primero de enero del año 2022, relegando la administración 2019-2021, lo </w:t>
      </w:r>
      <w:r>
        <w:rPr>
          <w:rFonts w:ascii="Palatino Linotype" w:eastAsia="Palatino Linotype" w:hAnsi="Palatino Linotype" w:cs="Palatino Linotype"/>
          <w:color w:val="000000"/>
          <w:sz w:val="24"/>
          <w:szCs w:val="24"/>
        </w:rPr>
        <w:lastRenderedPageBreak/>
        <w:t xml:space="preserve">anterior en términos de lo señalado por los artículos 16 primer párrafo y 19 de la Ley Orgánica Municipal del Estado de México, que señalan lo conducente: </w:t>
      </w:r>
    </w:p>
    <w:p w:rsidR="00B325CA" w:rsidRDefault="00B325CA">
      <w:pPr>
        <w:spacing w:after="0" w:line="360" w:lineRule="auto"/>
        <w:jc w:val="both"/>
        <w:rPr>
          <w:rFonts w:ascii="Palatino Linotype" w:eastAsia="Palatino Linotype" w:hAnsi="Palatino Linotype" w:cs="Palatino Linotype"/>
          <w:color w:val="000000"/>
          <w:sz w:val="24"/>
          <w:szCs w:val="24"/>
        </w:rPr>
      </w:pPr>
    </w:p>
    <w:p w:rsidR="00B325CA" w:rsidRDefault="00362071">
      <w:pPr>
        <w:spacing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16.- </w:t>
      </w:r>
      <w:r>
        <w:rPr>
          <w:rFonts w:ascii="Palatino Linotype" w:eastAsia="Palatino Linotype" w:hAnsi="Palatino Linotype" w:cs="Palatino Linotype"/>
          <w:b/>
          <w:i/>
          <w:color w:val="000000"/>
        </w:rPr>
        <w:t>Los Ayuntamientos se renovarán cada tres años, iniciarán su periodo el 1 de enero del año inmediato siguiente al de las elecciones municipales ordinarias y concluirán el 31 de diciembre del año de las elecciones para su renovación</w:t>
      </w:r>
      <w:r>
        <w:rPr>
          <w:rFonts w:ascii="Palatino Linotype" w:eastAsia="Palatino Linotype" w:hAnsi="Palatino Linotype" w:cs="Palatino Linotype"/>
          <w:i/>
          <w:color w:val="000000"/>
        </w:rPr>
        <w:t>; y se integrarán por:</w:t>
      </w:r>
    </w:p>
    <w:p w:rsidR="00B325CA" w:rsidRDefault="00362071">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B325CA" w:rsidRDefault="00362071">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19.- </w:t>
      </w:r>
      <w:r>
        <w:rPr>
          <w:rFonts w:ascii="Palatino Linotype" w:eastAsia="Palatino Linotype" w:hAnsi="Palatino Linotype" w:cs="Palatino Linotype"/>
          <w:b/>
          <w:i/>
          <w:color w:val="000000"/>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rPr>
        <w:t xml:space="preserve">, cuyo presidente municipal hará la siguiente declaratoria formal y solemne: “Queda legítimamente instalado el ayuntamiento del municipio de…, que deberá funcionar durante los años de…”. </w:t>
      </w:r>
    </w:p>
    <w:p w:rsidR="00B325CA" w:rsidRDefault="00362071">
      <w:pPr>
        <w:spacing w:before="240" w:after="240" w:line="276" w:lineRule="auto"/>
        <w:ind w:left="851" w:right="900"/>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i/>
          <w:color w:val="000000"/>
        </w:rPr>
        <w:t xml:space="preserve">La inasistencia de los integrantes del ayuntamiento saliente no será obstáculo para que se dé por instalado el entrante, sin perjuicio de las sanciones que establezcan las disposiciones jurídicas aplicables. </w:t>
      </w:r>
      <w:r>
        <w:rPr>
          <w:rFonts w:ascii="Palatino Linotype" w:eastAsia="Palatino Linotype" w:hAnsi="Palatino Linotype" w:cs="Palatino Linotype"/>
          <w:b/>
          <w:i/>
          <w:color w:val="000000"/>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B325CA" w:rsidRDefault="00362071">
      <w:pPr>
        <w:spacing w:before="240" w:after="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documentación que se señala anteriormente deberá ser conocida en la primera sesión de Cabildo por los integrantes del Ayuntamiento a los cuales se les </w:t>
      </w:r>
      <w:r>
        <w:rPr>
          <w:rFonts w:ascii="Palatino Linotype" w:eastAsia="Palatino Linotype" w:hAnsi="Palatino Linotype" w:cs="Palatino Linotype"/>
          <w:i/>
          <w:color w:val="000000"/>
        </w:rPr>
        <w:lastRenderedPageBreak/>
        <w:t>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municipal.”(Sic)</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Además de lo antes mencionado, de acuerdo al portal electrónico se observa que el Titular del Órgano de Control Interno </w:t>
      </w:r>
      <w:r>
        <w:rPr>
          <w:rFonts w:ascii="Palatino Linotype" w:eastAsia="Palatino Linotype" w:hAnsi="Palatino Linotype" w:cs="Palatino Linotype"/>
          <w:sz w:val="24"/>
          <w:szCs w:val="24"/>
        </w:rPr>
        <w:t>tomo posesión en fecha primero de enero de dos mil veintidós, tal como se aprecia a continuación:</w:t>
      </w:r>
    </w:p>
    <w:p w:rsidR="00B325CA" w:rsidRDefault="00362071">
      <w:pPr>
        <w:tabs>
          <w:tab w:val="left" w:pos="709"/>
        </w:tabs>
        <w:spacing w:after="0" w:line="360" w:lineRule="auto"/>
        <w:ind w:right="40"/>
        <w:jc w:val="both"/>
        <w:rPr>
          <w:rFonts w:ascii="Palatino Linotype" w:eastAsia="Palatino Linotype" w:hAnsi="Palatino Linotype" w:cs="Palatino Linotype"/>
          <w:sz w:val="24"/>
          <w:szCs w:val="24"/>
        </w:rPr>
      </w:pPr>
      <w:r>
        <w:rPr>
          <w:noProof/>
        </w:rPr>
        <w:drawing>
          <wp:inline distT="0" distB="0" distL="0" distR="0">
            <wp:extent cx="5694627" cy="342225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1738" t="25045" r="32959" b="37236"/>
                    <a:stretch>
                      <a:fillRect/>
                    </a:stretch>
                  </pic:blipFill>
                  <pic:spPr>
                    <a:xfrm>
                      <a:off x="0" y="0"/>
                      <a:ext cx="5694627" cy="3422250"/>
                    </a:xfrm>
                    <a:prstGeom prst="rect">
                      <a:avLst/>
                    </a:prstGeom>
                    <a:ln/>
                  </pic:spPr>
                </pic:pic>
              </a:graphicData>
            </a:graphic>
          </wp:inline>
        </w:drawing>
      </w:r>
    </w:p>
    <w:p w:rsidR="00B325CA" w:rsidRDefault="00362071">
      <w:pPr>
        <w:tabs>
          <w:tab w:val="left" w:pos="709"/>
        </w:tabs>
        <w:spacing w:after="0" w:line="360" w:lineRule="auto"/>
        <w:ind w:right="4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la Unidad de Transparencia </w:t>
      </w:r>
      <w:r w:rsidR="00800519" w:rsidRPr="00800519">
        <w:rPr>
          <w:rFonts w:ascii="Palatino Linotype" w:eastAsia="Palatino Linotype" w:hAnsi="Palatino Linotype" w:cs="Palatino Linotype"/>
          <w:sz w:val="24"/>
          <w:szCs w:val="24"/>
        </w:rPr>
        <w:t xml:space="preserve">no realizo </w:t>
      </w:r>
      <w:r>
        <w:rPr>
          <w:rFonts w:ascii="Palatino Linotype" w:eastAsia="Palatino Linotype" w:hAnsi="Palatino Linotype" w:cs="Palatino Linotype"/>
          <w:sz w:val="24"/>
          <w:szCs w:val="24"/>
        </w:rPr>
        <w:t>una búsqueda exhaustiva y razonable de la información solicitada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 xml:space="preserve">ya que omitió turnar a todas las áreas competentes que cuenten con la información o deban tenerla de acuerdo a sus facultades, competencias y funciones, que en este caso sería la Subdirección de </w:t>
      </w:r>
      <w:r>
        <w:rPr>
          <w:rFonts w:ascii="Palatino Linotype" w:eastAsia="Palatino Linotype" w:hAnsi="Palatino Linotype" w:cs="Palatino Linotype"/>
          <w:sz w:val="24"/>
          <w:szCs w:val="24"/>
        </w:rPr>
        <w:lastRenderedPageBreak/>
        <w:t>Administración de manera enunciativa mas no limitativa el área competente en la que obre en sus archivos los certificados de competencia laboral del Titular del Órgano de Control Interno, esto de acuerdo al Reglamento Interno del Sistema Municipal para el Desarrollo Integral de la Familia de Metepec, tal como se aprecia a continuación:</w:t>
      </w:r>
    </w:p>
    <w:p w:rsidR="00B325CA" w:rsidRDefault="00B325CA">
      <w:pPr>
        <w:tabs>
          <w:tab w:val="left" w:pos="709"/>
        </w:tabs>
        <w:spacing w:after="0" w:line="360" w:lineRule="auto"/>
        <w:ind w:right="40"/>
        <w:jc w:val="both"/>
        <w:rPr>
          <w:rFonts w:ascii="Palatino Linotype" w:eastAsia="Palatino Linotype" w:hAnsi="Palatino Linotype" w:cs="Palatino Linotype"/>
          <w:sz w:val="24"/>
          <w:szCs w:val="24"/>
        </w:rPr>
      </w:pPr>
    </w:p>
    <w:p w:rsidR="00B325CA" w:rsidRDefault="00362071">
      <w:pPr>
        <w:tabs>
          <w:tab w:val="left" w:pos="709"/>
        </w:tabs>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45.- La Subdirección de Administración será la o el responsable de llevar a cabo las acciones correspondientes a los recursos humanos, recursos materiales, adquisiciones, control patrimonial, servicios generales y vehiculares. </w:t>
      </w:r>
    </w:p>
    <w:p w:rsidR="00B325CA" w:rsidRDefault="00B325CA">
      <w:pPr>
        <w:spacing w:after="0" w:line="360" w:lineRule="auto"/>
        <w:jc w:val="both"/>
        <w:rPr>
          <w:sz w:val="28"/>
          <w:szCs w:val="28"/>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determina que la Subdirección de Administración, es responsable de llevar a cabo las acciones correspondientes a los recursos humanos, además de lo establecido por el artículo 47 de la Ley del Trabajo de los Servidores Públicos del Estado y Municipios, el cual refiere que para ingresar al servicio público, se requiere, entre otras cosas, cumplir con diversos requisitos, por lo que es conducente hacer referencia sobre aquellas exigencias a cumplir que señala el artículo en comento:</w:t>
      </w:r>
    </w:p>
    <w:p w:rsidR="00B325CA" w:rsidRDefault="00B325CA">
      <w:pPr>
        <w:spacing w:after="0" w:line="360" w:lineRule="auto"/>
        <w:jc w:val="both"/>
        <w:rPr>
          <w:sz w:val="28"/>
          <w:szCs w:val="28"/>
        </w:rPr>
      </w:pPr>
    </w:p>
    <w:p w:rsidR="00B325CA" w:rsidRDefault="00362071">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47.</w:t>
      </w:r>
      <w:r>
        <w:rPr>
          <w:rFonts w:ascii="Palatino Linotype" w:eastAsia="Palatino Linotype" w:hAnsi="Palatino Linotype" w:cs="Palatino Linotype"/>
          <w:i/>
        </w:rPr>
        <w:t xml:space="preserve"> Para ingresar al servicio público se requiere:</w:t>
      </w:r>
    </w:p>
    <w:p w:rsidR="00B325CA" w:rsidRDefault="00362071">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25CA" w:rsidRDefault="00362071">
      <w:pPr>
        <w:spacing w:after="0" w:line="276"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 xml:space="preserve">IX. Acreditar por medio de los exámenes correspondientes los conocimientos y aptitudes necesarios para el desempeño del puesto; y </w:t>
      </w:r>
    </w:p>
    <w:p w:rsidR="00B325CA" w:rsidRDefault="00B325CA">
      <w:pPr>
        <w:spacing w:after="0" w:line="360" w:lineRule="auto"/>
        <w:ind w:right="539"/>
        <w:jc w:val="both"/>
        <w:rPr>
          <w:rFonts w:ascii="Palatino Linotype" w:eastAsia="Palatino Linotype" w:hAnsi="Palatino Linotype" w:cs="Palatino Linotype"/>
          <w:i/>
          <w:strike/>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Conforme a lo anterior, se logra advertir que toda persona que ingrese al servicio público debe acreditar los conocimientos y aptitudes necesarios para el desempeño </w:t>
      </w:r>
      <w:r>
        <w:rPr>
          <w:rFonts w:ascii="Palatino Linotype" w:eastAsia="Palatino Linotype" w:hAnsi="Palatino Linotype" w:cs="Palatino Linotype"/>
          <w:sz w:val="24"/>
          <w:szCs w:val="24"/>
        </w:rPr>
        <w:lastRenderedPageBreak/>
        <w:t xml:space="preserve">del puesto, siendo el certificado de competencia laboral el documento idóneo, mismo que formara parte de su expediente personal, motivo por el que </w:t>
      </w:r>
      <w:r>
        <w:rPr>
          <w:rFonts w:ascii="Palatino Linotype" w:eastAsia="Palatino Linotype" w:hAnsi="Palatino Linotype" w:cs="Palatino Linotype"/>
          <w:b/>
          <w:sz w:val="24"/>
          <w:szCs w:val="24"/>
        </w:rPr>
        <w:t xml:space="preserve">REVOCA </w:t>
      </w:r>
      <w:r>
        <w:rPr>
          <w:rFonts w:ascii="Palatino Linotype" w:eastAsia="Palatino Linotype" w:hAnsi="Palatino Linotype" w:cs="Palatino Linotype"/>
          <w:sz w:val="24"/>
          <w:szCs w:val="24"/>
        </w:rPr>
        <w:t xml:space="preserve">la respuesta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y se ordena la entrega del certificado de competencia laboral del Titular del Órgano de Control Interno en términos del considerando quinto, de esta resolución, sin embargo, para el caso de que no se haya generado a la fecha de la solicitud, bastará que así se lo haga saber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de manera fundada y motivada.</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respecto de las manifestaciones realizadas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como razones o motivos de inconformidad, consistentes en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y derivado que el Recurso de Revisión no es el medio para sancionar, este Órgano Garante sugiere al solicitante, interponer su queja o denuncia ante la autoridad competente.</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240" w:line="360" w:lineRule="auto"/>
        <w:ind w:right="-9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w:t>
      </w:r>
      <w:r>
        <w:rPr>
          <w:rFonts w:ascii="Palatino Linotype" w:eastAsia="Palatino Linotype" w:hAnsi="Palatino Linotype" w:cs="Palatino Linotype"/>
          <w:sz w:val="24"/>
          <w:szCs w:val="24"/>
        </w:rPr>
        <w:lastRenderedPageBreak/>
        <w:t xml:space="preserve">cumplimiento a la presente resolución, contengan datos que deban ser clasificados,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rsidR="00B325CA" w:rsidRDefault="003620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B325CA" w:rsidRDefault="00362071">
      <w:pPr>
        <w:spacing w:before="120" w:after="0" w:line="360" w:lineRule="auto"/>
        <w:jc w:val="both"/>
        <w:rPr>
          <w:rFonts w:ascii="Palatino Linotype" w:eastAsia="Palatino Linotype" w:hAnsi="Palatino Linotype" w:cs="Palatino Linotype"/>
          <w:sz w:val="24"/>
          <w:szCs w:val="24"/>
        </w:rPr>
      </w:pPr>
      <w:bookmarkStart w:id="2" w:name="_heading=h.gjdgxs" w:colFirst="0" w:colLast="0"/>
      <w:bookmarkEnd w:id="2"/>
      <w:r>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w:t>
      </w:r>
      <w:r>
        <w:rPr>
          <w:rFonts w:ascii="Palatino Linotype" w:eastAsia="Palatino Linotype" w:hAnsi="Palatino Linotype" w:cs="Palatino Linotype"/>
          <w:sz w:val="24"/>
          <w:szCs w:val="24"/>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B325CA" w:rsidRDefault="00362071">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B325CA" w:rsidRDefault="0036207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B325CA" w:rsidRDefault="0036207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Quincuagésimo octavo</w:t>
      </w:r>
      <w:r>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B325CA" w:rsidRDefault="003620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325CA" w:rsidRDefault="0036207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B325CA">
        <w:tc>
          <w:tcPr>
            <w:tcW w:w="4414" w:type="dxa"/>
            <w:gridSpan w:val="2"/>
          </w:tcPr>
          <w:p w:rsidR="00B325CA" w:rsidRDefault="0036207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B325CA" w:rsidRDefault="0036207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B325CA">
        <w:tc>
          <w:tcPr>
            <w:tcW w:w="993" w:type="dxa"/>
          </w:tcPr>
          <w:p w:rsidR="00B325CA" w:rsidRDefault="0036207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rsidR="00B325CA" w:rsidRDefault="0036207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B325CA" w:rsidRDefault="0036207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B325CA" w:rsidRDefault="0036207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B325CA">
        <w:tc>
          <w:tcPr>
            <w:tcW w:w="8828" w:type="dxa"/>
            <w:gridSpan w:val="4"/>
          </w:tcPr>
          <w:p w:rsidR="00B325CA" w:rsidRDefault="0036207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Fundamento legal</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B325CA">
        <w:tc>
          <w:tcPr>
            <w:tcW w:w="993"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B325CA">
        <w:tc>
          <w:tcPr>
            <w:tcW w:w="993" w:type="dxa"/>
          </w:tcPr>
          <w:p w:rsidR="00B325CA" w:rsidRDefault="00B325CA">
            <w:pPr>
              <w:jc w:val="both"/>
              <w:rPr>
                <w:rFonts w:ascii="Palatino Linotype" w:eastAsia="Palatino Linotype" w:hAnsi="Palatino Linotype" w:cs="Palatino Linotype"/>
                <w:sz w:val="12"/>
                <w:szCs w:val="12"/>
              </w:rPr>
            </w:pPr>
          </w:p>
        </w:tc>
        <w:tc>
          <w:tcPr>
            <w:tcW w:w="3421" w:type="dxa"/>
          </w:tcPr>
          <w:p w:rsidR="00B325CA" w:rsidRDefault="00B325CA">
            <w:pPr>
              <w:jc w:val="both"/>
              <w:rPr>
                <w:rFonts w:ascii="Palatino Linotype" w:eastAsia="Palatino Linotype" w:hAnsi="Palatino Linotype" w:cs="Palatino Linotype"/>
                <w:sz w:val="12"/>
                <w:szCs w:val="12"/>
              </w:rPr>
            </w:pP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B325CA">
        <w:tc>
          <w:tcPr>
            <w:tcW w:w="993" w:type="dxa"/>
          </w:tcPr>
          <w:p w:rsidR="00B325CA" w:rsidRDefault="00B325CA">
            <w:pPr>
              <w:jc w:val="both"/>
              <w:rPr>
                <w:rFonts w:ascii="Palatino Linotype" w:eastAsia="Palatino Linotype" w:hAnsi="Palatino Linotype" w:cs="Palatino Linotype"/>
                <w:sz w:val="12"/>
                <w:szCs w:val="12"/>
              </w:rPr>
            </w:pPr>
          </w:p>
        </w:tc>
        <w:tc>
          <w:tcPr>
            <w:tcW w:w="3421" w:type="dxa"/>
          </w:tcPr>
          <w:p w:rsidR="00B325CA" w:rsidRDefault="00B325CA">
            <w:pPr>
              <w:jc w:val="both"/>
              <w:rPr>
                <w:rFonts w:ascii="Palatino Linotype" w:eastAsia="Palatino Linotype" w:hAnsi="Palatino Linotype" w:cs="Palatino Linotype"/>
                <w:sz w:val="12"/>
                <w:szCs w:val="12"/>
              </w:rPr>
            </w:pPr>
          </w:p>
        </w:tc>
        <w:tc>
          <w:tcPr>
            <w:tcW w:w="968" w:type="dxa"/>
          </w:tcPr>
          <w:p w:rsidR="00B325CA" w:rsidRDefault="0036207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B325CA" w:rsidRDefault="0036207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B325CA" w:rsidRDefault="00B325CA">
      <w:pPr>
        <w:spacing w:after="0" w:line="360" w:lineRule="auto"/>
        <w:jc w:val="both"/>
        <w:rPr>
          <w:rFonts w:ascii="Palatino Linotype" w:eastAsia="Palatino Linotype" w:hAnsi="Palatino Linotype" w:cs="Palatino Linotype"/>
          <w:sz w:val="24"/>
          <w:szCs w:val="24"/>
        </w:rPr>
      </w:pPr>
    </w:p>
    <w:p w:rsidR="00B325CA" w:rsidRDefault="00362071">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Así, con fundamento en lo prescrito en los</w:t>
      </w:r>
      <w:r>
        <w:rPr>
          <w:rFonts w:ascii="Times New Roman" w:eastAsia="Times New Roman" w:hAnsi="Times New Roman" w:cs="Times New Roman"/>
          <w:color w:val="000000"/>
          <w:sz w:val="24"/>
          <w:szCs w:val="24"/>
        </w:rPr>
        <w:t xml:space="preserve"> </w:t>
      </w:r>
      <w:r>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B325CA" w:rsidRDefault="00362071">
      <w:pP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lastRenderedPageBreak/>
        <w:t>RESUELVE:</w:t>
      </w:r>
    </w:p>
    <w:p w:rsidR="00B325CA" w:rsidRDefault="00B325CA">
      <w:pPr>
        <w:spacing w:after="0" w:line="360" w:lineRule="auto"/>
        <w:jc w:val="center"/>
        <w:rPr>
          <w:rFonts w:ascii="Palatino Linotype" w:eastAsia="Palatino Linotype" w:hAnsi="Palatino Linotype" w:cs="Palatino Linotype"/>
          <w:b/>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parcialmente fundados los motivos de inconformidad hechos valer por la parte Recurrente en el Recurso de Revisión </w:t>
      </w:r>
      <w:r>
        <w:rPr>
          <w:rFonts w:ascii="Palatino Linotype" w:eastAsia="Palatino Linotype" w:hAnsi="Palatino Linotype" w:cs="Palatino Linotype"/>
          <w:b/>
          <w:color w:val="000000"/>
          <w:sz w:val="24"/>
          <w:szCs w:val="24"/>
        </w:rPr>
        <w:t>08844/INFOEM/IP/RR/2022</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por lo que, en términos del Considerando Cuarto de la presente resolución, se </w:t>
      </w:r>
      <w:r>
        <w:rPr>
          <w:rFonts w:ascii="Palatino Linotype" w:eastAsia="Palatino Linotype" w:hAnsi="Palatino Linotype" w:cs="Palatino Linotype"/>
          <w:b/>
          <w:sz w:val="24"/>
          <w:szCs w:val="24"/>
        </w:rPr>
        <w:t xml:space="preserve">REVOCA </w:t>
      </w:r>
      <w:r>
        <w:rPr>
          <w:rFonts w:ascii="Palatino Linotype" w:eastAsia="Palatino Linotype" w:hAnsi="Palatino Linotype" w:cs="Palatino Linotype"/>
          <w:sz w:val="24"/>
          <w:szCs w:val="24"/>
        </w:rPr>
        <w:t xml:space="preserve">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362071" w:rsidRDefault="00362071">
      <w:pPr>
        <w:spacing w:after="0" w:line="360" w:lineRule="auto"/>
        <w:jc w:val="both"/>
        <w:rPr>
          <w:rFonts w:ascii="Palatino Linotype" w:eastAsia="Palatino Linotype" w:hAnsi="Palatino Linotype" w:cs="Palatino Linotype"/>
          <w:b/>
          <w:sz w:val="24"/>
          <w:szCs w:val="24"/>
        </w:rPr>
      </w:pPr>
    </w:p>
    <w:p w:rsidR="00B325CA" w:rsidRDefault="00362071">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Ordena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que en términos de los Considerandos Cuarto y Quinto de esta resolución haga entrega en versión pública, al Recurrente a través del SAIMEX, de lo siguiente: </w:t>
      </w:r>
    </w:p>
    <w:p w:rsidR="00B325CA" w:rsidRDefault="00362071">
      <w:pPr>
        <w:numPr>
          <w:ilvl w:val="0"/>
          <w:numId w:val="5"/>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Certificado de competencia laboral del Titular del Órgano de Control Interno, en funciones al cinco de abril de dos mil veintidós.</w:t>
      </w:r>
    </w:p>
    <w:p w:rsidR="00B325CA" w:rsidRDefault="00362071">
      <w:pPr>
        <w:spacing w:before="240" w:after="24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B325CA" w:rsidRDefault="00362071">
      <w:pPr>
        <w:spacing w:before="240" w:after="0" w:line="360" w:lineRule="auto"/>
        <w:ind w:right="51"/>
        <w:jc w:val="both"/>
        <w:rPr>
          <w:rFonts w:ascii="Palatino Linotype" w:eastAsia="Palatino Linotype" w:hAnsi="Palatino Linotype" w:cs="Palatino Linotype"/>
          <w:i/>
        </w:rPr>
      </w:pPr>
      <w:r>
        <w:rPr>
          <w:rFonts w:ascii="Palatino Linotype" w:eastAsia="Palatino Linotype" w:hAnsi="Palatino Linotype" w:cs="Palatino Linotype"/>
          <w:sz w:val="24"/>
          <w:szCs w:val="24"/>
        </w:rPr>
        <w:t xml:space="preserve">Para el caso, de que no se haya generado la información que se ordena, bastará que así se lo haga saber a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de manera fundada y motivada, </w:t>
      </w:r>
      <w:r>
        <w:rPr>
          <w:rFonts w:ascii="Palatino Linotype" w:eastAsia="Palatino Linotype" w:hAnsi="Palatino Linotype" w:cs="Palatino Linotype"/>
          <w:b/>
          <w:i/>
        </w:rPr>
        <w:t>en términos del segundo párrafo del artículo 19 de la Ley en la materia</w:t>
      </w:r>
      <w:r>
        <w:rPr>
          <w:rFonts w:ascii="Palatino Linotype" w:eastAsia="Palatino Linotype" w:hAnsi="Palatino Linotype" w:cs="Palatino Linotype"/>
          <w:i/>
        </w:rPr>
        <w:t>, para tener por colmado el requerimiento de información.</w:t>
      </w:r>
    </w:p>
    <w:p w:rsidR="00B325CA" w:rsidRDefault="00B325CA">
      <w:pPr>
        <w:spacing w:after="0" w:line="360" w:lineRule="auto"/>
        <w:ind w:right="51"/>
        <w:jc w:val="both"/>
        <w:rPr>
          <w:rFonts w:ascii="Palatino Linotype" w:eastAsia="Palatino Linotype" w:hAnsi="Palatino Linotype" w:cs="Palatino Linotype"/>
          <w:i/>
          <w:color w:val="000000"/>
        </w:rPr>
      </w:pPr>
    </w:p>
    <w:p w:rsidR="00B325CA" w:rsidRDefault="00362071">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325CA" w:rsidRDefault="00B325CA">
      <w:pPr>
        <w:spacing w:after="0" w:line="360" w:lineRule="auto"/>
        <w:ind w:right="51"/>
        <w:jc w:val="both"/>
        <w:rPr>
          <w:rFonts w:ascii="Palatino Linotype" w:eastAsia="Palatino Linotype" w:hAnsi="Palatino Linotype" w:cs="Palatino Linotype"/>
          <w:sz w:val="24"/>
          <w:szCs w:val="24"/>
        </w:rPr>
      </w:pPr>
    </w:p>
    <w:p w:rsidR="00B325CA" w:rsidRDefault="0036207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325CA" w:rsidRDefault="00B325CA">
      <w:pPr>
        <w:spacing w:after="0" w:line="360" w:lineRule="auto"/>
        <w:ind w:right="49"/>
        <w:jc w:val="both"/>
        <w:rPr>
          <w:rFonts w:ascii="Palatino Linotype" w:eastAsia="Palatino Linotype" w:hAnsi="Palatino Linotype" w:cs="Palatino Linotype"/>
          <w:sz w:val="24"/>
          <w:szCs w:val="24"/>
        </w:rPr>
      </w:pPr>
    </w:p>
    <w:p w:rsidR="00B325CA" w:rsidRDefault="0036207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B325CA" w:rsidRDefault="00B325CA">
      <w:pPr>
        <w:spacing w:after="0" w:line="360" w:lineRule="auto"/>
        <w:jc w:val="both"/>
        <w:rPr>
          <w:rFonts w:ascii="Palatino Linotype" w:eastAsia="Palatino Linotype" w:hAnsi="Palatino Linotype" w:cs="Palatino Linotype"/>
          <w:color w:val="FF0000"/>
          <w:sz w:val="24"/>
          <w:szCs w:val="24"/>
        </w:rPr>
      </w:pPr>
    </w:p>
    <w:p w:rsidR="00B325CA" w:rsidRDefault="00362071">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sz w:val="24"/>
          <w:szCs w:val="24"/>
        </w:rPr>
        <w:lastRenderedPageBreak/>
        <w:t xml:space="preserve">VILCHIS, MARÍA DEL ROSARIO MEJÍA AYALA, SHARON CRISTINA MORALES MARTÍNEZ, LUIS GUSTAVO PARRA NORIEGA Y GUADALUPE RAMÍREZ PEÑA; EN LA TRIGÉSIMA OCTAVA SESIÓN ORDINARIA </w:t>
      </w:r>
      <w:bookmarkStart w:id="3" w:name="_GoBack"/>
      <w:bookmarkEnd w:id="3"/>
      <w:r>
        <w:rPr>
          <w:rFonts w:ascii="Palatino Linotype" w:eastAsia="Palatino Linotype" w:hAnsi="Palatino Linotype" w:cs="Palatino Linotype"/>
          <w:sz w:val="24"/>
          <w:szCs w:val="24"/>
        </w:rPr>
        <w:t xml:space="preserve">CELEBRADA EL DIECINUEVE DE OCTUBRE DE DOS MIL VEINTIDÓS, ANTE EL SECRETARIO TÉCNICO DEL PLENO ALEXIS TAPIA RAMÍREZ. </w:t>
      </w:r>
    </w:p>
    <w:p w:rsidR="00B325CA" w:rsidRDefault="00DC33EB">
      <w:pPr>
        <w:spacing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simplePos x="0" y="0"/>
                <wp:positionH relativeFrom="column">
                  <wp:posOffset>380324</wp:posOffset>
                </wp:positionH>
                <wp:positionV relativeFrom="paragraph">
                  <wp:posOffset>322523</wp:posOffset>
                </wp:positionV>
                <wp:extent cx="4797631" cy="4405745"/>
                <wp:effectExtent l="0" t="0" r="22225" b="33020"/>
                <wp:wrapNone/>
                <wp:docPr id="1" name="Conector recto 1"/>
                <wp:cNvGraphicFramePr/>
                <a:graphic xmlns:a="http://schemas.openxmlformats.org/drawingml/2006/main">
                  <a:graphicData uri="http://schemas.microsoft.com/office/word/2010/wordprocessingShape">
                    <wps:wsp>
                      <wps:cNvCnPr/>
                      <wps:spPr>
                        <a:xfrm>
                          <a:off x="0" y="0"/>
                          <a:ext cx="4797631" cy="4405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6EFDA"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5.4pt" to="407.7pt,3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" strokecolor="#5b9bd5 [3204]" strokeweight=".5pt">
                <v:stroke joinstyle="miter"/>
              </v:line>
            </w:pict>
          </mc:Fallback>
        </mc:AlternateContent>
      </w:r>
    </w:p>
    <w:p w:rsidR="00B325CA" w:rsidRDefault="00B325CA">
      <w:pPr>
        <w:spacing w:after="0" w:line="360" w:lineRule="auto"/>
        <w:jc w:val="both"/>
        <w:rPr>
          <w:sz w:val="28"/>
          <w:szCs w:val="28"/>
        </w:rPr>
      </w:pPr>
    </w:p>
    <w:p w:rsidR="00B325CA" w:rsidRDefault="00B325CA">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p w:rsidR="00DC33EB" w:rsidRDefault="00DC33EB">
      <w:pPr>
        <w:spacing w:line="360" w:lineRule="auto"/>
        <w:jc w:val="both"/>
        <w:rPr>
          <w:sz w:val="28"/>
          <w:szCs w:val="28"/>
        </w:rPr>
      </w:pPr>
    </w:p>
    <w:sectPr w:rsidR="00DC33EB">
      <w:headerReference w:type="default"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7CC" w:rsidRDefault="006367CC">
      <w:pPr>
        <w:spacing w:after="0" w:line="240" w:lineRule="auto"/>
      </w:pPr>
      <w:r>
        <w:separator/>
      </w:r>
    </w:p>
  </w:endnote>
  <w:endnote w:type="continuationSeparator" w:id="0">
    <w:p w:rsidR="006367CC" w:rsidRDefault="00636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CA" w:rsidRDefault="00362071">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6486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6486F">
      <w:rPr>
        <w:rFonts w:ascii="Arial" w:eastAsia="Arial" w:hAnsi="Arial" w:cs="Arial"/>
        <w:b/>
        <w:noProof/>
        <w:color w:val="000000"/>
        <w:sz w:val="20"/>
        <w:szCs w:val="20"/>
      </w:rPr>
      <w:t>50</w:t>
    </w:r>
    <w:r>
      <w:rPr>
        <w:rFonts w:ascii="Arial" w:eastAsia="Arial" w:hAnsi="Arial" w:cs="Arial"/>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7CC" w:rsidRDefault="006367CC">
      <w:pPr>
        <w:spacing w:after="0" w:line="240" w:lineRule="auto"/>
      </w:pPr>
      <w:r>
        <w:separator/>
      </w:r>
    </w:p>
  </w:footnote>
  <w:footnote w:type="continuationSeparator" w:id="0">
    <w:p w:rsidR="006367CC" w:rsidRDefault="006367CC">
      <w:pPr>
        <w:spacing w:after="0" w:line="240" w:lineRule="auto"/>
      </w:pPr>
      <w:r>
        <w:continuationSeparator/>
      </w:r>
    </w:p>
  </w:footnote>
  <w:footnote w:id="1">
    <w:p w:rsidR="00B325CA" w:rsidRDefault="00362071">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B325CA" w:rsidRDefault="0036207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B325CA" w:rsidRDefault="0036207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5CA" w:rsidRDefault="00B325CA">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0"/>
      <w:tblW w:w="10273" w:type="dxa"/>
      <w:tblInd w:w="-1281" w:type="dxa"/>
      <w:tblLayout w:type="fixed"/>
      <w:tblLook w:val="0400" w:firstRow="0" w:lastRow="0" w:firstColumn="0" w:lastColumn="0" w:noHBand="0" w:noVBand="1"/>
    </w:tblPr>
    <w:tblGrid>
      <w:gridCol w:w="5716"/>
      <w:gridCol w:w="4557"/>
    </w:tblGrid>
    <w:tr w:rsidR="00B325CA">
      <w:trPr>
        <w:trHeight w:val="246"/>
      </w:trPr>
      <w:tc>
        <w:tcPr>
          <w:tcW w:w="5716" w:type="dxa"/>
        </w:tcPr>
        <w:p w:rsidR="00B325CA" w:rsidRDefault="00362071">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B325CA" w:rsidRDefault="00362071">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08844/INFOEM/IP/RR/2022.</w:t>
          </w:r>
        </w:p>
      </w:tc>
    </w:tr>
    <w:tr w:rsidR="00B325CA">
      <w:trPr>
        <w:trHeight w:val="212"/>
      </w:trPr>
      <w:tc>
        <w:tcPr>
          <w:tcW w:w="5716" w:type="dxa"/>
        </w:tcPr>
        <w:p w:rsidR="00B325CA" w:rsidRDefault="00362071">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B325CA" w:rsidRDefault="00B325CA">
          <w:pPr>
            <w:spacing w:after="120"/>
            <w:ind w:left="-252" w:firstLine="567"/>
            <w:jc w:val="right"/>
            <w:rPr>
              <w:rFonts w:ascii="Palatino Linotype" w:eastAsia="Palatino Linotype" w:hAnsi="Palatino Linotype" w:cs="Palatino Linotype"/>
            </w:rPr>
          </w:pPr>
        </w:p>
      </w:tc>
    </w:tr>
    <w:tr w:rsidR="00B325CA">
      <w:trPr>
        <w:trHeight w:val="264"/>
      </w:trPr>
      <w:tc>
        <w:tcPr>
          <w:tcW w:w="5716" w:type="dxa"/>
        </w:tcPr>
        <w:p w:rsidR="00B325CA" w:rsidRDefault="00362071">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B325CA" w:rsidRDefault="00362071">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Sistema Municipal Para el Desarrollo Integral de la Familia de Metepec</w:t>
          </w:r>
        </w:p>
      </w:tc>
    </w:tr>
    <w:tr w:rsidR="00B325CA">
      <w:trPr>
        <w:trHeight w:val="373"/>
      </w:trPr>
      <w:tc>
        <w:tcPr>
          <w:tcW w:w="5716" w:type="dxa"/>
        </w:tcPr>
        <w:p w:rsidR="00B325CA" w:rsidRDefault="00362071">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B325CA" w:rsidRDefault="00362071">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B325CA" w:rsidRDefault="0036207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-598169</wp:posOffset>
          </wp:positionH>
          <wp:positionV relativeFrom="paragraph">
            <wp:posOffset>-1552574</wp:posOffset>
          </wp:positionV>
          <wp:extent cx="7753350" cy="9942731"/>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D647B"/>
    <w:multiLevelType w:val="multilevel"/>
    <w:tmpl w:val="1650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36D0EA4"/>
    <w:multiLevelType w:val="multilevel"/>
    <w:tmpl w:val="A96E71A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8F46C3F"/>
    <w:multiLevelType w:val="hybridMultilevel"/>
    <w:tmpl w:val="46B8852A"/>
    <w:lvl w:ilvl="0" w:tplc="6FF20B70">
      <w:start w:val="1"/>
      <w:numFmt w:val="upp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3">
    <w:nsid w:val="4D9357EF"/>
    <w:multiLevelType w:val="multilevel"/>
    <w:tmpl w:val="5C662EE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nsid w:val="618B6F1F"/>
    <w:multiLevelType w:val="multilevel"/>
    <w:tmpl w:val="79D8C16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D506DE2"/>
    <w:multiLevelType w:val="multilevel"/>
    <w:tmpl w:val="7AB0506E"/>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5CA"/>
    <w:rsid w:val="0016486F"/>
    <w:rsid w:val="00362071"/>
    <w:rsid w:val="00487DE2"/>
    <w:rsid w:val="006367CC"/>
    <w:rsid w:val="00800519"/>
    <w:rsid w:val="0081220D"/>
    <w:rsid w:val="00994F4A"/>
    <w:rsid w:val="00A338A5"/>
    <w:rsid w:val="00B325CA"/>
    <w:rsid w:val="00DC33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225976-076A-4FF8-BF3F-D995EBE8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AD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80A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0AD5"/>
  </w:style>
  <w:style w:type="paragraph" w:styleId="Piedepgina">
    <w:name w:val="footer"/>
    <w:basedOn w:val="Normal"/>
    <w:link w:val="PiedepginaCar"/>
    <w:uiPriority w:val="99"/>
    <w:unhideWhenUsed/>
    <w:rsid w:val="00980A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0AD5"/>
  </w:style>
  <w:style w:type="character" w:styleId="Hipervnculo">
    <w:name w:val="Hyperlink"/>
    <w:basedOn w:val="Fuentedeprrafopredeter"/>
    <w:uiPriority w:val="99"/>
    <w:semiHidden/>
    <w:unhideWhenUsed/>
    <w:rsid w:val="00B3471E"/>
    <w:rPr>
      <w:color w:val="0000FF"/>
      <w:u w:val="single"/>
    </w:rPr>
  </w:style>
  <w:style w:type="paragraph" w:styleId="Prrafodelista">
    <w:name w:val="List Paragraph"/>
    <w:basedOn w:val="Normal"/>
    <w:uiPriority w:val="34"/>
    <w:qFormat/>
    <w:rsid w:val="000562D8"/>
    <w:pPr>
      <w:ind w:left="720"/>
      <w:contextualSpacing/>
    </w:pPr>
  </w:style>
  <w:style w:type="paragraph" w:styleId="Listaconvietas3">
    <w:name w:val="List Bullet 3"/>
    <w:basedOn w:val="Normal"/>
    <w:uiPriority w:val="99"/>
    <w:unhideWhenUsed/>
    <w:rsid w:val="00284CC5"/>
    <w:pPr>
      <w:numPr>
        <w:numId w:val="4"/>
      </w:numPr>
      <w:spacing w:after="0" w:line="240" w:lineRule="auto"/>
      <w:contextualSpacing/>
    </w:pPr>
    <w:rPr>
      <w:rFonts w:ascii="Times New Roman" w:eastAsia="Times New Roman" w:hAnsi="Times New Roman" w:cs="Times New Roman"/>
      <w:sz w:val="24"/>
      <w:szCs w:val="24"/>
      <w:lang w:val="es-ES"/>
    </w:rPr>
  </w:style>
  <w:style w:type="paragraph" w:styleId="NormalWeb">
    <w:name w:val="Normal (Web)"/>
    <w:basedOn w:val="Normal"/>
    <w:uiPriority w:val="99"/>
    <w:unhideWhenUsed/>
    <w:rsid w:val="00CD0B04"/>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saimex.org.mx/saimex/solicitud/downloadAttach/1446509.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uF/X+21DHVQYFcH+S9f203z9Fg==">AMUW2mWv6zpABs2bXJsxblcgnbxippNfjqGbFIlbGFzPfwnxN55fLFuH8NzqN66YQJsL//7EHxRFyE8aSTfC+W/Bj/eQlldAdozcrwpFyitF9A2K//C2YL6X9JnoKnDBajTEbt/lKQ7bYXyHfPrIcl4g9mW0FlS8kg==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7ED3AB-56A1-46C2-905E-65CF3BEE8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10788</Words>
  <Characters>59337</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cp:lastPrinted>2022-10-20T15:35:00Z</cp:lastPrinted>
  <dcterms:created xsi:type="dcterms:W3CDTF">2022-11-04T20:20:00Z</dcterms:created>
  <dcterms:modified xsi:type="dcterms:W3CDTF">2022-11-04T20:20:00Z</dcterms:modified>
</cp:coreProperties>
</file>