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40685F">
        <w:rPr>
          <w:rFonts w:ascii="Palatino Linotype" w:eastAsia="Palatino Linotype" w:hAnsi="Palatino Linotype" w:cs="Palatino Linotype"/>
          <w:b/>
        </w:rPr>
        <w:t>cuatro</w:t>
      </w:r>
      <w:r>
        <w:rPr>
          <w:rFonts w:ascii="Palatino Linotype" w:eastAsia="Palatino Linotype" w:hAnsi="Palatino Linotype" w:cs="Palatino Linotype"/>
          <w:b/>
        </w:rPr>
        <w:t xml:space="preserve"> de febrero del dos mil veintidós</w:t>
      </w:r>
      <w:r>
        <w:rPr>
          <w:rFonts w:ascii="Palatino Linotype" w:eastAsia="Palatino Linotype" w:hAnsi="Palatino Linotype" w:cs="Palatino Linotype"/>
        </w:rPr>
        <w:t>.</w:t>
      </w:r>
    </w:p>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06064/INFOEM/IP</w:t>
      </w:r>
      <w:r>
        <w:rPr>
          <w:rFonts w:ascii="Palatino Linotype" w:eastAsia="Palatino Linotype" w:hAnsi="Palatino Linotype" w:cs="Palatino Linotype"/>
          <w:b/>
          <w:color w:val="000000"/>
        </w:rPr>
        <w:t>/RR/2021</w:t>
      </w:r>
      <w:r>
        <w:rPr>
          <w:rFonts w:ascii="Palatino Linotype" w:eastAsia="Palatino Linotype" w:hAnsi="Palatino Linotype" w:cs="Palatino Linotype"/>
        </w:rPr>
        <w:t xml:space="preserve">, interpuesto por </w:t>
      </w:r>
      <w:r w:rsidR="00CD5C4A" w:rsidRPr="00CD5C4A">
        <w:rPr>
          <w:rFonts w:ascii="Palatino Linotype" w:eastAsia="Palatino Linotype" w:hAnsi="Palatino Linotype" w:cs="Palatino Linotype"/>
          <w:b/>
        </w:rPr>
        <w:t>Xxxxxxxx Xxxxxxxxx X.</w:t>
      </w:r>
      <w:r w:rsidRPr="00CD5C4A">
        <w:rPr>
          <w:rFonts w:ascii="Palatino Linotype" w:eastAsia="Palatino Linotype" w:hAnsi="Palatino Linotype" w:cs="Palatino Linotype"/>
          <w:b/>
        </w:rPr>
        <w:t xml:space="preserve">., </w:t>
      </w:r>
      <w:r w:rsidRPr="00CD5C4A">
        <w:rPr>
          <w:rFonts w:ascii="Palatino Linotype" w:eastAsia="Palatino Linotype" w:hAnsi="Palatino Linotype" w:cs="Palatino Linotype"/>
        </w:rPr>
        <w:t>a quien</w:t>
      </w:r>
      <w:r>
        <w:rPr>
          <w:rFonts w:ascii="Palatino Linotype" w:eastAsia="Palatino Linotype" w:hAnsi="Palatino Linotype" w:cs="Palatino Linotype"/>
        </w:rPr>
        <w:t xml:space="preserve"> en lo sucesivo se le denominará el</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rPr>
        <w:t>00594/SSEM/IP/2021,</w:t>
      </w:r>
      <w:r>
        <w:rPr>
          <w:rFonts w:ascii="Palatino Linotype" w:eastAsia="Palatino Linotype" w:hAnsi="Palatino Linotype" w:cs="Palatino Linotype"/>
        </w:rPr>
        <w:t xml:space="preserve"> otorgada por la </w:t>
      </w:r>
      <w:r>
        <w:rPr>
          <w:rFonts w:ascii="Palatino Linotype" w:eastAsia="Palatino Linotype" w:hAnsi="Palatino Linotype" w:cs="Palatino Linotype"/>
          <w:b/>
        </w:rPr>
        <w:t>Secretaría de Seguridad</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F678BF" w:rsidRDefault="00B2708F">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F678BF" w:rsidRDefault="00B2708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veinticuatro de noviembre del dos mil veintiuno,</w:t>
      </w:r>
      <w:r>
        <w:rPr>
          <w:rFonts w:ascii="Palatino Linotype" w:eastAsia="Palatino Linotype" w:hAnsi="Palatino Linotype" w:cs="Palatino Linotype"/>
        </w:rPr>
        <w:t xml:space="preserve"> el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Pr>
          <w:rFonts w:ascii="Palatino Linotype" w:eastAsia="Palatino Linotype" w:hAnsi="Palatino Linotype" w:cs="Palatino Linotype"/>
        </w:rPr>
        <w:t>de folio</w:t>
      </w:r>
      <w:r>
        <w:rPr>
          <w:rFonts w:ascii="Palatino Linotype" w:eastAsia="Palatino Linotype" w:hAnsi="Palatino Linotype" w:cs="Palatino Linotype"/>
          <w:b/>
        </w:rPr>
        <w:t xml:space="preserve"> 00594/SSEM/IP/2021, </w:t>
      </w:r>
      <w:r>
        <w:rPr>
          <w:rFonts w:ascii="Palatino Linotype" w:eastAsia="Palatino Linotype" w:hAnsi="Palatino Linotype" w:cs="Palatino Linotype"/>
        </w:rPr>
        <w:t>requiriendo lo siguiente:</w:t>
      </w:r>
    </w:p>
    <w:p w:rsidR="00F678BF" w:rsidRDefault="00B2708F">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“BUENAS TARDES PARA PREGUNTAR: 1.-¿CUANDO DARA INICIO EL CURSO DE FORMACION INICIAL PARA POLICIA PREVENTIVO ESTATAL? Y 2.- ¿CUANDO ENVIARAN LOS CORREOS? DE TOLUCA ESTADO DE MEXICO” (Sic)</w:t>
      </w:r>
    </w:p>
    <w:p w:rsidR="00F678BF" w:rsidRDefault="00F678BF">
      <w:pPr>
        <w:ind w:left="851" w:right="902"/>
        <w:jc w:val="both"/>
        <w:rPr>
          <w:rFonts w:ascii="Palatino Linotype" w:eastAsia="Palatino Linotype" w:hAnsi="Palatino Linotype" w:cs="Palatino Linotype"/>
          <w:i/>
          <w:sz w:val="22"/>
          <w:szCs w:val="22"/>
        </w:rPr>
      </w:pPr>
    </w:p>
    <w:p w:rsidR="00F678BF" w:rsidRDefault="00B2708F">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veintinueve de noviembre del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SAIMEX, respuesta a la solicitud de acceso a la información en los siguientes términos:</w:t>
      </w:r>
    </w:p>
    <w:p w:rsidR="00F678BF" w:rsidRDefault="00B2708F">
      <w:pPr>
        <w:spacing w:before="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ACUERDO DE INCOMPETENCIA EN FORMATO PDF, EN CASO DE PRESENTAR PROBLEMAS CON LA RECEPCIÓN DEL MISMO, LE PEDIMOS SE COMUNIQUE A LA UNIDAD DE TRANSPARENCIA DE LA SECRETARÍA DE SEGURIDAD DEL ESTADO DE MÉXICO, AL TELÉFONO 722 2 79 62 00 EXT. 4158, DE LUNES A VIERNES, EN UN HORARIO DE 9:00 A 18:00 HRS” (Sic)</w:t>
      </w:r>
    </w:p>
    <w:p w:rsidR="00F678BF" w:rsidRDefault="00F678BF">
      <w:pPr>
        <w:spacing w:line="360" w:lineRule="auto"/>
        <w:jc w:val="both"/>
      </w:pPr>
    </w:p>
    <w:p w:rsidR="00F678BF" w:rsidRDefault="00B2708F">
      <w:pPr>
        <w:spacing w:line="360" w:lineRule="auto"/>
        <w:ind w:right="900"/>
        <w:rPr>
          <w:rFonts w:ascii="Palatino Linotype" w:eastAsia="Palatino Linotype" w:hAnsi="Palatino Linotype" w:cs="Palatino Linotype"/>
        </w:rPr>
      </w:pPr>
      <w:r>
        <w:rPr>
          <w:rFonts w:ascii="Palatino Linotype" w:eastAsia="Palatino Linotype" w:hAnsi="Palatino Linotype" w:cs="Palatino Linotype"/>
          <w:b/>
        </w:rPr>
        <w:t>Archivos adjuntos:</w:t>
      </w:r>
      <w:r>
        <w:rPr>
          <w:rFonts w:ascii="Palatino Linotype" w:eastAsia="Palatino Linotype" w:hAnsi="Palatino Linotype" w:cs="Palatino Linotype"/>
        </w:rPr>
        <w:t xml:space="preserve"> </w:t>
      </w:r>
    </w:p>
    <w:p w:rsidR="00F678BF" w:rsidRDefault="00B2708F">
      <w:pPr>
        <w:numPr>
          <w:ilvl w:val="0"/>
          <w:numId w:val="2"/>
        </w:numPr>
        <w:pBdr>
          <w:top w:val="nil"/>
          <w:left w:val="nil"/>
          <w:bottom w:val="nil"/>
          <w:right w:val="nil"/>
          <w:between w:val="nil"/>
        </w:pBdr>
        <w:spacing w:line="360" w:lineRule="auto"/>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594.pdf: </w:t>
      </w:r>
      <w:r>
        <w:rPr>
          <w:rFonts w:ascii="Palatino Linotype" w:eastAsia="Palatino Linotype" w:hAnsi="Palatino Linotype" w:cs="Palatino Linotype"/>
          <w:color w:val="000000"/>
        </w:rPr>
        <w:t>Consistente en el escrito de fecha veintinueve de noviembre de dos mil veintiuno, suscrito y signado por la Titular de la Unidad de Transparencia, por medio del cual informó al solicitante que</w:t>
      </w:r>
      <w:r>
        <w:rPr>
          <w:rFonts w:ascii="Palatino Linotype" w:eastAsia="Palatino Linotype" w:hAnsi="Palatino Linotype" w:cs="Palatino Linotype"/>
          <w:i/>
          <w:color w:val="000000"/>
        </w:rPr>
        <w:t>: “carece de competencia para dar respuesta su Solicitud de Información por corresponder a Universidad Mexiquense de Seguridad, la atención a su requerimiento.”</w:t>
      </w:r>
    </w:p>
    <w:p w:rsidR="00F678BF" w:rsidRDefault="00F678BF">
      <w:pPr>
        <w:spacing w:line="360" w:lineRule="auto"/>
        <w:ind w:right="900"/>
        <w:jc w:val="both"/>
        <w:rPr>
          <w:rFonts w:ascii="Palatino Linotype" w:eastAsia="Palatino Linotype" w:hAnsi="Palatino Linotype" w:cs="Palatino Linotype"/>
        </w:rPr>
      </w:pPr>
    </w:p>
    <w:p w:rsidR="00F678BF" w:rsidRDefault="00B270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en fecha </w:t>
      </w:r>
      <w:r>
        <w:rPr>
          <w:rFonts w:ascii="Palatino Linotype" w:eastAsia="Palatino Linotype" w:hAnsi="Palatino Linotype" w:cs="Palatino Linotype"/>
          <w:b/>
        </w:rPr>
        <w:t>tres de diciembre del año dos mil veintiuno</w:t>
      </w:r>
      <w:r>
        <w:rPr>
          <w:rFonts w:ascii="Palatino Linotype" w:eastAsia="Palatino Linotype" w:hAnsi="Palatino Linotype" w:cs="Palatino Linotype"/>
        </w:rPr>
        <w:t>, el presente medio de impugnación expresando las siguientes manifestaciones:</w:t>
      </w:r>
    </w:p>
    <w:p w:rsidR="00F678BF" w:rsidRDefault="00B2708F">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F678BF" w:rsidRDefault="00B2708F">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DEL SERVIDOR PUBLICO HABILITADO DE LA SECRETARIA DE SEGURIDAD EL CUAL DECLARA LA INCOMPETENCIA.” (Sic)</w:t>
      </w:r>
    </w:p>
    <w:p w:rsidR="00F678BF" w:rsidRDefault="00F678BF">
      <w:pPr>
        <w:ind w:left="851" w:right="902"/>
        <w:jc w:val="both"/>
        <w:rPr>
          <w:rFonts w:ascii="Palatino Linotype" w:eastAsia="Palatino Linotype" w:hAnsi="Palatino Linotype" w:cs="Palatino Linotype"/>
          <w:i/>
          <w:sz w:val="22"/>
          <w:szCs w:val="22"/>
        </w:rPr>
      </w:pPr>
    </w:p>
    <w:p w:rsidR="00F678BF" w:rsidRDefault="00B2708F">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rsidR="00F678BF" w:rsidRDefault="00B2708F">
      <w:pPr>
        <w:spacing w:before="240" w:after="240"/>
        <w:ind w:left="567" w:right="902"/>
        <w:jc w:val="both"/>
        <w:rPr>
          <w:rFonts w:ascii="Palatino Linotype" w:eastAsia="Palatino Linotype" w:hAnsi="Palatino Linotype" w:cs="Palatino Linotype"/>
          <w:i/>
          <w:sz w:val="22"/>
          <w:szCs w:val="22"/>
        </w:rPr>
      </w:pPr>
      <w:bookmarkStart w:id="0" w:name="_heading=h.30j0zll" w:colFirst="0" w:colLast="0"/>
      <w:bookmarkEnd w:id="0"/>
      <w:r>
        <w:rPr>
          <w:rFonts w:ascii="Palatino Linotype" w:eastAsia="Palatino Linotype" w:hAnsi="Palatino Linotype" w:cs="Palatino Linotype"/>
          <w:i/>
          <w:sz w:val="22"/>
          <w:szCs w:val="22"/>
        </w:rPr>
        <w:t xml:space="preserve">“SE DECLARAN INCOMPETENTES SIN EMBARGO LA UNIVERSIDAD MEXIQUENSE DE SEGURIDAD INFORMA LITERAL LO SIGUIENTE </w:t>
      </w:r>
      <w:r>
        <w:rPr>
          <w:rFonts w:ascii="Palatino Linotype" w:eastAsia="Palatino Linotype" w:hAnsi="Palatino Linotype" w:cs="Palatino Linotype"/>
          <w:i/>
          <w:sz w:val="22"/>
          <w:szCs w:val="22"/>
        </w:rPr>
        <w:lastRenderedPageBreak/>
        <w:t>EN SU OFICIO DE RESPUESTA QUE SE ANEXA AL PRESENTE: "los cursos y las convocatorias los programa la Secretaría de Seguridad."” (Sic)</w:t>
      </w:r>
    </w:p>
    <w:p w:rsidR="00F678BF" w:rsidRDefault="00B2708F">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Manifestación a la que adjuntó el archivo electrónico identificado como </w:t>
      </w:r>
      <w:r>
        <w:rPr>
          <w:rFonts w:ascii="Palatino Linotype" w:eastAsia="Palatino Linotype" w:hAnsi="Palatino Linotype" w:cs="Palatino Linotype"/>
          <w:b/>
          <w:i/>
          <w:sz w:val="22"/>
          <w:szCs w:val="22"/>
        </w:rPr>
        <w:t xml:space="preserve">00016-UMS-IP-2021.PDF, </w:t>
      </w:r>
      <w:r>
        <w:rPr>
          <w:rFonts w:ascii="Palatino Linotype" w:eastAsia="Palatino Linotype" w:hAnsi="Palatino Linotype" w:cs="Palatino Linotype"/>
          <w:sz w:val="22"/>
          <w:szCs w:val="22"/>
        </w:rPr>
        <w:t xml:space="preserve">integrado en primer término por el oficio número 206C0101000002S/UIPPEIMS/0106/12/21, de fecha 02 de diciembre de 2021, en el que el Titular de la Unidad de Transparencia de la Universidad Mexiquense de Seguridad atendió la solicitud de información 00016/UMS/IP/2021 en la que se requirió la misma información que ahora se analiza; asimismo, se observa el oficio número 232C101000/UDCAPPE/0092/11/2021, suscrito y firmado por el Titular de la Unidad de Desarrollo Curricular y Actualización de Planes y Programas de Estudio, quien informó que la Universidad no cuenta con la información solicitada, debido a que los cursos y convocatorias los programa la Secretaría de Seguridad. </w:t>
      </w:r>
    </w:p>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Mediante acuerdo de fecha </w:t>
      </w:r>
      <w:r>
        <w:rPr>
          <w:rFonts w:ascii="Palatino Linotype" w:eastAsia="Palatino Linotype" w:hAnsi="Palatino Linotype" w:cs="Palatino Linotype"/>
          <w:b/>
        </w:rPr>
        <w:t>ocho de diciembre del dos mil veintiuno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w:t>
      </w:r>
      <w:r>
        <w:rPr>
          <w:rFonts w:ascii="Palatino Linotype" w:eastAsia="Palatino Linotype" w:hAnsi="Palatino Linotype" w:cs="Palatino Linotype"/>
        </w:rPr>
        <w:lastRenderedPageBreak/>
        <w:t xml:space="preserve">artículo 185 fracciones I, II y IV de la Ley de Transparencia y Acceso a la Información Pública del Estado de México y Municipios. </w:t>
      </w:r>
    </w:p>
    <w:p w:rsidR="00F678BF" w:rsidRDefault="00B2708F">
      <w:pPr>
        <w:widowControl w:val="0"/>
        <w:tabs>
          <w:tab w:val="left" w:pos="709"/>
        </w:tabs>
        <w:spacing w:before="12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b/>
        </w:rPr>
        <w:t>6. Manifestaciones.</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las constancias que integran el expediente en que se actúan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quince de diciembre de dos mil veintiuno,</w:t>
      </w:r>
      <w:r>
        <w:rPr>
          <w:rFonts w:ascii="Palatino Linotype" w:eastAsia="Palatino Linotype" w:hAnsi="Palatino Linotype" w:cs="Palatino Linotype"/>
        </w:rPr>
        <w:t xml:space="preserve"> rindió su informe justificado consistente en el archivo electrónico identificado como </w:t>
      </w:r>
      <w:r>
        <w:rPr>
          <w:rFonts w:ascii="Palatino Linotype" w:eastAsia="Palatino Linotype" w:hAnsi="Palatino Linotype" w:cs="Palatino Linotype"/>
          <w:b/>
          <w:i/>
        </w:rPr>
        <w:t xml:space="preserve">INF.JUST.6064.pdf </w:t>
      </w:r>
      <w:r>
        <w:rPr>
          <w:rFonts w:ascii="Palatino Linotype" w:eastAsia="Palatino Linotype" w:hAnsi="Palatino Linotype" w:cs="Palatino Linotype"/>
        </w:rPr>
        <w:t xml:space="preserve">  por medio del cual informó que: “…</w:t>
      </w:r>
      <w:r>
        <w:rPr>
          <w:rFonts w:ascii="Palatino Linotype" w:eastAsia="Palatino Linotype" w:hAnsi="Palatino Linotype" w:cs="Palatino Linotype"/>
          <w:i/>
        </w:rPr>
        <w:t>Al día de la fecha se están realizando las gestiones administrativas correspondientes y en espera de la publicación de la Convocatoria 2022…Una vez que se cuente con la Convocatoria de ingreso 2022, se remitirá la información correspondiente”</w:t>
      </w:r>
    </w:p>
    <w:p w:rsidR="00F678BF" w:rsidRDefault="00B2708F">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Mediante acuerdo de fecha </w:t>
      </w:r>
      <w:r>
        <w:rPr>
          <w:rFonts w:ascii="Palatino Linotype" w:eastAsia="Palatino Linotype" w:hAnsi="Palatino Linotype" w:cs="Palatino Linotype"/>
          <w:b/>
        </w:rPr>
        <w:t xml:space="preserve">veinticinco de enero de dos mil veintidós </w:t>
      </w:r>
      <w:r>
        <w:rPr>
          <w:rFonts w:ascii="Palatino Linotype" w:eastAsia="Palatino Linotype" w:hAnsi="Palatino Linotype" w:cs="Palatino Linotype"/>
        </w:rPr>
        <w:t xml:space="preserve">se notificó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el informe justificado. </w:t>
      </w:r>
    </w:p>
    <w:p w:rsidR="00F678BF" w:rsidRDefault="00B2708F">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adjuntó el archivo </w:t>
      </w:r>
      <w:r>
        <w:rPr>
          <w:rFonts w:ascii="Palatino Linotype" w:eastAsia="Palatino Linotype" w:hAnsi="Palatino Linotype" w:cs="Palatino Linotype"/>
          <w:b/>
          <w:i/>
        </w:rPr>
        <w:t xml:space="preserve">ESCRITO DE MANIFESTACIONES.docx, </w:t>
      </w:r>
      <w:r>
        <w:rPr>
          <w:rFonts w:ascii="Palatino Linotype" w:eastAsia="Palatino Linotype" w:hAnsi="Palatino Linotype" w:cs="Palatino Linotype"/>
        </w:rPr>
        <w:t xml:space="preserve">en el que refirió lo siguiente. </w:t>
      </w:r>
    </w:p>
    <w:p w:rsidR="00F678BF" w:rsidRDefault="00B2708F">
      <w:pPr>
        <w:ind w:left="851" w:right="2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ARTICULO 5 DE LA CONSTITUCIÓN POLITICA DEL ESTADO LIBRE Y SOBERANO DE MEXICO; ARTICULOS 12,24 PARRAFO TERCERO Y 59 FRACCIONES I, II Y III Y DEMAS RELATIVOS Y APLICABLES DE LA LEY DE TRANSPARENCIA Y ACCESO A LA INFORMACIÓN PÚBLICA DEL ESTADO DE MEXICO Y MUNICIPIOS ATENTAMENTE SOLICITO SE DE RESPUESTA A MI PETICION ACERCA DEL DIA DE INICIO DEL CURSO DE FORMACIÓN INICIAL PARA POLICIA ESTATAL PREVENTIVO, ES UNA INFORMACIÓN DE CARÁCTER PUBLICO POR LO CUAL NO DEBE DE HABER IMPEDIMENTO PARA PROPORCIONARLA ASI COMO LA FECHA EN QUE EMPEZARAN A ENVIAR EL CORREO ELECTRONICO A LOS ASPIRANTES QUE APROBARON SUS EXAMENES DE CCC.</w:t>
      </w:r>
    </w:p>
    <w:p w:rsidR="00F678BF" w:rsidRDefault="00B2708F">
      <w:pPr>
        <w:ind w:left="851" w:right="2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LO CUAL SOLICITO A ESTE ORGANO GARANTE ENCARGADO DE VELAR POR EL ACCESO A LA INFORMACIÓN, LA PRONTA NRESPUESTA DE LA AUTORIDAD COMPETENTE DADO QUE SI NO </w:t>
      </w:r>
      <w:r>
        <w:rPr>
          <w:rFonts w:ascii="Palatino Linotype" w:eastAsia="Palatino Linotype" w:hAnsi="Palatino Linotype" w:cs="Palatino Linotype"/>
          <w:i/>
          <w:sz w:val="22"/>
          <w:szCs w:val="22"/>
        </w:rPr>
        <w:lastRenderedPageBreak/>
        <w:t>ESTARIAN ATENTANDO CONTRA MI DERECHO HUMANO A LA INFORMACIÓN.” (Sic)</w:t>
      </w:r>
    </w:p>
    <w:p w:rsidR="00F678BF" w:rsidRDefault="00B2708F">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remitió el documento identificado como </w:t>
      </w:r>
      <w:r>
        <w:rPr>
          <w:rFonts w:ascii="Palatino Linotype" w:eastAsia="Palatino Linotype" w:hAnsi="Palatino Linotype" w:cs="Palatino Linotype"/>
          <w:b/>
          <w:i/>
        </w:rPr>
        <w:t xml:space="preserve">FINALIZO ETAPA DE MANIFESTACIONES.docx </w:t>
      </w:r>
      <w:r>
        <w:rPr>
          <w:rFonts w:ascii="Palatino Linotype" w:eastAsia="Palatino Linotype" w:hAnsi="Palatino Linotype" w:cs="Palatino Linotype"/>
        </w:rPr>
        <w:t xml:space="preserve">en el que se observa el siguiente pronunciamiento: </w:t>
      </w:r>
    </w:p>
    <w:p w:rsidR="00F678BF" w:rsidRDefault="00B2708F">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“TOMANDO COMO PUNTO DE REFERENCIA PARA EL CONTEO DE DIAS DE LOS TERMINOS PARA LA ETAPA DE MANIFESTACIONES ES LA FECHA 08/12/21, Y LOS 7 DIAS QUE NOS DA LA LEY, FENECIERON EL DIA 17/12/21, Y EL SUJETO OBLIGADO: SECRETARIA DE SEGURIDAD NO SE PRONUNCIO AL RESPECTO NI REALIZO SU INFORME JUSTIFICADO. </w:t>
      </w:r>
    </w:p>
    <w:p w:rsidR="00F678BF" w:rsidRDefault="00B2708F">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 PIDO A ESTE H. ORGANO GARANTE LE DE SECUELA PROCESAL A MI RECURSO A EFECTO DE NO VULNERAR MIS DERECHOS HUMANOS Y SEGUIR CON EL PRINCIPIO DEL DEBIDO PROCESO.”</w:t>
      </w:r>
    </w:p>
    <w:p w:rsidR="00F678BF" w:rsidRDefault="00F678BF">
      <w:pPr>
        <w:widowControl w:val="0"/>
        <w:spacing w:line="360" w:lineRule="auto"/>
        <w:jc w:val="both"/>
        <w:rPr>
          <w:rFonts w:ascii="Palatino Linotype" w:eastAsia="Palatino Linotype" w:hAnsi="Palatino Linotype" w:cs="Palatino Linotype"/>
        </w:rPr>
      </w:pPr>
    </w:p>
    <w:p w:rsidR="00F678BF" w:rsidRDefault="00B2708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b/>
          <w:i/>
        </w:rPr>
        <w:t xml:space="preserve"> </w:t>
      </w:r>
      <w:r>
        <w:rPr>
          <w:rFonts w:ascii="Palatino Linotype" w:eastAsia="Palatino Linotype" w:hAnsi="Palatino Linotype" w:cs="Palatino Linotype"/>
          <w:b/>
        </w:rPr>
        <w:t>Desistimiento del Recurso de Revisión</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cinco de enero de dos mil veintidós</w:t>
      </w:r>
      <w:r>
        <w:rPr>
          <w:rFonts w:ascii="Palatino Linotype" w:eastAsia="Palatino Linotype" w:hAnsi="Palatino Linotype" w:cs="Palatino Linotype"/>
        </w:rPr>
        <w:t>, el R</w:t>
      </w:r>
      <w:r>
        <w:rPr>
          <w:rFonts w:ascii="Palatino Linotype" w:eastAsia="Palatino Linotype" w:hAnsi="Palatino Linotype" w:cs="Palatino Linotype"/>
          <w:b/>
        </w:rPr>
        <w:t>ECURRENTE</w:t>
      </w:r>
      <w:r>
        <w:rPr>
          <w:rFonts w:ascii="Palatino Linotype" w:eastAsia="Palatino Linotype" w:hAnsi="Palatino Linotype" w:cs="Palatino Linotype"/>
        </w:rPr>
        <w:t xml:space="preserve"> se desistió vía el SAIMEX del presente medio de impugnación, como se muestra enseguida:  </w:t>
      </w:r>
    </w:p>
    <w:p w:rsidR="00F678BF" w:rsidRDefault="00CD5C4A">
      <w:pPr>
        <w:widowControl w:val="0"/>
        <w:spacing w:line="360" w:lineRule="auto"/>
        <w:ind w:right="49"/>
        <w:jc w:val="both"/>
        <w:rPr>
          <w:rFonts w:ascii="Palatino Linotype" w:eastAsia="Palatino Linotype" w:hAnsi="Palatino Linotype" w:cs="Palatino Linotype"/>
          <w:b/>
        </w:rPr>
      </w:pPr>
      <w:bookmarkStart w:id="1" w:name="_GoBack"/>
      <w:r w:rsidRPr="00CD5C4A">
        <w:rPr>
          <w:rFonts w:ascii="Palatino Linotype" w:eastAsia="Palatino Linotype" w:hAnsi="Palatino Linotype" w:cs="Palatino Linotype"/>
          <w:b/>
        </w:rPr>
        <w:drawing>
          <wp:inline distT="0" distB="0" distL="0" distR="0" wp14:anchorId="553AC7FB" wp14:editId="6B767EB6">
            <wp:extent cx="5400675" cy="291846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675" cy="2918460"/>
                    </a:xfrm>
                    <a:prstGeom prst="rect">
                      <a:avLst/>
                    </a:prstGeom>
                  </pic:spPr>
                </pic:pic>
              </a:graphicData>
            </a:graphic>
          </wp:inline>
        </w:drawing>
      </w:r>
      <w:bookmarkEnd w:id="1"/>
    </w:p>
    <w:p w:rsidR="00F678BF" w:rsidRDefault="00F678BF">
      <w:pPr>
        <w:widowControl w:val="0"/>
        <w:spacing w:line="360" w:lineRule="auto"/>
        <w:ind w:right="49"/>
        <w:jc w:val="both"/>
        <w:rPr>
          <w:rFonts w:ascii="Palatino Linotype" w:eastAsia="Palatino Linotype" w:hAnsi="Palatino Linotype" w:cs="Palatino Linotype"/>
          <w:b/>
        </w:rPr>
      </w:pPr>
    </w:p>
    <w:p w:rsidR="00F678BF" w:rsidRDefault="00CD5C4A">
      <w:pPr>
        <w:widowControl w:val="0"/>
        <w:spacing w:line="360" w:lineRule="auto"/>
        <w:ind w:right="49"/>
        <w:jc w:val="both"/>
        <w:rPr>
          <w:rFonts w:ascii="Palatino Linotype" w:eastAsia="Palatino Linotype" w:hAnsi="Palatino Linotype" w:cs="Palatino Linotype"/>
          <w:b/>
        </w:rPr>
      </w:pPr>
      <w:r w:rsidRPr="00CD5C4A">
        <w:rPr>
          <w:rFonts w:ascii="Palatino Linotype" w:eastAsia="Palatino Linotype" w:hAnsi="Palatino Linotype" w:cs="Palatino Linotype"/>
          <w:b/>
        </w:rPr>
        <w:lastRenderedPageBreak/>
        <w:drawing>
          <wp:inline distT="0" distB="0" distL="0" distR="0" wp14:anchorId="7FA76DA7" wp14:editId="46BB26C1">
            <wp:extent cx="5400675" cy="2738120"/>
            <wp:effectExtent l="0" t="0" r="952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675" cy="2738120"/>
                    </a:xfrm>
                    <a:prstGeom prst="rect">
                      <a:avLst/>
                    </a:prstGeom>
                  </pic:spPr>
                </pic:pic>
              </a:graphicData>
            </a:graphic>
          </wp:inline>
        </w:drawing>
      </w:r>
    </w:p>
    <w:p w:rsidR="00F678BF" w:rsidRDefault="00F678BF">
      <w:pPr>
        <w:spacing w:line="360" w:lineRule="auto"/>
        <w:jc w:val="both"/>
        <w:rPr>
          <w:rFonts w:ascii="Palatino Linotype" w:eastAsia="Palatino Linotype" w:hAnsi="Palatino Linotype" w:cs="Palatino Linotype"/>
          <w:b/>
        </w:rPr>
      </w:pPr>
    </w:p>
    <w:p w:rsidR="00F678BF" w:rsidRDefault="00B2708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y uno de enero del año dos mil veintidós</w:t>
      </w:r>
      <w:r>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rsidR="00F678BF" w:rsidRDefault="00B2708F">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F678BF" w:rsidRDefault="00B2708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w:t>
      </w:r>
      <w:r>
        <w:rPr>
          <w:rFonts w:ascii="Palatino Linotype" w:eastAsia="Palatino Linotype" w:hAnsi="Palatino Linotype" w:cs="Palatino Linotype"/>
          <w:highlight w:val="white"/>
        </w:rPr>
        <w:lastRenderedPageBreak/>
        <w:t xml:space="preserve">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F678BF" w:rsidRDefault="00B2708F">
      <w:pPr>
        <w:spacing w:before="240" w:after="24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 en los artículos 178 y 180 de la Ley de Transparencia y Acceso a la Información Pública del Estado de México y Municipios.</w:t>
      </w:r>
    </w:p>
    <w:p w:rsidR="00F678BF" w:rsidRDefault="00B2708F">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contados a partir de la fecha en que el Sujeto Obligado emitió la respuesta, toda vez que ésta fue pronunciada el día </w:t>
      </w:r>
      <w:r>
        <w:rPr>
          <w:rFonts w:ascii="Palatino Linotype" w:eastAsia="Palatino Linotype" w:hAnsi="Palatino Linotype" w:cs="Palatino Linotype"/>
          <w:b/>
        </w:rPr>
        <w:t>veintinueve</w:t>
      </w:r>
      <w:r>
        <w:rPr>
          <w:rFonts w:ascii="Palatino Linotype" w:eastAsia="Palatino Linotype" w:hAnsi="Palatino Linotype" w:cs="Palatino Linotype"/>
          <w:b/>
          <w:color w:val="000000"/>
        </w:rPr>
        <w:t xml:space="preserve"> de noviembre de dos mil veintiuno</w:t>
      </w:r>
      <w:r>
        <w:rPr>
          <w:rFonts w:ascii="Palatino Linotype" w:eastAsia="Palatino Linotype" w:hAnsi="Palatino Linotype" w:cs="Palatino Linotype"/>
        </w:rPr>
        <w:t xml:space="preserve">, mientras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el</w:t>
      </w:r>
      <w:r>
        <w:rPr>
          <w:rFonts w:ascii="Palatino Linotype" w:eastAsia="Palatino Linotype" w:hAnsi="Palatino Linotype" w:cs="Palatino Linotype"/>
          <w:b/>
          <w:color w:val="C00000"/>
        </w:rPr>
        <w:t xml:space="preserve"> </w:t>
      </w:r>
      <w:r>
        <w:rPr>
          <w:rFonts w:ascii="Palatino Linotype" w:eastAsia="Palatino Linotype" w:hAnsi="Palatino Linotype" w:cs="Palatino Linotype"/>
          <w:b/>
          <w:color w:val="000000"/>
        </w:rPr>
        <w:t>tres de diciembre de dos mil veintiuno</w:t>
      </w:r>
      <w:r>
        <w:rPr>
          <w:rFonts w:ascii="Palatino Linotype" w:eastAsia="Palatino Linotype" w:hAnsi="Palatino Linotype" w:cs="Palatino Linotype"/>
          <w:b/>
          <w:color w:val="002060"/>
        </w:rPr>
        <w:t>,</w:t>
      </w:r>
      <w:r>
        <w:rPr>
          <w:rFonts w:ascii="Palatino Linotype" w:eastAsia="Palatino Linotype" w:hAnsi="Palatino Linotype" w:cs="Palatino Linotype"/>
          <w:b/>
          <w:color w:val="C00000"/>
        </w:rPr>
        <w:t xml:space="preserve"> </w:t>
      </w:r>
      <w:r>
        <w:rPr>
          <w:rFonts w:ascii="Palatino Linotype" w:eastAsia="Palatino Linotype" w:hAnsi="Palatino Linotype" w:cs="Palatino Linotype"/>
          <w:color w:val="000000"/>
        </w:rPr>
        <w:t xml:space="preserve">esto es, el </w:t>
      </w:r>
      <w:r>
        <w:rPr>
          <w:rFonts w:ascii="Palatino Linotype" w:eastAsia="Palatino Linotype" w:hAnsi="Palatino Linotype" w:cs="Palatino Linotype"/>
          <w:b/>
          <w:color w:val="000000"/>
        </w:rPr>
        <w:t>cuarto día hábil</w:t>
      </w:r>
      <w:r>
        <w:rPr>
          <w:rFonts w:ascii="Palatino Linotype" w:eastAsia="Palatino Linotype" w:hAnsi="Palatino Linotype" w:cs="Palatino Linotype"/>
          <w:color w:val="000000"/>
        </w:rPr>
        <w:t xml:space="preserve"> después de conocer la respuesta, luego entonces, se encuentra dentro de los márgenes temporales previstos por la normatividad vigente. </w:t>
      </w:r>
    </w:p>
    <w:p w:rsidR="00F678BF" w:rsidRDefault="00B2708F">
      <w:pPr>
        <w:spacing w:before="240" w:after="240" w:line="360" w:lineRule="auto"/>
        <w:ind w:right="-9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y después de la revisión del formato de interposición del recurso, se concluye en la acreditación plena de todos y cada uno de los elementos formales exigidos por el artículo 180 de la Ley de Transparencia y Acceso a la Información </w:t>
      </w:r>
      <w:r>
        <w:rPr>
          <w:rFonts w:ascii="Palatino Linotype" w:eastAsia="Palatino Linotype" w:hAnsi="Palatino Linotype" w:cs="Palatino Linotype"/>
          <w:color w:val="000000"/>
        </w:rPr>
        <w:lastRenderedPageBreak/>
        <w:t>Pública del Estado de México y Municipios, toda vez que fue ingresado a través del SAIMEX.</w:t>
      </w:r>
    </w:p>
    <w:p w:rsidR="00F678BF" w:rsidRDefault="00B2708F">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acuerdo al artículo 179, fracción IV de la Ley de Transparencia y Acceso a la Información Pública del Estado de México y Municipios; que a la letra dice:</w:t>
      </w:r>
    </w:p>
    <w:p w:rsidR="00F678BF" w:rsidRDefault="00F678BF">
      <w:pPr>
        <w:spacing w:after="120"/>
        <w:ind w:left="851" w:right="902"/>
        <w:jc w:val="both"/>
        <w:rPr>
          <w:rFonts w:ascii="Palatino Linotype" w:eastAsia="Palatino Linotype" w:hAnsi="Palatino Linotype" w:cs="Palatino Linotype"/>
          <w:b/>
          <w:i/>
          <w:sz w:val="20"/>
          <w:szCs w:val="20"/>
        </w:rPr>
      </w:pPr>
    </w:p>
    <w:p w:rsidR="00F678BF" w:rsidRDefault="00B2708F">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F678BF" w:rsidRDefault="00B2708F">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678BF" w:rsidRDefault="00B2708F">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p>
    <w:p w:rsidR="00F678BF" w:rsidRDefault="00B2708F">
      <w:pPr>
        <w:spacing w:after="120"/>
        <w:ind w:left="567" w:right="902" w:firstLine="2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La declaración de incompetencia del sujeto obligado;</w:t>
      </w:r>
      <w:r>
        <w:rPr>
          <w:rFonts w:ascii="Palatino Linotype" w:eastAsia="Palatino Linotype" w:hAnsi="Palatino Linotype" w:cs="Palatino Linotype"/>
          <w:i/>
          <w:sz w:val="22"/>
          <w:szCs w:val="22"/>
        </w:rPr>
        <w:t>” (Sic)</w:t>
      </w:r>
      <w:r>
        <w:rPr>
          <w:rFonts w:ascii="Palatino Linotype" w:eastAsia="Palatino Linotype" w:hAnsi="Palatino Linotype" w:cs="Palatino Linotype"/>
          <w:b/>
          <w:i/>
          <w:sz w:val="22"/>
          <w:szCs w:val="22"/>
        </w:rPr>
        <w:t xml:space="preserve">              </w:t>
      </w:r>
    </w:p>
    <w:p w:rsidR="00F678BF" w:rsidRDefault="00B2708F">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Tercero. Análisis de la causal de sobreseimiento.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Por otra parte, el artículo 192 de la </w:t>
      </w:r>
      <w:r>
        <w:rPr>
          <w:rFonts w:ascii="Palatino Linotype" w:eastAsia="Palatino Linotype" w:hAnsi="Palatino Linotype" w:cs="Palatino Linotype"/>
          <w:color w:val="000000"/>
        </w:rPr>
        <w:t>Ley de Transparencia y Acceso a la Información Pública del Estado de México y Municipios, señala que el Recurso de Revisión será sobreseído en todo o en parte, cuando, una vez admitido, se actualice alguno de los siguientes supuestos:</w:t>
      </w:r>
    </w:p>
    <w:p w:rsidR="00F678BF" w:rsidRDefault="00B2708F">
      <w:pPr>
        <w:numPr>
          <w:ilvl w:val="0"/>
          <w:numId w:val="1"/>
        </w:numPr>
        <w:spacing w:line="360" w:lineRule="auto"/>
        <w:ind w:left="567" w:firstLine="0"/>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El Recurrente se desista expresamente;</w:t>
      </w:r>
    </w:p>
    <w:p w:rsidR="00F678BF" w:rsidRDefault="00B2708F">
      <w:pPr>
        <w:numPr>
          <w:ilvl w:val="0"/>
          <w:numId w:val="1"/>
        </w:numPr>
        <w:spacing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Recurrente fallezca o, tratándose de personas morales se disuelva;</w:t>
      </w:r>
    </w:p>
    <w:p w:rsidR="00F678BF" w:rsidRDefault="00B2708F">
      <w:pPr>
        <w:numPr>
          <w:ilvl w:val="0"/>
          <w:numId w:val="1"/>
        </w:numPr>
        <w:spacing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Sujeto Obligado modifique la respuesta o la revoque, de tal manera que el recurso de revisión quede sin materia;</w:t>
      </w:r>
    </w:p>
    <w:p w:rsidR="00F678BF" w:rsidRDefault="00B2708F">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Admitido el recurso de revisión, aparezca alguna causal de improcedencia; y,</w:t>
      </w:r>
    </w:p>
    <w:p w:rsidR="00F678BF" w:rsidRDefault="00B2708F">
      <w:pPr>
        <w:numPr>
          <w:ilvl w:val="0"/>
          <w:numId w:val="1"/>
        </w:numPr>
        <w:spacing w:line="360" w:lineRule="auto"/>
        <w:ind w:left="567"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Cuando por cualquier motivo quede sin materia el recurso de revisión.</w:t>
      </w:r>
    </w:p>
    <w:p w:rsidR="00F678BF" w:rsidRDefault="00F678BF">
      <w:pPr>
        <w:spacing w:line="360" w:lineRule="auto"/>
        <w:jc w:val="both"/>
        <w:rPr>
          <w:rFonts w:ascii="Palatino Linotype" w:eastAsia="Palatino Linotype" w:hAnsi="Palatino Linotype" w:cs="Palatino Linotype"/>
          <w:sz w:val="22"/>
          <w:szCs w:val="22"/>
        </w:rPr>
      </w:pPr>
    </w:p>
    <w:p w:rsidR="00F678BF" w:rsidRDefault="00B2708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es susceptible de análisis la actualización del supuesto jurídico previsto en la fracción I, del artículo 192, de la Ley en cita, mismo que dispone que el Recurso de Revisión será sobreseído cuando </w:t>
      </w:r>
      <w:r>
        <w:rPr>
          <w:rFonts w:ascii="Palatino Linotype" w:eastAsia="Palatino Linotype" w:hAnsi="Palatino Linotype" w:cs="Palatino Linotype"/>
          <w:b/>
        </w:rPr>
        <w:t>el Recurrente se desista expresamente</w:t>
      </w:r>
      <w:r>
        <w:rPr>
          <w:rFonts w:ascii="Palatino Linotype" w:eastAsia="Palatino Linotype" w:hAnsi="Palatino Linotype" w:cs="Palatino Linotype"/>
          <w:color w:val="000000"/>
        </w:rPr>
        <w:t xml:space="preserve">. Ello, toda vez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fecha cinco de enero de dos mil veintidós, a través del Sistema de Acceso a la Información Mexiquense (SAIMEX), se desistió expresamente del presente Recurso de Revisión</w:t>
      </w:r>
      <w:r>
        <w:rPr>
          <w:rFonts w:ascii="Palatino Linotype" w:eastAsia="Palatino Linotype" w:hAnsi="Palatino Linotype" w:cs="Palatino Linotype"/>
        </w:rPr>
        <w:t xml:space="preserve">. </w:t>
      </w:r>
    </w:p>
    <w:p w:rsidR="00F678BF" w:rsidRDefault="00F678BF">
      <w:pPr>
        <w:spacing w:line="360" w:lineRule="auto"/>
        <w:jc w:val="both"/>
        <w:rPr>
          <w:rFonts w:ascii="Palatino Linotype" w:eastAsia="Palatino Linotype" w:hAnsi="Palatino Linotype" w:cs="Palatino Linotype"/>
          <w:color w:val="000000"/>
          <w:sz w:val="22"/>
          <w:szCs w:val="22"/>
        </w:rPr>
      </w:pPr>
    </w:p>
    <w:p w:rsidR="00F678BF" w:rsidRDefault="00B2708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atención a las constancias que integran el expediente del Sistema de Acceso a la Información Mexiquense (SAIMEX) y que se insertan, se aprecia que el Recurrente se desistió del Recurso de Revisión motivo del presente fallo, asimismo, expresó como motivo o razón para su desistimiento </w:t>
      </w:r>
      <w:r>
        <w:rPr>
          <w:rFonts w:ascii="Palatino Linotype" w:eastAsia="Palatino Linotype" w:hAnsi="Palatino Linotype" w:cs="Palatino Linotype"/>
          <w:i/>
          <w:color w:val="000000"/>
        </w:rPr>
        <w:t>“YA SE PROPORCIONO LA INFORMACION MUCHAS GRACIAS.”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i/>
          <w:color w:val="000000"/>
          <w:sz w:val="22"/>
          <w:szCs w:val="22"/>
        </w:rPr>
        <w:t>(Sic)</w:t>
      </w:r>
    </w:p>
    <w:p w:rsidR="00F678BF" w:rsidRDefault="00F678BF">
      <w:pPr>
        <w:spacing w:line="360" w:lineRule="auto"/>
        <w:jc w:val="both"/>
        <w:rPr>
          <w:rFonts w:ascii="Palatino Linotype" w:eastAsia="Palatino Linotype" w:hAnsi="Palatino Linotype" w:cs="Palatino Linotype"/>
          <w:color w:val="000000"/>
          <w:sz w:val="22"/>
          <w:szCs w:val="22"/>
        </w:rPr>
      </w:pPr>
    </w:p>
    <w:p w:rsidR="00F678BF" w:rsidRDefault="00B270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Por lo anterior, se aprecia que el Particular </w:t>
      </w:r>
      <w:r>
        <w:rPr>
          <w:rFonts w:ascii="Palatino Linotype" w:eastAsia="Palatino Linotype" w:hAnsi="Palatino Linotype" w:cs="Palatino Linotype"/>
          <w:b/>
          <w:color w:val="000000"/>
        </w:rPr>
        <w:t xml:space="preserve">manifestó expresamente su voluntad de desistirse del Recurso de Revisión </w:t>
      </w:r>
      <w:r>
        <w:rPr>
          <w:rFonts w:ascii="Palatino Linotype" w:eastAsia="Palatino Linotype" w:hAnsi="Palatino Linotype" w:cs="Palatino Linotype"/>
          <w:b/>
        </w:rPr>
        <w:t xml:space="preserve">06064/INFOEM/IP/RR/2021, </w:t>
      </w:r>
      <w:r>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rsidR="00F678BF" w:rsidRDefault="00F678BF">
      <w:pPr>
        <w:spacing w:line="360" w:lineRule="auto"/>
        <w:jc w:val="both"/>
        <w:rPr>
          <w:rFonts w:ascii="Palatino Linotype" w:eastAsia="Palatino Linotype" w:hAnsi="Palatino Linotype" w:cs="Palatino Linotype"/>
          <w:sz w:val="22"/>
          <w:szCs w:val="22"/>
        </w:rPr>
      </w:pPr>
    </w:p>
    <w:p w:rsidR="00F678BF" w:rsidRDefault="00B270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tenor, resulta aplicable la Jurisprudencia número 1a./J. 65/2005, Semanario Judicial de la Federación y su Gaceta, Novena Época, Tomo XXII, julio de dos mil cinco, página ciento sesenta y uno, que establece lo siguiente:</w:t>
      </w:r>
    </w:p>
    <w:p w:rsidR="00F678BF" w:rsidRDefault="00F678BF">
      <w:pPr>
        <w:spacing w:line="360" w:lineRule="auto"/>
        <w:jc w:val="both"/>
        <w:rPr>
          <w:rFonts w:ascii="Palatino Linotype" w:eastAsia="Palatino Linotype" w:hAnsi="Palatino Linotype" w:cs="Palatino Linotype"/>
        </w:rPr>
      </w:pPr>
    </w:p>
    <w:p w:rsidR="00F678BF" w:rsidRDefault="00B2708F">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DESISTIMIENTO DE LA INSTANCIA. SURTE EFECTOS DESDE EL MOMENTO EN QUE SE PRESENTA EL ESCRITO CORRESPONDIENTE.</w:t>
      </w:r>
    </w:p>
    <w:p w:rsidR="00F678BF" w:rsidRDefault="00B2708F">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F678BF" w:rsidRDefault="00F678BF">
      <w:pPr>
        <w:spacing w:line="360" w:lineRule="auto"/>
        <w:jc w:val="both"/>
        <w:rPr>
          <w:rFonts w:ascii="Palatino Linotype" w:eastAsia="Palatino Linotype" w:hAnsi="Palatino Linotype" w:cs="Palatino Linotype"/>
          <w:color w:val="000000"/>
          <w:sz w:val="22"/>
          <w:szCs w:val="22"/>
        </w:rPr>
      </w:pPr>
    </w:p>
    <w:p w:rsidR="00F678BF" w:rsidRDefault="00B270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citado se pude colegir que cuando el Recurrente presente un escrito de desistimiento, le hace saber a este Instituto la intención de destruir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F678BF" w:rsidRDefault="00F678BF">
      <w:pPr>
        <w:spacing w:line="360" w:lineRule="auto"/>
        <w:jc w:val="both"/>
        <w:rPr>
          <w:rFonts w:ascii="Palatino Linotype" w:eastAsia="Palatino Linotype" w:hAnsi="Palatino Linotype" w:cs="Palatino Linotype"/>
          <w:sz w:val="22"/>
          <w:szCs w:val="22"/>
        </w:rPr>
      </w:pPr>
    </w:p>
    <w:p w:rsidR="00F678BF" w:rsidRDefault="00B2708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este Instituto constató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 xml:space="preserve">el Recurso de Revisión con número </w:t>
      </w:r>
      <w:r>
        <w:rPr>
          <w:rFonts w:ascii="Palatino Linotype" w:eastAsia="Palatino Linotype" w:hAnsi="Palatino Linotype" w:cs="Palatino Linotype"/>
          <w:b/>
        </w:rPr>
        <w:t xml:space="preserve">06064/INFOEM/IP/RR/2021 </w:t>
      </w:r>
      <w:r>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rsidR="00F678BF" w:rsidRDefault="00B2708F">
      <w:pPr>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y 192 fracción I, de la Ley de Transparencia y Acceso a la Información Pública del Estado de México y Municipios, este Pleno:</w:t>
      </w:r>
    </w:p>
    <w:p w:rsidR="0040685F" w:rsidRDefault="0040685F">
      <w:pPr>
        <w:spacing w:before="240" w:after="240" w:line="360" w:lineRule="auto"/>
        <w:jc w:val="both"/>
        <w:rPr>
          <w:rFonts w:ascii="Palatino Linotype" w:eastAsia="Palatino Linotype" w:hAnsi="Palatino Linotype" w:cs="Palatino Linotype"/>
        </w:rPr>
      </w:pPr>
    </w:p>
    <w:p w:rsidR="0040685F" w:rsidRDefault="0040685F">
      <w:pPr>
        <w:spacing w:before="240" w:after="240" w:line="360" w:lineRule="auto"/>
        <w:jc w:val="both"/>
        <w:rPr>
          <w:rFonts w:ascii="Palatino Linotype" w:eastAsia="Palatino Linotype" w:hAnsi="Palatino Linotype" w:cs="Palatino Linotype"/>
        </w:rPr>
      </w:pPr>
    </w:p>
    <w:p w:rsidR="00F678BF" w:rsidRDefault="00B2708F">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RESUELVE</w:t>
      </w:r>
    </w:p>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06064/INFOEM/IP/RR/2021</w:t>
      </w:r>
      <w:r>
        <w:rPr>
          <w:rFonts w:ascii="Palatino Linotype" w:eastAsia="Palatino Linotype" w:hAnsi="Palatino Linotype" w:cs="Palatino Linotype"/>
        </w:rPr>
        <w:t xml:space="preserve">, por haberse desistido expresamente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Tercero</w:t>
      </w:r>
      <w:r>
        <w:rPr>
          <w:rFonts w:ascii="Palatino Linotype" w:eastAsia="Palatino Linotype" w:hAnsi="Palatino Linotype" w:cs="Palatino Linotype"/>
        </w:rPr>
        <w:t xml:space="preserve"> de la presente resolución.</w:t>
      </w:r>
    </w:p>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Segundo</w:t>
      </w:r>
      <w:r>
        <w:rPr>
          <w:rFonts w:ascii="Palatino Linotype" w:eastAsia="Palatino Linotype" w:hAnsi="Palatino Linotype" w:cs="Palatino Linotype"/>
          <w:b/>
          <w:sz w:val="28"/>
          <w:szCs w:val="28"/>
          <w:highlight w:val="white"/>
        </w:rPr>
        <w:t>.</w:t>
      </w:r>
      <w:r>
        <w:rPr>
          <w:rFonts w:ascii="Palatino Linotype" w:eastAsia="Palatino Linotype" w:hAnsi="Palatino Linotype" w:cs="Palatino Linotype"/>
          <w:b/>
          <w:sz w:val="19"/>
          <w:szCs w:val="19"/>
          <w:highlight w:val="whit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w:t>
      </w:r>
    </w:p>
    <w:p w:rsidR="00F678BF" w:rsidRDefault="00B2708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al </w:t>
      </w:r>
      <w:r>
        <w:rPr>
          <w:rFonts w:ascii="Palatino Linotype" w:eastAsia="Palatino Linotype" w:hAnsi="Palatino Linotype" w:cs="Palatino Linotype"/>
          <w:b/>
        </w:rPr>
        <w:t>RECURRENTE</w:t>
      </w:r>
      <w:r>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rsidR="00F678BF" w:rsidRDefault="00B2708F">
      <w:pPr>
        <w:spacing w:before="240" w:after="240" w:line="360" w:lineRule="auto"/>
        <w:jc w:val="both"/>
        <w:rPr>
          <w:rFonts w:ascii="Palatino Linotype" w:eastAsia="Palatino Linotype" w:hAnsi="Palatino Linotype" w:cs="Palatino Linotype"/>
        </w:rPr>
        <w:sectPr w:rsidR="00F678BF">
          <w:headerReference w:type="default" r:id="rId10"/>
          <w:footerReference w:type="default" r:id="rId11"/>
          <w:headerReference w:type="first" r:id="rId12"/>
          <w:footerReference w:type="first" r:id="rId13"/>
          <w:pgSz w:w="12240" w:h="15840"/>
          <w:pgMar w:top="1417" w:right="2034" w:bottom="1417" w:left="1701" w:header="709" w:footer="709"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40685F">
        <w:rPr>
          <w:rFonts w:ascii="Palatino Linotype" w:eastAsia="Palatino Linotype" w:hAnsi="Palatino Linotype" w:cs="Palatino Linotype"/>
        </w:rPr>
        <w:t>CUATRO</w:t>
      </w:r>
      <w:r>
        <w:rPr>
          <w:rFonts w:ascii="Palatino Linotype" w:eastAsia="Palatino Linotype" w:hAnsi="Palatino Linotype" w:cs="Palatino Linotype"/>
        </w:rPr>
        <w:t xml:space="preserve"> DE FEBRERO DE DOS MIL VEINTIDÓS, ANTE EL SECRETARIO TÉCNICO DEL PLENO, ALEXIS TAPIA RAMÍREZ.</w:t>
      </w:r>
    </w:p>
    <w:p w:rsidR="00F678BF" w:rsidRDefault="00F678BF">
      <w:pPr>
        <w:spacing w:before="240" w:after="240" w:line="360" w:lineRule="auto"/>
        <w:jc w:val="both"/>
        <w:rPr>
          <w:rFonts w:ascii="Palatino Linotype" w:eastAsia="Palatino Linotype" w:hAnsi="Palatino Linotype" w:cs="Palatino Linotype"/>
        </w:rPr>
      </w:pPr>
      <w:bookmarkStart w:id="3" w:name="_heading=h.1fob9te" w:colFirst="0" w:colLast="0"/>
      <w:bookmarkEnd w:id="3"/>
    </w:p>
    <w:sectPr w:rsidR="00F678BF">
      <w:headerReference w:type="first" r:id="rId14"/>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7E" w:rsidRDefault="00C36C7E">
      <w:r>
        <w:separator/>
      </w:r>
    </w:p>
  </w:endnote>
  <w:endnote w:type="continuationSeparator" w:id="0">
    <w:p w:rsidR="00C36C7E" w:rsidRDefault="00C3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BF" w:rsidRDefault="00B2708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D5C4A">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D5C4A">
      <w:rPr>
        <w:rFonts w:ascii="Arial" w:eastAsia="Arial" w:hAnsi="Arial" w:cs="Arial"/>
        <w:b/>
        <w:noProof/>
        <w:color w:val="000000"/>
        <w:sz w:val="20"/>
        <w:szCs w:val="20"/>
      </w:rPr>
      <w:t>13</w:t>
    </w:r>
    <w:r>
      <w:rPr>
        <w:rFonts w:ascii="Arial" w:eastAsia="Arial" w:hAnsi="Arial" w:cs="Arial"/>
        <w:b/>
        <w:color w:val="000000"/>
        <w:sz w:val="20"/>
        <w:szCs w:val="20"/>
      </w:rPr>
      <w:fldChar w:fldCharType="end"/>
    </w:r>
  </w:p>
  <w:p w:rsidR="00F678BF" w:rsidRDefault="00F678BF">
    <w:pPr>
      <w:pBdr>
        <w:top w:val="nil"/>
        <w:left w:val="nil"/>
        <w:bottom w:val="nil"/>
        <w:right w:val="nil"/>
        <w:between w:val="nil"/>
      </w:pBdr>
      <w:tabs>
        <w:tab w:val="center" w:pos="4252"/>
        <w:tab w:val="right" w:pos="8504"/>
      </w:tabs>
      <w:rPr>
        <w:color w:val="000000"/>
      </w:rPr>
    </w:pPr>
  </w:p>
  <w:p w:rsidR="00F678BF" w:rsidRDefault="00F678B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BF" w:rsidRDefault="00B2708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D5C4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D5C4A">
      <w:rPr>
        <w:rFonts w:ascii="Arial" w:eastAsia="Arial" w:hAnsi="Arial" w:cs="Arial"/>
        <w:b/>
        <w:noProof/>
        <w:color w:val="000000"/>
        <w:sz w:val="20"/>
        <w:szCs w:val="20"/>
      </w:rPr>
      <w:t>13</w:t>
    </w:r>
    <w:r>
      <w:rPr>
        <w:rFonts w:ascii="Arial" w:eastAsia="Arial" w:hAnsi="Arial" w:cs="Arial"/>
        <w:b/>
        <w:color w:val="000000"/>
        <w:sz w:val="20"/>
        <w:szCs w:val="20"/>
      </w:rPr>
      <w:fldChar w:fldCharType="end"/>
    </w:r>
  </w:p>
  <w:p w:rsidR="00F678BF" w:rsidRDefault="00F678B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7E" w:rsidRDefault="00C36C7E">
      <w:r>
        <w:separator/>
      </w:r>
    </w:p>
  </w:footnote>
  <w:footnote w:type="continuationSeparator" w:id="0">
    <w:p w:rsidR="00C36C7E" w:rsidRDefault="00C36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BF" w:rsidRDefault="00F678BF">
    <w:pPr>
      <w:widowControl w:val="0"/>
      <w:pBdr>
        <w:top w:val="nil"/>
        <w:left w:val="nil"/>
        <w:bottom w:val="nil"/>
        <w:right w:val="nil"/>
        <w:between w:val="nil"/>
      </w:pBdr>
      <w:spacing w:line="276" w:lineRule="auto"/>
      <w:rPr>
        <w:rFonts w:ascii="Cambria" w:eastAsia="Cambria" w:hAnsi="Cambria" w:cs="Cambria"/>
        <w:color w:val="000000"/>
      </w:rPr>
    </w:pPr>
  </w:p>
  <w:tbl>
    <w:tblPr>
      <w:tblStyle w:val="a4"/>
      <w:tblW w:w="6240" w:type="dxa"/>
      <w:tblInd w:w="3746" w:type="dxa"/>
      <w:tblLayout w:type="fixed"/>
      <w:tblLook w:val="0400" w:firstRow="0" w:lastRow="0" w:firstColumn="0" w:lastColumn="0" w:noHBand="0" w:noVBand="1"/>
    </w:tblPr>
    <w:tblGrid>
      <w:gridCol w:w="2553"/>
      <w:gridCol w:w="3687"/>
    </w:tblGrid>
    <w:tr w:rsidR="00F678BF">
      <w:tc>
        <w:tcPr>
          <w:tcW w:w="2553"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678BF" w:rsidRDefault="00B2708F">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06064/INFOEM/IP/RR/2021</w:t>
          </w:r>
        </w:p>
      </w:tc>
    </w:tr>
    <w:tr w:rsidR="00F678BF">
      <w:trPr>
        <w:trHeight w:val="228"/>
      </w:trPr>
      <w:tc>
        <w:tcPr>
          <w:tcW w:w="2553"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678BF" w:rsidRDefault="00B2708F">
          <w:pPr>
            <w:tabs>
              <w:tab w:val="left" w:pos="1106"/>
            </w:tabs>
            <w:ind w:right="66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Seguridad</w:t>
          </w:r>
        </w:p>
      </w:tc>
    </w:tr>
    <w:tr w:rsidR="00F678BF">
      <w:tc>
        <w:tcPr>
          <w:tcW w:w="2553"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678BF" w:rsidRDefault="00B2708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678BF" w:rsidRDefault="00B270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-982342</wp:posOffset>
          </wp:positionH>
          <wp:positionV relativeFrom="paragraph">
            <wp:posOffset>-1098547</wp:posOffset>
          </wp:positionV>
          <wp:extent cx="7635600" cy="9943200"/>
          <wp:effectExtent l="0" t="0" r="0" b="0"/>
          <wp:wrapNone/>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BF" w:rsidRDefault="00B2708F">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-973451</wp:posOffset>
          </wp:positionH>
          <wp:positionV relativeFrom="paragraph">
            <wp:posOffset>-354962</wp:posOffset>
          </wp:positionV>
          <wp:extent cx="7635600" cy="9943200"/>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685" w:type="dxa"/>
      <w:tblLayout w:type="fixed"/>
      <w:tblLook w:val="0400" w:firstRow="0" w:lastRow="0" w:firstColumn="0" w:lastColumn="0" w:noHBand="0" w:noVBand="1"/>
    </w:tblPr>
    <w:tblGrid>
      <w:gridCol w:w="2553"/>
      <w:gridCol w:w="3687"/>
    </w:tblGrid>
    <w:tr w:rsidR="00F678BF">
      <w:tc>
        <w:tcPr>
          <w:tcW w:w="2553"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06064/INFOEM/IP/RR/2021</w:t>
          </w:r>
        </w:p>
      </w:tc>
    </w:tr>
    <w:tr w:rsidR="00F678BF">
      <w:tc>
        <w:tcPr>
          <w:tcW w:w="2553"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F678BF" w:rsidRDefault="00CD5C4A" w:rsidP="00CD5C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w:t>
          </w:r>
          <w:r w:rsidR="00B2708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Xxxxxxxxx</w:t>
          </w:r>
          <w:r w:rsidR="00B2708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w:t>
          </w:r>
          <w:r w:rsidR="00B2708F">
            <w:rPr>
              <w:rFonts w:ascii="Palatino Linotype" w:eastAsia="Palatino Linotype" w:hAnsi="Palatino Linotype" w:cs="Palatino Linotype"/>
              <w:b/>
              <w:sz w:val="22"/>
              <w:szCs w:val="22"/>
            </w:rPr>
            <w:t xml:space="preserve">. </w:t>
          </w:r>
        </w:p>
      </w:tc>
    </w:tr>
    <w:tr w:rsidR="00F678BF">
      <w:trPr>
        <w:trHeight w:val="228"/>
      </w:trPr>
      <w:tc>
        <w:tcPr>
          <w:tcW w:w="2553"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678BF" w:rsidRDefault="00B2708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Seguridad</w:t>
          </w:r>
        </w:p>
      </w:tc>
    </w:tr>
    <w:tr w:rsidR="00F678BF">
      <w:tc>
        <w:tcPr>
          <w:tcW w:w="2553" w:type="dxa"/>
          <w:vAlign w:val="center"/>
        </w:tcPr>
        <w:p w:rsidR="00F678BF" w:rsidRDefault="00B270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678BF" w:rsidRDefault="00B2708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678BF" w:rsidRDefault="00F678BF">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BF" w:rsidRDefault="00F678BF">
    <w:pPr>
      <w:pBdr>
        <w:top w:val="nil"/>
        <w:left w:val="nil"/>
        <w:bottom w:val="nil"/>
        <w:right w:val="nil"/>
        <w:between w:val="nil"/>
      </w:pBdr>
      <w:tabs>
        <w:tab w:val="center" w:pos="4252"/>
        <w:tab w:val="right" w:pos="8504"/>
      </w:tabs>
      <w:jc w:val="both"/>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C72B5"/>
    <w:multiLevelType w:val="multilevel"/>
    <w:tmpl w:val="9D32F934"/>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047DA7"/>
    <w:multiLevelType w:val="multilevel"/>
    <w:tmpl w:val="88CC5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BF"/>
    <w:rsid w:val="00297318"/>
    <w:rsid w:val="0040685F"/>
    <w:rsid w:val="00501E21"/>
    <w:rsid w:val="00B2708F"/>
    <w:rsid w:val="00C36C7E"/>
    <w:rsid w:val="00CD5C4A"/>
    <w:rsid w:val="00F20AFC"/>
    <w:rsid w:val="00F678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3B7B1-34D6-42CC-A985-7BAA5024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muiYbW2OLHUlfdibzcrrygUW1w==">AMUW2mWMkAVU+T3CjAe3mKmiS9bgf0s8Qb+Pzw9my9npbOjMQrcijYy+bt3qRBAMrRNcXSy6V7+T9ekeoWWG3fC2LQn3mD/JDBhtUuV/gOXrygSoHVDtngmVv7IyucvPjxHRRLZebHsveAplMAnFORqT+7x/DUiM9w==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2580</Words>
  <Characters>14193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2022-03-04T02:52:00Z</dcterms:created>
  <dcterms:modified xsi:type="dcterms:W3CDTF">2022-03-04T17:51:00Z</dcterms:modified>
</cp:coreProperties>
</file>