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9E262" w14:textId="6CC01447" w:rsidR="00F803EF" w:rsidRPr="00124981" w:rsidRDefault="00F803EF" w:rsidP="00E04342">
      <w:pPr>
        <w:suppressAutoHyphens/>
        <w:spacing w:line="360" w:lineRule="auto"/>
        <w:jc w:val="both"/>
        <w:rPr>
          <w:rFonts w:ascii="Palatino Linotype" w:hAnsi="Palatino Linotype"/>
        </w:rPr>
      </w:pPr>
      <w:r w:rsidRPr="00124981">
        <w:rPr>
          <w:rFonts w:ascii="Palatino Linotype" w:hAnsi="Palatino Linotype"/>
        </w:rPr>
        <w:t xml:space="preserve">Resolución del Pleno del Instituto de Transparencia, </w:t>
      </w:r>
      <w:r w:rsidR="00996512" w:rsidRPr="00124981">
        <w:rPr>
          <w:rFonts w:ascii="Palatino Linotype" w:hAnsi="Palatino Linotype"/>
        </w:rPr>
        <w:t>Acceso a la Información</w:t>
      </w:r>
      <w:r w:rsidR="005E3C55" w:rsidRPr="00124981">
        <w:rPr>
          <w:rFonts w:ascii="Palatino Linotype" w:hAnsi="Palatino Linotype"/>
        </w:rPr>
        <w:t xml:space="preserve"> Pública</w:t>
      </w:r>
      <w:r w:rsidRPr="00124981">
        <w:rPr>
          <w:rFonts w:ascii="Palatino Linotype" w:hAnsi="Palatino Linotype"/>
        </w:rPr>
        <w:t xml:space="preserve"> y Protección de Datos Personales del Estado de México y Municipios, con domicilio en Metepec, Estado de México, de fecha </w:t>
      </w:r>
      <w:r w:rsidR="0026032A" w:rsidRPr="00124981">
        <w:rPr>
          <w:rFonts w:ascii="Palatino Linotype" w:hAnsi="Palatino Linotype" w:cs="Arial"/>
        </w:rPr>
        <w:t>veintisiete de abril</w:t>
      </w:r>
      <w:r w:rsidR="00E768F4" w:rsidRPr="00124981">
        <w:rPr>
          <w:rFonts w:ascii="Palatino Linotype" w:hAnsi="Palatino Linotype" w:cs="Arial"/>
        </w:rPr>
        <w:t xml:space="preserve"> de dos mil veintidós</w:t>
      </w:r>
      <w:r w:rsidRPr="00124981">
        <w:rPr>
          <w:rFonts w:ascii="Palatino Linotype" w:hAnsi="Palatino Linotype"/>
        </w:rPr>
        <w:t>.</w:t>
      </w:r>
    </w:p>
    <w:p w14:paraId="5D0EBE43" w14:textId="77777777" w:rsidR="00F803EF" w:rsidRPr="00124981" w:rsidRDefault="00F803EF" w:rsidP="00E04342">
      <w:pPr>
        <w:suppressAutoHyphens/>
        <w:spacing w:line="360" w:lineRule="auto"/>
        <w:jc w:val="both"/>
        <w:rPr>
          <w:rFonts w:ascii="Palatino Linotype" w:hAnsi="Palatino Linotype"/>
        </w:rPr>
      </w:pPr>
    </w:p>
    <w:p w14:paraId="19A6096D" w14:textId="59926D14" w:rsidR="00F803EF" w:rsidRPr="00124981" w:rsidRDefault="00F803EF" w:rsidP="00E04342">
      <w:pPr>
        <w:suppressAutoHyphens/>
        <w:spacing w:line="360" w:lineRule="auto"/>
        <w:jc w:val="both"/>
        <w:rPr>
          <w:rFonts w:ascii="Palatino Linotype" w:hAnsi="Palatino Linotype"/>
        </w:rPr>
      </w:pPr>
      <w:r w:rsidRPr="00124981">
        <w:rPr>
          <w:rFonts w:ascii="Palatino Linotype" w:hAnsi="Palatino Linotype"/>
          <w:b/>
          <w:sz w:val="28"/>
        </w:rPr>
        <w:t>VISTO</w:t>
      </w:r>
      <w:r w:rsidRPr="00124981">
        <w:rPr>
          <w:rFonts w:ascii="Palatino Linotype" w:hAnsi="Palatino Linotype"/>
        </w:rPr>
        <w:t xml:space="preserve"> el expediente formado con motivo del </w:t>
      </w:r>
      <w:r w:rsidR="005E3C55" w:rsidRPr="00124981">
        <w:rPr>
          <w:rFonts w:ascii="Palatino Linotype" w:hAnsi="Palatino Linotype"/>
        </w:rPr>
        <w:t>Recurso de Revisión</w:t>
      </w:r>
      <w:r w:rsidRPr="00124981">
        <w:rPr>
          <w:rFonts w:ascii="Palatino Linotype" w:hAnsi="Palatino Linotype"/>
        </w:rPr>
        <w:t xml:space="preserve"> </w:t>
      </w:r>
      <w:r w:rsidR="0026032A" w:rsidRPr="00124981">
        <w:rPr>
          <w:rFonts w:ascii="Palatino Linotype" w:hAnsi="Palatino Linotype"/>
          <w:b/>
        </w:rPr>
        <w:t>00872/INFOEM/IP/RR/2022</w:t>
      </w:r>
      <w:r w:rsidRPr="00124981">
        <w:rPr>
          <w:rFonts w:ascii="Palatino Linotype" w:hAnsi="Palatino Linotype"/>
        </w:rPr>
        <w:t xml:space="preserve">, </w:t>
      </w:r>
      <w:r w:rsidR="00890648" w:rsidRPr="00124981">
        <w:rPr>
          <w:rFonts w:ascii="Palatino Linotype" w:hAnsi="Palatino Linotype"/>
        </w:rPr>
        <w:t>promovido por</w:t>
      </w:r>
      <w:r w:rsidR="00CC7F74" w:rsidRPr="00124981">
        <w:rPr>
          <w:rFonts w:ascii="Palatino Linotype" w:hAnsi="Palatino Linotype"/>
          <w:b/>
          <w:bCs/>
        </w:rPr>
        <w:t xml:space="preserve"> </w:t>
      </w:r>
      <w:r w:rsidR="00CC7F74" w:rsidRPr="00124981">
        <w:rPr>
          <w:rFonts w:ascii="Palatino Linotype" w:hAnsi="Palatino Linotype"/>
        </w:rPr>
        <w:t>una persona de manera anónima</w:t>
      </w:r>
      <w:r w:rsidRPr="00124981">
        <w:rPr>
          <w:rFonts w:ascii="Palatino Linotype" w:hAnsi="Palatino Linotype"/>
        </w:rPr>
        <w:t xml:space="preserve">, </w:t>
      </w:r>
      <w:r w:rsidR="0097124A" w:rsidRPr="00124981">
        <w:rPr>
          <w:rFonts w:ascii="Palatino Linotype" w:hAnsi="Palatino Linotype"/>
        </w:rPr>
        <w:t xml:space="preserve">a quien en lo sucesivo se le </w:t>
      </w:r>
      <w:r w:rsidR="00CC7F74" w:rsidRPr="00124981">
        <w:rPr>
          <w:rFonts w:ascii="Palatino Linotype" w:hAnsi="Palatino Linotype"/>
        </w:rPr>
        <w:t>denominara</w:t>
      </w:r>
      <w:r w:rsidR="0097124A" w:rsidRPr="00124981">
        <w:rPr>
          <w:rFonts w:ascii="Palatino Linotype" w:hAnsi="Palatino Linotype"/>
        </w:rPr>
        <w:t xml:space="preserve"> como </w:t>
      </w:r>
      <w:r w:rsidR="00890648" w:rsidRPr="00124981">
        <w:rPr>
          <w:rFonts w:ascii="Palatino Linotype" w:hAnsi="Palatino Linotype"/>
          <w:b/>
        </w:rPr>
        <w:t>EL</w:t>
      </w:r>
      <w:r w:rsidRPr="00124981">
        <w:rPr>
          <w:rFonts w:ascii="Palatino Linotype" w:hAnsi="Palatino Linotype"/>
          <w:b/>
        </w:rPr>
        <w:t xml:space="preserve"> RECURRENTE,</w:t>
      </w:r>
      <w:r w:rsidRPr="00124981">
        <w:rPr>
          <w:rFonts w:ascii="Palatino Linotype" w:hAnsi="Palatino Linotype"/>
        </w:rPr>
        <w:t xml:space="preserve"> en </w:t>
      </w:r>
      <w:r w:rsidR="00F947A0" w:rsidRPr="00124981">
        <w:rPr>
          <w:rFonts w:ascii="Palatino Linotype" w:hAnsi="Palatino Linotype"/>
        </w:rPr>
        <w:t>contra de la</w:t>
      </w:r>
      <w:r w:rsidR="00F851BF" w:rsidRPr="00124981">
        <w:rPr>
          <w:rFonts w:ascii="Palatino Linotype" w:hAnsi="Palatino Linotype"/>
        </w:rPr>
        <w:t xml:space="preserve"> </w:t>
      </w:r>
      <w:r w:rsidR="00F947A0" w:rsidRPr="00124981">
        <w:rPr>
          <w:rFonts w:ascii="Palatino Linotype" w:hAnsi="Palatino Linotype"/>
        </w:rPr>
        <w:t>de respuesta d</w:t>
      </w:r>
      <w:r w:rsidRPr="00124981">
        <w:rPr>
          <w:rFonts w:ascii="Palatino Linotype" w:hAnsi="Palatino Linotype"/>
        </w:rPr>
        <w:t>el</w:t>
      </w:r>
      <w:r w:rsidRPr="00124981">
        <w:rPr>
          <w:rFonts w:ascii="Palatino Linotype" w:hAnsi="Palatino Linotype"/>
          <w:b/>
        </w:rPr>
        <w:t xml:space="preserve"> </w:t>
      </w:r>
      <w:r w:rsidR="0026032A" w:rsidRPr="00124981">
        <w:rPr>
          <w:rFonts w:ascii="Palatino Linotype" w:hAnsi="Palatino Linotype"/>
          <w:b/>
          <w:bCs/>
        </w:rPr>
        <w:t>Secretaría de Seguridad</w:t>
      </w:r>
      <w:r w:rsidRPr="00124981">
        <w:rPr>
          <w:rFonts w:ascii="Palatino Linotype" w:hAnsi="Palatino Linotype"/>
        </w:rPr>
        <w:t xml:space="preserve">, </w:t>
      </w:r>
      <w:r w:rsidR="0097124A" w:rsidRPr="00124981">
        <w:rPr>
          <w:rFonts w:ascii="Palatino Linotype" w:hAnsi="Palatino Linotype"/>
        </w:rPr>
        <w:t>en lo subsecuente se le denominará</w:t>
      </w:r>
      <w:r w:rsidR="0097124A" w:rsidRPr="00124981">
        <w:rPr>
          <w:rFonts w:ascii="Palatino Linotype" w:hAnsi="Palatino Linotype"/>
          <w:b/>
        </w:rPr>
        <w:t xml:space="preserve"> </w:t>
      </w:r>
      <w:r w:rsidRPr="00124981">
        <w:rPr>
          <w:rFonts w:ascii="Palatino Linotype" w:hAnsi="Palatino Linotype"/>
          <w:b/>
        </w:rPr>
        <w:t>EL SUJETO OBLIGADO</w:t>
      </w:r>
      <w:r w:rsidRPr="00124981">
        <w:rPr>
          <w:rFonts w:ascii="Palatino Linotype" w:hAnsi="Palatino Linotype"/>
        </w:rPr>
        <w:t xml:space="preserve">, se procede a dictar la presente resolución con base en lo siguiente: </w:t>
      </w:r>
    </w:p>
    <w:p w14:paraId="11C46275" w14:textId="77777777" w:rsidR="00F803EF" w:rsidRPr="00124981" w:rsidRDefault="00F803EF" w:rsidP="00E04342">
      <w:pPr>
        <w:suppressAutoHyphens/>
        <w:spacing w:line="360" w:lineRule="auto"/>
        <w:jc w:val="both"/>
        <w:rPr>
          <w:rFonts w:ascii="Palatino Linotype" w:hAnsi="Palatino Linotype"/>
        </w:rPr>
      </w:pPr>
    </w:p>
    <w:p w14:paraId="3601DD66" w14:textId="0D7934E6" w:rsidR="00F803EF" w:rsidRPr="00124981" w:rsidRDefault="005E3C55" w:rsidP="00E04342">
      <w:pPr>
        <w:suppressAutoHyphens/>
        <w:spacing w:line="360" w:lineRule="auto"/>
        <w:jc w:val="center"/>
        <w:rPr>
          <w:rFonts w:ascii="Palatino Linotype" w:hAnsi="Palatino Linotype"/>
          <w:b/>
          <w:bCs/>
          <w:spacing w:val="60"/>
          <w:sz w:val="28"/>
        </w:rPr>
      </w:pPr>
      <w:r w:rsidRPr="00124981">
        <w:rPr>
          <w:rFonts w:ascii="Palatino Linotype" w:hAnsi="Palatino Linotype"/>
          <w:b/>
          <w:bCs/>
          <w:spacing w:val="60"/>
          <w:sz w:val="28"/>
        </w:rPr>
        <w:t>ANTECEDENTES</w:t>
      </w:r>
    </w:p>
    <w:p w14:paraId="0097630E" w14:textId="77777777" w:rsidR="00F803EF" w:rsidRPr="00124981" w:rsidRDefault="00F803EF" w:rsidP="00E04342">
      <w:pPr>
        <w:suppressAutoHyphens/>
        <w:spacing w:line="360" w:lineRule="auto"/>
        <w:jc w:val="both"/>
        <w:rPr>
          <w:rFonts w:ascii="Palatino Linotype" w:hAnsi="Palatino Linotype"/>
          <w:b/>
          <w:bCs/>
          <w:spacing w:val="60"/>
        </w:rPr>
      </w:pPr>
    </w:p>
    <w:p w14:paraId="69B30272" w14:textId="77777777" w:rsidR="00CC7F74" w:rsidRPr="00124981" w:rsidRDefault="00CC7F74" w:rsidP="00E04342">
      <w:pPr>
        <w:spacing w:line="360" w:lineRule="auto"/>
        <w:jc w:val="both"/>
        <w:rPr>
          <w:rFonts w:ascii="Palatino Linotype" w:eastAsia="Calibri" w:hAnsi="Palatino Linotype" w:cs="Arial"/>
          <w:b/>
          <w:sz w:val="26"/>
          <w:szCs w:val="26"/>
          <w:lang w:val="es-ES" w:eastAsia="en-US"/>
        </w:rPr>
      </w:pPr>
      <w:r w:rsidRPr="00124981">
        <w:rPr>
          <w:rFonts w:ascii="Palatino Linotype" w:eastAsia="Calibri" w:hAnsi="Palatino Linotype" w:cs="Arial"/>
          <w:b/>
          <w:sz w:val="26"/>
          <w:szCs w:val="26"/>
          <w:lang w:val="es-ES" w:eastAsia="en-US"/>
        </w:rPr>
        <w:t xml:space="preserve">I. </w:t>
      </w:r>
      <w:r w:rsidRPr="00124981">
        <w:rPr>
          <w:rFonts w:ascii="Palatino Linotype" w:hAnsi="Palatino Linotype"/>
          <w:b/>
          <w:sz w:val="26"/>
          <w:szCs w:val="26"/>
        </w:rPr>
        <w:t>De la Solicitud de Información</w:t>
      </w:r>
    </w:p>
    <w:p w14:paraId="0372A1B9" w14:textId="390EB3BB" w:rsidR="00890648" w:rsidRPr="00124981" w:rsidRDefault="00F803EF" w:rsidP="00E04342">
      <w:pPr>
        <w:spacing w:line="360" w:lineRule="auto"/>
        <w:jc w:val="both"/>
        <w:rPr>
          <w:rFonts w:ascii="Palatino Linotype" w:hAnsi="Palatino Linotype" w:cs="Arial"/>
        </w:rPr>
      </w:pPr>
      <w:r w:rsidRPr="00124981">
        <w:rPr>
          <w:rFonts w:ascii="Palatino Linotype" w:hAnsi="Palatino Linotype"/>
        </w:rPr>
        <w:t xml:space="preserve">En </w:t>
      </w:r>
      <w:r w:rsidR="00890648" w:rsidRPr="00124981">
        <w:rPr>
          <w:rFonts w:ascii="Palatino Linotype" w:hAnsi="Palatino Linotype"/>
        </w:rPr>
        <w:t xml:space="preserve">fecha </w:t>
      </w:r>
      <w:r w:rsidR="0026032A" w:rsidRPr="00124981">
        <w:rPr>
          <w:rFonts w:ascii="Palatino Linotype" w:hAnsi="Palatino Linotype"/>
        </w:rPr>
        <w:t>tres de febrero</w:t>
      </w:r>
      <w:r w:rsidR="009A5777" w:rsidRPr="00124981">
        <w:rPr>
          <w:rFonts w:ascii="Palatino Linotype" w:hAnsi="Palatino Linotype"/>
        </w:rPr>
        <w:t xml:space="preserve"> de dos mil veintidós</w:t>
      </w:r>
      <w:r w:rsidRPr="00124981">
        <w:rPr>
          <w:rFonts w:ascii="Palatino Linotype" w:hAnsi="Palatino Linotype"/>
        </w:rPr>
        <w:t xml:space="preserve">, </w:t>
      </w:r>
      <w:r w:rsidR="00F947A0" w:rsidRPr="00124981">
        <w:rPr>
          <w:rFonts w:ascii="Palatino Linotype" w:hAnsi="Palatino Linotype"/>
          <w:b/>
        </w:rPr>
        <w:t>EL</w:t>
      </w:r>
      <w:r w:rsidRPr="00124981">
        <w:rPr>
          <w:rFonts w:ascii="Palatino Linotype" w:hAnsi="Palatino Linotype"/>
          <w:b/>
        </w:rPr>
        <w:t xml:space="preserve"> RECURRENTE</w:t>
      </w:r>
      <w:r w:rsidRPr="00124981">
        <w:rPr>
          <w:rFonts w:ascii="Palatino Linotype" w:hAnsi="Palatino Linotype"/>
        </w:rPr>
        <w:t xml:space="preserve"> presentó a través del Sistema de </w:t>
      </w:r>
      <w:r w:rsidR="00996512" w:rsidRPr="00124981">
        <w:rPr>
          <w:rFonts w:ascii="Palatino Linotype" w:hAnsi="Palatino Linotype" w:cs="Arial"/>
        </w:rPr>
        <w:t>Acceso a la Información</w:t>
      </w:r>
      <w:r w:rsidRPr="00124981">
        <w:rPr>
          <w:rFonts w:ascii="Palatino Linotype" w:hAnsi="Palatino Linotype"/>
        </w:rPr>
        <w:t xml:space="preserve"> Mexiquense, en lo subsecuente </w:t>
      </w:r>
      <w:r w:rsidRPr="00124981">
        <w:rPr>
          <w:rFonts w:ascii="Palatino Linotype" w:hAnsi="Palatino Linotype"/>
          <w:b/>
        </w:rPr>
        <w:t>EL SAIMEX</w:t>
      </w:r>
      <w:r w:rsidRPr="00124981">
        <w:rPr>
          <w:rFonts w:ascii="Palatino Linotype" w:hAnsi="Palatino Linotype"/>
        </w:rPr>
        <w:t xml:space="preserve">, ante </w:t>
      </w:r>
      <w:r w:rsidRPr="00124981">
        <w:rPr>
          <w:rFonts w:ascii="Palatino Linotype" w:hAnsi="Palatino Linotype"/>
          <w:b/>
        </w:rPr>
        <w:t>EL SUJETO OBLIGADO</w:t>
      </w:r>
      <w:r w:rsidRPr="00124981">
        <w:rPr>
          <w:rFonts w:ascii="Palatino Linotype" w:hAnsi="Palatino Linotype"/>
        </w:rPr>
        <w:t xml:space="preserve">, la solicitud de acceso a </w:t>
      </w:r>
      <w:r w:rsidR="005E3C55" w:rsidRPr="00124981">
        <w:rPr>
          <w:rFonts w:ascii="Palatino Linotype" w:hAnsi="Palatino Linotype"/>
        </w:rPr>
        <w:t>Información Pública</w:t>
      </w:r>
      <w:r w:rsidRPr="00124981">
        <w:rPr>
          <w:rFonts w:ascii="Palatino Linotype" w:hAnsi="Palatino Linotype"/>
        </w:rPr>
        <w:t xml:space="preserve">, a la que se le asignó el número de expediente </w:t>
      </w:r>
      <w:r w:rsidR="0026032A" w:rsidRPr="00124981">
        <w:rPr>
          <w:rFonts w:ascii="Palatino Linotype" w:hAnsi="Palatino Linotype"/>
          <w:b/>
          <w:bCs/>
        </w:rPr>
        <w:t>00042/SSEM/IP/2022</w:t>
      </w:r>
      <w:r w:rsidR="00890648" w:rsidRPr="00124981">
        <w:rPr>
          <w:rFonts w:ascii="Palatino Linotype" w:hAnsi="Palatino Linotype"/>
        </w:rPr>
        <w:t xml:space="preserve">, mediante la cual solicitó, lo </w:t>
      </w:r>
      <w:r w:rsidR="00890648" w:rsidRPr="00124981">
        <w:rPr>
          <w:rFonts w:ascii="Palatino Linotype" w:hAnsi="Palatino Linotype" w:cs="Arial"/>
        </w:rPr>
        <w:t>siguiente</w:t>
      </w:r>
      <w:r w:rsidR="00890648" w:rsidRPr="00124981">
        <w:rPr>
          <w:rFonts w:ascii="Palatino Linotype" w:hAnsi="Palatino Linotype"/>
        </w:rPr>
        <w:t>:</w:t>
      </w:r>
    </w:p>
    <w:p w14:paraId="5FB2D573" w14:textId="77777777" w:rsidR="00890648" w:rsidRPr="00124981" w:rsidRDefault="00890648" w:rsidP="00E04342">
      <w:pPr>
        <w:suppressAutoHyphens/>
        <w:ind w:left="709" w:right="757"/>
        <w:jc w:val="both"/>
        <w:rPr>
          <w:rFonts w:ascii="Palatino Linotype" w:hAnsi="Palatino Linotype" w:cs="Arial"/>
          <w:b/>
          <w:i/>
          <w:sz w:val="22"/>
        </w:rPr>
      </w:pPr>
    </w:p>
    <w:p w14:paraId="6AB39329" w14:textId="3C0A9111" w:rsidR="00890648" w:rsidRPr="00124981" w:rsidRDefault="00890648" w:rsidP="00E04342">
      <w:pPr>
        <w:suppressAutoHyphens/>
        <w:ind w:left="850" w:right="901"/>
        <w:jc w:val="both"/>
        <w:rPr>
          <w:rFonts w:ascii="Palatino Linotype" w:hAnsi="Palatino Linotype"/>
          <w:i/>
          <w:sz w:val="22"/>
        </w:rPr>
      </w:pPr>
      <w:r w:rsidRPr="00124981">
        <w:rPr>
          <w:rFonts w:ascii="Palatino Linotype" w:hAnsi="Palatino Linotype" w:cs="Arial"/>
          <w:b/>
          <w:i/>
          <w:sz w:val="22"/>
        </w:rPr>
        <w:t>“</w:t>
      </w:r>
      <w:r w:rsidR="0026032A" w:rsidRPr="00124981">
        <w:rPr>
          <w:rFonts w:ascii="Palatino Linotype" w:hAnsi="Palatino Linotype" w:cs="Arial"/>
          <w:i/>
          <w:sz w:val="22"/>
        </w:rPr>
        <w:t>Archivo en pdf de los expedientes que se hayan generado con motivo de los procedimientos de responsabilidad patrimonial que se hayan generado en el año 2021</w:t>
      </w:r>
      <w:r w:rsidRPr="00124981">
        <w:rPr>
          <w:rFonts w:ascii="Palatino Linotype" w:hAnsi="Palatino Linotype" w:cs="Arial"/>
          <w:b/>
          <w:i/>
          <w:sz w:val="22"/>
        </w:rPr>
        <w:t>”</w:t>
      </w:r>
      <w:r w:rsidRPr="00124981">
        <w:rPr>
          <w:rFonts w:ascii="Palatino Linotype" w:hAnsi="Palatino Linotype" w:cs="Arial"/>
          <w:i/>
          <w:sz w:val="22"/>
        </w:rPr>
        <w:t xml:space="preserve"> </w:t>
      </w:r>
      <w:r w:rsidRPr="00124981">
        <w:rPr>
          <w:rFonts w:ascii="Palatino Linotype" w:hAnsi="Palatino Linotype"/>
          <w:i/>
          <w:sz w:val="22"/>
        </w:rPr>
        <w:t>(Sic)</w:t>
      </w:r>
    </w:p>
    <w:p w14:paraId="64892D24" w14:textId="49560109" w:rsidR="00DB071B" w:rsidRPr="00124981" w:rsidRDefault="00DB071B" w:rsidP="00E04342">
      <w:pPr>
        <w:spacing w:line="360" w:lineRule="auto"/>
        <w:jc w:val="both"/>
        <w:rPr>
          <w:rFonts w:ascii="Palatino Linotype" w:hAnsi="Palatino Linotype"/>
        </w:rPr>
      </w:pPr>
    </w:p>
    <w:p w14:paraId="4FFCED45" w14:textId="0FD679AD" w:rsidR="00890648" w:rsidRPr="00124981" w:rsidRDefault="00F803EF" w:rsidP="00E04342">
      <w:pPr>
        <w:suppressAutoHyphens/>
        <w:spacing w:line="360" w:lineRule="auto"/>
        <w:jc w:val="both"/>
        <w:rPr>
          <w:rFonts w:ascii="Palatino Linotype" w:eastAsia="Calibri" w:hAnsi="Palatino Linotype" w:cs="Arial"/>
          <w:b/>
          <w:bCs/>
          <w:lang w:val="es-ES" w:eastAsia="en-US"/>
        </w:rPr>
      </w:pPr>
      <w:r w:rsidRPr="00124981">
        <w:rPr>
          <w:rFonts w:ascii="Palatino Linotype" w:hAnsi="Palatino Linotype"/>
          <w:b/>
        </w:rPr>
        <w:t>MODALIDAD DE ENTREGA:</w:t>
      </w:r>
      <w:r w:rsidRPr="00124981">
        <w:rPr>
          <w:rFonts w:ascii="Palatino Linotype" w:hAnsi="Palatino Linotype"/>
        </w:rPr>
        <w:t xml:space="preserve"> </w:t>
      </w:r>
      <w:r w:rsidR="0093603E" w:rsidRPr="00124981">
        <w:rPr>
          <w:rFonts w:ascii="Palatino Linotype" w:eastAsia="Calibri" w:hAnsi="Palatino Linotype" w:cs="Arial"/>
          <w:lang w:eastAsia="en-US"/>
        </w:rPr>
        <w:t xml:space="preserve">Vía Sistema de </w:t>
      </w:r>
      <w:r w:rsidR="00996512" w:rsidRPr="00124981">
        <w:rPr>
          <w:rFonts w:ascii="Palatino Linotype" w:eastAsia="Calibri" w:hAnsi="Palatino Linotype" w:cs="Arial"/>
          <w:lang w:eastAsia="en-US"/>
        </w:rPr>
        <w:t>Acceso a la Información</w:t>
      </w:r>
      <w:r w:rsidR="0093603E" w:rsidRPr="00124981">
        <w:rPr>
          <w:rFonts w:ascii="Palatino Linotype" w:eastAsia="Calibri" w:hAnsi="Palatino Linotype" w:cs="Arial"/>
          <w:lang w:eastAsia="en-US"/>
        </w:rPr>
        <w:t xml:space="preserve"> Mexiquense (</w:t>
      </w:r>
      <w:r w:rsidR="0093603E" w:rsidRPr="00124981">
        <w:rPr>
          <w:rFonts w:ascii="Palatino Linotype" w:eastAsia="Calibri" w:hAnsi="Palatino Linotype" w:cs="Arial"/>
          <w:b/>
          <w:bCs/>
          <w:lang w:eastAsia="en-US"/>
        </w:rPr>
        <w:t>SAIMEX</w:t>
      </w:r>
      <w:r w:rsidR="0093603E" w:rsidRPr="00124981">
        <w:rPr>
          <w:rFonts w:ascii="Palatino Linotype" w:eastAsia="Calibri" w:hAnsi="Palatino Linotype" w:cs="Arial"/>
          <w:lang w:eastAsia="en-US"/>
        </w:rPr>
        <w:t>)</w:t>
      </w:r>
      <w:r w:rsidR="0093603E" w:rsidRPr="00124981">
        <w:rPr>
          <w:rFonts w:ascii="Palatino Linotype" w:eastAsia="Calibri" w:hAnsi="Palatino Linotype" w:cs="Arial"/>
          <w:b/>
          <w:bCs/>
          <w:lang w:val="es-ES" w:eastAsia="en-US"/>
        </w:rPr>
        <w:t>.</w:t>
      </w:r>
    </w:p>
    <w:p w14:paraId="060C186A" w14:textId="77777777" w:rsidR="00CC7F74" w:rsidRPr="00124981" w:rsidRDefault="00CC7F74" w:rsidP="00E04342">
      <w:pPr>
        <w:widowControl w:val="0"/>
        <w:autoSpaceDE w:val="0"/>
        <w:autoSpaceDN w:val="0"/>
        <w:adjustRightInd w:val="0"/>
        <w:spacing w:line="360" w:lineRule="auto"/>
        <w:jc w:val="both"/>
        <w:rPr>
          <w:rFonts w:ascii="Palatino Linotype" w:hAnsi="Palatino Linotype" w:cs="Segoe UI"/>
          <w:sz w:val="26"/>
          <w:szCs w:val="26"/>
          <w:lang w:eastAsia="es-MX"/>
        </w:rPr>
      </w:pPr>
      <w:r w:rsidRPr="00124981">
        <w:rPr>
          <w:rFonts w:ascii="Palatino Linotype" w:eastAsia="Calibri" w:hAnsi="Palatino Linotype" w:cs="Arial"/>
          <w:b/>
          <w:bCs/>
          <w:sz w:val="26"/>
          <w:szCs w:val="26"/>
          <w:lang w:val="es-ES" w:eastAsia="en-US"/>
        </w:rPr>
        <w:lastRenderedPageBreak/>
        <w:t>II.</w:t>
      </w:r>
      <w:r w:rsidRPr="00124981">
        <w:rPr>
          <w:rFonts w:ascii="Palatino Linotype" w:eastAsia="Calibri" w:hAnsi="Palatino Linotype" w:cs="Arial"/>
          <w:sz w:val="26"/>
          <w:szCs w:val="26"/>
          <w:lang w:val="es-ES" w:eastAsia="en-US"/>
        </w:rPr>
        <w:t xml:space="preserve"> </w:t>
      </w:r>
      <w:r w:rsidRPr="00124981">
        <w:rPr>
          <w:rFonts w:ascii="Palatino Linotype" w:hAnsi="Palatino Linotype" w:cs="Arial"/>
          <w:b/>
          <w:sz w:val="26"/>
          <w:szCs w:val="26"/>
        </w:rPr>
        <w:t>Respuesta del Sujeto Obligado</w:t>
      </w:r>
      <w:r w:rsidRPr="00124981">
        <w:rPr>
          <w:rFonts w:ascii="Palatino Linotype" w:hAnsi="Palatino Linotype" w:cs="Segoe UI"/>
          <w:sz w:val="26"/>
          <w:szCs w:val="26"/>
          <w:lang w:eastAsia="es-MX"/>
        </w:rPr>
        <w:t xml:space="preserve"> </w:t>
      </w:r>
    </w:p>
    <w:p w14:paraId="07F50973" w14:textId="6674AAA3" w:rsidR="00F803EF" w:rsidRPr="00124981" w:rsidRDefault="00D27341" w:rsidP="00E04342">
      <w:pPr>
        <w:spacing w:line="360" w:lineRule="auto"/>
        <w:contextualSpacing/>
        <w:jc w:val="both"/>
        <w:rPr>
          <w:rFonts w:ascii="Palatino Linotype" w:hAnsi="Palatino Linotype" w:cs="Arial"/>
        </w:rPr>
      </w:pPr>
      <w:r w:rsidRPr="00124981">
        <w:rPr>
          <w:rFonts w:ascii="Palatino Linotype" w:hAnsi="Palatino Linotype" w:cs="Arial"/>
        </w:rPr>
        <w:t xml:space="preserve">De las actuaciones que </w:t>
      </w:r>
      <w:r w:rsidR="00F803EF" w:rsidRPr="00124981">
        <w:rPr>
          <w:rFonts w:ascii="Palatino Linotype" w:hAnsi="Palatino Linotype" w:cs="Arial"/>
        </w:rPr>
        <w:t>obran en </w:t>
      </w:r>
      <w:r w:rsidR="00F803EF" w:rsidRPr="00124981">
        <w:rPr>
          <w:rFonts w:ascii="Palatino Linotype" w:hAnsi="Palatino Linotype" w:cs="Arial"/>
          <w:b/>
          <w:bCs/>
        </w:rPr>
        <w:t>EL SAIMEX</w:t>
      </w:r>
      <w:r w:rsidR="00F803EF" w:rsidRPr="00124981">
        <w:rPr>
          <w:rFonts w:ascii="Palatino Linotype" w:hAnsi="Palatino Linotype" w:cs="Arial"/>
        </w:rPr>
        <w:t>, se advierte que </w:t>
      </w:r>
      <w:r w:rsidR="00F803EF" w:rsidRPr="00124981">
        <w:rPr>
          <w:rFonts w:ascii="Palatino Linotype" w:hAnsi="Palatino Linotype" w:cs="Arial"/>
          <w:b/>
          <w:bCs/>
        </w:rPr>
        <w:t>EL SUJETO OBLIGADO</w:t>
      </w:r>
      <w:r w:rsidR="0026032A" w:rsidRPr="00124981">
        <w:rPr>
          <w:rFonts w:ascii="Palatino Linotype" w:hAnsi="Palatino Linotype" w:cs="Arial"/>
          <w:b/>
          <w:bCs/>
        </w:rPr>
        <w:t xml:space="preserve"> </w:t>
      </w:r>
      <w:r w:rsidR="0026032A" w:rsidRPr="00124981">
        <w:rPr>
          <w:rFonts w:ascii="Palatino Linotype" w:hAnsi="Palatino Linotype" w:cs="Arial"/>
          <w:bCs/>
        </w:rPr>
        <w:t xml:space="preserve">notifico su respuesta en fecha nueve de febrero de dos mil veintidós, </w:t>
      </w:r>
      <w:r w:rsidR="0026032A" w:rsidRPr="00124981">
        <w:rPr>
          <w:rFonts w:ascii="Palatino Linotype" w:hAnsi="Palatino Linotype" w:cs="Arial"/>
        </w:rPr>
        <w:t xml:space="preserve"> se declaró incompetente a la información solicitada por corresponder a la competencia de la Secretaria de la Contraloría del Estado de México. </w:t>
      </w:r>
    </w:p>
    <w:p w14:paraId="3C56FBE6" w14:textId="77777777" w:rsidR="0097124A" w:rsidRPr="00124981" w:rsidRDefault="0097124A" w:rsidP="00E04342">
      <w:pPr>
        <w:spacing w:line="360" w:lineRule="auto"/>
        <w:contextualSpacing/>
        <w:jc w:val="both"/>
        <w:rPr>
          <w:rFonts w:ascii="Palatino Linotype" w:hAnsi="Palatino Linotype"/>
        </w:rPr>
      </w:pPr>
    </w:p>
    <w:p w14:paraId="493A226E" w14:textId="06C5188E" w:rsidR="00CC7F74" w:rsidRPr="00124981" w:rsidRDefault="00CC7F74" w:rsidP="00E04342">
      <w:pPr>
        <w:spacing w:line="360" w:lineRule="auto"/>
        <w:jc w:val="both"/>
        <w:rPr>
          <w:rFonts w:ascii="Palatino Linotype" w:hAnsi="Palatino Linotype" w:cs="Arial"/>
          <w:sz w:val="26"/>
          <w:szCs w:val="26"/>
        </w:rPr>
      </w:pPr>
      <w:r w:rsidRPr="00124981">
        <w:rPr>
          <w:rFonts w:ascii="Palatino Linotype" w:hAnsi="Palatino Linotype" w:cs="Arial"/>
          <w:b/>
          <w:sz w:val="26"/>
          <w:szCs w:val="26"/>
        </w:rPr>
        <w:t xml:space="preserve">III. </w:t>
      </w:r>
      <w:r w:rsidRPr="00124981">
        <w:rPr>
          <w:rFonts w:ascii="Palatino Linotype" w:hAnsi="Palatino Linotype" w:cs="Arial"/>
          <w:b/>
          <w:bCs/>
          <w:sz w:val="26"/>
          <w:szCs w:val="26"/>
        </w:rPr>
        <w:t xml:space="preserve">Del </w:t>
      </w:r>
      <w:r w:rsidR="005E3C55" w:rsidRPr="00124981">
        <w:rPr>
          <w:rFonts w:ascii="Palatino Linotype" w:hAnsi="Palatino Linotype" w:cs="Arial"/>
          <w:b/>
          <w:bCs/>
          <w:sz w:val="26"/>
          <w:szCs w:val="26"/>
        </w:rPr>
        <w:t>Recurso de Revisión</w:t>
      </w:r>
      <w:r w:rsidRPr="00124981">
        <w:rPr>
          <w:rFonts w:ascii="Palatino Linotype" w:hAnsi="Palatino Linotype" w:cs="Arial"/>
          <w:sz w:val="26"/>
          <w:szCs w:val="26"/>
        </w:rPr>
        <w:t xml:space="preserve"> </w:t>
      </w:r>
    </w:p>
    <w:p w14:paraId="06D14095" w14:textId="75FB56B9" w:rsidR="00CC7F74" w:rsidRPr="00124981" w:rsidRDefault="0026032A" w:rsidP="00E04342">
      <w:pPr>
        <w:spacing w:line="360" w:lineRule="auto"/>
        <w:jc w:val="both"/>
        <w:rPr>
          <w:rFonts w:ascii="Palatino Linotype" w:hAnsi="Palatino Linotype" w:cs="Arial"/>
        </w:rPr>
      </w:pPr>
      <w:r w:rsidRPr="00124981">
        <w:rPr>
          <w:rFonts w:ascii="Palatino Linotype" w:hAnsi="Palatino Linotype"/>
        </w:rPr>
        <w:t xml:space="preserve">Inconforme por </w:t>
      </w:r>
      <w:r w:rsidR="00890648" w:rsidRPr="00124981">
        <w:rPr>
          <w:rFonts w:ascii="Palatino Linotype" w:hAnsi="Palatino Linotype"/>
        </w:rPr>
        <w:t xml:space="preserve">la </w:t>
      </w:r>
      <w:r w:rsidR="00890648" w:rsidRPr="00124981">
        <w:rPr>
          <w:rFonts w:ascii="Palatino Linotype" w:hAnsi="Palatino Linotype" w:cs="Arial"/>
        </w:rPr>
        <w:t xml:space="preserve">respuesta </w:t>
      </w:r>
      <w:r w:rsidR="00890648" w:rsidRPr="00124981">
        <w:rPr>
          <w:rFonts w:ascii="Palatino Linotype" w:hAnsi="Palatino Linotype"/>
        </w:rPr>
        <w:t xml:space="preserve">del </w:t>
      </w:r>
      <w:r w:rsidR="00890648" w:rsidRPr="00124981">
        <w:rPr>
          <w:rFonts w:ascii="Palatino Linotype" w:hAnsi="Palatino Linotype"/>
          <w:b/>
        </w:rPr>
        <w:t>SUJETO OBLIGADO</w:t>
      </w:r>
      <w:r w:rsidR="00890648" w:rsidRPr="00124981">
        <w:rPr>
          <w:rFonts w:ascii="Palatino Linotype" w:hAnsi="Palatino Linotype"/>
        </w:rPr>
        <w:t xml:space="preserve">, </w:t>
      </w:r>
      <w:r w:rsidR="005A226C" w:rsidRPr="00124981">
        <w:rPr>
          <w:rFonts w:ascii="Palatino Linotype" w:hAnsi="Palatino Linotype"/>
        </w:rPr>
        <w:t xml:space="preserve">el </w:t>
      </w:r>
      <w:bookmarkStart w:id="0" w:name="_Hlk97814921"/>
      <w:r w:rsidRPr="00124981">
        <w:rPr>
          <w:rFonts w:ascii="Palatino Linotype" w:hAnsi="Palatino Linotype"/>
        </w:rPr>
        <w:t>quince</w:t>
      </w:r>
      <w:r w:rsidR="0093603E" w:rsidRPr="00124981">
        <w:rPr>
          <w:rFonts w:ascii="Palatino Linotype" w:hAnsi="Palatino Linotype"/>
        </w:rPr>
        <w:t xml:space="preserve"> de </w:t>
      </w:r>
      <w:r w:rsidR="004143EC" w:rsidRPr="00124981">
        <w:rPr>
          <w:rFonts w:ascii="Palatino Linotype" w:hAnsi="Palatino Linotype"/>
        </w:rPr>
        <w:t>febrero</w:t>
      </w:r>
      <w:r w:rsidR="0093603E" w:rsidRPr="00124981">
        <w:rPr>
          <w:rFonts w:ascii="Palatino Linotype" w:hAnsi="Palatino Linotype"/>
        </w:rPr>
        <w:t xml:space="preserve"> de dos mil </w:t>
      </w:r>
      <w:r w:rsidR="008F1698" w:rsidRPr="00124981">
        <w:rPr>
          <w:rFonts w:ascii="Palatino Linotype" w:hAnsi="Palatino Linotype"/>
        </w:rPr>
        <w:t>veintidós</w:t>
      </w:r>
      <w:bookmarkEnd w:id="0"/>
      <w:r w:rsidR="00890648" w:rsidRPr="00124981">
        <w:rPr>
          <w:rFonts w:ascii="Palatino Linotype" w:hAnsi="Palatino Linotype"/>
        </w:rPr>
        <w:t xml:space="preserve">, </w:t>
      </w:r>
      <w:r w:rsidR="00890648" w:rsidRPr="00124981">
        <w:rPr>
          <w:rFonts w:ascii="Palatino Linotype" w:hAnsi="Palatino Linotype"/>
          <w:b/>
        </w:rPr>
        <w:t>EL RECURRENTE</w:t>
      </w:r>
      <w:r w:rsidR="00890648" w:rsidRPr="00124981">
        <w:rPr>
          <w:rFonts w:ascii="Palatino Linotype" w:hAnsi="Palatino Linotype"/>
        </w:rPr>
        <w:t xml:space="preserve"> interpuso el </w:t>
      </w:r>
      <w:r w:rsidR="005E3C55" w:rsidRPr="00124981">
        <w:rPr>
          <w:rFonts w:ascii="Palatino Linotype" w:hAnsi="Palatino Linotype"/>
        </w:rPr>
        <w:t>Recurso de Revisión</w:t>
      </w:r>
      <w:r w:rsidR="00890648" w:rsidRPr="00124981">
        <w:rPr>
          <w:rFonts w:ascii="Palatino Linotype" w:hAnsi="Palatino Linotype"/>
        </w:rPr>
        <w:t xml:space="preserve"> objeto del presente estudio, el cual fue registrado en </w:t>
      </w:r>
      <w:r w:rsidR="00890648" w:rsidRPr="00124981">
        <w:rPr>
          <w:rFonts w:ascii="Palatino Linotype" w:hAnsi="Palatino Linotype"/>
          <w:b/>
        </w:rPr>
        <w:t>EL SAIMEX</w:t>
      </w:r>
      <w:r w:rsidR="00890648" w:rsidRPr="00124981">
        <w:rPr>
          <w:rFonts w:ascii="Palatino Linotype" w:hAnsi="Palatino Linotype"/>
        </w:rPr>
        <w:t xml:space="preserve"> </w:t>
      </w:r>
      <w:r w:rsidR="00CC7F74" w:rsidRPr="00124981">
        <w:rPr>
          <w:rFonts w:ascii="Palatino Linotype" w:hAnsi="Palatino Linotype" w:cs="Arial"/>
        </w:rPr>
        <w:t>y se le asignó el número de expediente anotado al rubro</w:t>
      </w:r>
      <w:r w:rsidR="00CC7F74" w:rsidRPr="00124981">
        <w:rPr>
          <w:rFonts w:ascii="Palatino Linotype" w:hAnsi="Palatino Linotype" w:cs="Arial"/>
          <w:b/>
        </w:rPr>
        <w:t>,</w:t>
      </w:r>
      <w:r w:rsidR="00CC7F74" w:rsidRPr="00124981">
        <w:rPr>
          <w:rFonts w:ascii="Palatino Linotype" w:hAnsi="Palatino Linotype" w:cs="Arial"/>
        </w:rPr>
        <w:t xml:space="preserve"> en el que señaló el particular:</w:t>
      </w:r>
    </w:p>
    <w:p w14:paraId="24A73D91" w14:textId="77777777" w:rsidR="00CC7F74" w:rsidRPr="00124981" w:rsidRDefault="00CC7F74" w:rsidP="00E04342">
      <w:pPr>
        <w:spacing w:line="360" w:lineRule="auto"/>
        <w:jc w:val="both"/>
        <w:rPr>
          <w:rFonts w:ascii="Palatino Linotype" w:hAnsi="Palatino Linotype" w:cs="Arial"/>
        </w:rPr>
      </w:pPr>
    </w:p>
    <w:p w14:paraId="3EF1A84F" w14:textId="77777777" w:rsidR="00CC7F74" w:rsidRPr="00124981" w:rsidRDefault="00CC7F74" w:rsidP="00E04342">
      <w:pPr>
        <w:pStyle w:val="Prrafodelista"/>
        <w:numPr>
          <w:ilvl w:val="0"/>
          <w:numId w:val="15"/>
        </w:numPr>
        <w:spacing w:line="360" w:lineRule="auto"/>
        <w:jc w:val="both"/>
        <w:rPr>
          <w:rFonts w:ascii="Palatino Linotype" w:hAnsi="Palatino Linotype" w:cs="Arial"/>
          <w:b/>
          <w:bCs/>
        </w:rPr>
      </w:pPr>
      <w:r w:rsidRPr="00124981">
        <w:rPr>
          <w:rFonts w:ascii="Palatino Linotype" w:hAnsi="Palatino Linotype" w:cs="Arial"/>
          <w:b/>
          <w:bCs/>
        </w:rPr>
        <w:t>Acto impugnado:</w:t>
      </w:r>
    </w:p>
    <w:p w14:paraId="57D2C739" w14:textId="77777777" w:rsidR="00CC7F74" w:rsidRPr="00124981" w:rsidRDefault="00CC7F74" w:rsidP="00E04342">
      <w:pPr>
        <w:tabs>
          <w:tab w:val="left" w:pos="851"/>
        </w:tabs>
        <w:ind w:left="851" w:right="901"/>
        <w:jc w:val="both"/>
        <w:rPr>
          <w:rFonts w:ascii="Palatino Linotype" w:hAnsi="Palatino Linotype" w:cs="Arial"/>
          <w:i/>
          <w:sz w:val="22"/>
          <w:szCs w:val="22"/>
        </w:rPr>
      </w:pPr>
    </w:p>
    <w:p w14:paraId="4C31BE75" w14:textId="1EEDFAE0" w:rsidR="00CC7F74" w:rsidRPr="00124981" w:rsidRDefault="00CC7F74" w:rsidP="00E04342">
      <w:pPr>
        <w:tabs>
          <w:tab w:val="left" w:pos="851"/>
        </w:tabs>
        <w:ind w:left="851" w:right="901"/>
        <w:jc w:val="both"/>
        <w:rPr>
          <w:rFonts w:ascii="Palatino Linotype" w:hAnsi="Palatino Linotype" w:cs="Arial"/>
          <w:i/>
          <w:sz w:val="22"/>
          <w:szCs w:val="22"/>
        </w:rPr>
      </w:pPr>
      <w:r w:rsidRPr="00124981">
        <w:rPr>
          <w:rFonts w:ascii="Palatino Linotype" w:hAnsi="Palatino Linotype" w:cs="Arial"/>
          <w:i/>
          <w:sz w:val="22"/>
          <w:szCs w:val="22"/>
        </w:rPr>
        <w:t>“</w:t>
      </w:r>
      <w:r w:rsidR="0026032A" w:rsidRPr="00124981">
        <w:rPr>
          <w:rFonts w:ascii="Palatino Linotype" w:hAnsi="Palatino Linotype" w:cs="Arial"/>
          <w:i/>
          <w:sz w:val="22"/>
          <w:szCs w:val="22"/>
        </w:rPr>
        <w:t>ESCRITO DE RESPUESTA A MI SOLICITUD</w:t>
      </w:r>
      <w:r w:rsidRPr="00124981">
        <w:rPr>
          <w:rFonts w:ascii="Palatino Linotype" w:hAnsi="Palatino Linotype" w:cs="Arial"/>
          <w:i/>
          <w:sz w:val="22"/>
          <w:szCs w:val="22"/>
        </w:rPr>
        <w:t>" (Sic)</w:t>
      </w:r>
    </w:p>
    <w:p w14:paraId="2B6465CC" w14:textId="77777777" w:rsidR="00CC7F74" w:rsidRPr="00124981" w:rsidRDefault="00CC7F74" w:rsidP="00E04342">
      <w:pPr>
        <w:jc w:val="both"/>
        <w:rPr>
          <w:rFonts w:ascii="Palatino Linotype" w:hAnsi="Palatino Linotype" w:cs="Arial"/>
        </w:rPr>
      </w:pPr>
    </w:p>
    <w:p w14:paraId="45A20E0A" w14:textId="77777777" w:rsidR="00CC7F74" w:rsidRPr="00124981" w:rsidRDefault="00CC7F74" w:rsidP="00E04342">
      <w:pPr>
        <w:pStyle w:val="Prrafodelista"/>
        <w:numPr>
          <w:ilvl w:val="0"/>
          <w:numId w:val="15"/>
        </w:numPr>
        <w:spacing w:line="360" w:lineRule="auto"/>
        <w:jc w:val="both"/>
        <w:rPr>
          <w:rFonts w:ascii="Palatino Linotype" w:hAnsi="Palatino Linotype" w:cs="Arial"/>
          <w:b/>
          <w:bCs/>
        </w:rPr>
      </w:pPr>
      <w:r w:rsidRPr="00124981">
        <w:rPr>
          <w:rFonts w:ascii="Palatino Linotype" w:hAnsi="Palatino Linotype" w:cs="Arial"/>
          <w:b/>
          <w:bCs/>
        </w:rPr>
        <w:t>Razones o motivos de inconformidad:</w:t>
      </w:r>
    </w:p>
    <w:p w14:paraId="750161AF" w14:textId="77777777" w:rsidR="00CC7F74" w:rsidRPr="00124981" w:rsidRDefault="00CC7F74" w:rsidP="00E04342">
      <w:pPr>
        <w:jc w:val="both"/>
        <w:rPr>
          <w:rFonts w:ascii="Palatino Linotype" w:hAnsi="Palatino Linotype" w:cs="Arial"/>
          <w:b/>
          <w:bCs/>
        </w:rPr>
      </w:pPr>
    </w:p>
    <w:p w14:paraId="510D5E6D" w14:textId="3DA1F286" w:rsidR="00CC7F74" w:rsidRPr="00124981" w:rsidRDefault="00CC7F74" w:rsidP="00E04342">
      <w:pPr>
        <w:ind w:left="850" w:right="901"/>
        <w:jc w:val="both"/>
        <w:rPr>
          <w:rFonts w:ascii="Palatino Linotype" w:hAnsi="Palatino Linotype" w:cs="Arial"/>
          <w:i/>
          <w:iCs/>
          <w:sz w:val="22"/>
          <w:szCs w:val="22"/>
        </w:rPr>
      </w:pPr>
      <w:r w:rsidRPr="00124981">
        <w:rPr>
          <w:rFonts w:ascii="Palatino Linotype" w:hAnsi="Palatino Linotype" w:cs="Arial"/>
          <w:i/>
          <w:iCs/>
          <w:sz w:val="22"/>
          <w:szCs w:val="22"/>
        </w:rPr>
        <w:t>“</w:t>
      </w:r>
      <w:r w:rsidR="0026032A" w:rsidRPr="00124981">
        <w:rPr>
          <w:rFonts w:ascii="Palatino Linotype" w:hAnsi="Palatino Linotype" w:cs="Arial"/>
          <w:i/>
          <w:iCs/>
          <w:sz w:val="22"/>
          <w:szCs w:val="22"/>
        </w:rPr>
        <w:t xml:space="preserve">ACORDE A LO ESTABLECIDO EN LA LEY DE RESPONSABILIDAD PATRIMONIAL DEL ESTADO DE MÉXICO Y MUNICIPIOS PUBLICADA EL 30 DE MAYO DE 2017, SE ESTABLECE LA OBLIGACIÓN DEL PODER EJECUTIVO, AYUNTAMIENTOS, DEPENDENCIAS Y ENTIDADES DE LAS ADMINISTRACIÓN PÚBLICA ESTATAL Y MUNICIPAL, ORGANISMOS AUXILIARES Y FIDEICOMISOS PÚBLICOS, DE CREAR DENTRO DE SUS UNIDADES ADMINISTRATIVAS PARA RESOLVER LOS PROCEDIMIENTOS DE RESPONSABILIDAD PATRIMONIAL. AL RESPECTO EL ARTÍCULO 21 DE LA CITADA LEY, REFIERE LO SIGUIENTE: EL PROCEDIMIENTO DE RESPONSABILIDAD PATRIMONIAL DE LOS SUJETOS OBLIGADOS SE INICIARÁ POR </w:t>
      </w:r>
      <w:r w:rsidR="0026032A" w:rsidRPr="00124981">
        <w:rPr>
          <w:rFonts w:ascii="Palatino Linotype" w:hAnsi="Palatino Linotype" w:cs="Arial"/>
          <w:i/>
          <w:iCs/>
          <w:sz w:val="22"/>
          <w:szCs w:val="22"/>
        </w:rPr>
        <w:lastRenderedPageBreak/>
        <w:t>RECLAMACIÓN DE PARTE INTERESADA O DE QUIEN LEGÍTIMAMENTE LO REPRESENTE. ESTO ES, LA SECRETARIA DE LA CONTRALORÍA QUE REFERIR ES LA COMPETENTE PARA CONOCER DE MI ESCRITO DE SOLICITUD ES INCOMPETENTE PUESTO QUE DICHA DEPENDENCIA SOLO CONOCE DE LAS FALTAS ADMINISTRATIVAS DE LOS SERVIDORES PÚBLICOS PERTENECIENTES AL GOBIERNO DEL ESTADO DE MÉXICO, MÁS NO A LOS PROCEDIMIENTOS DE RESPONSABILIDAD PATRIMONIAL. DERIVADO DE LO ANTERIOR, SOLICITO SE INFORME SI EXISTE DENTRO DE LA DEPENDENCIAS A LA QUE SE SOLICITO DICHA INFORMACIÓN SI EXISTE UNA UNIDAD ADMINISTRATIVA QUE CONOZCA DE LOS PROCEDIMIENTOS DE RESPONSABILIDAD PATRIMONIAL; Y EN CASO DE SER AFIRMATIVA LOS PROCEDIMIENTOS QUE CONOCE EN VERSIÓN PÚBLICA</w:t>
      </w:r>
      <w:r w:rsidRPr="00124981">
        <w:rPr>
          <w:rFonts w:ascii="Palatino Linotype" w:hAnsi="Palatino Linotype" w:cs="Arial"/>
          <w:i/>
          <w:iCs/>
          <w:sz w:val="22"/>
          <w:szCs w:val="22"/>
        </w:rPr>
        <w:t>” (Sic)</w:t>
      </w:r>
    </w:p>
    <w:p w14:paraId="0B1F75FC" w14:textId="6C320B65" w:rsidR="00890648" w:rsidRPr="00124981" w:rsidRDefault="00890648" w:rsidP="00E04342">
      <w:pPr>
        <w:spacing w:line="360" w:lineRule="auto"/>
        <w:jc w:val="both"/>
        <w:rPr>
          <w:rFonts w:ascii="Palatino Linotype" w:hAnsi="Palatino Linotype" w:cs="Arial"/>
          <w:i/>
          <w:sz w:val="22"/>
          <w:szCs w:val="22"/>
        </w:rPr>
      </w:pPr>
    </w:p>
    <w:p w14:paraId="66D775C0" w14:textId="326A77A7" w:rsidR="00CC7F74" w:rsidRPr="00124981" w:rsidRDefault="00CC7F74" w:rsidP="00E04342">
      <w:pPr>
        <w:spacing w:line="360" w:lineRule="auto"/>
        <w:jc w:val="both"/>
        <w:rPr>
          <w:rFonts w:ascii="Palatino Linotype" w:hAnsi="Palatino Linotype" w:cs="Arial"/>
          <w:b/>
          <w:sz w:val="26"/>
          <w:szCs w:val="26"/>
        </w:rPr>
      </w:pPr>
      <w:r w:rsidRPr="00124981">
        <w:rPr>
          <w:rFonts w:ascii="Palatino Linotype" w:hAnsi="Palatino Linotype" w:cs="Arial"/>
          <w:b/>
          <w:sz w:val="28"/>
          <w:szCs w:val="28"/>
        </w:rPr>
        <w:t>IV</w:t>
      </w:r>
      <w:r w:rsidRPr="00124981">
        <w:rPr>
          <w:rFonts w:ascii="Palatino Linotype" w:hAnsi="Palatino Linotype" w:cs="Arial"/>
          <w:b/>
          <w:sz w:val="32"/>
          <w:szCs w:val="32"/>
        </w:rPr>
        <w:t>.</w:t>
      </w:r>
      <w:r w:rsidRPr="00124981">
        <w:rPr>
          <w:rFonts w:ascii="Palatino Linotype" w:hAnsi="Palatino Linotype" w:cs="Arial"/>
          <w:b/>
          <w:sz w:val="26"/>
          <w:szCs w:val="26"/>
        </w:rPr>
        <w:t xml:space="preserve"> Del turno del </w:t>
      </w:r>
      <w:r w:rsidR="005E3C55" w:rsidRPr="00124981">
        <w:rPr>
          <w:rFonts w:ascii="Palatino Linotype" w:hAnsi="Palatino Linotype" w:cs="Arial"/>
          <w:b/>
          <w:sz w:val="26"/>
          <w:szCs w:val="26"/>
        </w:rPr>
        <w:t>Recurso de Revisión</w:t>
      </w:r>
    </w:p>
    <w:p w14:paraId="50FDED75" w14:textId="7B8FA12A" w:rsidR="00890648" w:rsidRPr="00124981" w:rsidRDefault="00890648" w:rsidP="00E04342">
      <w:pPr>
        <w:spacing w:line="360" w:lineRule="auto"/>
        <w:jc w:val="both"/>
        <w:rPr>
          <w:rFonts w:ascii="Palatino Linotype" w:hAnsi="Palatino Linotype" w:cs="Arial"/>
        </w:rPr>
      </w:pPr>
      <w:r w:rsidRPr="00124981">
        <w:rPr>
          <w:rFonts w:ascii="Palatino Linotype" w:hAnsi="Palatino Linotype" w:cs="Arial"/>
          <w:color w:val="000000" w:themeColor="text1"/>
        </w:rPr>
        <w:t xml:space="preserve">En fecha </w:t>
      </w:r>
      <w:r w:rsidR="0026032A" w:rsidRPr="00124981">
        <w:rPr>
          <w:rFonts w:ascii="Palatino Linotype" w:hAnsi="Palatino Linotype"/>
        </w:rPr>
        <w:t xml:space="preserve">quince de febrero </w:t>
      </w:r>
      <w:r w:rsidR="00C362BA" w:rsidRPr="00124981">
        <w:rPr>
          <w:rFonts w:ascii="Palatino Linotype" w:hAnsi="Palatino Linotype"/>
        </w:rPr>
        <w:t>de dos mil veintidós</w:t>
      </w:r>
      <w:r w:rsidRPr="00124981">
        <w:rPr>
          <w:rFonts w:ascii="Palatino Linotype" w:hAnsi="Palatino Linotype" w:cs="Arial"/>
          <w:color w:val="000000" w:themeColor="text1"/>
        </w:rPr>
        <w:t xml:space="preserve">, el recurso de que se trata se envió electrónicamente al Instituto de </w:t>
      </w:r>
      <w:r w:rsidRPr="00124981">
        <w:rPr>
          <w:rFonts w:ascii="Palatino Linotype" w:eastAsia="Arial Unicode MS" w:hAnsi="Palatino Linotype" w:cs="Arial"/>
          <w:color w:val="000000" w:themeColor="text1"/>
        </w:rPr>
        <w:t>Transparencia</w:t>
      </w:r>
      <w:r w:rsidRPr="00124981">
        <w:rPr>
          <w:rFonts w:ascii="Palatino Linotype" w:hAnsi="Palatino Linotype" w:cs="Arial"/>
          <w:color w:val="000000" w:themeColor="text1"/>
        </w:rPr>
        <w:t xml:space="preserve">, </w:t>
      </w:r>
      <w:r w:rsidR="00996512" w:rsidRPr="00124981">
        <w:rPr>
          <w:rFonts w:ascii="Palatino Linotype" w:hAnsi="Palatino Linotype" w:cs="Arial"/>
          <w:color w:val="000000" w:themeColor="text1"/>
        </w:rPr>
        <w:t>Acceso a la Información</w:t>
      </w:r>
      <w:r w:rsidR="005E3C55" w:rsidRPr="00124981">
        <w:rPr>
          <w:rFonts w:ascii="Palatino Linotype" w:hAnsi="Palatino Linotype" w:cs="Arial"/>
          <w:color w:val="000000" w:themeColor="text1"/>
        </w:rPr>
        <w:t xml:space="preserve"> Pública</w:t>
      </w:r>
      <w:r w:rsidRPr="00124981">
        <w:rPr>
          <w:rFonts w:ascii="Palatino Linotype" w:hAnsi="Palatino Linotype" w:cs="Arial"/>
          <w:color w:val="000000" w:themeColor="text1"/>
        </w:rPr>
        <w:t xml:space="preserve"> y Protección de Datos Personales del Estado de México y Municipios; y con fundamento en el artículo 185, fracción I de la </w:t>
      </w:r>
      <w:r w:rsidRPr="00124981">
        <w:rPr>
          <w:rFonts w:ascii="Palatino Linotype" w:hAnsi="Palatino Linotype"/>
          <w:color w:val="000000" w:themeColor="text1"/>
        </w:rPr>
        <w:t xml:space="preserve">Ley de Transparencia y </w:t>
      </w:r>
      <w:r w:rsidR="00996512" w:rsidRPr="00124981">
        <w:rPr>
          <w:rFonts w:ascii="Palatino Linotype" w:hAnsi="Palatino Linotype"/>
          <w:color w:val="000000" w:themeColor="text1"/>
        </w:rPr>
        <w:t>Acceso a la Información</w:t>
      </w:r>
      <w:r w:rsidR="005E3C55" w:rsidRPr="00124981">
        <w:rPr>
          <w:rFonts w:ascii="Palatino Linotype" w:hAnsi="Palatino Linotype"/>
          <w:color w:val="000000" w:themeColor="text1"/>
        </w:rPr>
        <w:t xml:space="preserve"> Pública</w:t>
      </w:r>
      <w:r w:rsidRPr="00124981">
        <w:rPr>
          <w:rFonts w:ascii="Palatino Linotype" w:hAnsi="Palatino Linotype"/>
          <w:color w:val="000000" w:themeColor="text1"/>
        </w:rPr>
        <w:t xml:space="preserve"> del Estado de México y Municipios</w:t>
      </w:r>
      <w:r w:rsidRPr="00124981">
        <w:rPr>
          <w:rFonts w:ascii="Palatino Linotype" w:hAnsi="Palatino Linotype" w:cs="Arial"/>
          <w:color w:val="000000" w:themeColor="text1"/>
        </w:rPr>
        <w:t>, se turnó a través del</w:t>
      </w:r>
      <w:r w:rsidRPr="00124981">
        <w:rPr>
          <w:rFonts w:ascii="Palatino Linotype" w:eastAsia="Arial Unicode MS" w:hAnsi="Palatino Linotype" w:cs="Arial"/>
          <w:color w:val="000000" w:themeColor="text1"/>
        </w:rPr>
        <w:t xml:space="preserve"> </w:t>
      </w:r>
      <w:r w:rsidRPr="00124981">
        <w:rPr>
          <w:rFonts w:ascii="Palatino Linotype" w:eastAsia="Arial Unicode MS" w:hAnsi="Palatino Linotype" w:cs="Arial"/>
          <w:b/>
          <w:color w:val="000000" w:themeColor="text1"/>
        </w:rPr>
        <w:t>SAIMEX</w:t>
      </w:r>
      <w:r w:rsidR="0026032A" w:rsidRPr="00124981">
        <w:rPr>
          <w:rFonts w:ascii="Palatino Linotype" w:hAnsi="Palatino Linotype"/>
          <w:color w:val="000000" w:themeColor="text1"/>
        </w:rPr>
        <w:t>, al</w:t>
      </w:r>
      <w:r w:rsidRPr="00124981">
        <w:rPr>
          <w:rFonts w:ascii="Palatino Linotype" w:hAnsi="Palatino Linotype"/>
          <w:color w:val="000000" w:themeColor="text1"/>
        </w:rPr>
        <w:t xml:space="preserve"> </w:t>
      </w:r>
      <w:r w:rsidR="0026032A" w:rsidRPr="00124981">
        <w:rPr>
          <w:rFonts w:ascii="Palatino Linotype" w:eastAsia="MS Mincho" w:hAnsi="Palatino Linotype"/>
          <w:b/>
          <w:bCs/>
          <w:lang w:val="es-ES_tradnl"/>
        </w:rPr>
        <w:t>Comisionado</w:t>
      </w:r>
      <w:r w:rsidR="00D20475" w:rsidRPr="00124981">
        <w:rPr>
          <w:rFonts w:ascii="Palatino Linotype" w:eastAsia="MS Mincho" w:hAnsi="Palatino Linotype"/>
          <w:b/>
          <w:bCs/>
          <w:lang w:val="es-ES_tradnl"/>
        </w:rPr>
        <w:t xml:space="preserve"> </w:t>
      </w:r>
      <w:r w:rsidR="0026032A" w:rsidRPr="00124981">
        <w:rPr>
          <w:rFonts w:ascii="Palatino Linotype" w:hAnsi="Palatino Linotype"/>
          <w:b/>
          <w:bCs/>
        </w:rPr>
        <w:t>Luis Gustavo Parra Noriega</w:t>
      </w:r>
      <w:r w:rsidRPr="00124981">
        <w:rPr>
          <w:rFonts w:ascii="Palatino Linotype" w:hAnsi="Palatino Linotype"/>
          <w:color w:val="000000" w:themeColor="text1"/>
        </w:rPr>
        <w:t>,</w:t>
      </w:r>
      <w:r w:rsidRPr="00124981">
        <w:rPr>
          <w:rFonts w:ascii="Palatino Linotype" w:hAnsi="Palatino Linotype" w:cs="Arial"/>
          <w:color w:val="000000" w:themeColor="text1"/>
        </w:rPr>
        <w:t xml:space="preserve"> a efecto de decretar su admisión o desechamiento</w:t>
      </w:r>
      <w:r w:rsidRPr="00124981">
        <w:rPr>
          <w:rFonts w:ascii="Palatino Linotype" w:hAnsi="Palatino Linotype" w:cs="Arial"/>
        </w:rPr>
        <w:t>.</w:t>
      </w:r>
    </w:p>
    <w:p w14:paraId="388B8216" w14:textId="77777777" w:rsidR="00890648" w:rsidRPr="00124981" w:rsidRDefault="00890648" w:rsidP="00E04342">
      <w:pPr>
        <w:suppressAutoHyphens/>
        <w:spacing w:line="360" w:lineRule="auto"/>
        <w:jc w:val="both"/>
        <w:rPr>
          <w:rFonts w:ascii="Palatino Linotype" w:hAnsi="Palatino Linotype" w:cs="Arial"/>
        </w:rPr>
      </w:pPr>
    </w:p>
    <w:p w14:paraId="499F2D47" w14:textId="0BDDA6B5" w:rsidR="00CC7F74" w:rsidRPr="00124981" w:rsidRDefault="00CC7F74" w:rsidP="00E04342">
      <w:pPr>
        <w:tabs>
          <w:tab w:val="center" w:pos="4252"/>
          <w:tab w:val="right" w:pos="8504"/>
        </w:tabs>
        <w:spacing w:line="360" w:lineRule="auto"/>
        <w:jc w:val="both"/>
        <w:rPr>
          <w:rFonts w:ascii="Palatino Linotype" w:hAnsi="Palatino Linotype" w:cs="Arial"/>
          <w:b/>
          <w:color w:val="000000" w:themeColor="text1"/>
          <w:sz w:val="26"/>
          <w:szCs w:val="26"/>
        </w:rPr>
      </w:pPr>
      <w:r w:rsidRPr="00124981">
        <w:rPr>
          <w:rFonts w:ascii="Palatino Linotype" w:hAnsi="Palatino Linotype" w:cs="Arial"/>
          <w:b/>
          <w:color w:val="000000" w:themeColor="text1"/>
          <w:sz w:val="26"/>
          <w:szCs w:val="26"/>
        </w:rPr>
        <w:t xml:space="preserve">a) Admisión del </w:t>
      </w:r>
      <w:r w:rsidR="005E3C55" w:rsidRPr="00124981">
        <w:rPr>
          <w:rFonts w:ascii="Palatino Linotype" w:hAnsi="Palatino Linotype" w:cs="Arial"/>
          <w:b/>
          <w:color w:val="000000" w:themeColor="text1"/>
          <w:sz w:val="26"/>
          <w:szCs w:val="26"/>
        </w:rPr>
        <w:t>Recurso de Revisión</w:t>
      </w:r>
    </w:p>
    <w:p w14:paraId="5B0A6500" w14:textId="1F88F902" w:rsidR="00890648" w:rsidRPr="00124981" w:rsidRDefault="00A43D69" w:rsidP="00E04342">
      <w:pPr>
        <w:pBdr>
          <w:top w:val="nil"/>
          <w:left w:val="nil"/>
          <w:bottom w:val="nil"/>
          <w:right w:val="nil"/>
          <w:between w:val="nil"/>
        </w:pBdr>
        <w:tabs>
          <w:tab w:val="center" w:pos="4252"/>
          <w:tab w:val="right" w:pos="8504"/>
        </w:tabs>
        <w:spacing w:line="360" w:lineRule="auto"/>
        <w:jc w:val="both"/>
        <w:rPr>
          <w:rFonts w:ascii="Palatino Linotype" w:eastAsia="Palatino Linotype" w:hAnsi="Palatino Linotype" w:cs="Palatino Linotype"/>
          <w:color w:val="000000"/>
        </w:rPr>
      </w:pPr>
      <w:r w:rsidRPr="00124981">
        <w:rPr>
          <w:rFonts w:ascii="Palatino Linotype" w:eastAsia="Palatino Linotype" w:hAnsi="Palatino Linotype" w:cs="Palatino Linotype"/>
          <w:color w:val="000000"/>
        </w:rPr>
        <w:t>De las constancias del expediente electrónico del</w:t>
      </w:r>
      <w:r w:rsidRPr="00124981">
        <w:rPr>
          <w:rFonts w:ascii="Palatino Linotype" w:eastAsia="Palatino Linotype" w:hAnsi="Palatino Linotype" w:cs="Palatino Linotype"/>
          <w:b/>
          <w:color w:val="000000"/>
        </w:rPr>
        <w:t xml:space="preserve"> SAIMEX</w:t>
      </w:r>
      <w:r w:rsidRPr="00124981">
        <w:rPr>
          <w:rFonts w:ascii="Palatino Linotype" w:eastAsia="Palatino Linotype" w:hAnsi="Palatino Linotype" w:cs="Palatino Linotype"/>
          <w:color w:val="000000"/>
        </w:rPr>
        <w:t>, se advierte que en fecha</w:t>
      </w:r>
      <w:r w:rsidRPr="00124981">
        <w:rPr>
          <w:rFonts w:ascii="Palatino Linotype" w:eastAsia="Palatino Linotype" w:hAnsi="Palatino Linotype" w:cs="Palatino Linotype"/>
        </w:rPr>
        <w:t xml:space="preserve"> </w:t>
      </w:r>
      <w:r w:rsidR="00C362BA" w:rsidRPr="00124981">
        <w:rPr>
          <w:rFonts w:ascii="Palatino Linotype" w:hAnsi="Palatino Linotype"/>
        </w:rPr>
        <w:t>catorce de febrero de dos mil veintidós</w:t>
      </w:r>
      <w:r w:rsidR="00890648" w:rsidRPr="00124981">
        <w:rPr>
          <w:rFonts w:ascii="Palatino Linotype" w:hAnsi="Palatino Linotype" w:cs="Arial"/>
        </w:rPr>
        <w:t xml:space="preserve">, </w:t>
      </w:r>
      <w:r w:rsidRPr="00124981">
        <w:rPr>
          <w:rFonts w:ascii="Palatino Linotype" w:eastAsia="Palatino Linotype" w:hAnsi="Palatino Linotype" w:cs="Palatino Linotype"/>
          <w:color w:val="000000"/>
        </w:rPr>
        <w:t xml:space="preserve">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w:t>
      </w:r>
      <w:r w:rsidRPr="00124981">
        <w:rPr>
          <w:rFonts w:ascii="Palatino Linotype" w:eastAsia="Palatino Linotype" w:hAnsi="Palatino Linotype" w:cs="Palatino Linotype"/>
          <w:color w:val="000000"/>
        </w:rPr>
        <w:lastRenderedPageBreak/>
        <w:t xml:space="preserve">Información Pública del Estado de México y Municipios, </w:t>
      </w:r>
      <w:r w:rsidRPr="00124981">
        <w:rPr>
          <w:rFonts w:ascii="Palatino Linotype" w:eastAsia="Palatino Linotype" w:hAnsi="Palatino Linotype" w:cs="Palatino Linotype"/>
          <w:b/>
          <w:color w:val="000000"/>
        </w:rPr>
        <w:t xml:space="preserve">EL RECURRENTE </w:t>
      </w:r>
      <w:r w:rsidRPr="00124981">
        <w:rPr>
          <w:rFonts w:ascii="Palatino Linotype" w:eastAsia="Palatino Linotype" w:hAnsi="Palatino Linotype" w:cs="Palatino Linotype"/>
          <w:color w:val="000000"/>
        </w:rPr>
        <w:t xml:space="preserve">manifestara lo que a su derecho conviniera, a efecto de presentar pruebas y alegatos; así como para que </w:t>
      </w:r>
      <w:r w:rsidRPr="00124981">
        <w:rPr>
          <w:rFonts w:ascii="Palatino Linotype" w:eastAsia="Palatino Linotype" w:hAnsi="Palatino Linotype" w:cs="Palatino Linotype"/>
          <w:b/>
          <w:color w:val="000000"/>
        </w:rPr>
        <w:t xml:space="preserve">EL SUJETO OBLIGADO </w:t>
      </w:r>
      <w:r w:rsidRPr="00124981">
        <w:rPr>
          <w:rFonts w:ascii="Palatino Linotype" w:eastAsia="Palatino Linotype" w:hAnsi="Palatino Linotype" w:cs="Palatino Linotype"/>
          <w:color w:val="000000"/>
        </w:rPr>
        <w:t>rindiera su</w:t>
      </w:r>
      <w:r w:rsidRPr="00124981">
        <w:rPr>
          <w:rFonts w:ascii="Palatino Linotype" w:eastAsia="Palatino Linotype" w:hAnsi="Palatino Linotype" w:cs="Palatino Linotype"/>
          <w:b/>
          <w:color w:val="000000"/>
        </w:rPr>
        <w:t xml:space="preserve"> </w:t>
      </w:r>
      <w:r w:rsidRPr="00124981">
        <w:rPr>
          <w:rFonts w:ascii="Palatino Linotype" w:eastAsia="Palatino Linotype" w:hAnsi="Palatino Linotype" w:cs="Palatino Linotype"/>
          <w:color w:val="000000"/>
        </w:rPr>
        <w:t>Informe Justificado.</w:t>
      </w:r>
    </w:p>
    <w:p w14:paraId="700A8C88" w14:textId="77777777" w:rsidR="0097124A" w:rsidRPr="00124981" w:rsidRDefault="0097124A" w:rsidP="00E04342">
      <w:pPr>
        <w:spacing w:line="360" w:lineRule="auto"/>
        <w:jc w:val="both"/>
        <w:rPr>
          <w:rFonts w:ascii="Palatino Linotype" w:hAnsi="Palatino Linotype" w:cs="Arial"/>
        </w:rPr>
      </w:pPr>
    </w:p>
    <w:p w14:paraId="02174A66" w14:textId="77777777" w:rsidR="00CC7F74" w:rsidRPr="00124981" w:rsidRDefault="00CC7F74" w:rsidP="00E04342">
      <w:pPr>
        <w:spacing w:line="360" w:lineRule="auto"/>
        <w:jc w:val="both"/>
        <w:rPr>
          <w:rFonts w:ascii="Palatino Linotype" w:eastAsia="Arial Unicode MS" w:hAnsi="Palatino Linotype" w:cs="Arial"/>
          <w:b/>
          <w:color w:val="000000" w:themeColor="text1"/>
          <w:sz w:val="26"/>
          <w:szCs w:val="26"/>
        </w:rPr>
      </w:pPr>
      <w:r w:rsidRPr="00124981">
        <w:rPr>
          <w:rFonts w:ascii="Palatino Linotype" w:eastAsia="Arial Unicode MS" w:hAnsi="Palatino Linotype" w:cs="Arial"/>
          <w:b/>
          <w:color w:val="000000" w:themeColor="text1"/>
          <w:sz w:val="26"/>
          <w:szCs w:val="26"/>
        </w:rPr>
        <w:t xml:space="preserve">b) </w:t>
      </w:r>
      <w:r w:rsidRPr="00124981">
        <w:rPr>
          <w:rFonts w:ascii="Palatino Linotype" w:hAnsi="Palatino Linotype" w:cs="Arial"/>
          <w:b/>
          <w:bCs/>
          <w:sz w:val="26"/>
          <w:szCs w:val="26"/>
        </w:rPr>
        <w:t>Informe Justificado</w:t>
      </w:r>
    </w:p>
    <w:p w14:paraId="24B93A73" w14:textId="7DA38708" w:rsidR="00CC7F74" w:rsidRPr="00124981" w:rsidRDefault="0026032A" w:rsidP="00E04342">
      <w:pPr>
        <w:spacing w:line="360" w:lineRule="auto"/>
        <w:jc w:val="both"/>
        <w:rPr>
          <w:rFonts w:ascii="Palatino Linotype" w:eastAsia="Palatino Linotype" w:hAnsi="Palatino Linotype" w:cs="Palatino Linotype"/>
          <w:color w:val="000000"/>
          <w:lang w:eastAsia="es-MX"/>
        </w:rPr>
      </w:pPr>
      <w:r w:rsidRPr="00124981">
        <w:rPr>
          <w:rFonts w:ascii="Palatino Linotype" w:eastAsia="Palatino Linotype" w:hAnsi="Palatino Linotype" w:cs="Palatino Linotype"/>
          <w:color w:val="000000"/>
          <w:lang w:eastAsia="es-MX"/>
        </w:rPr>
        <w:t>En cumplimiento a lo anterior, de las constancias del expediente electrónico que obra en el</w:t>
      </w:r>
      <w:r w:rsidRPr="00124981">
        <w:rPr>
          <w:rFonts w:eastAsia="Palatino Linotype"/>
          <w:color w:val="000000"/>
          <w:lang w:eastAsia="es-MX"/>
        </w:rPr>
        <w:t> </w:t>
      </w:r>
      <w:r w:rsidRPr="00124981">
        <w:rPr>
          <w:rFonts w:ascii="Palatino Linotype" w:eastAsia="Palatino Linotype" w:hAnsi="Palatino Linotype" w:cs="Palatino Linotype"/>
          <w:b/>
          <w:bCs/>
          <w:color w:val="000000"/>
          <w:lang w:eastAsia="es-MX"/>
        </w:rPr>
        <w:t>SAIMEX</w:t>
      </w:r>
      <w:r w:rsidRPr="00124981">
        <w:rPr>
          <w:rFonts w:ascii="Palatino Linotype" w:eastAsia="Palatino Linotype" w:hAnsi="Palatino Linotype" w:cs="Palatino Linotype"/>
          <w:color w:val="000000"/>
          <w:lang w:eastAsia="es-MX"/>
        </w:rPr>
        <w:t xml:space="preserve">, del Recurso materia del presente estudio, se advierte que </w:t>
      </w:r>
      <w:r w:rsidRPr="00124981">
        <w:rPr>
          <w:rFonts w:ascii="Palatino Linotype" w:eastAsia="Palatino Linotype" w:hAnsi="Palatino Linotype" w:cs="Palatino Linotype"/>
          <w:b/>
          <w:bCs/>
          <w:color w:val="000000"/>
          <w:lang w:eastAsia="es-MX"/>
        </w:rPr>
        <w:t xml:space="preserve">EL SUJETO OBLIGADO </w:t>
      </w:r>
      <w:r w:rsidRPr="00124981">
        <w:rPr>
          <w:rFonts w:ascii="Palatino Linotype" w:eastAsia="Palatino Linotype" w:hAnsi="Palatino Linotype" w:cs="Palatino Linotype"/>
          <w:color w:val="000000"/>
          <w:lang w:eastAsia="es-MX"/>
        </w:rPr>
        <w:t>presento su Informe Justificado en fecha veinticinco de febrero</w:t>
      </w:r>
      <w:r w:rsidR="00AF3AD6" w:rsidRPr="00124981">
        <w:rPr>
          <w:rFonts w:ascii="Palatino Linotype" w:eastAsia="Palatino Linotype" w:hAnsi="Palatino Linotype" w:cs="Palatino Linotype"/>
          <w:color w:val="000000"/>
          <w:lang w:eastAsia="es-MX"/>
        </w:rPr>
        <w:t xml:space="preserve"> de dos mil veintidós y un alcance al Informe Justificado en fecha uno de marzo de dos mil veintidós</w:t>
      </w:r>
      <w:r w:rsidRPr="00124981">
        <w:rPr>
          <w:rFonts w:ascii="Palatino Linotype" w:eastAsia="Palatino Linotype" w:hAnsi="Palatino Linotype" w:cs="Palatino Linotype"/>
          <w:color w:val="000000"/>
          <w:lang w:eastAsia="es-MX"/>
        </w:rPr>
        <w:t>, como se desprende en la imagen que se anexa a continuación: </w:t>
      </w:r>
    </w:p>
    <w:p w14:paraId="4C079521" w14:textId="77777777" w:rsidR="0053407A" w:rsidRPr="00124981" w:rsidRDefault="0053407A" w:rsidP="00E04342">
      <w:pPr>
        <w:spacing w:line="360" w:lineRule="auto"/>
        <w:jc w:val="both"/>
        <w:rPr>
          <w:rFonts w:ascii="Palatino Linotype" w:eastAsia="Palatino Linotype" w:hAnsi="Palatino Linotype" w:cs="Palatino Linotype"/>
          <w:color w:val="000000"/>
          <w:lang w:eastAsia="es-MX"/>
        </w:rPr>
      </w:pPr>
    </w:p>
    <w:p w14:paraId="0E325FCD" w14:textId="4EDBE2D3" w:rsidR="0026032A" w:rsidRPr="00124981" w:rsidRDefault="0026032A" w:rsidP="00E04342">
      <w:pPr>
        <w:spacing w:line="360" w:lineRule="auto"/>
        <w:jc w:val="both"/>
        <w:rPr>
          <w:rFonts w:ascii="Palatino Linotype" w:eastAsia="Arial Unicode MS" w:hAnsi="Palatino Linotype" w:cs="Arial"/>
          <w:bCs/>
        </w:rPr>
      </w:pPr>
      <w:r w:rsidRPr="00124981">
        <w:rPr>
          <w:rFonts w:ascii="Palatino Linotype" w:eastAsia="Arial Unicode MS" w:hAnsi="Palatino Linotype" w:cs="Arial"/>
          <w:bCs/>
          <w:noProof/>
          <w:lang w:eastAsia="es-MX"/>
        </w:rPr>
        <w:drawing>
          <wp:inline distT="0" distB="0" distL="0" distR="0" wp14:anchorId="64999EDA" wp14:editId="30162931">
            <wp:extent cx="5791835" cy="224790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2247900"/>
                    </a:xfrm>
                    <a:prstGeom prst="rect">
                      <a:avLst/>
                    </a:prstGeom>
                  </pic:spPr>
                </pic:pic>
              </a:graphicData>
            </a:graphic>
          </wp:inline>
        </w:drawing>
      </w:r>
    </w:p>
    <w:p w14:paraId="71040CDD" w14:textId="3D91EB6D" w:rsidR="00CC7F74" w:rsidRPr="00124981" w:rsidRDefault="00CC7F74" w:rsidP="00E04342">
      <w:pPr>
        <w:jc w:val="both"/>
        <w:rPr>
          <w:rFonts w:ascii="Palatino Linotype" w:eastAsia="Arial Unicode MS" w:hAnsi="Palatino Linotype" w:cs="Arial"/>
          <w:bCs/>
        </w:rPr>
      </w:pPr>
    </w:p>
    <w:p w14:paraId="5026B0DB" w14:textId="41C233BD" w:rsidR="0026032A" w:rsidRPr="00124981" w:rsidRDefault="00AF3AD6" w:rsidP="00E04342">
      <w:pPr>
        <w:spacing w:line="360" w:lineRule="auto"/>
        <w:jc w:val="both"/>
        <w:rPr>
          <w:rStyle w:val="eop"/>
          <w:rFonts w:ascii="Palatino Linotype" w:hAnsi="Palatino Linotype"/>
          <w:color w:val="000000"/>
          <w:shd w:val="clear" w:color="auto" w:fill="FFFFFF"/>
        </w:rPr>
      </w:pPr>
      <w:r w:rsidRPr="00124981">
        <w:rPr>
          <w:rStyle w:val="normaltextrun"/>
          <w:rFonts w:ascii="Palatino Linotype" w:hAnsi="Palatino Linotype"/>
          <w:b/>
          <w:bCs/>
          <w:color w:val="000000"/>
          <w:shd w:val="clear" w:color="auto" w:fill="FFFFFF"/>
        </w:rPr>
        <w:t>Informe Justificado y alcance al Informe Justificado</w:t>
      </w:r>
      <w:r w:rsidRPr="00124981">
        <w:rPr>
          <w:rStyle w:val="normaltextrun"/>
          <w:rFonts w:ascii="Palatino Linotype" w:hAnsi="Palatino Linotype"/>
          <w:color w:val="000000"/>
          <w:shd w:val="clear" w:color="auto" w:fill="FFFFFF"/>
        </w:rPr>
        <w:t xml:space="preserve"> se pusieron a la vista de la particular en fecha </w:t>
      </w:r>
      <w:r w:rsidR="00C3732A" w:rsidRPr="00124981">
        <w:rPr>
          <w:rStyle w:val="normaltextrun"/>
          <w:rFonts w:ascii="Palatino Linotype" w:hAnsi="Palatino Linotype"/>
          <w:color w:val="000000"/>
          <w:shd w:val="clear" w:color="auto" w:fill="FFFFFF"/>
        </w:rPr>
        <w:t>cinco</w:t>
      </w:r>
      <w:r w:rsidRPr="00124981">
        <w:rPr>
          <w:rStyle w:val="normaltextrun"/>
          <w:rFonts w:ascii="Palatino Linotype" w:hAnsi="Palatino Linotype"/>
          <w:color w:val="000000"/>
          <w:shd w:val="clear" w:color="auto" w:fill="FFFFFF"/>
        </w:rPr>
        <w:t xml:space="preserve"> de abril de dos mil veintidós, en el que se observa en su contenido medular que refiere la Jefa de la UIPPE y titular de la Unidad de Tr</w:t>
      </w:r>
      <w:r w:rsidR="00C3732A" w:rsidRPr="00124981">
        <w:rPr>
          <w:rStyle w:val="normaltextrun"/>
          <w:rFonts w:ascii="Palatino Linotype" w:hAnsi="Palatino Linotype"/>
          <w:color w:val="000000"/>
          <w:shd w:val="clear" w:color="auto" w:fill="FFFFFF"/>
        </w:rPr>
        <w:t xml:space="preserve">ansparencia, mencionada que en el año 2021, se iniciaron nueve Procedimientos </w:t>
      </w:r>
      <w:r w:rsidR="00C3732A" w:rsidRPr="00124981">
        <w:rPr>
          <w:rStyle w:val="normaltextrun"/>
          <w:rFonts w:ascii="Palatino Linotype" w:hAnsi="Palatino Linotype"/>
          <w:color w:val="000000"/>
          <w:shd w:val="clear" w:color="auto" w:fill="FFFFFF"/>
        </w:rPr>
        <w:lastRenderedPageBreak/>
        <w:t>Administrativos por Responsabilidad Patrimonial, no es posible su entrega, luego entonces, mediante el acta de la Tercera Sesión Extraordinaria del Comité de Transparencia de la Secretaria de Seguridad, se aprobó en el acuerdo de numero SS/</w:t>
      </w:r>
      <w:r w:rsidR="00E432F9" w:rsidRPr="00124981">
        <w:rPr>
          <w:rStyle w:val="normaltextrun"/>
          <w:rFonts w:ascii="Palatino Linotype" w:hAnsi="Palatino Linotype"/>
          <w:color w:val="000000"/>
          <w:shd w:val="clear" w:color="auto" w:fill="FFFFFF"/>
        </w:rPr>
        <w:t xml:space="preserve">CT/EXT/III/001/2022, </w:t>
      </w:r>
      <w:r w:rsidR="00C3732A" w:rsidRPr="00124981">
        <w:rPr>
          <w:rStyle w:val="normaltextrun"/>
          <w:rFonts w:ascii="Palatino Linotype" w:hAnsi="Palatino Linotype"/>
          <w:color w:val="000000"/>
          <w:shd w:val="clear" w:color="auto" w:fill="FFFFFF"/>
        </w:rPr>
        <w:t xml:space="preserve">por unanimidad de votos </w:t>
      </w:r>
      <w:r w:rsidR="00E432F9" w:rsidRPr="00124981">
        <w:rPr>
          <w:rStyle w:val="normaltextrun"/>
          <w:rFonts w:ascii="Palatino Linotype" w:hAnsi="Palatino Linotype"/>
          <w:color w:val="000000"/>
          <w:shd w:val="clear" w:color="auto" w:fill="FFFFFF"/>
        </w:rPr>
        <w:t xml:space="preserve"> de los integrantes </w:t>
      </w:r>
      <w:r w:rsidR="00C3732A" w:rsidRPr="00124981">
        <w:rPr>
          <w:rStyle w:val="normaltextrun"/>
          <w:rFonts w:ascii="Palatino Linotype" w:hAnsi="Palatino Linotype"/>
          <w:color w:val="000000"/>
          <w:shd w:val="clear" w:color="auto" w:fill="FFFFFF"/>
        </w:rPr>
        <w:t xml:space="preserve">la </w:t>
      </w:r>
      <w:r w:rsidR="00E432F9" w:rsidRPr="00124981">
        <w:rPr>
          <w:rStyle w:val="normaltextrun"/>
          <w:rFonts w:ascii="Palatino Linotype" w:hAnsi="Palatino Linotype"/>
          <w:color w:val="000000"/>
          <w:shd w:val="clear" w:color="auto" w:fill="FFFFFF"/>
        </w:rPr>
        <w:t>clasificación de la información como reservada por un periodo de cinco años, respecto de los nueve Procedimientos Administrativos por Responsabilidad Patrimonial en trámite del año 2021.</w:t>
      </w:r>
    </w:p>
    <w:p w14:paraId="63BB7273" w14:textId="77777777" w:rsidR="00AF3AD6" w:rsidRPr="00124981" w:rsidRDefault="00AF3AD6" w:rsidP="00E04342">
      <w:pPr>
        <w:spacing w:line="360" w:lineRule="auto"/>
        <w:jc w:val="both"/>
        <w:rPr>
          <w:rFonts w:ascii="Palatino Linotype" w:eastAsia="Arial Unicode MS" w:hAnsi="Palatino Linotype" w:cs="Arial"/>
          <w:b/>
          <w:sz w:val="26"/>
          <w:szCs w:val="26"/>
        </w:rPr>
      </w:pPr>
    </w:p>
    <w:p w14:paraId="0007A30A" w14:textId="77777777" w:rsidR="00CC7F74" w:rsidRPr="00124981" w:rsidRDefault="00CC7F74" w:rsidP="00E04342">
      <w:pPr>
        <w:spacing w:line="360" w:lineRule="auto"/>
        <w:jc w:val="both"/>
        <w:rPr>
          <w:rFonts w:ascii="Palatino Linotype" w:eastAsia="Arial Unicode MS" w:hAnsi="Palatino Linotype" w:cs="Arial"/>
          <w:b/>
          <w:sz w:val="26"/>
          <w:szCs w:val="26"/>
        </w:rPr>
      </w:pPr>
      <w:r w:rsidRPr="00124981">
        <w:rPr>
          <w:rFonts w:ascii="Palatino Linotype" w:eastAsia="Arial Unicode MS" w:hAnsi="Palatino Linotype" w:cs="Arial"/>
          <w:b/>
          <w:sz w:val="26"/>
          <w:szCs w:val="26"/>
        </w:rPr>
        <w:t>c) Manifestaciones del Recurrente.</w:t>
      </w:r>
    </w:p>
    <w:p w14:paraId="4006792B" w14:textId="65F3A6A9" w:rsidR="00CC7F74" w:rsidRPr="00124981" w:rsidRDefault="00CC7F74" w:rsidP="00E04342">
      <w:pPr>
        <w:spacing w:line="360" w:lineRule="auto"/>
        <w:jc w:val="both"/>
        <w:rPr>
          <w:rFonts w:ascii="Palatino Linotype" w:eastAsia="Palatino Linotype" w:hAnsi="Palatino Linotype" w:cs="Palatino Linotype"/>
          <w:color w:val="000000"/>
          <w:lang w:eastAsia="es-MX"/>
        </w:rPr>
      </w:pPr>
      <w:r w:rsidRPr="00124981">
        <w:rPr>
          <w:rFonts w:ascii="Palatino Linotype" w:eastAsia="Arial Unicode MS" w:hAnsi="Palatino Linotype" w:cs="Arial"/>
          <w:bCs/>
        </w:rPr>
        <w:t xml:space="preserve">De las constancias que obran en el expediente electrónico del Sistema de </w:t>
      </w:r>
      <w:r w:rsidR="00996512" w:rsidRPr="00124981">
        <w:rPr>
          <w:rFonts w:ascii="Palatino Linotype" w:eastAsia="Arial Unicode MS" w:hAnsi="Palatino Linotype" w:cs="Arial"/>
          <w:bCs/>
        </w:rPr>
        <w:t>Acceso a la Información</w:t>
      </w:r>
      <w:r w:rsidRPr="00124981">
        <w:rPr>
          <w:rFonts w:ascii="Palatino Linotype" w:eastAsia="Arial Unicode MS" w:hAnsi="Palatino Linotype" w:cs="Arial"/>
          <w:bCs/>
        </w:rPr>
        <w:t xml:space="preserve"> Mexiquense (SAIMEX), se advierte que </w:t>
      </w:r>
      <w:r w:rsidRPr="00124981">
        <w:rPr>
          <w:rFonts w:ascii="Palatino Linotype" w:eastAsia="Palatino Linotype" w:hAnsi="Palatino Linotype" w:cs="Palatino Linotype"/>
          <w:color w:val="000000"/>
          <w:lang w:eastAsia="es-MX"/>
        </w:rPr>
        <w:t xml:space="preserve">dentro del término legalmente concedido al </w:t>
      </w:r>
      <w:r w:rsidRPr="00124981">
        <w:rPr>
          <w:rFonts w:ascii="Palatino Linotype" w:eastAsia="Palatino Linotype" w:hAnsi="Palatino Linotype" w:cs="Palatino Linotype"/>
          <w:b/>
          <w:color w:val="000000"/>
          <w:lang w:eastAsia="es-MX"/>
        </w:rPr>
        <w:t>RECURRENTE</w:t>
      </w:r>
      <w:r w:rsidRPr="00124981">
        <w:rPr>
          <w:rFonts w:ascii="Palatino Linotype" w:eastAsia="Palatino Linotype" w:hAnsi="Palatino Linotype" w:cs="Palatino Linotype"/>
          <w:color w:val="000000"/>
          <w:lang w:eastAsia="es-MX"/>
        </w:rPr>
        <w:t>, no realizó las manifestaciones que conforme a derecho le correspondían.</w:t>
      </w:r>
    </w:p>
    <w:p w14:paraId="5C945348" w14:textId="77777777" w:rsidR="000573AD" w:rsidRPr="00124981" w:rsidRDefault="000573AD" w:rsidP="00E04342">
      <w:pPr>
        <w:spacing w:line="360" w:lineRule="auto"/>
        <w:jc w:val="both"/>
        <w:rPr>
          <w:rFonts w:ascii="Palatino Linotype" w:eastAsia="Palatino Linotype" w:hAnsi="Palatino Linotype" w:cs="Palatino Linotype"/>
          <w:color w:val="000000"/>
          <w:lang w:eastAsia="es-MX"/>
        </w:rPr>
      </w:pPr>
    </w:p>
    <w:p w14:paraId="640D8F7B" w14:textId="7BDF168E" w:rsidR="000573AD" w:rsidRPr="00124981" w:rsidRDefault="000573AD" w:rsidP="00E04342">
      <w:pPr>
        <w:spacing w:line="360" w:lineRule="auto"/>
        <w:jc w:val="both"/>
        <w:rPr>
          <w:rFonts w:ascii="Palatino Linotype" w:hAnsi="Palatino Linotype"/>
          <w:b/>
          <w:color w:val="000000" w:themeColor="text1"/>
          <w:sz w:val="26"/>
          <w:szCs w:val="26"/>
        </w:rPr>
      </w:pPr>
      <w:r w:rsidRPr="00124981">
        <w:rPr>
          <w:rFonts w:ascii="Palatino Linotype" w:hAnsi="Palatino Linotype"/>
          <w:b/>
          <w:color w:val="000000" w:themeColor="text1"/>
          <w:sz w:val="26"/>
          <w:szCs w:val="26"/>
        </w:rPr>
        <w:t>d) Del returno del Recurso de Revisión</w:t>
      </w:r>
    </w:p>
    <w:p w14:paraId="53634BDA" w14:textId="1549D835" w:rsidR="00CC7F74" w:rsidRPr="00124981" w:rsidRDefault="000573AD" w:rsidP="00E04342">
      <w:pPr>
        <w:spacing w:line="360" w:lineRule="auto"/>
        <w:jc w:val="both"/>
        <w:rPr>
          <w:rFonts w:ascii="Palatino Linotype" w:hAnsi="Palatino Linotype"/>
          <w:color w:val="000000" w:themeColor="text1"/>
        </w:rPr>
      </w:pPr>
      <w:r w:rsidRPr="00124981">
        <w:rPr>
          <w:rFonts w:ascii="Palatino Linotype" w:hAnsi="Palatino Linotype"/>
          <w:color w:val="000000" w:themeColor="text1"/>
        </w:rPr>
        <w:t xml:space="preserve">En la Novena Sesión Ordinaria de fecha nueve de marzo de dos mil veintidós, por acuerdo del Pleno de este Órgano Garante, fue returnado el Recurso de Revisión </w:t>
      </w:r>
      <w:r w:rsidRPr="00124981">
        <w:rPr>
          <w:rFonts w:ascii="Palatino Linotype" w:hAnsi="Palatino Linotype"/>
          <w:b/>
        </w:rPr>
        <w:t>00872/INFOEM/IP/RR/2022</w:t>
      </w:r>
      <w:r w:rsidRPr="00124981">
        <w:rPr>
          <w:rFonts w:ascii="Palatino Linotype" w:hAnsi="Palatino Linotype"/>
          <w:color w:val="000000" w:themeColor="text1"/>
        </w:rPr>
        <w:t xml:space="preserve">, a la </w:t>
      </w:r>
      <w:r w:rsidRPr="00124981">
        <w:rPr>
          <w:rFonts w:ascii="Palatino Linotype" w:hAnsi="Palatino Linotype"/>
          <w:b/>
          <w:color w:val="000000" w:themeColor="text1"/>
        </w:rPr>
        <w:t xml:space="preserve">Comisionada Sharon Cristina Morales Martínez </w:t>
      </w:r>
      <w:r w:rsidRPr="00124981">
        <w:rPr>
          <w:rFonts w:ascii="Palatino Linotype" w:hAnsi="Palatino Linotype"/>
          <w:color w:val="000000" w:themeColor="text1"/>
        </w:rPr>
        <w:t>para su resolución y presentación al Pleno.</w:t>
      </w:r>
    </w:p>
    <w:p w14:paraId="414BD57C" w14:textId="77777777" w:rsidR="000573AD" w:rsidRPr="00124981" w:rsidRDefault="000573AD" w:rsidP="00E04342">
      <w:pPr>
        <w:spacing w:line="360" w:lineRule="auto"/>
        <w:jc w:val="both"/>
        <w:rPr>
          <w:rFonts w:ascii="Palatino Linotype" w:eastAsia="Arial Unicode MS" w:hAnsi="Palatino Linotype" w:cs="Arial"/>
          <w:bCs/>
        </w:rPr>
      </w:pPr>
    </w:p>
    <w:p w14:paraId="2361BA85" w14:textId="6C10ADD1" w:rsidR="00CC7F74" w:rsidRPr="00124981" w:rsidRDefault="000573AD" w:rsidP="00E04342">
      <w:pPr>
        <w:pStyle w:val="Prrafodelista"/>
        <w:spacing w:line="360" w:lineRule="auto"/>
        <w:ind w:left="0"/>
        <w:jc w:val="both"/>
        <w:rPr>
          <w:rFonts w:ascii="Palatino Linotype" w:hAnsi="Palatino Linotype" w:cs="Arial"/>
          <w:b/>
          <w:bCs/>
          <w:sz w:val="26"/>
          <w:szCs w:val="26"/>
        </w:rPr>
      </w:pPr>
      <w:r w:rsidRPr="00124981">
        <w:rPr>
          <w:rFonts w:ascii="Palatino Linotype" w:hAnsi="Palatino Linotype" w:cs="Arial"/>
          <w:b/>
          <w:bCs/>
          <w:sz w:val="26"/>
          <w:szCs w:val="26"/>
        </w:rPr>
        <w:t>e</w:t>
      </w:r>
      <w:r w:rsidR="00CC7F74" w:rsidRPr="00124981">
        <w:rPr>
          <w:rFonts w:ascii="Palatino Linotype" w:hAnsi="Palatino Linotype" w:cs="Arial"/>
          <w:b/>
          <w:bCs/>
          <w:sz w:val="26"/>
          <w:szCs w:val="26"/>
        </w:rPr>
        <w:t>) Cierre de Instrucción</w:t>
      </w:r>
    </w:p>
    <w:p w14:paraId="773D4F5D" w14:textId="4D04C35C" w:rsidR="00CC7F74" w:rsidRPr="00124981" w:rsidRDefault="00CC7F74" w:rsidP="00E04342">
      <w:pPr>
        <w:tabs>
          <w:tab w:val="left" w:pos="709"/>
        </w:tabs>
        <w:spacing w:line="360" w:lineRule="auto"/>
        <w:jc w:val="both"/>
        <w:rPr>
          <w:rFonts w:ascii="Palatino Linotype" w:hAnsi="Palatino Linotype" w:cs="Arial"/>
        </w:rPr>
      </w:pPr>
      <w:r w:rsidRPr="00124981">
        <w:rPr>
          <w:rFonts w:ascii="Palatino Linotype" w:hAnsi="Palatino Linotype" w:cs="Arial"/>
        </w:rPr>
        <w:t xml:space="preserve">Una vez analizado el estado procesal que guardaba el expediente, en fecha </w:t>
      </w:r>
      <w:r w:rsidR="000573AD" w:rsidRPr="00124981">
        <w:rPr>
          <w:rFonts w:ascii="Palatino Linotype" w:hAnsi="Palatino Linotype" w:cs="Arial"/>
        </w:rPr>
        <w:t xml:space="preserve">diecinueve de abril </w:t>
      </w:r>
      <w:r w:rsidRPr="00124981">
        <w:rPr>
          <w:rFonts w:ascii="Palatino Linotype" w:hAnsi="Palatino Linotype" w:cs="Arial"/>
        </w:rPr>
        <w:t xml:space="preserve">de dos mil veintidós, la </w:t>
      </w:r>
      <w:r w:rsidRPr="00124981">
        <w:rPr>
          <w:rFonts w:ascii="Palatino Linotype" w:eastAsia="MS Mincho" w:hAnsi="Palatino Linotype"/>
          <w:b/>
          <w:bCs/>
          <w:lang w:val="es-ES_tradnl"/>
        </w:rPr>
        <w:t xml:space="preserve">Comisionada </w:t>
      </w:r>
      <w:r w:rsidR="004269DC" w:rsidRPr="00124981">
        <w:rPr>
          <w:rFonts w:ascii="Palatino Linotype" w:hAnsi="Palatino Linotype"/>
          <w:b/>
          <w:bCs/>
        </w:rPr>
        <w:t>Sharon Cristina Morales Martínez</w:t>
      </w:r>
      <w:r w:rsidRPr="00124981">
        <w:rPr>
          <w:rFonts w:ascii="Palatino Linotype" w:hAnsi="Palatino Linotype" w:cs="Arial"/>
        </w:rPr>
        <w:t xml:space="preserve"> </w:t>
      </w:r>
      <w:r w:rsidRPr="00124981">
        <w:rPr>
          <w:rFonts w:ascii="Palatino Linotype" w:hAnsi="Palatino Linotype" w:cs="Arial"/>
        </w:rPr>
        <w:lastRenderedPageBreak/>
        <w:t xml:space="preserve">acordó el cierre de instrucción, así como la remisión de este a efecto de ser resuelto, de conformidad con lo establecido en el artículo 185 fracciones VI y VIII de la Ley de Transparencia y </w:t>
      </w:r>
      <w:r w:rsidR="00996512" w:rsidRPr="00124981">
        <w:rPr>
          <w:rFonts w:ascii="Palatino Linotype" w:hAnsi="Palatino Linotype" w:cs="Arial"/>
        </w:rPr>
        <w:t>Acceso a la Información</w:t>
      </w:r>
      <w:r w:rsidR="005E3C55" w:rsidRPr="00124981">
        <w:rPr>
          <w:rFonts w:ascii="Palatino Linotype" w:hAnsi="Palatino Linotype" w:cs="Arial"/>
        </w:rPr>
        <w:t xml:space="preserve"> Pública</w:t>
      </w:r>
      <w:r w:rsidRPr="00124981">
        <w:rPr>
          <w:rFonts w:ascii="Palatino Linotype" w:hAnsi="Palatino Linotype" w:cs="Arial"/>
        </w:rPr>
        <w:t xml:space="preserve"> del Estado de México y Municipios.</w:t>
      </w:r>
    </w:p>
    <w:p w14:paraId="4F327BA7" w14:textId="77777777" w:rsidR="000573AD" w:rsidRPr="00124981" w:rsidRDefault="000573AD" w:rsidP="00E04342">
      <w:pPr>
        <w:tabs>
          <w:tab w:val="left" w:pos="709"/>
        </w:tabs>
        <w:spacing w:line="360" w:lineRule="auto"/>
        <w:jc w:val="both"/>
        <w:rPr>
          <w:rFonts w:ascii="Palatino Linotype" w:hAnsi="Palatino Linotype" w:cs="Arial"/>
        </w:rPr>
      </w:pPr>
    </w:p>
    <w:p w14:paraId="2FED55CC" w14:textId="77777777" w:rsidR="000573AD" w:rsidRPr="00124981" w:rsidRDefault="000573AD" w:rsidP="00E04342">
      <w:pPr>
        <w:tabs>
          <w:tab w:val="left" w:pos="709"/>
        </w:tabs>
        <w:spacing w:line="360" w:lineRule="auto"/>
        <w:jc w:val="both"/>
        <w:rPr>
          <w:rFonts w:ascii="Palatino Linotype" w:hAnsi="Palatino Linotype" w:cs="Arial"/>
          <w:b/>
          <w:sz w:val="26"/>
          <w:szCs w:val="26"/>
        </w:rPr>
      </w:pPr>
      <w:r w:rsidRPr="00124981">
        <w:rPr>
          <w:rFonts w:ascii="Palatino Linotype" w:hAnsi="Palatino Linotype" w:cs="Arial"/>
          <w:b/>
          <w:sz w:val="26"/>
          <w:szCs w:val="26"/>
        </w:rPr>
        <w:t>f) Ampliación del plazo para resolver el Recurso de Revisión </w:t>
      </w:r>
    </w:p>
    <w:p w14:paraId="061A94D4" w14:textId="6F5343A2" w:rsidR="00CC7F74" w:rsidRPr="00124981" w:rsidRDefault="000573AD" w:rsidP="00E04342">
      <w:pPr>
        <w:tabs>
          <w:tab w:val="left" w:pos="709"/>
        </w:tabs>
        <w:spacing w:line="360" w:lineRule="auto"/>
        <w:jc w:val="both"/>
        <w:rPr>
          <w:rFonts w:ascii="Palatino Linotype" w:hAnsi="Palatino Linotype" w:cs="Arial"/>
        </w:rPr>
      </w:pPr>
      <w:r w:rsidRPr="00124981">
        <w:rPr>
          <w:rFonts w:ascii="Palatino Linotype" w:hAnsi="Palatino Linotype" w:cs="Arial"/>
        </w:rPr>
        <w:t>El diecinueve de abril de dos mil veintidós, se acordó ampliar por un periodo de quince días hábiles, el plazo para resolver el Recurso de Revisión que nos ocupa; acto que fue notificado a las partes, mediante el Sistema de Acceso a la Información Mexiquense (SAIMEX); y,</w:t>
      </w:r>
    </w:p>
    <w:p w14:paraId="7A2BF042" w14:textId="77777777" w:rsidR="0097124A" w:rsidRPr="00124981" w:rsidRDefault="0097124A" w:rsidP="00E04342">
      <w:pPr>
        <w:suppressAutoHyphens/>
        <w:spacing w:line="360" w:lineRule="auto"/>
        <w:jc w:val="both"/>
        <w:rPr>
          <w:rFonts w:ascii="Palatino Linotype" w:hAnsi="Palatino Linotype" w:cs="Arial"/>
        </w:rPr>
      </w:pPr>
    </w:p>
    <w:p w14:paraId="7F154689" w14:textId="77777777" w:rsidR="00F803EF" w:rsidRPr="00124981" w:rsidRDefault="00F803EF" w:rsidP="00E04342">
      <w:pPr>
        <w:suppressAutoHyphens/>
        <w:spacing w:line="360" w:lineRule="auto"/>
        <w:jc w:val="center"/>
        <w:rPr>
          <w:rFonts w:ascii="Palatino Linotype" w:hAnsi="Palatino Linotype"/>
          <w:b/>
          <w:bCs/>
          <w:spacing w:val="60"/>
          <w:sz w:val="28"/>
        </w:rPr>
      </w:pPr>
      <w:r w:rsidRPr="00124981">
        <w:rPr>
          <w:rFonts w:ascii="Palatino Linotype" w:hAnsi="Palatino Linotype"/>
          <w:b/>
          <w:bCs/>
          <w:spacing w:val="60"/>
          <w:sz w:val="28"/>
        </w:rPr>
        <w:t>CONSIDERANDO</w:t>
      </w:r>
    </w:p>
    <w:p w14:paraId="6E3FEE40" w14:textId="77777777" w:rsidR="00F803EF" w:rsidRPr="00124981" w:rsidRDefault="00F803EF" w:rsidP="00E04342">
      <w:pPr>
        <w:suppressAutoHyphens/>
        <w:spacing w:line="360" w:lineRule="auto"/>
        <w:jc w:val="both"/>
        <w:rPr>
          <w:rFonts w:ascii="Palatino Linotype" w:hAnsi="Palatino Linotype"/>
          <w:b/>
          <w:bCs/>
          <w:spacing w:val="60"/>
          <w:sz w:val="28"/>
        </w:rPr>
      </w:pPr>
    </w:p>
    <w:p w14:paraId="7EA7AAAF" w14:textId="77777777" w:rsidR="00F76752" w:rsidRPr="00124981" w:rsidRDefault="00244270" w:rsidP="00E04342">
      <w:pPr>
        <w:widowControl w:val="0"/>
        <w:suppressAutoHyphens/>
        <w:autoSpaceDE w:val="0"/>
        <w:autoSpaceDN w:val="0"/>
        <w:adjustRightInd w:val="0"/>
        <w:spacing w:line="360" w:lineRule="auto"/>
        <w:jc w:val="both"/>
        <w:rPr>
          <w:rFonts w:ascii="Palatino Linotype" w:hAnsi="Palatino Linotype"/>
          <w:b/>
        </w:rPr>
      </w:pPr>
      <w:r w:rsidRPr="00124981">
        <w:rPr>
          <w:rFonts w:ascii="Palatino Linotype" w:hAnsi="Palatino Linotype"/>
          <w:b/>
          <w:sz w:val="28"/>
        </w:rPr>
        <w:t xml:space="preserve">PRIMERO. </w:t>
      </w:r>
      <w:r w:rsidR="00F803EF" w:rsidRPr="00124981">
        <w:rPr>
          <w:rFonts w:ascii="Palatino Linotype" w:hAnsi="Palatino Linotype"/>
          <w:b/>
        </w:rPr>
        <w:t>Competencia</w:t>
      </w:r>
      <w:r w:rsidR="00F803EF" w:rsidRPr="00124981">
        <w:rPr>
          <w:rFonts w:ascii="Palatino Linotype" w:hAnsi="Palatino Linotype"/>
        </w:rPr>
        <w:t>.</w:t>
      </w:r>
      <w:r w:rsidR="00F803EF" w:rsidRPr="00124981">
        <w:rPr>
          <w:rFonts w:ascii="Palatino Linotype" w:hAnsi="Palatino Linotype"/>
          <w:b/>
        </w:rPr>
        <w:t xml:space="preserve"> </w:t>
      </w:r>
    </w:p>
    <w:p w14:paraId="25A41074" w14:textId="7E813729" w:rsidR="00F803EF" w:rsidRPr="00124981" w:rsidRDefault="00F803EF" w:rsidP="00E04342">
      <w:pPr>
        <w:widowControl w:val="0"/>
        <w:suppressAutoHyphens/>
        <w:autoSpaceDE w:val="0"/>
        <w:autoSpaceDN w:val="0"/>
        <w:adjustRightInd w:val="0"/>
        <w:spacing w:line="360" w:lineRule="auto"/>
        <w:jc w:val="both"/>
        <w:rPr>
          <w:rFonts w:ascii="Palatino Linotype" w:hAnsi="Palatino Linotype" w:cs="Arial"/>
        </w:rPr>
      </w:pPr>
      <w:r w:rsidRPr="00124981">
        <w:rPr>
          <w:rFonts w:ascii="Palatino Linotype" w:hAnsi="Palatino Linotype"/>
        </w:rPr>
        <w:t xml:space="preserve">Este Instituto de Transparencia, </w:t>
      </w:r>
      <w:r w:rsidR="00996512" w:rsidRPr="00124981">
        <w:rPr>
          <w:rFonts w:ascii="Palatino Linotype" w:hAnsi="Palatino Linotype"/>
        </w:rPr>
        <w:t>Acceso a la Información</w:t>
      </w:r>
      <w:r w:rsidR="005E3C55" w:rsidRPr="00124981">
        <w:rPr>
          <w:rFonts w:ascii="Palatino Linotype" w:hAnsi="Palatino Linotype"/>
        </w:rPr>
        <w:t xml:space="preserve"> Pública</w:t>
      </w:r>
      <w:r w:rsidRPr="00124981">
        <w:rPr>
          <w:rFonts w:ascii="Palatino Linotype" w:hAnsi="Palatino Linotype"/>
        </w:rPr>
        <w:t xml:space="preserve"> y Protección de Datos Personales del Estado de México y Municipios, es competente para conocer y resolver el presente </w:t>
      </w:r>
      <w:r w:rsidR="005E3C55" w:rsidRPr="00124981">
        <w:rPr>
          <w:rFonts w:ascii="Palatino Linotype" w:hAnsi="Palatino Linotype"/>
        </w:rPr>
        <w:t>Recurso de Revisión</w:t>
      </w:r>
      <w:r w:rsidRPr="00124981">
        <w:rPr>
          <w:rFonts w:ascii="Palatino Linotype" w:hAnsi="Palatino Linotype"/>
        </w:rPr>
        <w:t xml:space="preserve">,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w:t>
      </w:r>
      <w:r w:rsidR="00996512" w:rsidRPr="00124981">
        <w:rPr>
          <w:rFonts w:ascii="Palatino Linotype" w:hAnsi="Palatino Linotype"/>
        </w:rPr>
        <w:t>Acceso a la Información</w:t>
      </w:r>
      <w:r w:rsidR="005E3C55" w:rsidRPr="00124981">
        <w:rPr>
          <w:rFonts w:ascii="Palatino Linotype" w:hAnsi="Palatino Linotype"/>
        </w:rPr>
        <w:t xml:space="preserve"> Pública</w:t>
      </w:r>
      <w:r w:rsidRPr="00124981">
        <w:rPr>
          <w:rFonts w:ascii="Palatino Linotype" w:hAnsi="Palatino Linotype"/>
        </w:rPr>
        <w:t xml:space="preserve"> del Estado de México y Municipios</w:t>
      </w:r>
      <w:r w:rsidRPr="00124981">
        <w:rPr>
          <w:rFonts w:ascii="Palatino Linotype" w:hAnsi="Palatino Linotype" w:cs="Arial"/>
        </w:rPr>
        <w:t xml:space="preserve">; y 9, fracciones I y XXIV y 11 del Reglamento Interior del Instituto de Transparencia, </w:t>
      </w:r>
      <w:r w:rsidR="00996512" w:rsidRPr="00124981">
        <w:rPr>
          <w:rFonts w:ascii="Palatino Linotype" w:hAnsi="Palatino Linotype" w:cs="Arial"/>
        </w:rPr>
        <w:t>Acceso a la Información</w:t>
      </w:r>
      <w:r w:rsidR="005E3C55" w:rsidRPr="00124981">
        <w:rPr>
          <w:rFonts w:ascii="Palatino Linotype" w:hAnsi="Palatino Linotype" w:cs="Arial"/>
        </w:rPr>
        <w:t xml:space="preserve"> Pública</w:t>
      </w:r>
      <w:r w:rsidRPr="00124981">
        <w:rPr>
          <w:rFonts w:ascii="Palatino Linotype" w:hAnsi="Palatino Linotype" w:cs="Arial"/>
        </w:rPr>
        <w:t xml:space="preserve"> y Protección de Datos Personales del Estado de México y Municipios.</w:t>
      </w:r>
    </w:p>
    <w:p w14:paraId="5B6B6E96" w14:textId="77777777" w:rsidR="00F76752" w:rsidRPr="00124981" w:rsidRDefault="00244270" w:rsidP="00E04342">
      <w:pPr>
        <w:widowControl w:val="0"/>
        <w:suppressAutoHyphens/>
        <w:autoSpaceDE w:val="0"/>
        <w:autoSpaceDN w:val="0"/>
        <w:adjustRightInd w:val="0"/>
        <w:spacing w:line="360" w:lineRule="auto"/>
        <w:jc w:val="both"/>
        <w:rPr>
          <w:rFonts w:ascii="Palatino Linotype" w:hAnsi="Palatino Linotype" w:cs="Arial"/>
        </w:rPr>
      </w:pPr>
      <w:r w:rsidRPr="00124981">
        <w:rPr>
          <w:rFonts w:ascii="Palatino Linotype" w:hAnsi="Palatino Linotype" w:cs="Arial"/>
          <w:b/>
          <w:sz w:val="28"/>
        </w:rPr>
        <w:lastRenderedPageBreak/>
        <w:t xml:space="preserve">SEGUNDO. </w:t>
      </w:r>
      <w:r w:rsidR="00F803EF" w:rsidRPr="00124981">
        <w:rPr>
          <w:rFonts w:ascii="Palatino Linotype" w:hAnsi="Palatino Linotype" w:cs="Arial"/>
          <w:b/>
        </w:rPr>
        <w:t>Interés.</w:t>
      </w:r>
      <w:r w:rsidR="00F803EF" w:rsidRPr="00124981">
        <w:rPr>
          <w:rFonts w:ascii="Palatino Linotype" w:hAnsi="Palatino Linotype" w:cs="Arial"/>
        </w:rPr>
        <w:t xml:space="preserve"> </w:t>
      </w:r>
    </w:p>
    <w:p w14:paraId="5CC44044" w14:textId="5AE99436" w:rsidR="00A95061" w:rsidRPr="00124981" w:rsidRDefault="00A95061" w:rsidP="00E04342">
      <w:pPr>
        <w:spacing w:line="360" w:lineRule="auto"/>
        <w:jc w:val="both"/>
        <w:rPr>
          <w:rFonts w:ascii="Palatino Linotype" w:hAnsi="Palatino Linotype" w:cs="Arial"/>
          <w:b/>
          <w:bCs/>
        </w:rPr>
      </w:pPr>
      <w:r w:rsidRPr="00124981">
        <w:rPr>
          <w:rFonts w:ascii="Palatino Linotype" w:hAnsi="Palatino Linotype" w:cs="Arial"/>
          <w:bCs/>
        </w:rPr>
        <w:t xml:space="preserve">El </w:t>
      </w:r>
      <w:r w:rsidR="005E3C55" w:rsidRPr="00124981">
        <w:rPr>
          <w:rFonts w:ascii="Palatino Linotype" w:hAnsi="Palatino Linotype" w:cs="Arial"/>
          <w:bCs/>
        </w:rPr>
        <w:t>Recurso de Revisión</w:t>
      </w:r>
      <w:r w:rsidRPr="00124981">
        <w:rPr>
          <w:rFonts w:ascii="Palatino Linotype" w:hAnsi="Palatino Linotype" w:cs="Arial"/>
          <w:bCs/>
        </w:rPr>
        <w:t xml:space="preserve"> fue interpuesto por parte legítima, en atención a que se presentó por </w:t>
      </w:r>
      <w:r w:rsidR="000573AD" w:rsidRPr="00124981">
        <w:rPr>
          <w:rFonts w:ascii="Palatino Linotype" w:hAnsi="Palatino Linotype" w:cs="Arial"/>
          <w:b/>
          <w:bCs/>
        </w:rPr>
        <w:t>EL</w:t>
      </w:r>
      <w:r w:rsidRPr="00124981">
        <w:rPr>
          <w:rFonts w:ascii="Palatino Linotype" w:hAnsi="Palatino Linotype" w:cs="Arial"/>
          <w:b/>
          <w:bCs/>
        </w:rPr>
        <w:t xml:space="preserve"> RECURRENTE,</w:t>
      </w:r>
      <w:r w:rsidRPr="00124981">
        <w:rPr>
          <w:rFonts w:ascii="Palatino Linotype" w:hAnsi="Palatino Linotype" w:cs="Arial"/>
          <w:bCs/>
        </w:rPr>
        <w:t xml:space="preserve"> quien es la misma persona que formuló la solicitud de </w:t>
      </w:r>
      <w:r w:rsidR="00996512" w:rsidRPr="00124981">
        <w:rPr>
          <w:rFonts w:ascii="Palatino Linotype" w:hAnsi="Palatino Linotype" w:cs="Arial"/>
          <w:bCs/>
        </w:rPr>
        <w:t>Acceso a la Información</w:t>
      </w:r>
      <w:r w:rsidR="005E3C55" w:rsidRPr="00124981">
        <w:rPr>
          <w:rFonts w:ascii="Palatino Linotype" w:hAnsi="Palatino Linotype" w:cs="Arial"/>
          <w:bCs/>
        </w:rPr>
        <w:t xml:space="preserve"> Pública</w:t>
      </w:r>
      <w:r w:rsidRPr="00124981">
        <w:rPr>
          <w:rFonts w:ascii="Palatino Linotype" w:hAnsi="Palatino Linotype" w:cs="Arial"/>
          <w:bCs/>
        </w:rPr>
        <w:t xml:space="preserve"> al </w:t>
      </w:r>
      <w:r w:rsidRPr="00124981">
        <w:rPr>
          <w:rFonts w:ascii="Palatino Linotype" w:hAnsi="Palatino Linotype" w:cs="Arial"/>
          <w:b/>
          <w:bCs/>
        </w:rPr>
        <w:t xml:space="preserve">SUJETO OBLIGADO, </w:t>
      </w:r>
      <w:r w:rsidRPr="00124981">
        <w:rPr>
          <w:rFonts w:ascii="Palatino Linotype" w:hAnsi="Palatino Linotype" w:cs="Arial"/>
        </w:rPr>
        <w:t>en razón de que las claves de acceso</w:t>
      </w:r>
      <w:r w:rsidRPr="00124981">
        <w:rPr>
          <w:rFonts w:ascii="Palatino Linotype" w:hAnsi="Palatino Linotype" w:cs="Arial"/>
          <w:b/>
          <w:bCs/>
        </w:rPr>
        <w:t xml:space="preserve"> </w:t>
      </w:r>
      <w:r w:rsidRPr="00124981">
        <w:rPr>
          <w:rFonts w:ascii="Palatino Linotype" w:hAnsi="Palatino Linotype" w:cs="Arial"/>
        </w:rPr>
        <w:t>al</w:t>
      </w:r>
      <w:r w:rsidRPr="00124981">
        <w:rPr>
          <w:rFonts w:ascii="Palatino Linotype" w:hAnsi="Palatino Linotype" w:cs="Arial"/>
          <w:b/>
          <w:bCs/>
        </w:rPr>
        <w:t xml:space="preserve"> </w:t>
      </w:r>
      <w:r w:rsidRPr="00124981">
        <w:rPr>
          <w:rFonts w:ascii="Palatino Linotype" w:eastAsia="Calibri" w:hAnsi="Palatino Linotype" w:cs="Arial"/>
          <w:lang w:eastAsia="en-US"/>
        </w:rPr>
        <w:t xml:space="preserve">Sistema de </w:t>
      </w:r>
      <w:r w:rsidR="00996512" w:rsidRPr="00124981">
        <w:rPr>
          <w:rFonts w:ascii="Palatino Linotype" w:eastAsia="Calibri" w:hAnsi="Palatino Linotype" w:cs="Arial"/>
          <w:lang w:eastAsia="en-US"/>
        </w:rPr>
        <w:t>Acceso a la Información</w:t>
      </w:r>
      <w:r w:rsidRPr="00124981">
        <w:rPr>
          <w:rFonts w:ascii="Palatino Linotype" w:eastAsia="Calibri" w:hAnsi="Palatino Linotype" w:cs="Arial"/>
          <w:lang w:eastAsia="en-US"/>
        </w:rPr>
        <w:t xml:space="preserve"> Mexiquense (</w:t>
      </w:r>
      <w:r w:rsidRPr="00124981">
        <w:rPr>
          <w:rFonts w:ascii="Palatino Linotype" w:eastAsia="Calibri" w:hAnsi="Palatino Linotype" w:cs="Arial"/>
          <w:b/>
          <w:bCs/>
          <w:lang w:eastAsia="en-US"/>
        </w:rPr>
        <w:t>SAIMEX</w:t>
      </w:r>
      <w:r w:rsidRPr="00124981">
        <w:rPr>
          <w:rFonts w:ascii="Palatino Linotype" w:eastAsia="Calibri" w:hAnsi="Palatino Linotype" w:cs="Arial"/>
          <w:lang w:eastAsia="en-US"/>
        </w:rPr>
        <w:t>) son personales e irrepetibles a lo cual se tiene certeza que se trata del mismo particular.</w:t>
      </w:r>
    </w:p>
    <w:p w14:paraId="1F90E506" w14:textId="77777777" w:rsidR="00F803EF" w:rsidRPr="00124981" w:rsidRDefault="00F803EF" w:rsidP="00E04342">
      <w:pPr>
        <w:widowControl w:val="0"/>
        <w:autoSpaceDE w:val="0"/>
        <w:autoSpaceDN w:val="0"/>
        <w:adjustRightInd w:val="0"/>
        <w:spacing w:line="360" w:lineRule="auto"/>
        <w:jc w:val="both"/>
        <w:rPr>
          <w:rFonts w:ascii="Palatino Linotype" w:hAnsi="Palatino Linotype" w:cs="Arial"/>
        </w:rPr>
      </w:pPr>
    </w:p>
    <w:p w14:paraId="625D74D4" w14:textId="77777777" w:rsidR="00F76752" w:rsidRPr="00124981" w:rsidRDefault="00244270" w:rsidP="00E04342">
      <w:pPr>
        <w:widowControl w:val="0"/>
        <w:suppressAutoHyphens/>
        <w:autoSpaceDE w:val="0"/>
        <w:autoSpaceDN w:val="0"/>
        <w:adjustRightInd w:val="0"/>
        <w:spacing w:line="360" w:lineRule="auto"/>
        <w:ind w:right="45"/>
        <w:jc w:val="both"/>
        <w:textAlignment w:val="baseline"/>
        <w:rPr>
          <w:rFonts w:ascii="Palatino Linotype" w:hAnsi="Palatino Linotype" w:cs="Arial"/>
          <w:b/>
        </w:rPr>
      </w:pPr>
      <w:r w:rsidRPr="00124981">
        <w:rPr>
          <w:rFonts w:ascii="Palatino Linotype" w:hAnsi="Palatino Linotype" w:cs="Arial"/>
          <w:b/>
          <w:sz w:val="28"/>
        </w:rPr>
        <w:t xml:space="preserve">TERCERO. </w:t>
      </w:r>
      <w:r w:rsidR="00F803EF" w:rsidRPr="00124981">
        <w:rPr>
          <w:rFonts w:ascii="Palatino Linotype" w:hAnsi="Palatino Linotype" w:cs="Arial"/>
          <w:b/>
        </w:rPr>
        <w:t xml:space="preserve">Oportunidad. </w:t>
      </w:r>
    </w:p>
    <w:p w14:paraId="6CF4795D" w14:textId="77777777" w:rsidR="0026648F" w:rsidRPr="00124981" w:rsidRDefault="0026648F" w:rsidP="00E04342">
      <w:pPr>
        <w:pStyle w:val="Prrafodelista"/>
        <w:widowControl w:val="0"/>
        <w:tabs>
          <w:tab w:val="left" w:pos="1701"/>
        </w:tabs>
        <w:autoSpaceDE w:val="0"/>
        <w:autoSpaceDN w:val="0"/>
        <w:adjustRightInd w:val="0"/>
        <w:spacing w:line="360" w:lineRule="auto"/>
        <w:ind w:left="0" w:right="49"/>
        <w:jc w:val="both"/>
        <w:rPr>
          <w:rFonts w:ascii="Palatino Linotype" w:hAnsi="Palatino Linotype" w:cs="Arial"/>
          <w:b/>
        </w:rPr>
      </w:pPr>
      <w:r w:rsidRPr="00124981">
        <w:rPr>
          <w:rFonts w:ascii="Palatino Linotype" w:hAnsi="Palatino Linotype" w:cs="Arial"/>
        </w:rPr>
        <w:t xml:space="preserve">El Recurso de Revisión fue interpuesto dentro del plazo de quince días hábiles, contados a partir del día siguiente al que </w:t>
      </w:r>
      <w:r w:rsidRPr="00124981">
        <w:rPr>
          <w:rFonts w:ascii="Palatino Linotype" w:hAnsi="Palatino Linotype" w:cs="Arial"/>
          <w:b/>
        </w:rPr>
        <w:t xml:space="preserve">EL RECURRENTE </w:t>
      </w:r>
      <w:r w:rsidRPr="00124981">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79E0D2A0" w14:textId="77777777" w:rsidR="0026648F" w:rsidRPr="00124981" w:rsidRDefault="0026648F" w:rsidP="00E04342">
      <w:pPr>
        <w:ind w:left="720" w:right="709"/>
        <w:contextualSpacing/>
        <w:jc w:val="both"/>
        <w:rPr>
          <w:rFonts w:ascii="Palatino Linotype" w:hAnsi="Palatino Linotype" w:cs="Arial"/>
          <w:i/>
          <w:sz w:val="22"/>
        </w:rPr>
      </w:pPr>
    </w:p>
    <w:p w14:paraId="40FD4F6B" w14:textId="77777777" w:rsidR="0026648F" w:rsidRPr="00124981" w:rsidRDefault="0026648F" w:rsidP="00E04342">
      <w:pPr>
        <w:ind w:left="851" w:right="899"/>
        <w:contextualSpacing/>
        <w:jc w:val="both"/>
        <w:rPr>
          <w:rFonts w:ascii="Palatino Linotype" w:hAnsi="Palatino Linotype" w:cs="Arial"/>
          <w:i/>
          <w:sz w:val="22"/>
        </w:rPr>
      </w:pPr>
      <w:r w:rsidRPr="00124981">
        <w:rPr>
          <w:rFonts w:ascii="Palatino Linotype" w:hAnsi="Palatino Linotype" w:cs="Arial"/>
          <w:i/>
          <w:sz w:val="22"/>
        </w:rPr>
        <w:t>“</w:t>
      </w:r>
      <w:r w:rsidRPr="00124981">
        <w:rPr>
          <w:rFonts w:ascii="Palatino Linotype" w:hAnsi="Palatino Linotype" w:cs="Arial"/>
          <w:b/>
          <w:i/>
          <w:sz w:val="22"/>
        </w:rPr>
        <w:t>Artículo 178.</w:t>
      </w:r>
      <w:r w:rsidRPr="00124981">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0DC891F" w14:textId="77777777" w:rsidR="0026648F" w:rsidRPr="00124981" w:rsidRDefault="0026648F" w:rsidP="00E04342">
      <w:pPr>
        <w:ind w:left="851" w:right="899"/>
        <w:contextualSpacing/>
        <w:jc w:val="both"/>
        <w:rPr>
          <w:rFonts w:ascii="Palatino Linotype" w:hAnsi="Palatino Linotype" w:cs="Arial"/>
          <w:i/>
          <w:sz w:val="22"/>
        </w:rPr>
      </w:pPr>
    </w:p>
    <w:p w14:paraId="37854E84" w14:textId="77777777" w:rsidR="0026648F" w:rsidRPr="00124981" w:rsidRDefault="0026648F" w:rsidP="00E04342">
      <w:pPr>
        <w:ind w:left="851" w:right="899"/>
        <w:contextualSpacing/>
        <w:jc w:val="both"/>
        <w:rPr>
          <w:rFonts w:ascii="Palatino Linotype" w:hAnsi="Palatino Linotype" w:cs="Arial"/>
          <w:i/>
          <w:sz w:val="22"/>
        </w:rPr>
      </w:pPr>
      <w:r w:rsidRPr="00124981">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021F925" w14:textId="77777777" w:rsidR="0026648F" w:rsidRPr="00124981" w:rsidRDefault="0026648F" w:rsidP="00E04342">
      <w:pPr>
        <w:ind w:left="851" w:right="899"/>
        <w:contextualSpacing/>
        <w:jc w:val="both"/>
        <w:rPr>
          <w:rFonts w:ascii="Palatino Linotype" w:hAnsi="Palatino Linotype" w:cs="Arial"/>
          <w:i/>
          <w:sz w:val="22"/>
        </w:rPr>
      </w:pPr>
    </w:p>
    <w:p w14:paraId="025FB618" w14:textId="77777777" w:rsidR="0026648F" w:rsidRPr="00124981" w:rsidRDefault="0026648F" w:rsidP="00E04342">
      <w:pPr>
        <w:ind w:left="851" w:right="899"/>
        <w:jc w:val="both"/>
        <w:rPr>
          <w:rFonts w:ascii="Palatino Linotype" w:hAnsi="Palatino Linotype" w:cs="Arial"/>
          <w:i/>
          <w:sz w:val="22"/>
        </w:rPr>
      </w:pPr>
      <w:r w:rsidRPr="00124981">
        <w:rPr>
          <w:rFonts w:ascii="Palatino Linotype" w:hAnsi="Palatino Linotype" w:cs="Arial"/>
          <w:i/>
          <w:sz w:val="22"/>
        </w:rPr>
        <w:t xml:space="preserve">En el caso de que se interponga ante la Unidad de Transparencia, ésta deberá remitir el Recurso de Revisión al Instituto a más tardar al día </w:t>
      </w:r>
      <w:r w:rsidRPr="00124981">
        <w:rPr>
          <w:rFonts w:ascii="Palatino Linotype" w:hAnsi="Palatino Linotype" w:cs="Arial"/>
          <w:i/>
          <w:sz w:val="22"/>
          <w:lang w:eastAsia="es-MX"/>
        </w:rPr>
        <w:t>siguiente</w:t>
      </w:r>
      <w:r w:rsidRPr="00124981">
        <w:rPr>
          <w:rFonts w:ascii="Palatino Linotype" w:hAnsi="Palatino Linotype" w:cs="Arial"/>
          <w:i/>
          <w:sz w:val="22"/>
        </w:rPr>
        <w:t xml:space="preserve"> de haberlo recibido.”</w:t>
      </w:r>
    </w:p>
    <w:p w14:paraId="2CD96C4B" w14:textId="77777777" w:rsidR="0026648F" w:rsidRPr="00124981" w:rsidRDefault="0026648F" w:rsidP="00E04342">
      <w:pPr>
        <w:ind w:left="720" w:right="709"/>
        <w:jc w:val="both"/>
        <w:rPr>
          <w:rFonts w:ascii="Palatino Linotype" w:hAnsi="Palatino Linotype" w:cs="Arial"/>
          <w:i/>
          <w:sz w:val="22"/>
        </w:rPr>
      </w:pPr>
    </w:p>
    <w:p w14:paraId="2C1C4E38" w14:textId="2C604B67" w:rsidR="0026648F" w:rsidRPr="00124981" w:rsidRDefault="0026648F" w:rsidP="00E04342">
      <w:pPr>
        <w:spacing w:line="360" w:lineRule="auto"/>
        <w:jc w:val="both"/>
        <w:rPr>
          <w:rFonts w:ascii="Palatino Linotype" w:eastAsiaTheme="minorEastAsia" w:hAnsi="Palatino Linotype" w:cs="Arial"/>
          <w:lang w:val="es-ES_tradnl"/>
        </w:rPr>
      </w:pPr>
      <w:r w:rsidRPr="00124981">
        <w:rPr>
          <w:rFonts w:ascii="Palatino Linotype" w:hAnsi="Palatino Linotype" w:cs="Arial"/>
        </w:rPr>
        <w:t xml:space="preserve">En esa tesitura, atendiendo a que </w:t>
      </w:r>
      <w:r w:rsidRPr="00124981">
        <w:rPr>
          <w:rFonts w:ascii="Palatino Linotype" w:hAnsi="Palatino Linotype" w:cs="Arial"/>
          <w:b/>
        </w:rPr>
        <w:t>EL SUJETO OBLIGADO</w:t>
      </w:r>
      <w:r w:rsidRPr="00124981">
        <w:rPr>
          <w:rFonts w:ascii="Palatino Linotype" w:hAnsi="Palatino Linotype" w:cs="Arial"/>
        </w:rPr>
        <w:t xml:space="preserve"> notificó la respuesta a la solicitud de acceso a la Información Pública el día</w:t>
      </w:r>
      <w:r w:rsidRPr="00124981">
        <w:rPr>
          <w:rFonts w:ascii="Palatino Linotype" w:hAnsi="Palatino Linotype" w:cs="Arial"/>
          <w:b/>
        </w:rPr>
        <w:t xml:space="preserve"> nueve de febrero de dos mil </w:t>
      </w:r>
      <w:r w:rsidRPr="00124981">
        <w:rPr>
          <w:rFonts w:ascii="Palatino Linotype" w:hAnsi="Palatino Linotype" w:cs="Arial"/>
          <w:b/>
        </w:rPr>
        <w:lastRenderedPageBreak/>
        <w:t>veintidós</w:t>
      </w:r>
      <w:r w:rsidRPr="00124981">
        <w:rPr>
          <w:rFonts w:ascii="Palatino Linotype" w:hAnsi="Palatino Linotype" w:cs="Arial"/>
        </w:rPr>
        <w:t xml:space="preserve">; así, el plazo de quince días hábiles que el artículo 178 de la Ley de la materia otorga a </w:t>
      </w:r>
      <w:r w:rsidRPr="00124981">
        <w:rPr>
          <w:rFonts w:ascii="Palatino Linotype" w:hAnsi="Palatino Linotype" w:cs="Arial"/>
          <w:b/>
        </w:rPr>
        <w:t>EL RECURRENTE</w:t>
      </w:r>
      <w:r w:rsidRPr="00124981">
        <w:rPr>
          <w:rFonts w:ascii="Palatino Linotype" w:hAnsi="Palatino Linotype" w:cs="Arial"/>
        </w:rPr>
        <w:t xml:space="preserve"> para presentar el respectivo Recurso de Revisión, transcurrió del </w:t>
      </w:r>
      <w:r w:rsidRPr="00124981">
        <w:rPr>
          <w:rFonts w:ascii="Palatino Linotype" w:hAnsi="Palatino Linotype" w:cs="Arial"/>
          <w:b/>
        </w:rPr>
        <w:t>diez de febrero al tres de marzo de dos mil veintidós</w:t>
      </w:r>
      <w:r w:rsidRPr="00124981">
        <w:rPr>
          <w:rFonts w:ascii="Palatino Linotype" w:hAnsi="Palatino Linotype" w:cs="Arial"/>
        </w:rPr>
        <w:t xml:space="preserve">, </w:t>
      </w:r>
      <w:r w:rsidRPr="00124981">
        <w:rPr>
          <w:rFonts w:ascii="Palatino Linotype" w:eastAsiaTheme="minorEastAsia" w:hAnsi="Palatino Linotype" w:cs="Arial"/>
          <w:lang w:val="es-ES_tradnl"/>
        </w:rPr>
        <w:t xml:space="preserve">sin contemplar en el cómputo los días once, doce, diecinueve veinte, veintiséis y veintisiete de febrero de dos mil veintidós, </w:t>
      </w:r>
      <w:bookmarkStart w:id="1" w:name="_Hlk62134391"/>
      <w:r w:rsidRPr="00124981">
        <w:rPr>
          <w:rFonts w:ascii="Palatino Linotype" w:eastAsiaTheme="minorEastAsia" w:hAnsi="Palatino Linotype" w:cs="Arial"/>
          <w:lang w:val="es-ES_tradnl"/>
        </w:rPr>
        <w:t>por corresponder a sábados y domingos, considerados como días inhábiles, en términos del artículo 3, fracción X de la Ley de Transparencia y Acceso a la Información Pública del Estado de México y Municipios</w:t>
      </w:r>
      <w:bookmarkEnd w:id="1"/>
      <w:r w:rsidRPr="00124981">
        <w:rPr>
          <w:rFonts w:ascii="Palatino Linotype" w:eastAsiaTheme="minorEastAsia" w:hAnsi="Palatino Linotype" w:cs="Arial"/>
          <w:lang w:val="es-ES_tradnl"/>
        </w:rPr>
        <w:t>, así como, el día dos de marzo de dos mil veintidós, por ser considerado como día inhábil por suspensión de labores en términos del Calendario Oficial en Materia de Transparencia, Acceso a la Información Pública y Protección de Datos Personales del Estado de México y Municipios, así como de labores del Instituto para el año dos mil veintidós y enero de dos mil veintitrés, publicado en el Periódico Oficial “Gaceta del Gobierno”, el veintidós de diciembre de dos mil veintiuno.</w:t>
      </w:r>
    </w:p>
    <w:p w14:paraId="54F18412" w14:textId="77777777" w:rsidR="0026648F" w:rsidRPr="00124981" w:rsidRDefault="0026648F" w:rsidP="00E04342">
      <w:pPr>
        <w:spacing w:line="360" w:lineRule="auto"/>
        <w:jc w:val="both"/>
        <w:rPr>
          <w:rFonts w:ascii="Palatino Linotype" w:eastAsiaTheme="minorEastAsia" w:hAnsi="Palatino Linotype" w:cs="Arial"/>
          <w:lang w:val="es-ES_tradnl"/>
        </w:rPr>
      </w:pPr>
    </w:p>
    <w:p w14:paraId="50649C8D" w14:textId="0678B3D7" w:rsidR="0026648F" w:rsidRPr="00124981" w:rsidRDefault="0026648F" w:rsidP="00E04342">
      <w:pPr>
        <w:spacing w:line="360" w:lineRule="auto"/>
        <w:jc w:val="both"/>
        <w:rPr>
          <w:rFonts w:ascii="Palatino Linotype" w:eastAsia="Palatino Linotype" w:hAnsi="Palatino Linotype" w:cs="Palatino Linotype"/>
          <w:lang w:eastAsia="es-MX"/>
        </w:rPr>
      </w:pPr>
      <w:r w:rsidRPr="00124981">
        <w:rPr>
          <w:rFonts w:ascii="Palatino Linotype" w:eastAsia="Palatino Linotype" w:hAnsi="Palatino Linotype" w:cs="Palatino Linotype"/>
          <w:lang w:eastAsia="es-MX"/>
        </w:rPr>
        <w:t>En ese tenor, si el Recurso de Revisión que nos ocupa se interpuso el</w:t>
      </w:r>
      <w:r w:rsidRPr="00124981">
        <w:rPr>
          <w:rFonts w:ascii="Palatino Linotype" w:eastAsia="Palatino Linotype" w:hAnsi="Palatino Linotype" w:cs="Palatino Linotype"/>
          <w:b/>
          <w:lang w:eastAsia="es-MX"/>
        </w:rPr>
        <w:t xml:space="preserve"> quince de febrero de enero de dos mil veintidós,</w:t>
      </w:r>
      <w:r w:rsidRPr="00124981">
        <w:rPr>
          <w:rFonts w:ascii="Palatino Linotype" w:eastAsia="Palatino Linotype" w:hAnsi="Palatino Linotype" w:cs="Palatino Linotype"/>
          <w:lang w:eastAsia="es-MX"/>
        </w:rPr>
        <w:t xml:space="preserve"> éste se encuentra dentro de los márgenes temporales previstos en el citado precepto legal y, por tanto, se considera oportuno.</w:t>
      </w:r>
    </w:p>
    <w:p w14:paraId="77045E03" w14:textId="77777777" w:rsidR="00F803EF" w:rsidRPr="00124981" w:rsidRDefault="00F803EF" w:rsidP="00E04342">
      <w:pPr>
        <w:widowControl w:val="0"/>
        <w:autoSpaceDE w:val="0"/>
        <w:autoSpaceDN w:val="0"/>
        <w:adjustRightInd w:val="0"/>
        <w:spacing w:line="360" w:lineRule="auto"/>
        <w:jc w:val="both"/>
        <w:rPr>
          <w:rFonts w:ascii="Palatino Linotype" w:hAnsi="Palatino Linotype" w:cs="Arial"/>
        </w:rPr>
      </w:pPr>
    </w:p>
    <w:p w14:paraId="612E4DF8" w14:textId="77777777" w:rsidR="00F76752" w:rsidRPr="00124981" w:rsidRDefault="00244270" w:rsidP="00E04342">
      <w:pPr>
        <w:spacing w:line="360" w:lineRule="auto"/>
        <w:jc w:val="both"/>
        <w:rPr>
          <w:rFonts w:ascii="Palatino Linotype" w:hAnsi="Palatino Linotype"/>
          <w:b/>
        </w:rPr>
      </w:pPr>
      <w:r w:rsidRPr="00124981">
        <w:rPr>
          <w:rFonts w:ascii="Palatino Linotype" w:hAnsi="Palatino Linotype"/>
          <w:b/>
          <w:sz w:val="28"/>
        </w:rPr>
        <w:t xml:space="preserve">CUARTO. </w:t>
      </w:r>
      <w:r w:rsidR="00F803EF" w:rsidRPr="00124981">
        <w:rPr>
          <w:rFonts w:ascii="Palatino Linotype" w:hAnsi="Palatino Linotype"/>
          <w:b/>
        </w:rPr>
        <w:t xml:space="preserve">Procedibilidad. </w:t>
      </w:r>
    </w:p>
    <w:p w14:paraId="23B13888" w14:textId="53D6BB76" w:rsidR="0013513B" w:rsidRPr="00124981" w:rsidRDefault="0013513B" w:rsidP="00E04342">
      <w:pPr>
        <w:spacing w:line="360" w:lineRule="auto"/>
        <w:ind w:right="49"/>
        <w:jc w:val="both"/>
        <w:rPr>
          <w:rFonts w:ascii="Palatino Linotype" w:eastAsia="Palatino Linotype" w:hAnsi="Palatino Linotype" w:cs="Palatino Linotype"/>
        </w:rPr>
      </w:pPr>
      <w:r w:rsidRPr="00124981">
        <w:rPr>
          <w:rFonts w:ascii="Palatino Linotype" w:eastAsia="Palatino Linotype" w:hAnsi="Palatino Linotype" w:cs="Palatino Linotype"/>
        </w:rPr>
        <w:t xml:space="preserve">Esta Ponencia considera importante precisar que conforme al artículo 180, fracción II, último párrafo de la Ley de Transparencia y </w:t>
      </w:r>
      <w:r w:rsidR="00996512" w:rsidRPr="00124981">
        <w:rPr>
          <w:rFonts w:ascii="Palatino Linotype" w:eastAsia="Palatino Linotype" w:hAnsi="Palatino Linotype" w:cs="Palatino Linotype"/>
        </w:rPr>
        <w:t>Acceso a la Información</w:t>
      </w:r>
      <w:r w:rsidR="005E3C55" w:rsidRPr="00124981">
        <w:rPr>
          <w:rFonts w:ascii="Palatino Linotype" w:eastAsia="Palatino Linotype" w:hAnsi="Palatino Linotype" w:cs="Palatino Linotype"/>
        </w:rPr>
        <w:t xml:space="preserve"> Pública</w:t>
      </w:r>
      <w:r w:rsidRPr="00124981">
        <w:rPr>
          <w:rFonts w:ascii="Palatino Linotype" w:eastAsia="Palatino Linotype" w:hAnsi="Palatino Linotype" w:cs="Palatino Linotype"/>
        </w:rPr>
        <w:t xml:space="preserve"> del Estado de México y Municipios, cuando las solicitudes se presenten de manera electrónica no es requisito indispensable el proporcionar el nombre, tal como se muestra a continuación: </w:t>
      </w:r>
    </w:p>
    <w:p w14:paraId="05A1D504" w14:textId="6B3367F8" w:rsidR="0013513B" w:rsidRPr="00124981" w:rsidRDefault="0013513B" w:rsidP="00E04342">
      <w:pPr>
        <w:tabs>
          <w:tab w:val="left" w:pos="851"/>
        </w:tabs>
        <w:ind w:left="851" w:right="901"/>
        <w:jc w:val="both"/>
        <w:rPr>
          <w:rFonts w:ascii="Palatino Linotype" w:eastAsia="Palatino Linotype" w:hAnsi="Palatino Linotype" w:cs="Palatino Linotype"/>
          <w:b/>
          <w:i/>
          <w:sz w:val="22"/>
          <w:szCs w:val="22"/>
        </w:rPr>
      </w:pPr>
      <w:r w:rsidRPr="00124981">
        <w:rPr>
          <w:rFonts w:ascii="Palatino Linotype" w:eastAsia="Palatino Linotype" w:hAnsi="Palatino Linotype" w:cs="Palatino Linotype"/>
          <w:b/>
          <w:i/>
          <w:sz w:val="22"/>
          <w:szCs w:val="22"/>
        </w:rPr>
        <w:lastRenderedPageBreak/>
        <w:t xml:space="preserve">“Artículo 180. </w:t>
      </w:r>
      <w:r w:rsidRPr="00124981">
        <w:rPr>
          <w:rFonts w:ascii="Palatino Linotype" w:eastAsia="Palatino Linotype" w:hAnsi="Palatino Linotype" w:cs="Palatino Linotype"/>
          <w:i/>
          <w:sz w:val="22"/>
          <w:szCs w:val="22"/>
        </w:rPr>
        <w:t xml:space="preserve">El </w:t>
      </w:r>
      <w:r w:rsidR="005E3C55" w:rsidRPr="00124981">
        <w:rPr>
          <w:rFonts w:ascii="Palatino Linotype" w:eastAsia="Palatino Linotype" w:hAnsi="Palatino Linotype" w:cs="Palatino Linotype"/>
          <w:i/>
          <w:sz w:val="22"/>
          <w:szCs w:val="22"/>
        </w:rPr>
        <w:t>Recurso de Revisión</w:t>
      </w:r>
      <w:r w:rsidRPr="00124981">
        <w:rPr>
          <w:rFonts w:ascii="Palatino Linotype" w:eastAsia="Palatino Linotype" w:hAnsi="Palatino Linotype" w:cs="Palatino Linotype"/>
          <w:i/>
          <w:sz w:val="22"/>
          <w:szCs w:val="22"/>
        </w:rPr>
        <w:t xml:space="preserve"> contendrá:</w:t>
      </w:r>
      <w:r w:rsidRPr="00124981">
        <w:rPr>
          <w:rFonts w:ascii="Palatino Linotype" w:eastAsia="Palatino Linotype" w:hAnsi="Palatino Linotype" w:cs="Palatino Linotype"/>
          <w:b/>
          <w:i/>
          <w:sz w:val="22"/>
          <w:szCs w:val="22"/>
        </w:rPr>
        <w:t xml:space="preserve"> </w:t>
      </w:r>
    </w:p>
    <w:p w14:paraId="2C75B114" w14:textId="77777777" w:rsidR="0013513B" w:rsidRPr="00124981" w:rsidRDefault="0013513B" w:rsidP="00E04342">
      <w:pPr>
        <w:tabs>
          <w:tab w:val="left" w:pos="851"/>
        </w:tabs>
        <w:ind w:left="851" w:right="901"/>
        <w:jc w:val="both"/>
        <w:rPr>
          <w:rFonts w:ascii="Palatino Linotype" w:eastAsia="Palatino Linotype" w:hAnsi="Palatino Linotype" w:cs="Palatino Linotype"/>
          <w:b/>
          <w:i/>
          <w:sz w:val="22"/>
          <w:szCs w:val="22"/>
        </w:rPr>
      </w:pPr>
      <w:r w:rsidRPr="00124981">
        <w:rPr>
          <w:rFonts w:ascii="Palatino Linotype" w:eastAsia="Palatino Linotype" w:hAnsi="Palatino Linotype" w:cs="Palatino Linotype"/>
          <w:b/>
          <w:i/>
          <w:sz w:val="22"/>
          <w:szCs w:val="22"/>
        </w:rPr>
        <w:t>…</w:t>
      </w:r>
    </w:p>
    <w:p w14:paraId="3A170FB4" w14:textId="77777777" w:rsidR="0013513B" w:rsidRPr="00124981" w:rsidRDefault="0013513B" w:rsidP="00E04342">
      <w:pPr>
        <w:tabs>
          <w:tab w:val="left" w:pos="851"/>
        </w:tabs>
        <w:ind w:left="851" w:right="901"/>
        <w:jc w:val="both"/>
        <w:rPr>
          <w:rFonts w:ascii="Palatino Linotype" w:eastAsia="Palatino Linotype" w:hAnsi="Palatino Linotype" w:cs="Palatino Linotype"/>
          <w:i/>
          <w:sz w:val="22"/>
          <w:szCs w:val="22"/>
        </w:rPr>
      </w:pPr>
      <w:r w:rsidRPr="00124981">
        <w:rPr>
          <w:rFonts w:ascii="Palatino Linotype" w:eastAsia="Palatino Linotype" w:hAnsi="Palatino Linotype" w:cs="Palatino Linotype"/>
          <w:b/>
          <w:i/>
          <w:sz w:val="22"/>
          <w:szCs w:val="22"/>
        </w:rPr>
        <w:t xml:space="preserve">II. El nombre del solicitante </w:t>
      </w:r>
      <w:r w:rsidRPr="00124981">
        <w:rPr>
          <w:rFonts w:ascii="Palatino Linotype" w:eastAsia="Palatino Linotype" w:hAnsi="Palatino Linotype" w:cs="Palatino Linotype"/>
          <w:b/>
          <w:i/>
          <w:color w:val="222222"/>
          <w:sz w:val="22"/>
          <w:szCs w:val="22"/>
        </w:rPr>
        <w:t>que</w:t>
      </w:r>
      <w:r w:rsidRPr="00124981">
        <w:rPr>
          <w:rFonts w:ascii="Palatino Linotype" w:eastAsia="Palatino Linotype" w:hAnsi="Palatino Linotype" w:cs="Palatino Linotype"/>
          <w:b/>
          <w:i/>
          <w:sz w:val="22"/>
          <w:szCs w:val="22"/>
        </w:rPr>
        <w:t xml:space="preserve"> recurre </w:t>
      </w:r>
      <w:r w:rsidRPr="00124981">
        <w:rPr>
          <w:rFonts w:ascii="Palatino Linotype" w:eastAsia="Palatino Linotype" w:hAnsi="Palatino Linotype" w:cs="Palatino Linotype"/>
          <w:i/>
          <w:sz w:val="22"/>
          <w:szCs w:val="22"/>
        </w:rPr>
        <w:t>o de su representante y, en su caso, …</w:t>
      </w:r>
    </w:p>
    <w:p w14:paraId="21C23227" w14:textId="77777777" w:rsidR="0013513B" w:rsidRPr="00124981" w:rsidRDefault="0013513B" w:rsidP="00E04342">
      <w:pPr>
        <w:tabs>
          <w:tab w:val="left" w:pos="851"/>
        </w:tabs>
        <w:ind w:left="851" w:right="901"/>
        <w:jc w:val="both"/>
        <w:rPr>
          <w:rFonts w:ascii="Palatino Linotype" w:eastAsia="Palatino Linotype" w:hAnsi="Palatino Linotype" w:cs="Palatino Linotype"/>
          <w:b/>
          <w:i/>
          <w:sz w:val="22"/>
          <w:szCs w:val="22"/>
        </w:rPr>
      </w:pPr>
      <w:r w:rsidRPr="00124981">
        <w:rPr>
          <w:rFonts w:ascii="Palatino Linotype" w:eastAsia="Palatino Linotype" w:hAnsi="Palatino Linotype" w:cs="Palatino Linotype"/>
          <w:b/>
          <w:i/>
          <w:sz w:val="22"/>
          <w:szCs w:val="22"/>
        </w:rPr>
        <w:t xml:space="preserve">En caso de </w:t>
      </w:r>
      <w:r w:rsidRPr="00124981">
        <w:rPr>
          <w:rFonts w:ascii="Palatino Linotype" w:eastAsia="Palatino Linotype" w:hAnsi="Palatino Linotype" w:cs="Palatino Linotype"/>
          <w:b/>
          <w:i/>
          <w:color w:val="222222"/>
          <w:sz w:val="22"/>
          <w:szCs w:val="22"/>
        </w:rPr>
        <w:t>que</w:t>
      </w:r>
      <w:r w:rsidRPr="00124981">
        <w:rPr>
          <w:rFonts w:ascii="Palatino Linotype" w:eastAsia="Palatino Linotype" w:hAnsi="Palatino Linotype" w:cs="Palatino Linotype"/>
          <w:b/>
          <w:i/>
          <w:sz w:val="22"/>
          <w:szCs w:val="22"/>
        </w:rPr>
        <w:t xml:space="preserve"> el recurso se interponga de manera electrónica no será indispensable que contengan los requisitos establecidos en las fracciones II</w:t>
      </w:r>
      <w:r w:rsidRPr="00124981">
        <w:rPr>
          <w:rFonts w:ascii="Palatino Linotype" w:eastAsia="Palatino Linotype" w:hAnsi="Palatino Linotype" w:cs="Palatino Linotype"/>
          <w:i/>
          <w:sz w:val="22"/>
          <w:szCs w:val="22"/>
        </w:rPr>
        <w:t>, IV, VII y VIII.</w:t>
      </w:r>
      <w:r w:rsidRPr="00124981">
        <w:rPr>
          <w:rFonts w:ascii="Palatino Linotype" w:eastAsia="Palatino Linotype" w:hAnsi="Palatino Linotype" w:cs="Palatino Linotype"/>
          <w:b/>
          <w:i/>
          <w:sz w:val="22"/>
          <w:szCs w:val="22"/>
        </w:rPr>
        <w:t>”</w:t>
      </w:r>
    </w:p>
    <w:p w14:paraId="320AB9C4" w14:textId="77777777" w:rsidR="0013513B" w:rsidRPr="00124981" w:rsidRDefault="0013513B" w:rsidP="00E04342">
      <w:pPr>
        <w:tabs>
          <w:tab w:val="left" w:pos="851"/>
        </w:tabs>
        <w:ind w:left="851" w:right="901"/>
        <w:jc w:val="both"/>
        <w:rPr>
          <w:rFonts w:ascii="Palatino Linotype" w:eastAsia="Palatino Linotype" w:hAnsi="Palatino Linotype" w:cs="Palatino Linotype"/>
          <w:i/>
          <w:sz w:val="22"/>
          <w:szCs w:val="22"/>
        </w:rPr>
      </w:pPr>
      <w:r w:rsidRPr="00124981">
        <w:rPr>
          <w:rFonts w:ascii="Palatino Linotype" w:eastAsia="Palatino Linotype" w:hAnsi="Palatino Linotype" w:cs="Palatino Linotype"/>
          <w:i/>
          <w:sz w:val="22"/>
          <w:szCs w:val="22"/>
        </w:rPr>
        <w:t>(Énfasis añadido)</w:t>
      </w:r>
    </w:p>
    <w:p w14:paraId="60856580" w14:textId="77777777" w:rsidR="0013513B" w:rsidRPr="00124981" w:rsidRDefault="0013513B" w:rsidP="00E04342">
      <w:pPr>
        <w:tabs>
          <w:tab w:val="left" w:pos="851"/>
        </w:tabs>
        <w:ind w:right="901"/>
        <w:jc w:val="both"/>
        <w:rPr>
          <w:rFonts w:ascii="Palatino Linotype" w:eastAsia="Palatino Linotype" w:hAnsi="Palatino Linotype" w:cs="Palatino Linotype"/>
          <w:i/>
          <w:sz w:val="22"/>
          <w:szCs w:val="22"/>
        </w:rPr>
      </w:pPr>
    </w:p>
    <w:p w14:paraId="7893BC68" w14:textId="6077560E" w:rsidR="0013513B" w:rsidRPr="00124981" w:rsidRDefault="0013513B" w:rsidP="00E04342">
      <w:pPr>
        <w:spacing w:line="360" w:lineRule="auto"/>
        <w:jc w:val="both"/>
        <w:rPr>
          <w:rFonts w:ascii="Palatino Linotype" w:eastAsia="Palatino Linotype" w:hAnsi="Palatino Linotype" w:cs="Palatino Linotype"/>
        </w:rPr>
      </w:pPr>
      <w:r w:rsidRPr="00124981">
        <w:rPr>
          <w:rFonts w:ascii="Palatino Linotype" w:eastAsia="Palatino Linotype" w:hAnsi="Palatino Linotype" w:cs="Palatino Linotype"/>
        </w:rPr>
        <w:t xml:space="preserve">Es así que, derivado que el </w:t>
      </w:r>
      <w:r w:rsidR="005E3C55" w:rsidRPr="00124981">
        <w:rPr>
          <w:rFonts w:ascii="Palatino Linotype" w:eastAsia="Palatino Linotype" w:hAnsi="Palatino Linotype" w:cs="Palatino Linotype"/>
        </w:rPr>
        <w:t>Recurso de Revisión</w:t>
      </w:r>
      <w:r w:rsidRPr="00124981">
        <w:rPr>
          <w:rFonts w:ascii="Palatino Linotype" w:eastAsia="Palatino Linotype" w:hAnsi="Palatino Linotype" w:cs="Palatino Linotype"/>
        </w:rPr>
        <w:t xml:space="preserve"> materia del presente asunto, se interpuso de manera electrónica, no es necesario que contenga determinados requisitos, entre ellos, el nombre</w:t>
      </w:r>
      <w:r w:rsidRPr="00124981">
        <w:rPr>
          <w:rFonts w:ascii="Palatino Linotype" w:eastAsia="Palatino Linotype" w:hAnsi="Palatino Linotype" w:cs="Palatino Linotype"/>
          <w:b/>
        </w:rPr>
        <w:t>;</w:t>
      </w:r>
      <w:r w:rsidRPr="00124981">
        <w:rPr>
          <w:rFonts w:ascii="Palatino Linotype" w:eastAsia="Palatino Linotype" w:hAnsi="Palatino Linotype" w:cs="Palatino Linotype"/>
        </w:rPr>
        <w:t xml:space="preserve"> por lo que, en el presente caso, al haber sido presentado el </w:t>
      </w:r>
      <w:r w:rsidR="005E3C55" w:rsidRPr="00124981">
        <w:rPr>
          <w:rFonts w:ascii="Palatino Linotype" w:eastAsia="Palatino Linotype" w:hAnsi="Palatino Linotype" w:cs="Palatino Linotype"/>
        </w:rPr>
        <w:t>Recurso de Revisión</w:t>
      </w:r>
      <w:r w:rsidRPr="00124981">
        <w:rPr>
          <w:rFonts w:ascii="Palatino Linotype" w:eastAsia="Palatino Linotype" w:hAnsi="Palatino Linotype" w:cs="Palatino Linotype"/>
        </w:rPr>
        <w:t xml:space="preserve"> vía </w:t>
      </w:r>
      <w:r w:rsidRPr="00124981">
        <w:rPr>
          <w:rFonts w:ascii="Palatino Linotype" w:eastAsia="Palatino Linotype" w:hAnsi="Palatino Linotype" w:cs="Palatino Linotype"/>
          <w:b/>
        </w:rPr>
        <w:t>SAIMEX</w:t>
      </w:r>
      <w:r w:rsidRPr="00124981">
        <w:rPr>
          <w:rFonts w:ascii="Palatino Linotype" w:eastAsia="Palatino Linotype" w:hAnsi="Palatino Linotype" w:cs="Palatino Linotype"/>
        </w:rPr>
        <w:t>, dicho requisito resulta innecesario.</w:t>
      </w:r>
    </w:p>
    <w:p w14:paraId="56AFEAF9" w14:textId="77777777" w:rsidR="0013513B" w:rsidRPr="00124981" w:rsidRDefault="0013513B" w:rsidP="00E04342">
      <w:pPr>
        <w:spacing w:line="360" w:lineRule="auto"/>
        <w:jc w:val="both"/>
        <w:rPr>
          <w:rFonts w:ascii="Palatino Linotype" w:eastAsia="Palatino Linotype" w:hAnsi="Palatino Linotype" w:cs="Palatino Linotype"/>
          <w:b/>
        </w:rPr>
      </w:pPr>
    </w:p>
    <w:p w14:paraId="35D642C7" w14:textId="5FD1D882" w:rsidR="0013513B" w:rsidRPr="00124981" w:rsidRDefault="0013513B" w:rsidP="00E04342">
      <w:pPr>
        <w:spacing w:line="360" w:lineRule="auto"/>
        <w:jc w:val="both"/>
        <w:rPr>
          <w:rFonts w:ascii="Palatino Linotype" w:eastAsia="Palatino Linotype" w:hAnsi="Palatino Linotype" w:cs="Palatino Linotype"/>
          <w:color w:val="000000"/>
        </w:rPr>
      </w:pPr>
      <w:r w:rsidRPr="00124981">
        <w:rPr>
          <w:rFonts w:ascii="Palatino Linotype" w:eastAsia="Palatino Linotype" w:hAnsi="Palatino Linotype" w:cs="Palatino Linotype"/>
        </w:rPr>
        <w:t xml:space="preserve">Lo anterior es así, pues el artículo 15 de Ley de Transparencia y </w:t>
      </w:r>
      <w:r w:rsidR="00996512" w:rsidRPr="00124981">
        <w:rPr>
          <w:rFonts w:ascii="Palatino Linotype" w:eastAsia="Palatino Linotype" w:hAnsi="Palatino Linotype" w:cs="Palatino Linotype"/>
        </w:rPr>
        <w:t>Acceso a la Información</w:t>
      </w:r>
      <w:r w:rsidR="005E3C55" w:rsidRPr="00124981">
        <w:rPr>
          <w:rFonts w:ascii="Palatino Linotype" w:eastAsia="Palatino Linotype" w:hAnsi="Palatino Linotype" w:cs="Palatino Linotype"/>
        </w:rPr>
        <w:t xml:space="preserve"> Pública</w:t>
      </w:r>
      <w:r w:rsidRPr="00124981">
        <w:rPr>
          <w:rFonts w:ascii="Palatino Linotype" w:eastAsia="Palatino Linotype" w:hAnsi="Palatino Linotype" w:cs="Palatino Linotype"/>
        </w:rPr>
        <w:t xml:space="preserve"> del Estado de México y Municipios prevé que, toda persona tendrá </w:t>
      </w:r>
      <w:r w:rsidR="00996512" w:rsidRPr="00124981">
        <w:rPr>
          <w:rFonts w:ascii="Palatino Linotype" w:eastAsia="Palatino Linotype" w:hAnsi="Palatino Linotype" w:cs="Palatino Linotype"/>
        </w:rPr>
        <w:t>Acceso a la Información</w:t>
      </w:r>
      <w:r w:rsidRPr="00124981">
        <w:rPr>
          <w:rFonts w:ascii="Palatino Linotype" w:eastAsia="Palatino Linotype" w:hAnsi="Palatino Linotype" w:cs="Palatino Linotype"/>
        </w:rPr>
        <w:t xml:space="preserve"> </w:t>
      </w:r>
      <w:r w:rsidRPr="00124981">
        <w:rPr>
          <w:rFonts w:ascii="Palatino Linotype" w:eastAsia="Palatino Linotype" w:hAnsi="Palatino Linotype" w:cs="Palatino Linotype"/>
          <w:color w:val="000000"/>
        </w:rPr>
        <w:t xml:space="preserve">sin necesidad de acreditar interés alguno o justificar su utilización, de lo que se infiere que para el </w:t>
      </w:r>
      <w:r w:rsidRPr="00124981">
        <w:rPr>
          <w:rFonts w:ascii="Palatino Linotype" w:eastAsia="Palatino Linotype" w:hAnsi="Palatino Linotype" w:cs="Palatino Linotype"/>
        </w:rPr>
        <w:t>ejercicio</w:t>
      </w:r>
      <w:r w:rsidRPr="00124981">
        <w:rPr>
          <w:rFonts w:ascii="Palatino Linotype" w:eastAsia="Palatino Linotype" w:hAnsi="Palatino Linotype" w:cs="Palatino Linotype"/>
          <w:color w:val="000000"/>
        </w:rPr>
        <w:t xml:space="preserve"> del derecho de </w:t>
      </w:r>
      <w:r w:rsidR="00996512" w:rsidRPr="00124981">
        <w:rPr>
          <w:rFonts w:ascii="Palatino Linotype" w:eastAsia="Palatino Linotype" w:hAnsi="Palatino Linotype" w:cs="Palatino Linotype"/>
          <w:color w:val="000000"/>
        </w:rPr>
        <w:t>Acceso a la Información</w:t>
      </w:r>
      <w:r w:rsidR="005E3C55" w:rsidRPr="00124981">
        <w:rPr>
          <w:rFonts w:ascii="Palatino Linotype" w:eastAsia="Palatino Linotype" w:hAnsi="Palatino Linotype" w:cs="Palatino Linotype"/>
          <w:color w:val="000000"/>
        </w:rPr>
        <w:t xml:space="preserve"> Pública</w:t>
      </w:r>
      <w:r w:rsidRPr="00124981">
        <w:rPr>
          <w:rFonts w:ascii="Palatino Linotype" w:eastAsia="Palatino Linotype" w:hAnsi="Palatino Linotype" w:cs="Palatino Linotype"/>
          <w:color w:val="000000"/>
        </w:rPr>
        <w:t xml:space="preserve">, </w:t>
      </w:r>
      <w:r w:rsidRPr="00124981">
        <w:rPr>
          <w:rFonts w:ascii="Palatino Linotype" w:eastAsia="Palatino Linotype" w:hAnsi="Palatino Linotype" w:cs="Palatino Linotype"/>
          <w:b/>
          <w:color w:val="000000"/>
          <w:u w:val="single"/>
        </w:rPr>
        <w:t xml:space="preserve">el nombre no es un requisito </w:t>
      </w:r>
      <w:r w:rsidRPr="00124981">
        <w:rPr>
          <w:rFonts w:ascii="Palatino Linotype" w:eastAsia="Palatino Linotype" w:hAnsi="Palatino Linotype" w:cs="Palatino Linotype"/>
          <w:b/>
          <w:i/>
          <w:color w:val="000000"/>
          <w:u w:val="single"/>
        </w:rPr>
        <w:t>sine qua non</w:t>
      </w:r>
      <w:r w:rsidRPr="00124981">
        <w:rPr>
          <w:rFonts w:ascii="Palatino Linotype" w:eastAsia="Palatino Linotype" w:hAnsi="Palatino Linotype" w:cs="Palatino Linotype"/>
          <w:color w:val="000000"/>
        </w:rPr>
        <w:t xml:space="preserve"> para que los particulares ejerzan el derecho de </w:t>
      </w:r>
      <w:r w:rsidR="00996512" w:rsidRPr="00124981">
        <w:rPr>
          <w:rFonts w:ascii="Palatino Linotype" w:eastAsia="Palatino Linotype" w:hAnsi="Palatino Linotype" w:cs="Palatino Linotype"/>
          <w:color w:val="000000"/>
        </w:rPr>
        <w:t>Acceso a la Información</w:t>
      </w:r>
      <w:r w:rsidR="005E3C55" w:rsidRPr="00124981">
        <w:rPr>
          <w:rFonts w:ascii="Palatino Linotype" w:eastAsia="Palatino Linotype" w:hAnsi="Palatino Linotype" w:cs="Palatino Linotype"/>
          <w:color w:val="000000"/>
        </w:rPr>
        <w:t xml:space="preserve"> Pública</w:t>
      </w:r>
      <w:r w:rsidRPr="00124981">
        <w:rPr>
          <w:rFonts w:ascii="Palatino Linotype" w:eastAsia="Palatino Linotype" w:hAnsi="Palatino Linotype" w:cs="Palatino Linotype"/>
          <w:color w:val="000000"/>
        </w:rPr>
        <w:t>, pues por el contrario la Ley de la materia prevé en su artículo 155, párrafo segundo la posibilidad de que las solicitudes de información sean anónimas, al utilizar un nombre incompleto o, inclusive un seudónimo.</w:t>
      </w:r>
    </w:p>
    <w:p w14:paraId="77CC8A7B" w14:textId="77777777" w:rsidR="0013513B" w:rsidRPr="00124981" w:rsidRDefault="0013513B" w:rsidP="00E04342">
      <w:pPr>
        <w:spacing w:line="360" w:lineRule="auto"/>
        <w:jc w:val="both"/>
        <w:rPr>
          <w:rFonts w:ascii="Palatino Linotype" w:eastAsia="Palatino Linotype" w:hAnsi="Palatino Linotype" w:cs="Palatino Linotype"/>
          <w:color w:val="000000"/>
        </w:rPr>
      </w:pPr>
    </w:p>
    <w:p w14:paraId="7CE987BE" w14:textId="271CB9C3" w:rsidR="0013513B" w:rsidRPr="00124981" w:rsidRDefault="0013513B" w:rsidP="00E04342">
      <w:pPr>
        <w:spacing w:line="360" w:lineRule="auto"/>
        <w:jc w:val="both"/>
        <w:rPr>
          <w:rFonts w:ascii="Palatino Linotype" w:eastAsia="Palatino Linotype" w:hAnsi="Palatino Linotype" w:cs="Palatino Linotype"/>
          <w:sz w:val="22"/>
          <w:szCs w:val="22"/>
        </w:rPr>
      </w:pPr>
      <w:r w:rsidRPr="00124981">
        <w:rPr>
          <w:rFonts w:ascii="Palatino Linotype" w:eastAsia="Palatino Linotype" w:hAnsi="Palatino Linotype" w:cs="Palatino Linotype"/>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w:t>
      </w:r>
      <w:r w:rsidR="00996512" w:rsidRPr="00124981">
        <w:rPr>
          <w:rFonts w:ascii="Palatino Linotype" w:eastAsia="Palatino Linotype" w:hAnsi="Palatino Linotype" w:cs="Palatino Linotype"/>
        </w:rPr>
        <w:t>Acceso a la Información</w:t>
      </w:r>
      <w:r w:rsidR="005E3C55" w:rsidRPr="00124981">
        <w:rPr>
          <w:rFonts w:ascii="Palatino Linotype" w:eastAsia="Palatino Linotype" w:hAnsi="Palatino Linotype" w:cs="Palatino Linotype"/>
        </w:rPr>
        <w:t xml:space="preserve"> Pública</w:t>
      </w:r>
      <w:r w:rsidRPr="00124981">
        <w:rPr>
          <w:rFonts w:ascii="Palatino Linotype" w:eastAsia="Palatino Linotype" w:hAnsi="Palatino Linotype" w:cs="Palatino Linotype"/>
        </w:rPr>
        <w:t xml:space="preserve">, toda vez que disponen que toda persona sin necesidad </w:t>
      </w:r>
      <w:r w:rsidRPr="00124981">
        <w:rPr>
          <w:rFonts w:ascii="Palatino Linotype" w:eastAsia="Palatino Linotype" w:hAnsi="Palatino Linotype" w:cs="Palatino Linotype"/>
        </w:rPr>
        <w:lastRenderedPageBreak/>
        <w:t xml:space="preserve">de acreditar interés alguno o justificar su utilización, tendrá acceso gratuito a la </w:t>
      </w:r>
      <w:r w:rsidR="005E3C55" w:rsidRPr="00124981">
        <w:rPr>
          <w:rFonts w:ascii="Palatino Linotype" w:eastAsia="Palatino Linotype" w:hAnsi="Palatino Linotype" w:cs="Palatino Linotype"/>
        </w:rPr>
        <w:t>Información Pública</w:t>
      </w:r>
      <w:r w:rsidRPr="00124981">
        <w:rPr>
          <w:rFonts w:ascii="Palatino Linotype" w:eastAsia="Palatino Linotype" w:hAnsi="Palatino Linotype" w:cs="Palatino Linotype"/>
        </w:rPr>
        <w:t>.</w:t>
      </w:r>
    </w:p>
    <w:p w14:paraId="260975FE" w14:textId="77777777" w:rsidR="0013513B" w:rsidRPr="00124981" w:rsidRDefault="0013513B" w:rsidP="00E04342">
      <w:pPr>
        <w:tabs>
          <w:tab w:val="left" w:pos="851"/>
        </w:tabs>
        <w:ind w:left="851" w:right="901"/>
        <w:jc w:val="both"/>
        <w:rPr>
          <w:rFonts w:ascii="Palatino Linotype" w:eastAsia="Palatino Linotype" w:hAnsi="Palatino Linotype" w:cs="Palatino Linotype"/>
          <w:sz w:val="22"/>
          <w:szCs w:val="22"/>
        </w:rPr>
      </w:pPr>
    </w:p>
    <w:p w14:paraId="54004F63" w14:textId="321E8EC1" w:rsidR="0013513B" w:rsidRPr="00124981" w:rsidRDefault="0013513B" w:rsidP="00E04342">
      <w:pPr>
        <w:spacing w:line="360" w:lineRule="auto"/>
        <w:jc w:val="both"/>
        <w:rPr>
          <w:rFonts w:ascii="Palatino Linotype" w:eastAsia="Palatino Linotype" w:hAnsi="Palatino Linotype" w:cs="Palatino Linotype"/>
        </w:rPr>
      </w:pPr>
      <w:r w:rsidRPr="00124981">
        <w:rPr>
          <w:rFonts w:ascii="Palatino Linotype" w:eastAsia="Palatino Linotype" w:hAnsi="Palatino Linotype" w:cs="Palatino Linotype"/>
        </w:rPr>
        <w:t xml:space="preserve">Asimismo, se estima que el requisito relativo al nombre de </w:t>
      </w:r>
      <w:r w:rsidRPr="00124981">
        <w:rPr>
          <w:rFonts w:ascii="Palatino Linotype" w:eastAsia="Palatino Linotype" w:hAnsi="Palatino Linotype" w:cs="Palatino Linotype"/>
          <w:b/>
        </w:rPr>
        <w:t>EL RECURRENTE</w:t>
      </w:r>
      <w:r w:rsidRPr="00124981">
        <w:rPr>
          <w:rFonts w:ascii="Palatino Linotype" w:eastAsia="Palatino Linotype" w:hAnsi="Palatino Linotype" w:cs="Palatino Linotype"/>
        </w:rPr>
        <w:t xml:space="preserv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w:t>
      </w:r>
      <w:r w:rsidR="00996512" w:rsidRPr="00124981">
        <w:rPr>
          <w:rFonts w:ascii="Palatino Linotype" w:eastAsia="Palatino Linotype" w:hAnsi="Palatino Linotype" w:cs="Palatino Linotype"/>
        </w:rPr>
        <w:t>Acceso a la Información</w:t>
      </w:r>
      <w:r w:rsidR="005E3C55" w:rsidRPr="00124981">
        <w:rPr>
          <w:rFonts w:ascii="Palatino Linotype" w:eastAsia="Palatino Linotype" w:hAnsi="Palatino Linotype" w:cs="Palatino Linotype"/>
        </w:rPr>
        <w:t xml:space="preserve"> Pública</w:t>
      </w:r>
      <w:r w:rsidRPr="00124981">
        <w:rPr>
          <w:rFonts w:ascii="Palatino Linotype" w:eastAsia="Palatino Linotype" w:hAnsi="Palatino Linotype" w:cs="Palatino Linotype"/>
        </w:rPr>
        <w:t xml:space="preserve"> es un Derecho Humano que no requiere legitimación en la causa, sino que únicamente basta con que se encuentre legitimado en el procedimiento de </w:t>
      </w:r>
      <w:r w:rsidR="005E3C55" w:rsidRPr="00124981">
        <w:rPr>
          <w:rFonts w:ascii="Palatino Linotype" w:eastAsia="Palatino Linotype" w:hAnsi="Palatino Linotype" w:cs="Palatino Linotype"/>
        </w:rPr>
        <w:t>Recurso de Revisión</w:t>
      </w:r>
      <w:r w:rsidRPr="00124981">
        <w:rPr>
          <w:rFonts w:ascii="Palatino Linotype" w:eastAsia="Palatino Linotype" w:hAnsi="Palatino Linotype" w:cs="Palatino Linotype"/>
        </w:rPr>
        <w:t xml:space="preserve">, circunstancia que se acredita en las constancias electrónicas del expediente, de las que se desprende que </w:t>
      </w:r>
      <w:r w:rsidRPr="00124981">
        <w:rPr>
          <w:rFonts w:ascii="Palatino Linotype" w:eastAsia="Palatino Linotype" w:hAnsi="Palatino Linotype" w:cs="Palatino Linotype"/>
          <w:b/>
        </w:rPr>
        <w:t xml:space="preserve">EL RECURRENTE </w:t>
      </w:r>
      <w:r w:rsidRPr="00124981">
        <w:rPr>
          <w:rFonts w:ascii="Palatino Linotype" w:eastAsia="Palatino Linotype" w:hAnsi="Palatino Linotype" w:cs="Palatino Linotype"/>
        </w:rPr>
        <w:t xml:space="preserve"> es la misma persona que realizó la solicitud de </w:t>
      </w:r>
      <w:r w:rsidR="00996512" w:rsidRPr="00124981">
        <w:rPr>
          <w:rFonts w:ascii="Palatino Linotype" w:eastAsia="Palatino Linotype" w:hAnsi="Palatino Linotype" w:cs="Palatino Linotype"/>
        </w:rPr>
        <w:t>Acceso a la Información</w:t>
      </w:r>
      <w:r w:rsidR="005E3C55" w:rsidRPr="00124981">
        <w:rPr>
          <w:rFonts w:ascii="Palatino Linotype" w:eastAsia="Palatino Linotype" w:hAnsi="Palatino Linotype" w:cs="Palatino Linotype"/>
        </w:rPr>
        <w:t xml:space="preserve"> Pública</w:t>
      </w:r>
      <w:r w:rsidRPr="00124981">
        <w:rPr>
          <w:rFonts w:ascii="Palatino Linotype" w:eastAsia="Palatino Linotype" w:hAnsi="Palatino Linotype" w:cs="Palatino Linotype"/>
        </w:rPr>
        <w:t xml:space="preserve"> que ahora se impugna.</w:t>
      </w:r>
    </w:p>
    <w:p w14:paraId="2AF2790F" w14:textId="77777777" w:rsidR="0013513B" w:rsidRPr="00124981" w:rsidRDefault="0013513B" w:rsidP="00E04342">
      <w:pPr>
        <w:tabs>
          <w:tab w:val="left" w:pos="851"/>
        </w:tabs>
        <w:ind w:left="851" w:right="901"/>
        <w:jc w:val="both"/>
        <w:rPr>
          <w:rFonts w:ascii="Palatino Linotype" w:eastAsia="Palatino Linotype" w:hAnsi="Palatino Linotype" w:cs="Palatino Linotype"/>
          <w:sz w:val="22"/>
          <w:szCs w:val="22"/>
        </w:rPr>
      </w:pPr>
    </w:p>
    <w:p w14:paraId="331B0419" w14:textId="0804EA97" w:rsidR="0013513B" w:rsidRPr="00124981" w:rsidRDefault="0013513B" w:rsidP="00E04342">
      <w:pPr>
        <w:spacing w:line="360" w:lineRule="auto"/>
        <w:jc w:val="both"/>
        <w:rPr>
          <w:rFonts w:ascii="Palatino Linotype" w:eastAsia="Palatino Linotype" w:hAnsi="Palatino Linotype" w:cs="Palatino Linotype"/>
        </w:rPr>
      </w:pPr>
      <w:r w:rsidRPr="00124981">
        <w:rPr>
          <w:rFonts w:ascii="Palatino Linotype" w:eastAsia="Palatino Linotype" w:hAnsi="Palatino Linotype" w:cs="Palatino Linotype"/>
        </w:rPr>
        <w:t xml:space="preserve">Es así que, para el estudio de la materia sobre la que se resuelve el presente </w:t>
      </w:r>
      <w:r w:rsidR="005E3C55" w:rsidRPr="00124981">
        <w:rPr>
          <w:rFonts w:ascii="Palatino Linotype" w:eastAsia="Palatino Linotype" w:hAnsi="Palatino Linotype" w:cs="Palatino Linotype"/>
        </w:rPr>
        <w:t>Recurso de Revisión</w:t>
      </w:r>
      <w:r w:rsidRPr="00124981">
        <w:rPr>
          <w:rFonts w:ascii="Palatino Linotype" w:eastAsia="Palatino Linotype" w:hAnsi="Palatino Linotype" w:cs="Palatino Linotype"/>
        </w:rPr>
        <w:t xml:space="preserve">, resulta intrascendente conocer el nombre de la persona que lo hubiere promovido, en virtud de que tanto la Constitución Política de los Estados Unidos Mexicanos,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w:t>
      </w:r>
      <w:r w:rsidR="00996512" w:rsidRPr="00124981">
        <w:rPr>
          <w:rFonts w:ascii="Palatino Linotype" w:eastAsia="Palatino Linotype" w:hAnsi="Palatino Linotype" w:cs="Palatino Linotype"/>
        </w:rPr>
        <w:t>Acceso a la Información</w:t>
      </w:r>
      <w:r w:rsidR="005E3C55" w:rsidRPr="00124981">
        <w:rPr>
          <w:rFonts w:ascii="Palatino Linotype" w:eastAsia="Palatino Linotype" w:hAnsi="Palatino Linotype" w:cs="Palatino Linotype"/>
        </w:rPr>
        <w:t xml:space="preserve"> Pública</w:t>
      </w:r>
      <w:r w:rsidRPr="00124981">
        <w:rPr>
          <w:rFonts w:ascii="Palatino Linotype" w:eastAsia="Palatino Linotype" w:hAnsi="Palatino Linotype" w:cs="Palatino Linotype"/>
        </w:rPr>
        <w:t xml:space="preserve">, por una cuestión procedimental. </w:t>
      </w:r>
    </w:p>
    <w:p w14:paraId="5F97F281" w14:textId="77777777" w:rsidR="0026648F" w:rsidRPr="00124981" w:rsidRDefault="0026648F" w:rsidP="00E04342">
      <w:pPr>
        <w:spacing w:line="360" w:lineRule="auto"/>
        <w:jc w:val="both"/>
        <w:rPr>
          <w:rFonts w:ascii="Palatino Linotype" w:eastAsia="Palatino Linotype" w:hAnsi="Palatino Linotype" w:cs="Palatino Linotype"/>
        </w:rPr>
      </w:pPr>
    </w:p>
    <w:p w14:paraId="59CD19CD" w14:textId="5C436B4B" w:rsidR="00F76752" w:rsidRPr="00124981" w:rsidRDefault="00F803EF" w:rsidP="00E04342">
      <w:pPr>
        <w:widowControl w:val="0"/>
        <w:suppressAutoHyphens/>
        <w:autoSpaceDE w:val="0"/>
        <w:autoSpaceDN w:val="0"/>
        <w:adjustRightInd w:val="0"/>
        <w:spacing w:line="360" w:lineRule="auto"/>
        <w:jc w:val="both"/>
        <w:rPr>
          <w:rFonts w:ascii="Palatino Linotype" w:hAnsi="Palatino Linotype" w:cs="Arial"/>
          <w:b/>
        </w:rPr>
      </w:pPr>
      <w:r w:rsidRPr="00124981">
        <w:rPr>
          <w:rFonts w:ascii="Palatino Linotype" w:hAnsi="Palatino Linotype" w:cs="Arial"/>
          <w:b/>
          <w:sz w:val="28"/>
        </w:rPr>
        <w:lastRenderedPageBreak/>
        <w:t>QUINTO</w:t>
      </w:r>
      <w:r w:rsidR="00996512" w:rsidRPr="00124981">
        <w:rPr>
          <w:rFonts w:ascii="Palatino Linotype" w:hAnsi="Palatino Linotype" w:cs="Arial"/>
          <w:b/>
        </w:rPr>
        <w:t>. Estudio y resolución del R</w:t>
      </w:r>
      <w:r w:rsidRPr="00124981">
        <w:rPr>
          <w:rFonts w:ascii="Palatino Linotype" w:hAnsi="Palatino Linotype" w:cs="Arial"/>
          <w:b/>
        </w:rPr>
        <w:t xml:space="preserve">ecurso. </w:t>
      </w:r>
    </w:p>
    <w:p w14:paraId="54BBD37F" w14:textId="77777777" w:rsidR="0026648F" w:rsidRPr="00124981" w:rsidRDefault="0026648F" w:rsidP="00E04342">
      <w:pPr>
        <w:spacing w:line="360" w:lineRule="auto"/>
        <w:jc w:val="both"/>
        <w:rPr>
          <w:rFonts w:ascii="Palatino Linotype" w:eastAsiaTheme="minorEastAsia" w:hAnsi="Palatino Linotype" w:cs="Arial"/>
          <w:lang w:val="es-ES_tradnl"/>
        </w:rPr>
      </w:pPr>
      <w:r w:rsidRPr="00124981">
        <w:rPr>
          <w:rFonts w:ascii="Palatino Linotype" w:hAnsi="Palatino Linotype" w:cs="Arial"/>
          <w:lang w:val="es-ES" w:eastAsia="es-MX"/>
        </w:rPr>
        <w:t>Del análisis efectuado, se advierte que el presente recurso de revisión es procedente, pues se actualiza la hipótesis prevista en la fracción II, del artículo 179 de la Ley de la materia, el cual a la letra dice:</w:t>
      </w:r>
    </w:p>
    <w:p w14:paraId="44AD909E" w14:textId="77777777" w:rsidR="0026648F" w:rsidRPr="00124981" w:rsidRDefault="0026648F" w:rsidP="00E04342">
      <w:pPr>
        <w:jc w:val="both"/>
        <w:rPr>
          <w:rFonts w:ascii="Palatino Linotype" w:hAnsi="Palatino Linotype" w:cs="Arial"/>
          <w:lang w:val="es-ES"/>
        </w:rPr>
      </w:pPr>
    </w:p>
    <w:p w14:paraId="5191E34D" w14:textId="77777777" w:rsidR="0026648F" w:rsidRPr="00124981" w:rsidRDefault="0026648F" w:rsidP="00E04342">
      <w:pPr>
        <w:ind w:left="851" w:right="901"/>
        <w:jc w:val="both"/>
        <w:rPr>
          <w:rFonts w:ascii="Palatino Linotype" w:hAnsi="Palatino Linotype" w:cs="Arial"/>
          <w:i/>
          <w:sz w:val="22"/>
          <w:szCs w:val="22"/>
          <w:lang w:val="es-ES"/>
        </w:rPr>
      </w:pPr>
      <w:r w:rsidRPr="00124981">
        <w:rPr>
          <w:rFonts w:ascii="Palatino Linotype" w:hAnsi="Palatino Linotype" w:cs="Arial"/>
          <w:i/>
          <w:sz w:val="22"/>
          <w:szCs w:val="22"/>
          <w:lang w:val="es-ES"/>
        </w:rPr>
        <w:t>“</w:t>
      </w:r>
      <w:r w:rsidRPr="00124981">
        <w:rPr>
          <w:rFonts w:ascii="Palatino Linotype" w:hAnsi="Palatino Linotype" w:cs="Arial"/>
          <w:b/>
          <w:i/>
          <w:sz w:val="22"/>
          <w:szCs w:val="22"/>
          <w:lang w:val="es-ES"/>
        </w:rPr>
        <w:t>Artículo 179.</w:t>
      </w:r>
      <w:r w:rsidRPr="00124981">
        <w:rPr>
          <w:rFonts w:ascii="Palatino Linotype" w:hAnsi="Palatino Linotype" w:cs="Arial"/>
          <w:i/>
          <w:sz w:val="22"/>
          <w:szCs w:val="22"/>
          <w:lang w:val="es-ES"/>
        </w:rPr>
        <w:t xml:space="preserve"> El recurso de revisión es un medio de protección que la Ley otorga a los particulares, para hacer valer su derecho de acceso a la información pública, y procederá en contra de las siguientes causas:</w:t>
      </w:r>
    </w:p>
    <w:p w14:paraId="64C9DC02" w14:textId="77777777" w:rsidR="0026648F" w:rsidRPr="00124981" w:rsidRDefault="0026648F" w:rsidP="00E04342">
      <w:pPr>
        <w:ind w:left="851" w:right="901"/>
        <w:jc w:val="both"/>
        <w:rPr>
          <w:rFonts w:ascii="Palatino Linotype" w:hAnsi="Palatino Linotype" w:cs="Arial"/>
          <w:b/>
          <w:bCs/>
          <w:i/>
          <w:sz w:val="22"/>
          <w:szCs w:val="22"/>
          <w:lang w:val="es-ES"/>
        </w:rPr>
      </w:pPr>
      <w:r w:rsidRPr="00124981">
        <w:rPr>
          <w:rFonts w:ascii="Palatino Linotype" w:hAnsi="Palatino Linotype" w:cs="Arial"/>
          <w:b/>
          <w:bCs/>
          <w:i/>
          <w:sz w:val="22"/>
          <w:szCs w:val="22"/>
          <w:lang w:val="es-ES"/>
        </w:rPr>
        <w:t>(…)</w:t>
      </w:r>
    </w:p>
    <w:p w14:paraId="2F0A2D2B" w14:textId="77777777" w:rsidR="0026648F" w:rsidRPr="00124981" w:rsidRDefault="0026648F" w:rsidP="00E04342">
      <w:pPr>
        <w:ind w:left="851" w:right="901"/>
        <w:jc w:val="both"/>
        <w:rPr>
          <w:rFonts w:ascii="Palatino Linotype" w:hAnsi="Palatino Linotype" w:cs="Arial"/>
          <w:i/>
          <w:sz w:val="22"/>
          <w:szCs w:val="22"/>
          <w:lang w:val="es-ES"/>
        </w:rPr>
      </w:pPr>
      <w:r w:rsidRPr="00124981">
        <w:rPr>
          <w:rFonts w:ascii="Palatino Linotype" w:hAnsi="Palatino Linotype" w:cs="Arial"/>
          <w:b/>
          <w:i/>
          <w:sz w:val="22"/>
          <w:szCs w:val="22"/>
          <w:lang w:val="es-ES_tradnl"/>
        </w:rPr>
        <w:t xml:space="preserve">II. La clasificación de la información; </w:t>
      </w:r>
      <w:r w:rsidRPr="00124981">
        <w:rPr>
          <w:rFonts w:ascii="Palatino Linotype" w:hAnsi="Palatino Linotype" w:cs="Arial"/>
          <w:b/>
          <w:i/>
          <w:sz w:val="22"/>
          <w:szCs w:val="22"/>
          <w:lang w:val="es-ES"/>
        </w:rPr>
        <w:t>(…)</w:t>
      </w:r>
      <w:r w:rsidRPr="00124981">
        <w:rPr>
          <w:rFonts w:ascii="Palatino Linotype" w:hAnsi="Palatino Linotype" w:cs="Arial"/>
          <w:i/>
          <w:sz w:val="22"/>
          <w:szCs w:val="22"/>
          <w:lang w:val="es-ES"/>
        </w:rPr>
        <w:t>”</w:t>
      </w:r>
    </w:p>
    <w:p w14:paraId="34738870" w14:textId="77777777" w:rsidR="0026648F" w:rsidRPr="00124981" w:rsidRDefault="0026648F" w:rsidP="00E04342">
      <w:pPr>
        <w:ind w:left="851" w:right="901"/>
        <w:jc w:val="both"/>
        <w:rPr>
          <w:rFonts w:ascii="Palatino Linotype" w:hAnsi="Palatino Linotype" w:cs="Arial"/>
          <w:i/>
          <w:sz w:val="22"/>
          <w:szCs w:val="22"/>
          <w:lang w:val="es-ES"/>
        </w:rPr>
      </w:pPr>
      <w:r w:rsidRPr="00124981">
        <w:rPr>
          <w:rFonts w:ascii="Palatino Linotype" w:hAnsi="Palatino Linotype" w:cs="Arial"/>
          <w:i/>
          <w:sz w:val="22"/>
          <w:szCs w:val="22"/>
          <w:lang w:val="es-ES"/>
        </w:rPr>
        <w:t>(Énfasis añadido)</w:t>
      </w:r>
    </w:p>
    <w:p w14:paraId="4F4604E8" w14:textId="77777777" w:rsidR="0026648F" w:rsidRPr="00124981" w:rsidRDefault="0026648F" w:rsidP="00E04342">
      <w:pPr>
        <w:ind w:left="851" w:right="901"/>
        <w:jc w:val="both"/>
        <w:rPr>
          <w:rFonts w:ascii="Palatino Linotype" w:hAnsi="Palatino Linotype" w:cs="Arial"/>
          <w:i/>
          <w:sz w:val="22"/>
          <w:szCs w:val="22"/>
          <w:lang w:val="es-ES"/>
        </w:rPr>
      </w:pPr>
    </w:p>
    <w:p w14:paraId="4C37186A" w14:textId="77777777" w:rsidR="0026648F" w:rsidRPr="00124981" w:rsidRDefault="0026648F" w:rsidP="00E04342">
      <w:pPr>
        <w:widowControl w:val="0"/>
        <w:suppressAutoHyphens/>
        <w:spacing w:line="360" w:lineRule="auto"/>
        <w:jc w:val="both"/>
        <w:rPr>
          <w:rFonts w:ascii="Palatino Linotype" w:hAnsi="Palatino Linotype" w:cs="Arial"/>
        </w:rPr>
      </w:pPr>
      <w:r w:rsidRPr="00124981">
        <w:rPr>
          <w:rFonts w:ascii="Palatino Linotype" w:hAnsi="Palatino Linotype" w:cs="Arial"/>
        </w:rPr>
        <w:t xml:space="preserve">El precepto legal antes citado, establece como supuesto de procedencia del recurso de revisión, la clasificación de la información solicitada por parte del </w:t>
      </w:r>
      <w:r w:rsidRPr="00124981">
        <w:rPr>
          <w:rFonts w:ascii="Palatino Linotype" w:hAnsi="Palatino Linotype" w:cs="Arial"/>
          <w:b/>
        </w:rPr>
        <w:t>SUJETO OBLIGADO</w:t>
      </w:r>
      <w:r w:rsidRPr="00124981">
        <w:rPr>
          <w:rFonts w:ascii="Palatino Linotype" w:hAnsi="Palatino Linotype" w:cs="Arial"/>
        </w:rPr>
        <w:t>, situación que se actualiza en el presente caso.</w:t>
      </w:r>
    </w:p>
    <w:p w14:paraId="78B07611" w14:textId="77777777" w:rsidR="0026648F" w:rsidRPr="00124981" w:rsidRDefault="0026648F" w:rsidP="00E04342">
      <w:pPr>
        <w:spacing w:line="360" w:lineRule="auto"/>
        <w:jc w:val="both"/>
        <w:rPr>
          <w:rFonts w:ascii="Palatino Linotype" w:hAnsi="Palatino Linotype" w:cs="Arial"/>
          <w:i/>
          <w:sz w:val="22"/>
          <w:szCs w:val="22"/>
        </w:rPr>
      </w:pPr>
    </w:p>
    <w:p w14:paraId="24AE6908" w14:textId="77777777" w:rsidR="0026648F" w:rsidRPr="00124981" w:rsidRDefault="0026648F" w:rsidP="00E04342">
      <w:pPr>
        <w:spacing w:line="360" w:lineRule="auto"/>
        <w:jc w:val="both"/>
        <w:rPr>
          <w:rFonts w:ascii="Palatino Linotype" w:hAnsi="Palatino Linotype" w:cs="Arial"/>
        </w:rPr>
      </w:pPr>
      <w:r w:rsidRPr="00124981">
        <w:rPr>
          <w:rFonts w:ascii="Palatino Linotype" w:hAnsi="Palatino Linotype" w:cs="Arial"/>
        </w:rPr>
        <w:t xml:space="preserve">A fin de corroborar lo anterior, es preciso señalar que </w:t>
      </w:r>
      <w:r w:rsidRPr="00124981">
        <w:rPr>
          <w:rFonts w:ascii="Palatino Linotype" w:hAnsi="Palatino Linotype" w:cs="Arial"/>
          <w:b/>
        </w:rPr>
        <w:t>EL RECURRENTE</w:t>
      </w:r>
      <w:r w:rsidRPr="00124981">
        <w:rPr>
          <w:rFonts w:ascii="Palatino Linotype" w:hAnsi="Palatino Linotype" w:cs="Arial"/>
        </w:rPr>
        <w:t xml:space="preserve"> solicitó medularmente lo siguiente:</w:t>
      </w:r>
    </w:p>
    <w:p w14:paraId="60FFCA4D" w14:textId="77777777" w:rsidR="00890648" w:rsidRPr="00124981" w:rsidRDefault="00890648" w:rsidP="00E04342">
      <w:pPr>
        <w:pBdr>
          <w:top w:val="nil"/>
          <w:left w:val="nil"/>
          <w:bottom w:val="nil"/>
          <w:right w:val="nil"/>
          <w:between w:val="nil"/>
        </w:pBdr>
        <w:shd w:val="clear" w:color="auto" w:fill="FFFFFF"/>
        <w:tabs>
          <w:tab w:val="left" w:pos="2553"/>
        </w:tabs>
        <w:ind w:right="49"/>
        <w:jc w:val="both"/>
        <w:rPr>
          <w:rFonts w:ascii="Palatino Linotype" w:hAnsi="Palatino Linotype"/>
          <w:sz w:val="22"/>
          <w:szCs w:val="22"/>
        </w:rPr>
      </w:pPr>
    </w:p>
    <w:p w14:paraId="4DDEB29D" w14:textId="371D2F45" w:rsidR="00890648" w:rsidRPr="00124981" w:rsidRDefault="001460E7" w:rsidP="00E04342">
      <w:pPr>
        <w:suppressAutoHyphens/>
        <w:ind w:left="850" w:right="901"/>
        <w:jc w:val="both"/>
        <w:rPr>
          <w:rFonts w:ascii="Palatino Linotype" w:hAnsi="Palatino Linotype"/>
          <w:i/>
          <w:sz w:val="22"/>
        </w:rPr>
      </w:pPr>
      <w:r w:rsidRPr="00124981">
        <w:rPr>
          <w:rFonts w:ascii="Palatino Linotype" w:hAnsi="Palatino Linotype" w:cs="Arial"/>
          <w:b/>
          <w:i/>
          <w:sz w:val="22"/>
        </w:rPr>
        <w:t>“</w:t>
      </w:r>
      <w:r w:rsidR="0026648F" w:rsidRPr="00124981">
        <w:rPr>
          <w:rFonts w:ascii="Palatino Linotype" w:hAnsi="Palatino Linotype" w:cs="Arial"/>
          <w:i/>
          <w:sz w:val="22"/>
        </w:rPr>
        <w:t>Archivo en pdf de los expedientes que se hayan generado con motivo de los procedimientos de responsabilidad patrimonial que se hayan generado en el año 2021” (Sic)</w:t>
      </w:r>
      <w:r w:rsidRPr="00124981">
        <w:rPr>
          <w:rFonts w:ascii="Palatino Linotype" w:hAnsi="Palatino Linotype" w:cs="Arial"/>
          <w:b/>
          <w:i/>
          <w:sz w:val="22"/>
        </w:rPr>
        <w:t>”</w:t>
      </w:r>
      <w:r w:rsidRPr="00124981">
        <w:rPr>
          <w:rFonts w:ascii="Palatino Linotype" w:hAnsi="Palatino Linotype" w:cs="Arial"/>
          <w:i/>
          <w:sz w:val="22"/>
        </w:rPr>
        <w:t xml:space="preserve"> </w:t>
      </w:r>
      <w:r w:rsidR="00E04342" w:rsidRPr="00124981">
        <w:rPr>
          <w:rFonts w:ascii="Palatino Linotype" w:hAnsi="Palatino Linotype"/>
          <w:i/>
          <w:sz w:val="22"/>
        </w:rPr>
        <w:t>(Sic)</w:t>
      </w:r>
    </w:p>
    <w:p w14:paraId="74F19463" w14:textId="77777777" w:rsidR="00BA3932" w:rsidRPr="00124981" w:rsidRDefault="00BA3932" w:rsidP="00E04342">
      <w:pPr>
        <w:spacing w:line="360" w:lineRule="auto"/>
        <w:jc w:val="both"/>
        <w:rPr>
          <w:rFonts w:ascii="Palatino Linotype" w:hAnsi="Palatino Linotype" w:cs="Arial"/>
        </w:rPr>
      </w:pPr>
    </w:p>
    <w:p w14:paraId="33B175CC" w14:textId="4FF5FBAB" w:rsidR="0026648F" w:rsidRPr="00124981" w:rsidRDefault="0026648F" w:rsidP="00E04342">
      <w:pPr>
        <w:spacing w:line="360" w:lineRule="auto"/>
        <w:contextualSpacing/>
        <w:jc w:val="both"/>
        <w:rPr>
          <w:rFonts w:ascii="Palatino Linotype" w:hAnsi="Palatino Linotype" w:cs="Arial"/>
        </w:rPr>
      </w:pPr>
      <w:r w:rsidRPr="00124981">
        <w:rPr>
          <w:rFonts w:ascii="Palatino Linotype" w:hAnsi="Palatino Linotype" w:cs="Arial"/>
        </w:rPr>
        <w:t>Atento a lo anterior,</w:t>
      </w:r>
      <w:r w:rsidRPr="00124981">
        <w:rPr>
          <w:rFonts w:ascii="Palatino Linotype" w:eastAsia="Arial Unicode MS" w:hAnsi="Palatino Linotype" w:cs="Arial"/>
        </w:rPr>
        <w:t xml:space="preserve"> es de señalar </w:t>
      </w:r>
      <w:r w:rsidR="004269DC" w:rsidRPr="00124981">
        <w:rPr>
          <w:rFonts w:ascii="Palatino Linotype" w:eastAsia="Arial Unicode MS" w:hAnsi="Palatino Linotype" w:cs="Arial"/>
        </w:rPr>
        <w:t>que,</w:t>
      </w:r>
      <w:r w:rsidRPr="00124981">
        <w:rPr>
          <w:rFonts w:ascii="Palatino Linotype" w:hAnsi="Palatino Linotype"/>
        </w:rPr>
        <w:t xml:space="preserve"> </w:t>
      </w:r>
      <w:r w:rsidRPr="00124981">
        <w:rPr>
          <w:rFonts w:ascii="Palatino Linotype" w:eastAsia="Arial Unicode MS" w:hAnsi="Palatino Linotype" w:cs="Arial"/>
        </w:rPr>
        <w:t xml:space="preserve">mediante </w:t>
      </w:r>
      <w:r w:rsidR="004269DC" w:rsidRPr="00124981">
        <w:rPr>
          <w:rFonts w:ascii="Palatino Linotype" w:eastAsia="Arial Unicode MS" w:hAnsi="Palatino Linotype" w:cs="Arial"/>
        </w:rPr>
        <w:t>respuesta,</w:t>
      </w:r>
      <w:r w:rsidR="004269DC" w:rsidRPr="00124981">
        <w:rPr>
          <w:rFonts w:ascii="Palatino Linotype" w:hAnsi="Palatino Linotype" w:cs="Segoe UI"/>
          <w:iCs/>
          <w:lang w:eastAsia="es-MX"/>
        </w:rPr>
        <w:t xml:space="preserve"> donde</w:t>
      </w:r>
      <w:r w:rsidRPr="00124981">
        <w:rPr>
          <w:rFonts w:ascii="Palatino Linotype" w:hAnsi="Palatino Linotype" w:cs="Segoe UI"/>
          <w:iCs/>
          <w:lang w:eastAsia="es-MX"/>
        </w:rPr>
        <w:t xml:space="preserve"> </w:t>
      </w:r>
      <w:r w:rsidRPr="00124981">
        <w:rPr>
          <w:rFonts w:ascii="Palatino Linotype" w:hAnsi="Palatino Linotype" w:cs="Arial"/>
          <w:b/>
          <w:bCs/>
        </w:rPr>
        <w:t xml:space="preserve">EL SUJETO OBLIGADO </w:t>
      </w:r>
      <w:r w:rsidRPr="00124981">
        <w:rPr>
          <w:rFonts w:ascii="Palatino Linotype" w:hAnsi="Palatino Linotype" w:cs="Arial"/>
        </w:rPr>
        <w:t xml:space="preserve">se declaró incompetente a la información solicitada por corresponder a la competencia de la Secretaria de la Contraloría del Estado de México. </w:t>
      </w:r>
    </w:p>
    <w:p w14:paraId="7C8CA2F3" w14:textId="77777777" w:rsidR="00C34EFF" w:rsidRPr="00124981" w:rsidRDefault="00C34EFF" w:rsidP="00E04342">
      <w:pPr>
        <w:jc w:val="both"/>
        <w:rPr>
          <w:rFonts w:ascii="Palatino Linotype" w:hAnsi="Palatino Linotype"/>
        </w:rPr>
      </w:pPr>
    </w:p>
    <w:p w14:paraId="3A543798" w14:textId="77777777" w:rsidR="00C34EFF" w:rsidRPr="00124981" w:rsidRDefault="00C34EFF" w:rsidP="00E04342">
      <w:pPr>
        <w:jc w:val="both"/>
        <w:rPr>
          <w:rFonts w:ascii="Palatino Linotype" w:hAnsi="Palatino Linotype"/>
        </w:rPr>
      </w:pPr>
    </w:p>
    <w:p w14:paraId="4D2B105D" w14:textId="77777777" w:rsidR="0026648F" w:rsidRPr="00124981" w:rsidRDefault="0026648F" w:rsidP="00E04342">
      <w:pPr>
        <w:spacing w:line="360" w:lineRule="auto"/>
        <w:jc w:val="both"/>
        <w:rPr>
          <w:rFonts w:ascii="Palatino Linotype" w:hAnsi="Palatino Linotype" w:cs="Arial"/>
        </w:rPr>
      </w:pPr>
      <w:r w:rsidRPr="00124981">
        <w:rPr>
          <w:rFonts w:ascii="Palatino Linotype" w:hAnsi="Palatino Linotype"/>
          <w:lang w:val="es-ES"/>
        </w:rPr>
        <w:lastRenderedPageBreak/>
        <w:t xml:space="preserve">Inconforme con la respuesta del </w:t>
      </w:r>
      <w:r w:rsidRPr="00124981">
        <w:rPr>
          <w:rFonts w:ascii="Palatino Linotype" w:hAnsi="Palatino Linotype"/>
          <w:b/>
          <w:bCs/>
          <w:lang w:val="es-ES"/>
        </w:rPr>
        <w:t>SUJETO OBLIGADO</w:t>
      </w:r>
      <w:r w:rsidRPr="00124981">
        <w:rPr>
          <w:rFonts w:ascii="Palatino Linotype" w:hAnsi="Palatino Linotype"/>
          <w:lang w:val="es-ES"/>
        </w:rPr>
        <w:t>, el particular interpuso el presente recurso de revisión, en el que señalo en los</w:t>
      </w:r>
      <w:r w:rsidRPr="00124981">
        <w:rPr>
          <w:rFonts w:ascii="Palatino Linotype" w:hAnsi="Palatino Linotype" w:cs="Arial"/>
        </w:rPr>
        <w:t xml:space="preserve"> motivos de agravio, como acto impugnado:</w:t>
      </w:r>
    </w:p>
    <w:p w14:paraId="135C6BF0" w14:textId="77777777" w:rsidR="0026648F" w:rsidRPr="00124981" w:rsidRDefault="0026648F" w:rsidP="00E04342">
      <w:pPr>
        <w:spacing w:line="360" w:lineRule="auto"/>
        <w:jc w:val="both"/>
        <w:rPr>
          <w:rFonts w:ascii="Palatino Linotype" w:hAnsi="Palatino Linotype" w:cs="Arial"/>
          <w:sz w:val="22"/>
          <w:szCs w:val="22"/>
        </w:rPr>
      </w:pPr>
    </w:p>
    <w:p w14:paraId="7B84A2D0" w14:textId="77777777" w:rsidR="0026648F" w:rsidRPr="00124981" w:rsidRDefault="0026648F" w:rsidP="00E04342">
      <w:pPr>
        <w:pStyle w:val="Prrafodelista"/>
        <w:numPr>
          <w:ilvl w:val="0"/>
          <w:numId w:val="16"/>
        </w:numPr>
        <w:spacing w:line="360" w:lineRule="auto"/>
        <w:jc w:val="both"/>
        <w:rPr>
          <w:rFonts w:ascii="Palatino Linotype" w:hAnsi="Palatino Linotype" w:cs="Arial"/>
          <w:b/>
          <w:bCs/>
        </w:rPr>
      </w:pPr>
      <w:r w:rsidRPr="00124981">
        <w:rPr>
          <w:rFonts w:ascii="Palatino Linotype" w:hAnsi="Palatino Linotype" w:cs="Arial"/>
          <w:b/>
          <w:bCs/>
        </w:rPr>
        <w:t>Acto impugnado:</w:t>
      </w:r>
    </w:p>
    <w:p w14:paraId="2A66F967" w14:textId="77777777" w:rsidR="0026648F" w:rsidRPr="00124981" w:rsidRDefault="0026648F" w:rsidP="00E04342">
      <w:pPr>
        <w:tabs>
          <w:tab w:val="left" w:pos="851"/>
        </w:tabs>
        <w:ind w:left="851" w:right="901"/>
        <w:jc w:val="both"/>
        <w:rPr>
          <w:rFonts w:ascii="Palatino Linotype" w:hAnsi="Palatino Linotype" w:cs="Arial"/>
          <w:i/>
          <w:sz w:val="22"/>
          <w:szCs w:val="22"/>
        </w:rPr>
      </w:pPr>
    </w:p>
    <w:p w14:paraId="4B7AB75D" w14:textId="77777777" w:rsidR="0026648F" w:rsidRPr="00124981" w:rsidRDefault="0026648F" w:rsidP="00E04342">
      <w:pPr>
        <w:tabs>
          <w:tab w:val="left" w:pos="851"/>
        </w:tabs>
        <w:ind w:left="851" w:right="901"/>
        <w:jc w:val="both"/>
        <w:rPr>
          <w:rFonts w:ascii="Palatino Linotype" w:hAnsi="Palatino Linotype" w:cs="Arial"/>
          <w:i/>
          <w:sz w:val="22"/>
          <w:szCs w:val="22"/>
        </w:rPr>
      </w:pPr>
      <w:r w:rsidRPr="00124981">
        <w:rPr>
          <w:rFonts w:ascii="Palatino Linotype" w:hAnsi="Palatino Linotype" w:cs="Arial"/>
          <w:i/>
          <w:sz w:val="22"/>
          <w:szCs w:val="22"/>
        </w:rPr>
        <w:t>“ESCRITO DE RESPUESTA A MI SOLICITUD" (Sic)</w:t>
      </w:r>
    </w:p>
    <w:p w14:paraId="3DD9478C" w14:textId="77777777" w:rsidR="0026648F" w:rsidRPr="00124981" w:rsidRDefault="0026648F" w:rsidP="00E04342">
      <w:pPr>
        <w:jc w:val="both"/>
        <w:rPr>
          <w:rFonts w:ascii="Palatino Linotype" w:hAnsi="Palatino Linotype" w:cs="Arial"/>
        </w:rPr>
      </w:pPr>
    </w:p>
    <w:p w14:paraId="539A9AC1" w14:textId="77777777" w:rsidR="0026648F" w:rsidRPr="00124981" w:rsidRDefault="0026648F" w:rsidP="00E04342">
      <w:pPr>
        <w:pStyle w:val="Prrafodelista"/>
        <w:numPr>
          <w:ilvl w:val="0"/>
          <w:numId w:val="16"/>
        </w:numPr>
        <w:spacing w:line="360" w:lineRule="auto"/>
        <w:jc w:val="both"/>
        <w:rPr>
          <w:rFonts w:ascii="Palatino Linotype" w:hAnsi="Palatino Linotype" w:cs="Arial"/>
          <w:b/>
          <w:bCs/>
        </w:rPr>
      </w:pPr>
      <w:r w:rsidRPr="00124981">
        <w:rPr>
          <w:rFonts w:ascii="Palatino Linotype" w:hAnsi="Palatino Linotype" w:cs="Arial"/>
          <w:b/>
          <w:bCs/>
        </w:rPr>
        <w:t>Razones o motivos de inconformidad:</w:t>
      </w:r>
    </w:p>
    <w:p w14:paraId="6D2FB03B" w14:textId="77777777" w:rsidR="0026648F" w:rsidRPr="00124981" w:rsidRDefault="0026648F" w:rsidP="00E04342">
      <w:pPr>
        <w:jc w:val="both"/>
        <w:rPr>
          <w:rFonts w:ascii="Palatino Linotype" w:hAnsi="Palatino Linotype" w:cs="Arial"/>
          <w:b/>
          <w:bCs/>
        </w:rPr>
      </w:pPr>
    </w:p>
    <w:p w14:paraId="5988CAA2" w14:textId="77777777" w:rsidR="0026648F" w:rsidRPr="00124981" w:rsidRDefault="0026648F" w:rsidP="00E04342">
      <w:pPr>
        <w:ind w:left="850" w:right="901"/>
        <w:jc w:val="both"/>
        <w:rPr>
          <w:rFonts w:ascii="Palatino Linotype" w:hAnsi="Palatino Linotype" w:cs="Arial"/>
          <w:i/>
          <w:iCs/>
          <w:sz w:val="22"/>
          <w:szCs w:val="22"/>
        </w:rPr>
      </w:pPr>
      <w:r w:rsidRPr="00124981">
        <w:rPr>
          <w:rFonts w:ascii="Palatino Linotype" w:hAnsi="Palatino Linotype" w:cs="Arial"/>
          <w:i/>
          <w:iCs/>
          <w:sz w:val="22"/>
          <w:szCs w:val="22"/>
        </w:rPr>
        <w:t>“ACORDE A LO ESTABLECIDO EN LA LEY DE RESPONSABILIDAD PATRIMONIAL DEL ESTADO DE MÉXICO Y MUNICIPIOS PUBLICADA EL 30 DE MAYO DE 2017, SE ESTABLECE LA OBLIGACIÓN DEL PODER EJECUTIVO, AYUNTAMIENTOS, DEPENDENCIAS Y ENTIDADES DE LAS ADMINISTRACIÓN PÚBLICA ESTATAL Y MUNICIPAL, ORGANISMOS AUXILIARES Y FIDEICOMISOS PÚBLICOS, DE CREAR DENTRO DE SUS UNIDADES ADMINISTRATIVAS PARA RESOLVER LOS PROCEDIMIENTOS DE RESPONSABILIDAD PATRIMONIAL. AL RESPECTO EL ARTÍCULO 21 DE LA CITADA LEY, REFIERE LO SIGUIENTE: EL PROCEDIMIENTO DE RESPONSABILIDAD PATRIMONIAL DE LOS SUJETOS OBLIGADOS SE INICIARÁ POR RECLAMACIÓN DE PARTE INTERESADA O DE QUIEN LEGÍTIMAMENTE LO REPRESENTE. ESTO ES, LA SECRETARIA DE LA CONTRALORÍA QUE REFERIR ES LA COMPETENTE PARA CONOCER DE MI ESCRITO DE SOLICITUD ES INCOMPETENTE PUESTO QUE DICHA DEPENDENCIA SOLO CONOCE DE LAS FALTAS ADMINISTRATIVAS DE LOS SERVIDORES PÚBLICOS PERTENECIENTES AL GOBIERNO DEL ESTADO DE MÉXICO, MÁS NO A LOS PROCEDIMIENTOS DE RESPONSABILIDAD PATRIMONIAL. DERIVADO DE LO ANTERIOR, SOLICITO SE INFORME SI EXISTE DENTRO DE LA DEPENDENCIAS A LA QUE SE SOLICITO DICHA INFORMACIÓN SI EXISTE UNA UNIDAD ADMINISTRATIVA QUE CONOZCA DE LOS PROCEDIMIENTOS DE RESPONSABILIDAD PATRIMONIAL; Y EN CASO DE SER AFIRMATIVA LOS PROCEDIMIENTOS QUE CONOCE EN VERSIÓN PÚBLICA” (Sic)</w:t>
      </w:r>
    </w:p>
    <w:p w14:paraId="4005DB20" w14:textId="77777777" w:rsidR="00C34EFF" w:rsidRPr="00124981" w:rsidRDefault="00C34EFF" w:rsidP="00E04342">
      <w:pPr>
        <w:jc w:val="both"/>
        <w:rPr>
          <w:rFonts w:ascii="Palatino Linotype" w:hAnsi="Palatino Linotype"/>
        </w:rPr>
      </w:pPr>
    </w:p>
    <w:p w14:paraId="3BB43105" w14:textId="77777777" w:rsidR="00C34EFF" w:rsidRPr="00124981" w:rsidRDefault="00C34EFF" w:rsidP="00E04342">
      <w:pPr>
        <w:jc w:val="both"/>
        <w:rPr>
          <w:rFonts w:ascii="Palatino Linotype" w:hAnsi="Palatino Linotype"/>
        </w:rPr>
      </w:pPr>
    </w:p>
    <w:p w14:paraId="05C3A50F" w14:textId="5AD11621" w:rsidR="000A3DBC" w:rsidRPr="00124981" w:rsidRDefault="0026648F" w:rsidP="00E04342">
      <w:pPr>
        <w:spacing w:line="360" w:lineRule="auto"/>
        <w:jc w:val="both"/>
        <w:rPr>
          <w:rStyle w:val="normaltextrun"/>
          <w:rFonts w:ascii="Palatino Linotype" w:hAnsi="Palatino Linotype"/>
          <w:color w:val="000000"/>
          <w:shd w:val="clear" w:color="auto" w:fill="FFFFFF"/>
        </w:rPr>
      </w:pPr>
      <w:r w:rsidRPr="00124981">
        <w:rPr>
          <w:rFonts w:ascii="Palatino Linotype" w:hAnsi="Palatino Linotype"/>
          <w:lang w:val="es-ES"/>
        </w:rPr>
        <w:t xml:space="preserve">Abierta la etapa de instrucción, </w:t>
      </w:r>
      <w:r w:rsidRPr="00124981">
        <w:rPr>
          <w:rFonts w:ascii="Palatino Linotype" w:hAnsi="Palatino Linotype"/>
          <w:b/>
          <w:lang w:val="es-ES"/>
        </w:rPr>
        <w:t>EL SUJETO OBLIGADO</w:t>
      </w:r>
      <w:r w:rsidRPr="00124981">
        <w:rPr>
          <w:rFonts w:ascii="Palatino Linotype" w:hAnsi="Palatino Linotype"/>
          <w:lang w:val="es-ES"/>
        </w:rPr>
        <w:t xml:space="preserve"> rindió su Informe Justificado, en el cual </w:t>
      </w:r>
      <w:r w:rsidR="000A3DBC" w:rsidRPr="00124981">
        <w:rPr>
          <w:rStyle w:val="normaltextrun"/>
          <w:rFonts w:ascii="Palatino Linotype" w:hAnsi="Palatino Linotype"/>
          <w:color w:val="000000"/>
          <w:shd w:val="clear" w:color="auto" w:fill="FFFFFF"/>
        </w:rPr>
        <w:t xml:space="preserve">la Jefa de la UIPPE y titular de la Unidad de Transparencia, </w:t>
      </w:r>
      <w:r w:rsidR="00E42909" w:rsidRPr="00124981">
        <w:rPr>
          <w:rStyle w:val="normaltextrun"/>
          <w:rFonts w:ascii="Palatino Linotype" w:hAnsi="Palatino Linotype"/>
          <w:color w:val="000000"/>
          <w:shd w:val="clear" w:color="auto" w:fill="FFFFFF"/>
        </w:rPr>
        <w:t xml:space="preserve">donde modifica su respuesta inicial; ahora indica que para </w:t>
      </w:r>
      <w:r w:rsidR="000A3DBC" w:rsidRPr="00124981">
        <w:rPr>
          <w:rStyle w:val="normaltextrun"/>
          <w:rFonts w:ascii="Palatino Linotype" w:hAnsi="Palatino Linotype"/>
          <w:color w:val="000000"/>
          <w:shd w:val="clear" w:color="auto" w:fill="FFFFFF"/>
        </w:rPr>
        <w:t>el año 2021, se iniciaron nueve Procedimientos Administrativos por Responsabilidad Patrimonial, no es posible su entrega, luego entonces, mediante el acta de la Tercera Sesión Extraordinaria del Comité de Transparencia de la Secretaria de Seguridad, se aprobó en el acuerdo de numero SS/CT/EXT/III/001/2022, por unanimidad de votos  de los integrantes la clasificación de la información como reservada por un periodo de cinco años, respecto de los nueve Procedimientos Administrativos por Responsabilidad Patrimonial en trámite de</w:t>
      </w:r>
      <w:r w:rsidR="00E42909" w:rsidRPr="00124981">
        <w:rPr>
          <w:rStyle w:val="normaltextrun"/>
          <w:rFonts w:ascii="Palatino Linotype" w:hAnsi="Palatino Linotype"/>
          <w:color w:val="000000"/>
          <w:shd w:val="clear" w:color="auto" w:fill="FFFFFF"/>
        </w:rPr>
        <w:t>l año 2021, en los siguientes términos:</w:t>
      </w:r>
    </w:p>
    <w:p w14:paraId="224AE1F5" w14:textId="77777777" w:rsidR="00E42909" w:rsidRPr="00124981" w:rsidRDefault="00E42909" w:rsidP="00E04342">
      <w:pPr>
        <w:spacing w:line="360" w:lineRule="auto"/>
        <w:jc w:val="both"/>
        <w:rPr>
          <w:rStyle w:val="normaltextrun"/>
          <w:rFonts w:ascii="Palatino Linotype" w:hAnsi="Palatino Linotype"/>
          <w:color w:val="000000"/>
          <w:shd w:val="clear" w:color="auto" w:fill="FFFFFF"/>
        </w:rPr>
      </w:pPr>
    </w:p>
    <w:p w14:paraId="2DCB320C" w14:textId="05D62D0D" w:rsidR="00E42909" w:rsidRPr="00124981" w:rsidRDefault="00E42909" w:rsidP="00E04342">
      <w:pPr>
        <w:spacing w:line="360" w:lineRule="auto"/>
        <w:jc w:val="both"/>
        <w:rPr>
          <w:rStyle w:val="eop"/>
          <w:rFonts w:ascii="Palatino Linotype" w:hAnsi="Palatino Linotype"/>
          <w:color w:val="000000"/>
          <w:shd w:val="clear" w:color="auto" w:fill="FFFFFF"/>
        </w:rPr>
      </w:pPr>
      <w:r w:rsidRPr="00124981">
        <w:rPr>
          <w:rStyle w:val="eop"/>
          <w:rFonts w:ascii="Palatino Linotype" w:hAnsi="Palatino Linotype"/>
          <w:noProof/>
          <w:color w:val="000000"/>
          <w:shd w:val="clear" w:color="auto" w:fill="FFFFFF"/>
          <w:lang w:eastAsia="es-MX"/>
        </w:rPr>
        <w:drawing>
          <wp:inline distT="0" distB="0" distL="0" distR="0" wp14:anchorId="048AFF6D" wp14:editId="6375B8CF">
            <wp:extent cx="5744377" cy="2105319"/>
            <wp:effectExtent l="0" t="0" r="889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4377" cy="2105319"/>
                    </a:xfrm>
                    <a:prstGeom prst="rect">
                      <a:avLst/>
                    </a:prstGeom>
                  </pic:spPr>
                </pic:pic>
              </a:graphicData>
            </a:graphic>
          </wp:inline>
        </w:drawing>
      </w:r>
    </w:p>
    <w:p w14:paraId="0AC950DB" w14:textId="481C6E63" w:rsidR="00C34EFF" w:rsidRPr="00124981" w:rsidRDefault="00C34EFF" w:rsidP="00E04342">
      <w:pPr>
        <w:spacing w:line="360" w:lineRule="auto"/>
        <w:jc w:val="both"/>
        <w:rPr>
          <w:rFonts w:ascii="Palatino Linotype" w:hAnsi="Palatino Linotype"/>
        </w:rPr>
      </w:pPr>
    </w:p>
    <w:p w14:paraId="497DADDF" w14:textId="15E63E8F" w:rsidR="00A22477" w:rsidRPr="00124981" w:rsidRDefault="00E42909" w:rsidP="00E04342">
      <w:pPr>
        <w:spacing w:line="360" w:lineRule="auto"/>
        <w:jc w:val="both"/>
        <w:rPr>
          <w:rFonts w:ascii="Palatino Linotype" w:hAnsi="Palatino Linotype"/>
        </w:rPr>
      </w:pPr>
      <w:r w:rsidRPr="00124981">
        <w:rPr>
          <w:rFonts w:ascii="Palatino Linotype" w:hAnsi="Palatino Linotype"/>
        </w:rPr>
        <w:t xml:space="preserve">Una vez descritas las documentales que obran en el expediente electrónico del </w:t>
      </w:r>
      <w:r w:rsidRPr="00124981">
        <w:rPr>
          <w:rFonts w:ascii="Palatino Linotype" w:hAnsi="Palatino Linotype"/>
          <w:b/>
        </w:rPr>
        <w:t>SAIMEX</w:t>
      </w:r>
      <w:r w:rsidRPr="00124981">
        <w:rPr>
          <w:rFonts w:ascii="Palatino Linotype" w:hAnsi="Palatino Linotype"/>
        </w:rPr>
        <w:t xml:space="preserve">, este Órgano Garante advierte que </w:t>
      </w:r>
      <w:r w:rsidRPr="00124981">
        <w:rPr>
          <w:rFonts w:ascii="Palatino Linotype" w:hAnsi="Palatino Linotype"/>
          <w:b/>
        </w:rPr>
        <w:t>EL SUJETO OBLIGADO</w:t>
      </w:r>
      <w:r w:rsidRPr="00124981">
        <w:rPr>
          <w:rFonts w:ascii="Palatino Linotype" w:hAnsi="Palatino Linotype"/>
        </w:rPr>
        <w:t xml:space="preserve"> efectivamente era competente para conocer de los expedientes de responsabilidad patrimonial, ya que </w:t>
      </w:r>
      <w:r w:rsidRPr="00124981">
        <w:rPr>
          <w:rFonts w:ascii="Palatino Linotype" w:hAnsi="Palatino Linotype"/>
        </w:rPr>
        <w:lastRenderedPageBreak/>
        <w:t xml:space="preserve">se encuentra establecido en el </w:t>
      </w:r>
      <w:r w:rsidR="00A22477" w:rsidRPr="00124981">
        <w:rPr>
          <w:rFonts w:ascii="Palatino Linotype" w:hAnsi="Palatino Linotype"/>
        </w:rPr>
        <w:t>artículo</w:t>
      </w:r>
      <w:r w:rsidRPr="00124981">
        <w:rPr>
          <w:rFonts w:ascii="Palatino Linotype" w:hAnsi="Palatino Linotype"/>
        </w:rPr>
        <w:t xml:space="preserve"> </w:t>
      </w:r>
      <w:r w:rsidR="00A22477" w:rsidRPr="00124981">
        <w:rPr>
          <w:rFonts w:ascii="Palatino Linotype" w:hAnsi="Palatino Linotype"/>
        </w:rPr>
        <w:t>23</w:t>
      </w:r>
      <w:r w:rsidR="00A22477" w:rsidRPr="00124981">
        <w:rPr>
          <w:rStyle w:val="Refdenotaalpie"/>
          <w:rFonts w:ascii="Palatino Linotype" w:hAnsi="Palatino Linotype"/>
        </w:rPr>
        <w:footnoteReference w:id="1"/>
      </w:r>
      <w:r w:rsidR="00A22477" w:rsidRPr="00124981">
        <w:rPr>
          <w:rFonts w:ascii="Palatino Linotype" w:hAnsi="Palatino Linotype"/>
        </w:rPr>
        <w:t xml:space="preserve">, de la Ley de Responsabilidad Patrimonial para el Estado de México y Municipios, la cual indica que la parte interesada deberá presentar su reclamación de indemnización por escrito </w:t>
      </w:r>
      <w:r w:rsidR="00A22477" w:rsidRPr="00124981">
        <w:rPr>
          <w:rFonts w:ascii="Palatino Linotype" w:hAnsi="Palatino Linotype"/>
          <w:b/>
        </w:rPr>
        <w:t xml:space="preserve">ante la entidad pública presuntamente responsable, </w:t>
      </w:r>
      <w:r w:rsidR="00A22477" w:rsidRPr="00124981">
        <w:rPr>
          <w:rFonts w:ascii="Palatino Linotype" w:hAnsi="Palatino Linotype"/>
        </w:rPr>
        <w:t xml:space="preserve">luego entonces, </w:t>
      </w:r>
      <w:r w:rsidR="00A22477" w:rsidRPr="00124981">
        <w:rPr>
          <w:rFonts w:ascii="Palatino Linotype" w:hAnsi="Palatino Linotype"/>
          <w:b/>
        </w:rPr>
        <w:t xml:space="preserve">EL SUJETO OBLIGADO </w:t>
      </w:r>
      <w:r w:rsidR="00A22477" w:rsidRPr="00124981">
        <w:rPr>
          <w:rFonts w:ascii="Palatino Linotype" w:hAnsi="Palatino Linotype"/>
        </w:rPr>
        <w:t>mediante el Informe Justificado modifica la respuesta mencionando que dentro de sus archivos tiene nueve expedientes</w:t>
      </w:r>
      <w:r w:rsidR="00A22477" w:rsidRPr="00124981">
        <w:rPr>
          <w:rFonts w:ascii="Palatino Linotype" w:hAnsi="Palatino Linotype"/>
          <w:b/>
        </w:rPr>
        <w:t xml:space="preserve"> </w:t>
      </w:r>
      <w:r w:rsidR="00A22477" w:rsidRPr="00124981">
        <w:rPr>
          <w:rFonts w:ascii="Palatino Linotype" w:hAnsi="Palatino Linotype"/>
        </w:rPr>
        <w:t>de responsabilidad patrimonial, los cuales clasifica como reservada durante por cinco años, una vez precisado lo anterior, se procede a realizar el análisis de las documentales adjuntadas.</w:t>
      </w:r>
    </w:p>
    <w:p w14:paraId="75AB3105" w14:textId="77777777" w:rsidR="00E04342" w:rsidRPr="00124981" w:rsidRDefault="00E04342" w:rsidP="00E04342">
      <w:pPr>
        <w:spacing w:line="360" w:lineRule="auto"/>
        <w:jc w:val="both"/>
        <w:rPr>
          <w:rFonts w:ascii="Palatino Linotype" w:hAnsi="Palatino Linotype"/>
        </w:rPr>
      </w:pPr>
    </w:p>
    <w:p w14:paraId="5BC56513" w14:textId="77777777" w:rsidR="00A22477" w:rsidRPr="00124981" w:rsidRDefault="00A22477" w:rsidP="00E04342">
      <w:pPr>
        <w:spacing w:line="360" w:lineRule="auto"/>
        <w:jc w:val="both"/>
        <w:rPr>
          <w:rFonts w:ascii="Palatino Linotype" w:hAnsi="Palatino Linotype"/>
          <w:bCs/>
        </w:rPr>
      </w:pPr>
      <w:r w:rsidRPr="00124981">
        <w:rPr>
          <w:rFonts w:ascii="Palatino Linotype" w:hAnsi="Palatino Linotype"/>
          <w:bCs/>
        </w:rPr>
        <w:t>En principio, el artículo 140, fracción VI, de la Ley de Transparencia y Acceso a la Información Pública del Estado de México y Municipios (homólogo al artículo 113, fracción IX de la Ley General de Transparencia y Acceso a la Información Pública), precisa lo siguiente:</w:t>
      </w:r>
    </w:p>
    <w:p w14:paraId="43848D8B" w14:textId="77777777" w:rsidR="00E04342" w:rsidRPr="00124981" w:rsidRDefault="00E04342" w:rsidP="00E04342">
      <w:pPr>
        <w:ind w:left="567" w:right="567"/>
        <w:jc w:val="both"/>
        <w:rPr>
          <w:rFonts w:ascii="Palatino Linotype" w:hAnsi="Palatino Linotype" w:cs="Tahoma"/>
          <w:b/>
          <w:bCs/>
          <w:i/>
          <w:sz w:val="22"/>
          <w:szCs w:val="20"/>
        </w:rPr>
      </w:pPr>
    </w:p>
    <w:p w14:paraId="3EC365B1" w14:textId="77777777" w:rsidR="00A22477" w:rsidRPr="00124981" w:rsidRDefault="00A22477" w:rsidP="00E04342">
      <w:pPr>
        <w:ind w:left="567" w:right="567"/>
        <w:jc w:val="both"/>
        <w:rPr>
          <w:rFonts w:ascii="Palatino Linotype" w:hAnsi="Palatino Linotype" w:cs="Tahoma"/>
          <w:bCs/>
          <w:i/>
          <w:sz w:val="22"/>
          <w:szCs w:val="20"/>
        </w:rPr>
      </w:pPr>
      <w:r w:rsidRPr="00124981">
        <w:rPr>
          <w:rFonts w:ascii="Palatino Linotype" w:hAnsi="Palatino Linotype" w:cs="Tahoma"/>
          <w:b/>
          <w:bCs/>
          <w:i/>
          <w:sz w:val="22"/>
          <w:szCs w:val="20"/>
        </w:rPr>
        <w:t>“Artículo 140.</w:t>
      </w:r>
      <w:r w:rsidRPr="00124981">
        <w:rPr>
          <w:rFonts w:ascii="Palatino Linotype" w:hAnsi="Palatino Linotype" w:cs="Tahoma"/>
          <w:bCs/>
          <w:i/>
          <w:sz w:val="22"/>
          <w:szCs w:val="20"/>
        </w:rPr>
        <w:t xml:space="preserve"> El acceso a la información pública será restringido excepcionalmente, cuando por razones de interés público, ésta sea clasificada como reservada, conforme a los criterios siguientes:</w:t>
      </w:r>
    </w:p>
    <w:p w14:paraId="4F36E9BB" w14:textId="77777777" w:rsidR="00E04342" w:rsidRPr="00124981" w:rsidRDefault="00E04342" w:rsidP="00E04342">
      <w:pPr>
        <w:ind w:left="567" w:right="567"/>
        <w:jc w:val="both"/>
        <w:rPr>
          <w:rFonts w:ascii="Palatino Linotype" w:hAnsi="Palatino Linotype" w:cs="Tahoma"/>
          <w:bCs/>
          <w:i/>
          <w:sz w:val="22"/>
          <w:szCs w:val="20"/>
        </w:rPr>
      </w:pPr>
    </w:p>
    <w:p w14:paraId="6920FE55" w14:textId="77777777" w:rsidR="00A22477" w:rsidRPr="00124981" w:rsidRDefault="00A22477" w:rsidP="00E04342">
      <w:pPr>
        <w:ind w:left="567" w:right="567"/>
        <w:jc w:val="both"/>
        <w:rPr>
          <w:rFonts w:ascii="Palatino Linotype" w:hAnsi="Palatino Linotype" w:cs="Tahoma"/>
          <w:bCs/>
          <w:i/>
          <w:sz w:val="22"/>
          <w:szCs w:val="20"/>
        </w:rPr>
      </w:pPr>
      <w:r w:rsidRPr="00124981">
        <w:rPr>
          <w:rFonts w:ascii="Palatino Linotype" w:hAnsi="Palatino Linotype" w:cs="Tahoma"/>
          <w:bCs/>
          <w:i/>
          <w:sz w:val="22"/>
          <w:szCs w:val="20"/>
        </w:rPr>
        <w:t>I a V…</w:t>
      </w:r>
    </w:p>
    <w:p w14:paraId="31C9E436" w14:textId="77777777" w:rsidR="00A22477" w:rsidRPr="00124981" w:rsidRDefault="00A22477" w:rsidP="00E04342">
      <w:pPr>
        <w:ind w:left="567" w:right="567"/>
        <w:jc w:val="both"/>
        <w:rPr>
          <w:rFonts w:ascii="Palatino Linotype" w:hAnsi="Palatino Linotype" w:cs="Tahoma"/>
          <w:bCs/>
          <w:i/>
          <w:sz w:val="22"/>
          <w:szCs w:val="20"/>
        </w:rPr>
      </w:pPr>
      <w:r w:rsidRPr="00124981">
        <w:rPr>
          <w:rFonts w:ascii="Palatino Linotype" w:hAnsi="Palatino Linotype" w:cs="Tahoma"/>
          <w:bCs/>
          <w:i/>
          <w:sz w:val="22"/>
          <w:szCs w:val="20"/>
        </w:rPr>
        <w:t xml:space="preserve">VI. Pueda causar daño u obstruya la prevención o persecución de los delitos, altere el proceso de investigación de las carpetas de investigación, afecte o vulnere la conducción o los derechos del debido proceso en los procedimientos judiciales o administrativos, </w:t>
      </w:r>
      <w:r w:rsidRPr="00124981">
        <w:rPr>
          <w:rFonts w:ascii="Palatino Linotype" w:hAnsi="Palatino Linotype" w:cs="Tahoma"/>
          <w:b/>
          <w:bCs/>
          <w:i/>
          <w:sz w:val="22"/>
          <w:szCs w:val="20"/>
        </w:rPr>
        <w:t xml:space="preserve">incluidos los de quejas, denuncias, inconformidades, </w:t>
      </w:r>
      <w:r w:rsidRPr="00124981">
        <w:rPr>
          <w:rFonts w:ascii="Palatino Linotype" w:hAnsi="Palatino Linotype" w:cs="Tahoma"/>
          <w:b/>
          <w:bCs/>
          <w:i/>
          <w:sz w:val="22"/>
          <w:szCs w:val="20"/>
          <w:u w:val="single"/>
        </w:rPr>
        <w:t>responsabilidades administrativas</w:t>
      </w:r>
      <w:r w:rsidRPr="00124981">
        <w:rPr>
          <w:rFonts w:ascii="Palatino Linotype" w:hAnsi="Palatino Linotype" w:cs="Tahoma"/>
          <w:b/>
          <w:bCs/>
          <w:i/>
          <w:sz w:val="22"/>
          <w:szCs w:val="20"/>
        </w:rPr>
        <w:t xml:space="preserve"> y resarcitorias en tanto no hayan quedado firmes</w:t>
      </w:r>
      <w:r w:rsidRPr="00124981">
        <w:rPr>
          <w:rFonts w:ascii="Palatino Linotype" w:hAnsi="Palatino Linotype" w:cs="Tahoma"/>
          <w:bCs/>
          <w:i/>
          <w:sz w:val="22"/>
          <w:szCs w:val="20"/>
        </w:rPr>
        <w:t xml:space="preserve"> o afecte la administración de justicia </w:t>
      </w:r>
      <w:r w:rsidRPr="00124981">
        <w:rPr>
          <w:rFonts w:ascii="Palatino Linotype" w:hAnsi="Palatino Linotype" w:cs="Tahoma"/>
          <w:bCs/>
          <w:i/>
          <w:sz w:val="22"/>
          <w:szCs w:val="20"/>
        </w:rPr>
        <w:lastRenderedPageBreak/>
        <w:t>o la seguridad de un denunciante, querellante o testigo, así como sus familias, en los términos de las disposiciones jurídicas aplicables;</w:t>
      </w:r>
      <w:r w:rsidRPr="00124981">
        <w:rPr>
          <w:rFonts w:ascii="Palatino Linotype" w:hAnsi="Palatino Linotype" w:cs="Tahoma"/>
          <w:bCs/>
          <w:i/>
          <w:sz w:val="22"/>
          <w:szCs w:val="20"/>
        </w:rPr>
        <w:cr/>
        <w:t xml:space="preserve">VII a XI…” </w:t>
      </w:r>
    </w:p>
    <w:p w14:paraId="03B4F019" w14:textId="77777777" w:rsidR="00EE0AD0" w:rsidRPr="00124981" w:rsidRDefault="00EE0AD0" w:rsidP="00E04342">
      <w:pPr>
        <w:ind w:left="567" w:right="567"/>
        <w:jc w:val="both"/>
        <w:rPr>
          <w:rFonts w:ascii="Palatino Linotype" w:hAnsi="Palatino Linotype" w:cs="Tahoma"/>
          <w:bCs/>
          <w:i/>
          <w:sz w:val="22"/>
          <w:szCs w:val="20"/>
        </w:rPr>
      </w:pPr>
    </w:p>
    <w:p w14:paraId="2944C396" w14:textId="77777777" w:rsidR="00A22477" w:rsidRPr="00124981" w:rsidRDefault="00A22477" w:rsidP="00E04342">
      <w:pPr>
        <w:spacing w:line="360" w:lineRule="auto"/>
        <w:jc w:val="both"/>
        <w:rPr>
          <w:rFonts w:ascii="Palatino Linotype" w:hAnsi="Palatino Linotype"/>
          <w:bCs/>
          <w:sz w:val="2"/>
        </w:rPr>
      </w:pPr>
    </w:p>
    <w:p w14:paraId="4E100E69" w14:textId="77777777" w:rsidR="00A22477" w:rsidRPr="00124981" w:rsidRDefault="00A22477" w:rsidP="00E04342">
      <w:pPr>
        <w:spacing w:line="360" w:lineRule="auto"/>
        <w:jc w:val="both"/>
        <w:rPr>
          <w:rFonts w:ascii="Palatino Linotype" w:hAnsi="Palatino Linotype"/>
          <w:bCs/>
        </w:rPr>
      </w:pPr>
      <w:r w:rsidRPr="00124981">
        <w:rPr>
          <w:rFonts w:ascii="Palatino Linotype" w:hAnsi="Palatino Linotype"/>
          <w:bCs/>
        </w:rPr>
        <w:t xml:space="preserve">Por su parte, </w:t>
      </w:r>
      <w:r w:rsidRPr="00124981">
        <w:rPr>
          <w:rFonts w:ascii="Palatino Linotype" w:hAnsi="Palatino Linotype"/>
        </w:rPr>
        <w:t>en</w:t>
      </w:r>
      <w:r w:rsidRPr="00124981">
        <w:rPr>
          <w:rFonts w:ascii="Palatino Linotype" w:hAnsi="Palatino Linotype"/>
          <w:bCs/>
        </w:rPr>
        <w:t xml:space="preserve"> los Lineamientos Generales en materia de clasificación y desclasificación de la información, así como para la elaboración de versiones públicas, se prevé lo siguiente:</w:t>
      </w:r>
    </w:p>
    <w:p w14:paraId="4F6B9778" w14:textId="77777777" w:rsidR="00EE0AD0" w:rsidRPr="00124981" w:rsidRDefault="00EE0AD0" w:rsidP="00E04342">
      <w:pPr>
        <w:tabs>
          <w:tab w:val="left" w:pos="8222"/>
        </w:tabs>
        <w:ind w:left="567" w:right="539"/>
        <w:jc w:val="both"/>
        <w:rPr>
          <w:rFonts w:ascii="Palatino Linotype" w:hAnsi="Palatino Linotype" w:cs="Tahoma"/>
          <w:b/>
          <w:bCs/>
          <w:i/>
          <w:sz w:val="22"/>
          <w:szCs w:val="22"/>
        </w:rPr>
      </w:pPr>
    </w:p>
    <w:p w14:paraId="59059F78" w14:textId="77777777" w:rsidR="00A22477" w:rsidRPr="00124981" w:rsidRDefault="00A22477" w:rsidP="00E04342">
      <w:pPr>
        <w:tabs>
          <w:tab w:val="left" w:pos="8222"/>
        </w:tabs>
        <w:ind w:left="567" w:right="539"/>
        <w:jc w:val="both"/>
        <w:rPr>
          <w:rFonts w:ascii="Palatino Linotype" w:hAnsi="Palatino Linotype" w:cs="Tahoma"/>
          <w:bCs/>
          <w:i/>
          <w:sz w:val="22"/>
          <w:szCs w:val="22"/>
        </w:rPr>
      </w:pPr>
      <w:r w:rsidRPr="00124981">
        <w:rPr>
          <w:rFonts w:ascii="Palatino Linotype" w:hAnsi="Palatino Linotype" w:cs="Tahoma"/>
          <w:b/>
          <w:bCs/>
          <w:i/>
          <w:sz w:val="22"/>
          <w:szCs w:val="22"/>
        </w:rPr>
        <w:t>“Vigésimo octavo</w:t>
      </w:r>
      <w:r w:rsidRPr="00124981">
        <w:rPr>
          <w:rFonts w:ascii="Palatino Linotype" w:hAnsi="Palatino Linotype" w:cs="Tahoma"/>
          <w:bCs/>
          <w:i/>
          <w:sz w:val="22"/>
          <w:szCs w:val="22"/>
        </w:rPr>
        <w:t>.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14:paraId="47C3A9D1" w14:textId="77777777" w:rsidR="00A22477" w:rsidRPr="00124981" w:rsidRDefault="00A22477" w:rsidP="00E04342">
      <w:pPr>
        <w:tabs>
          <w:tab w:val="left" w:pos="8222"/>
        </w:tabs>
        <w:ind w:left="567" w:right="539"/>
        <w:jc w:val="both"/>
        <w:rPr>
          <w:rFonts w:ascii="Palatino Linotype" w:hAnsi="Palatino Linotype" w:cs="Tahoma"/>
          <w:bCs/>
          <w:i/>
          <w:sz w:val="22"/>
          <w:szCs w:val="22"/>
        </w:rPr>
      </w:pPr>
      <w:r w:rsidRPr="00124981">
        <w:rPr>
          <w:rFonts w:ascii="Palatino Linotype" w:hAnsi="Palatino Linotype" w:cs="Tahoma"/>
          <w:bCs/>
          <w:i/>
          <w:sz w:val="22"/>
          <w:szCs w:val="22"/>
        </w:rPr>
        <w:t>I. La existencia de un procedimiento de responsabilidad administrativa en trámite, y</w:t>
      </w:r>
    </w:p>
    <w:p w14:paraId="38568DFE" w14:textId="77777777" w:rsidR="00A22477" w:rsidRPr="00124981" w:rsidRDefault="00A22477" w:rsidP="00E04342">
      <w:pPr>
        <w:tabs>
          <w:tab w:val="left" w:pos="8222"/>
        </w:tabs>
        <w:ind w:left="567" w:right="539"/>
        <w:jc w:val="both"/>
        <w:rPr>
          <w:rFonts w:ascii="Palatino Linotype" w:hAnsi="Palatino Linotype" w:cs="Tahoma"/>
          <w:bCs/>
          <w:i/>
          <w:sz w:val="22"/>
          <w:szCs w:val="22"/>
        </w:rPr>
      </w:pPr>
      <w:r w:rsidRPr="00124981">
        <w:rPr>
          <w:rFonts w:ascii="Palatino Linotype" w:hAnsi="Palatino Linotype" w:cs="Tahoma"/>
          <w:bCs/>
          <w:i/>
          <w:sz w:val="22"/>
          <w:szCs w:val="22"/>
        </w:rPr>
        <w:t>II. Que la información se refiera a actuaciones, diligencias y constancias propias del procedimiento de responsabilidad.”</w:t>
      </w:r>
    </w:p>
    <w:p w14:paraId="6D9EACC2" w14:textId="77777777" w:rsidR="00EE0AD0" w:rsidRPr="00124981" w:rsidRDefault="00EE0AD0" w:rsidP="00E04342">
      <w:pPr>
        <w:tabs>
          <w:tab w:val="left" w:pos="8222"/>
        </w:tabs>
        <w:ind w:left="567" w:right="539"/>
        <w:jc w:val="both"/>
        <w:rPr>
          <w:rFonts w:ascii="Palatino Linotype" w:hAnsi="Palatino Linotype" w:cs="Tahoma"/>
          <w:bCs/>
          <w:i/>
          <w:sz w:val="22"/>
          <w:szCs w:val="22"/>
        </w:rPr>
      </w:pPr>
    </w:p>
    <w:p w14:paraId="6B9225A8" w14:textId="77777777" w:rsidR="00A22477" w:rsidRPr="00124981" w:rsidRDefault="00A22477" w:rsidP="00E04342">
      <w:pPr>
        <w:spacing w:line="360" w:lineRule="auto"/>
        <w:jc w:val="both"/>
        <w:rPr>
          <w:rFonts w:ascii="Palatino Linotype" w:hAnsi="Palatino Linotype"/>
          <w:bCs/>
          <w:lang w:val="es-ES"/>
        </w:rPr>
      </w:pPr>
      <w:r w:rsidRPr="00124981">
        <w:rPr>
          <w:rFonts w:ascii="Palatino Linotype" w:hAnsi="Palatino Linotype"/>
          <w:bCs/>
          <w:lang w:val="es-ES"/>
        </w:rPr>
        <w:t xml:space="preserve">De la normatividad citada, se desprende que el supuesto de clasificación invocado prevé que como información </w:t>
      </w:r>
      <w:r w:rsidRPr="00124981">
        <w:rPr>
          <w:rFonts w:ascii="Palatino Linotype" w:hAnsi="Palatino Linotype"/>
          <w:bCs/>
        </w:rPr>
        <w:t>reservada</w:t>
      </w:r>
      <w:r w:rsidRPr="00124981">
        <w:rPr>
          <w:rFonts w:ascii="Palatino Linotype" w:hAnsi="Palatino Linotype"/>
          <w:bCs/>
          <w:lang w:val="es-ES"/>
        </w:rPr>
        <w:t xml:space="preserve">, a </w:t>
      </w:r>
      <w:r w:rsidRPr="00124981">
        <w:rPr>
          <w:rFonts w:ascii="Palatino Linotype" w:hAnsi="Palatino Linotype"/>
          <w:b/>
          <w:bCs/>
          <w:lang w:val="es-ES"/>
        </w:rPr>
        <w:t>aquella que vulnere la conducción de los procedimientos de responsabilidades administrativas en trámite, en tanto no hayan causado estado.</w:t>
      </w:r>
      <w:r w:rsidRPr="00124981">
        <w:rPr>
          <w:rFonts w:ascii="Palatino Linotype" w:hAnsi="Palatino Linotype"/>
          <w:bCs/>
          <w:lang w:val="es-ES"/>
        </w:rPr>
        <w:t xml:space="preserve"> Por lo cual, para considerar que se actualiza dicha causal es necesario que se configuren los siguientes elementos:</w:t>
      </w:r>
    </w:p>
    <w:p w14:paraId="7B568A54" w14:textId="77777777" w:rsidR="00EE0AD0" w:rsidRPr="00124981" w:rsidRDefault="00EE0AD0" w:rsidP="00E04342">
      <w:pPr>
        <w:spacing w:line="360" w:lineRule="auto"/>
        <w:jc w:val="both"/>
        <w:rPr>
          <w:rFonts w:ascii="Palatino Linotype" w:hAnsi="Palatino Linotype"/>
          <w:bCs/>
          <w:lang w:val="es-ES"/>
        </w:rPr>
      </w:pPr>
    </w:p>
    <w:p w14:paraId="60BB9CCF" w14:textId="77777777" w:rsidR="00A22477" w:rsidRPr="00124981" w:rsidRDefault="00A22477" w:rsidP="00E04342">
      <w:pPr>
        <w:numPr>
          <w:ilvl w:val="0"/>
          <w:numId w:val="17"/>
        </w:numPr>
        <w:spacing w:line="360" w:lineRule="auto"/>
        <w:jc w:val="both"/>
        <w:rPr>
          <w:rFonts w:ascii="Palatino Linotype" w:hAnsi="Palatino Linotype"/>
          <w:bCs/>
        </w:rPr>
      </w:pPr>
      <w:r w:rsidRPr="00124981">
        <w:rPr>
          <w:rFonts w:ascii="Palatino Linotype" w:hAnsi="Palatino Linotype"/>
          <w:bCs/>
        </w:rPr>
        <w:t>La existencia de un procedimiento administrativo, que se encuentre en trámite, y;</w:t>
      </w:r>
    </w:p>
    <w:p w14:paraId="187B97EE" w14:textId="77777777" w:rsidR="00A22477" w:rsidRPr="00124981" w:rsidRDefault="00A22477" w:rsidP="00E04342">
      <w:pPr>
        <w:numPr>
          <w:ilvl w:val="0"/>
          <w:numId w:val="17"/>
        </w:numPr>
        <w:spacing w:line="360" w:lineRule="auto"/>
        <w:jc w:val="both"/>
        <w:rPr>
          <w:rFonts w:ascii="Palatino Linotype" w:hAnsi="Palatino Linotype"/>
          <w:bCs/>
        </w:rPr>
      </w:pPr>
      <w:r w:rsidRPr="00124981">
        <w:rPr>
          <w:rFonts w:ascii="Palatino Linotype" w:hAnsi="Palatino Linotype"/>
          <w:bCs/>
        </w:rPr>
        <w:t>Que la información solicitada se refiera a actuaciones, diligencias o constancias propias del procedimiento.</w:t>
      </w:r>
    </w:p>
    <w:p w14:paraId="4205C275" w14:textId="77777777" w:rsidR="00EE0AD0" w:rsidRPr="00124981" w:rsidRDefault="00EE0AD0" w:rsidP="00EE0AD0">
      <w:pPr>
        <w:spacing w:line="360" w:lineRule="auto"/>
        <w:ind w:left="720"/>
        <w:jc w:val="both"/>
        <w:rPr>
          <w:rFonts w:ascii="Palatino Linotype" w:hAnsi="Palatino Linotype"/>
          <w:bCs/>
        </w:rPr>
      </w:pPr>
    </w:p>
    <w:p w14:paraId="58803A0F" w14:textId="4354BABA" w:rsidR="00A22477" w:rsidRPr="00124981" w:rsidRDefault="00A22477" w:rsidP="00E04342">
      <w:pPr>
        <w:spacing w:line="360" w:lineRule="auto"/>
        <w:jc w:val="both"/>
        <w:rPr>
          <w:rFonts w:ascii="Palatino Linotype" w:hAnsi="Palatino Linotype"/>
          <w:bCs/>
        </w:rPr>
      </w:pPr>
      <w:r w:rsidRPr="00124981">
        <w:rPr>
          <w:rFonts w:ascii="Palatino Linotype" w:hAnsi="Palatino Linotype"/>
          <w:bCs/>
        </w:rPr>
        <w:lastRenderedPageBreak/>
        <w:t xml:space="preserve">En ese contexto, resulta necesario precisar que el procedimiento, en el presente caso, corresponde a aquel para resolver un Procedimiento de Responsabilidad </w:t>
      </w:r>
      <w:r w:rsidR="00D85903" w:rsidRPr="00124981">
        <w:rPr>
          <w:rFonts w:ascii="Palatino Linotype" w:hAnsi="Palatino Linotype"/>
          <w:bCs/>
        </w:rPr>
        <w:t>Patrimonial</w:t>
      </w:r>
      <w:r w:rsidRPr="00124981">
        <w:rPr>
          <w:rFonts w:ascii="Palatino Linotype" w:hAnsi="Palatino Linotype"/>
          <w:bCs/>
        </w:rPr>
        <w:t xml:space="preserve">; por lo que, es necesario traer a colación lo señalado por </w:t>
      </w:r>
      <w:r w:rsidR="00D85903" w:rsidRPr="00124981">
        <w:rPr>
          <w:rFonts w:ascii="Palatino Linotype" w:hAnsi="Palatino Linotype"/>
          <w:bCs/>
        </w:rPr>
        <w:t>Ley de Responsabilidad Patrimonial para el Estado de México y Municipios</w:t>
      </w:r>
      <w:r w:rsidRPr="00124981">
        <w:rPr>
          <w:rFonts w:ascii="Palatino Linotype" w:hAnsi="Palatino Linotype"/>
          <w:bCs/>
        </w:rPr>
        <w:t>, que establece lo siguiente:</w:t>
      </w:r>
    </w:p>
    <w:p w14:paraId="7201EBC7" w14:textId="77777777" w:rsidR="00EE0AD0" w:rsidRPr="00124981" w:rsidRDefault="00EE0AD0" w:rsidP="00E04342">
      <w:pPr>
        <w:tabs>
          <w:tab w:val="left" w:pos="8222"/>
        </w:tabs>
        <w:ind w:left="851" w:right="899"/>
        <w:jc w:val="both"/>
        <w:rPr>
          <w:rFonts w:ascii="Palatino Linotype" w:hAnsi="Palatino Linotype" w:cs="Tahoma"/>
          <w:b/>
          <w:bCs/>
          <w:i/>
          <w:sz w:val="22"/>
          <w:szCs w:val="22"/>
        </w:rPr>
      </w:pPr>
    </w:p>
    <w:p w14:paraId="5DCDB09E" w14:textId="77777777" w:rsidR="00D85903" w:rsidRPr="00124981" w:rsidRDefault="00A22477" w:rsidP="00E04342">
      <w:pPr>
        <w:tabs>
          <w:tab w:val="left" w:pos="8222"/>
        </w:tabs>
        <w:ind w:left="851" w:right="899"/>
        <w:jc w:val="both"/>
        <w:rPr>
          <w:rFonts w:ascii="Palatino Linotype" w:hAnsi="Palatino Linotype" w:cs="Tahoma"/>
          <w:bCs/>
          <w:i/>
          <w:sz w:val="22"/>
          <w:szCs w:val="22"/>
        </w:rPr>
      </w:pPr>
      <w:r w:rsidRPr="00124981">
        <w:rPr>
          <w:rFonts w:ascii="Palatino Linotype" w:hAnsi="Palatino Linotype" w:cs="Tahoma"/>
          <w:b/>
          <w:bCs/>
          <w:i/>
          <w:sz w:val="22"/>
          <w:szCs w:val="22"/>
        </w:rPr>
        <w:t>“</w:t>
      </w:r>
      <w:r w:rsidR="00D85903" w:rsidRPr="00124981">
        <w:rPr>
          <w:rFonts w:ascii="Palatino Linotype" w:hAnsi="Palatino Linotype" w:cs="Tahoma"/>
          <w:b/>
          <w:bCs/>
          <w:i/>
          <w:sz w:val="22"/>
          <w:szCs w:val="22"/>
        </w:rPr>
        <w:t xml:space="preserve">Artículo 21. </w:t>
      </w:r>
      <w:r w:rsidR="00D85903" w:rsidRPr="00124981">
        <w:rPr>
          <w:rFonts w:ascii="Palatino Linotype" w:hAnsi="Palatino Linotype" w:cs="Tahoma"/>
          <w:bCs/>
          <w:i/>
          <w:sz w:val="22"/>
          <w:szCs w:val="22"/>
        </w:rPr>
        <w:t xml:space="preserve">El procedimiento de responsabilidad patrimonial de los sujetos obligados se iniciará por reclamación de parte interesada o de quien legítimamente lo represente. </w:t>
      </w:r>
    </w:p>
    <w:p w14:paraId="346F955C" w14:textId="77777777" w:rsidR="00D85903" w:rsidRPr="00124981" w:rsidRDefault="00D85903" w:rsidP="00E04342">
      <w:pPr>
        <w:tabs>
          <w:tab w:val="left" w:pos="8222"/>
        </w:tabs>
        <w:ind w:left="851" w:right="899"/>
        <w:jc w:val="both"/>
        <w:rPr>
          <w:rFonts w:ascii="Palatino Linotype" w:hAnsi="Palatino Linotype" w:cs="Tahoma"/>
          <w:b/>
          <w:bCs/>
          <w:i/>
          <w:sz w:val="22"/>
          <w:szCs w:val="22"/>
        </w:rPr>
      </w:pPr>
    </w:p>
    <w:p w14:paraId="4A403EEB" w14:textId="36FD749E" w:rsidR="00D85903" w:rsidRPr="00124981" w:rsidRDefault="00D85903" w:rsidP="00E04342">
      <w:pPr>
        <w:tabs>
          <w:tab w:val="left" w:pos="8222"/>
        </w:tabs>
        <w:ind w:left="851" w:right="899"/>
        <w:jc w:val="both"/>
        <w:rPr>
          <w:rFonts w:ascii="Palatino Linotype" w:hAnsi="Palatino Linotype" w:cs="Tahoma"/>
          <w:b/>
          <w:bCs/>
          <w:i/>
          <w:sz w:val="22"/>
          <w:szCs w:val="22"/>
        </w:rPr>
      </w:pPr>
      <w:r w:rsidRPr="00124981">
        <w:rPr>
          <w:rFonts w:ascii="Palatino Linotype" w:hAnsi="Palatino Linotype" w:cs="Tahoma"/>
          <w:b/>
          <w:bCs/>
          <w:i/>
          <w:sz w:val="22"/>
          <w:szCs w:val="22"/>
        </w:rPr>
        <w:t xml:space="preserve">Artículo 22. </w:t>
      </w:r>
      <w:r w:rsidRPr="00124981">
        <w:rPr>
          <w:rFonts w:ascii="Palatino Linotype" w:hAnsi="Palatino Linotype" w:cs="Tahoma"/>
          <w:bCs/>
          <w:i/>
          <w:sz w:val="22"/>
          <w:szCs w:val="22"/>
        </w:rPr>
        <w:t>La nulidad de los actos administrativos declarada por la vía administrativa, o bien, por el Tribunal de Justicia Administrativa del Estado de México, no presupone el derecho a una indemnización.</w:t>
      </w:r>
    </w:p>
    <w:p w14:paraId="36C5F804" w14:textId="77777777" w:rsidR="00D85903" w:rsidRPr="00124981" w:rsidRDefault="00D85903" w:rsidP="00E04342">
      <w:pPr>
        <w:tabs>
          <w:tab w:val="left" w:pos="8222"/>
        </w:tabs>
        <w:ind w:left="851" w:right="899"/>
        <w:jc w:val="both"/>
        <w:rPr>
          <w:rFonts w:ascii="Palatino Linotype" w:hAnsi="Palatino Linotype" w:cs="Tahoma"/>
          <w:bCs/>
          <w:i/>
          <w:sz w:val="22"/>
          <w:szCs w:val="22"/>
        </w:rPr>
      </w:pPr>
    </w:p>
    <w:p w14:paraId="1FE3864F" w14:textId="77777777" w:rsidR="00D85903" w:rsidRPr="00124981" w:rsidRDefault="00D85903" w:rsidP="00E04342">
      <w:pPr>
        <w:ind w:left="851" w:right="899"/>
        <w:jc w:val="both"/>
        <w:rPr>
          <w:rFonts w:ascii="Palatino Linotype" w:hAnsi="Palatino Linotype" w:cs="Tahoma"/>
          <w:bCs/>
          <w:i/>
          <w:sz w:val="22"/>
          <w:szCs w:val="22"/>
        </w:rPr>
      </w:pPr>
      <w:r w:rsidRPr="00124981">
        <w:rPr>
          <w:rFonts w:ascii="Palatino Linotype" w:hAnsi="Palatino Linotype" w:cs="Tahoma"/>
          <w:b/>
          <w:bCs/>
          <w:i/>
          <w:sz w:val="22"/>
          <w:szCs w:val="22"/>
        </w:rPr>
        <w:t>Artículo 23.</w:t>
      </w:r>
      <w:r w:rsidRPr="00124981">
        <w:rPr>
          <w:rFonts w:ascii="Palatino Linotype" w:hAnsi="Palatino Linotype" w:cs="Tahoma"/>
          <w:bCs/>
          <w:i/>
          <w:sz w:val="22"/>
          <w:szCs w:val="22"/>
        </w:rPr>
        <w:t xml:space="preserve"> La parte interesada deberá presentar su reclamación de indemnización por escrito ante la entidad pública presuntamente responsable, en términos de lo previsto en esta Ley. </w:t>
      </w:r>
    </w:p>
    <w:p w14:paraId="6433B568" w14:textId="77777777" w:rsidR="00D85903" w:rsidRPr="00124981" w:rsidRDefault="00D85903" w:rsidP="00E04342">
      <w:pPr>
        <w:ind w:left="851" w:right="899"/>
        <w:jc w:val="both"/>
        <w:rPr>
          <w:rFonts w:ascii="Palatino Linotype" w:hAnsi="Palatino Linotype" w:cs="Tahoma"/>
          <w:bCs/>
          <w:i/>
          <w:sz w:val="22"/>
          <w:szCs w:val="22"/>
        </w:rPr>
      </w:pPr>
    </w:p>
    <w:p w14:paraId="16D7D355" w14:textId="77777777" w:rsidR="00D85903" w:rsidRPr="00124981" w:rsidRDefault="00D85903" w:rsidP="00E04342">
      <w:pPr>
        <w:ind w:left="851" w:right="899"/>
        <w:jc w:val="both"/>
        <w:rPr>
          <w:rFonts w:ascii="Palatino Linotype" w:hAnsi="Palatino Linotype" w:cs="Tahoma"/>
          <w:bCs/>
          <w:i/>
          <w:sz w:val="22"/>
          <w:szCs w:val="22"/>
        </w:rPr>
      </w:pPr>
      <w:r w:rsidRPr="00124981">
        <w:rPr>
          <w:rFonts w:ascii="Palatino Linotype" w:hAnsi="Palatino Linotype" w:cs="Tahoma"/>
          <w:bCs/>
          <w:i/>
          <w:sz w:val="22"/>
          <w:szCs w:val="22"/>
        </w:rPr>
        <w:t xml:space="preserve">No se dará inicio a la reclamación presentada si se encontrare pendiente alguno de los procedimientos por los que el particular haya impugnado el acto de autoridad que se reputa como dañoso, continuándose con su tramitación hasta en tanto en dichos procedimientos se haya dictado una resolución ejecutoriada. </w:t>
      </w:r>
    </w:p>
    <w:p w14:paraId="6C145CA9" w14:textId="77777777" w:rsidR="00D85903" w:rsidRPr="00124981" w:rsidRDefault="00D85903" w:rsidP="00E04342">
      <w:pPr>
        <w:ind w:left="851" w:right="899"/>
        <w:jc w:val="both"/>
        <w:rPr>
          <w:rFonts w:ascii="Palatino Linotype" w:hAnsi="Palatino Linotype" w:cs="Tahoma"/>
          <w:bCs/>
          <w:i/>
          <w:sz w:val="22"/>
          <w:szCs w:val="22"/>
        </w:rPr>
      </w:pPr>
    </w:p>
    <w:p w14:paraId="2EC333EB" w14:textId="77777777" w:rsidR="00D85903" w:rsidRPr="00124981" w:rsidRDefault="00D85903" w:rsidP="00E04342">
      <w:pPr>
        <w:ind w:left="851" w:right="899"/>
        <w:jc w:val="both"/>
        <w:rPr>
          <w:rFonts w:ascii="Palatino Linotype" w:hAnsi="Palatino Linotype" w:cs="Tahoma"/>
          <w:bCs/>
          <w:i/>
          <w:sz w:val="22"/>
          <w:szCs w:val="22"/>
        </w:rPr>
      </w:pPr>
      <w:r w:rsidRPr="00124981">
        <w:rPr>
          <w:rFonts w:ascii="Palatino Linotype" w:hAnsi="Palatino Linotype" w:cs="Tahoma"/>
          <w:b/>
          <w:bCs/>
          <w:i/>
          <w:sz w:val="22"/>
          <w:szCs w:val="22"/>
        </w:rPr>
        <w:t>Artículo 24.</w:t>
      </w:r>
      <w:r w:rsidRPr="00124981">
        <w:rPr>
          <w:rFonts w:ascii="Palatino Linotype" w:hAnsi="Palatino Linotype" w:cs="Tahoma"/>
          <w:bCs/>
          <w:i/>
          <w:sz w:val="22"/>
          <w:szCs w:val="22"/>
        </w:rPr>
        <w:t xml:space="preserve"> La autoridad del conocimiento deberá acordar la acumulación de expedientes, cuando los accionantes o los actos motivo de reclamación sean iguales, se trate de actos concurrentes, o resulte conveniente la acumulación de los asuntos para evitar la emisión de resoluciones contradictorias.</w:t>
      </w:r>
    </w:p>
    <w:p w14:paraId="7DB64FE6" w14:textId="77777777" w:rsidR="00D85903" w:rsidRPr="00124981" w:rsidRDefault="00D85903" w:rsidP="00E04342">
      <w:pPr>
        <w:ind w:left="851" w:right="899"/>
        <w:jc w:val="both"/>
        <w:rPr>
          <w:rFonts w:ascii="Palatino Linotype" w:hAnsi="Palatino Linotype" w:cs="Tahoma"/>
          <w:bCs/>
          <w:i/>
          <w:sz w:val="22"/>
          <w:szCs w:val="22"/>
        </w:rPr>
      </w:pPr>
    </w:p>
    <w:p w14:paraId="4543FDBE" w14:textId="77777777" w:rsidR="00D85903" w:rsidRPr="00124981" w:rsidRDefault="00D85903" w:rsidP="00E04342">
      <w:pPr>
        <w:ind w:left="851" w:right="899"/>
        <w:jc w:val="both"/>
        <w:rPr>
          <w:rFonts w:ascii="Palatino Linotype" w:hAnsi="Palatino Linotype" w:cs="Tahoma"/>
          <w:bCs/>
          <w:i/>
          <w:sz w:val="22"/>
          <w:szCs w:val="22"/>
        </w:rPr>
      </w:pPr>
      <w:r w:rsidRPr="00124981">
        <w:rPr>
          <w:rFonts w:ascii="Palatino Linotype" w:hAnsi="Palatino Linotype" w:cs="Tahoma"/>
          <w:b/>
          <w:bCs/>
          <w:i/>
          <w:sz w:val="22"/>
          <w:szCs w:val="22"/>
        </w:rPr>
        <w:t>Artículo 25.</w:t>
      </w:r>
      <w:r w:rsidRPr="00124981">
        <w:rPr>
          <w:rFonts w:ascii="Palatino Linotype" w:hAnsi="Palatino Linotype" w:cs="Tahoma"/>
          <w:bCs/>
          <w:i/>
          <w:sz w:val="22"/>
          <w:szCs w:val="22"/>
        </w:rPr>
        <w:t xml:space="preserve"> El daño que se cause a los particulares por la actividad administrativa irregular, deberá acreditarse tomando en consideración los siguientes criterios: </w:t>
      </w:r>
    </w:p>
    <w:p w14:paraId="728FFE91" w14:textId="77777777" w:rsidR="00D85903" w:rsidRPr="00124981" w:rsidRDefault="00D85903" w:rsidP="00E04342">
      <w:pPr>
        <w:ind w:left="851" w:right="899"/>
        <w:jc w:val="both"/>
        <w:rPr>
          <w:rFonts w:ascii="Palatino Linotype" w:hAnsi="Palatino Linotype" w:cs="Tahoma"/>
          <w:bCs/>
          <w:i/>
          <w:sz w:val="22"/>
          <w:szCs w:val="22"/>
        </w:rPr>
      </w:pPr>
    </w:p>
    <w:p w14:paraId="1925F411" w14:textId="77777777" w:rsidR="00D85903" w:rsidRPr="00124981" w:rsidRDefault="00D85903" w:rsidP="00E04342">
      <w:pPr>
        <w:ind w:left="851" w:right="899"/>
        <w:jc w:val="both"/>
        <w:rPr>
          <w:rFonts w:ascii="Palatino Linotype" w:hAnsi="Palatino Linotype" w:cs="Tahoma"/>
          <w:bCs/>
          <w:i/>
          <w:sz w:val="22"/>
          <w:szCs w:val="22"/>
        </w:rPr>
      </w:pPr>
      <w:r w:rsidRPr="00124981">
        <w:rPr>
          <w:rFonts w:ascii="Palatino Linotype" w:hAnsi="Palatino Linotype" w:cs="Tahoma"/>
          <w:bCs/>
          <w:i/>
          <w:sz w:val="22"/>
          <w:szCs w:val="22"/>
        </w:rPr>
        <w:t xml:space="preserve">I. La existencia del daño. </w:t>
      </w:r>
    </w:p>
    <w:p w14:paraId="6ED98A96" w14:textId="77777777" w:rsidR="00D85903" w:rsidRPr="00124981" w:rsidRDefault="00D85903" w:rsidP="00E04342">
      <w:pPr>
        <w:ind w:left="851" w:right="899"/>
        <w:jc w:val="both"/>
        <w:rPr>
          <w:rFonts w:ascii="Palatino Linotype" w:hAnsi="Palatino Linotype" w:cs="Tahoma"/>
          <w:bCs/>
          <w:i/>
          <w:sz w:val="22"/>
          <w:szCs w:val="22"/>
        </w:rPr>
      </w:pPr>
      <w:r w:rsidRPr="00124981">
        <w:rPr>
          <w:rFonts w:ascii="Palatino Linotype" w:hAnsi="Palatino Linotype" w:cs="Tahoma"/>
          <w:bCs/>
          <w:i/>
          <w:sz w:val="22"/>
          <w:szCs w:val="22"/>
        </w:rPr>
        <w:t xml:space="preserve">II. La actividad irregular del Estado. </w:t>
      </w:r>
    </w:p>
    <w:p w14:paraId="52D0C1B0" w14:textId="77777777" w:rsidR="00D85903" w:rsidRPr="00124981" w:rsidRDefault="00D85903" w:rsidP="00E04342">
      <w:pPr>
        <w:ind w:left="851" w:right="899"/>
        <w:jc w:val="both"/>
        <w:rPr>
          <w:rFonts w:ascii="Palatino Linotype" w:hAnsi="Palatino Linotype" w:cs="Tahoma"/>
          <w:bCs/>
          <w:i/>
          <w:sz w:val="22"/>
          <w:szCs w:val="22"/>
        </w:rPr>
      </w:pPr>
      <w:r w:rsidRPr="00124981">
        <w:rPr>
          <w:rFonts w:ascii="Palatino Linotype" w:hAnsi="Palatino Linotype" w:cs="Tahoma"/>
          <w:bCs/>
          <w:i/>
          <w:sz w:val="22"/>
          <w:szCs w:val="22"/>
        </w:rPr>
        <w:t xml:space="preserve">III. La relación causa-efecto entre la lesión y la acción administrativa irregular imputable a los Entes Públicos, misma que deberá probarse fehacientemente. </w:t>
      </w:r>
    </w:p>
    <w:p w14:paraId="5307FFE0" w14:textId="77777777" w:rsidR="00D85903" w:rsidRPr="00124981" w:rsidRDefault="00D85903" w:rsidP="00E04342">
      <w:pPr>
        <w:ind w:left="851" w:right="899"/>
        <w:jc w:val="both"/>
        <w:rPr>
          <w:rFonts w:ascii="Palatino Linotype" w:hAnsi="Palatino Linotype" w:cs="Tahoma"/>
          <w:bCs/>
          <w:i/>
          <w:sz w:val="22"/>
          <w:szCs w:val="22"/>
        </w:rPr>
      </w:pPr>
      <w:r w:rsidRPr="00124981">
        <w:rPr>
          <w:rFonts w:ascii="Palatino Linotype" w:hAnsi="Palatino Linotype" w:cs="Tahoma"/>
          <w:bCs/>
          <w:i/>
          <w:sz w:val="22"/>
          <w:szCs w:val="22"/>
        </w:rPr>
        <w:t xml:space="preserve">IV. En su defecto, la causalidad única o concurrencia de hechos y condiciones causales, así como la participación de otros agentes en la generación de la lesión </w:t>
      </w:r>
      <w:r w:rsidRPr="00124981">
        <w:rPr>
          <w:rFonts w:ascii="Palatino Linotype" w:hAnsi="Palatino Linotype" w:cs="Tahoma"/>
          <w:bCs/>
          <w:i/>
          <w:sz w:val="22"/>
          <w:szCs w:val="22"/>
        </w:rPr>
        <w:lastRenderedPageBreak/>
        <w:t>reclamada, deberá probarse a través de la identificación precisa de los hechos que produjeron el resultado final, examinando rigurosamente las condiciones o circunstancias originales, o sobrevenidas que hayan podido atenuar o agravar la lesión reclamada.”</w:t>
      </w:r>
    </w:p>
    <w:p w14:paraId="48B7C7FF" w14:textId="74F00392" w:rsidR="00A22477" w:rsidRPr="00124981" w:rsidRDefault="00A22477" w:rsidP="00E04342">
      <w:pPr>
        <w:ind w:left="851" w:right="899"/>
        <w:jc w:val="both"/>
        <w:rPr>
          <w:rFonts w:ascii="Palatino Linotype" w:hAnsi="Palatino Linotype"/>
          <w:b/>
          <w:bCs/>
          <w:sz w:val="22"/>
          <w:szCs w:val="22"/>
        </w:rPr>
      </w:pPr>
      <w:r w:rsidRPr="00124981">
        <w:rPr>
          <w:rFonts w:ascii="Palatino Linotype" w:hAnsi="Palatino Linotype" w:cs="Tahoma"/>
          <w:b/>
          <w:bCs/>
          <w:i/>
          <w:sz w:val="22"/>
          <w:szCs w:val="22"/>
        </w:rPr>
        <w:t>(Énfasis añadido)</w:t>
      </w:r>
    </w:p>
    <w:p w14:paraId="748829E4" w14:textId="77777777" w:rsidR="007D6A3D" w:rsidRPr="00124981" w:rsidRDefault="007D6A3D" w:rsidP="00E04342">
      <w:pPr>
        <w:snapToGrid w:val="0"/>
        <w:spacing w:line="360" w:lineRule="auto"/>
        <w:contextualSpacing/>
        <w:jc w:val="both"/>
        <w:rPr>
          <w:rFonts w:ascii="Palatino Linotype" w:hAnsi="Palatino Linotype" w:cs="Arial"/>
        </w:rPr>
      </w:pPr>
    </w:p>
    <w:p w14:paraId="268813F0" w14:textId="4F82CFEA" w:rsidR="007D6A3D" w:rsidRPr="00124981" w:rsidRDefault="007D6A3D" w:rsidP="00E04342">
      <w:pPr>
        <w:snapToGrid w:val="0"/>
        <w:spacing w:line="360" w:lineRule="auto"/>
        <w:contextualSpacing/>
        <w:jc w:val="both"/>
        <w:rPr>
          <w:rFonts w:ascii="Palatino Linotype" w:hAnsi="Palatino Linotype" w:cs="Arial"/>
        </w:rPr>
      </w:pPr>
      <w:r w:rsidRPr="00124981">
        <w:rPr>
          <w:rFonts w:ascii="Palatino Linotype" w:hAnsi="Palatino Linotype" w:cs="Arial"/>
        </w:rPr>
        <w:t xml:space="preserve">Luego, de la interpretación sistemática a los preceptos legales, el procedimiento de la responsabilidad </w:t>
      </w:r>
      <w:r w:rsidR="00DC4C51" w:rsidRPr="00124981">
        <w:rPr>
          <w:rFonts w:ascii="Palatino Linotype" w:hAnsi="Palatino Linotype" w:cs="Arial"/>
        </w:rPr>
        <w:t xml:space="preserve">patrimonial se </w:t>
      </w:r>
      <w:r w:rsidRPr="00124981">
        <w:rPr>
          <w:rFonts w:ascii="Palatino Linotype" w:hAnsi="Palatino Linotype" w:cs="Arial"/>
        </w:rPr>
        <w:t>inicia con la reclamación que la parte interesada realiza, para lo cual presenta su reclamación de indemnización por escrito ante la entidad pública presuntamente responsable -sujeto obligado-.</w:t>
      </w:r>
    </w:p>
    <w:p w14:paraId="4D71A73E" w14:textId="77777777" w:rsidR="007D6A3D" w:rsidRPr="00124981" w:rsidRDefault="007D6A3D" w:rsidP="00E04342">
      <w:pPr>
        <w:snapToGrid w:val="0"/>
        <w:spacing w:line="360" w:lineRule="auto"/>
        <w:contextualSpacing/>
        <w:jc w:val="both"/>
        <w:rPr>
          <w:rFonts w:ascii="Palatino Linotype" w:hAnsi="Palatino Linotype" w:cs="Arial"/>
        </w:rPr>
      </w:pPr>
    </w:p>
    <w:p w14:paraId="1C29D330" w14:textId="05B85009" w:rsidR="007D6A3D" w:rsidRPr="00124981" w:rsidRDefault="007D6A3D" w:rsidP="00E04342">
      <w:pPr>
        <w:snapToGrid w:val="0"/>
        <w:spacing w:line="360" w:lineRule="auto"/>
        <w:contextualSpacing/>
        <w:jc w:val="both"/>
        <w:rPr>
          <w:rFonts w:ascii="Palatino Linotype" w:hAnsi="Palatino Linotype" w:cs="Arial"/>
        </w:rPr>
      </w:pPr>
      <w:r w:rsidRPr="00124981">
        <w:rPr>
          <w:rFonts w:ascii="Palatino Linotype" w:hAnsi="Palatino Linotype" w:cs="Arial"/>
        </w:rPr>
        <w:t xml:space="preserve">Esto significa que, siendo la </w:t>
      </w:r>
      <w:r w:rsidR="00DC4C51" w:rsidRPr="00124981">
        <w:rPr>
          <w:rFonts w:ascii="Palatino Linotype" w:hAnsi="Palatino Linotype" w:cs="Arial"/>
        </w:rPr>
        <w:t xml:space="preserve">Secretaría de Seguridad </w:t>
      </w:r>
      <w:r w:rsidRPr="00124981">
        <w:rPr>
          <w:rFonts w:ascii="Palatino Linotype" w:hAnsi="Palatino Linotype" w:cs="Arial"/>
        </w:rPr>
        <w:t>un sujeto obligado en términos de la Ley de Responsabilidad Patrimonial del Estado de México y Municipios, por la comisión de actos, que en ejercicio de sus funciones, pudieran incurrir en actividades administrativas irregulares, es susceptible a que los gobernados puedan promover ante ella alguna acción de reclamación de indemnización.</w:t>
      </w:r>
    </w:p>
    <w:p w14:paraId="0B978DDD" w14:textId="77777777" w:rsidR="007D6A3D" w:rsidRPr="00124981" w:rsidRDefault="007D6A3D" w:rsidP="00E04342">
      <w:pPr>
        <w:snapToGrid w:val="0"/>
        <w:spacing w:line="360" w:lineRule="auto"/>
        <w:contextualSpacing/>
        <w:jc w:val="both"/>
        <w:rPr>
          <w:rFonts w:ascii="Palatino Linotype" w:hAnsi="Palatino Linotype" w:cs="Arial"/>
        </w:rPr>
      </w:pPr>
    </w:p>
    <w:p w14:paraId="502A1E51" w14:textId="4A253A2D" w:rsidR="007D6A3D" w:rsidRPr="00124981" w:rsidRDefault="007D6A3D" w:rsidP="00E04342">
      <w:pPr>
        <w:snapToGrid w:val="0"/>
        <w:spacing w:line="360" w:lineRule="auto"/>
        <w:contextualSpacing/>
        <w:jc w:val="both"/>
        <w:rPr>
          <w:rFonts w:ascii="Palatino Linotype" w:hAnsi="Palatino Linotype" w:cs="Arial"/>
        </w:rPr>
      </w:pPr>
      <w:r w:rsidRPr="00124981">
        <w:rPr>
          <w:rFonts w:ascii="Palatino Linotype" w:hAnsi="Palatino Linotype" w:cs="Arial"/>
        </w:rPr>
        <w:t xml:space="preserve">Así mismo los numerales 46 y 47 de la citada Ley, establecen que las resoluciones o sentencias firmes deberán registrarse por las dependencias o entidades del Estado, llámese </w:t>
      </w:r>
      <w:r w:rsidR="00DC4C51" w:rsidRPr="00124981">
        <w:rPr>
          <w:rFonts w:ascii="Palatino Linotype" w:hAnsi="Palatino Linotype" w:cs="Arial"/>
        </w:rPr>
        <w:t>Secretaría de Seguridad</w:t>
      </w:r>
      <w:r w:rsidRPr="00124981">
        <w:rPr>
          <w:rFonts w:ascii="Palatino Linotype" w:hAnsi="Palatino Linotype" w:cs="Arial"/>
        </w:rPr>
        <w:t xml:space="preserve">, así como un registro de indemnizaciones por responsabilidad patrimonial, que será de consulta pública; este último, con la finalidad que conforme al orden </w:t>
      </w:r>
      <w:r w:rsidR="00DC4C51" w:rsidRPr="00124981">
        <w:rPr>
          <w:rFonts w:ascii="Palatino Linotype" w:hAnsi="Palatino Linotype" w:cs="Arial"/>
        </w:rPr>
        <w:t>cronológico</w:t>
      </w:r>
      <w:r w:rsidRPr="00124981">
        <w:rPr>
          <w:rFonts w:ascii="Palatino Linotype" w:hAnsi="Palatino Linotype" w:cs="Arial"/>
        </w:rPr>
        <w:t xml:space="preserve">, </w:t>
      </w:r>
      <w:r w:rsidR="00DC4C51" w:rsidRPr="00124981">
        <w:rPr>
          <w:rFonts w:ascii="Palatino Linotype" w:hAnsi="Palatino Linotype" w:cs="Arial"/>
        </w:rPr>
        <w:t>según</w:t>
      </w:r>
      <w:r w:rsidRPr="00124981">
        <w:rPr>
          <w:rFonts w:ascii="Palatino Linotype" w:hAnsi="Palatino Linotype" w:cs="Arial"/>
        </w:rPr>
        <w:t xml:space="preserve"> su fecha de </w:t>
      </w:r>
      <w:r w:rsidR="00DC4C51" w:rsidRPr="00124981">
        <w:rPr>
          <w:rFonts w:ascii="Palatino Linotype" w:hAnsi="Palatino Linotype" w:cs="Arial"/>
        </w:rPr>
        <w:t>emisión</w:t>
      </w:r>
      <w:r w:rsidRPr="00124981">
        <w:rPr>
          <w:rFonts w:ascii="Palatino Linotype" w:hAnsi="Palatino Linotype" w:cs="Arial"/>
        </w:rPr>
        <w:t xml:space="preserve">, sean indemnizadas las lesiones patrimoniales causadas, cuando de conformidad con las disposiciones de la Ley de Responsabilidad </w:t>
      </w:r>
      <w:r w:rsidR="00DC4C51" w:rsidRPr="00124981">
        <w:rPr>
          <w:rFonts w:ascii="Palatino Linotype" w:hAnsi="Palatino Linotype" w:cs="Arial"/>
        </w:rPr>
        <w:t>Patrimonial</w:t>
      </w:r>
      <w:r w:rsidRPr="00124981">
        <w:rPr>
          <w:rFonts w:ascii="Palatino Linotype" w:hAnsi="Palatino Linotype" w:cs="Arial"/>
        </w:rPr>
        <w:t xml:space="preserve"> del Estado de México y Municipios, resulten procedentes. </w:t>
      </w:r>
    </w:p>
    <w:p w14:paraId="7AD9EAC1" w14:textId="77777777" w:rsidR="007D6A3D" w:rsidRPr="00124981" w:rsidRDefault="007D6A3D" w:rsidP="00E04342">
      <w:pPr>
        <w:snapToGrid w:val="0"/>
        <w:spacing w:line="360" w:lineRule="auto"/>
        <w:contextualSpacing/>
        <w:jc w:val="both"/>
        <w:rPr>
          <w:rFonts w:ascii="Palatino Linotype" w:hAnsi="Palatino Linotype" w:cs="Arial"/>
        </w:rPr>
      </w:pPr>
    </w:p>
    <w:p w14:paraId="150FEC72" w14:textId="22BCEB87" w:rsidR="007D6A3D" w:rsidRPr="00124981" w:rsidRDefault="007D6A3D" w:rsidP="00E04342">
      <w:pPr>
        <w:snapToGrid w:val="0"/>
        <w:spacing w:line="360" w:lineRule="auto"/>
        <w:contextualSpacing/>
        <w:jc w:val="both"/>
        <w:rPr>
          <w:rFonts w:ascii="Palatino Linotype" w:hAnsi="Palatino Linotype" w:cs="Arial"/>
        </w:rPr>
      </w:pPr>
      <w:r w:rsidRPr="00124981">
        <w:rPr>
          <w:rFonts w:ascii="Palatino Linotype" w:hAnsi="Palatino Linotype" w:cs="Arial"/>
        </w:rPr>
        <w:lastRenderedPageBreak/>
        <w:t>Aunado a lo anterior el Reglamento de la Ley de Responsabilidad Patrimonial del Estado de México y Municipios refiere en su artículo 2, fracción VIII</w:t>
      </w:r>
      <w:r w:rsidR="00DC4C51" w:rsidRPr="00124981">
        <w:rPr>
          <w:rStyle w:val="Refdenotaalpie"/>
          <w:rFonts w:ascii="Palatino Linotype" w:hAnsi="Palatino Linotype" w:cs="Arial"/>
        </w:rPr>
        <w:footnoteReference w:id="2"/>
      </w:r>
      <w:r w:rsidRPr="00124981">
        <w:rPr>
          <w:rFonts w:ascii="Palatino Linotype" w:hAnsi="Palatino Linotype" w:cs="Arial"/>
        </w:rPr>
        <w:t xml:space="preserve"> que cada Sujeto Obligado, dentro de su estructura interna tendrá un área para llevar a cabo el ejercicio de las atribuciones contenidas en Ley de Responsabilidad Patrimonial del Estado de México y Municipios y su reglamento, denominada Unidad Administrativa Habilitada.</w:t>
      </w:r>
    </w:p>
    <w:p w14:paraId="1EEE8E7C" w14:textId="77777777" w:rsidR="007D6A3D" w:rsidRPr="00124981" w:rsidRDefault="007D6A3D" w:rsidP="00E04342">
      <w:pPr>
        <w:snapToGrid w:val="0"/>
        <w:spacing w:line="360" w:lineRule="auto"/>
        <w:contextualSpacing/>
        <w:jc w:val="both"/>
        <w:rPr>
          <w:rFonts w:ascii="Palatino Linotype" w:hAnsi="Palatino Linotype" w:cs="Arial"/>
        </w:rPr>
      </w:pPr>
    </w:p>
    <w:p w14:paraId="40DCDFF2" w14:textId="7E38EBC0" w:rsidR="007D6A3D" w:rsidRPr="00124981" w:rsidRDefault="007D6A3D" w:rsidP="00E04342">
      <w:pPr>
        <w:snapToGrid w:val="0"/>
        <w:spacing w:line="360" w:lineRule="auto"/>
        <w:contextualSpacing/>
        <w:jc w:val="both"/>
        <w:rPr>
          <w:rFonts w:ascii="Palatino Linotype" w:hAnsi="Palatino Linotype" w:cs="Arial"/>
        </w:rPr>
      </w:pPr>
      <w:r w:rsidRPr="00124981">
        <w:rPr>
          <w:rFonts w:ascii="Palatino Linotype" w:hAnsi="Palatino Linotype" w:cs="Arial"/>
        </w:rPr>
        <w:t xml:space="preserve">Y será esa Unidad Administrativa Habilitada la competente para </w:t>
      </w:r>
      <w:r w:rsidRPr="00124981">
        <w:rPr>
          <w:rFonts w:ascii="Palatino Linotype" w:hAnsi="Palatino Linotype" w:cs="Arial"/>
          <w:bCs/>
        </w:rPr>
        <w:t>c</w:t>
      </w:r>
      <w:r w:rsidRPr="00124981">
        <w:rPr>
          <w:rFonts w:ascii="Palatino Linotype" w:hAnsi="Palatino Linotype" w:cs="Arial"/>
        </w:rPr>
        <w:t xml:space="preserve">onocer, substanciar y resolver las reclamaciones de </w:t>
      </w:r>
      <w:r w:rsidR="00DC4C51" w:rsidRPr="00124981">
        <w:rPr>
          <w:rFonts w:ascii="Palatino Linotype" w:hAnsi="Palatino Linotype" w:cs="Arial"/>
        </w:rPr>
        <w:t>indemnización</w:t>
      </w:r>
      <w:r w:rsidRPr="00124981">
        <w:rPr>
          <w:rFonts w:ascii="Palatino Linotype" w:hAnsi="Palatino Linotype" w:cs="Arial"/>
        </w:rPr>
        <w:t xml:space="preserve"> por responsabilidad patrimonial que se presenten conforme a la Ley, </w:t>
      </w:r>
      <w:r w:rsidR="00DC4C51" w:rsidRPr="00124981">
        <w:rPr>
          <w:rFonts w:ascii="Palatino Linotype" w:hAnsi="Palatino Linotype" w:cs="Arial"/>
        </w:rPr>
        <w:t>así</w:t>
      </w:r>
      <w:r w:rsidRPr="00124981">
        <w:rPr>
          <w:rFonts w:ascii="Palatino Linotype" w:hAnsi="Palatino Linotype" w:cs="Arial"/>
        </w:rPr>
        <w:t>́ como para determinar e imponer las multas que deriven de su aplicación.</w:t>
      </w:r>
    </w:p>
    <w:p w14:paraId="245EE075" w14:textId="77777777" w:rsidR="00851373" w:rsidRPr="00124981" w:rsidRDefault="00851373" w:rsidP="00E04342">
      <w:pPr>
        <w:snapToGrid w:val="0"/>
        <w:spacing w:line="360" w:lineRule="auto"/>
        <w:contextualSpacing/>
        <w:jc w:val="both"/>
        <w:rPr>
          <w:rFonts w:ascii="Palatino Linotype" w:hAnsi="Palatino Linotype" w:cs="Arial"/>
        </w:rPr>
      </w:pPr>
    </w:p>
    <w:p w14:paraId="10BFAD0F" w14:textId="704B4708" w:rsidR="00851373" w:rsidRPr="00124981" w:rsidRDefault="00851373" w:rsidP="00E04342">
      <w:pPr>
        <w:snapToGrid w:val="0"/>
        <w:spacing w:line="360" w:lineRule="auto"/>
        <w:contextualSpacing/>
        <w:jc w:val="both"/>
        <w:rPr>
          <w:rFonts w:ascii="Palatino Linotype" w:hAnsi="Palatino Linotype" w:cs="Arial"/>
        </w:rPr>
      </w:pPr>
      <w:r w:rsidRPr="00124981">
        <w:rPr>
          <w:rFonts w:ascii="Palatino Linotype" w:hAnsi="Palatino Linotype" w:cs="Arial"/>
        </w:rPr>
        <w:t>En esas condiciones, Secretaría de Seguridad, debe tener una Unidad Administrativa Habilitada con competencia para sustanciar los procedimientos de responsabilidad patrimonial que insten los gobernados, ante lo cual no pasa desapercibido el contenido de los artículos 209, fracción XXVI, de la</w:t>
      </w:r>
      <w:r w:rsidRPr="00124981">
        <w:t xml:space="preserve"> </w:t>
      </w:r>
      <w:r w:rsidRPr="00124981">
        <w:rPr>
          <w:rFonts w:ascii="Palatino Linotype" w:hAnsi="Palatino Linotype" w:cs="Arial"/>
        </w:rPr>
        <w:t>Ley de Seguridad del Estado de México, que textualmente refieren:</w:t>
      </w:r>
    </w:p>
    <w:p w14:paraId="12F0FE30" w14:textId="77777777" w:rsidR="00851373" w:rsidRPr="00124981" w:rsidRDefault="00851373" w:rsidP="00E04342">
      <w:pPr>
        <w:spacing w:line="360" w:lineRule="auto"/>
        <w:jc w:val="both"/>
      </w:pPr>
    </w:p>
    <w:p w14:paraId="23069079" w14:textId="3FC8625A" w:rsidR="007D6A3D" w:rsidRPr="00124981" w:rsidRDefault="00851373" w:rsidP="00E04342">
      <w:pPr>
        <w:ind w:left="850" w:right="901"/>
        <w:jc w:val="both"/>
        <w:rPr>
          <w:rFonts w:ascii="Palatino Linotype" w:hAnsi="Palatino Linotype"/>
          <w:i/>
        </w:rPr>
      </w:pPr>
      <w:r w:rsidRPr="00124981">
        <w:rPr>
          <w:rFonts w:ascii="Palatino Linotype" w:hAnsi="Palatino Linotype"/>
          <w:i/>
        </w:rPr>
        <w:t>“Artículo 209. El Titular de la Unidad de Asuntos Internos tendrá, además de las previstas en las disposiciones legales aplicables, las atribuciones siguientes:</w:t>
      </w:r>
    </w:p>
    <w:p w14:paraId="20EDDB1A" w14:textId="4A66E196" w:rsidR="00851373" w:rsidRPr="00124981" w:rsidRDefault="00851373" w:rsidP="00E04342">
      <w:pPr>
        <w:ind w:left="850" w:right="901"/>
        <w:jc w:val="both"/>
        <w:rPr>
          <w:rFonts w:ascii="Palatino Linotype" w:hAnsi="Palatino Linotype"/>
          <w:bCs/>
          <w:i/>
        </w:rPr>
      </w:pPr>
      <w:r w:rsidRPr="00124981">
        <w:rPr>
          <w:rFonts w:ascii="Palatino Linotype" w:hAnsi="Palatino Linotype"/>
          <w:i/>
        </w:rPr>
        <w:t>….</w:t>
      </w:r>
    </w:p>
    <w:p w14:paraId="4DE14640" w14:textId="23735923" w:rsidR="007D6A3D" w:rsidRPr="00124981" w:rsidRDefault="00851373" w:rsidP="00E04342">
      <w:pPr>
        <w:ind w:left="850" w:right="901"/>
        <w:jc w:val="both"/>
        <w:rPr>
          <w:rFonts w:ascii="Palatino Linotype" w:hAnsi="Palatino Linotype"/>
          <w:bCs/>
          <w:i/>
        </w:rPr>
      </w:pPr>
      <w:r w:rsidRPr="00124981">
        <w:rPr>
          <w:rFonts w:ascii="Palatino Linotype" w:hAnsi="Palatino Linotype"/>
          <w:bCs/>
          <w:i/>
        </w:rPr>
        <w:lastRenderedPageBreak/>
        <w:t>XXVI. Conocer sobre la sustanciación del procedimiento administrativo respectivo;”</w:t>
      </w:r>
    </w:p>
    <w:p w14:paraId="62E3C48D" w14:textId="77777777" w:rsidR="00851373" w:rsidRPr="00124981" w:rsidRDefault="00851373" w:rsidP="00E04342">
      <w:pPr>
        <w:snapToGrid w:val="0"/>
        <w:spacing w:line="360" w:lineRule="auto"/>
        <w:contextualSpacing/>
        <w:jc w:val="both"/>
        <w:rPr>
          <w:rFonts w:ascii="Palatino Linotype" w:hAnsi="Palatino Linotype" w:cs="Arial"/>
        </w:rPr>
      </w:pPr>
    </w:p>
    <w:p w14:paraId="396B4285" w14:textId="77777777" w:rsidR="00851373" w:rsidRPr="00124981" w:rsidRDefault="00851373" w:rsidP="00E04342">
      <w:pPr>
        <w:snapToGrid w:val="0"/>
        <w:spacing w:line="360" w:lineRule="auto"/>
        <w:contextualSpacing/>
        <w:jc w:val="both"/>
        <w:rPr>
          <w:rFonts w:ascii="Palatino Linotype" w:hAnsi="Palatino Linotype" w:cs="Arial"/>
        </w:rPr>
      </w:pPr>
      <w:r w:rsidRPr="00124981">
        <w:rPr>
          <w:rFonts w:ascii="Palatino Linotype" w:hAnsi="Palatino Linotype" w:cs="Arial"/>
        </w:rPr>
        <w:t xml:space="preserve">En otro orden de ideas, el artículo 48 de la Ley de Responsabilidad Patrimonial del Estado de México y Municipios, refiere que las resoluciones de la autoridad que niegue la indemnización o que resulten desfavorables a los derechos e intereses legítimos de los particulares, podrán impugnarse a través del Juicio Administrativo ante el Tribunal de Justicia Administrativa del Estado de México. </w:t>
      </w:r>
    </w:p>
    <w:p w14:paraId="4958FF34" w14:textId="77777777" w:rsidR="00851373" w:rsidRPr="00124981" w:rsidRDefault="00851373" w:rsidP="00E04342">
      <w:pPr>
        <w:spacing w:line="360" w:lineRule="auto"/>
        <w:ind w:right="-28"/>
        <w:jc w:val="both"/>
        <w:rPr>
          <w:rFonts w:ascii="Palatino Linotype" w:hAnsi="Palatino Linotype" w:cs="Tahoma"/>
          <w:bCs/>
          <w:szCs w:val="22"/>
        </w:rPr>
      </w:pPr>
    </w:p>
    <w:p w14:paraId="12B2A226" w14:textId="42ACC40C" w:rsidR="00A22477" w:rsidRPr="00124981" w:rsidRDefault="00A22477" w:rsidP="00E04342">
      <w:pPr>
        <w:spacing w:line="360" w:lineRule="auto"/>
        <w:ind w:right="-28"/>
        <w:jc w:val="both"/>
        <w:rPr>
          <w:rFonts w:ascii="Palatino Linotype" w:hAnsi="Palatino Linotype" w:cs="Tahoma"/>
          <w:bCs/>
          <w:szCs w:val="22"/>
        </w:rPr>
      </w:pPr>
      <w:r w:rsidRPr="00124981">
        <w:rPr>
          <w:rFonts w:ascii="Palatino Linotype" w:hAnsi="Palatino Linotype" w:cs="Tahoma"/>
          <w:bCs/>
          <w:szCs w:val="22"/>
        </w:rPr>
        <w:t xml:space="preserve">Así, se desprende que </w:t>
      </w:r>
      <w:r w:rsidR="00851373" w:rsidRPr="00124981">
        <w:rPr>
          <w:rFonts w:ascii="Palatino Linotype" w:hAnsi="Palatino Linotype" w:cs="Tahoma"/>
          <w:bCs/>
          <w:szCs w:val="22"/>
        </w:rPr>
        <w:t>los nueve</w:t>
      </w:r>
      <w:r w:rsidRPr="00124981">
        <w:rPr>
          <w:rFonts w:ascii="Palatino Linotype" w:hAnsi="Palatino Linotype" w:cs="Tahoma"/>
          <w:bCs/>
          <w:szCs w:val="22"/>
        </w:rPr>
        <w:t xml:space="preserve"> expediente</w:t>
      </w:r>
      <w:r w:rsidR="00851373" w:rsidRPr="00124981">
        <w:rPr>
          <w:rFonts w:ascii="Palatino Linotype" w:hAnsi="Palatino Linotype" w:cs="Tahoma"/>
          <w:bCs/>
          <w:szCs w:val="22"/>
        </w:rPr>
        <w:t>s están</w:t>
      </w:r>
      <w:r w:rsidRPr="00124981">
        <w:rPr>
          <w:rFonts w:ascii="Palatino Linotype" w:hAnsi="Palatino Linotype" w:cs="Tahoma"/>
          <w:bCs/>
          <w:szCs w:val="22"/>
        </w:rPr>
        <w:t xml:space="preserve"> clasificado</w:t>
      </w:r>
      <w:r w:rsidR="00851373" w:rsidRPr="00124981">
        <w:rPr>
          <w:rFonts w:ascii="Palatino Linotype" w:hAnsi="Palatino Linotype" w:cs="Tahoma"/>
          <w:bCs/>
          <w:szCs w:val="22"/>
        </w:rPr>
        <w:t>s</w:t>
      </w:r>
      <w:r w:rsidRPr="00124981">
        <w:rPr>
          <w:rFonts w:ascii="Palatino Linotype" w:hAnsi="Palatino Linotype" w:cs="Tahoma"/>
          <w:bCs/>
          <w:szCs w:val="22"/>
        </w:rPr>
        <w:t xml:space="preserve"> </w:t>
      </w:r>
      <w:r w:rsidR="00851373" w:rsidRPr="00124981">
        <w:rPr>
          <w:rFonts w:ascii="Palatino Linotype" w:hAnsi="Palatino Linotype" w:cs="Tahoma"/>
          <w:bCs/>
          <w:szCs w:val="22"/>
        </w:rPr>
        <w:t xml:space="preserve">como reservados </w:t>
      </w:r>
      <w:r w:rsidRPr="00124981">
        <w:rPr>
          <w:rFonts w:ascii="Palatino Linotype" w:hAnsi="Palatino Linotype" w:cs="Tahoma"/>
          <w:bCs/>
          <w:szCs w:val="22"/>
        </w:rPr>
        <w:t xml:space="preserve">por </w:t>
      </w:r>
      <w:r w:rsidRPr="00124981">
        <w:rPr>
          <w:rFonts w:ascii="Palatino Linotype" w:hAnsi="Palatino Linotype" w:cs="Tahoma"/>
          <w:b/>
          <w:bCs/>
          <w:szCs w:val="22"/>
        </w:rPr>
        <w:t>EL SUJETO OBLIGADO</w:t>
      </w:r>
      <w:r w:rsidRPr="00124981">
        <w:rPr>
          <w:rFonts w:ascii="Palatino Linotype" w:hAnsi="Palatino Linotype" w:cs="Tahoma"/>
          <w:bCs/>
          <w:szCs w:val="22"/>
        </w:rPr>
        <w:t>, cuenta con las características de un procedimiento de responsabilidades administrativas, por lo que, se procede a analizar cada uno de los requisitos señalados en los Lineamientos Generales en materia de clasificación y desclasificación de la información, con la finalidad de verificar si se configura la hipótesis de reserva en estudio:</w:t>
      </w:r>
    </w:p>
    <w:p w14:paraId="6A034400" w14:textId="77777777" w:rsidR="00A22477" w:rsidRPr="00124981" w:rsidRDefault="00A22477" w:rsidP="00E04342">
      <w:pPr>
        <w:tabs>
          <w:tab w:val="left" w:pos="8222"/>
        </w:tabs>
        <w:spacing w:line="360" w:lineRule="auto"/>
        <w:ind w:right="397"/>
        <w:jc w:val="both"/>
        <w:rPr>
          <w:rFonts w:ascii="Palatino Linotype" w:hAnsi="Palatino Linotype" w:cs="Tahoma"/>
          <w:bCs/>
          <w:sz w:val="22"/>
          <w:szCs w:val="22"/>
        </w:rPr>
      </w:pPr>
    </w:p>
    <w:p w14:paraId="1A5496AF" w14:textId="77777777" w:rsidR="00A22477" w:rsidRPr="00124981" w:rsidRDefault="00A22477" w:rsidP="00E04342">
      <w:pPr>
        <w:pStyle w:val="Prrafodelista"/>
        <w:numPr>
          <w:ilvl w:val="0"/>
          <w:numId w:val="21"/>
        </w:numPr>
        <w:tabs>
          <w:tab w:val="left" w:pos="8222"/>
        </w:tabs>
        <w:spacing w:line="360" w:lineRule="auto"/>
        <w:ind w:right="397"/>
        <w:contextualSpacing/>
        <w:jc w:val="both"/>
        <w:rPr>
          <w:rFonts w:ascii="Palatino Linotype" w:hAnsi="Palatino Linotype" w:cs="Tahoma"/>
          <w:bCs/>
          <w:szCs w:val="22"/>
        </w:rPr>
      </w:pPr>
      <w:r w:rsidRPr="00124981">
        <w:rPr>
          <w:rFonts w:ascii="Palatino Linotype" w:hAnsi="Palatino Linotype" w:cs="Tahoma"/>
          <w:b/>
          <w:bCs/>
          <w:szCs w:val="22"/>
        </w:rPr>
        <w:t>La existencia de un procedimiento administrativo, que se encuentre en trámite.</w:t>
      </w:r>
    </w:p>
    <w:p w14:paraId="3A257384" w14:textId="77777777" w:rsidR="00A22477" w:rsidRPr="00124981" w:rsidRDefault="00A22477" w:rsidP="00E04342">
      <w:pPr>
        <w:pStyle w:val="Prrafodelista"/>
        <w:tabs>
          <w:tab w:val="left" w:pos="8222"/>
        </w:tabs>
        <w:spacing w:line="360" w:lineRule="auto"/>
        <w:ind w:right="397"/>
        <w:jc w:val="both"/>
        <w:rPr>
          <w:rFonts w:ascii="Palatino Linotype" w:hAnsi="Palatino Linotype" w:cs="Tahoma"/>
          <w:bCs/>
          <w:szCs w:val="22"/>
        </w:rPr>
      </w:pPr>
    </w:p>
    <w:p w14:paraId="49CD74C8" w14:textId="64522F81" w:rsidR="00A22477" w:rsidRPr="00124981" w:rsidRDefault="00A22477" w:rsidP="00E04342">
      <w:pPr>
        <w:spacing w:line="360" w:lineRule="auto"/>
        <w:ind w:right="-28"/>
        <w:jc w:val="both"/>
        <w:rPr>
          <w:rFonts w:ascii="Palatino Linotype" w:hAnsi="Palatino Linotype" w:cs="Tahoma"/>
          <w:bCs/>
          <w:szCs w:val="22"/>
        </w:rPr>
      </w:pPr>
      <w:r w:rsidRPr="00124981">
        <w:rPr>
          <w:rFonts w:ascii="Palatino Linotype" w:hAnsi="Palatino Linotype" w:cs="Tahoma"/>
          <w:bCs/>
          <w:szCs w:val="22"/>
        </w:rPr>
        <w:t xml:space="preserve">En ese contexto, cabe precisar que el expediente </w:t>
      </w:r>
      <w:r w:rsidR="00CD6393" w:rsidRPr="00124981">
        <w:rPr>
          <w:rFonts w:ascii="Palatino Linotype" w:hAnsi="Palatino Linotype" w:cs="Tahoma"/>
          <w:bCs/>
          <w:szCs w:val="22"/>
        </w:rPr>
        <w:t xml:space="preserve">conformado por </w:t>
      </w:r>
      <w:r w:rsidR="00CD6393" w:rsidRPr="00124981">
        <w:rPr>
          <w:rFonts w:ascii="Palatino Linotype" w:hAnsi="Palatino Linotype" w:cs="Tahoma"/>
          <w:b/>
          <w:bCs/>
          <w:szCs w:val="22"/>
        </w:rPr>
        <w:t>EL SUJETO OBLIGADO</w:t>
      </w:r>
      <w:r w:rsidR="00CD6393" w:rsidRPr="00124981">
        <w:rPr>
          <w:rFonts w:ascii="Palatino Linotype" w:hAnsi="Palatino Linotype" w:cs="Tahoma"/>
          <w:bCs/>
          <w:szCs w:val="22"/>
        </w:rPr>
        <w:t xml:space="preserve">, </w:t>
      </w:r>
      <w:r w:rsidR="000B4DAB" w:rsidRPr="00124981">
        <w:rPr>
          <w:rFonts w:ascii="Palatino Linotype" w:hAnsi="Palatino Linotype" w:cs="Tahoma"/>
          <w:bCs/>
          <w:szCs w:val="22"/>
        </w:rPr>
        <w:t>hace mención</w:t>
      </w:r>
      <w:r w:rsidR="00CD6393" w:rsidRPr="00124981">
        <w:rPr>
          <w:rFonts w:ascii="Palatino Linotype" w:hAnsi="Palatino Linotype" w:cs="Tahoma"/>
          <w:bCs/>
          <w:szCs w:val="22"/>
        </w:rPr>
        <w:t xml:space="preserve"> en el Informe Justificado</w:t>
      </w:r>
      <w:r w:rsidRPr="00124981">
        <w:rPr>
          <w:rFonts w:ascii="Palatino Linotype" w:hAnsi="Palatino Linotype" w:cs="Tahoma"/>
          <w:bCs/>
          <w:szCs w:val="22"/>
        </w:rPr>
        <w:t xml:space="preserve"> </w:t>
      </w:r>
      <w:r w:rsidR="000B4DAB" w:rsidRPr="00124981">
        <w:rPr>
          <w:rFonts w:ascii="Palatino Linotype" w:hAnsi="Palatino Linotype" w:cs="Tahoma"/>
          <w:bCs/>
          <w:szCs w:val="22"/>
        </w:rPr>
        <w:t>que los expedientes se encuentran en trámite.</w:t>
      </w:r>
    </w:p>
    <w:p w14:paraId="4EB677D9" w14:textId="77777777" w:rsidR="00CD6393" w:rsidRPr="00124981" w:rsidRDefault="00CD6393" w:rsidP="00E04342">
      <w:pPr>
        <w:spacing w:line="360" w:lineRule="auto"/>
        <w:ind w:right="-28"/>
        <w:jc w:val="both"/>
        <w:rPr>
          <w:rFonts w:ascii="Palatino Linotype" w:hAnsi="Palatino Linotype" w:cs="Tahoma"/>
          <w:bCs/>
          <w:szCs w:val="22"/>
        </w:rPr>
      </w:pPr>
    </w:p>
    <w:p w14:paraId="3FC8E420" w14:textId="68F1FA4F" w:rsidR="00CD6393" w:rsidRPr="00124981" w:rsidRDefault="000B4DAB" w:rsidP="00E04342">
      <w:pPr>
        <w:spacing w:line="360" w:lineRule="auto"/>
        <w:jc w:val="both"/>
        <w:rPr>
          <w:rFonts w:ascii="Palatino Linotype" w:hAnsi="Palatino Linotype"/>
          <w:bCs/>
        </w:rPr>
      </w:pPr>
      <w:r w:rsidRPr="00124981">
        <w:rPr>
          <w:rFonts w:ascii="Palatino Linotype" w:hAnsi="Palatino Linotype"/>
          <w:bCs/>
        </w:rPr>
        <w:t>Entonces,</w:t>
      </w:r>
      <w:r w:rsidR="00CD6393" w:rsidRPr="00124981">
        <w:rPr>
          <w:rFonts w:ascii="Palatino Linotype" w:hAnsi="Palatino Linotype"/>
          <w:bCs/>
        </w:rPr>
        <w:t xml:space="preserve"> se acredita el primero de los requisitos establecidos en los Lineamientos Generales para acreditar la reserva en cuestión, pues los expedientes, aún no cuentan </w:t>
      </w:r>
      <w:r w:rsidR="00CD6393" w:rsidRPr="00124981">
        <w:rPr>
          <w:rFonts w:ascii="Palatino Linotype" w:hAnsi="Palatino Linotype"/>
          <w:bCs/>
        </w:rPr>
        <w:lastRenderedPageBreak/>
        <w:t>con alguna Resolución, al contrario, siguen en trámite sin mencionar la etapa procesal oportuna.</w:t>
      </w:r>
    </w:p>
    <w:p w14:paraId="4EBF1300" w14:textId="77777777" w:rsidR="00EE0AD0" w:rsidRPr="00124981" w:rsidRDefault="00EE0AD0" w:rsidP="00E04342">
      <w:pPr>
        <w:spacing w:line="360" w:lineRule="auto"/>
        <w:jc w:val="both"/>
        <w:rPr>
          <w:rFonts w:ascii="Palatino Linotype" w:hAnsi="Palatino Linotype"/>
          <w:bCs/>
        </w:rPr>
      </w:pPr>
    </w:p>
    <w:p w14:paraId="6F8AF861" w14:textId="77777777" w:rsidR="00CD6393" w:rsidRPr="00124981" w:rsidRDefault="00CD6393" w:rsidP="00E04342">
      <w:pPr>
        <w:pStyle w:val="Prrafodelista"/>
        <w:numPr>
          <w:ilvl w:val="0"/>
          <w:numId w:val="23"/>
        </w:numPr>
        <w:tabs>
          <w:tab w:val="left" w:pos="8222"/>
        </w:tabs>
        <w:spacing w:line="360" w:lineRule="auto"/>
        <w:ind w:right="397"/>
        <w:contextualSpacing/>
        <w:jc w:val="both"/>
        <w:rPr>
          <w:rFonts w:ascii="Palatino Linotype" w:hAnsi="Palatino Linotype" w:cs="Tahoma"/>
          <w:b/>
          <w:bCs/>
        </w:rPr>
      </w:pPr>
      <w:r w:rsidRPr="00124981">
        <w:rPr>
          <w:rFonts w:ascii="Palatino Linotype" w:hAnsi="Palatino Linotype" w:cs="Tahoma"/>
          <w:b/>
          <w:bCs/>
        </w:rPr>
        <w:t xml:space="preserve">Que la información se refiera a actuaciones, diligencias y constancias propias del procedimiento de responsabilidad. </w:t>
      </w:r>
    </w:p>
    <w:p w14:paraId="1348BB72" w14:textId="77777777" w:rsidR="00EE0AD0" w:rsidRPr="00124981" w:rsidRDefault="00EE0AD0" w:rsidP="00EE0AD0">
      <w:pPr>
        <w:pStyle w:val="Prrafodelista"/>
        <w:tabs>
          <w:tab w:val="left" w:pos="8222"/>
        </w:tabs>
        <w:spacing w:line="360" w:lineRule="auto"/>
        <w:ind w:left="720" w:right="397"/>
        <w:contextualSpacing/>
        <w:jc w:val="both"/>
        <w:rPr>
          <w:rFonts w:ascii="Palatino Linotype" w:hAnsi="Palatino Linotype" w:cs="Tahoma"/>
          <w:b/>
          <w:bCs/>
        </w:rPr>
      </w:pPr>
    </w:p>
    <w:p w14:paraId="2089AAD6" w14:textId="77777777" w:rsidR="00A22477" w:rsidRPr="00124981" w:rsidRDefault="00A22477" w:rsidP="00E04342">
      <w:pPr>
        <w:tabs>
          <w:tab w:val="left" w:pos="8222"/>
        </w:tabs>
        <w:spacing w:line="360" w:lineRule="auto"/>
        <w:ind w:right="-28"/>
        <w:jc w:val="both"/>
        <w:rPr>
          <w:rFonts w:ascii="Palatino Linotype" w:hAnsi="Palatino Linotype" w:cs="Tahoma"/>
          <w:bCs/>
        </w:rPr>
      </w:pPr>
      <w:r w:rsidRPr="00124981">
        <w:rPr>
          <w:rFonts w:ascii="Palatino Linotype" w:hAnsi="Palatino Linotype" w:cs="Tahoma"/>
          <w:bCs/>
        </w:rPr>
        <w:t xml:space="preserve">Así, se considera que los expedientes referidos por </w:t>
      </w:r>
      <w:r w:rsidRPr="00124981">
        <w:rPr>
          <w:rFonts w:ascii="Palatino Linotype" w:hAnsi="Palatino Linotype" w:cs="Tahoma"/>
          <w:b/>
          <w:bCs/>
        </w:rPr>
        <w:t>EL SUJETO OBLIGADO</w:t>
      </w:r>
      <w:r w:rsidRPr="00124981">
        <w:rPr>
          <w:rFonts w:ascii="Palatino Linotype" w:hAnsi="Palatino Linotype" w:cs="Tahoma"/>
          <w:bCs/>
        </w:rPr>
        <w:t xml:space="preserve"> actualizan la reserva de la información, en términos del artículo 140, fracción VI de la Ley de Transparencia y Acceso a la Información del Estado de México y Municipios, pues el proceso administrativo sigue en trámite.</w:t>
      </w:r>
    </w:p>
    <w:p w14:paraId="684BD316" w14:textId="77777777" w:rsidR="00EE0AD0" w:rsidRPr="00124981" w:rsidRDefault="00EE0AD0" w:rsidP="00E04342">
      <w:pPr>
        <w:tabs>
          <w:tab w:val="left" w:pos="8222"/>
        </w:tabs>
        <w:spacing w:line="360" w:lineRule="auto"/>
        <w:ind w:right="-28"/>
        <w:jc w:val="both"/>
        <w:rPr>
          <w:rFonts w:ascii="Palatino Linotype" w:hAnsi="Palatino Linotype" w:cs="Tahoma"/>
          <w:bCs/>
        </w:rPr>
      </w:pPr>
    </w:p>
    <w:p w14:paraId="5C6B8711" w14:textId="77777777" w:rsidR="00A22477" w:rsidRPr="00124981" w:rsidRDefault="00A22477" w:rsidP="00E04342">
      <w:pPr>
        <w:tabs>
          <w:tab w:val="left" w:pos="8222"/>
        </w:tabs>
        <w:spacing w:line="360" w:lineRule="auto"/>
        <w:ind w:right="-28"/>
        <w:jc w:val="both"/>
        <w:rPr>
          <w:rFonts w:ascii="Palatino Linotype" w:hAnsi="Palatino Linotype" w:cs="Tahoma"/>
          <w:bCs/>
          <w:szCs w:val="22"/>
        </w:rPr>
      </w:pPr>
      <w:r w:rsidRPr="00124981">
        <w:rPr>
          <w:rFonts w:ascii="Palatino Linotype" w:hAnsi="Palatino Linotype" w:cs="Tahoma"/>
          <w:bCs/>
          <w:szCs w:val="22"/>
        </w:rPr>
        <w:t>Sobre el particular, cabe traer a colación el artículo 141 de la Ley de la materia, que establece que las causales de reserva se deberán fundar y motivar, a través de la aplicación de la prueba de daño establecida en el artículo 129 de dicho ordenamiento, que se debe justificar de la siguiente manera:</w:t>
      </w:r>
    </w:p>
    <w:p w14:paraId="3FEDE88E" w14:textId="77777777" w:rsidR="00EE0AD0" w:rsidRPr="00124981" w:rsidRDefault="00EE0AD0" w:rsidP="00E04342">
      <w:pPr>
        <w:tabs>
          <w:tab w:val="left" w:pos="8222"/>
        </w:tabs>
        <w:spacing w:line="360" w:lineRule="auto"/>
        <w:ind w:right="-28"/>
        <w:jc w:val="both"/>
        <w:rPr>
          <w:rFonts w:ascii="Palatino Linotype" w:hAnsi="Palatino Linotype" w:cs="Tahoma"/>
          <w:bCs/>
          <w:szCs w:val="22"/>
        </w:rPr>
      </w:pPr>
    </w:p>
    <w:p w14:paraId="24298147" w14:textId="77777777" w:rsidR="00A22477" w:rsidRPr="00124981" w:rsidRDefault="00A22477" w:rsidP="00E04342">
      <w:pPr>
        <w:pStyle w:val="Prrafodelista"/>
        <w:numPr>
          <w:ilvl w:val="0"/>
          <w:numId w:val="22"/>
        </w:numPr>
        <w:tabs>
          <w:tab w:val="left" w:pos="8222"/>
        </w:tabs>
        <w:spacing w:line="360" w:lineRule="auto"/>
        <w:ind w:right="-28"/>
        <w:contextualSpacing/>
        <w:jc w:val="both"/>
        <w:rPr>
          <w:rFonts w:ascii="Palatino Linotype" w:hAnsi="Palatino Linotype" w:cs="Tahoma"/>
          <w:bCs/>
          <w:szCs w:val="22"/>
        </w:rPr>
      </w:pPr>
      <w:r w:rsidRPr="00124981">
        <w:rPr>
          <w:rFonts w:ascii="Palatino Linotype" w:hAnsi="Palatino Linotype" w:cs="Tahoma"/>
          <w:bCs/>
          <w:szCs w:val="22"/>
        </w:rPr>
        <w:t>La divulgación de la información representa un riesgo real, demostrable e identificable de perjuicio significativo al interés público o a la seguridad nacional.</w:t>
      </w:r>
    </w:p>
    <w:p w14:paraId="67513C0F" w14:textId="77777777" w:rsidR="00A22477" w:rsidRPr="00124981" w:rsidRDefault="00A22477" w:rsidP="00E04342">
      <w:pPr>
        <w:pStyle w:val="Prrafodelista"/>
        <w:numPr>
          <w:ilvl w:val="0"/>
          <w:numId w:val="22"/>
        </w:numPr>
        <w:tabs>
          <w:tab w:val="left" w:pos="8222"/>
        </w:tabs>
        <w:spacing w:line="360" w:lineRule="auto"/>
        <w:ind w:right="-28"/>
        <w:contextualSpacing/>
        <w:jc w:val="both"/>
        <w:rPr>
          <w:rFonts w:ascii="Palatino Linotype" w:hAnsi="Palatino Linotype" w:cs="Tahoma"/>
          <w:bCs/>
          <w:szCs w:val="22"/>
        </w:rPr>
      </w:pPr>
      <w:r w:rsidRPr="00124981">
        <w:rPr>
          <w:rFonts w:ascii="Palatino Linotype" w:hAnsi="Palatino Linotype" w:cs="Tahoma"/>
          <w:bCs/>
          <w:szCs w:val="22"/>
        </w:rPr>
        <w:t>El riesgo de perjuicio supera el interés público general de que se difunda.</w:t>
      </w:r>
    </w:p>
    <w:p w14:paraId="3279FF4A" w14:textId="77777777" w:rsidR="00A22477" w:rsidRPr="00124981" w:rsidRDefault="00A22477" w:rsidP="00E04342">
      <w:pPr>
        <w:pStyle w:val="Prrafodelista"/>
        <w:numPr>
          <w:ilvl w:val="0"/>
          <w:numId w:val="22"/>
        </w:numPr>
        <w:tabs>
          <w:tab w:val="left" w:pos="8222"/>
        </w:tabs>
        <w:spacing w:line="360" w:lineRule="auto"/>
        <w:ind w:right="-28"/>
        <w:contextualSpacing/>
        <w:jc w:val="both"/>
        <w:rPr>
          <w:rFonts w:ascii="Palatino Linotype" w:hAnsi="Palatino Linotype" w:cs="Tahoma"/>
          <w:bCs/>
          <w:szCs w:val="22"/>
        </w:rPr>
      </w:pPr>
      <w:r w:rsidRPr="00124981">
        <w:rPr>
          <w:rFonts w:ascii="Palatino Linotype" w:hAnsi="Palatino Linotype" w:cs="Tahoma"/>
          <w:bCs/>
          <w:szCs w:val="22"/>
        </w:rPr>
        <w:t>Que la limitación se adecua al principio de proporcionalidad y representa el medio menos restrictivo disponible para evitar el perjuicio.</w:t>
      </w:r>
    </w:p>
    <w:p w14:paraId="24FF6934" w14:textId="77777777" w:rsidR="00EE0AD0" w:rsidRPr="00124981" w:rsidRDefault="00EE0AD0" w:rsidP="00EE0AD0">
      <w:pPr>
        <w:pStyle w:val="Prrafodelista"/>
        <w:tabs>
          <w:tab w:val="left" w:pos="8222"/>
        </w:tabs>
        <w:spacing w:line="360" w:lineRule="auto"/>
        <w:ind w:left="1080" w:right="-28"/>
        <w:contextualSpacing/>
        <w:jc w:val="both"/>
        <w:rPr>
          <w:rFonts w:ascii="Palatino Linotype" w:hAnsi="Palatino Linotype" w:cs="Tahoma"/>
          <w:bCs/>
          <w:szCs w:val="22"/>
        </w:rPr>
      </w:pPr>
    </w:p>
    <w:p w14:paraId="4C018B6B" w14:textId="233A35AF" w:rsidR="00A22477" w:rsidRPr="00124981" w:rsidRDefault="00A22477" w:rsidP="00E04342">
      <w:pPr>
        <w:tabs>
          <w:tab w:val="left" w:pos="8222"/>
        </w:tabs>
        <w:spacing w:line="360" w:lineRule="auto"/>
        <w:ind w:right="-28"/>
        <w:jc w:val="both"/>
        <w:rPr>
          <w:rFonts w:ascii="Palatino Linotype" w:eastAsia="Palatino Linotype" w:hAnsi="Palatino Linotype" w:cs="Palatino Linotype"/>
          <w:lang w:val="es-ES" w:eastAsia="es-MX"/>
        </w:rPr>
      </w:pPr>
      <w:r w:rsidRPr="00124981">
        <w:rPr>
          <w:rFonts w:ascii="Palatino Linotype" w:hAnsi="Palatino Linotype" w:cs="Tahoma"/>
          <w:bCs/>
          <w:szCs w:val="22"/>
        </w:rPr>
        <w:lastRenderedPageBreak/>
        <w:t xml:space="preserve">Es así que, al tenor de lo hasta aquí expuesto y una vez analizado por este Órgano Garante, el Acuerdo de Reserva de la Información que remitió </w:t>
      </w:r>
      <w:r w:rsidRPr="00124981">
        <w:rPr>
          <w:rFonts w:ascii="Palatino Linotype" w:hAnsi="Palatino Linotype" w:cs="Tahoma"/>
          <w:b/>
          <w:bCs/>
          <w:szCs w:val="22"/>
        </w:rPr>
        <w:t xml:space="preserve">EL SUJETO OBLIGADO </w:t>
      </w:r>
      <w:r w:rsidR="00BD55A2" w:rsidRPr="00124981">
        <w:rPr>
          <w:rFonts w:ascii="Palatino Linotype" w:hAnsi="Palatino Linotype" w:cs="Tahoma"/>
          <w:bCs/>
          <w:szCs w:val="22"/>
        </w:rPr>
        <w:t xml:space="preserve">en el </w:t>
      </w:r>
      <w:r w:rsidRPr="00124981">
        <w:rPr>
          <w:rFonts w:ascii="Palatino Linotype" w:hAnsi="Palatino Linotype" w:cs="Tahoma"/>
          <w:bCs/>
          <w:szCs w:val="22"/>
        </w:rPr>
        <w:t xml:space="preserve">Informe Justificado y con la finalidad de </w:t>
      </w:r>
      <w:r w:rsidRPr="00124981">
        <w:rPr>
          <w:rFonts w:ascii="Palatino Linotype" w:eastAsia="Palatino Linotype" w:hAnsi="Palatino Linotype" w:cs="Palatino Linotype"/>
          <w:lang w:val="es-ES" w:eastAsia="es-MX"/>
        </w:rPr>
        <w:t xml:space="preserve">establecer si el Comité de Transparencia cumplió cabalmente con las formalidades exigidas por con el artículo 113, fracción VI, de la Ley General de Transparencia y Acceso a la Información Pública, numeral vigésimo cuarto, fracción II, de los Lineamientos Generales en Materia de Clasificación y Desclasificación de la Información, así como para la Elaboración de Versiones Públicas, así como los artículos 91, 128, 129, 140, fracción V, numeral I y 141, de la Ley de Transparencia y Acceso a la Información Pública del Estado de México y Municipios, es que se procede a lo siguiente: </w:t>
      </w:r>
    </w:p>
    <w:p w14:paraId="7573ACA8" w14:textId="77777777" w:rsidR="00EE0AD0" w:rsidRPr="00124981" w:rsidRDefault="00EE0AD0" w:rsidP="00E04342">
      <w:pPr>
        <w:tabs>
          <w:tab w:val="left" w:pos="8222"/>
        </w:tabs>
        <w:spacing w:line="360" w:lineRule="auto"/>
        <w:ind w:right="-28"/>
        <w:jc w:val="both"/>
        <w:rPr>
          <w:rFonts w:ascii="Palatino Linotype" w:eastAsia="Palatino Linotype" w:hAnsi="Palatino Linotype" w:cs="Palatino Linotype"/>
          <w:lang w:val="es-ES" w:eastAsia="es-MX"/>
        </w:rPr>
      </w:pPr>
    </w:p>
    <w:tbl>
      <w:tblPr>
        <w:tblW w:w="9326"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5"/>
        <w:gridCol w:w="1696"/>
        <w:gridCol w:w="6095"/>
      </w:tblGrid>
      <w:tr w:rsidR="00A22477" w:rsidRPr="00124981" w14:paraId="2B88C0BA" w14:textId="77777777" w:rsidTr="00FC6683">
        <w:tc>
          <w:tcPr>
            <w:tcW w:w="1535" w:type="dxa"/>
            <w:tcBorders>
              <w:top w:val="nil"/>
              <w:left w:val="nil"/>
            </w:tcBorders>
          </w:tcPr>
          <w:p w14:paraId="724E665A" w14:textId="77777777" w:rsidR="00A22477" w:rsidRPr="00124981" w:rsidRDefault="00A22477" w:rsidP="00E04342">
            <w:pPr>
              <w:pBdr>
                <w:top w:val="nil"/>
                <w:left w:val="nil"/>
                <w:bottom w:val="nil"/>
                <w:right w:val="nil"/>
                <w:between w:val="nil"/>
              </w:pBdr>
              <w:ind w:left="47"/>
              <w:jc w:val="both"/>
              <w:rPr>
                <w:rFonts w:ascii="Palatino Linotype" w:eastAsia="Palatino Linotype" w:hAnsi="Palatino Linotype" w:cs="Palatino Linotype"/>
                <w:b/>
                <w:color w:val="000000"/>
                <w:sz w:val="20"/>
                <w:szCs w:val="20"/>
              </w:rPr>
            </w:pPr>
          </w:p>
        </w:tc>
        <w:tc>
          <w:tcPr>
            <w:tcW w:w="1696" w:type="dxa"/>
            <w:tcBorders>
              <w:bottom w:val="single" w:sz="4" w:space="0" w:color="000000"/>
            </w:tcBorders>
            <w:shd w:val="clear" w:color="auto" w:fill="BFBFBF"/>
            <w:vAlign w:val="bottom"/>
          </w:tcPr>
          <w:p w14:paraId="44B98CC5" w14:textId="77777777" w:rsidR="00A22477" w:rsidRPr="00124981" w:rsidRDefault="00A22477" w:rsidP="00E04342">
            <w:pPr>
              <w:pBdr>
                <w:top w:val="nil"/>
                <w:left w:val="nil"/>
                <w:bottom w:val="nil"/>
                <w:right w:val="nil"/>
                <w:between w:val="nil"/>
              </w:pBdr>
              <w:ind w:left="47"/>
              <w:jc w:val="both"/>
              <w:rPr>
                <w:rFonts w:ascii="Palatino Linotype" w:eastAsia="Palatino Linotype" w:hAnsi="Palatino Linotype" w:cs="Palatino Linotype"/>
                <w:b/>
                <w:color w:val="000000"/>
                <w:sz w:val="20"/>
                <w:szCs w:val="20"/>
              </w:rPr>
            </w:pPr>
            <w:r w:rsidRPr="00124981">
              <w:rPr>
                <w:rFonts w:ascii="Palatino Linotype" w:eastAsia="Palatino Linotype" w:hAnsi="Palatino Linotype" w:cs="Palatino Linotype"/>
                <w:b/>
                <w:color w:val="000000"/>
              </w:rPr>
              <w:t>Cumplió:</w:t>
            </w:r>
          </w:p>
        </w:tc>
        <w:tc>
          <w:tcPr>
            <w:tcW w:w="6095" w:type="dxa"/>
            <w:tcBorders>
              <w:bottom w:val="single" w:sz="4" w:space="0" w:color="000000"/>
            </w:tcBorders>
            <w:shd w:val="clear" w:color="auto" w:fill="BFBFBF"/>
            <w:vAlign w:val="bottom"/>
          </w:tcPr>
          <w:p w14:paraId="1D5A47FF" w14:textId="77777777" w:rsidR="00A22477" w:rsidRPr="00124981" w:rsidRDefault="00A22477" w:rsidP="00E04342">
            <w:pPr>
              <w:pBdr>
                <w:top w:val="nil"/>
                <w:left w:val="nil"/>
                <w:bottom w:val="nil"/>
                <w:right w:val="nil"/>
                <w:between w:val="nil"/>
              </w:pBdr>
              <w:ind w:left="47"/>
              <w:jc w:val="both"/>
              <w:rPr>
                <w:rFonts w:ascii="Palatino Linotype" w:eastAsia="Palatino Linotype" w:hAnsi="Palatino Linotype" w:cs="Palatino Linotype"/>
                <w:b/>
                <w:color w:val="000000"/>
              </w:rPr>
            </w:pPr>
            <w:r w:rsidRPr="00124981">
              <w:rPr>
                <w:rFonts w:ascii="Palatino Linotype" w:eastAsia="Palatino Linotype" w:hAnsi="Palatino Linotype" w:cs="Palatino Linotype"/>
                <w:b/>
                <w:color w:val="000000"/>
              </w:rPr>
              <w:t>Contenido</w:t>
            </w:r>
          </w:p>
        </w:tc>
      </w:tr>
      <w:tr w:rsidR="00A22477" w:rsidRPr="00124981" w14:paraId="5C8D6F59" w14:textId="77777777" w:rsidTr="00FC6683">
        <w:tc>
          <w:tcPr>
            <w:tcW w:w="1535" w:type="dxa"/>
            <w:vAlign w:val="center"/>
          </w:tcPr>
          <w:p w14:paraId="3856772A" w14:textId="77777777" w:rsidR="00A22477" w:rsidRPr="00124981" w:rsidRDefault="00A22477" w:rsidP="00E04342">
            <w:pPr>
              <w:jc w:val="both"/>
              <w:rPr>
                <w:rFonts w:ascii="Palatino Linotype" w:eastAsia="Palatino Linotype" w:hAnsi="Palatino Linotype" w:cs="Palatino Linotype"/>
                <w:b/>
                <w:sz w:val="16"/>
                <w:szCs w:val="16"/>
              </w:rPr>
            </w:pPr>
            <w:r w:rsidRPr="00124981">
              <w:rPr>
                <w:rFonts w:ascii="Palatino Linotype" w:eastAsia="Palatino Linotype" w:hAnsi="Palatino Linotype" w:cs="Palatino Linotype"/>
                <w:b/>
                <w:sz w:val="16"/>
                <w:szCs w:val="16"/>
              </w:rPr>
              <w:t>Número de folio de la solicitud</w:t>
            </w:r>
          </w:p>
        </w:tc>
        <w:tc>
          <w:tcPr>
            <w:tcW w:w="1696" w:type="dxa"/>
            <w:tcBorders>
              <w:top w:val="single" w:sz="4" w:space="0" w:color="000000"/>
            </w:tcBorders>
            <w:vAlign w:val="center"/>
          </w:tcPr>
          <w:p w14:paraId="682646B2" w14:textId="77777777" w:rsidR="00A22477" w:rsidRPr="00124981" w:rsidRDefault="00A22477" w:rsidP="00E04342">
            <w:pPr>
              <w:ind w:left="47"/>
              <w:jc w:val="both"/>
              <w:rPr>
                <w:rFonts w:ascii="Palatino Linotype" w:eastAsia="Palatino Linotype" w:hAnsi="Palatino Linotype" w:cs="Palatino Linotype"/>
                <w:b/>
              </w:rPr>
            </w:pPr>
            <w:r w:rsidRPr="00124981">
              <w:rPr>
                <w:rFonts w:ascii="Palatino Linotype" w:eastAsia="Palatino Linotype" w:hAnsi="Palatino Linotype" w:cs="Palatino Linotype"/>
                <w:b/>
              </w:rPr>
              <w:t>Sí</w:t>
            </w:r>
          </w:p>
        </w:tc>
        <w:tc>
          <w:tcPr>
            <w:tcW w:w="6095" w:type="dxa"/>
            <w:tcBorders>
              <w:top w:val="single" w:sz="4" w:space="0" w:color="000000"/>
            </w:tcBorders>
            <w:vAlign w:val="center"/>
          </w:tcPr>
          <w:p w14:paraId="1F72FC99" w14:textId="77777777" w:rsidR="00A22477" w:rsidRPr="00124981" w:rsidRDefault="00A22477" w:rsidP="00E04342">
            <w:pPr>
              <w:ind w:left="-115"/>
              <w:jc w:val="both"/>
              <w:rPr>
                <w:rFonts w:ascii="Palatino Linotype" w:eastAsia="Palatino Linotype" w:hAnsi="Palatino Linotype" w:cs="Palatino Linotype"/>
                <w:sz w:val="2"/>
                <w:szCs w:val="2"/>
              </w:rPr>
            </w:pPr>
          </w:p>
          <w:p w14:paraId="19513C92" w14:textId="4A05B0B4" w:rsidR="00A22477" w:rsidRPr="00124981" w:rsidRDefault="00CC1501" w:rsidP="00E04342">
            <w:pPr>
              <w:ind w:left="-115"/>
              <w:jc w:val="both"/>
              <w:rPr>
                <w:rFonts w:ascii="Palatino Linotype" w:eastAsia="Palatino Linotype" w:hAnsi="Palatino Linotype" w:cs="Palatino Linotype"/>
              </w:rPr>
            </w:pPr>
            <w:r w:rsidRPr="00124981">
              <w:rPr>
                <w:rFonts w:ascii="Palatino Linotype" w:eastAsia="Palatino Linotype" w:hAnsi="Palatino Linotype" w:cs="Palatino Linotype"/>
                <w:noProof/>
                <w:lang w:eastAsia="es-MX"/>
              </w:rPr>
              <w:drawing>
                <wp:inline distT="0" distB="0" distL="0" distR="0" wp14:anchorId="5758C5C7" wp14:editId="03A83BB6">
                  <wp:extent cx="3733165" cy="979805"/>
                  <wp:effectExtent l="0" t="0" r="63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733165" cy="979805"/>
                          </a:xfrm>
                          <a:prstGeom prst="rect">
                            <a:avLst/>
                          </a:prstGeom>
                        </pic:spPr>
                      </pic:pic>
                    </a:graphicData>
                  </a:graphic>
                </wp:inline>
              </w:drawing>
            </w:r>
          </w:p>
        </w:tc>
      </w:tr>
      <w:tr w:rsidR="00A22477" w:rsidRPr="00124981" w14:paraId="7BEEFEAE" w14:textId="77777777" w:rsidTr="00FC6683">
        <w:trPr>
          <w:trHeight w:val="1825"/>
        </w:trPr>
        <w:tc>
          <w:tcPr>
            <w:tcW w:w="1535" w:type="dxa"/>
            <w:vAlign w:val="center"/>
          </w:tcPr>
          <w:p w14:paraId="38F5A005" w14:textId="77777777" w:rsidR="00A22477" w:rsidRPr="00124981" w:rsidRDefault="00A22477" w:rsidP="00E04342">
            <w:pPr>
              <w:jc w:val="both"/>
              <w:rPr>
                <w:rFonts w:ascii="Palatino Linotype" w:eastAsia="Palatino Linotype" w:hAnsi="Palatino Linotype" w:cs="Palatino Linotype"/>
                <w:b/>
                <w:sz w:val="16"/>
                <w:szCs w:val="16"/>
              </w:rPr>
            </w:pPr>
            <w:r w:rsidRPr="00124981">
              <w:rPr>
                <w:rFonts w:ascii="Palatino Linotype" w:eastAsia="Palatino Linotype" w:hAnsi="Palatino Linotype" w:cs="Palatino Linotype"/>
                <w:b/>
                <w:sz w:val="16"/>
                <w:szCs w:val="16"/>
              </w:rPr>
              <w:t>Referencia de la información solicitada</w:t>
            </w:r>
          </w:p>
        </w:tc>
        <w:tc>
          <w:tcPr>
            <w:tcW w:w="1696" w:type="dxa"/>
            <w:vAlign w:val="center"/>
          </w:tcPr>
          <w:p w14:paraId="4208AEDE" w14:textId="77777777" w:rsidR="00A22477" w:rsidRPr="00124981" w:rsidRDefault="00A22477" w:rsidP="00E04342">
            <w:pPr>
              <w:ind w:left="47"/>
              <w:jc w:val="both"/>
              <w:rPr>
                <w:rFonts w:ascii="Palatino Linotype" w:eastAsia="Palatino Linotype" w:hAnsi="Palatino Linotype" w:cs="Palatino Linotype"/>
                <w:b/>
              </w:rPr>
            </w:pPr>
            <w:r w:rsidRPr="00124981">
              <w:rPr>
                <w:rFonts w:ascii="Palatino Linotype" w:eastAsia="Palatino Linotype" w:hAnsi="Palatino Linotype" w:cs="Palatino Linotype"/>
                <w:b/>
              </w:rPr>
              <w:t>Sí</w:t>
            </w:r>
          </w:p>
        </w:tc>
        <w:tc>
          <w:tcPr>
            <w:tcW w:w="6095" w:type="dxa"/>
            <w:vAlign w:val="center"/>
          </w:tcPr>
          <w:p w14:paraId="647BC986" w14:textId="40A337CE" w:rsidR="00A22477" w:rsidRPr="00124981" w:rsidRDefault="00CC1501" w:rsidP="00E04342">
            <w:pPr>
              <w:jc w:val="both"/>
              <w:rPr>
                <w:rFonts w:ascii="Palatino Linotype" w:eastAsia="Palatino Linotype" w:hAnsi="Palatino Linotype" w:cs="Palatino Linotype"/>
                <w:b/>
              </w:rPr>
            </w:pPr>
            <w:r w:rsidRPr="00124981">
              <w:rPr>
                <w:rFonts w:ascii="Palatino Linotype" w:eastAsia="Palatino Linotype" w:hAnsi="Palatino Linotype" w:cs="Palatino Linotype"/>
                <w:b/>
                <w:noProof/>
                <w:lang w:eastAsia="es-MX"/>
              </w:rPr>
              <w:drawing>
                <wp:inline distT="0" distB="0" distL="0" distR="0" wp14:anchorId="50A0A596" wp14:editId="3DFD5DD5">
                  <wp:extent cx="3733165" cy="67437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33165" cy="674370"/>
                          </a:xfrm>
                          <a:prstGeom prst="rect">
                            <a:avLst/>
                          </a:prstGeom>
                        </pic:spPr>
                      </pic:pic>
                    </a:graphicData>
                  </a:graphic>
                </wp:inline>
              </w:drawing>
            </w:r>
          </w:p>
        </w:tc>
      </w:tr>
      <w:tr w:rsidR="00A22477" w:rsidRPr="00124981" w14:paraId="67676526" w14:textId="77777777" w:rsidTr="00FC6683">
        <w:tc>
          <w:tcPr>
            <w:tcW w:w="1535" w:type="dxa"/>
            <w:vAlign w:val="center"/>
          </w:tcPr>
          <w:p w14:paraId="1AAD53B9" w14:textId="77777777" w:rsidR="00A22477" w:rsidRPr="00124981" w:rsidRDefault="00A22477" w:rsidP="00E04342">
            <w:pPr>
              <w:jc w:val="both"/>
              <w:rPr>
                <w:rFonts w:ascii="Palatino Linotype" w:eastAsia="Palatino Linotype" w:hAnsi="Palatino Linotype" w:cs="Palatino Linotype"/>
                <w:b/>
                <w:sz w:val="16"/>
                <w:szCs w:val="16"/>
              </w:rPr>
            </w:pPr>
            <w:r w:rsidRPr="00124981">
              <w:rPr>
                <w:rFonts w:ascii="Palatino Linotype" w:eastAsia="Palatino Linotype" w:hAnsi="Palatino Linotype" w:cs="Palatino Linotype"/>
                <w:b/>
                <w:sz w:val="16"/>
                <w:szCs w:val="16"/>
              </w:rPr>
              <w:t xml:space="preserve">Causal aplicable del artículo 113 de la Ley General, vinculándola con el Lineamiento específico del presente ordenamiento y, cuando corresponda, el supuesto </w:t>
            </w:r>
            <w:r w:rsidRPr="00124981">
              <w:rPr>
                <w:rFonts w:ascii="Palatino Linotype" w:eastAsia="Palatino Linotype" w:hAnsi="Palatino Linotype" w:cs="Palatino Linotype"/>
                <w:b/>
                <w:sz w:val="16"/>
                <w:szCs w:val="16"/>
              </w:rPr>
              <w:lastRenderedPageBreak/>
              <w:t>normativo que expresamente le otorga el carácter de información reservada</w:t>
            </w:r>
          </w:p>
        </w:tc>
        <w:tc>
          <w:tcPr>
            <w:tcW w:w="1696" w:type="dxa"/>
            <w:vAlign w:val="center"/>
          </w:tcPr>
          <w:p w14:paraId="06719316" w14:textId="3EC31FDA" w:rsidR="00A22477" w:rsidRPr="00124981" w:rsidRDefault="00CC1501" w:rsidP="00E04342">
            <w:pPr>
              <w:ind w:left="47"/>
              <w:jc w:val="both"/>
              <w:rPr>
                <w:rFonts w:ascii="Palatino Linotype" w:eastAsia="Palatino Linotype" w:hAnsi="Palatino Linotype" w:cs="Palatino Linotype"/>
                <w:b/>
                <w:sz w:val="18"/>
              </w:rPr>
            </w:pPr>
            <w:r w:rsidRPr="00124981">
              <w:rPr>
                <w:rFonts w:ascii="Palatino Linotype" w:eastAsia="Palatino Linotype" w:hAnsi="Palatino Linotype" w:cs="Palatino Linotype"/>
                <w:b/>
                <w:sz w:val="18"/>
              </w:rPr>
              <w:lastRenderedPageBreak/>
              <w:t>SI</w:t>
            </w:r>
          </w:p>
        </w:tc>
        <w:tc>
          <w:tcPr>
            <w:tcW w:w="6095" w:type="dxa"/>
            <w:vAlign w:val="center"/>
          </w:tcPr>
          <w:p w14:paraId="4E247348" w14:textId="20A9849A" w:rsidR="00A22477" w:rsidRPr="00124981" w:rsidRDefault="00CC1501" w:rsidP="00E04342">
            <w:pPr>
              <w:jc w:val="both"/>
              <w:rPr>
                <w:rFonts w:ascii="Palatino Linotype" w:eastAsia="Palatino Linotype" w:hAnsi="Palatino Linotype" w:cs="Palatino Linotype"/>
                <w:b/>
              </w:rPr>
            </w:pPr>
            <w:r w:rsidRPr="00124981">
              <w:rPr>
                <w:rFonts w:ascii="Palatino Linotype" w:eastAsia="Palatino Linotype" w:hAnsi="Palatino Linotype" w:cs="Palatino Linotype"/>
                <w:b/>
                <w:noProof/>
                <w:lang w:eastAsia="es-MX"/>
              </w:rPr>
              <w:drawing>
                <wp:inline distT="0" distB="0" distL="0" distR="0" wp14:anchorId="2250C696" wp14:editId="0FDF3CA4">
                  <wp:extent cx="3733165" cy="753110"/>
                  <wp:effectExtent l="0" t="0" r="635" b="889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733165" cy="753110"/>
                          </a:xfrm>
                          <a:prstGeom prst="rect">
                            <a:avLst/>
                          </a:prstGeom>
                        </pic:spPr>
                      </pic:pic>
                    </a:graphicData>
                  </a:graphic>
                </wp:inline>
              </w:drawing>
            </w:r>
          </w:p>
        </w:tc>
      </w:tr>
      <w:tr w:rsidR="00A22477" w:rsidRPr="00124981" w14:paraId="73D6E460" w14:textId="77777777" w:rsidTr="00FC6683">
        <w:tc>
          <w:tcPr>
            <w:tcW w:w="1535" w:type="dxa"/>
            <w:vAlign w:val="center"/>
          </w:tcPr>
          <w:p w14:paraId="04A05466" w14:textId="77777777" w:rsidR="00A22477" w:rsidRPr="00124981" w:rsidRDefault="00A22477" w:rsidP="00E04342">
            <w:pPr>
              <w:tabs>
                <w:tab w:val="left" w:pos="317"/>
              </w:tabs>
              <w:jc w:val="both"/>
              <w:rPr>
                <w:rFonts w:ascii="Palatino Linotype" w:eastAsia="Palatino Linotype" w:hAnsi="Palatino Linotype" w:cs="Palatino Linotype"/>
                <w:b/>
                <w:sz w:val="16"/>
                <w:szCs w:val="16"/>
              </w:rPr>
            </w:pPr>
            <w:r w:rsidRPr="00124981">
              <w:rPr>
                <w:rFonts w:ascii="Palatino Linotype" w:eastAsia="Palatino Linotype" w:hAnsi="Palatino Linotype" w:cs="Palatino Linotype"/>
                <w:b/>
                <w:sz w:val="16"/>
                <w:szCs w:val="16"/>
              </w:rPr>
              <w:t>Fundamento y Motivación Legal</w:t>
            </w:r>
          </w:p>
        </w:tc>
        <w:tc>
          <w:tcPr>
            <w:tcW w:w="1696" w:type="dxa"/>
            <w:vAlign w:val="center"/>
          </w:tcPr>
          <w:p w14:paraId="15D28E9F" w14:textId="44B84B89" w:rsidR="00A22477" w:rsidRPr="00124981" w:rsidRDefault="00CC1501" w:rsidP="00E04342">
            <w:pPr>
              <w:ind w:left="47"/>
              <w:jc w:val="both"/>
              <w:rPr>
                <w:rFonts w:ascii="Palatino Linotype" w:eastAsia="Palatino Linotype" w:hAnsi="Palatino Linotype" w:cs="Palatino Linotype"/>
                <w:b/>
              </w:rPr>
            </w:pPr>
            <w:r w:rsidRPr="00124981">
              <w:rPr>
                <w:rFonts w:ascii="Palatino Linotype" w:eastAsia="Palatino Linotype" w:hAnsi="Palatino Linotype" w:cs="Palatino Linotype"/>
                <w:b/>
                <w:sz w:val="18"/>
                <w:u w:val="single"/>
              </w:rPr>
              <w:t>SI</w:t>
            </w:r>
          </w:p>
        </w:tc>
        <w:tc>
          <w:tcPr>
            <w:tcW w:w="6095" w:type="dxa"/>
            <w:vAlign w:val="center"/>
          </w:tcPr>
          <w:p w14:paraId="49B61AC4" w14:textId="77777777" w:rsidR="00A22477" w:rsidRPr="00124981" w:rsidRDefault="00A22477" w:rsidP="00E04342">
            <w:pPr>
              <w:jc w:val="both"/>
              <w:rPr>
                <w:rFonts w:ascii="Palatino Linotype" w:eastAsia="Palatino Linotype" w:hAnsi="Palatino Linotype" w:cs="Palatino Linotype"/>
                <w:b/>
                <w:sz w:val="2"/>
                <w:szCs w:val="2"/>
              </w:rPr>
            </w:pPr>
          </w:p>
          <w:p w14:paraId="6A2DA319" w14:textId="1332EB5D" w:rsidR="00A22477" w:rsidRPr="00124981" w:rsidRDefault="00CC1501" w:rsidP="00E04342">
            <w:pPr>
              <w:ind w:left="47"/>
              <w:jc w:val="both"/>
              <w:rPr>
                <w:rFonts w:ascii="Palatino Linotype" w:eastAsia="Palatino Linotype" w:hAnsi="Palatino Linotype" w:cs="Palatino Linotype"/>
                <w:b/>
              </w:rPr>
            </w:pPr>
            <w:r w:rsidRPr="00124981">
              <w:rPr>
                <w:rFonts w:ascii="Palatino Linotype" w:eastAsia="Palatino Linotype" w:hAnsi="Palatino Linotype" w:cs="Palatino Linotype"/>
                <w:b/>
                <w:noProof/>
                <w:lang w:eastAsia="es-MX"/>
              </w:rPr>
              <w:drawing>
                <wp:inline distT="0" distB="0" distL="0" distR="0" wp14:anchorId="68B3DD7B" wp14:editId="574497BE">
                  <wp:extent cx="3733165" cy="2734310"/>
                  <wp:effectExtent l="0" t="0" r="635" b="889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33165" cy="2734310"/>
                          </a:xfrm>
                          <a:prstGeom prst="rect">
                            <a:avLst/>
                          </a:prstGeom>
                        </pic:spPr>
                      </pic:pic>
                    </a:graphicData>
                  </a:graphic>
                </wp:inline>
              </w:drawing>
            </w:r>
            <w:r w:rsidRPr="00124981">
              <w:rPr>
                <w:rFonts w:ascii="Palatino Linotype" w:eastAsia="Palatino Linotype" w:hAnsi="Palatino Linotype" w:cs="Palatino Linotype"/>
                <w:b/>
                <w:noProof/>
                <w:lang w:eastAsia="es-MX"/>
              </w:rPr>
              <w:drawing>
                <wp:inline distT="0" distB="0" distL="0" distR="0" wp14:anchorId="237C18AB" wp14:editId="6ACB0F57">
                  <wp:extent cx="3733165" cy="3220085"/>
                  <wp:effectExtent l="0" t="0" r="63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33165" cy="3220085"/>
                          </a:xfrm>
                          <a:prstGeom prst="rect">
                            <a:avLst/>
                          </a:prstGeom>
                        </pic:spPr>
                      </pic:pic>
                    </a:graphicData>
                  </a:graphic>
                </wp:inline>
              </w:drawing>
            </w:r>
          </w:p>
        </w:tc>
      </w:tr>
      <w:tr w:rsidR="00A22477" w:rsidRPr="00124981" w14:paraId="3E0EB59F" w14:textId="77777777" w:rsidTr="00FC6683">
        <w:tc>
          <w:tcPr>
            <w:tcW w:w="1535" w:type="dxa"/>
            <w:vAlign w:val="center"/>
          </w:tcPr>
          <w:p w14:paraId="16041F1A" w14:textId="77777777" w:rsidR="00A22477" w:rsidRPr="00124981" w:rsidRDefault="00A22477" w:rsidP="00E04342">
            <w:pPr>
              <w:jc w:val="both"/>
              <w:rPr>
                <w:rFonts w:ascii="Palatino Linotype" w:eastAsia="Palatino Linotype" w:hAnsi="Palatino Linotype" w:cs="Palatino Linotype"/>
                <w:b/>
                <w:sz w:val="16"/>
                <w:szCs w:val="16"/>
              </w:rPr>
            </w:pPr>
            <w:r w:rsidRPr="00124981">
              <w:rPr>
                <w:rFonts w:ascii="Palatino Linotype" w:eastAsia="Palatino Linotype" w:hAnsi="Palatino Linotype" w:cs="Palatino Linotype"/>
                <w:b/>
                <w:sz w:val="16"/>
                <w:szCs w:val="16"/>
              </w:rPr>
              <w:t xml:space="preserve">Conexión entre los fundamentos y motivos que dieron origen a la </w:t>
            </w:r>
            <w:r w:rsidRPr="00124981">
              <w:rPr>
                <w:rFonts w:ascii="Palatino Linotype" w:eastAsia="Palatino Linotype" w:hAnsi="Palatino Linotype" w:cs="Palatino Linotype"/>
                <w:b/>
                <w:sz w:val="16"/>
                <w:szCs w:val="16"/>
              </w:rPr>
              <w:lastRenderedPageBreak/>
              <w:t>Reserva de la información</w:t>
            </w:r>
          </w:p>
        </w:tc>
        <w:tc>
          <w:tcPr>
            <w:tcW w:w="1696" w:type="dxa"/>
            <w:vAlign w:val="center"/>
          </w:tcPr>
          <w:p w14:paraId="3729F566" w14:textId="77777777" w:rsidR="00A22477" w:rsidRPr="00124981" w:rsidRDefault="00A22477" w:rsidP="00E04342">
            <w:pPr>
              <w:ind w:left="47"/>
              <w:jc w:val="both"/>
              <w:rPr>
                <w:rFonts w:ascii="Palatino Linotype" w:eastAsia="Palatino Linotype" w:hAnsi="Palatino Linotype" w:cs="Palatino Linotype"/>
                <w:b/>
              </w:rPr>
            </w:pPr>
            <w:r w:rsidRPr="00124981">
              <w:rPr>
                <w:rFonts w:ascii="Palatino Linotype" w:eastAsia="Palatino Linotype" w:hAnsi="Palatino Linotype" w:cs="Palatino Linotype"/>
                <w:b/>
              </w:rPr>
              <w:lastRenderedPageBreak/>
              <w:t xml:space="preserve">SI </w:t>
            </w:r>
          </w:p>
        </w:tc>
        <w:tc>
          <w:tcPr>
            <w:tcW w:w="6095" w:type="dxa"/>
            <w:vAlign w:val="center"/>
          </w:tcPr>
          <w:p w14:paraId="5FB8126F" w14:textId="64CD660E" w:rsidR="00A22477" w:rsidRPr="00124981" w:rsidRDefault="00A22477" w:rsidP="00E04342">
            <w:pPr>
              <w:pBdr>
                <w:top w:val="nil"/>
                <w:left w:val="nil"/>
                <w:bottom w:val="nil"/>
                <w:right w:val="nil"/>
                <w:between w:val="nil"/>
              </w:pBdr>
              <w:ind w:left="29" w:firstLine="18"/>
              <w:jc w:val="both"/>
              <w:rPr>
                <w:noProof/>
                <w:lang w:eastAsia="es-MX"/>
              </w:rPr>
            </w:pPr>
            <w:r w:rsidRPr="00124981">
              <w:rPr>
                <w:noProof/>
                <w:lang w:eastAsia="es-MX"/>
              </w:rPr>
              <w:t xml:space="preserve"> </w:t>
            </w:r>
          </w:p>
          <w:p w14:paraId="33A817FF" w14:textId="36D11F0C" w:rsidR="00A22477" w:rsidRPr="00124981" w:rsidRDefault="00A22477" w:rsidP="00E04342">
            <w:pPr>
              <w:pBdr>
                <w:top w:val="nil"/>
                <w:left w:val="nil"/>
                <w:bottom w:val="nil"/>
                <w:right w:val="nil"/>
                <w:between w:val="nil"/>
              </w:pBdr>
              <w:ind w:left="29" w:firstLine="18"/>
              <w:jc w:val="both"/>
              <w:rPr>
                <w:color w:val="000000"/>
              </w:rPr>
            </w:pPr>
          </w:p>
          <w:p w14:paraId="52AD6C26" w14:textId="1F243B4C" w:rsidR="00A22477" w:rsidRPr="00124981" w:rsidRDefault="00CC1501" w:rsidP="00E04342">
            <w:pPr>
              <w:pBdr>
                <w:top w:val="nil"/>
                <w:left w:val="nil"/>
                <w:bottom w:val="nil"/>
                <w:right w:val="nil"/>
                <w:between w:val="nil"/>
              </w:pBdr>
              <w:ind w:left="29" w:firstLine="18"/>
              <w:jc w:val="both"/>
              <w:rPr>
                <w:color w:val="000000"/>
              </w:rPr>
            </w:pPr>
            <w:r w:rsidRPr="00124981">
              <w:rPr>
                <w:noProof/>
                <w:color w:val="000000"/>
                <w:lang w:eastAsia="es-MX"/>
              </w:rPr>
              <w:lastRenderedPageBreak/>
              <w:drawing>
                <wp:inline distT="0" distB="0" distL="0" distR="0" wp14:anchorId="4C038E8D" wp14:editId="3F809D0D">
                  <wp:extent cx="3733165" cy="1633855"/>
                  <wp:effectExtent l="0" t="0" r="635" b="44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33165" cy="1633855"/>
                          </a:xfrm>
                          <a:prstGeom prst="rect">
                            <a:avLst/>
                          </a:prstGeom>
                        </pic:spPr>
                      </pic:pic>
                    </a:graphicData>
                  </a:graphic>
                </wp:inline>
              </w:drawing>
            </w:r>
          </w:p>
          <w:p w14:paraId="621AD7D4" w14:textId="77777777" w:rsidR="00A22477" w:rsidRPr="00124981" w:rsidRDefault="00A22477" w:rsidP="00E04342">
            <w:pPr>
              <w:pBdr>
                <w:top w:val="nil"/>
                <w:left w:val="nil"/>
                <w:bottom w:val="nil"/>
                <w:right w:val="nil"/>
                <w:between w:val="nil"/>
              </w:pBdr>
              <w:ind w:left="29" w:firstLine="18"/>
              <w:jc w:val="both"/>
              <w:rPr>
                <w:color w:val="000000"/>
              </w:rPr>
            </w:pPr>
          </w:p>
          <w:p w14:paraId="3AD6BAAE" w14:textId="77777777" w:rsidR="00A22477" w:rsidRPr="00124981" w:rsidRDefault="00A22477" w:rsidP="00E04342">
            <w:pPr>
              <w:pBdr>
                <w:top w:val="nil"/>
                <w:left w:val="nil"/>
                <w:bottom w:val="nil"/>
                <w:right w:val="nil"/>
                <w:between w:val="nil"/>
              </w:pBdr>
              <w:ind w:left="29" w:firstLine="18"/>
              <w:jc w:val="both"/>
              <w:rPr>
                <w:color w:val="000000"/>
              </w:rPr>
            </w:pPr>
          </w:p>
          <w:p w14:paraId="5AC476CE" w14:textId="77777777" w:rsidR="00A22477" w:rsidRPr="00124981" w:rsidRDefault="00A22477" w:rsidP="00E04342">
            <w:pPr>
              <w:pBdr>
                <w:top w:val="nil"/>
                <w:left w:val="nil"/>
                <w:bottom w:val="nil"/>
                <w:right w:val="nil"/>
                <w:between w:val="nil"/>
              </w:pBdr>
              <w:ind w:left="29" w:firstLine="18"/>
              <w:jc w:val="both"/>
              <w:rPr>
                <w:color w:val="000000"/>
              </w:rPr>
            </w:pPr>
          </w:p>
        </w:tc>
      </w:tr>
      <w:tr w:rsidR="00A22477" w:rsidRPr="00124981" w14:paraId="0832688E" w14:textId="77777777" w:rsidTr="00FC6683">
        <w:tc>
          <w:tcPr>
            <w:tcW w:w="9326" w:type="dxa"/>
            <w:gridSpan w:val="3"/>
            <w:shd w:val="clear" w:color="auto" w:fill="D9D9D9"/>
            <w:vAlign w:val="center"/>
          </w:tcPr>
          <w:p w14:paraId="555A671B" w14:textId="77777777" w:rsidR="00A22477" w:rsidRPr="00124981" w:rsidRDefault="00A22477" w:rsidP="00E04342">
            <w:pPr>
              <w:pBdr>
                <w:top w:val="nil"/>
                <w:left w:val="nil"/>
                <w:bottom w:val="nil"/>
                <w:right w:val="nil"/>
                <w:between w:val="nil"/>
              </w:pBdr>
              <w:ind w:left="29" w:firstLine="18"/>
              <w:jc w:val="both"/>
              <w:rPr>
                <w:rFonts w:ascii="Palatino Linotype" w:eastAsia="Palatino Linotype" w:hAnsi="Palatino Linotype" w:cs="Palatino Linotype"/>
                <w:color w:val="000000"/>
              </w:rPr>
            </w:pPr>
            <w:r w:rsidRPr="00124981">
              <w:rPr>
                <w:rFonts w:ascii="Palatino Linotype" w:eastAsia="Palatino Linotype" w:hAnsi="Palatino Linotype" w:cs="Palatino Linotype"/>
                <w:b/>
                <w:color w:val="000000"/>
              </w:rPr>
              <w:lastRenderedPageBreak/>
              <w:t>Prueba de Daño</w:t>
            </w:r>
          </w:p>
        </w:tc>
      </w:tr>
      <w:tr w:rsidR="00A22477" w:rsidRPr="00124981" w14:paraId="156BE5D8" w14:textId="77777777" w:rsidTr="00FC6683">
        <w:tc>
          <w:tcPr>
            <w:tcW w:w="1535" w:type="dxa"/>
            <w:vAlign w:val="center"/>
          </w:tcPr>
          <w:p w14:paraId="10E1B8BA" w14:textId="77777777" w:rsidR="00A22477" w:rsidRPr="00124981" w:rsidRDefault="00A22477" w:rsidP="00E04342">
            <w:pPr>
              <w:jc w:val="both"/>
              <w:rPr>
                <w:rFonts w:ascii="Palatino Linotype" w:eastAsia="Palatino Linotype" w:hAnsi="Palatino Linotype" w:cs="Palatino Linotype"/>
                <w:b/>
                <w:sz w:val="16"/>
                <w:szCs w:val="16"/>
              </w:rPr>
            </w:pPr>
            <w:r w:rsidRPr="00124981">
              <w:rPr>
                <w:rFonts w:ascii="Palatino Linotype" w:eastAsia="Palatino Linotype" w:hAnsi="Palatino Linotype" w:cs="Palatino Linotype"/>
                <w:b/>
                <w:sz w:val="16"/>
                <w:szCs w:val="16"/>
              </w:rPr>
              <w:t>Riesgo Real, Demostrable e Identificable</w:t>
            </w:r>
          </w:p>
          <w:p w14:paraId="3E786055" w14:textId="77777777" w:rsidR="00A22477" w:rsidRPr="00124981" w:rsidRDefault="00A22477" w:rsidP="00E04342">
            <w:pPr>
              <w:jc w:val="both"/>
              <w:rPr>
                <w:rFonts w:ascii="Palatino Linotype" w:eastAsia="Palatino Linotype" w:hAnsi="Palatino Linotype" w:cs="Palatino Linotype"/>
                <w:b/>
                <w:sz w:val="16"/>
                <w:szCs w:val="16"/>
              </w:rPr>
            </w:pPr>
            <w:r w:rsidRPr="00124981">
              <w:rPr>
                <w:rFonts w:ascii="Palatino Linotype" w:eastAsia="Palatino Linotype" w:hAnsi="Palatino Linotype" w:cs="Palatino Linotype"/>
                <w:b/>
                <w:sz w:val="16"/>
                <w:szCs w:val="16"/>
              </w:rPr>
              <w:t>(Modo, Tiempo y Lugar)</w:t>
            </w:r>
          </w:p>
        </w:tc>
        <w:tc>
          <w:tcPr>
            <w:tcW w:w="1696" w:type="dxa"/>
            <w:vAlign w:val="center"/>
          </w:tcPr>
          <w:p w14:paraId="2B146F87" w14:textId="6631C5D7" w:rsidR="00A22477" w:rsidRPr="00124981" w:rsidRDefault="00CC1501" w:rsidP="00E04342">
            <w:pPr>
              <w:pBdr>
                <w:top w:val="nil"/>
                <w:left w:val="nil"/>
                <w:bottom w:val="nil"/>
                <w:right w:val="nil"/>
                <w:between w:val="nil"/>
              </w:pBdr>
              <w:ind w:left="29" w:firstLine="18"/>
              <w:jc w:val="both"/>
              <w:rPr>
                <w:rFonts w:ascii="Palatino Linotype" w:eastAsia="Palatino Linotype" w:hAnsi="Palatino Linotype" w:cs="Palatino Linotype"/>
                <w:b/>
                <w:color w:val="000000"/>
              </w:rPr>
            </w:pPr>
            <w:r w:rsidRPr="00124981">
              <w:rPr>
                <w:rFonts w:ascii="Palatino Linotype" w:eastAsia="Palatino Linotype" w:hAnsi="Palatino Linotype" w:cs="Palatino Linotype"/>
                <w:b/>
                <w:color w:val="000000"/>
              </w:rPr>
              <w:t>SI</w:t>
            </w:r>
          </w:p>
        </w:tc>
        <w:tc>
          <w:tcPr>
            <w:tcW w:w="6095" w:type="dxa"/>
            <w:vAlign w:val="center"/>
          </w:tcPr>
          <w:p w14:paraId="760BDBD0" w14:textId="77777777" w:rsidR="00A22477" w:rsidRPr="00124981" w:rsidRDefault="00CC1501" w:rsidP="00E04342">
            <w:pPr>
              <w:pBdr>
                <w:top w:val="nil"/>
                <w:left w:val="nil"/>
                <w:bottom w:val="nil"/>
                <w:right w:val="nil"/>
                <w:between w:val="nil"/>
              </w:pBdr>
              <w:ind w:left="29" w:firstLine="18"/>
              <w:jc w:val="both"/>
              <w:rPr>
                <w:rFonts w:ascii="Palatino Linotype" w:eastAsia="Palatino Linotype" w:hAnsi="Palatino Linotype" w:cs="Palatino Linotype"/>
                <w:color w:val="000000"/>
              </w:rPr>
            </w:pPr>
            <w:r w:rsidRPr="00124981">
              <w:rPr>
                <w:noProof/>
                <w:color w:val="000000"/>
                <w:lang w:eastAsia="es-MX"/>
              </w:rPr>
              <w:drawing>
                <wp:inline distT="0" distB="0" distL="0" distR="0" wp14:anchorId="79C3137D" wp14:editId="4BCF9820">
                  <wp:extent cx="3733165" cy="1109345"/>
                  <wp:effectExtent l="0" t="0" r="63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33165" cy="1109345"/>
                          </a:xfrm>
                          <a:prstGeom prst="rect">
                            <a:avLst/>
                          </a:prstGeom>
                        </pic:spPr>
                      </pic:pic>
                    </a:graphicData>
                  </a:graphic>
                </wp:inline>
              </w:drawing>
            </w:r>
          </w:p>
          <w:p w14:paraId="4A074EEE" w14:textId="64E18D52" w:rsidR="00CC1501" w:rsidRPr="00124981" w:rsidRDefault="00CC1501" w:rsidP="00E04342">
            <w:pPr>
              <w:pBdr>
                <w:top w:val="nil"/>
                <w:left w:val="nil"/>
                <w:bottom w:val="nil"/>
                <w:right w:val="nil"/>
                <w:between w:val="nil"/>
              </w:pBdr>
              <w:ind w:left="29" w:firstLine="18"/>
              <w:jc w:val="both"/>
              <w:rPr>
                <w:rFonts w:ascii="Palatino Linotype" w:eastAsia="Palatino Linotype" w:hAnsi="Palatino Linotype" w:cs="Palatino Linotype"/>
                <w:color w:val="000000"/>
              </w:rPr>
            </w:pPr>
            <w:r w:rsidRPr="00124981">
              <w:rPr>
                <w:rFonts w:ascii="Palatino Linotype" w:eastAsia="Palatino Linotype" w:hAnsi="Palatino Linotype" w:cs="Palatino Linotype"/>
                <w:noProof/>
                <w:color w:val="000000"/>
                <w:lang w:eastAsia="es-MX"/>
              </w:rPr>
              <w:drawing>
                <wp:inline distT="0" distB="0" distL="0" distR="0" wp14:anchorId="3BF76F83" wp14:editId="1E7DBD93">
                  <wp:extent cx="3733165" cy="1633220"/>
                  <wp:effectExtent l="0" t="0" r="635" b="508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33165" cy="1633220"/>
                          </a:xfrm>
                          <a:prstGeom prst="rect">
                            <a:avLst/>
                          </a:prstGeom>
                        </pic:spPr>
                      </pic:pic>
                    </a:graphicData>
                  </a:graphic>
                </wp:inline>
              </w:drawing>
            </w:r>
          </w:p>
        </w:tc>
      </w:tr>
      <w:tr w:rsidR="00A22477" w:rsidRPr="00124981" w14:paraId="6165999F" w14:textId="77777777" w:rsidTr="00FC6683">
        <w:tc>
          <w:tcPr>
            <w:tcW w:w="1535" w:type="dxa"/>
            <w:vAlign w:val="center"/>
          </w:tcPr>
          <w:p w14:paraId="675D39BA" w14:textId="77777777" w:rsidR="00A22477" w:rsidRPr="00124981" w:rsidRDefault="00A22477" w:rsidP="00E04342">
            <w:pPr>
              <w:jc w:val="both"/>
              <w:rPr>
                <w:rFonts w:ascii="Palatino Linotype" w:eastAsia="Palatino Linotype" w:hAnsi="Palatino Linotype" w:cs="Palatino Linotype"/>
                <w:b/>
                <w:sz w:val="16"/>
                <w:szCs w:val="16"/>
              </w:rPr>
            </w:pPr>
            <w:r w:rsidRPr="00124981">
              <w:rPr>
                <w:rFonts w:ascii="Palatino Linotype" w:eastAsia="Palatino Linotype" w:hAnsi="Palatino Linotype" w:cs="Palatino Linotype"/>
                <w:b/>
                <w:sz w:val="16"/>
                <w:szCs w:val="16"/>
              </w:rPr>
              <w:t>Temporalidad de la Reserva de la información</w:t>
            </w:r>
          </w:p>
        </w:tc>
        <w:tc>
          <w:tcPr>
            <w:tcW w:w="1696" w:type="dxa"/>
            <w:shd w:val="clear" w:color="auto" w:fill="auto"/>
            <w:vAlign w:val="center"/>
          </w:tcPr>
          <w:p w14:paraId="7E7C7F7D" w14:textId="4FE87402" w:rsidR="00A22477" w:rsidRPr="00124981" w:rsidRDefault="000B4DAB" w:rsidP="00E04342">
            <w:pPr>
              <w:pBdr>
                <w:top w:val="nil"/>
                <w:left w:val="nil"/>
                <w:bottom w:val="nil"/>
                <w:right w:val="nil"/>
                <w:between w:val="nil"/>
              </w:pBdr>
              <w:ind w:left="29" w:firstLine="18"/>
              <w:jc w:val="both"/>
              <w:rPr>
                <w:rFonts w:ascii="Palatino Linotype" w:eastAsia="Palatino Linotype" w:hAnsi="Palatino Linotype" w:cs="Palatino Linotype"/>
                <w:b/>
                <w:color w:val="000000"/>
              </w:rPr>
            </w:pPr>
            <w:r w:rsidRPr="00124981">
              <w:rPr>
                <w:rFonts w:ascii="Palatino Linotype" w:eastAsia="Palatino Linotype" w:hAnsi="Palatino Linotype" w:cs="Palatino Linotype"/>
                <w:b/>
                <w:color w:val="000000"/>
              </w:rPr>
              <w:t>SI</w:t>
            </w:r>
          </w:p>
        </w:tc>
        <w:tc>
          <w:tcPr>
            <w:tcW w:w="6095" w:type="dxa"/>
            <w:vAlign w:val="center"/>
          </w:tcPr>
          <w:p w14:paraId="0933E655" w14:textId="41E72F34" w:rsidR="00A22477" w:rsidRPr="00124981" w:rsidRDefault="00CC1501" w:rsidP="00E04342">
            <w:pPr>
              <w:pBdr>
                <w:top w:val="nil"/>
                <w:left w:val="nil"/>
                <w:bottom w:val="nil"/>
                <w:right w:val="nil"/>
                <w:between w:val="nil"/>
              </w:pBdr>
              <w:ind w:left="29" w:firstLine="18"/>
              <w:jc w:val="both"/>
              <w:rPr>
                <w:color w:val="000000"/>
              </w:rPr>
            </w:pPr>
            <w:r w:rsidRPr="00124981">
              <w:rPr>
                <w:noProof/>
                <w:color w:val="000000"/>
                <w:lang w:eastAsia="es-MX"/>
              </w:rPr>
              <w:drawing>
                <wp:inline distT="0" distB="0" distL="0" distR="0" wp14:anchorId="7362A0E0" wp14:editId="16319145">
                  <wp:extent cx="3546904" cy="134302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66027" cy="1350266"/>
                          </a:xfrm>
                          <a:prstGeom prst="rect">
                            <a:avLst/>
                          </a:prstGeom>
                          <a:noFill/>
                        </pic:spPr>
                      </pic:pic>
                    </a:graphicData>
                  </a:graphic>
                </wp:inline>
              </w:drawing>
            </w:r>
          </w:p>
          <w:p w14:paraId="2718118A" w14:textId="16500AE5" w:rsidR="00A22477" w:rsidRPr="00124981" w:rsidRDefault="00A22477" w:rsidP="00E04342">
            <w:pPr>
              <w:pBdr>
                <w:top w:val="nil"/>
                <w:left w:val="nil"/>
                <w:bottom w:val="nil"/>
                <w:right w:val="nil"/>
                <w:between w:val="nil"/>
              </w:pBdr>
              <w:ind w:left="29" w:firstLine="18"/>
              <w:jc w:val="both"/>
              <w:rPr>
                <w:rFonts w:ascii="Palatino Linotype" w:eastAsia="Palatino Linotype" w:hAnsi="Palatino Linotype" w:cs="Palatino Linotype"/>
                <w:color w:val="000000"/>
              </w:rPr>
            </w:pPr>
          </w:p>
        </w:tc>
      </w:tr>
      <w:tr w:rsidR="00A22477" w:rsidRPr="00124981" w14:paraId="39DBF6AD" w14:textId="77777777" w:rsidTr="00FC6683">
        <w:trPr>
          <w:trHeight w:val="3517"/>
        </w:trPr>
        <w:tc>
          <w:tcPr>
            <w:tcW w:w="1535" w:type="dxa"/>
            <w:vAlign w:val="center"/>
          </w:tcPr>
          <w:p w14:paraId="11C35556" w14:textId="77777777" w:rsidR="00A22477" w:rsidRPr="00124981" w:rsidRDefault="00A22477" w:rsidP="00E04342">
            <w:pPr>
              <w:tabs>
                <w:tab w:val="left" w:pos="317"/>
              </w:tabs>
              <w:jc w:val="both"/>
              <w:rPr>
                <w:rFonts w:ascii="Palatino Linotype" w:eastAsia="Palatino Linotype" w:hAnsi="Palatino Linotype" w:cs="Palatino Linotype"/>
                <w:b/>
                <w:sz w:val="16"/>
                <w:szCs w:val="16"/>
              </w:rPr>
            </w:pPr>
            <w:r w:rsidRPr="00124981">
              <w:rPr>
                <w:rFonts w:ascii="Palatino Linotype" w:eastAsia="Palatino Linotype" w:hAnsi="Palatino Linotype" w:cs="Palatino Linotype"/>
                <w:b/>
                <w:sz w:val="16"/>
                <w:szCs w:val="16"/>
              </w:rPr>
              <w:lastRenderedPageBreak/>
              <w:t>Autoridades competentes.</w:t>
            </w:r>
          </w:p>
        </w:tc>
        <w:tc>
          <w:tcPr>
            <w:tcW w:w="1696" w:type="dxa"/>
            <w:vAlign w:val="center"/>
          </w:tcPr>
          <w:p w14:paraId="0DAD7F4A" w14:textId="77777777" w:rsidR="00A22477" w:rsidRPr="00124981" w:rsidRDefault="00A22477" w:rsidP="00E04342">
            <w:pPr>
              <w:pBdr>
                <w:top w:val="nil"/>
                <w:left w:val="nil"/>
                <w:bottom w:val="nil"/>
                <w:right w:val="nil"/>
                <w:between w:val="nil"/>
              </w:pBdr>
              <w:ind w:left="29" w:firstLine="18"/>
              <w:jc w:val="both"/>
              <w:rPr>
                <w:rFonts w:ascii="Palatino Linotype" w:eastAsia="Palatino Linotype" w:hAnsi="Palatino Linotype" w:cs="Palatino Linotype"/>
                <w:b/>
                <w:color w:val="000000"/>
              </w:rPr>
            </w:pPr>
            <w:r w:rsidRPr="00124981">
              <w:rPr>
                <w:rFonts w:ascii="Palatino Linotype" w:eastAsia="Palatino Linotype" w:hAnsi="Palatino Linotype" w:cs="Palatino Linotype"/>
                <w:b/>
                <w:color w:val="000000"/>
              </w:rPr>
              <w:t>Sí</w:t>
            </w:r>
          </w:p>
        </w:tc>
        <w:tc>
          <w:tcPr>
            <w:tcW w:w="6095" w:type="dxa"/>
          </w:tcPr>
          <w:p w14:paraId="53F8F274" w14:textId="77777777" w:rsidR="00A22477" w:rsidRPr="00124981" w:rsidRDefault="00A22477" w:rsidP="00E04342">
            <w:pPr>
              <w:jc w:val="both"/>
            </w:pPr>
          </w:p>
          <w:p w14:paraId="107A2B4E" w14:textId="56058D43" w:rsidR="00A22477" w:rsidRPr="00124981" w:rsidRDefault="000B4DAB" w:rsidP="00E04342">
            <w:pPr>
              <w:jc w:val="both"/>
            </w:pPr>
            <w:r w:rsidRPr="00124981">
              <w:rPr>
                <w:noProof/>
                <w:lang w:eastAsia="es-MX"/>
              </w:rPr>
              <w:drawing>
                <wp:inline distT="0" distB="0" distL="0" distR="0" wp14:anchorId="2E092DBD" wp14:editId="312C82CE">
                  <wp:extent cx="3733165" cy="2052955"/>
                  <wp:effectExtent l="0" t="0" r="635" b="444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33165" cy="2052955"/>
                          </a:xfrm>
                          <a:prstGeom prst="rect">
                            <a:avLst/>
                          </a:prstGeom>
                        </pic:spPr>
                      </pic:pic>
                    </a:graphicData>
                  </a:graphic>
                </wp:inline>
              </w:drawing>
            </w:r>
          </w:p>
        </w:tc>
      </w:tr>
    </w:tbl>
    <w:p w14:paraId="71B38EC8" w14:textId="77777777" w:rsidR="00EE0AD0" w:rsidRPr="00124981" w:rsidRDefault="00EE0AD0" w:rsidP="00E04342">
      <w:pPr>
        <w:tabs>
          <w:tab w:val="left" w:pos="8222"/>
        </w:tabs>
        <w:spacing w:line="360" w:lineRule="auto"/>
        <w:ind w:right="-28"/>
        <w:jc w:val="both"/>
        <w:rPr>
          <w:rFonts w:ascii="Palatino Linotype" w:hAnsi="Palatino Linotype" w:cs="Tahoma"/>
          <w:bCs/>
          <w:szCs w:val="22"/>
        </w:rPr>
      </w:pPr>
    </w:p>
    <w:p w14:paraId="6A76CEF9" w14:textId="2D76B9AD" w:rsidR="00A22477" w:rsidRPr="00124981" w:rsidRDefault="00A22477" w:rsidP="00E04342">
      <w:pPr>
        <w:tabs>
          <w:tab w:val="left" w:pos="8222"/>
        </w:tabs>
        <w:spacing w:line="360" w:lineRule="auto"/>
        <w:ind w:right="-28"/>
        <w:jc w:val="both"/>
        <w:rPr>
          <w:rFonts w:ascii="Palatino Linotype" w:hAnsi="Palatino Linotype" w:cs="Tahoma"/>
          <w:bCs/>
          <w:szCs w:val="22"/>
        </w:rPr>
      </w:pPr>
      <w:r w:rsidRPr="00124981">
        <w:rPr>
          <w:rFonts w:ascii="Palatino Linotype" w:hAnsi="Palatino Linotype" w:cs="Tahoma"/>
          <w:bCs/>
          <w:szCs w:val="22"/>
        </w:rPr>
        <w:t xml:space="preserve">Conforme a lo anterior, se deslumbra que resulta procedente la </w:t>
      </w:r>
      <w:r w:rsidRPr="00124981">
        <w:rPr>
          <w:rFonts w:ascii="Palatino Linotype" w:hAnsi="Palatino Linotype" w:cs="Tahoma"/>
          <w:b/>
          <w:bCs/>
          <w:szCs w:val="22"/>
          <w:u w:val="single"/>
        </w:rPr>
        <w:t>reserva invocada</w:t>
      </w:r>
      <w:r w:rsidRPr="00124981">
        <w:rPr>
          <w:rFonts w:ascii="Palatino Linotype" w:hAnsi="Palatino Linotype" w:cs="Tahoma"/>
          <w:bCs/>
          <w:szCs w:val="22"/>
        </w:rPr>
        <w:t xml:space="preserve"> por el ente recurrido, sin embargo en términos del artículo 140, fracción VI, de la Ley de Transparencia y Acceso a la Información Pública del Estado de México y Municipios en concatenación</w:t>
      </w:r>
      <w:r w:rsidR="0062484B" w:rsidRPr="00124981">
        <w:rPr>
          <w:rFonts w:ascii="Palatino Linotype" w:hAnsi="Palatino Linotype" w:cs="Tahoma"/>
          <w:bCs/>
          <w:szCs w:val="22"/>
        </w:rPr>
        <w:t xml:space="preserve"> con el artículo 113, fracción X</w:t>
      </w:r>
      <w:r w:rsidRPr="00124981">
        <w:rPr>
          <w:rFonts w:ascii="Palatino Linotype" w:hAnsi="Palatino Linotype" w:cs="Tahoma"/>
          <w:bCs/>
          <w:szCs w:val="22"/>
        </w:rPr>
        <w:t>I, de la Ley General de Transparencia y Acceso a la Información Pública, numeral vigésimo cuarto, fracción II, así como de los Lineamientos Generales en Materia de Clasificación y Desclasificación d</w:t>
      </w:r>
      <w:r w:rsidR="00D63E64" w:rsidRPr="00124981">
        <w:rPr>
          <w:rFonts w:ascii="Palatino Linotype" w:hAnsi="Palatino Linotype" w:cs="Tahoma"/>
          <w:bCs/>
          <w:szCs w:val="22"/>
        </w:rPr>
        <w:t>e la Información.</w:t>
      </w:r>
    </w:p>
    <w:p w14:paraId="0F1ED8FA" w14:textId="77777777" w:rsidR="00D63E64" w:rsidRPr="00124981" w:rsidRDefault="00D63E64" w:rsidP="00E04342">
      <w:pPr>
        <w:tabs>
          <w:tab w:val="left" w:pos="8222"/>
        </w:tabs>
        <w:spacing w:line="360" w:lineRule="auto"/>
        <w:ind w:right="-28"/>
        <w:jc w:val="both"/>
        <w:rPr>
          <w:rFonts w:ascii="Palatino Linotype" w:hAnsi="Palatino Linotype" w:cs="Tahoma"/>
          <w:bCs/>
          <w:szCs w:val="22"/>
        </w:rPr>
      </w:pPr>
    </w:p>
    <w:p w14:paraId="1651246F" w14:textId="77777777" w:rsidR="00D63E64" w:rsidRPr="00124981" w:rsidRDefault="00D63E64" w:rsidP="00D63E64">
      <w:pPr>
        <w:spacing w:line="360" w:lineRule="auto"/>
        <w:jc w:val="both"/>
        <w:rPr>
          <w:rFonts w:ascii="Palatino Linotype" w:eastAsia="Arial Unicode MS" w:hAnsi="Palatino Linotype" w:cs="Arial"/>
        </w:rPr>
      </w:pPr>
      <w:r w:rsidRPr="00124981">
        <w:rPr>
          <w:rFonts w:ascii="Palatino Linotype" w:eastAsia="Arial Unicode MS" w:hAnsi="Palatino Linotype" w:cs="Arial"/>
        </w:rPr>
        <w:t xml:space="preserve">En virtud de todo lo anteriormente expuesto, este Órgano Colegiado advierte que en el caso se actualiza la causal de sobreseimiento prevista en la fracción III del artículo 192 de la Ley de Transparencia y Acceso a la Información Pública del Estado de México y Municipios, que a la letra dice: </w:t>
      </w:r>
    </w:p>
    <w:p w14:paraId="41EF8659" w14:textId="77777777" w:rsidR="00D63E64" w:rsidRPr="00124981" w:rsidRDefault="00D63E64" w:rsidP="00D63E64">
      <w:pPr>
        <w:jc w:val="both"/>
        <w:rPr>
          <w:rFonts w:ascii="Palatino Linotype" w:eastAsia="Arial Unicode MS" w:hAnsi="Palatino Linotype" w:cs="Arial"/>
        </w:rPr>
      </w:pPr>
    </w:p>
    <w:p w14:paraId="1D01DDE0" w14:textId="77777777" w:rsidR="00D63E64" w:rsidRPr="00124981" w:rsidRDefault="00D63E64" w:rsidP="00D63E64">
      <w:pPr>
        <w:ind w:left="851" w:right="901"/>
        <w:jc w:val="both"/>
        <w:rPr>
          <w:rFonts w:ascii="Palatino Linotype" w:hAnsi="Palatino Linotype" w:cs="Arial"/>
          <w:i/>
          <w:sz w:val="22"/>
          <w:szCs w:val="22"/>
        </w:rPr>
      </w:pPr>
      <w:r w:rsidRPr="00124981">
        <w:rPr>
          <w:rFonts w:ascii="Palatino Linotype" w:hAnsi="Palatino Linotype" w:cs="Arial"/>
          <w:i/>
          <w:sz w:val="22"/>
          <w:szCs w:val="22"/>
        </w:rPr>
        <w:t>“</w:t>
      </w:r>
      <w:r w:rsidRPr="00124981">
        <w:rPr>
          <w:rFonts w:ascii="Palatino Linotype" w:hAnsi="Palatino Linotype" w:cs="Arial"/>
          <w:b/>
          <w:i/>
          <w:sz w:val="22"/>
          <w:szCs w:val="22"/>
        </w:rPr>
        <w:t xml:space="preserve">Artículo 192. </w:t>
      </w:r>
      <w:r w:rsidRPr="00124981">
        <w:rPr>
          <w:rFonts w:ascii="Palatino Linotype" w:hAnsi="Palatino Linotype" w:cs="Arial"/>
          <w:i/>
          <w:sz w:val="22"/>
          <w:szCs w:val="22"/>
        </w:rPr>
        <w:t>El recurso será sobreseído, en todo o en parte, cuando una vez admitido, se actualicen alguno de los siguientes supuestos:</w:t>
      </w:r>
    </w:p>
    <w:p w14:paraId="6BA9902C" w14:textId="77777777" w:rsidR="00D63E64" w:rsidRPr="00124981" w:rsidRDefault="00D63E64" w:rsidP="00D63E64">
      <w:pPr>
        <w:ind w:left="851" w:right="901"/>
        <w:jc w:val="both"/>
        <w:rPr>
          <w:rFonts w:ascii="Palatino Linotype" w:hAnsi="Palatino Linotype" w:cs="Arial"/>
          <w:i/>
          <w:sz w:val="22"/>
          <w:szCs w:val="22"/>
        </w:rPr>
      </w:pPr>
      <w:r w:rsidRPr="00124981">
        <w:rPr>
          <w:rFonts w:ascii="Palatino Linotype" w:hAnsi="Palatino Linotype" w:cs="Arial"/>
          <w:i/>
          <w:sz w:val="22"/>
          <w:szCs w:val="22"/>
        </w:rPr>
        <w:t>(…)</w:t>
      </w:r>
    </w:p>
    <w:p w14:paraId="630CD1DB" w14:textId="77777777" w:rsidR="00D63E64" w:rsidRPr="00124981" w:rsidRDefault="00D63E64" w:rsidP="00D63E64">
      <w:pPr>
        <w:ind w:left="851" w:right="901"/>
        <w:jc w:val="both"/>
        <w:rPr>
          <w:rFonts w:ascii="Palatino Linotype" w:hAnsi="Palatino Linotype" w:cs="Arial"/>
          <w:b/>
          <w:i/>
          <w:sz w:val="22"/>
          <w:szCs w:val="22"/>
        </w:rPr>
      </w:pPr>
      <w:r w:rsidRPr="00124981">
        <w:rPr>
          <w:rFonts w:ascii="Palatino Linotype" w:hAnsi="Palatino Linotype" w:cs="Arial"/>
          <w:b/>
          <w:i/>
          <w:sz w:val="22"/>
          <w:szCs w:val="22"/>
        </w:rPr>
        <w:lastRenderedPageBreak/>
        <w:t xml:space="preserve">III. El sujeto obligado responsable del acto lo modifique o revoque de tal manera que el recurso de revisión quede sin materia;” </w:t>
      </w:r>
    </w:p>
    <w:p w14:paraId="7DDBB1B8" w14:textId="77777777" w:rsidR="00D63E64" w:rsidRPr="00124981" w:rsidRDefault="00D63E64" w:rsidP="00D63E64">
      <w:pPr>
        <w:jc w:val="both"/>
        <w:rPr>
          <w:rFonts w:ascii="Palatino Linotype" w:hAnsi="Palatino Linotype" w:cs="Arial"/>
        </w:rPr>
      </w:pPr>
    </w:p>
    <w:p w14:paraId="703DE703" w14:textId="77777777" w:rsidR="00D63E64" w:rsidRPr="00124981" w:rsidRDefault="00D63E64" w:rsidP="00D63E64">
      <w:pPr>
        <w:spacing w:line="360" w:lineRule="auto"/>
        <w:jc w:val="both"/>
        <w:rPr>
          <w:rFonts w:ascii="Palatino Linotype" w:hAnsi="Palatino Linotype" w:cs="Arial"/>
        </w:rPr>
      </w:pPr>
      <w:r w:rsidRPr="00124981">
        <w:rPr>
          <w:rFonts w:ascii="Palatino Linotype" w:hAnsi="Palatino Linotype" w:cs="Arial"/>
        </w:rPr>
        <w:t xml:space="preserve">Luego, conforme a la transcripción que antecede conviene desglosar los elementos de la disposición enunciada, de manera tal, que procede el sobreseimiento del recurso de revisión cuando </w:t>
      </w:r>
      <w:r w:rsidRPr="00124981">
        <w:rPr>
          <w:rFonts w:ascii="Palatino Linotype" w:hAnsi="Palatino Linotype" w:cs="Arial"/>
          <w:b/>
        </w:rPr>
        <w:t>EL SUJETO OBLIGADO</w:t>
      </w:r>
      <w:r w:rsidRPr="00124981">
        <w:rPr>
          <w:rFonts w:ascii="Palatino Linotype" w:hAnsi="Palatino Linotype" w:cs="Arial"/>
        </w:rPr>
        <w:t xml:space="preserve"> modifique o revoque el acto impugnado, quedando el medio de impugnación sin efecto o materia.</w:t>
      </w:r>
    </w:p>
    <w:p w14:paraId="11D45202" w14:textId="77777777" w:rsidR="00D63E64" w:rsidRPr="00124981" w:rsidRDefault="00D63E64" w:rsidP="00D63E64">
      <w:pPr>
        <w:spacing w:line="360" w:lineRule="auto"/>
        <w:jc w:val="both"/>
        <w:rPr>
          <w:rFonts w:ascii="Palatino Linotype" w:hAnsi="Palatino Linotype" w:cs="Arial"/>
        </w:rPr>
      </w:pPr>
    </w:p>
    <w:p w14:paraId="195ACA34" w14:textId="77777777" w:rsidR="00D63E64" w:rsidRPr="00124981" w:rsidRDefault="00D63E64" w:rsidP="00D63E64">
      <w:pPr>
        <w:spacing w:line="360" w:lineRule="auto"/>
        <w:jc w:val="both"/>
        <w:rPr>
          <w:rFonts w:ascii="Palatino Linotype" w:hAnsi="Palatino Linotype" w:cs="Arial"/>
        </w:rPr>
      </w:pPr>
      <w:r w:rsidRPr="00124981">
        <w:rPr>
          <w:rFonts w:ascii="Palatino Linotype" w:hAnsi="Palatino Linotype" w:cs="Arial"/>
        </w:rPr>
        <w:t xml:space="preserve">1.- El sujeto obligado responsable, </w:t>
      </w:r>
    </w:p>
    <w:p w14:paraId="4B0BFE90" w14:textId="77777777" w:rsidR="00D63E64" w:rsidRPr="00124981" w:rsidRDefault="00D63E64" w:rsidP="00D63E64">
      <w:pPr>
        <w:spacing w:line="360" w:lineRule="auto"/>
        <w:jc w:val="both"/>
        <w:rPr>
          <w:rFonts w:ascii="Palatino Linotype" w:hAnsi="Palatino Linotype" w:cs="Arial"/>
        </w:rPr>
      </w:pPr>
      <w:r w:rsidRPr="00124981">
        <w:rPr>
          <w:rFonts w:ascii="Palatino Linotype" w:hAnsi="Palatino Linotype" w:cs="Arial"/>
        </w:rPr>
        <w:t xml:space="preserve">2.- Acto, </w:t>
      </w:r>
    </w:p>
    <w:p w14:paraId="2631B3B4" w14:textId="77777777" w:rsidR="00D63E64" w:rsidRPr="00124981" w:rsidRDefault="00D63E64" w:rsidP="00D63E64">
      <w:pPr>
        <w:spacing w:line="360" w:lineRule="auto"/>
        <w:jc w:val="both"/>
        <w:rPr>
          <w:rFonts w:ascii="Palatino Linotype" w:hAnsi="Palatino Linotype" w:cs="Arial"/>
        </w:rPr>
      </w:pPr>
      <w:r w:rsidRPr="00124981">
        <w:rPr>
          <w:rFonts w:ascii="Palatino Linotype" w:hAnsi="Palatino Linotype" w:cs="Arial"/>
        </w:rPr>
        <w:t>3.- Que se modifique o revoque, y</w:t>
      </w:r>
    </w:p>
    <w:p w14:paraId="5BC7CE9D" w14:textId="77777777" w:rsidR="00D63E64" w:rsidRPr="00124981" w:rsidRDefault="00D63E64" w:rsidP="00D63E64">
      <w:pPr>
        <w:spacing w:line="360" w:lineRule="auto"/>
        <w:jc w:val="both"/>
        <w:rPr>
          <w:rFonts w:ascii="Palatino Linotype" w:hAnsi="Palatino Linotype" w:cs="Arial"/>
        </w:rPr>
      </w:pPr>
      <w:r w:rsidRPr="00124981">
        <w:rPr>
          <w:rFonts w:ascii="Palatino Linotype" w:hAnsi="Palatino Linotype" w:cs="Arial"/>
        </w:rPr>
        <w:t>4.- De tal manera que el medio de impugnación quede sin efecto o materia.</w:t>
      </w:r>
    </w:p>
    <w:p w14:paraId="1B4E4F27" w14:textId="77777777" w:rsidR="00D63E64" w:rsidRPr="00124981" w:rsidRDefault="00D63E64" w:rsidP="00D63E64">
      <w:pPr>
        <w:spacing w:line="360" w:lineRule="auto"/>
        <w:jc w:val="both"/>
        <w:rPr>
          <w:rFonts w:ascii="Palatino Linotype" w:hAnsi="Palatino Linotype" w:cs="Arial"/>
          <w:sz w:val="14"/>
        </w:rPr>
      </w:pPr>
    </w:p>
    <w:p w14:paraId="263F5726" w14:textId="22D428BC" w:rsidR="00D63E64" w:rsidRPr="00124981" w:rsidRDefault="00D63E64" w:rsidP="00D63E64">
      <w:pPr>
        <w:spacing w:line="360" w:lineRule="auto"/>
        <w:jc w:val="both"/>
        <w:rPr>
          <w:rFonts w:ascii="Palatino Linotype" w:hAnsi="Palatino Linotype" w:cs="Arial"/>
        </w:rPr>
      </w:pPr>
      <w:r w:rsidRPr="00124981">
        <w:rPr>
          <w:rFonts w:ascii="Palatino Linotype" w:hAnsi="Palatino Linotype" w:cs="Arial"/>
        </w:rPr>
        <w:t xml:space="preserve">El primer elemento normativo, se actualiza ya que </w:t>
      </w:r>
      <w:r w:rsidRPr="00124981">
        <w:rPr>
          <w:rFonts w:ascii="Palatino Linotype" w:hAnsi="Palatino Linotype" w:cs="Arial"/>
          <w:b/>
        </w:rPr>
        <w:t xml:space="preserve">EL SUJETO OBLIGADO </w:t>
      </w:r>
      <w:r w:rsidR="00752387" w:rsidRPr="00124981">
        <w:rPr>
          <w:rFonts w:ascii="Palatino Linotype" w:hAnsi="Palatino Linotype" w:cs="Arial"/>
        </w:rPr>
        <w:t>responsable, es la</w:t>
      </w:r>
      <w:r w:rsidRPr="00124981">
        <w:rPr>
          <w:rFonts w:ascii="Palatino Linotype" w:hAnsi="Palatino Linotype" w:cs="Arial"/>
        </w:rPr>
        <w:t xml:space="preserve"> </w:t>
      </w:r>
      <w:r w:rsidR="00752387" w:rsidRPr="00124981">
        <w:rPr>
          <w:rFonts w:ascii="Palatino Linotype" w:hAnsi="Palatino Linotype" w:cs="Arial"/>
        </w:rPr>
        <w:t>Secretaría de Seguridad</w:t>
      </w:r>
      <w:r w:rsidRPr="00124981">
        <w:rPr>
          <w:rFonts w:ascii="Palatino Linotype" w:hAnsi="Palatino Linotype" w:cs="Arial"/>
        </w:rPr>
        <w:t>.</w:t>
      </w:r>
    </w:p>
    <w:p w14:paraId="66FF0752" w14:textId="77777777" w:rsidR="00D63E64" w:rsidRPr="00124981" w:rsidRDefault="00D63E64" w:rsidP="00D63E64">
      <w:pPr>
        <w:spacing w:line="360" w:lineRule="auto"/>
        <w:jc w:val="both"/>
        <w:rPr>
          <w:rFonts w:ascii="Palatino Linotype" w:hAnsi="Palatino Linotype" w:cs="Arial"/>
          <w:sz w:val="16"/>
        </w:rPr>
      </w:pPr>
    </w:p>
    <w:p w14:paraId="21B5AD8B" w14:textId="5CD06A2E" w:rsidR="00752387" w:rsidRPr="00124981" w:rsidRDefault="00752387" w:rsidP="00752387">
      <w:pPr>
        <w:widowControl w:val="0"/>
        <w:tabs>
          <w:tab w:val="left" w:pos="1701"/>
          <w:tab w:val="left" w:pos="1843"/>
        </w:tabs>
        <w:suppressAutoHyphens/>
        <w:spacing w:line="360" w:lineRule="auto"/>
        <w:jc w:val="both"/>
        <w:rPr>
          <w:rFonts w:ascii="Palatino Linotype" w:hAnsi="Palatino Linotype" w:cs="Arial"/>
        </w:rPr>
      </w:pPr>
      <w:r w:rsidRPr="00124981">
        <w:rPr>
          <w:rFonts w:ascii="Palatino Linotype" w:hAnsi="Palatino Linotype" w:cs="Arial"/>
        </w:rPr>
        <w:t xml:space="preserve">El segundo elemento normativo es la existencia de un acto, que, en el caso en concreto, se acredita con la existencia de la respuesta del </w:t>
      </w:r>
      <w:r w:rsidRPr="00124981">
        <w:rPr>
          <w:rFonts w:ascii="Palatino Linotype" w:hAnsi="Palatino Linotype" w:cs="Arial"/>
          <w:b/>
        </w:rPr>
        <w:t>SUJETO OBLIGADO</w:t>
      </w:r>
      <w:r w:rsidRPr="00124981">
        <w:rPr>
          <w:rFonts w:ascii="Palatino Linotype" w:hAnsi="Palatino Linotype" w:cs="Arial"/>
        </w:rPr>
        <w:t xml:space="preserve">, la cual precisamente es la que se impugna, toda vez que es la que a decir del </w:t>
      </w:r>
      <w:r w:rsidRPr="00124981">
        <w:rPr>
          <w:rFonts w:ascii="Palatino Linotype" w:hAnsi="Palatino Linotype" w:cs="Arial"/>
          <w:b/>
        </w:rPr>
        <w:t>RECURRENTE</w:t>
      </w:r>
      <w:r w:rsidRPr="00124981">
        <w:rPr>
          <w:rFonts w:ascii="Palatino Linotype" w:hAnsi="Palatino Linotype" w:cs="Arial"/>
        </w:rPr>
        <w:t xml:space="preserve"> que la unidad administrativa conocer de los procedimientos de responsabilidad patrimonial.</w:t>
      </w:r>
    </w:p>
    <w:p w14:paraId="51CF6504" w14:textId="77777777" w:rsidR="00752387" w:rsidRPr="00124981" w:rsidRDefault="00752387" w:rsidP="00752387">
      <w:pPr>
        <w:widowControl w:val="0"/>
        <w:tabs>
          <w:tab w:val="left" w:pos="1701"/>
          <w:tab w:val="left" w:pos="1843"/>
        </w:tabs>
        <w:suppressAutoHyphens/>
        <w:spacing w:line="360" w:lineRule="auto"/>
        <w:jc w:val="both"/>
        <w:rPr>
          <w:rFonts w:ascii="Palatino Linotype" w:hAnsi="Palatino Linotype" w:cs="Arial"/>
          <w:color w:val="000000" w:themeColor="text1"/>
        </w:rPr>
      </w:pPr>
    </w:p>
    <w:p w14:paraId="1C633B26" w14:textId="77777777" w:rsidR="00752387" w:rsidRPr="00124981" w:rsidRDefault="00752387" w:rsidP="00752387">
      <w:pPr>
        <w:suppressAutoHyphens/>
        <w:spacing w:line="360" w:lineRule="auto"/>
        <w:jc w:val="both"/>
        <w:rPr>
          <w:rFonts w:ascii="Palatino Linotype" w:hAnsi="Palatino Linotype" w:cs="Arial"/>
        </w:rPr>
      </w:pPr>
      <w:r w:rsidRPr="00124981">
        <w:rPr>
          <w:rFonts w:ascii="Palatino Linotype" w:hAnsi="Palatino Linotype" w:cs="Arial"/>
        </w:rPr>
        <w:t>Cabe destacar que la respuesta proporcionada por el</w:t>
      </w:r>
      <w:r w:rsidRPr="00124981">
        <w:rPr>
          <w:rFonts w:ascii="Palatino Linotype" w:hAnsi="Palatino Linotype" w:cs="Arial"/>
          <w:b/>
        </w:rPr>
        <w:t xml:space="preserve"> SUJETO OBLIGADO</w:t>
      </w:r>
      <w:r w:rsidRPr="00124981">
        <w:rPr>
          <w:rFonts w:ascii="Palatino Linotype" w:hAnsi="Palatino Linotype" w:cs="Arial"/>
        </w:rPr>
        <w:t xml:space="preserve">, el precepto normativo en estudio, lo consagra como “acto”, esto es así, ya que las respuestas emitidas por los Sujetos Obligados son consideradas, (en el contexto que la propia Ley establece), como “actos”, sin los cuales no se tendría certeza de la existencia </w:t>
      </w:r>
      <w:r w:rsidRPr="00124981">
        <w:rPr>
          <w:rFonts w:ascii="Palatino Linotype" w:hAnsi="Palatino Linotype" w:cs="Arial"/>
        </w:rPr>
        <w:lastRenderedPageBreak/>
        <w:t xml:space="preserve">o inexistencia de la Información Pública, porque precisamente la evidencia notoria y específica del actuar del </w:t>
      </w:r>
      <w:r w:rsidRPr="00124981">
        <w:rPr>
          <w:rFonts w:ascii="Palatino Linotype" w:hAnsi="Palatino Linotype" w:cs="Arial"/>
          <w:b/>
        </w:rPr>
        <w:t>SUJETO OBLIGADO</w:t>
      </w:r>
      <w:r w:rsidRPr="00124981">
        <w:rPr>
          <w:rFonts w:ascii="Palatino Linotype" w:hAnsi="Palatino Linotype" w:cs="Arial"/>
        </w:rPr>
        <w:t xml:space="preserve"> se observa a través de sus actos que necesariamente ejecuta y con las que ejerce sus atribuciones legalmente conferidas. </w:t>
      </w:r>
    </w:p>
    <w:p w14:paraId="25E0DB7A" w14:textId="77777777" w:rsidR="00752387" w:rsidRPr="00124981" w:rsidRDefault="00752387" w:rsidP="00752387">
      <w:pPr>
        <w:suppressAutoHyphens/>
        <w:spacing w:line="360" w:lineRule="auto"/>
        <w:jc w:val="both"/>
        <w:rPr>
          <w:rFonts w:ascii="Palatino Linotype" w:hAnsi="Palatino Linotype" w:cs="Arial"/>
        </w:rPr>
      </w:pPr>
    </w:p>
    <w:p w14:paraId="3E50936A" w14:textId="77777777" w:rsidR="00752387" w:rsidRPr="00124981" w:rsidRDefault="00752387" w:rsidP="00752387">
      <w:pPr>
        <w:suppressAutoHyphens/>
        <w:spacing w:line="360" w:lineRule="auto"/>
        <w:jc w:val="both"/>
        <w:rPr>
          <w:rFonts w:ascii="Palatino Linotype" w:hAnsi="Palatino Linotype" w:cs="Arial"/>
        </w:rPr>
      </w:pPr>
      <w:r w:rsidRPr="00124981">
        <w:rPr>
          <w:rFonts w:ascii="Palatino Linotype" w:hAnsi="Palatino Linotype" w:cs="Arial"/>
        </w:rPr>
        <w:t>La naturaleza jurídica de las respuestas que formulan los Sujetos Obligados, están delimitadas por la misma Ley de la materia, ya que el hecho de emitir actos no previstos en el marco normativo que en transparencia rige su actuar, serían ilegales de estricto derecho, por lo que dichos “actos” a que se refiere esta fracción están contenidos en la Ley de Transparencia y Acceso a la Información Pública del Estado de México y Municipios, en específico, en el artículo 53, fracción II, que a la letra dice:</w:t>
      </w:r>
    </w:p>
    <w:p w14:paraId="343416E9" w14:textId="77777777" w:rsidR="00752387" w:rsidRPr="00124981" w:rsidRDefault="00752387" w:rsidP="00752387">
      <w:pPr>
        <w:suppressAutoHyphens/>
        <w:spacing w:line="360" w:lineRule="auto"/>
        <w:jc w:val="both"/>
        <w:rPr>
          <w:rFonts w:ascii="Palatino Linotype" w:hAnsi="Palatino Linotype" w:cs="Arial"/>
        </w:rPr>
      </w:pPr>
    </w:p>
    <w:p w14:paraId="4D5FB479" w14:textId="77777777" w:rsidR="00752387" w:rsidRPr="00124981" w:rsidRDefault="00752387" w:rsidP="00752387">
      <w:pPr>
        <w:suppressAutoHyphens/>
        <w:ind w:left="850" w:right="901"/>
        <w:jc w:val="both"/>
        <w:rPr>
          <w:rFonts w:ascii="Palatino Linotype" w:hAnsi="Palatino Linotype" w:cs="Arial"/>
          <w:i/>
          <w:sz w:val="22"/>
        </w:rPr>
      </w:pPr>
      <w:r w:rsidRPr="00124981">
        <w:rPr>
          <w:rFonts w:ascii="Palatino Linotype" w:hAnsi="Palatino Linotype" w:cs="Arial"/>
          <w:b/>
          <w:i/>
          <w:sz w:val="22"/>
        </w:rPr>
        <w:t>“Artículo 53</w:t>
      </w:r>
      <w:r w:rsidRPr="00124981">
        <w:rPr>
          <w:rFonts w:ascii="Palatino Linotype" w:hAnsi="Palatino Linotype" w:cs="Arial"/>
          <w:i/>
          <w:sz w:val="22"/>
        </w:rPr>
        <w:t xml:space="preserve">. Las Unidades de Transparencia tendrán las siguientes funciones: </w:t>
      </w:r>
    </w:p>
    <w:p w14:paraId="6B9B58E6" w14:textId="77777777" w:rsidR="00752387" w:rsidRPr="00124981" w:rsidRDefault="00752387" w:rsidP="00752387">
      <w:pPr>
        <w:suppressAutoHyphens/>
        <w:ind w:left="850" w:right="901"/>
        <w:jc w:val="both"/>
        <w:rPr>
          <w:rFonts w:ascii="Palatino Linotype" w:hAnsi="Palatino Linotype" w:cs="Arial"/>
          <w:i/>
          <w:sz w:val="22"/>
        </w:rPr>
      </w:pPr>
      <w:r w:rsidRPr="00124981">
        <w:rPr>
          <w:rFonts w:ascii="Palatino Linotype" w:hAnsi="Palatino Linotype" w:cs="Arial"/>
          <w:b/>
          <w:i/>
          <w:sz w:val="22"/>
        </w:rPr>
        <w:t>(</w:t>
      </w:r>
      <w:r w:rsidRPr="00124981">
        <w:rPr>
          <w:rFonts w:ascii="Palatino Linotype" w:hAnsi="Palatino Linotype" w:cs="Arial"/>
          <w:i/>
          <w:sz w:val="22"/>
        </w:rPr>
        <w:t>…)</w:t>
      </w:r>
    </w:p>
    <w:p w14:paraId="41AE72AE" w14:textId="77777777" w:rsidR="00752387" w:rsidRPr="00124981" w:rsidRDefault="00752387" w:rsidP="00752387">
      <w:pPr>
        <w:suppressAutoHyphens/>
        <w:ind w:left="850" w:right="901"/>
        <w:jc w:val="both"/>
        <w:rPr>
          <w:rFonts w:ascii="Palatino Linotype" w:hAnsi="Palatino Linotype" w:cs="Arial"/>
          <w:i/>
          <w:sz w:val="22"/>
        </w:rPr>
      </w:pPr>
      <w:r w:rsidRPr="00124981">
        <w:rPr>
          <w:rFonts w:ascii="Palatino Linotype" w:hAnsi="Palatino Linotype" w:cs="Arial"/>
          <w:b/>
          <w:i/>
          <w:sz w:val="22"/>
          <w:u w:val="single"/>
        </w:rPr>
        <w:t>II. Recibir, tramitar y dar respuesta a las solicitudes de acceso a la información</w:t>
      </w:r>
      <w:r w:rsidRPr="00124981">
        <w:rPr>
          <w:rFonts w:ascii="Palatino Linotype" w:hAnsi="Palatino Linotype" w:cs="Arial"/>
          <w:i/>
          <w:sz w:val="22"/>
        </w:rPr>
        <w:t xml:space="preserve">; </w:t>
      </w:r>
    </w:p>
    <w:p w14:paraId="5C725241" w14:textId="77777777" w:rsidR="00752387" w:rsidRPr="00124981" w:rsidRDefault="00752387" w:rsidP="00752387">
      <w:pPr>
        <w:suppressAutoHyphens/>
        <w:ind w:left="850" w:right="901"/>
        <w:jc w:val="both"/>
        <w:rPr>
          <w:rFonts w:ascii="Palatino Linotype" w:hAnsi="Palatino Linotype" w:cs="Arial"/>
          <w:i/>
          <w:sz w:val="22"/>
        </w:rPr>
      </w:pPr>
      <w:r w:rsidRPr="00124981">
        <w:rPr>
          <w:rFonts w:ascii="Palatino Linotype" w:hAnsi="Palatino Linotype" w:cs="Arial"/>
          <w:i/>
          <w:sz w:val="22"/>
        </w:rPr>
        <w:t>(…)</w:t>
      </w:r>
    </w:p>
    <w:p w14:paraId="28CA67AC" w14:textId="77777777" w:rsidR="00752387" w:rsidRPr="00124981" w:rsidRDefault="00752387" w:rsidP="00752387">
      <w:pPr>
        <w:suppressAutoHyphens/>
        <w:ind w:left="850" w:right="901"/>
        <w:jc w:val="both"/>
        <w:rPr>
          <w:rFonts w:ascii="Palatino Linotype" w:hAnsi="Palatino Linotype" w:cs="Arial"/>
          <w:i/>
          <w:sz w:val="22"/>
        </w:rPr>
      </w:pPr>
      <w:r w:rsidRPr="00124981">
        <w:rPr>
          <w:rFonts w:ascii="Palatino Linotype" w:hAnsi="Palatino Linotype" w:cs="Arial"/>
          <w:i/>
          <w:sz w:val="22"/>
        </w:rPr>
        <w:t xml:space="preserve"> (Énfasis añadido)</w:t>
      </w:r>
    </w:p>
    <w:p w14:paraId="77F80613" w14:textId="77777777" w:rsidR="00752387" w:rsidRPr="00124981" w:rsidRDefault="00752387" w:rsidP="00752387">
      <w:pPr>
        <w:suppressAutoHyphens/>
        <w:spacing w:line="360" w:lineRule="auto"/>
        <w:ind w:left="709" w:right="757"/>
        <w:jc w:val="both"/>
        <w:rPr>
          <w:rFonts w:ascii="Palatino Linotype" w:hAnsi="Palatino Linotype" w:cs="Arial"/>
          <w:i/>
        </w:rPr>
      </w:pPr>
    </w:p>
    <w:p w14:paraId="010E09E2" w14:textId="2FA30F75" w:rsidR="00752387" w:rsidRPr="00124981" w:rsidRDefault="00752387" w:rsidP="00752387">
      <w:pPr>
        <w:suppressAutoHyphens/>
        <w:spacing w:line="360" w:lineRule="auto"/>
        <w:jc w:val="both"/>
        <w:rPr>
          <w:rFonts w:ascii="Palatino Linotype" w:hAnsi="Palatino Linotype" w:cs="Arial"/>
        </w:rPr>
      </w:pPr>
      <w:r w:rsidRPr="00124981">
        <w:rPr>
          <w:rFonts w:ascii="Palatino Linotype" w:hAnsi="Palatino Linotype" w:cs="Arial"/>
        </w:rPr>
        <w:t xml:space="preserve">Es decir, la impugnación de </w:t>
      </w:r>
      <w:r w:rsidR="00E41BE4" w:rsidRPr="00124981">
        <w:rPr>
          <w:rFonts w:ascii="Palatino Linotype" w:hAnsi="Palatino Linotype" w:cs="Arial"/>
          <w:b/>
          <w:bCs/>
        </w:rPr>
        <w:t>EL</w:t>
      </w:r>
      <w:r w:rsidRPr="00124981">
        <w:rPr>
          <w:rFonts w:ascii="Palatino Linotype" w:hAnsi="Palatino Linotype" w:cs="Arial"/>
        </w:rPr>
        <w:t xml:space="preserve"> </w:t>
      </w:r>
      <w:r w:rsidRPr="00124981">
        <w:rPr>
          <w:rFonts w:ascii="Palatino Linotype" w:hAnsi="Palatino Linotype" w:cs="Arial"/>
          <w:b/>
        </w:rPr>
        <w:t>RECURRENTE</w:t>
      </w:r>
      <w:r w:rsidRPr="00124981">
        <w:rPr>
          <w:rFonts w:ascii="Palatino Linotype" w:hAnsi="Palatino Linotype" w:cs="Arial"/>
        </w:rPr>
        <w:t xml:space="preserve"> debe ser sobre la emisión de un “Acto” contenido en la misma Ley o la omisión en la emisión de ésta, lo que en el presente caso se actualiza con la respuesta dada por </w:t>
      </w:r>
      <w:r w:rsidRPr="00124981">
        <w:rPr>
          <w:rFonts w:ascii="Palatino Linotype" w:hAnsi="Palatino Linotype" w:cs="Arial"/>
          <w:b/>
        </w:rPr>
        <w:t>EL SUJETO OBLIGADO</w:t>
      </w:r>
      <w:r w:rsidRPr="00124981">
        <w:rPr>
          <w:rFonts w:ascii="Palatino Linotype" w:hAnsi="Palatino Linotype" w:cs="Arial"/>
        </w:rPr>
        <w:t>.</w:t>
      </w:r>
    </w:p>
    <w:p w14:paraId="129DC3B3" w14:textId="77777777" w:rsidR="00752387" w:rsidRPr="00124981" w:rsidRDefault="00752387" w:rsidP="00752387">
      <w:pPr>
        <w:suppressAutoHyphens/>
        <w:spacing w:line="360" w:lineRule="auto"/>
        <w:jc w:val="both"/>
        <w:rPr>
          <w:rFonts w:ascii="Palatino Linotype" w:hAnsi="Palatino Linotype" w:cs="Arial"/>
        </w:rPr>
      </w:pPr>
    </w:p>
    <w:p w14:paraId="49695E07" w14:textId="77777777" w:rsidR="00752387" w:rsidRPr="00124981" w:rsidRDefault="00752387" w:rsidP="00752387">
      <w:pPr>
        <w:widowControl w:val="0"/>
        <w:tabs>
          <w:tab w:val="left" w:pos="1701"/>
          <w:tab w:val="left" w:pos="1843"/>
        </w:tabs>
        <w:suppressAutoHyphens/>
        <w:spacing w:line="360" w:lineRule="auto"/>
        <w:jc w:val="both"/>
        <w:rPr>
          <w:rFonts w:ascii="Palatino Linotype" w:hAnsi="Palatino Linotype" w:cs="Arial"/>
        </w:rPr>
      </w:pPr>
      <w:r w:rsidRPr="00124981">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124981">
        <w:rPr>
          <w:rFonts w:ascii="Palatino Linotype" w:hAnsi="Palatino Linotype" w:cs="Arial"/>
          <w:b/>
          <w:u w:val="single"/>
        </w:rPr>
        <w:t>la modifique o revoque</w:t>
      </w:r>
      <w:r w:rsidRPr="00124981">
        <w:rPr>
          <w:rFonts w:ascii="Palatino Linotype" w:hAnsi="Palatino Linotype" w:cs="Arial"/>
        </w:rPr>
        <w:t xml:space="preserve">; en cuanto hace a la modificación, ocurre cuando quien emitió su respuesta (acto o resolución), con posterioridad cambia </w:t>
      </w:r>
      <w:r w:rsidRPr="00124981">
        <w:rPr>
          <w:rFonts w:ascii="Palatino Linotype" w:hAnsi="Palatino Linotype" w:cs="Arial"/>
        </w:rPr>
        <w:lastRenderedPageBreak/>
        <w:t xml:space="preserve">la información proporcionada en un principio, cuyos resultados no dejan sin efectos la respuesta dada, sino que tiene por objeto añadir, suprimir, o sustituir datos, lo cual puede ser de forma parcial. </w:t>
      </w:r>
    </w:p>
    <w:p w14:paraId="6A491A21" w14:textId="77777777" w:rsidR="00752387" w:rsidRPr="00124981" w:rsidRDefault="00752387" w:rsidP="00752387">
      <w:pPr>
        <w:spacing w:before="100" w:beforeAutospacing="1" w:after="100" w:afterAutospacing="1" w:line="360" w:lineRule="auto"/>
        <w:jc w:val="both"/>
        <w:rPr>
          <w:rFonts w:ascii="Palatino Linotype" w:hAnsi="Palatino Linotype" w:cs="Arial"/>
          <w:b/>
        </w:rPr>
      </w:pPr>
      <w:r w:rsidRPr="00124981">
        <w:rPr>
          <w:rFonts w:ascii="Palatino Linotype" w:hAnsi="Palatino Linotype" w:cs="Arial"/>
        </w:rPr>
        <w:t xml:space="preserve">Para el caso que nos ocupa, recae esta figura en la </w:t>
      </w:r>
      <w:r w:rsidRPr="00124981">
        <w:rPr>
          <w:rFonts w:ascii="Palatino Linotype" w:hAnsi="Palatino Linotype" w:cs="Arial"/>
          <w:b/>
          <w:u w:val="single"/>
        </w:rPr>
        <w:t>modificación</w:t>
      </w:r>
      <w:r w:rsidRPr="00124981">
        <w:rPr>
          <w:rFonts w:ascii="Palatino Linotype" w:hAnsi="Palatino Linotype" w:cs="Arial"/>
        </w:rPr>
        <w:t xml:space="preserve"> de la respuesta inicial, añadiendo a través del Informe Justificado elementos para así complementar el Derecho de Acceso a la Información, por parte del</w:t>
      </w:r>
      <w:r w:rsidRPr="00124981">
        <w:rPr>
          <w:rFonts w:ascii="Palatino Linotype" w:hAnsi="Palatino Linotype" w:cs="Arial"/>
          <w:b/>
        </w:rPr>
        <w:t xml:space="preserve"> SUJETO OBLIGADO </w:t>
      </w:r>
      <w:r w:rsidRPr="00124981">
        <w:rPr>
          <w:rFonts w:ascii="Palatino Linotype" w:hAnsi="Palatino Linotype" w:cs="Arial"/>
        </w:rPr>
        <w:t>en</w:t>
      </w:r>
      <w:r w:rsidRPr="00124981">
        <w:rPr>
          <w:rFonts w:ascii="Palatino Linotype" w:hAnsi="Palatino Linotype" w:cs="Arial"/>
          <w:b/>
        </w:rPr>
        <w:t xml:space="preserve"> </w:t>
      </w:r>
      <w:r w:rsidRPr="00124981">
        <w:rPr>
          <w:rFonts w:ascii="Palatino Linotype" w:hAnsi="Palatino Linotype" w:cs="Arial"/>
        </w:rPr>
        <w:t>su pronunciamiento.</w:t>
      </w:r>
    </w:p>
    <w:p w14:paraId="117C5595" w14:textId="77777777" w:rsidR="00752387" w:rsidRPr="00124981" w:rsidRDefault="00752387" w:rsidP="00752387">
      <w:pPr>
        <w:spacing w:before="100" w:beforeAutospacing="1" w:after="100" w:afterAutospacing="1" w:line="360" w:lineRule="auto"/>
        <w:jc w:val="both"/>
        <w:rPr>
          <w:rFonts w:ascii="Palatino Linotype" w:hAnsi="Palatino Linotype" w:cs="Arial"/>
        </w:rPr>
      </w:pPr>
      <w:r w:rsidRPr="00124981">
        <w:rPr>
          <w:rFonts w:ascii="Palatino Linotype" w:hAnsi="Palatino Linotype" w:cs="Arial"/>
        </w:rPr>
        <w:t>En ese tenor, un acto impugnado queda sin efectos, aun cuando existiendo jurídicamente (esto es, que no se ha modificado, ni revocado) no genera ninguna consecuencia legal.</w:t>
      </w:r>
    </w:p>
    <w:p w14:paraId="69EBF6B0" w14:textId="372A2792" w:rsidR="00752387" w:rsidRPr="00124981" w:rsidRDefault="00752387" w:rsidP="00752387">
      <w:pPr>
        <w:spacing w:before="100" w:beforeAutospacing="1" w:after="100" w:afterAutospacing="1" w:line="360" w:lineRule="auto"/>
        <w:jc w:val="both"/>
        <w:rPr>
          <w:rFonts w:ascii="Palatino Linotype" w:hAnsi="Palatino Linotype" w:cs="Arial"/>
        </w:rPr>
      </w:pPr>
      <w:r w:rsidRPr="00124981">
        <w:rPr>
          <w:rFonts w:ascii="Palatino Linotype" w:hAnsi="Palatino Linotype" w:cs="Arial"/>
        </w:rPr>
        <w:t xml:space="preserve">En tanto que, un acto impugnado queda sin materia, cuando ha sido satisfecha la pretensión de lo solicitado o exigido por </w:t>
      </w:r>
      <w:r w:rsidRPr="00124981">
        <w:rPr>
          <w:rFonts w:ascii="Palatino Linotype" w:hAnsi="Palatino Linotype" w:cs="Arial"/>
          <w:b/>
        </w:rPr>
        <w:t xml:space="preserve">EL RECURRENTE </w:t>
      </w:r>
      <w:r w:rsidRPr="00124981">
        <w:rPr>
          <w:rFonts w:ascii="Palatino Linotype" w:hAnsi="Palatino Linotype" w:cs="Arial"/>
        </w:rPr>
        <w:t xml:space="preserve">de manera que </w:t>
      </w:r>
      <w:r w:rsidRPr="00124981">
        <w:rPr>
          <w:rFonts w:ascii="Palatino Linotype" w:hAnsi="Palatino Linotype" w:cs="Arial"/>
          <w:b/>
        </w:rPr>
        <w:t xml:space="preserve">EL SUJETO OBLIGADO </w:t>
      </w:r>
      <w:r w:rsidRPr="00124981">
        <w:rPr>
          <w:rFonts w:ascii="Palatino Linotype" w:hAnsi="Palatino Linotype" w:cs="Arial"/>
        </w:rPr>
        <w:t xml:space="preserve">entrega una respuesta que, aunque sea posterior a los términos previstos en la Ley y mediante ésta concede la información solicitada.  </w:t>
      </w:r>
    </w:p>
    <w:p w14:paraId="1C63BBAB" w14:textId="77777777" w:rsidR="00752387" w:rsidRPr="00124981" w:rsidRDefault="00752387" w:rsidP="00752387">
      <w:pPr>
        <w:spacing w:before="100" w:beforeAutospacing="1" w:after="100" w:afterAutospacing="1" w:line="360" w:lineRule="auto"/>
        <w:jc w:val="both"/>
        <w:rPr>
          <w:rFonts w:ascii="Palatino Linotype" w:hAnsi="Palatino Linotype" w:cs="Arial"/>
        </w:rPr>
      </w:pPr>
      <w:r w:rsidRPr="00124981">
        <w:rPr>
          <w:rFonts w:ascii="Palatino Linotype" w:hAnsi="Palatino Linotype" w:cs="Arial"/>
        </w:rPr>
        <w:t xml:space="preserve">Bajo esas consideraciones, se afirma que en el Recurso de Revisión sujeto a estudio, se actualiza la hipótesis jurídica citada en primer término, la cual señala, que un recurso será sobreseído, en todo o en parte, cuando una vez admitido, se modifique la respuesta de tal manera que el Recurso de Revisión quede sin materia, toda vez que quedó probado que </w:t>
      </w:r>
      <w:r w:rsidRPr="00124981">
        <w:rPr>
          <w:rFonts w:ascii="Palatino Linotype" w:hAnsi="Palatino Linotype" w:cs="Arial"/>
          <w:b/>
        </w:rPr>
        <w:t>EL SUJETO OBLIGADO</w:t>
      </w:r>
      <w:r w:rsidRPr="00124981">
        <w:rPr>
          <w:rFonts w:ascii="Palatino Linotype" w:hAnsi="Palatino Linotype" w:cs="Arial"/>
        </w:rPr>
        <w:t xml:space="preserve"> mediante un acto posterior a su respuesta, como lo fue el Informe Justificado, realizó el pronunciamiento que dejó sin materia el presente recurso.</w:t>
      </w:r>
    </w:p>
    <w:p w14:paraId="0A001812" w14:textId="77777777" w:rsidR="00D63E64" w:rsidRPr="00124981" w:rsidRDefault="00D63E64" w:rsidP="00D63E64">
      <w:pPr>
        <w:autoSpaceDE w:val="0"/>
        <w:autoSpaceDN w:val="0"/>
        <w:adjustRightInd w:val="0"/>
        <w:spacing w:before="240" w:after="360" w:line="360" w:lineRule="auto"/>
        <w:jc w:val="both"/>
        <w:rPr>
          <w:rFonts w:ascii="Palatino Linotype" w:hAnsi="Palatino Linotype" w:cs="Arial"/>
        </w:rPr>
      </w:pPr>
      <w:r w:rsidRPr="00124981">
        <w:rPr>
          <w:rFonts w:ascii="Palatino Linotype" w:hAnsi="Palatino Linotype" w:cs="Arial"/>
        </w:rPr>
        <w:lastRenderedPageBreak/>
        <w:t xml:space="preserve">En consecuencia, resulta procedente </w:t>
      </w:r>
      <w:r w:rsidRPr="00124981">
        <w:rPr>
          <w:rFonts w:ascii="Palatino Linotype" w:hAnsi="Palatino Linotype" w:cs="Arial"/>
          <w:b/>
        </w:rPr>
        <w:t>SOBRESEER</w:t>
      </w:r>
      <w:r w:rsidRPr="00124981">
        <w:rPr>
          <w:rFonts w:ascii="Palatino Linotype" w:hAnsi="Palatino Linotype" w:cs="Arial"/>
        </w:rPr>
        <w:t xml:space="preserve"> el presente recurso de revisión, con fundamento en el artículo 192, fracciones III de la Ley de Transparencia y Acceso a la Información Pública del Estado de México y Municipios; toda vez que, queda sin materia, en atención a que </w:t>
      </w:r>
      <w:r w:rsidRPr="00124981">
        <w:rPr>
          <w:rFonts w:ascii="Palatino Linotype" w:hAnsi="Palatino Linotype" w:cs="Arial"/>
          <w:b/>
        </w:rPr>
        <w:t>EL SUJETO OBLIGADO</w:t>
      </w:r>
      <w:r w:rsidRPr="00124981">
        <w:rPr>
          <w:rFonts w:ascii="Palatino Linotype" w:hAnsi="Palatino Linotype" w:cs="Arial"/>
        </w:rPr>
        <w:t xml:space="preserve"> amplió su respuesta, como ya quedó asentado en párrafos que anteceden.</w:t>
      </w:r>
    </w:p>
    <w:p w14:paraId="40A8189F" w14:textId="77777777" w:rsidR="00D63E64" w:rsidRPr="00124981" w:rsidRDefault="00D63E64" w:rsidP="00D63E64">
      <w:pPr>
        <w:spacing w:line="360" w:lineRule="auto"/>
        <w:jc w:val="both"/>
        <w:rPr>
          <w:rFonts w:ascii="Palatino Linotype" w:eastAsia="Calibri" w:hAnsi="Palatino Linotype" w:cs="Arial"/>
        </w:rPr>
      </w:pPr>
      <w:r w:rsidRPr="00124981">
        <w:rPr>
          <w:rFonts w:ascii="Palatino Linotype" w:eastAsia="Calibri" w:hAnsi="Palatino Linotype" w:cs="Arial"/>
        </w:rPr>
        <w:t xml:space="preserve">Finalmente, cabe precisar que esta Ponencia no se pronuncia acerca del acto impugnado o razones o motivos de inconformidad, pues como quedó asentado en líneas anteriores, el presente recurso ha quedado sin materia, lo que impide estudiar y pronunciarse al respecto. </w:t>
      </w:r>
    </w:p>
    <w:p w14:paraId="0BC55A71" w14:textId="77777777" w:rsidR="00D63E64" w:rsidRPr="00124981" w:rsidRDefault="00D63E64" w:rsidP="00D63E64">
      <w:pPr>
        <w:spacing w:line="360" w:lineRule="auto"/>
        <w:rPr>
          <w:rFonts w:ascii="Palatino Linotype" w:eastAsia="Calibri" w:hAnsi="Palatino Linotype"/>
          <w:sz w:val="16"/>
        </w:rPr>
      </w:pPr>
    </w:p>
    <w:p w14:paraId="2E4A2545" w14:textId="77777777" w:rsidR="00E41BE4" w:rsidRPr="00124981" w:rsidRDefault="00E41BE4" w:rsidP="00E41BE4">
      <w:pPr>
        <w:suppressAutoHyphens/>
        <w:spacing w:line="360" w:lineRule="auto"/>
        <w:jc w:val="both"/>
        <w:rPr>
          <w:rFonts w:ascii="Palatino Linotype" w:eastAsia="Batang" w:hAnsi="Palatino Linotype" w:cs="Arial"/>
          <w:lang w:val="es-AR"/>
        </w:rPr>
      </w:pPr>
      <w:r w:rsidRPr="00124981">
        <w:rPr>
          <w:rFonts w:ascii="Palatino Linotype" w:eastAsia="Batang" w:hAnsi="Palatino Linotype" w:cs="Arial"/>
        </w:rPr>
        <w:t xml:space="preserve">Por analogía, se cita la Tesis emitida por el </w:t>
      </w:r>
      <w:r w:rsidRPr="00124981">
        <w:rPr>
          <w:rFonts w:ascii="Palatino Linotype" w:eastAsia="Batang" w:hAnsi="Palatino Linotype" w:cs="Arial"/>
          <w:lang w:val="es-AR"/>
        </w:rPr>
        <w:t>Séptimo Tribunal Colegiado en Materia Civil del Primer Circuito que en su literalidad, establece lo siguiente:</w:t>
      </w:r>
    </w:p>
    <w:p w14:paraId="6D8483C8" w14:textId="77777777" w:rsidR="00E41BE4" w:rsidRPr="00124981" w:rsidRDefault="00E41BE4" w:rsidP="00E41BE4">
      <w:pPr>
        <w:suppressAutoHyphens/>
        <w:jc w:val="both"/>
        <w:rPr>
          <w:rFonts w:ascii="Palatino Linotype" w:eastAsia="Calibri" w:hAnsi="Palatino Linotype"/>
        </w:rPr>
      </w:pPr>
    </w:p>
    <w:p w14:paraId="0FC086F2" w14:textId="77777777" w:rsidR="00E41BE4" w:rsidRPr="00124981" w:rsidRDefault="00E41BE4" w:rsidP="00E41BE4">
      <w:pPr>
        <w:suppressAutoHyphens/>
        <w:ind w:left="850" w:right="901"/>
        <w:jc w:val="both"/>
        <w:rPr>
          <w:rFonts w:ascii="Palatino Linotype" w:eastAsia="Batang" w:hAnsi="Palatino Linotype" w:cs="Arial"/>
          <w:i/>
          <w:sz w:val="22"/>
          <w:lang w:val="es-AR"/>
        </w:rPr>
      </w:pPr>
      <w:r w:rsidRPr="00124981">
        <w:rPr>
          <w:rFonts w:ascii="Palatino Linotype" w:eastAsia="Batang" w:hAnsi="Palatino Linotype" w:cs="Arial"/>
          <w:b/>
          <w:i/>
          <w:sz w:val="22"/>
          <w:lang w:val="es-AR"/>
        </w:rPr>
        <w:t xml:space="preserve">“SOBRESEIMIENTO EN EL JUICIO DE AMPARO DIRECTO. IMPIDE EL ESTUDIO DE LAS VIOLACIONES PROCESALES PLANTEADAS EN LOS CONCEPTOS DE VIOLACIÓN. </w:t>
      </w:r>
      <w:r w:rsidRPr="00124981">
        <w:rPr>
          <w:rFonts w:ascii="Palatino Linotype" w:eastAsia="Batang" w:hAnsi="Palatino Linotype" w:cs="Arial"/>
          <w:i/>
          <w:sz w:val="22"/>
          <w:lang w:val="es-AR"/>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w:t>
      </w:r>
      <w:r w:rsidRPr="00124981">
        <w:rPr>
          <w:rFonts w:ascii="Palatino Linotype" w:eastAsia="Batang" w:hAnsi="Palatino Linotype" w:cs="Arial"/>
          <w:b/>
          <w:i/>
          <w:sz w:val="22"/>
          <w:lang w:val="es-AR"/>
        </w:rPr>
        <w:t>e deben analizar las violaciones procesales</w:t>
      </w:r>
      <w:r w:rsidRPr="00124981">
        <w:rPr>
          <w:rFonts w:ascii="Palatino Linotype" w:eastAsia="Batang" w:hAnsi="Palatino Linotype" w:cs="Arial"/>
          <w:i/>
          <w:sz w:val="22"/>
          <w:lang w:val="es-AR"/>
        </w:rPr>
        <w:t xml:space="preserve"> propuestas en los conceptos de violación, dado que, la principal consecuencia del sobreseimiento es poner fin al juicio de amparo sin resolver la controversia en sus méritos.”</w:t>
      </w:r>
    </w:p>
    <w:p w14:paraId="6805ABFB" w14:textId="77777777" w:rsidR="00E41BE4" w:rsidRPr="00124981" w:rsidRDefault="00E41BE4" w:rsidP="00E41BE4">
      <w:pPr>
        <w:widowControl w:val="0"/>
        <w:autoSpaceDE w:val="0"/>
        <w:autoSpaceDN w:val="0"/>
        <w:adjustRightInd w:val="0"/>
        <w:jc w:val="both"/>
        <w:rPr>
          <w:rFonts w:ascii="Palatino Linotype" w:hAnsi="Palatino Linotype"/>
        </w:rPr>
      </w:pPr>
    </w:p>
    <w:p w14:paraId="3CA3B39F" w14:textId="51A3F16A" w:rsidR="00E41BE4" w:rsidRPr="00124981" w:rsidRDefault="00E41BE4" w:rsidP="00E41BE4">
      <w:pPr>
        <w:widowControl w:val="0"/>
        <w:autoSpaceDE w:val="0"/>
        <w:autoSpaceDN w:val="0"/>
        <w:adjustRightInd w:val="0"/>
        <w:spacing w:line="360" w:lineRule="auto"/>
        <w:jc w:val="both"/>
        <w:rPr>
          <w:rFonts w:ascii="Palatino Linotype" w:hAnsi="Palatino Linotype" w:cs="Arial"/>
          <w:bCs/>
        </w:rPr>
      </w:pPr>
      <w:r w:rsidRPr="00124981">
        <w:rPr>
          <w:rFonts w:ascii="Palatino Linotype" w:hAnsi="Palatino Linotype"/>
        </w:rPr>
        <w:t xml:space="preserve">En consecuencia, este Organismo Garante, en términos de lo dispuesto en el artículo 186 fracción I de la Ley de Transparencia y Acceso a la Información Pública del Estado de México y Municipios, determina </w:t>
      </w:r>
      <w:r w:rsidRPr="00124981">
        <w:rPr>
          <w:rFonts w:ascii="Palatino Linotype" w:hAnsi="Palatino Linotype"/>
          <w:b/>
        </w:rPr>
        <w:t xml:space="preserve">SOBRESEER </w:t>
      </w:r>
      <w:r w:rsidRPr="00124981">
        <w:rPr>
          <w:rFonts w:ascii="Palatino Linotype" w:hAnsi="Palatino Linotype"/>
        </w:rPr>
        <w:t>el Recurso de Revisión</w:t>
      </w:r>
      <w:r w:rsidRPr="00124981">
        <w:rPr>
          <w:rFonts w:ascii="Palatino Linotype" w:hAnsi="Palatino Linotype" w:cs="Arial"/>
          <w:bCs/>
        </w:rPr>
        <w:t xml:space="preserve"> </w:t>
      </w:r>
      <w:r w:rsidRPr="00124981">
        <w:rPr>
          <w:rFonts w:ascii="Palatino Linotype" w:hAnsi="Palatino Linotype" w:cs="Arial"/>
          <w:b/>
        </w:rPr>
        <w:t xml:space="preserve">00872/INFOEM/IP/RR/2022, </w:t>
      </w:r>
      <w:r w:rsidRPr="00124981">
        <w:rPr>
          <w:rFonts w:ascii="Palatino Linotype" w:hAnsi="Palatino Linotype" w:cs="Arial"/>
          <w:bCs/>
        </w:rPr>
        <w:t xml:space="preserve">al haber quedado sin materia, por las razones y </w:t>
      </w:r>
      <w:r w:rsidRPr="00124981">
        <w:rPr>
          <w:rFonts w:ascii="Palatino Linotype" w:hAnsi="Palatino Linotype" w:cs="Arial"/>
          <w:bCs/>
        </w:rPr>
        <w:lastRenderedPageBreak/>
        <w:t>fundamentos anteriormente expuestos.</w:t>
      </w:r>
    </w:p>
    <w:p w14:paraId="6F2EA2C4" w14:textId="77777777" w:rsidR="00E41BE4" w:rsidRPr="00124981" w:rsidRDefault="00E41BE4" w:rsidP="00E41BE4">
      <w:pPr>
        <w:widowControl w:val="0"/>
        <w:autoSpaceDE w:val="0"/>
        <w:autoSpaceDN w:val="0"/>
        <w:adjustRightInd w:val="0"/>
        <w:spacing w:line="360" w:lineRule="auto"/>
        <w:jc w:val="both"/>
        <w:rPr>
          <w:rFonts w:ascii="Palatino Linotype" w:hAnsi="Palatino Linotype" w:cs="Arial"/>
          <w:bCs/>
        </w:rPr>
      </w:pPr>
    </w:p>
    <w:p w14:paraId="6B272865" w14:textId="77777777" w:rsidR="00E41BE4" w:rsidRPr="00124981" w:rsidRDefault="00E41BE4" w:rsidP="00E41BE4">
      <w:pPr>
        <w:widowControl w:val="0"/>
        <w:autoSpaceDE w:val="0"/>
        <w:autoSpaceDN w:val="0"/>
        <w:adjustRightInd w:val="0"/>
        <w:spacing w:line="360" w:lineRule="auto"/>
        <w:jc w:val="both"/>
        <w:rPr>
          <w:rFonts w:ascii="Palatino Linotype" w:eastAsia="Calibri" w:hAnsi="Palatino Linotype" w:cs="Arial"/>
          <w:color w:val="000000" w:themeColor="text1"/>
        </w:rPr>
      </w:pPr>
      <w:r w:rsidRPr="00124981">
        <w:rPr>
          <w:rFonts w:ascii="Palatino Linotype" w:eastAsia="Calibri" w:hAnsi="Palatino Linotype" w:cs="Arial"/>
          <w:color w:val="000000" w:themeColor="text1"/>
        </w:rPr>
        <w:t xml:space="preserve">Así, con </w:t>
      </w:r>
      <w:r w:rsidRPr="00124981">
        <w:rPr>
          <w:rFonts w:ascii="Palatino Linotype" w:hAnsi="Palatino Linotype" w:cs="Arial"/>
          <w:color w:val="000000" w:themeColor="text1"/>
        </w:rPr>
        <w:t>fundamento</w:t>
      </w:r>
      <w:r w:rsidRPr="00124981">
        <w:rPr>
          <w:rFonts w:ascii="Palatino Linotype" w:eastAsia="Calibri" w:hAnsi="Palatino Linotype" w:cs="Arial"/>
          <w:color w:val="000000" w:themeColor="text1"/>
        </w:rPr>
        <w:t xml:space="preserve"> en lo prescrito en los artículos 5, párrafos </w:t>
      </w:r>
      <w:r w:rsidRPr="00124981">
        <w:rPr>
          <w:rFonts w:ascii="Palatino Linotype" w:eastAsia="Calibri" w:hAnsi="Palatino Linotype" w:cs="Arial"/>
        </w:rPr>
        <w:t>trigésimos, trigésimos primero, trigésimos segundos,</w:t>
      </w:r>
      <w:r w:rsidRPr="00124981">
        <w:rPr>
          <w:rFonts w:ascii="Palatino Linotype" w:hAnsi="Palatino Linotype"/>
          <w:color w:val="000000" w:themeColor="text1"/>
        </w:rPr>
        <w:t xml:space="preserve"> fracciones IV y V,</w:t>
      </w:r>
      <w:r w:rsidRPr="00124981">
        <w:rPr>
          <w:rFonts w:ascii="Palatino Linotype" w:eastAsia="Calibri" w:hAnsi="Palatino Linotype" w:cs="Arial"/>
          <w:color w:val="000000" w:themeColor="text1"/>
        </w:rPr>
        <w:t xml:space="preserve"> de la Constitución Política del Estado Libre y Soberano de </w:t>
      </w:r>
      <w:r w:rsidRPr="00124981">
        <w:rPr>
          <w:rFonts w:ascii="Palatino Linotype" w:hAnsi="Palatino Linotype" w:cs="Arial"/>
          <w:color w:val="000000" w:themeColor="text1"/>
          <w:lang w:val="es-ES_tradnl"/>
        </w:rPr>
        <w:t>México</w:t>
      </w:r>
      <w:r w:rsidRPr="00124981">
        <w:rPr>
          <w:rFonts w:ascii="Palatino Linotype" w:eastAsia="Calibri" w:hAnsi="Palatino Linotype" w:cs="Arial"/>
          <w:color w:val="000000" w:themeColor="text1"/>
        </w:rPr>
        <w:t xml:space="preserve">, y los artículos </w:t>
      </w:r>
      <w:r w:rsidRPr="00124981">
        <w:rPr>
          <w:rFonts w:ascii="Palatino Linotype" w:hAnsi="Palatino Linotype"/>
          <w:color w:val="000000" w:themeColor="text1"/>
        </w:rPr>
        <w:t xml:space="preserve">2, </w:t>
      </w:r>
      <w:r w:rsidRPr="00124981">
        <w:rPr>
          <w:rFonts w:ascii="Palatino Linotype" w:hAnsi="Palatino Linotype" w:cs="Arial"/>
          <w:color w:val="000000" w:themeColor="text1"/>
        </w:rPr>
        <w:t>fracción</w:t>
      </w:r>
      <w:r w:rsidRPr="00124981">
        <w:rPr>
          <w:rFonts w:ascii="Palatino Linotype" w:hAnsi="Palatino Linotype"/>
          <w:color w:val="000000" w:themeColor="text1"/>
        </w:rPr>
        <w:t xml:space="preserve"> II, 9, </w:t>
      </w:r>
      <w:r w:rsidRPr="00124981">
        <w:rPr>
          <w:rFonts w:ascii="Palatino Linotype" w:hAnsi="Palatino Linotype" w:cs="Arial"/>
          <w:color w:val="000000" w:themeColor="text1"/>
          <w:lang w:val="es-ES_tradnl"/>
        </w:rPr>
        <w:t>29</w:t>
      </w:r>
      <w:r w:rsidRPr="00124981">
        <w:rPr>
          <w:rFonts w:ascii="Palatino Linotype" w:hAnsi="Palatino Linotype"/>
          <w:color w:val="000000" w:themeColor="text1"/>
        </w:rPr>
        <w:t>, 36, fracciones I y II, 176, 178, 179, 181, 185, fracción I, 186 y 188,</w:t>
      </w:r>
      <w:r w:rsidRPr="00124981">
        <w:rPr>
          <w:rFonts w:ascii="Palatino Linotype" w:eastAsia="Calibri" w:hAnsi="Palatino Linotype" w:cs="Arial"/>
          <w:color w:val="000000" w:themeColor="text1"/>
        </w:rPr>
        <w:t xml:space="preserve"> de la Ley de Transparencia y Acceso a la Información Pública del Estado de México y </w:t>
      </w:r>
      <w:r w:rsidRPr="00124981">
        <w:rPr>
          <w:rFonts w:ascii="Palatino Linotype" w:hAnsi="Palatino Linotype" w:cs="Arial"/>
          <w:color w:val="000000" w:themeColor="text1"/>
        </w:rPr>
        <w:t>Municipios</w:t>
      </w:r>
      <w:r w:rsidRPr="00124981">
        <w:rPr>
          <w:rFonts w:ascii="Palatino Linotype" w:eastAsia="Calibri" w:hAnsi="Palatino Linotype" w:cs="Arial"/>
          <w:color w:val="000000" w:themeColor="text1"/>
        </w:rPr>
        <w:t xml:space="preserve">, </w:t>
      </w:r>
      <w:r w:rsidRPr="00124981">
        <w:rPr>
          <w:rFonts w:ascii="Palatino Linotype" w:hAnsi="Palatino Linotype"/>
          <w:color w:val="000000" w:themeColor="text1"/>
        </w:rPr>
        <w:t>este</w:t>
      </w:r>
      <w:r w:rsidRPr="00124981">
        <w:rPr>
          <w:rFonts w:ascii="Palatino Linotype" w:eastAsia="Calibri" w:hAnsi="Palatino Linotype" w:cs="Arial"/>
          <w:color w:val="000000" w:themeColor="text1"/>
        </w:rPr>
        <w:t xml:space="preserve"> Pleno:</w:t>
      </w:r>
    </w:p>
    <w:p w14:paraId="56DA5C79" w14:textId="77777777" w:rsidR="00E41BE4" w:rsidRPr="00124981" w:rsidRDefault="00E41BE4" w:rsidP="00E41BE4">
      <w:pPr>
        <w:widowControl w:val="0"/>
        <w:autoSpaceDE w:val="0"/>
        <w:autoSpaceDN w:val="0"/>
        <w:adjustRightInd w:val="0"/>
        <w:spacing w:line="360" w:lineRule="auto"/>
        <w:jc w:val="both"/>
        <w:rPr>
          <w:rFonts w:ascii="Palatino Linotype" w:hAnsi="Palatino Linotype"/>
          <w:b/>
        </w:rPr>
      </w:pPr>
    </w:p>
    <w:p w14:paraId="121A75BD" w14:textId="77777777" w:rsidR="00E41BE4" w:rsidRPr="00124981" w:rsidRDefault="00E41BE4" w:rsidP="00E41BE4">
      <w:pPr>
        <w:jc w:val="center"/>
        <w:rPr>
          <w:rFonts w:ascii="Palatino Linotype" w:hAnsi="Palatino Linotype" w:cs="Arial"/>
          <w:b/>
          <w:spacing w:val="44"/>
          <w:sz w:val="28"/>
        </w:rPr>
      </w:pPr>
      <w:r w:rsidRPr="00124981">
        <w:rPr>
          <w:rFonts w:ascii="Palatino Linotype" w:hAnsi="Palatino Linotype" w:cs="Arial"/>
          <w:b/>
          <w:spacing w:val="44"/>
          <w:sz w:val="28"/>
        </w:rPr>
        <w:t>RESUELVE</w:t>
      </w:r>
    </w:p>
    <w:p w14:paraId="1C238231" w14:textId="77777777" w:rsidR="00E41BE4" w:rsidRPr="00124981" w:rsidRDefault="00E41BE4" w:rsidP="00E41BE4">
      <w:pPr>
        <w:jc w:val="center"/>
        <w:rPr>
          <w:rFonts w:ascii="Palatino Linotype" w:hAnsi="Palatino Linotype" w:cs="Arial"/>
          <w:b/>
          <w:spacing w:val="44"/>
          <w:sz w:val="28"/>
        </w:rPr>
      </w:pPr>
    </w:p>
    <w:p w14:paraId="194663ED" w14:textId="77777777" w:rsidR="00E41BE4" w:rsidRPr="00124981" w:rsidRDefault="00E41BE4" w:rsidP="00E41BE4">
      <w:pPr>
        <w:jc w:val="center"/>
        <w:rPr>
          <w:rFonts w:ascii="Palatino Linotype" w:hAnsi="Palatino Linotype" w:cs="Arial"/>
          <w:b/>
          <w:spacing w:val="44"/>
          <w:sz w:val="28"/>
        </w:rPr>
      </w:pPr>
    </w:p>
    <w:p w14:paraId="3C743192" w14:textId="77329C91" w:rsidR="00E41BE4" w:rsidRPr="00124981" w:rsidRDefault="00E41BE4" w:rsidP="00E41BE4">
      <w:pPr>
        <w:widowControl w:val="0"/>
        <w:autoSpaceDE w:val="0"/>
        <w:autoSpaceDN w:val="0"/>
        <w:adjustRightInd w:val="0"/>
        <w:spacing w:line="360" w:lineRule="auto"/>
        <w:jc w:val="both"/>
        <w:rPr>
          <w:rFonts w:ascii="Palatino Linotype" w:hAnsi="Palatino Linotype" w:cs="Arial"/>
        </w:rPr>
      </w:pPr>
      <w:r w:rsidRPr="00124981">
        <w:rPr>
          <w:rFonts w:ascii="Palatino Linotype" w:hAnsi="Palatino Linotype" w:cs="Arial"/>
          <w:b/>
          <w:color w:val="000000" w:themeColor="text1"/>
          <w:sz w:val="28"/>
          <w:szCs w:val="28"/>
        </w:rPr>
        <w:t>PRIMERO.</w:t>
      </w:r>
      <w:r w:rsidRPr="00124981">
        <w:rPr>
          <w:rFonts w:ascii="Palatino Linotype" w:hAnsi="Palatino Linotype" w:cs="Arial"/>
          <w:color w:val="000000" w:themeColor="text1"/>
        </w:rPr>
        <w:t xml:space="preserve"> </w:t>
      </w:r>
      <w:r w:rsidRPr="00124981">
        <w:rPr>
          <w:rFonts w:ascii="Palatino Linotype" w:hAnsi="Palatino Linotype" w:cs="Arial"/>
          <w:lang w:val="es-ES_tradnl"/>
        </w:rPr>
        <w:t xml:space="preserve">Se </w:t>
      </w:r>
      <w:r w:rsidRPr="00124981">
        <w:rPr>
          <w:rFonts w:ascii="Palatino Linotype" w:hAnsi="Palatino Linotype" w:cs="Arial"/>
          <w:b/>
          <w:lang w:val="es-ES_tradnl"/>
        </w:rPr>
        <w:t xml:space="preserve">SOBRESEE </w:t>
      </w:r>
      <w:r w:rsidRPr="00124981">
        <w:rPr>
          <w:rFonts w:ascii="Palatino Linotype" w:hAnsi="Palatino Linotype" w:cs="Arial"/>
          <w:lang w:val="es-ES_tradnl"/>
        </w:rPr>
        <w:t>el Recurso de Revisión</w:t>
      </w:r>
      <w:r w:rsidRPr="00124981">
        <w:rPr>
          <w:rFonts w:ascii="Palatino Linotype" w:hAnsi="Palatino Linotype" w:cs="Arial"/>
          <w:b/>
          <w:lang w:val="es-ES_tradnl"/>
        </w:rPr>
        <w:t xml:space="preserve"> </w:t>
      </w:r>
      <w:r w:rsidRPr="00124981">
        <w:rPr>
          <w:rFonts w:ascii="Palatino Linotype" w:hAnsi="Palatino Linotype" w:cs="Arial"/>
          <w:lang w:val="es-ES_tradnl"/>
        </w:rPr>
        <w:t xml:space="preserve">número </w:t>
      </w:r>
      <w:r w:rsidRPr="00124981">
        <w:rPr>
          <w:rFonts w:ascii="Palatino Linotype" w:hAnsi="Palatino Linotype" w:cs="Arial"/>
          <w:b/>
        </w:rPr>
        <w:t>008</w:t>
      </w:r>
      <w:r w:rsidR="00FE253A" w:rsidRPr="00124981">
        <w:rPr>
          <w:rFonts w:ascii="Palatino Linotype" w:hAnsi="Palatino Linotype" w:cs="Arial"/>
          <w:b/>
        </w:rPr>
        <w:t>72</w:t>
      </w:r>
      <w:r w:rsidRPr="00124981">
        <w:rPr>
          <w:rFonts w:ascii="Palatino Linotype" w:hAnsi="Palatino Linotype" w:cs="Arial"/>
          <w:b/>
        </w:rPr>
        <w:t xml:space="preserve">/INFOEM/IP/RR/2022, </w:t>
      </w:r>
      <w:r w:rsidRPr="00124981">
        <w:rPr>
          <w:rFonts w:ascii="Palatino Linotype" w:hAnsi="Palatino Linotype" w:cs="Arial"/>
          <w:lang w:val="es-ES"/>
        </w:rPr>
        <w:t xml:space="preserve">porque al </w:t>
      </w:r>
      <w:r w:rsidRPr="00124981">
        <w:rPr>
          <w:rFonts w:ascii="Palatino Linotype" w:hAnsi="Palatino Linotype" w:cs="Arial"/>
          <w:b/>
          <w:lang w:val="es-ES"/>
        </w:rPr>
        <w:t>modificar la respuesta, el Recurso de Revisión quedó sin materia</w:t>
      </w:r>
      <w:r w:rsidRPr="00124981">
        <w:rPr>
          <w:rFonts w:ascii="Palatino Linotype" w:hAnsi="Palatino Linotype" w:cs="Arial"/>
        </w:rPr>
        <w:t xml:space="preserve"> en términos del Considerando </w:t>
      </w:r>
      <w:r w:rsidRPr="00124981">
        <w:rPr>
          <w:rFonts w:ascii="Palatino Linotype" w:hAnsi="Palatino Linotype" w:cs="Arial"/>
          <w:b/>
        </w:rPr>
        <w:t>QUINTO</w:t>
      </w:r>
      <w:r w:rsidRPr="00124981">
        <w:rPr>
          <w:rFonts w:ascii="Palatino Linotype" w:hAnsi="Palatino Linotype" w:cs="Arial"/>
        </w:rPr>
        <w:t xml:space="preserve"> de la presente resolución.</w:t>
      </w:r>
    </w:p>
    <w:p w14:paraId="509E89E7" w14:textId="77777777" w:rsidR="00E41BE4" w:rsidRPr="00124981" w:rsidRDefault="00E41BE4" w:rsidP="00E41BE4">
      <w:pPr>
        <w:widowControl w:val="0"/>
        <w:autoSpaceDE w:val="0"/>
        <w:autoSpaceDN w:val="0"/>
        <w:adjustRightInd w:val="0"/>
        <w:spacing w:line="360" w:lineRule="auto"/>
        <w:jc w:val="both"/>
        <w:rPr>
          <w:rFonts w:ascii="Palatino Linotype" w:hAnsi="Palatino Linotype" w:cs="Arial"/>
        </w:rPr>
      </w:pPr>
    </w:p>
    <w:p w14:paraId="6D1D30EA" w14:textId="77777777" w:rsidR="00E41BE4" w:rsidRPr="00124981" w:rsidRDefault="00E41BE4" w:rsidP="00E41BE4">
      <w:pPr>
        <w:widowControl w:val="0"/>
        <w:autoSpaceDE w:val="0"/>
        <w:autoSpaceDN w:val="0"/>
        <w:adjustRightInd w:val="0"/>
        <w:spacing w:line="360" w:lineRule="auto"/>
        <w:jc w:val="both"/>
        <w:rPr>
          <w:rFonts w:ascii="Palatino Linotype" w:eastAsia="Calibri" w:hAnsi="Palatino Linotype" w:cs="Arial"/>
          <w:b/>
          <w:bCs/>
          <w:lang w:eastAsia="en-US"/>
        </w:rPr>
      </w:pPr>
      <w:r w:rsidRPr="00124981">
        <w:rPr>
          <w:rFonts w:ascii="Palatino Linotype" w:hAnsi="Palatino Linotype" w:cs="Arial"/>
          <w:b/>
          <w:color w:val="000000" w:themeColor="text1"/>
          <w:sz w:val="28"/>
        </w:rPr>
        <w:t>SEGUNDO</w:t>
      </w:r>
      <w:r w:rsidRPr="00124981">
        <w:rPr>
          <w:rFonts w:ascii="Palatino Linotype" w:hAnsi="Palatino Linotype" w:cs="Arial"/>
          <w:color w:val="000000" w:themeColor="text1"/>
          <w:sz w:val="28"/>
        </w:rPr>
        <w:t>.</w:t>
      </w:r>
      <w:r w:rsidRPr="00124981">
        <w:rPr>
          <w:rFonts w:ascii="Palatino Linotype" w:eastAsia="Calibri" w:hAnsi="Palatino Linotype" w:cs="Arial"/>
          <w:bCs/>
        </w:rPr>
        <w:t xml:space="preserve"> </w:t>
      </w:r>
      <w:r w:rsidRPr="00124981">
        <w:rPr>
          <w:rFonts w:ascii="Palatino Linotype" w:hAnsi="Palatino Linotype"/>
          <w:b/>
        </w:rPr>
        <w:t>Notifíquese</w:t>
      </w:r>
      <w:r w:rsidRPr="00124981">
        <w:rPr>
          <w:rFonts w:ascii="Palatino Linotype" w:hAnsi="Palatino Linotype"/>
        </w:rPr>
        <w:t xml:space="preserve"> la presente resolución a la Titular de la Unidad de Transparencia del </w:t>
      </w:r>
      <w:r w:rsidRPr="00124981">
        <w:rPr>
          <w:rFonts w:ascii="Palatino Linotype" w:hAnsi="Palatino Linotype"/>
          <w:b/>
        </w:rPr>
        <w:t>SUJETO OBLIGADO</w:t>
      </w:r>
      <w:r w:rsidRPr="00124981">
        <w:rPr>
          <w:rFonts w:ascii="Palatino Linotype" w:hAnsi="Palatino Linotype"/>
        </w:rPr>
        <w:t xml:space="preserve"> para su conocimiento, </w:t>
      </w:r>
      <w:r w:rsidRPr="00124981">
        <w:rPr>
          <w:rFonts w:ascii="Palatino Linotype" w:eastAsia="Calibri" w:hAnsi="Palatino Linotype" w:cs="Arial"/>
          <w:lang w:eastAsia="en-US"/>
        </w:rPr>
        <w:t>vía Sistema de Acceso a la Información Mexiquense (</w:t>
      </w:r>
      <w:r w:rsidRPr="00124981">
        <w:rPr>
          <w:rFonts w:ascii="Palatino Linotype" w:eastAsia="Calibri" w:hAnsi="Palatino Linotype" w:cs="Arial"/>
          <w:b/>
          <w:bCs/>
          <w:lang w:eastAsia="en-US"/>
        </w:rPr>
        <w:t>SAIMEX</w:t>
      </w:r>
      <w:r w:rsidRPr="00124981">
        <w:rPr>
          <w:rFonts w:ascii="Palatino Linotype" w:eastAsia="Calibri" w:hAnsi="Palatino Linotype" w:cs="Arial"/>
          <w:lang w:eastAsia="en-US"/>
        </w:rPr>
        <w:t>)</w:t>
      </w:r>
      <w:r w:rsidRPr="00124981">
        <w:rPr>
          <w:rFonts w:ascii="Palatino Linotype" w:eastAsia="Calibri" w:hAnsi="Palatino Linotype" w:cs="Arial"/>
          <w:b/>
          <w:bCs/>
          <w:lang w:val="es-ES" w:eastAsia="en-US"/>
        </w:rPr>
        <w:t>.</w:t>
      </w:r>
    </w:p>
    <w:p w14:paraId="13EA8496" w14:textId="77777777" w:rsidR="00E41BE4" w:rsidRPr="00124981" w:rsidRDefault="00E41BE4" w:rsidP="00E41BE4">
      <w:pPr>
        <w:spacing w:line="360" w:lineRule="auto"/>
        <w:jc w:val="both"/>
        <w:rPr>
          <w:rFonts w:ascii="Palatino Linotype" w:hAnsi="Palatino Linotype"/>
        </w:rPr>
      </w:pPr>
    </w:p>
    <w:p w14:paraId="26ED2079" w14:textId="1646D3A9" w:rsidR="00E41BE4" w:rsidRPr="00124981" w:rsidRDefault="00E41BE4" w:rsidP="00E41BE4">
      <w:pPr>
        <w:widowControl w:val="0"/>
        <w:autoSpaceDE w:val="0"/>
        <w:autoSpaceDN w:val="0"/>
        <w:adjustRightInd w:val="0"/>
        <w:spacing w:line="360" w:lineRule="auto"/>
        <w:jc w:val="both"/>
        <w:rPr>
          <w:rFonts w:ascii="Palatino Linotype" w:eastAsia="Calibri" w:hAnsi="Palatino Linotype" w:cs="Arial"/>
          <w:b/>
          <w:bCs/>
          <w:lang w:val="es-ES" w:eastAsia="en-US"/>
        </w:rPr>
      </w:pPr>
      <w:r w:rsidRPr="00124981">
        <w:rPr>
          <w:rFonts w:ascii="Palatino Linotype" w:hAnsi="Palatino Linotype" w:cs="Arial"/>
          <w:b/>
          <w:color w:val="000000" w:themeColor="text1"/>
          <w:sz w:val="28"/>
          <w:szCs w:val="28"/>
        </w:rPr>
        <w:t xml:space="preserve">TERCERO. </w:t>
      </w:r>
      <w:r w:rsidRPr="00124981">
        <w:rPr>
          <w:rFonts w:ascii="Palatino Linotype" w:eastAsiaTheme="minorEastAsia" w:hAnsi="Palatino Linotype"/>
          <w:b/>
          <w:color w:val="222222"/>
          <w:szCs w:val="17"/>
          <w:lang w:eastAsia="es-ES_tradnl"/>
        </w:rPr>
        <w:t>Notifíquese</w:t>
      </w:r>
      <w:r w:rsidRPr="00124981">
        <w:rPr>
          <w:rFonts w:ascii="Palatino Linotype" w:eastAsiaTheme="minorEastAsia" w:hAnsi="Palatino Linotype"/>
          <w:color w:val="222222"/>
          <w:szCs w:val="17"/>
          <w:lang w:eastAsia="es-ES_tradnl"/>
        </w:rPr>
        <w:t xml:space="preserve"> al </w:t>
      </w:r>
      <w:r w:rsidRPr="00124981">
        <w:rPr>
          <w:rFonts w:ascii="Palatino Linotype" w:eastAsiaTheme="minorEastAsia" w:hAnsi="Palatino Linotype"/>
          <w:b/>
          <w:color w:val="222222"/>
          <w:szCs w:val="17"/>
          <w:lang w:eastAsia="es-ES_tradnl"/>
        </w:rPr>
        <w:t>RECURRENTE</w:t>
      </w:r>
      <w:r w:rsidRPr="00124981">
        <w:rPr>
          <w:rFonts w:ascii="Palatino Linotype" w:eastAsiaTheme="minorEastAsia" w:hAnsi="Palatino Linotype"/>
          <w:color w:val="222222"/>
          <w:szCs w:val="17"/>
          <w:lang w:eastAsia="es-ES_tradnl"/>
        </w:rPr>
        <w:t xml:space="preserve"> la presente resolución </w:t>
      </w:r>
      <w:r w:rsidRPr="00124981">
        <w:rPr>
          <w:rFonts w:ascii="Palatino Linotype" w:eastAsia="Calibri" w:hAnsi="Palatino Linotype" w:cs="Arial"/>
          <w:lang w:eastAsia="en-US"/>
        </w:rPr>
        <w:t>Vía Sistema de Acceso a la Información Mexiquense (</w:t>
      </w:r>
      <w:r w:rsidRPr="00124981">
        <w:rPr>
          <w:rFonts w:ascii="Palatino Linotype" w:eastAsia="Calibri" w:hAnsi="Palatino Linotype" w:cs="Arial"/>
          <w:b/>
          <w:bCs/>
          <w:lang w:eastAsia="en-US"/>
        </w:rPr>
        <w:t>SAIMEX</w:t>
      </w:r>
      <w:r w:rsidRPr="00124981">
        <w:rPr>
          <w:rFonts w:ascii="Palatino Linotype" w:eastAsia="Calibri" w:hAnsi="Palatino Linotype" w:cs="Arial"/>
          <w:lang w:eastAsia="en-US"/>
        </w:rPr>
        <w:t>)</w:t>
      </w:r>
      <w:r w:rsidRPr="00124981">
        <w:rPr>
          <w:rFonts w:ascii="Palatino Linotype" w:eastAsia="Calibri" w:hAnsi="Palatino Linotype" w:cs="Arial"/>
          <w:b/>
          <w:bCs/>
          <w:lang w:val="es-ES" w:eastAsia="en-US"/>
        </w:rPr>
        <w:t>.</w:t>
      </w:r>
    </w:p>
    <w:p w14:paraId="72037B59" w14:textId="77777777" w:rsidR="00E41BE4" w:rsidRPr="00124981" w:rsidRDefault="00E41BE4" w:rsidP="00E41BE4">
      <w:pPr>
        <w:widowControl w:val="0"/>
        <w:autoSpaceDE w:val="0"/>
        <w:autoSpaceDN w:val="0"/>
        <w:adjustRightInd w:val="0"/>
        <w:spacing w:line="360" w:lineRule="auto"/>
        <w:jc w:val="both"/>
        <w:rPr>
          <w:rFonts w:ascii="Palatino Linotype" w:eastAsia="Calibri" w:hAnsi="Palatino Linotype" w:cs="Arial"/>
          <w:b/>
          <w:bCs/>
          <w:lang w:eastAsia="en-US"/>
        </w:rPr>
      </w:pPr>
    </w:p>
    <w:p w14:paraId="0AA00AC8" w14:textId="424CFD4C" w:rsidR="00E41BE4" w:rsidRPr="00124981" w:rsidRDefault="00E41BE4" w:rsidP="00E41BE4">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124981">
        <w:rPr>
          <w:rFonts w:ascii="Palatino Linotype" w:hAnsi="Palatino Linotype" w:cs="Arial"/>
          <w:b/>
          <w:color w:val="000000" w:themeColor="text1"/>
          <w:sz w:val="28"/>
          <w:szCs w:val="28"/>
        </w:rPr>
        <w:t xml:space="preserve">CUARTO. </w:t>
      </w:r>
      <w:r w:rsidR="009B7081" w:rsidRPr="00124981">
        <w:rPr>
          <w:rFonts w:ascii="Palatino Linotype" w:eastAsia="Palatino Linotype" w:hAnsi="Palatino Linotype" w:cs="Palatino Linotype"/>
          <w:b/>
          <w:color w:val="222222"/>
        </w:rPr>
        <w:t>Hágase del conocimiento</w:t>
      </w:r>
      <w:r w:rsidR="009B7081" w:rsidRPr="00124981">
        <w:rPr>
          <w:rFonts w:ascii="Palatino Linotype" w:eastAsia="Palatino Linotype" w:hAnsi="Palatino Linotype" w:cs="Palatino Linotype"/>
          <w:color w:val="222222"/>
        </w:rPr>
        <w:t xml:space="preserve"> al </w:t>
      </w:r>
      <w:r w:rsidR="009B7081" w:rsidRPr="00124981">
        <w:rPr>
          <w:rFonts w:ascii="Palatino Linotype" w:eastAsia="Palatino Linotype" w:hAnsi="Palatino Linotype" w:cs="Palatino Linotype"/>
          <w:b/>
          <w:color w:val="222222"/>
        </w:rPr>
        <w:t>RECURRENTE</w:t>
      </w:r>
      <w:r w:rsidR="009B7081" w:rsidRPr="00124981">
        <w:rPr>
          <w:rFonts w:ascii="Palatino Linotype" w:eastAsia="Palatino Linotype" w:hAnsi="Palatino Linotype" w:cs="Palatino Linotype"/>
          <w:color w:val="222222"/>
        </w:rPr>
        <w:t xml:space="preserve"> </w:t>
      </w:r>
      <w:r w:rsidR="009B7081" w:rsidRPr="00124981">
        <w:rPr>
          <w:rFonts w:ascii="Palatino Linotype" w:eastAsia="Palatino Linotype" w:hAnsi="Palatino Linotype" w:cs="Palatino Linotype"/>
          <w:sz w:val="22"/>
          <w:szCs w:val="22"/>
        </w:rPr>
        <w:t xml:space="preserve"> </w:t>
      </w:r>
      <w:r w:rsidR="009B7081" w:rsidRPr="00124981">
        <w:rPr>
          <w:rFonts w:ascii="Palatino Linotype" w:eastAsia="Palatino Linotype" w:hAnsi="Palatino Linotype" w:cs="Palatino Linotype"/>
        </w:rPr>
        <w:t xml:space="preserve">que, de conformidad con lo establecido en el artículo 196 de la Ley de Transparencia y Acceso a la Información </w:t>
      </w:r>
      <w:r w:rsidR="009B7081" w:rsidRPr="00124981">
        <w:rPr>
          <w:rFonts w:ascii="Palatino Linotype" w:eastAsia="Palatino Linotype" w:hAnsi="Palatino Linotype" w:cs="Palatino Linotype"/>
        </w:rPr>
        <w:lastRenderedPageBreak/>
        <w:t>Pública del Estado de México  y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w:t>
      </w:r>
      <w:r w:rsidR="009B7081" w:rsidRPr="00124981">
        <w:rPr>
          <w:rFonts w:ascii="Palatino Linotype" w:eastAsia="Palatino Linotype" w:hAnsi="Palatino Linotype" w:cs="Palatino Linotype"/>
          <w:color w:val="222222"/>
        </w:rPr>
        <w:t>, o bien, vía juicio de amparo en los términos de las leyes aplicables.</w:t>
      </w:r>
    </w:p>
    <w:p w14:paraId="10798246" w14:textId="77777777" w:rsidR="00EE0AD0" w:rsidRPr="00124981" w:rsidRDefault="00EE0AD0" w:rsidP="00E04342">
      <w:pPr>
        <w:tabs>
          <w:tab w:val="left" w:pos="8222"/>
        </w:tabs>
        <w:ind w:left="850" w:right="901"/>
        <w:jc w:val="both"/>
        <w:rPr>
          <w:rFonts w:ascii="Palatino Linotype" w:hAnsi="Palatino Linotype"/>
          <w:i/>
          <w:sz w:val="22"/>
        </w:rPr>
      </w:pPr>
    </w:p>
    <w:p w14:paraId="4C51E090" w14:textId="77777777" w:rsidR="00C34EFF" w:rsidRPr="00124981" w:rsidRDefault="00C34EFF" w:rsidP="00E04342">
      <w:pPr>
        <w:jc w:val="both"/>
        <w:rPr>
          <w:rFonts w:ascii="Palatino Linotype" w:hAnsi="Palatino Linotype"/>
        </w:rPr>
      </w:pPr>
    </w:p>
    <w:p w14:paraId="315AB242" w14:textId="2ACD8694" w:rsidR="00E04342" w:rsidRPr="00124981" w:rsidRDefault="00E04342" w:rsidP="00E04342">
      <w:pPr>
        <w:spacing w:line="360" w:lineRule="auto"/>
        <w:jc w:val="both"/>
        <w:rPr>
          <w:rFonts w:ascii="Palatino Linotype" w:hAnsi="Palatino Linotype"/>
        </w:rPr>
      </w:pPr>
      <w:r w:rsidRPr="00124981">
        <w:rPr>
          <w:rFonts w:ascii="Palatino Linotype" w:hAnsi="Palatino Linotype"/>
        </w:rPr>
        <w:t xml:space="preserve">ASÍ LO RESUELVE, POR </w:t>
      </w:r>
      <w:r w:rsidR="00383479">
        <w:rPr>
          <w:rFonts w:ascii="Palatino Linotype" w:hAnsi="Palatino Linotype"/>
        </w:rPr>
        <w:t>UNANIMIDAD</w:t>
      </w:r>
      <w:r w:rsidRPr="00124981">
        <w:rPr>
          <w:rFonts w:ascii="Palatino Linotype" w:hAnsi="Palatino Linotype"/>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QUINTA SESIÓN ORDINARIA CELEBRADA EL VEINTISIETE DE ABRIL DE DOS MIL VEINTIDÓS, ANTE EL SECRETARIO TÉCNICO DEL PLENO, ALEXIS TAPIA RAMÍREZ.</w:t>
      </w:r>
    </w:p>
    <w:p w14:paraId="7F755B26" w14:textId="77777777" w:rsidR="00E04342" w:rsidRPr="00E04342" w:rsidRDefault="00E04342" w:rsidP="00E04342">
      <w:pPr>
        <w:spacing w:line="360" w:lineRule="auto"/>
        <w:jc w:val="both"/>
        <w:rPr>
          <w:rFonts w:ascii="Palatino Linotype" w:hAnsi="Palatino Linotype"/>
          <w:sz w:val="20"/>
          <w:szCs w:val="20"/>
        </w:rPr>
      </w:pPr>
      <w:r w:rsidRPr="00124981">
        <w:rPr>
          <w:rFonts w:ascii="Palatino Linotype" w:hAnsi="Palatino Linotype"/>
          <w:sz w:val="20"/>
          <w:szCs w:val="20"/>
        </w:rPr>
        <w:t>SCMM/BLA/DEMF/CCC</w:t>
      </w:r>
    </w:p>
    <w:p w14:paraId="7C20DCE9" w14:textId="77777777" w:rsidR="00C34EFF" w:rsidRPr="009B42EA" w:rsidRDefault="00C34EFF" w:rsidP="00E04342">
      <w:pPr>
        <w:jc w:val="both"/>
        <w:rPr>
          <w:rFonts w:ascii="Palatino Linotype" w:hAnsi="Palatino Linotype"/>
        </w:rPr>
      </w:pPr>
    </w:p>
    <w:p w14:paraId="13C7C65E" w14:textId="77777777" w:rsidR="00C34EFF" w:rsidRPr="009B42EA" w:rsidRDefault="00C34EFF" w:rsidP="00E04342">
      <w:pPr>
        <w:jc w:val="both"/>
        <w:rPr>
          <w:rFonts w:ascii="Palatino Linotype" w:hAnsi="Palatino Linotype"/>
        </w:rPr>
      </w:pPr>
    </w:p>
    <w:p w14:paraId="7211B107" w14:textId="77777777" w:rsidR="00C34EFF" w:rsidRPr="009B42EA" w:rsidRDefault="00C34EFF" w:rsidP="00E04342">
      <w:pPr>
        <w:jc w:val="both"/>
        <w:rPr>
          <w:rFonts w:ascii="Palatino Linotype" w:hAnsi="Palatino Linotype"/>
        </w:rPr>
      </w:pPr>
    </w:p>
    <w:p w14:paraId="2BC1522E" w14:textId="77777777" w:rsidR="00C34EFF" w:rsidRPr="009B42EA" w:rsidRDefault="00C34EFF" w:rsidP="00E04342">
      <w:pPr>
        <w:jc w:val="both"/>
        <w:rPr>
          <w:rFonts w:ascii="Palatino Linotype" w:hAnsi="Palatino Linotype"/>
        </w:rPr>
      </w:pPr>
    </w:p>
    <w:p w14:paraId="327A7345" w14:textId="77777777" w:rsidR="00C34EFF" w:rsidRPr="009B42EA" w:rsidRDefault="00C34EFF" w:rsidP="00E04342">
      <w:pPr>
        <w:jc w:val="both"/>
        <w:rPr>
          <w:rFonts w:ascii="Palatino Linotype" w:hAnsi="Palatino Linotype"/>
        </w:rPr>
      </w:pPr>
    </w:p>
    <w:p w14:paraId="1EA4FFA0" w14:textId="77777777" w:rsidR="00C34EFF" w:rsidRPr="009B42EA" w:rsidRDefault="00C34EFF" w:rsidP="00E04342">
      <w:pPr>
        <w:jc w:val="both"/>
        <w:rPr>
          <w:rFonts w:ascii="Palatino Linotype" w:hAnsi="Palatino Linotype"/>
        </w:rPr>
      </w:pPr>
    </w:p>
    <w:p w14:paraId="3AEF63A2" w14:textId="77777777" w:rsidR="00C34EFF" w:rsidRPr="009B42EA" w:rsidRDefault="00C34EFF" w:rsidP="00E04342">
      <w:pPr>
        <w:jc w:val="both"/>
        <w:rPr>
          <w:rFonts w:ascii="Palatino Linotype" w:hAnsi="Palatino Linotype"/>
        </w:rPr>
      </w:pPr>
    </w:p>
    <w:p w14:paraId="4CBA3887" w14:textId="77777777" w:rsidR="00C34EFF" w:rsidRPr="009B42EA" w:rsidRDefault="00C34EFF" w:rsidP="00E04342">
      <w:pPr>
        <w:jc w:val="both"/>
        <w:rPr>
          <w:rFonts w:ascii="Palatino Linotype" w:hAnsi="Palatino Linotype"/>
        </w:rPr>
      </w:pPr>
    </w:p>
    <w:p w14:paraId="1F1760F9" w14:textId="77777777" w:rsidR="00C34EFF" w:rsidRPr="009B42EA" w:rsidRDefault="00C34EFF" w:rsidP="00E04342">
      <w:pPr>
        <w:jc w:val="both"/>
        <w:rPr>
          <w:rFonts w:ascii="Palatino Linotype" w:hAnsi="Palatino Linotype"/>
        </w:rPr>
      </w:pPr>
    </w:p>
    <w:p w14:paraId="5EEFE056" w14:textId="77777777" w:rsidR="00C34EFF" w:rsidRPr="009B42EA" w:rsidRDefault="00C34EFF" w:rsidP="00E04342">
      <w:pPr>
        <w:jc w:val="both"/>
        <w:rPr>
          <w:rFonts w:ascii="Palatino Linotype" w:hAnsi="Palatino Linotype"/>
        </w:rPr>
      </w:pPr>
    </w:p>
    <w:p w14:paraId="337E1FB4" w14:textId="77777777" w:rsidR="00C34EFF" w:rsidRPr="009B42EA" w:rsidRDefault="00C34EFF" w:rsidP="00E04342">
      <w:pPr>
        <w:jc w:val="both"/>
        <w:rPr>
          <w:rFonts w:ascii="Palatino Linotype" w:hAnsi="Palatino Linotype"/>
        </w:rPr>
      </w:pPr>
    </w:p>
    <w:p w14:paraId="08931BC7" w14:textId="77777777" w:rsidR="00C34EFF" w:rsidRPr="009B42EA" w:rsidRDefault="00C34EFF" w:rsidP="00E04342">
      <w:pPr>
        <w:jc w:val="both"/>
        <w:rPr>
          <w:rFonts w:ascii="Palatino Linotype" w:hAnsi="Palatino Linotype"/>
        </w:rPr>
      </w:pPr>
    </w:p>
    <w:p w14:paraId="0E9D5D8A" w14:textId="77777777" w:rsidR="00C34EFF" w:rsidRPr="009B42EA" w:rsidRDefault="00C34EFF" w:rsidP="00E04342">
      <w:pPr>
        <w:jc w:val="both"/>
        <w:rPr>
          <w:rFonts w:ascii="Palatino Linotype" w:hAnsi="Palatino Linotype"/>
        </w:rPr>
      </w:pPr>
    </w:p>
    <w:p w14:paraId="461A2C1B" w14:textId="77777777" w:rsidR="00C34EFF" w:rsidRPr="009B42EA" w:rsidRDefault="00C34EFF" w:rsidP="00E04342">
      <w:pPr>
        <w:jc w:val="both"/>
        <w:rPr>
          <w:rFonts w:ascii="Palatino Linotype" w:hAnsi="Palatino Linotype"/>
        </w:rPr>
      </w:pPr>
    </w:p>
    <w:p w14:paraId="751AF1C1" w14:textId="77777777" w:rsidR="00C34EFF" w:rsidRPr="009B42EA" w:rsidRDefault="00C34EFF" w:rsidP="00E04342">
      <w:pPr>
        <w:jc w:val="both"/>
        <w:rPr>
          <w:rFonts w:ascii="Palatino Linotype" w:hAnsi="Palatino Linotype"/>
        </w:rPr>
      </w:pPr>
    </w:p>
    <w:p w14:paraId="25B9732C" w14:textId="77777777" w:rsidR="00C34EFF" w:rsidRPr="009B42EA" w:rsidRDefault="00C34EFF" w:rsidP="00E04342">
      <w:pPr>
        <w:jc w:val="both"/>
        <w:rPr>
          <w:rFonts w:ascii="Palatino Linotype" w:hAnsi="Palatino Linotype"/>
        </w:rPr>
      </w:pPr>
    </w:p>
    <w:p w14:paraId="568434C7" w14:textId="77777777" w:rsidR="00C34EFF" w:rsidRPr="009B42EA" w:rsidRDefault="00C34EFF" w:rsidP="00E04342">
      <w:pPr>
        <w:jc w:val="both"/>
        <w:rPr>
          <w:rFonts w:ascii="Palatino Linotype" w:hAnsi="Palatino Linotype"/>
        </w:rPr>
      </w:pPr>
    </w:p>
    <w:p w14:paraId="21F413A6" w14:textId="77777777" w:rsidR="00F803EF" w:rsidRPr="009B42EA" w:rsidRDefault="00F803EF" w:rsidP="00E04342">
      <w:pPr>
        <w:jc w:val="both"/>
        <w:rPr>
          <w:rFonts w:ascii="Palatino Linotype" w:hAnsi="Palatino Linotype"/>
        </w:rPr>
      </w:pPr>
    </w:p>
    <w:sectPr w:rsidR="00F803EF" w:rsidRPr="009B42EA" w:rsidSect="006957B1">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1CE324" w14:textId="77777777" w:rsidR="00C44E23" w:rsidRDefault="00C44E23" w:rsidP="00C80F8C">
      <w:r>
        <w:separator/>
      </w:r>
    </w:p>
  </w:endnote>
  <w:endnote w:type="continuationSeparator" w:id="0">
    <w:p w14:paraId="292CB451" w14:textId="77777777" w:rsidR="00C44E23" w:rsidRDefault="00C44E2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pitch w:val="variable"/>
    <w:sig w:usb0="E0002AFF" w:usb1="C0007843" w:usb2="00000009" w:usb3="00000000" w:csb0="000001FF" w:csb1="00000000"/>
  </w:font>
  <w:font w:name="palatino">
    <w:altName w:val="Book Antiqua"/>
    <w:panose1 w:val="00000000000000000000"/>
    <w:charset w:val="00"/>
    <w:family w:val="roman"/>
    <w:notTrueType/>
    <w:pitch w:val="default"/>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708E" w14:textId="26F3E1D2" w:rsidR="00067C7D" w:rsidRPr="0010196A" w:rsidRDefault="00067C7D"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24981">
      <w:rPr>
        <w:rFonts w:ascii="Palatino Linotype" w:hAnsi="Palatino Linotype" w:cs="Arial"/>
        <w:bCs/>
        <w:noProof/>
        <w:sz w:val="22"/>
        <w:szCs w:val="22"/>
      </w:rPr>
      <w:t>30</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24981">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87D5B" w14:textId="4B31D2AF" w:rsidR="00067C7D" w:rsidRPr="0010196A" w:rsidRDefault="00067C7D"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124981">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124981">
      <w:rPr>
        <w:rFonts w:ascii="Palatino Linotype" w:hAnsi="Palatino Linotype" w:cs="Arial"/>
        <w:bCs/>
        <w:noProof/>
        <w:sz w:val="22"/>
        <w:szCs w:val="22"/>
      </w:rPr>
      <w:t>31</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1F41B" w14:textId="77777777" w:rsidR="00C44E23" w:rsidRDefault="00C44E23" w:rsidP="00C80F8C">
      <w:r>
        <w:separator/>
      </w:r>
    </w:p>
  </w:footnote>
  <w:footnote w:type="continuationSeparator" w:id="0">
    <w:p w14:paraId="2A3AF253" w14:textId="77777777" w:rsidR="00C44E23" w:rsidRDefault="00C44E23" w:rsidP="00C80F8C">
      <w:r>
        <w:continuationSeparator/>
      </w:r>
    </w:p>
  </w:footnote>
  <w:footnote w:id="1">
    <w:p w14:paraId="2A298F0B" w14:textId="77777777" w:rsidR="00A22477" w:rsidRDefault="00A22477" w:rsidP="00A22477">
      <w:pPr>
        <w:pStyle w:val="Textonotapie"/>
        <w:rPr>
          <w:rFonts w:ascii="Palatino Linotype" w:hAnsi="Palatino Linotype"/>
          <w:i/>
        </w:rPr>
      </w:pPr>
      <w:r>
        <w:rPr>
          <w:rStyle w:val="Refdenotaalpie"/>
        </w:rPr>
        <w:footnoteRef/>
      </w:r>
      <w:r>
        <w:t xml:space="preserve"> </w:t>
      </w:r>
      <w:r w:rsidRPr="00A22477">
        <w:rPr>
          <w:rFonts w:ascii="Palatino Linotype" w:hAnsi="Palatino Linotype"/>
          <w:b/>
          <w:i/>
        </w:rPr>
        <w:t>Artículo 23.</w:t>
      </w:r>
      <w:r w:rsidRPr="00A22477">
        <w:rPr>
          <w:rFonts w:ascii="Palatino Linotype" w:hAnsi="Palatino Linotype"/>
          <w:i/>
        </w:rPr>
        <w:t xml:space="preserve"> La parte interesada deberá presentar su reclamación de indemnización por escrito ante la entidad pública presuntamente responsable, en términos de lo previsto en esta Ley. </w:t>
      </w:r>
    </w:p>
    <w:p w14:paraId="4EB23D35" w14:textId="77777777" w:rsidR="00A22477" w:rsidRPr="00A22477" w:rsidRDefault="00A22477" w:rsidP="00A22477">
      <w:pPr>
        <w:pStyle w:val="Textonotapie"/>
        <w:rPr>
          <w:rFonts w:ascii="Palatino Linotype" w:hAnsi="Palatino Linotype"/>
          <w:i/>
        </w:rPr>
      </w:pPr>
    </w:p>
    <w:p w14:paraId="518DFFEC" w14:textId="17616E31" w:rsidR="00A22477" w:rsidRDefault="00A22477" w:rsidP="00A22477">
      <w:pPr>
        <w:pStyle w:val="Textonotapie"/>
      </w:pPr>
      <w:r w:rsidRPr="00A22477">
        <w:rPr>
          <w:rFonts w:ascii="Palatino Linotype" w:hAnsi="Palatino Linotype"/>
          <w:i/>
        </w:rPr>
        <w:t>No se dará inicio a la reclamación presentada si se encontrare pendiente alguno de los procedimientos por los que el particular haya impugnado el acto de autoridad que se reputa como dañoso, continuándose con su tramitación hasta en tanto en dichos procedimientos se haya dictado una resolución ejecutoriada.</w:t>
      </w:r>
    </w:p>
  </w:footnote>
  <w:footnote w:id="2">
    <w:p w14:paraId="44A45323" w14:textId="2A64E820" w:rsidR="00DC4C51" w:rsidRDefault="00DC4C51" w:rsidP="00DC4C51">
      <w:pPr>
        <w:pStyle w:val="Textonotapie"/>
        <w:jc w:val="both"/>
      </w:pPr>
      <w:r>
        <w:rPr>
          <w:rStyle w:val="Refdenotaalpie"/>
        </w:rPr>
        <w:footnoteRef/>
      </w:r>
      <w:r>
        <w:t xml:space="preserve"> </w:t>
      </w:r>
      <w:r w:rsidRPr="00DC4C51">
        <w:rPr>
          <w:rFonts w:ascii="Palatino Linotype" w:hAnsi="Palatino Linotype"/>
          <w:i/>
        </w:rPr>
        <w:t>VIII. Unidad Administrativa Habilitada: Al área definida por cada Sujeto Obligado dentro de su estructura interna para llevar a cabo el ejercicio de las atribuciones contenidas en la Ley y el presente Reglamento, así como conocer, sustanciar y resolver las reclamaciones de indemnización por responsabilidad patrimonial.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FB900" w14:textId="424AEA1D" w:rsidR="00905693" w:rsidRDefault="00383479">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E4C575" w14:textId="6D323160" w:rsidR="00067C7D" w:rsidRPr="0010196A" w:rsidRDefault="00383479"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399D21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905693" w:rsidRPr="008F2CCC" w14:paraId="1F097D8A" w14:textId="77777777" w:rsidTr="00625FD4">
      <w:tc>
        <w:tcPr>
          <w:tcW w:w="3261" w:type="dxa"/>
          <w:vMerge w:val="restart"/>
        </w:tcPr>
        <w:p w14:paraId="1F780A0C" w14:textId="1EFF25F4" w:rsidR="00905693" w:rsidRPr="008F2CCC" w:rsidRDefault="00905693"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5B26419A" w14:textId="77777777" w:rsidR="00905693" w:rsidRPr="00664658" w:rsidRDefault="00905693"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65AFA994" w14:textId="43625CAF" w:rsidR="00905693" w:rsidRPr="00664658" w:rsidRDefault="00951D94" w:rsidP="00C34EFF">
          <w:pPr>
            <w:jc w:val="both"/>
            <w:rPr>
              <w:rFonts w:ascii="Palatino Linotype" w:hAnsi="Palatino Linotype"/>
              <w:b/>
              <w:sz w:val="22"/>
              <w:szCs w:val="22"/>
              <w:lang w:val="es-ES_tradnl"/>
            </w:rPr>
          </w:pPr>
          <w:r>
            <w:rPr>
              <w:rFonts w:ascii="Palatino Linotype" w:hAnsi="Palatino Linotype"/>
              <w:b/>
              <w:sz w:val="22"/>
              <w:szCs w:val="22"/>
              <w:lang w:val="es-ES_tradnl"/>
            </w:rPr>
            <w:t>0</w:t>
          </w:r>
          <w:r w:rsidR="0026032A">
            <w:rPr>
              <w:rFonts w:ascii="Palatino Linotype" w:hAnsi="Palatino Linotype"/>
              <w:b/>
              <w:sz w:val="22"/>
              <w:szCs w:val="22"/>
              <w:lang w:val="es-ES_tradnl"/>
            </w:rPr>
            <w:t>0872</w:t>
          </w:r>
          <w:r w:rsidR="00905693" w:rsidRPr="00E6045D">
            <w:rPr>
              <w:rFonts w:ascii="Palatino Linotype" w:hAnsi="Palatino Linotype"/>
              <w:b/>
              <w:sz w:val="22"/>
              <w:szCs w:val="22"/>
              <w:lang w:val="es-ES_tradnl"/>
            </w:rPr>
            <w:t>/INFOEM/IP/RR/20</w:t>
          </w:r>
          <w:r w:rsidR="00F803EF">
            <w:rPr>
              <w:rFonts w:ascii="Palatino Linotype" w:hAnsi="Palatino Linotype"/>
              <w:b/>
              <w:sz w:val="22"/>
              <w:szCs w:val="22"/>
              <w:lang w:val="es-ES_tradnl"/>
            </w:rPr>
            <w:t>2</w:t>
          </w:r>
          <w:r w:rsidR="008F305D">
            <w:rPr>
              <w:rFonts w:ascii="Palatino Linotype" w:hAnsi="Palatino Linotype"/>
              <w:b/>
              <w:sz w:val="22"/>
              <w:szCs w:val="22"/>
              <w:lang w:val="es-ES_tradnl"/>
            </w:rPr>
            <w:t>2</w:t>
          </w:r>
        </w:p>
      </w:tc>
    </w:tr>
    <w:tr w:rsidR="00905693" w:rsidRPr="008F2CCC" w14:paraId="049677A3" w14:textId="77777777" w:rsidTr="00625FD4">
      <w:tc>
        <w:tcPr>
          <w:tcW w:w="3261" w:type="dxa"/>
          <w:vMerge/>
        </w:tcPr>
        <w:p w14:paraId="4A21EAC1" w14:textId="5C1F145E" w:rsidR="00905693" w:rsidRPr="008F2CCC" w:rsidRDefault="00905693" w:rsidP="00D41D47">
          <w:pPr>
            <w:rPr>
              <w:rFonts w:ascii="Palatino Linotype" w:hAnsi="Palatino Linotype"/>
              <w:b/>
              <w:sz w:val="22"/>
              <w:szCs w:val="22"/>
              <w:lang w:val="es-ES_tradnl"/>
            </w:rPr>
          </w:pPr>
        </w:p>
      </w:tc>
      <w:tc>
        <w:tcPr>
          <w:tcW w:w="2551" w:type="dxa"/>
          <w:shd w:val="clear" w:color="auto" w:fill="auto"/>
        </w:tcPr>
        <w:p w14:paraId="1237BCDE" w14:textId="77777777" w:rsidR="00905693" w:rsidRPr="00664658" w:rsidRDefault="00905693"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7F554073" w14:textId="5C675E82" w:rsidR="00905693" w:rsidRPr="00D41D47" w:rsidRDefault="0026032A" w:rsidP="0026032A">
          <w:pPr>
            <w:jc w:val="both"/>
            <w:rPr>
              <w:rFonts w:ascii="Palatino Linotype" w:hAnsi="Palatino Linotype"/>
              <w:b/>
              <w:sz w:val="22"/>
              <w:szCs w:val="22"/>
              <w:lang w:val="es-ES_tradnl"/>
            </w:rPr>
          </w:pPr>
          <w:r w:rsidRPr="0026032A">
            <w:rPr>
              <w:rFonts w:ascii="Palatino Linotype" w:hAnsi="Palatino Linotype"/>
              <w:b/>
              <w:bCs/>
              <w:sz w:val="22"/>
              <w:szCs w:val="22"/>
            </w:rPr>
            <w:t>Secretaría de Seguridad</w:t>
          </w:r>
        </w:p>
      </w:tc>
    </w:tr>
    <w:tr w:rsidR="00905693" w:rsidRPr="008F2CCC" w14:paraId="72CD087D" w14:textId="77777777" w:rsidTr="00625FD4">
      <w:trPr>
        <w:trHeight w:val="228"/>
      </w:trPr>
      <w:tc>
        <w:tcPr>
          <w:tcW w:w="3261" w:type="dxa"/>
          <w:vMerge/>
        </w:tcPr>
        <w:p w14:paraId="1B78656F" w14:textId="01E6F6F6" w:rsidR="00905693" w:rsidRPr="008F2CCC" w:rsidRDefault="00905693" w:rsidP="00070856">
          <w:pPr>
            <w:rPr>
              <w:rFonts w:ascii="Palatino Linotype" w:hAnsi="Palatino Linotype"/>
              <w:b/>
              <w:sz w:val="22"/>
              <w:szCs w:val="22"/>
              <w:lang w:val="es-ES_tradnl"/>
            </w:rPr>
          </w:pPr>
        </w:p>
      </w:tc>
      <w:tc>
        <w:tcPr>
          <w:tcW w:w="2551" w:type="dxa"/>
          <w:shd w:val="clear" w:color="auto" w:fill="auto"/>
        </w:tcPr>
        <w:p w14:paraId="74D81628" w14:textId="77777777" w:rsidR="00905693" w:rsidRPr="00664658" w:rsidRDefault="00905693"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20D6FDA3" w14:textId="7A0CE28F" w:rsidR="00905693" w:rsidRPr="00664658" w:rsidRDefault="00F803EF" w:rsidP="00070856">
          <w:pPr>
            <w:jc w:val="both"/>
            <w:rPr>
              <w:rFonts w:ascii="Palatino Linotype" w:hAnsi="Palatino Linotype"/>
              <w:b/>
              <w:sz w:val="22"/>
              <w:szCs w:val="22"/>
              <w:lang w:val="es-ES_tradnl"/>
            </w:rPr>
          </w:pPr>
          <w:r w:rsidRPr="00F803EF">
            <w:rPr>
              <w:rFonts w:ascii="Palatino Linotype" w:hAnsi="Palatino Linotype"/>
              <w:b/>
              <w:sz w:val="22"/>
              <w:szCs w:val="22"/>
              <w:lang w:val="es-ES_tradnl"/>
            </w:rPr>
            <w:t>Sharon Cr</w:t>
          </w:r>
          <w:r>
            <w:rPr>
              <w:rFonts w:ascii="Palatino Linotype" w:hAnsi="Palatino Linotype"/>
              <w:b/>
              <w:sz w:val="22"/>
              <w:szCs w:val="22"/>
              <w:lang w:val="es-ES_tradnl"/>
            </w:rPr>
            <w:t>istina Morales Martínez</w:t>
          </w:r>
        </w:p>
      </w:tc>
    </w:tr>
  </w:tbl>
  <w:p w14:paraId="3ECB9F0B" w14:textId="77777777" w:rsidR="00067C7D" w:rsidRPr="0010196A" w:rsidRDefault="00067C7D"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E5BC5" w14:textId="0DEDC0D2" w:rsidR="00067C7D" w:rsidRPr="0010196A" w:rsidRDefault="00383479">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2" type="#_x0000_t75" style="position:absolute;margin-left:0;margin-top:0;width:540pt;height:10in;z-index:-251658240;mso-position-horizontal:center;mso-position-horizontal-relative:margin;mso-position-vertical:center;mso-position-vertical-relative:margin" o:allowincell="f">
          <v:imagedata r:id="rId1" o:title="RESOLUCIÓN"/>
          <w10:wrap anchorx="margin" anchory="margin"/>
        </v:shape>
      </w:pict>
    </w:r>
  </w:p>
  <w:tbl>
    <w:tblPr>
      <w:tblW w:w="10490" w:type="dxa"/>
      <w:tblInd w:w="-1276" w:type="dxa"/>
      <w:tblLayout w:type="fixed"/>
      <w:tblLook w:val="04A0" w:firstRow="1" w:lastRow="0" w:firstColumn="1" w:lastColumn="0" w:noHBand="0" w:noVBand="1"/>
    </w:tblPr>
    <w:tblGrid>
      <w:gridCol w:w="4253"/>
      <w:gridCol w:w="2552"/>
      <w:gridCol w:w="3685"/>
    </w:tblGrid>
    <w:tr w:rsidR="00067C7D" w:rsidRPr="008F2CCC" w14:paraId="6ABABA57" w14:textId="77777777" w:rsidTr="00905693">
      <w:tc>
        <w:tcPr>
          <w:tcW w:w="4253" w:type="dxa"/>
          <w:vMerge w:val="restart"/>
          <w:shd w:val="clear" w:color="auto" w:fill="auto"/>
        </w:tcPr>
        <w:p w14:paraId="6AA376CC" w14:textId="1234161B" w:rsidR="00067C7D" w:rsidRPr="008F2CCC" w:rsidRDefault="00905693" w:rsidP="00FA055E">
          <w:pPr>
            <w:jc w:val="cente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1C114EF9" w14:textId="77777777" w:rsidR="00067C7D" w:rsidRPr="008F2CCC" w:rsidRDefault="00067C7D"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5F0F5848" w14:textId="4645CA2D" w:rsidR="00067C7D" w:rsidRPr="008F2CCC" w:rsidRDefault="00AF0B30" w:rsidP="00C34EFF">
          <w:pPr>
            <w:jc w:val="both"/>
            <w:rPr>
              <w:rFonts w:ascii="Palatino Linotype" w:hAnsi="Palatino Linotype"/>
              <w:b/>
              <w:sz w:val="22"/>
              <w:szCs w:val="22"/>
              <w:lang w:val="es-ES_tradnl"/>
            </w:rPr>
          </w:pPr>
          <w:r>
            <w:rPr>
              <w:rFonts w:ascii="Palatino Linotype" w:hAnsi="Palatino Linotype"/>
              <w:b/>
              <w:sz w:val="22"/>
              <w:szCs w:val="22"/>
              <w:lang w:val="es-ES_tradnl"/>
            </w:rPr>
            <w:t>0</w:t>
          </w:r>
          <w:r w:rsidR="0026032A">
            <w:rPr>
              <w:rFonts w:ascii="Palatino Linotype" w:hAnsi="Palatino Linotype"/>
              <w:b/>
              <w:sz w:val="22"/>
              <w:szCs w:val="22"/>
              <w:lang w:val="es-ES_tradnl"/>
            </w:rPr>
            <w:t>0872</w:t>
          </w:r>
          <w:r w:rsidR="00F803EF">
            <w:rPr>
              <w:rFonts w:ascii="Palatino Linotype" w:hAnsi="Palatino Linotype"/>
              <w:b/>
              <w:sz w:val="22"/>
              <w:szCs w:val="22"/>
              <w:lang w:val="es-ES_tradnl"/>
            </w:rPr>
            <w:t>/INFOEM/IP/RR/202</w:t>
          </w:r>
          <w:r w:rsidR="00E768F4">
            <w:rPr>
              <w:rFonts w:ascii="Palatino Linotype" w:hAnsi="Palatino Linotype"/>
              <w:b/>
              <w:sz w:val="22"/>
              <w:szCs w:val="22"/>
              <w:lang w:val="es-ES_tradnl"/>
            </w:rPr>
            <w:t>2</w:t>
          </w:r>
        </w:p>
      </w:tc>
    </w:tr>
    <w:tr w:rsidR="00067C7D" w:rsidRPr="008F2CCC" w14:paraId="3B45FB53" w14:textId="77777777" w:rsidTr="00905693">
      <w:tc>
        <w:tcPr>
          <w:tcW w:w="4253" w:type="dxa"/>
          <w:vMerge/>
          <w:shd w:val="clear" w:color="auto" w:fill="auto"/>
        </w:tcPr>
        <w:p w14:paraId="188B82EF" w14:textId="77777777" w:rsidR="00067C7D" w:rsidRPr="008F2CCC" w:rsidRDefault="00067C7D" w:rsidP="00A2780F">
          <w:pPr>
            <w:rPr>
              <w:rFonts w:ascii="Palatino Linotype" w:hAnsi="Palatino Linotype"/>
              <w:b/>
              <w:sz w:val="22"/>
              <w:szCs w:val="22"/>
              <w:lang w:val="es-ES_tradnl"/>
            </w:rPr>
          </w:pPr>
        </w:p>
      </w:tc>
      <w:tc>
        <w:tcPr>
          <w:tcW w:w="2552" w:type="dxa"/>
          <w:shd w:val="clear" w:color="auto" w:fill="auto"/>
        </w:tcPr>
        <w:p w14:paraId="3B2AD0CF" w14:textId="77777777" w:rsidR="00067C7D" w:rsidRPr="008F2CCC" w:rsidRDefault="00067C7D"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749961B3" w14:textId="5B44165F" w:rsidR="00067C7D" w:rsidRPr="008F2CCC" w:rsidRDefault="00067C7D" w:rsidP="00495809">
          <w:pPr>
            <w:jc w:val="both"/>
            <w:rPr>
              <w:rFonts w:ascii="Palatino Linotype" w:hAnsi="Palatino Linotype"/>
              <w:b/>
              <w:sz w:val="22"/>
              <w:szCs w:val="22"/>
              <w:lang w:val="es-ES_tradnl"/>
            </w:rPr>
          </w:pPr>
        </w:p>
      </w:tc>
    </w:tr>
    <w:tr w:rsidR="00067C7D" w:rsidRPr="008F2CCC" w14:paraId="28A493EB" w14:textId="77777777" w:rsidTr="00905693">
      <w:trPr>
        <w:trHeight w:val="228"/>
      </w:trPr>
      <w:tc>
        <w:tcPr>
          <w:tcW w:w="4253" w:type="dxa"/>
          <w:vMerge/>
          <w:shd w:val="clear" w:color="auto" w:fill="auto"/>
        </w:tcPr>
        <w:p w14:paraId="06C77D31" w14:textId="77777777" w:rsidR="00067C7D" w:rsidRPr="008F2CCC" w:rsidRDefault="00067C7D" w:rsidP="00E37C88">
          <w:pPr>
            <w:rPr>
              <w:rFonts w:ascii="Palatino Linotype" w:hAnsi="Palatino Linotype"/>
              <w:b/>
              <w:sz w:val="22"/>
              <w:szCs w:val="22"/>
              <w:lang w:val="es-ES_tradnl"/>
            </w:rPr>
          </w:pPr>
        </w:p>
      </w:tc>
      <w:tc>
        <w:tcPr>
          <w:tcW w:w="2552" w:type="dxa"/>
          <w:shd w:val="clear" w:color="auto" w:fill="auto"/>
        </w:tcPr>
        <w:p w14:paraId="2E1A72B4" w14:textId="77777777" w:rsidR="00067C7D" w:rsidRPr="008F2CCC" w:rsidRDefault="00067C7D"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7AF3C2E" w14:textId="53348CE0" w:rsidR="00067C7D" w:rsidRPr="00DC41C8" w:rsidRDefault="0026032A" w:rsidP="0026032A">
          <w:pPr>
            <w:jc w:val="both"/>
            <w:rPr>
              <w:rFonts w:ascii="Palatino Linotype" w:hAnsi="Palatino Linotype"/>
              <w:b/>
              <w:sz w:val="22"/>
              <w:szCs w:val="22"/>
            </w:rPr>
          </w:pPr>
          <w:r w:rsidRPr="0026032A">
            <w:rPr>
              <w:rFonts w:ascii="Palatino Linotype" w:hAnsi="Palatino Linotype"/>
              <w:b/>
              <w:bCs/>
              <w:sz w:val="22"/>
              <w:szCs w:val="22"/>
            </w:rPr>
            <w:t>Secretaría de Seguridad</w:t>
          </w:r>
        </w:p>
      </w:tc>
    </w:tr>
    <w:tr w:rsidR="00067C7D" w:rsidRPr="008F2CCC" w14:paraId="0F114FF0" w14:textId="77777777" w:rsidTr="00905693">
      <w:tc>
        <w:tcPr>
          <w:tcW w:w="4253" w:type="dxa"/>
          <w:vMerge/>
          <w:shd w:val="clear" w:color="auto" w:fill="auto"/>
        </w:tcPr>
        <w:p w14:paraId="4CCB64BA" w14:textId="77777777" w:rsidR="00067C7D" w:rsidRPr="008F2CCC" w:rsidRDefault="00067C7D" w:rsidP="00A2780F">
          <w:pPr>
            <w:rPr>
              <w:rFonts w:ascii="Palatino Linotype" w:hAnsi="Palatino Linotype"/>
              <w:b/>
              <w:sz w:val="22"/>
              <w:szCs w:val="22"/>
              <w:lang w:val="es-ES_tradnl"/>
            </w:rPr>
          </w:pPr>
        </w:p>
      </w:tc>
      <w:tc>
        <w:tcPr>
          <w:tcW w:w="2552" w:type="dxa"/>
          <w:shd w:val="clear" w:color="auto" w:fill="auto"/>
        </w:tcPr>
        <w:p w14:paraId="31E422EA" w14:textId="77777777" w:rsidR="00067C7D" w:rsidRPr="008F2CCC" w:rsidRDefault="00067C7D"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181C41B4" w14:textId="1F7640B0" w:rsidR="00067C7D" w:rsidRPr="008F2CCC" w:rsidRDefault="00F803EF" w:rsidP="003C718E">
          <w:pPr>
            <w:jc w:val="both"/>
            <w:rPr>
              <w:rFonts w:ascii="Palatino Linotype" w:hAnsi="Palatino Linotype"/>
              <w:b/>
              <w:sz w:val="22"/>
              <w:szCs w:val="22"/>
              <w:lang w:val="es-ES_tradnl"/>
            </w:rPr>
          </w:pPr>
          <w:r w:rsidRPr="00F803EF">
            <w:rPr>
              <w:rFonts w:ascii="Palatino Linotype" w:hAnsi="Palatino Linotype"/>
              <w:b/>
              <w:sz w:val="22"/>
              <w:szCs w:val="22"/>
              <w:lang w:val="es-ES_tradnl"/>
            </w:rPr>
            <w:t>S</w:t>
          </w:r>
          <w:r>
            <w:rPr>
              <w:rFonts w:ascii="Palatino Linotype" w:hAnsi="Palatino Linotype"/>
              <w:b/>
              <w:sz w:val="22"/>
              <w:szCs w:val="22"/>
              <w:lang w:val="es-ES_tradnl"/>
            </w:rPr>
            <w:t>haron Cristina Morales Martínez</w:t>
          </w:r>
        </w:p>
      </w:tc>
    </w:tr>
  </w:tbl>
  <w:p w14:paraId="263470D9" w14:textId="4A958413" w:rsidR="00067C7D" w:rsidRPr="0010196A" w:rsidRDefault="00067C7D" w:rsidP="00B8513C">
    <w:pPr>
      <w:rPr>
        <w:rFonts w:ascii="Palatino Linotype" w:hAnsi="Palatino Linotype"/>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60F0F"/>
    <w:multiLevelType w:val="hybridMultilevel"/>
    <w:tmpl w:val="CBB6AD42"/>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5E6787F"/>
    <w:multiLevelType w:val="hybridMultilevel"/>
    <w:tmpl w:val="F1CA6596"/>
    <w:styleLink w:val="Estiloimportado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F525A0"/>
    <w:multiLevelType w:val="hybridMultilevel"/>
    <w:tmpl w:val="0CA21B9E"/>
    <w:styleLink w:val="Estiloimportado14"/>
    <w:lvl w:ilvl="0" w:tplc="20EED11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02E6FD4"/>
    <w:multiLevelType w:val="hybridMultilevel"/>
    <w:tmpl w:val="E758A8AC"/>
    <w:styleLink w:val="Estiloimportado11"/>
    <w:lvl w:ilvl="0" w:tplc="67CA3ECE">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5" w15:restartNumberingAfterBreak="0">
    <w:nsid w:val="1E4F7C66"/>
    <w:multiLevelType w:val="hybridMultilevel"/>
    <w:tmpl w:val="50A683A4"/>
    <w:styleLink w:val="Estiloimportado2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01339B5"/>
    <w:multiLevelType w:val="hybridMultilevel"/>
    <w:tmpl w:val="EEF2497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15:restartNumberingAfterBreak="0">
    <w:nsid w:val="248B1095"/>
    <w:multiLevelType w:val="hybridMultilevel"/>
    <w:tmpl w:val="9C9C7F10"/>
    <w:styleLink w:val="Estiloimportado21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9" w15:restartNumberingAfterBreak="0">
    <w:nsid w:val="2E360DEA"/>
    <w:multiLevelType w:val="hybridMultilevel"/>
    <w:tmpl w:val="005AFEE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7F02BED"/>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9BD3CCA"/>
    <w:multiLevelType w:val="hybridMultilevel"/>
    <w:tmpl w:val="9F6A211E"/>
    <w:styleLink w:val="Estiloimportado2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AFA4AF7"/>
    <w:multiLevelType w:val="hybridMultilevel"/>
    <w:tmpl w:val="1092FE5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3FCF25E3"/>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1663AE0"/>
    <w:multiLevelType w:val="hybridMultilevel"/>
    <w:tmpl w:val="441408EA"/>
    <w:lvl w:ilvl="0" w:tplc="A75606D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6E27EB9"/>
    <w:multiLevelType w:val="hybridMultilevel"/>
    <w:tmpl w:val="8642F780"/>
    <w:styleLink w:val="Estiloimportado211"/>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4DB61B5"/>
    <w:multiLevelType w:val="hybridMultilevel"/>
    <w:tmpl w:val="827EAA30"/>
    <w:lvl w:ilvl="0" w:tplc="6FFCACB2">
      <w:start w:val="1"/>
      <w:numFmt w:val="upperRoman"/>
      <w:lvlText w:val="%1."/>
      <w:lvlJc w:val="left"/>
      <w:pPr>
        <w:ind w:left="1080" w:hanging="720"/>
      </w:pPr>
      <w:rPr>
        <w:rFonts w:hint="default"/>
        <w:b/>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EA328B1"/>
    <w:multiLevelType w:val="hybridMultilevel"/>
    <w:tmpl w:val="A8FA19D4"/>
    <w:styleLink w:val="Estiloimportado112"/>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FD17A3C"/>
    <w:multiLevelType w:val="hybridMultilevel"/>
    <w:tmpl w:val="76424F7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18122CB"/>
    <w:multiLevelType w:val="hybridMultilevel"/>
    <w:tmpl w:val="8E3C067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9795EEB"/>
    <w:multiLevelType w:val="hybridMultilevel"/>
    <w:tmpl w:val="A24CE4F8"/>
    <w:lvl w:ilvl="0" w:tplc="B7D05B14">
      <w:start w:val="1"/>
      <w:numFmt w:val="ordinalText"/>
      <w:lvlText w:val="%1."/>
      <w:lvlJc w:val="left"/>
      <w:pPr>
        <w:ind w:left="36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914004709">
    <w:abstractNumId w:val="10"/>
  </w:num>
  <w:num w:numId="2" w16cid:durableId="565183644">
    <w:abstractNumId w:val="6"/>
  </w:num>
  <w:num w:numId="3" w16cid:durableId="521208908">
    <w:abstractNumId w:val="4"/>
  </w:num>
  <w:num w:numId="4" w16cid:durableId="1898470958">
    <w:abstractNumId w:val="17"/>
  </w:num>
  <w:num w:numId="5" w16cid:durableId="13359608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12093475">
    <w:abstractNumId w:val="3"/>
  </w:num>
  <w:num w:numId="7" w16cid:durableId="772819889">
    <w:abstractNumId w:val="22"/>
  </w:num>
  <w:num w:numId="8" w16cid:durableId="868176453">
    <w:abstractNumId w:val="5"/>
  </w:num>
  <w:num w:numId="9" w16cid:durableId="193274703">
    <w:abstractNumId w:val="1"/>
  </w:num>
  <w:num w:numId="10" w16cid:durableId="786462158">
    <w:abstractNumId w:val="8"/>
  </w:num>
  <w:num w:numId="11" w16cid:durableId="1525946964">
    <w:abstractNumId w:val="19"/>
  </w:num>
  <w:num w:numId="12" w16cid:durableId="525405365">
    <w:abstractNumId w:val="12"/>
  </w:num>
  <w:num w:numId="13" w16cid:durableId="542206779">
    <w:abstractNumId w:val="2"/>
  </w:num>
  <w:num w:numId="14" w16cid:durableId="2111654441">
    <w:abstractNumId w:val="13"/>
  </w:num>
  <w:num w:numId="15" w16cid:durableId="1675718769">
    <w:abstractNumId w:val="11"/>
  </w:num>
  <w:num w:numId="16" w16cid:durableId="581643337">
    <w:abstractNumId w:val="20"/>
  </w:num>
  <w:num w:numId="17" w16cid:durableId="87426977">
    <w:abstractNumId w:val="21"/>
  </w:num>
  <w:num w:numId="18" w16cid:durableId="1016270638">
    <w:abstractNumId w:val="0"/>
  </w:num>
  <w:num w:numId="19" w16cid:durableId="231821372">
    <w:abstractNumId w:val="7"/>
  </w:num>
  <w:num w:numId="20" w16cid:durableId="1129082479">
    <w:abstractNumId w:val="9"/>
  </w:num>
  <w:num w:numId="21" w16cid:durableId="1866743941">
    <w:abstractNumId w:val="15"/>
  </w:num>
  <w:num w:numId="22" w16cid:durableId="1124034728">
    <w:abstractNumId w:val="18"/>
  </w:num>
  <w:num w:numId="23" w16cid:durableId="628557109">
    <w:abstractNumId w:val="1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AR"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AR" w:vendorID="64" w:dllVersion="0" w:nlCheck="1" w:checkStyle="0"/>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3023"/>
    <w:rsid w:val="00013986"/>
    <w:rsid w:val="00013EBF"/>
    <w:rsid w:val="000142C0"/>
    <w:rsid w:val="00014E91"/>
    <w:rsid w:val="00015DDC"/>
    <w:rsid w:val="000160C6"/>
    <w:rsid w:val="00016A2B"/>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5676"/>
    <w:rsid w:val="00035CDF"/>
    <w:rsid w:val="00036439"/>
    <w:rsid w:val="00036B1A"/>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3AD"/>
    <w:rsid w:val="00057476"/>
    <w:rsid w:val="00057716"/>
    <w:rsid w:val="00057C91"/>
    <w:rsid w:val="000606B4"/>
    <w:rsid w:val="000613E3"/>
    <w:rsid w:val="000618EE"/>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90C"/>
    <w:rsid w:val="00065B50"/>
    <w:rsid w:val="00066A54"/>
    <w:rsid w:val="00066B22"/>
    <w:rsid w:val="00066D71"/>
    <w:rsid w:val="00067C7D"/>
    <w:rsid w:val="00070856"/>
    <w:rsid w:val="00071FC4"/>
    <w:rsid w:val="000725D3"/>
    <w:rsid w:val="0007261F"/>
    <w:rsid w:val="000728B7"/>
    <w:rsid w:val="00072954"/>
    <w:rsid w:val="00072CB3"/>
    <w:rsid w:val="00072F99"/>
    <w:rsid w:val="0007327E"/>
    <w:rsid w:val="000734E9"/>
    <w:rsid w:val="0007367D"/>
    <w:rsid w:val="00073A2F"/>
    <w:rsid w:val="0007436D"/>
    <w:rsid w:val="00074CF8"/>
    <w:rsid w:val="00075283"/>
    <w:rsid w:val="00075615"/>
    <w:rsid w:val="00075EA3"/>
    <w:rsid w:val="00077AC1"/>
    <w:rsid w:val="00077B79"/>
    <w:rsid w:val="00077BB8"/>
    <w:rsid w:val="00077BC0"/>
    <w:rsid w:val="00077DA4"/>
    <w:rsid w:val="0008043B"/>
    <w:rsid w:val="00081225"/>
    <w:rsid w:val="0008139C"/>
    <w:rsid w:val="00081B66"/>
    <w:rsid w:val="0008338D"/>
    <w:rsid w:val="00084079"/>
    <w:rsid w:val="0008420F"/>
    <w:rsid w:val="000847B2"/>
    <w:rsid w:val="00085229"/>
    <w:rsid w:val="0008542A"/>
    <w:rsid w:val="00085585"/>
    <w:rsid w:val="00085973"/>
    <w:rsid w:val="000861FF"/>
    <w:rsid w:val="0008668D"/>
    <w:rsid w:val="00086980"/>
    <w:rsid w:val="0008710F"/>
    <w:rsid w:val="00087D47"/>
    <w:rsid w:val="00090C67"/>
    <w:rsid w:val="00090CC8"/>
    <w:rsid w:val="000922B0"/>
    <w:rsid w:val="00092385"/>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0C7C"/>
    <w:rsid w:val="000A1149"/>
    <w:rsid w:val="000A1549"/>
    <w:rsid w:val="000A2B2B"/>
    <w:rsid w:val="000A2E1A"/>
    <w:rsid w:val="000A3399"/>
    <w:rsid w:val="000A3D63"/>
    <w:rsid w:val="000A3DBC"/>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20AC"/>
    <w:rsid w:val="000B2F55"/>
    <w:rsid w:val="000B3DC6"/>
    <w:rsid w:val="000B3EF0"/>
    <w:rsid w:val="000B3FFD"/>
    <w:rsid w:val="000B4067"/>
    <w:rsid w:val="000B432B"/>
    <w:rsid w:val="000B4DAB"/>
    <w:rsid w:val="000B5041"/>
    <w:rsid w:val="000B5051"/>
    <w:rsid w:val="000B5A14"/>
    <w:rsid w:val="000B61F5"/>
    <w:rsid w:val="000B633D"/>
    <w:rsid w:val="000B6507"/>
    <w:rsid w:val="000B666B"/>
    <w:rsid w:val="000B676D"/>
    <w:rsid w:val="000B68DF"/>
    <w:rsid w:val="000B7784"/>
    <w:rsid w:val="000C0462"/>
    <w:rsid w:val="000C0695"/>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17F"/>
    <w:rsid w:val="000C6222"/>
    <w:rsid w:val="000C69D0"/>
    <w:rsid w:val="000C6AF9"/>
    <w:rsid w:val="000C774E"/>
    <w:rsid w:val="000C7771"/>
    <w:rsid w:val="000C7AF9"/>
    <w:rsid w:val="000C7D67"/>
    <w:rsid w:val="000C7F3D"/>
    <w:rsid w:val="000D075B"/>
    <w:rsid w:val="000D1A6F"/>
    <w:rsid w:val="000D1B2D"/>
    <w:rsid w:val="000D21C4"/>
    <w:rsid w:val="000D2BC0"/>
    <w:rsid w:val="000D2F50"/>
    <w:rsid w:val="000D3E87"/>
    <w:rsid w:val="000D447F"/>
    <w:rsid w:val="000D5436"/>
    <w:rsid w:val="000D58EC"/>
    <w:rsid w:val="000D5D68"/>
    <w:rsid w:val="000D6ADD"/>
    <w:rsid w:val="000D6BA3"/>
    <w:rsid w:val="000D72D0"/>
    <w:rsid w:val="000D75A0"/>
    <w:rsid w:val="000E06D1"/>
    <w:rsid w:val="000E07B7"/>
    <w:rsid w:val="000E0B02"/>
    <w:rsid w:val="000E0D35"/>
    <w:rsid w:val="000E100D"/>
    <w:rsid w:val="000E1C5E"/>
    <w:rsid w:val="000E1C6A"/>
    <w:rsid w:val="000E255A"/>
    <w:rsid w:val="000E38D1"/>
    <w:rsid w:val="000E46D9"/>
    <w:rsid w:val="000E558F"/>
    <w:rsid w:val="000E5592"/>
    <w:rsid w:val="000E5C93"/>
    <w:rsid w:val="000E68DA"/>
    <w:rsid w:val="000E6C51"/>
    <w:rsid w:val="000E7182"/>
    <w:rsid w:val="000E71A3"/>
    <w:rsid w:val="000E72D5"/>
    <w:rsid w:val="000E74AC"/>
    <w:rsid w:val="000F0F1C"/>
    <w:rsid w:val="000F2185"/>
    <w:rsid w:val="000F22FE"/>
    <w:rsid w:val="000F251F"/>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A20"/>
    <w:rsid w:val="00106B41"/>
    <w:rsid w:val="00106FBF"/>
    <w:rsid w:val="00107FBF"/>
    <w:rsid w:val="00111746"/>
    <w:rsid w:val="00111DBB"/>
    <w:rsid w:val="00111F07"/>
    <w:rsid w:val="00112988"/>
    <w:rsid w:val="00113015"/>
    <w:rsid w:val="001131FD"/>
    <w:rsid w:val="00113629"/>
    <w:rsid w:val="001136D3"/>
    <w:rsid w:val="001149CC"/>
    <w:rsid w:val="00114CC0"/>
    <w:rsid w:val="0011502F"/>
    <w:rsid w:val="0011507B"/>
    <w:rsid w:val="00115DB1"/>
    <w:rsid w:val="00115E6B"/>
    <w:rsid w:val="00116272"/>
    <w:rsid w:val="00116376"/>
    <w:rsid w:val="001166AB"/>
    <w:rsid w:val="00116D62"/>
    <w:rsid w:val="00117625"/>
    <w:rsid w:val="00120292"/>
    <w:rsid w:val="0012048A"/>
    <w:rsid w:val="00120ADA"/>
    <w:rsid w:val="00120C4B"/>
    <w:rsid w:val="00120D8D"/>
    <w:rsid w:val="00121773"/>
    <w:rsid w:val="00121BB3"/>
    <w:rsid w:val="00121CB5"/>
    <w:rsid w:val="00121F77"/>
    <w:rsid w:val="00122866"/>
    <w:rsid w:val="00124065"/>
    <w:rsid w:val="00124622"/>
    <w:rsid w:val="001246A7"/>
    <w:rsid w:val="001246D6"/>
    <w:rsid w:val="00124981"/>
    <w:rsid w:val="00124F3F"/>
    <w:rsid w:val="00124F52"/>
    <w:rsid w:val="00125459"/>
    <w:rsid w:val="00125E62"/>
    <w:rsid w:val="0012616B"/>
    <w:rsid w:val="001263AF"/>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13B"/>
    <w:rsid w:val="00135211"/>
    <w:rsid w:val="001358BB"/>
    <w:rsid w:val="0013622C"/>
    <w:rsid w:val="001371A5"/>
    <w:rsid w:val="00137548"/>
    <w:rsid w:val="001376BF"/>
    <w:rsid w:val="001378F0"/>
    <w:rsid w:val="00137AEE"/>
    <w:rsid w:val="00137D02"/>
    <w:rsid w:val="00140252"/>
    <w:rsid w:val="001406EB"/>
    <w:rsid w:val="00140BE0"/>
    <w:rsid w:val="00140FA7"/>
    <w:rsid w:val="00141EE7"/>
    <w:rsid w:val="001425F5"/>
    <w:rsid w:val="001433DD"/>
    <w:rsid w:val="00144BB9"/>
    <w:rsid w:val="0014538F"/>
    <w:rsid w:val="00145F32"/>
    <w:rsid w:val="001460E7"/>
    <w:rsid w:val="00146317"/>
    <w:rsid w:val="00146D8A"/>
    <w:rsid w:val="001471C8"/>
    <w:rsid w:val="0014732A"/>
    <w:rsid w:val="00147FCE"/>
    <w:rsid w:val="00150B44"/>
    <w:rsid w:val="00150BAE"/>
    <w:rsid w:val="00150CF7"/>
    <w:rsid w:val="00151C8C"/>
    <w:rsid w:val="00151EC2"/>
    <w:rsid w:val="00152611"/>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B8D"/>
    <w:rsid w:val="00166410"/>
    <w:rsid w:val="00166D1D"/>
    <w:rsid w:val="00166D6A"/>
    <w:rsid w:val="00166F44"/>
    <w:rsid w:val="00166FF8"/>
    <w:rsid w:val="0016735C"/>
    <w:rsid w:val="00167677"/>
    <w:rsid w:val="00167D9D"/>
    <w:rsid w:val="00170043"/>
    <w:rsid w:val="001701E7"/>
    <w:rsid w:val="00170DE2"/>
    <w:rsid w:val="0017174F"/>
    <w:rsid w:val="00171E23"/>
    <w:rsid w:val="00172612"/>
    <w:rsid w:val="00172EC4"/>
    <w:rsid w:val="001737DF"/>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4684"/>
    <w:rsid w:val="00184A75"/>
    <w:rsid w:val="001854E0"/>
    <w:rsid w:val="00185B0F"/>
    <w:rsid w:val="00185D81"/>
    <w:rsid w:val="00185EEA"/>
    <w:rsid w:val="00186EDD"/>
    <w:rsid w:val="00187106"/>
    <w:rsid w:val="0018725D"/>
    <w:rsid w:val="0018726A"/>
    <w:rsid w:val="00187682"/>
    <w:rsid w:val="001900D7"/>
    <w:rsid w:val="00190687"/>
    <w:rsid w:val="00190BFD"/>
    <w:rsid w:val="0019130A"/>
    <w:rsid w:val="00191B16"/>
    <w:rsid w:val="00192B47"/>
    <w:rsid w:val="0019369B"/>
    <w:rsid w:val="00193D12"/>
    <w:rsid w:val="0019504F"/>
    <w:rsid w:val="00195288"/>
    <w:rsid w:val="0019536A"/>
    <w:rsid w:val="00195609"/>
    <w:rsid w:val="00195662"/>
    <w:rsid w:val="00195F6E"/>
    <w:rsid w:val="001962AC"/>
    <w:rsid w:val="00197E56"/>
    <w:rsid w:val="001A0054"/>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5E8"/>
    <w:rsid w:val="001D5716"/>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F57"/>
    <w:rsid w:val="001F0129"/>
    <w:rsid w:val="001F01FC"/>
    <w:rsid w:val="001F0238"/>
    <w:rsid w:val="001F0CAB"/>
    <w:rsid w:val="001F1EC5"/>
    <w:rsid w:val="001F1F43"/>
    <w:rsid w:val="001F2A8A"/>
    <w:rsid w:val="001F3670"/>
    <w:rsid w:val="001F429F"/>
    <w:rsid w:val="001F4B32"/>
    <w:rsid w:val="001F4BE7"/>
    <w:rsid w:val="001F4EAA"/>
    <w:rsid w:val="001F5124"/>
    <w:rsid w:val="001F5AC5"/>
    <w:rsid w:val="001F5B1C"/>
    <w:rsid w:val="001F6409"/>
    <w:rsid w:val="001F6D6E"/>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E56"/>
    <w:rsid w:val="00204FDF"/>
    <w:rsid w:val="0020533C"/>
    <w:rsid w:val="0020564A"/>
    <w:rsid w:val="00205684"/>
    <w:rsid w:val="00205BDE"/>
    <w:rsid w:val="002064B3"/>
    <w:rsid w:val="00206EF4"/>
    <w:rsid w:val="00210956"/>
    <w:rsid w:val="00210AF1"/>
    <w:rsid w:val="00212797"/>
    <w:rsid w:val="00212AD4"/>
    <w:rsid w:val="00212CDA"/>
    <w:rsid w:val="00212E8D"/>
    <w:rsid w:val="00213125"/>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8CE"/>
    <w:rsid w:val="00222DA0"/>
    <w:rsid w:val="00222E6E"/>
    <w:rsid w:val="00222E7B"/>
    <w:rsid w:val="002235D2"/>
    <w:rsid w:val="00223E52"/>
    <w:rsid w:val="002248D9"/>
    <w:rsid w:val="00224F53"/>
    <w:rsid w:val="0022532E"/>
    <w:rsid w:val="002255E0"/>
    <w:rsid w:val="00225A03"/>
    <w:rsid w:val="00226145"/>
    <w:rsid w:val="00226CD8"/>
    <w:rsid w:val="00227335"/>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C02"/>
    <w:rsid w:val="002413DA"/>
    <w:rsid w:val="00241458"/>
    <w:rsid w:val="00241819"/>
    <w:rsid w:val="002419F3"/>
    <w:rsid w:val="00241C56"/>
    <w:rsid w:val="00242562"/>
    <w:rsid w:val="00242608"/>
    <w:rsid w:val="00242E0D"/>
    <w:rsid w:val="00242F07"/>
    <w:rsid w:val="00244270"/>
    <w:rsid w:val="002453C0"/>
    <w:rsid w:val="0024567F"/>
    <w:rsid w:val="002460C9"/>
    <w:rsid w:val="002460FF"/>
    <w:rsid w:val="002467A3"/>
    <w:rsid w:val="0024682A"/>
    <w:rsid w:val="0024732B"/>
    <w:rsid w:val="002475F7"/>
    <w:rsid w:val="0024785C"/>
    <w:rsid w:val="00247ADF"/>
    <w:rsid w:val="00247FF9"/>
    <w:rsid w:val="00250F99"/>
    <w:rsid w:val="00251009"/>
    <w:rsid w:val="00252AFC"/>
    <w:rsid w:val="002531E4"/>
    <w:rsid w:val="00253DE8"/>
    <w:rsid w:val="00254045"/>
    <w:rsid w:val="0025472A"/>
    <w:rsid w:val="002552B3"/>
    <w:rsid w:val="002556A0"/>
    <w:rsid w:val="002559D5"/>
    <w:rsid w:val="00255F02"/>
    <w:rsid w:val="00256CEB"/>
    <w:rsid w:val="00257594"/>
    <w:rsid w:val="0025785D"/>
    <w:rsid w:val="00257FDC"/>
    <w:rsid w:val="0026032A"/>
    <w:rsid w:val="00260C82"/>
    <w:rsid w:val="002610E1"/>
    <w:rsid w:val="00261AD7"/>
    <w:rsid w:val="00263BFE"/>
    <w:rsid w:val="002653BD"/>
    <w:rsid w:val="00265CEC"/>
    <w:rsid w:val="00265D9D"/>
    <w:rsid w:val="00265F1F"/>
    <w:rsid w:val="002660D2"/>
    <w:rsid w:val="0026648F"/>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FC6"/>
    <w:rsid w:val="002766F9"/>
    <w:rsid w:val="00277316"/>
    <w:rsid w:val="00277453"/>
    <w:rsid w:val="00277DD9"/>
    <w:rsid w:val="0028019C"/>
    <w:rsid w:val="002805A7"/>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F09"/>
    <w:rsid w:val="00297165"/>
    <w:rsid w:val="00297453"/>
    <w:rsid w:val="00297A56"/>
    <w:rsid w:val="002A0A30"/>
    <w:rsid w:val="002A0D34"/>
    <w:rsid w:val="002A0DD8"/>
    <w:rsid w:val="002A1156"/>
    <w:rsid w:val="002A1348"/>
    <w:rsid w:val="002A157A"/>
    <w:rsid w:val="002A16E7"/>
    <w:rsid w:val="002A2814"/>
    <w:rsid w:val="002A3240"/>
    <w:rsid w:val="002A3253"/>
    <w:rsid w:val="002A3ABB"/>
    <w:rsid w:val="002A3B29"/>
    <w:rsid w:val="002A40A0"/>
    <w:rsid w:val="002A462C"/>
    <w:rsid w:val="002A4F20"/>
    <w:rsid w:val="002A4FBB"/>
    <w:rsid w:val="002A5A7C"/>
    <w:rsid w:val="002A5E0D"/>
    <w:rsid w:val="002A616A"/>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C0"/>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1112"/>
    <w:rsid w:val="002E1339"/>
    <w:rsid w:val="002E1819"/>
    <w:rsid w:val="002E1A06"/>
    <w:rsid w:val="002E1BB7"/>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406E"/>
    <w:rsid w:val="00314A51"/>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60B"/>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FCE"/>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77C95"/>
    <w:rsid w:val="003801C2"/>
    <w:rsid w:val="003807A8"/>
    <w:rsid w:val="00380A53"/>
    <w:rsid w:val="003815E1"/>
    <w:rsid w:val="00382831"/>
    <w:rsid w:val="0038294D"/>
    <w:rsid w:val="00382A1D"/>
    <w:rsid w:val="00383479"/>
    <w:rsid w:val="00383658"/>
    <w:rsid w:val="00383839"/>
    <w:rsid w:val="00383898"/>
    <w:rsid w:val="0038391D"/>
    <w:rsid w:val="00383ACB"/>
    <w:rsid w:val="00384274"/>
    <w:rsid w:val="00385020"/>
    <w:rsid w:val="003850EC"/>
    <w:rsid w:val="003852EA"/>
    <w:rsid w:val="0038692F"/>
    <w:rsid w:val="0038708D"/>
    <w:rsid w:val="0038767F"/>
    <w:rsid w:val="003908D3"/>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43B"/>
    <w:rsid w:val="003B4C16"/>
    <w:rsid w:val="003B5491"/>
    <w:rsid w:val="003B5504"/>
    <w:rsid w:val="003B5716"/>
    <w:rsid w:val="003B59E4"/>
    <w:rsid w:val="003B5C9D"/>
    <w:rsid w:val="003B7AA0"/>
    <w:rsid w:val="003C0396"/>
    <w:rsid w:val="003C04E5"/>
    <w:rsid w:val="003C0544"/>
    <w:rsid w:val="003C0C03"/>
    <w:rsid w:val="003C0C4B"/>
    <w:rsid w:val="003C0F0A"/>
    <w:rsid w:val="003C20B9"/>
    <w:rsid w:val="003C22CD"/>
    <w:rsid w:val="003C2568"/>
    <w:rsid w:val="003C3640"/>
    <w:rsid w:val="003C3ACE"/>
    <w:rsid w:val="003C3D09"/>
    <w:rsid w:val="003C492A"/>
    <w:rsid w:val="003C549A"/>
    <w:rsid w:val="003C582F"/>
    <w:rsid w:val="003C5AD5"/>
    <w:rsid w:val="003C5BE8"/>
    <w:rsid w:val="003C5FA2"/>
    <w:rsid w:val="003C653B"/>
    <w:rsid w:val="003C65F0"/>
    <w:rsid w:val="003C687A"/>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4142"/>
    <w:rsid w:val="003D4F06"/>
    <w:rsid w:val="003D53DD"/>
    <w:rsid w:val="003D544E"/>
    <w:rsid w:val="003D5A25"/>
    <w:rsid w:val="003D5BE3"/>
    <w:rsid w:val="003D606B"/>
    <w:rsid w:val="003D63D4"/>
    <w:rsid w:val="003D63E5"/>
    <w:rsid w:val="003D6B0A"/>
    <w:rsid w:val="003D74A1"/>
    <w:rsid w:val="003D7948"/>
    <w:rsid w:val="003E05C7"/>
    <w:rsid w:val="003E0F14"/>
    <w:rsid w:val="003E1926"/>
    <w:rsid w:val="003E22CB"/>
    <w:rsid w:val="003E2402"/>
    <w:rsid w:val="003E2C19"/>
    <w:rsid w:val="003E349B"/>
    <w:rsid w:val="003E3832"/>
    <w:rsid w:val="003E3AFA"/>
    <w:rsid w:val="003E444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BAB"/>
    <w:rsid w:val="003F4DDF"/>
    <w:rsid w:val="003F4F0B"/>
    <w:rsid w:val="003F614E"/>
    <w:rsid w:val="003F623D"/>
    <w:rsid w:val="003F6CF0"/>
    <w:rsid w:val="00400224"/>
    <w:rsid w:val="00400574"/>
    <w:rsid w:val="004005B5"/>
    <w:rsid w:val="0040260F"/>
    <w:rsid w:val="0040268E"/>
    <w:rsid w:val="004027FA"/>
    <w:rsid w:val="00402A09"/>
    <w:rsid w:val="00402D6D"/>
    <w:rsid w:val="00402D8A"/>
    <w:rsid w:val="00402F3F"/>
    <w:rsid w:val="00402FAA"/>
    <w:rsid w:val="0040368C"/>
    <w:rsid w:val="0040454A"/>
    <w:rsid w:val="00404552"/>
    <w:rsid w:val="00404ADC"/>
    <w:rsid w:val="00404E42"/>
    <w:rsid w:val="0040561A"/>
    <w:rsid w:val="004057A1"/>
    <w:rsid w:val="0040599D"/>
    <w:rsid w:val="00405E19"/>
    <w:rsid w:val="00406028"/>
    <w:rsid w:val="0040615F"/>
    <w:rsid w:val="004063BC"/>
    <w:rsid w:val="00406744"/>
    <w:rsid w:val="00406BF2"/>
    <w:rsid w:val="00406EEC"/>
    <w:rsid w:val="00407744"/>
    <w:rsid w:val="004079B2"/>
    <w:rsid w:val="00410ACD"/>
    <w:rsid w:val="00410E81"/>
    <w:rsid w:val="00410F42"/>
    <w:rsid w:val="0041135E"/>
    <w:rsid w:val="0041180C"/>
    <w:rsid w:val="004125C6"/>
    <w:rsid w:val="00412944"/>
    <w:rsid w:val="00412BC2"/>
    <w:rsid w:val="00412D1A"/>
    <w:rsid w:val="004130E0"/>
    <w:rsid w:val="00413DA0"/>
    <w:rsid w:val="004143EC"/>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69DC"/>
    <w:rsid w:val="0043077C"/>
    <w:rsid w:val="00430DA8"/>
    <w:rsid w:val="00431594"/>
    <w:rsid w:val="0043163B"/>
    <w:rsid w:val="00431B40"/>
    <w:rsid w:val="004320A0"/>
    <w:rsid w:val="004325CE"/>
    <w:rsid w:val="00432DE2"/>
    <w:rsid w:val="0043310A"/>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071F"/>
    <w:rsid w:val="00451252"/>
    <w:rsid w:val="00451491"/>
    <w:rsid w:val="00451515"/>
    <w:rsid w:val="00452910"/>
    <w:rsid w:val="00453185"/>
    <w:rsid w:val="004536A9"/>
    <w:rsid w:val="0045460F"/>
    <w:rsid w:val="00454B3A"/>
    <w:rsid w:val="00455095"/>
    <w:rsid w:val="00455213"/>
    <w:rsid w:val="00455350"/>
    <w:rsid w:val="00456EDA"/>
    <w:rsid w:val="00457A14"/>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E30"/>
    <w:rsid w:val="004672B1"/>
    <w:rsid w:val="004678F1"/>
    <w:rsid w:val="004718FD"/>
    <w:rsid w:val="00471C89"/>
    <w:rsid w:val="00472203"/>
    <w:rsid w:val="00472B2F"/>
    <w:rsid w:val="00472EEC"/>
    <w:rsid w:val="00473992"/>
    <w:rsid w:val="004746D0"/>
    <w:rsid w:val="00474CAE"/>
    <w:rsid w:val="0047558D"/>
    <w:rsid w:val="0047601E"/>
    <w:rsid w:val="0047651B"/>
    <w:rsid w:val="004767EC"/>
    <w:rsid w:val="00476907"/>
    <w:rsid w:val="00477BCB"/>
    <w:rsid w:val="00480259"/>
    <w:rsid w:val="00480337"/>
    <w:rsid w:val="0048068F"/>
    <w:rsid w:val="00480967"/>
    <w:rsid w:val="004809DF"/>
    <w:rsid w:val="00480FD0"/>
    <w:rsid w:val="004810CC"/>
    <w:rsid w:val="00481E81"/>
    <w:rsid w:val="004821F9"/>
    <w:rsid w:val="004825A2"/>
    <w:rsid w:val="0048271E"/>
    <w:rsid w:val="00482B20"/>
    <w:rsid w:val="00483122"/>
    <w:rsid w:val="004836DF"/>
    <w:rsid w:val="00483AF3"/>
    <w:rsid w:val="00484100"/>
    <w:rsid w:val="004841A7"/>
    <w:rsid w:val="00484642"/>
    <w:rsid w:val="004855BC"/>
    <w:rsid w:val="004857CA"/>
    <w:rsid w:val="0048603B"/>
    <w:rsid w:val="004864D1"/>
    <w:rsid w:val="0048694F"/>
    <w:rsid w:val="00486D31"/>
    <w:rsid w:val="004873C3"/>
    <w:rsid w:val="004901B6"/>
    <w:rsid w:val="00490366"/>
    <w:rsid w:val="004909C1"/>
    <w:rsid w:val="00490CDA"/>
    <w:rsid w:val="0049174C"/>
    <w:rsid w:val="0049193A"/>
    <w:rsid w:val="00491FBC"/>
    <w:rsid w:val="00492456"/>
    <w:rsid w:val="00492831"/>
    <w:rsid w:val="00492A12"/>
    <w:rsid w:val="00492D24"/>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4EE5"/>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66B"/>
    <w:rsid w:val="004B674C"/>
    <w:rsid w:val="004B6890"/>
    <w:rsid w:val="004B6BE3"/>
    <w:rsid w:val="004B705B"/>
    <w:rsid w:val="004B7285"/>
    <w:rsid w:val="004B7691"/>
    <w:rsid w:val="004B7782"/>
    <w:rsid w:val="004B7AE7"/>
    <w:rsid w:val="004B7EDD"/>
    <w:rsid w:val="004C060B"/>
    <w:rsid w:val="004C0779"/>
    <w:rsid w:val="004C1AE2"/>
    <w:rsid w:val="004C202E"/>
    <w:rsid w:val="004C2719"/>
    <w:rsid w:val="004C4245"/>
    <w:rsid w:val="004C45EE"/>
    <w:rsid w:val="004C597A"/>
    <w:rsid w:val="004C5DF9"/>
    <w:rsid w:val="004C64C2"/>
    <w:rsid w:val="004C652E"/>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AF"/>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E8F"/>
    <w:rsid w:val="004F2186"/>
    <w:rsid w:val="004F2412"/>
    <w:rsid w:val="004F266A"/>
    <w:rsid w:val="004F28E9"/>
    <w:rsid w:val="004F2952"/>
    <w:rsid w:val="004F37EB"/>
    <w:rsid w:val="004F47A8"/>
    <w:rsid w:val="004F4901"/>
    <w:rsid w:val="004F4C74"/>
    <w:rsid w:val="004F5144"/>
    <w:rsid w:val="004F542F"/>
    <w:rsid w:val="004F5C0F"/>
    <w:rsid w:val="004F73FB"/>
    <w:rsid w:val="004F768B"/>
    <w:rsid w:val="004F7BFF"/>
    <w:rsid w:val="005003FA"/>
    <w:rsid w:val="00500B8C"/>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51DD"/>
    <w:rsid w:val="00525242"/>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07A"/>
    <w:rsid w:val="00534597"/>
    <w:rsid w:val="0053469A"/>
    <w:rsid w:val="00534847"/>
    <w:rsid w:val="005349EA"/>
    <w:rsid w:val="0053543F"/>
    <w:rsid w:val="005356F6"/>
    <w:rsid w:val="0053596E"/>
    <w:rsid w:val="00535997"/>
    <w:rsid w:val="005363B1"/>
    <w:rsid w:val="00536915"/>
    <w:rsid w:val="00536B5A"/>
    <w:rsid w:val="00537422"/>
    <w:rsid w:val="005377CF"/>
    <w:rsid w:val="00537E59"/>
    <w:rsid w:val="005405C4"/>
    <w:rsid w:val="005406A4"/>
    <w:rsid w:val="00540F26"/>
    <w:rsid w:val="005414CB"/>
    <w:rsid w:val="00541A1C"/>
    <w:rsid w:val="00541D5C"/>
    <w:rsid w:val="005424CA"/>
    <w:rsid w:val="005429CB"/>
    <w:rsid w:val="00542A86"/>
    <w:rsid w:val="00542CBE"/>
    <w:rsid w:val="00542E83"/>
    <w:rsid w:val="00543224"/>
    <w:rsid w:val="0054339D"/>
    <w:rsid w:val="00543CC6"/>
    <w:rsid w:val="005446F5"/>
    <w:rsid w:val="00544C69"/>
    <w:rsid w:val="0054525B"/>
    <w:rsid w:val="00545557"/>
    <w:rsid w:val="00545A2E"/>
    <w:rsid w:val="005465AB"/>
    <w:rsid w:val="005466B5"/>
    <w:rsid w:val="00546C2E"/>
    <w:rsid w:val="0054716E"/>
    <w:rsid w:val="0054754C"/>
    <w:rsid w:val="00547BC3"/>
    <w:rsid w:val="00547D0B"/>
    <w:rsid w:val="00550E43"/>
    <w:rsid w:val="00551ECF"/>
    <w:rsid w:val="0055235E"/>
    <w:rsid w:val="005529BF"/>
    <w:rsid w:val="00552FCF"/>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33DA"/>
    <w:rsid w:val="00564311"/>
    <w:rsid w:val="00564773"/>
    <w:rsid w:val="0056486B"/>
    <w:rsid w:val="00564BED"/>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F5C"/>
    <w:rsid w:val="005806E5"/>
    <w:rsid w:val="00581F80"/>
    <w:rsid w:val="0058283F"/>
    <w:rsid w:val="00583151"/>
    <w:rsid w:val="00583CBF"/>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A0144"/>
    <w:rsid w:val="005A0B26"/>
    <w:rsid w:val="005A0DD9"/>
    <w:rsid w:val="005A14E6"/>
    <w:rsid w:val="005A1BA8"/>
    <w:rsid w:val="005A1F9F"/>
    <w:rsid w:val="005A2186"/>
    <w:rsid w:val="005A226C"/>
    <w:rsid w:val="005A4B84"/>
    <w:rsid w:val="005A4D1B"/>
    <w:rsid w:val="005A523C"/>
    <w:rsid w:val="005A5D7B"/>
    <w:rsid w:val="005A7195"/>
    <w:rsid w:val="005A7E33"/>
    <w:rsid w:val="005B0786"/>
    <w:rsid w:val="005B12C5"/>
    <w:rsid w:val="005B1384"/>
    <w:rsid w:val="005B1571"/>
    <w:rsid w:val="005B1BAB"/>
    <w:rsid w:val="005B1DCF"/>
    <w:rsid w:val="005B23C8"/>
    <w:rsid w:val="005B331F"/>
    <w:rsid w:val="005B442E"/>
    <w:rsid w:val="005B6571"/>
    <w:rsid w:val="005B6AFF"/>
    <w:rsid w:val="005B6C71"/>
    <w:rsid w:val="005B70A2"/>
    <w:rsid w:val="005B7AD1"/>
    <w:rsid w:val="005C0DCA"/>
    <w:rsid w:val="005C1FEE"/>
    <w:rsid w:val="005C21E7"/>
    <w:rsid w:val="005C267D"/>
    <w:rsid w:val="005C295E"/>
    <w:rsid w:val="005C2995"/>
    <w:rsid w:val="005C2F07"/>
    <w:rsid w:val="005C3141"/>
    <w:rsid w:val="005C3597"/>
    <w:rsid w:val="005C391A"/>
    <w:rsid w:val="005C45D2"/>
    <w:rsid w:val="005C4BAD"/>
    <w:rsid w:val="005C5151"/>
    <w:rsid w:val="005C54BB"/>
    <w:rsid w:val="005C57AE"/>
    <w:rsid w:val="005C6109"/>
    <w:rsid w:val="005C6463"/>
    <w:rsid w:val="005C647A"/>
    <w:rsid w:val="005C6834"/>
    <w:rsid w:val="005C6980"/>
    <w:rsid w:val="005C6CB1"/>
    <w:rsid w:val="005C6D2D"/>
    <w:rsid w:val="005C71FF"/>
    <w:rsid w:val="005C7459"/>
    <w:rsid w:val="005C748D"/>
    <w:rsid w:val="005C7B8A"/>
    <w:rsid w:val="005C7BF6"/>
    <w:rsid w:val="005C7E19"/>
    <w:rsid w:val="005D0128"/>
    <w:rsid w:val="005D0DCB"/>
    <w:rsid w:val="005D0FD8"/>
    <w:rsid w:val="005D1149"/>
    <w:rsid w:val="005D169A"/>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421"/>
    <w:rsid w:val="005E0559"/>
    <w:rsid w:val="005E0668"/>
    <w:rsid w:val="005E0B7F"/>
    <w:rsid w:val="005E0DF3"/>
    <w:rsid w:val="005E1D28"/>
    <w:rsid w:val="005E2992"/>
    <w:rsid w:val="005E2AF7"/>
    <w:rsid w:val="005E336C"/>
    <w:rsid w:val="005E3AB6"/>
    <w:rsid w:val="005E3C55"/>
    <w:rsid w:val="005E4AF2"/>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3421"/>
    <w:rsid w:val="005F4830"/>
    <w:rsid w:val="005F4A88"/>
    <w:rsid w:val="005F50D7"/>
    <w:rsid w:val="005F54BC"/>
    <w:rsid w:val="005F56AF"/>
    <w:rsid w:val="005F6AA0"/>
    <w:rsid w:val="00601150"/>
    <w:rsid w:val="006011C5"/>
    <w:rsid w:val="00601329"/>
    <w:rsid w:val="006017E2"/>
    <w:rsid w:val="00602A6F"/>
    <w:rsid w:val="00603539"/>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EA"/>
    <w:rsid w:val="00613E66"/>
    <w:rsid w:val="00613E98"/>
    <w:rsid w:val="00614B17"/>
    <w:rsid w:val="00615999"/>
    <w:rsid w:val="00615AA6"/>
    <w:rsid w:val="00615B13"/>
    <w:rsid w:val="00616000"/>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84B"/>
    <w:rsid w:val="00624FE2"/>
    <w:rsid w:val="006253A5"/>
    <w:rsid w:val="00625D6F"/>
    <w:rsid w:val="00625FD4"/>
    <w:rsid w:val="0062602A"/>
    <w:rsid w:val="0062608C"/>
    <w:rsid w:val="006269D2"/>
    <w:rsid w:val="00626D7E"/>
    <w:rsid w:val="006270D4"/>
    <w:rsid w:val="006271B3"/>
    <w:rsid w:val="006271FC"/>
    <w:rsid w:val="00627EC5"/>
    <w:rsid w:val="0063015E"/>
    <w:rsid w:val="00630876"/>
    <w:rsid w:val="00631622"/>
    <w:rsid w:val="00631B28"/>
    <w:rsid w:val="0063355C"/>
    <w:rsid w:val="00633A1F"/>
    <w:rsid w:val="00633A73"/>
    <w:rsid w:val="006340C7"/>
    <w:rsid w:val="00634138"/>
    <w:rsid w:val="00634485"/>
    <w:rsid w:val="00634511"/>
    <w:rsid w:val="00634890"/>
    <w:rsid w:val="00634E48"/>
    <w:rsid w:val="00635154"/>
    <w:rsid w:val="006359A6"/>
    <w:rsid w:val="00635E0E"/>
    <w:rsid w:val="00636140"/>
    <w:rsid w:val="00637B99"/>
    <w:rsid w:val="00637D80"/>
    <w:rsid w:val="00640222"/>
    <w:rsid w:val="006404C5"/>
    <w:rsid w:val="00640727"/>
    <w:rsid w:val="00640AF2"/>
    <w:rsid w:val="0064155A"/>
    <w:rsid w:val="00641BB8"/>
    <w:rsid w:val="006433AB"/>
    <w:rsid w:val="00643765"/>
    <w:rsid w:val="00644195"/>
    <w:rsid w:val="00644C38"/>
    <w:rsid w:val="006457A5"/>
    <w:rsid w:val="00646DD0"/>
    <w:rsid w:val="00647210"/>
    <w:rsid w:val="006473A5"/>
    <w:rsid w:val="0064794B"/>
    <w:rsid w:val="00647F42"/>
    <w:rsid w:val="00650174"/>
    <w:rsid w:val="006505CC"/>
    <w:rsid w:val="006509D6"/>
    <w:rsid w:val="00651AEC"/>
    <w:rsid w:val="0065218E"/>
    <w:rsid w:val="00652354"/>
    <w:rsid w:val="00652941"/>
    <w:rsid w:val="0065382F"/>
    <w:rsid w:val="0065388C"/>
    <w:rsid w:val="00653CF4"/>
    <w:rsid w:val="006546AC"/>
    <w:rsid w:val="00655403"/>
    <w:rsid w:val="00655596"/>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101"/>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48E"/>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87471"/>
    <w:rsid w:val="0069069F"/>
    <w:rsid w:val="00690D28"/>
    <w:rsid w:val="00691932"/>
    <w:rsid w:val="00692F64"/>
    <w:rsid w:val="006930D5"/>
    <w:rsid w:val="00693490"/>
    <w:rsid w:val="00693878"/>
    <w:rsid w:val="00693A79"/>
    <w:rsid w:val="00693E86"/>
    <w:rsid w:val="00694012"/>
    <w:rsid w:val="0069473D"/>
    <w:rsid w:val="006957B1"/>
    <w:rsid w:val="00696111"/>
    <w:rsid w:val="006961B7"/>
    <w:rsid w:val="00697028"/>
    <w:rsid w:val="00697C3B"/>
    <w:rsid w:val="00697E10"/>
    <w:rsid w:val="006A0157"/>
    <w:rsid w:val="006A02F2"/>
    <w:rsid w:val="006A0D0E"/>
    <w:rsid w:val="006A0DC7"/>
    <w:rsid w:val="006A1092"/>
    <w:rsid w:val="006A1546"/>
    <w:rsid w:val="006A1AF4"/>
    <w:rsid w:val="006A1BFC"/>
    <w:rsid w:val="006A1FD3"/>
    <w:rsid w:val="006A29B9"/>
    <w:rsid w:val="006A30E8"/>
    <w:rsid w:val="006A313B"/>
    <w:rsid w:val="006A497F"/>
    <w:rsid w:val="006A5B63"/>
    <w:rsid w:val="006A6BEF"/>
    <w:rsid w:val="006A71F6"/>
    <w:rsid w:val="006A7765"/>
    <w:rsid w:val="006B00DF"/>
    <w:rsid w:val="006B03BE"/>
    <w:rsid w:val="006B0914"/>
    <w:rsid w:val="006B0962"/>
    <w:rsid w:val="006B0C8E"/>
    <w:rsid w:val="006B0F00"/>
    <w:rsid w:val="006B0FB9"/>
    <w:rsid w:val="006B1DBD"/>
    <w:rsid w:val="006B1DC7"/>
    <w:rsid w:val="006B235C"/>
    <w:rsid w:val="006B28E8"/>
    <w:rsid w:val="006B298B"/>
    <w:rsid w:val="006B39E2"/>
    <w:rsid w:val="006B3F4F"/>
    <w:rsid w:val="006B4664"/>
    <w:rsid w:val="006B4B50"/>
    <w:rsid w:val="006B4B70"/>
    <w:rsid w:val="006B4F95"/>
    <w:rsid w:val="006B51F8"/>
    <w:rsid w:val="006B5DAA"/>
    <w:rsid w:val="006B5EC8"/>
    <w:rsid w:val="006B6680"/>
    <w:rsid w:val="006B6852"/>
    <w:rsid w:val="006B689F"/>
    <w:rsid w:val="006B77AD"/>
    <w:rsid w:val="006C140F"/>
    <w:rsid w:val="006C1A39"/>
    <w:rsid w:val="006C2427"/>
    <w:rsid w:val="006C24F6"/>
    <w:rsid w:val="006C2BE2"/>
    <w:rsid w:val="006C2EF9"/>
    <w:rsid w:val="006C2FB3"/>
    <w:rsid w:val="006C3E4C"/>
    <w:rsid w:val="006C4797"/>
    <w:rsid w:val="006C5127"/>
    <w:rsid w:val="006C53E6"/>
    <w:rsid w:val="006C56AC"/>
    <w:rsid w:val="006C5C5E"/>
    <w:rsid w:val="006C69FF"/>
    <w:rsid w:val="006C6A74"/>
    <w:rsid w:val="006C6E05"/>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EA2"/>
    <w:rsid w:val="006D7EEB"/>
    <w:rsid w:val="006D7F59"/>
    <w:rsid w:val="006E0836"/>
    <w:rsid w:val="006E1976"/>
    <w:rsid w:val="006E1BB0"/>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727"/>
    <w:rsid w:val="006F091B"/>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224A"/>
    <w:rsid w:val="00702909"/>
    <w:rsid w:val="00703168"/>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2E88"/>
    <w:rsid w:val="0072346E"/>
    <w:rsid w:val="00723616"/>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7E7"/>
    <w:rsid w:val="00743F63"/>
    <w:rsid w:val="00744446"/>
    <w:rsid w:val="00744BA4"/>
    <w:rsid w:val="00745354"/>
    <w:rsid w:val="007458B3"/>
    <w:rsid w:val="007465F0"/>
    <w:rsid w:val="00746708"/>
    <w:rsid w:val="00747261"/>
    <w:rsid w:val="00747331"/>
    <w:rsid w:val="00747F64"/>
    <w:rsid w:val="00750D6F"/>
    <w:rsid w:val="00750F1A"/>
    <w:rsid w:val="00751099"/>
    <w:rsid w:val="00752248"/>
    <w:rsid w:val="00752387"/>
    <w:rsid w:val="007523B1"/>
    <w:rsid w:val="00752A67"/>
    <w:rsid w:val="00752E1F"/>
    <w:rsid w:val="00753688"/>
    <w:rsid w:val="00753E3E"/>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EBE"/>
    <w:rsid w:val="007631BF"/>
    <w:rsid w:val="007631D9"/>
    <w:rsid w:val="007636B4"/>
    <w:rsid w:val="007637A7"/>
    <w:rsid w:val="00763C13"/>
    <w:rsid w:val="007642A9"/>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1E8"/>
    <w:rsid w:val="007817E0"/>
    <w:rsid w:val="00781905"/>
    <w:rsid w:val="00781CF8"/>
    <w:rsid w:val="00782100"/>
    <w:rsid w:val="00782558"/>
    <w:rsid w:val="00782C2E"/>
    <w:rsid w:val="00782CD2"/>
    <w:rsid w:val="00784081"/>
    <w:rsid w:val="00784B31"/>
    <w:rsid w:val="0078534B"/>
    <w:rsid w:val="00785735"/>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45"/>
    <w:rsid w:val="007A227B"/>
    <w:rsid w:val="007A2AB1"/>
    <w:rsid w:val="007A2F02"/>
    <w:rsid w:val="007A30B1"/>
    <w:rsid w:val="007A356D"/>
    <w:rsid w:val="007A3822"/>
    <w:rsid w:val="007A39BA"/>
    <w:rsid w:val="007A3B0A"/>
    <w:rsid w:val="007A4A82"/>
    <w:rsid w:val="007A4FB6"/>
    <w:rsid w:val="007A520F"/>
    <w:rsid w:val="007A537D"/>
    <w:rsid w:val="007A55AA"/>
    <w:rsid w:val="007A5E71"/>
    <w:rsid w:val="007A700F"/>
    <w:rsid w:val="007A76CC"/>
    <w:rsid w:val="007A7982"/>
    <w:rsid w:val="007A79DA"/>
    <w:rsid w:val="007A7C89"/>
    <w:rsid w:val="007A7FA6"/>
    <w:rsid w:val="007B01E2"/>
    <w:rsid w:val="007B0311"/>
    <w:rsid w:val="007B0B8B"/>
    <w:rsid w:val="007B141A"/>
    <w:rsid w:val="007B156B"/>
    <w:rsid w:val="007B1AEE"/>
    <w:rsid w:val="007B1DCE"/>
    <w:rsid w:val="007B1E73"/>
    <w:rsid w:val="007B1EBC"/>
    <w:rsid w:val="007B2194"/>
    <w:rsid w:val="007B21F2"/>
    <w:rsid w:val="007B261B"/>
    <w:rsid w:val="007B2B6A"/>
    <w:rsid w:val="007B2C17"/>
    <w:rsid w:val="007B2F2C"/>
    <w:rsid w:val="007B314D"/>
    <w:rsid w:val="007B33F9"/>
    <w:rsid w:val="007B341A"/>
    <w:rsid w:val="007B3885"/>
    <w:rsid w:val="007B3CAD"/>
    <w:rsid w:val="007B4C03"/>
    <w:rsid w:val="007B564E"/>
    <w:rsid w:val="007B57F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A3D"/>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CB7"/>
    <w:rsid w:val="007F21F8"/>
    <w:rsid w:val="007F28C5"/>
    <w:rsid w:val="007F2E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3DE7"/>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15"/>
    <w:rsid w:val="00831D36"/>
    <w:rsid w:val="00831DA4"/>
    <w:rsid w:val="00831EB3"/>
    <w:rsid w:val="00831FA8"/>
    <w:rsid w:val="00831FBF"/>
    <w:rsid w:val="008320A5"/>
    <w:rsid w:val="00832810"/>
    <w:rsid w:val="00832E2C"/>
    <w:rsid w:val="00833070"/>
    <w:rsid w:val="008331B6"/>
    <w:rsid w:val="008345ED"/>
    <w:rsid w:val="00835248"/>
    <w:rsid w:val="00835927"/>
    <w:rsid w:val="00835DF1"/>
    <w:rsid w:val="008367EE"/>
    <w:rsid w:val="0083699C"/>
    <w:rsid w:val="00836B16"/>
    <w:rsid w:val="00836EA5"/>
    <w:rsid w:val="00837CE4"/>
    <w:rsid w:val="00837D19"/>
    <w:rsid w:val="00840312"/>
    <w:rsid w:val="008403E9"/>
    <w:rsid w:val="008404D4"/>
    <w:rsid w:val="0084074D"/>
    <w:rsid w:val="00840B86"/>
    <w:rsid w:val="00840ECD"/>
    <w:rsid w:val="00840FBE"/>
    <w:rsid w:val="00841E4A"/>
    <w:rsid w:val="008422EC"/>
    <w:rsid w:val="00842C7F"/>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373"/>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326C"/>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51BF"/>
    <w:rsid w:val="008852C1"/>
    <w:rsid w:val="0088574B"/>
    <w:rsid w:val="0088594E"/>
    <w:rsid w:val="0088649D"/>
    <w:rsid w:val="0088649F"/>
    <w:rsid w:val="00886768"/>
    <w:rsid w:val="00886E26"/>
    <w:rsid w:val="008875A6"/>
    <w:rsid w:val="008876FD"/>
    <w:rsid w:val="00887A19"/>
    <w:rsid w:val="00890136"/>
    <w:rsid w:val="00890648"/>
    <w:rsid w:val="00890917"/>
    <w:rsid w:val="0089181D"/>
    <w:rsid w:val="0089193E"/>
    <w:rsid w:val="0089272F"/>
    <w:rsid w:val="00892774"/>
    <w:rsid w:val="008929EC"/>
    <w:rsid w:val="00892AFC"/>
    <w:rsid w:val="0089336B"/>
    <w:rsid w:val="00893451"/>
    <w:rsid w:val="008950DB"/>
    <w:rsid w:val="00895B09"/>
    <w:rsid w:val="00895D8A"/>
    <w:rsid w:val="00895E48"/>
    <w:rsid w:val="008978A4"/>
    <w:rsid w:val="008A040A"/>
    <w:rsid w:val="008A06A4"/>
    <w:rsid w:val="008A0B47"/>
    <w:rsid w:val="008A1390"/>
    <w:rsid w:val="008A1FD4"/>
    <w:rsid w:val="008A2762"/>
    <w:rsid w:val="008A29B1"/>
    <w:rsid w:val="008A29CE"/>
    <w:rsid w:val="008A2C94"/>
    <w:rsid w:val="008A3331"/>
    <w:rsid w:val="008A353E"/>
    <w:rsid w:val="008A37F2"/>
    <w:rsid w:val="008A3B8A"/>
    <w:rsid w:val="008A3E74"/>
    <w:rsid w:val="008A3FF9"/>
    <w:rsid w:val="008A4488"/>
    <w:rsid w:val="008A4873"/>
    <w:rsid w:val="008A5B0A"/>
    <w:rsid w:val="008A622A"/>
    <w:rsid w:val="008A6446"/>
    <w:rsid w:val="008A78C5"/>
    <w:rsid w:val="008A7A74"/>
    <w:rsid w:val="008B0019"/>
    <w:rsid w:val="008B00B8"/>
    <w:rsid w:val="008B0908"/>
    <w:rsid w:val="008B11CC"/>
    <w:rsid w:val="008B1339"/>
    <w:rsid w:val="008B1DD6"/>
    <w:rsid w:val="008B225B"/>
    <w:rsid w:val="008B2966"/>
    <w:rsid w:val="008B34DD"/>
    <w:rsid w:val="008B39BD"/>
    <w:rsid w:val="008B5001"/>
    <w:rsid w:val="008B63C9"/>
    <w:rsid w:val="008B6925"/>
    <w:rsid w:val="008B700A"/>
    <w:rsid w:val="008B71B5"/>
    <w:rsid w:val="008B7526"/>
    <w:rsid w:val="008C01A1"/>
    <w:rsid w:val="008C1343"/>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296"/>
    <w:rsid w:val="008C737C"/>
    <w:rsid w:val="008C7D57"/>
    <w:rsid w:val="008D112A"/>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1A1B"/>
    <w:rsid w:val="008E1A8A"/>
    <w:rsid w:val="008E1B4E"/>
    <w:rsid w:val="008E1CFD"/>
    <w:rsid w:val="008E26FC"/>
    <w:rsid w:val="008E28AC"/>
    <w:rsid w:val="008E2969"/>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368"/>
    <w:rsid w:val="008F1698"/>
    <w:rsid w:val="008F16AC"/>
    <w:rsid w:val="008F1EC6"/>
    <w:rsid w:val="008F2A72"/>
    <w:rsid w:val="008F2E51"/>
    <w:rsid w:val="008F305D"/>
    <w:rsid w:val="008F35D8"/>
    <w:rsid w:val="008F3609"/>
    <w:rsid w:val="008F3E39"/>
    <w:rsid w:val="008F4049"/>
    <w:rsid w:val="008F411A"/>
    <w:rsid w:val="008F424E"/>
    <w:rsid w:val="008F437C"/>
    <w:rsid w:val="008F4D68"/>
    <w:rsid w:val="008F4E04"/>
    <w:rsid w:val="008F4F7D"/>
    <w:rsid w:val="008F5255"/>
    <w:rsid w:val="008F5667"/>
    <w:rsid w:val="008F5901"/>
    <w:rsid w:val="008F5EEB"/>
    <w:rsid w:val="008F6A7E"/>
    <w:rsid w:val="008F6D10"/>
    <w:rsid w:val="008F6E71"/>
    <w:rsid w:val="008F73C7"/>
    <w:rsid w:val="00900F9F"/>
    <w:rsid w:val="00901261"/>
    <w:rsid w:val="009012A7"/>
    <w:rsid w:val="00901F18"/>
    <w:rsid w:val="009020DA"/>
    <w:rsid w:val="009022B6"/>
    <w:rsid w:val="00902410"/>
    <w:rsid w:val="009027DB"/>
    <w:rsid w:val="00902A0B"/>
    <w:rsid w:val="00902CD7"/>
    <w:rsid w:val="009030D7"/>
    <w:rsid w:val="00903B60"/>
    <w:rsid w:val="009054F7"/>
    <w:rsid w:val="00905581"/>
    <w:rsid w:val="00905693"/>
    <w:rsid w:val="00905B09"/>
    <w:rsid w:val="00905B13"/>
    <w:rsid w:val="00905B9C"/>
    <w:rsid w:val="00906A95"/>
    <w:rsid w:val="0090705B"/>
    <w:rsid w:val="009074AD"/>
    <w:rsid w:val="00910241"/>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50D"/>
    <w:rsid w:val="009157EA"/>
    <w:rsid w:val="00915BDB"/>
    <w:rsid w:val="0091603B"/>
    <w:rsid w:val="009164CA"/>
    <w:rsid w:val="00916A02"/>
    <w:rsid w:val="00916B23"/>
    <w:rsid w:val="00916DDD"/>
    <w:rsid w:val="00917A4C"/>
    <w:rsid w:val="00917A67"/>
    <w:rsid w:val="00920678"/>
    <w:rsid w:val="00920947"/>
    <w:rsid w:val="00922191"/>
    <w:rsid w:val="0092226E"/>
    <w:rsid w:val="00922BAC"/>
    <w:rsid w:val="00923009"/>
    <w:rsid w:val="00923640"/>
    <w:rsid w:val="00923900"/>
    <w:rsid w:val="00923E4E"/>
    <w:rsid w:val="00923E89"/>
    <w:rsid w:val="009246E5"/>
    <w:rsid w:val="00926554"/>
    <w:rsid w:val="009265AA"/>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03E"/>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A34"/>
    <w:rsid w:val="00947988"/>
    <w:rsid w:val="00947C72"/>
    <w:rsid w:val="00947CF2"/>
    <w:rsid w:val="00947EE6"/>
    <w:rsid w:val="009507C2"/>
    <w:rsid w:val="00950BCA"/>
    <w:rsid w:val="00950F35"/>
    <w:rsid w:val="00951D94"/>
    <w:rsid w:val="00952203"/>
    <w:rsid w:val="00952DFE"/>
    <w:rsid w:val="009537A0"/>
    <w:rsid w:val="00953838"/>
    <w:rsid w:val="009539AE"/>
    <w:rsid w:val="00953A6E"/>
    <w:rsid w:val="009548C2"/>
    <w:rsid w:val="009548CA"/>
    <w:rsid w:val="00955F29"/>
    <w:rsid w:val="00955FE5"/>
    <w:rsid w:val="009579DF"/>
    <w:rsid w:val="00957D35"/>
    <w:rsid w:val="00960B9B"/>
    <w:rsid w:val="00960DC7"/>
    <w:rsid w:val="009613A2"/>
    <w:rsid w:val="00961B82"/>
    <w:rsid w:val="00961CA2"/>
    <w:rsid w:val="00961DB2"/>
    <w:rsid w:val="00962058"/>
    <w:rsid w:val="009621DF"/>
    <w:rsid w:val="00962209"/>
    <w:rsid w:val="009626F1"/>
    <w:rsid w:val="00962A1E"/>
    <w:rsid w:val="00962B7C"/>
    <w:rsid w:val="00962E80"/>
    <w:rsid w:val="00963808"/>
    <w:rsid w:val="00964260"/>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24A"/>
    <w:rsid w:val="009717ED"/>
    <w:rsid w:val="00971B75"/>
    <w:rsid w:val="0097283E"/>
    <w:rsid w:val="00972F05"/>
    <w:rsid w:val="009739DD"/>
    <w:rsid w:val="009739F6"/>
    <w:rsid w:val="00973BFF"/>
    <w:rsid w:val="00973D02"/>
    <w:rsid w:val="00974465"/>
    <w:rsid w:val="009749E3"/>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512"/>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4E"/>
    <w:rsid w:val="009A30EF"/>
    <w:rsid w:val="009A3CAE"/>
    <w:rsid w:val="009A415B"/>
    <w:rsid w:val="009A5777"/>
    <w:rsid w:val="009A5A47"/>
    <w:rsid w:val="009A662F"/>
    <w:rsid w:val="009A6A7F"/>
    <w:rsid w:val="009A6EB9"/>
    <w:rsid w:val="009A729F"/>
    <w:rsid w:val="009A7391"/>
    <w:rsid w:val="009A7793"/>
    <w:rsid w:val="009A7EC9"/>
    <w:rsid w:val="009B0B6A"/>
    <w:rsid w:val="009B0C33"/>
    <w:rsid w:val="009B103A"/>
    <w:rsid w:val="009B15F2"/>
    <w:rsid w:val="009B1AA6"/>
    <w:rsid w:val="009B1F72"/>
    <w:rsid w:val="009B1FA7"/>
    <w:rsid w:val="009B2269"/>
    <w:rsid w:val="009B28E5"/>
    <w:rsid w:val="009B29BF"/>
    <w:rsid w:val="009B2ABF"/>
    <w:rsid w:val="009B3276"/>
    <w:rsid w:val="009B36A5"/>
    <w:rsid w:val="009B3BAC"/>
    <w:rsid w:val="009B42EA"/>
    <w:rsid w:val="009B4827"/>
    <w:rsid w:val="009B4982"/>
    <w:rsid w:val="009B4D74"/>
    <w:rsid w:val="009B506E"/>
    <w:rsid w:val="009B5BC1"/>
    <w:rsid w:val="009B7081"/>
    <w:rsid w:val="009B756F"/>
    <w:rsid w:val="009B7C7B"/>
    <w:rsid w:val="009C0DF7"/>
    <w:rsid w:val="009C1CDE"/>
    <w:rsid w:val="009C2718"/>
    <w:rsid w:val="009C2BF8"/>
    <w:rsid w:val="009C2DCB"/>
    <w:rsid w:val="009C34D3"/>
    <w:rsid w:val="009C36D2"/>
    <w:rsid w:val="009C44F7"/>
    <w:rsid w:val="009C4EB4"/>
    <w:rsid w:val="009C622E"/>
    <w:rsid w:val="009C6744"/>
    <w:rsid w:val="009C6DB0"/>
    <w:rsid w:val="009D00C1"/>
    <w:rsid w:val="009D0ED6"/>
    <w:rsid w:val="009D0F71"/>
    <w:rsid w:val="009D11BE"/>
    <w:rsid w:val="009D1831"/>
    <w:rsid w:val="009D201E"/>
    <w:rsid w:val="009D2693"/>
    <w:rsid w:val="009D27E2"/>
    <w:rsid w:val="009D294A"/>
    <w:rsid w:val="009D2EC8"/>
    <w:rsid w:val="009D2EDB"/>
    <w:rsid w:val="009D374B"/>
    <w:rsid w:val="009D3EC7"/>
    <w:rsid w:val="009D4F23"/>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3C1"/>
    <w:rsid w:val="009F473C"/>
    <w:rsid w:val="009F4A50"/>
    <w:rsid w:val="009F5206"/>
    <w:rsid w:val="009F5384"/>
    <w:rsid w:val="009F5915"/>
    <w:rsid w:val="009F5E8B"/>
    <w:rsid w:val="009F65C8"/>
    <w:rsid w:val="009F66F6"/>
    <w:rsid w:val="009F68BC"/>
    <w:rsid w:val="009F6BD2"/>
    <w:rsid w:val="009F6E60"/>
    <w:rsid w:val="009F6F9F"/>
    <w:rsid w:val="00A00E64"/>
    <w:rsid w:val="00A01032"/>
    <w:rsid w:val="00A01E11"/>
    <w:rsid w:val="00A0253F"/>
    <w:rsid w:val="00A02787"/>
    <w:rsid w:val="00A033DA"/>
    <w:rsid w:val="00A04476"/>
    <w:rsid w:val="00A04CFA"/>
    <w:rsid w:val="00A05730"/>
    <w:rsid w:val="00A059CF"/>
    <w:rsid w:val="00A060F8"/>
    <w:rsid w:val="00A0756F"/>
    <w:rsid w:val="00A07627"/>
    <w:rsid w:val="00A11024"/>
    <w:rsid w:val="00A11619"/>
    <w:rsid w:val="00A11B39"/>
    <w:rsid w:val="00A11C34"/>
    <w:rsid w:val="00A127A4"/>
    <w:rsid w:val="00A1302E"/>
    <w:rsid w:val="00A13637"/>
    <w:rsid w:val="00A13741"/>
    <w:rsid w:val="00A1375F"/>
    <w:rsid w:val="00A139D8"/>
    <w:rsid w:val="00A1493B"/>
    <w:rsid w:val="00A14A4E"/>
    <w:rsid w:val="00A166EE"/>
    <w:rsid w:val="00A16D9E"/>
    <w:rsid w:val="00A17A17"/>
    <w:rsid w:val="00A17FF1"/>
    <w:rsid w:val="00A2014B"/>
    <w:rsid w:val="00A20EF5"/>
    <w:rsid w:val="00A21103"/>
    <w:rsid w:val="00A2148F"/>
    <w:rsid w:val="00A21640"/>
    <w:rsid w:val="00A2167C"/>
    <w:rsid w:val="00A21711"/>
    <w:rsid w:val="00A21B39"/>
    <w:rsid w:val="00A21C1C"/>
    <w:rsid w:val="00A21CFC"/>
    <w:rsid w:val="00A2220E"/>
    <w:rsid w:val="00A22477"/>
    <w:rsid w:val="00A2270F"/>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899"/>
    <w:rsid w:val="00A41149"/>
    <w:rsid w:val="00A41626"/>
    <w:rsid w:val="00A41A00"/>
    <w:rsid w:val="00A41CEF"/>
    <w:rsid w:val="00A430EB"/>
    <w:rsid w:val="00A435B3"/>
    <w:rsid w:val="00A43D69"/>
    <w:rsid w:val="00A43ED6"/>
    <w:rsid w:val="00A44157"/>
    <w:rsid w:val="00A44239"/>
    <w:rsid w:val="00A44768"/>
    <w:rsid w:val="00A44879"/>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C1E"/>
    <w:rsid w:val="00A74C7C"/>
    <w:rsid w:val="00A752C6"/>
    <w:rsid w:val="00A75489"/>
    <w:rsid w:val="00A75EE0"/>
    <w:rsid w:val="00A766B4"/>
    <w:rsid w:val="00A76DA1"/>
    <w:rsid w:val="00A770A2"/>
    <w:rsid w:val="00A77A85"/>
    <w:rsid w:val="00A81140"/>
    <w:rsid w:val="00A81414"/>
    <w:rsid w:val="00A81A4A"/>
    <w:rsid w:val="00A82368"/>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6DE7"/>
    <w:rsid w:val="00A8775B"/>
    <w:rsid w:val="00A903D4"/>
    <w:rsid w:val="00A905D7"/>
    <w:rsid w:val="00A90A3C"/>
    <w:rsid w:val="00A90B2C"/>
    <w:rsid w:val="00A91552"/>
    <w:rsid w:val="00A91766"/>
    <w:rsid w:val="00A91863"/>
    <w:rsid w:val="00A9247A"/>
    <w:rsid w:val="00A92CEB"/>
    <w:rsid w:val="00A92E17"/>
    <w:rsid w:val="00A931CE"/>
    <w:rsid w:val="00A9392A"/>
    <w:rsid w:val="00A9472B"/>
    <w:rsid w:val="00A94AC3"/>
    <w:rsid w:val="00A94E17"/>
    <w:rsid w:val="00A95061"/>
    <w:rsid w:val="00A9538C"/>
    <w:rsid w:val="00A95556"/>
    <w:rsid w:val="00A957B8"/>
    <w:rsid w:val="00A957C8"/>
    <w:rsid w:val="00A957ED"/>
    <w:rsid w:val="00A95AF4"/>
    <w:rsid w:val="00A966B6"/>
    <w:rsid w:val="00A97C94"/>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C73"/>
    <w:rsid w:val="00AB7158"/>
    <w:rsid w:val="00AB7563"/>
    <w:rsid w:val="00AB76BB"/>
    <w:rsid w:val="00AB78FA"/>
    <w:rsid w:val="00AB7D26"/>
    <w:rsid w:val="00AC0987"/>
    <w:rsid w:val="00AC0B68"/>
    <w:rsid w:val="00AC0C4F"/>
    <w:rsid w:val="00AC11DF"/>
    <w:rsid w:val="00AC1913"/>
    <w:rsid w:val="00AC1DC3"/>
    <w:rsid w:val="00AC1F74"/>
    <w:rsid w:val="00AC2260"/>
    <w:rsid w:val="00AC2F9C"/>
    <w:rsid w:val="00AC3EFF"/>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5CD"/>
    <w:rsid w:val="00AD66B5"/>
    <w:rsid w:val="00AD6AAF"/>
    <w:rsid w:val="00AD743B"/>
    <w:rsid w:val="00AE0492"/>
    <w:rsid w:val="00AE07B5"/>
    <w:rsid w:val="00AE18D5"/>
    <w:rsid w:val="00AE26E7"/>
    <w:rsid w:val="00AE27B1"/>
    <w:rsid w:val="00AE281B"/>
    <w:rsid w:val="00AE2FE6"/>
    <w:rsid w:val="00AE3DC4"/>
    <w:rsid w:val="00AE4585"/>
    <w:rsid w:val="00AE45DB"/>
    <w:rsid w:val="00AE4B07"/>
    <w:rsid w:val="00AE67F7"/>
    <w:rsid w:val="00AE6C84"/>
    <w:rsid w:val="00AE6EA9"/>
    <w:rsid w:val="00AE6F5F"/>
    <w:rsid w:val="00AE7F1F"/>
    <w:rsid w:val="00AE7F31"/>
    <w:rsid w:val="00AF0034"/>
    <w:rsid w:val="00AF0113"/>
    <w:rsid w:val="00AF0B30"/>
    <w:rsid w:val="00AF1159"/>
    <w:rsid w:val="00AF156F"/>
    <w:rsid w:val="00AF1B03"/>
    <w:rsid w:val="00AF2340"/>
    <w:rsid w:val="00AF2575"/>
    <w:rsid w:val="00AF2BAE"/>
    <w:rsid w:val="00AF320B"/>
    <w:rsid w:val="00AF3AD6"/>
    <w:rsid w:val="00AF42B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58C"/>
    <w:rsid w:val="00B14AC4"/>
    <w:rsid w:val="00B1579E"/>
    <w:rsid w:val="00B15EF9"/>
    <w:rsid w:val="00B15F43"/>
    <w:rsid w:val="00B162E4"/>
    <w:rsid w:val="00B172FD"/>
    <w:rsid w:val="00B17371"/>
    <w:rsid w:val="00B1748C"/>
    <w:rsid w:val="00B17BDF"/>
    <w:rsid w:val="00B20602"/>
    <w:rsid w:val="00B20BC5"/>
    <w:rsid w:val="00B2226C"/>
    <w:rsid w:val="00B2247C"/>
    <w:rsid w:val="00B2286E"/>
    <w:rsid w:val="00B23010"/>
    <w:rsid w:val="00B240D0"/>
    <w:rsid w:val="00B244BD"/>
    <w:rsid w:val="00B24DBF"/>
    <w:rsid w:val="00B2544D"/>
    <w:rsid w:val="00B257FC"/>
    <w:rsid w:val="00B259C8"/>
    <w:rsid w:val="00B2622D"/>
    <w:rsid w:val="00B271AA"/>
    <w:rsid w:val="00B277B4"/>
    <w:rsid w:val="00B30207"/>
    <w:rsid w:val="00B3074B"/>
    <w:rsid w:val="00B30B2F"/>
    <w:rsid w:val="00B310EE"/>
    <w:rsid w:val="00B313B7"/>
    <w:rsid w:val="00B313ED"/>
    <w:rsid w:val="00B31734"/>
    <w:rsid w:val="00B320FC"/>
    <w:rsid w:val="00B32425"/>
    <w:rsid w:val="00B32746"/>
    <w:rsid w:val="00B32CB6"/>
    <w:rsid w:val="00B32FE2"/>
    <w:rsid w:val="00B33233"/>
    <w:rsid w:val="00B33EC7"/>
    <w:rsid w:val="00B34C7B"/>
    <w:rsid w:val="00B35A38"/>
    <w:rsid w:val="00B35AE6"/>
    <w:rsid w:val="00B36189"/>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1C6C"/>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A5E"/>
    <w:rsid w:val="00B86264"/>
    <w:rsid w:val="00B86DA3"/>
    <w:rsid w:val="00B873D0"/>
    <w:rsid w:val="00B87819"/>
    <w:rsid w:val="00B8792A"/>
    <w:rsid w:val="00B902E8"/>
    <w:rsid w:val="00B905B9"/>
    <w:rsid w:val="00B90BE6"/>
    <w:rsid w:val="00B90BF5"/>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7192"/>
    <w:rsid w:val="00B97419"/>
    <w:rsid w:val="00B97883"/>
    <w:rsid w:val="00B97A0D"/>
    <w:rsid w:val="00BA0A3E"/>
    <w:rsid w:val="00BA11A9"/>
    <w:rsid w:val="00BA1C82"/>
    <w:rsid w:val="00BA20C4"/>
    <w:rsid w:val="00BA2445"/>
    <w:rsid w:val="00BA2582"/>
    <w:rsid w:val="00BA2714"/>
    <w:rsid w:val="00BA35C1"/>
    <w:rsid w:val="00BA3932"/>
    <w:rsid w:val="00BA7149"/>
    <w:rsid w:val="00BA723D"/>
    <w:rsid w:val="00BA7298"/>
    <w:rsid w:val="00BA76B6"/>
    <w:rsid w:val="00BA7C2C"/>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E0"/>
    <w:rsid w:val="00BC0A60"/>
    <w:rsid w:val="00BC1900"/>
    <w:rsid w:val="00BC1BB3"/>
    <w:rsid w:val="00BC224A"/>
    <w:rsid w:val="00BC22E3"/>
    <w:rsid w:val="00BC27D4"/>
    <w:rsid w:val="00BC2A6E"/>
    <w:rsid w:val="00BC2A90"/>
    <w:rsid w:val="00BC3A8A"/>
    <w:rsid w:val="00BC3F7E"/>
    <w:rsid w:val="00BC45B2"/>
    <w:rsid w:val="00BC4729"/>
    <w:rsid w:val="00BC5979"/>
    <w:rsid w:val="00BC6735"/>
    <w:rsid w:val="00BC770A"/>
    <w:rsid w:val="00BD0542"/>
    <w:rsid w:val="00BD05CA"/>
    <w:rsid w:val="00BD0F19"/>
    <w:rsid w:val="00BD13F2"/>
    <w:rsid w:val="00BD1E82"/>
    <w:rsid w:val="00BD23E1"/>
    <w:rsid w:val="00BD2733"/>
    <w:rsid w:val="00BD2AE7"/>
    <w:rsid w:val="00BD3A1B"/>
    <w:rsid w:val="00BD3D97"/>
    <w:rsid w:val="00BD44FE"/>
    <w:rsid w:val="00BD4B33"/>
    <w:rsid w:val="00BD4F5C"/>
    <w:rsid w:val="00BD55A2"/>
    <w:rsid w:val="00BD5937"/>
    <w:rsid w:val="00BD5B6A"/>
    <w:rsid w:val="00BD5D75"/>
    <w:rsid w:val="00BD6296"/>
    <w:rsid w:val="00BD66FC"/>
    <w:rsid w:val="00BD6EC9"/>
    <w:rsid w:val="00BD7483"/>
    <w:rsid w:val="00BD7CBB"/>
    <w:rsid w:val="00BE0399"/>
    <w:rsid w:val="00BE04C1"/>
    <w:rsid w:val="00BE067D"/>
    <w:rsid w:val="00BE0740"/>
    <w:rsid w:val="00BE173C"/>
    <w:rsid w:val="00BE214A"/>
    <w:rsid w:val="00BE215C"/>
    <w:rsid w:val="00BE28B0"/>
    <w:rsid w:val="00BE3446"/>
    <w:rsid w:val="00BE45C6"/>
    <w:rsid w:val="00BE48D7"/>
    <w:rsid w:val="00BE4C50"/>
    <w:rsid w:val="00BE53F7"/>
    <w:rsid w:val="00BE6432"/>
    <w:rsid w:val="00BE6516"/>
    <w:rsid w:val="00BE6C6B"/>
    <w:rsid w:val="00BE6CA4"/>
    <w:rsid w:val="00BE7A84"/>
    <w:rsid w:val="00BE7C2A"/>
    <w:rsid w:val="00BE7D70"/>
    <w:rsid w:val="00BE7E7B"/>
    <w:rsid w:val="00BF04BB"/>
    <w:rsid w:val="00BF08F5"/>
    <w:rsid w:val="00BF0939"/>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86E"/>
    <w:rsid w:val="00C04CCB"/>
    <w:rsid w:val="00C052B7"/>
    <w:rsid w:val="00C057BF"/>
    <w:rsid w:val="00C0585D"/>
    <w:rsid w:val="00C05C01"/>
    <w:rsid w:val="00C06F89"/>
    <w:rsid w:val="00C07011"/>
    <w:rsid w:val="00C07FC5"/>
    <w:rsid w:val="00C10812"/>
    <w:rsid w:val="00C108DF"/>
    <w:rsid w:val="00C11597"/>
    <w:rsid w:val="00C125A7"/>
    <w:rsid w:val="00C12D95"/>
    <w:rsid w:val="00C13E34"/>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2BA"/>
    <w:rsid w:val="00C36ABA"/>
    <w:rsid w:val="00C3732A"/>
    <w:rsid w:val="00C37D77"/>
    <w:rsid w:val="00C40542"/>
    <w:rsid w:val="00C40603"/>
    <w:rsid w:val="00C40977"/>
    <w:rsid w:val="00C4098D"/>
    <w:rsid w:val="00C416A1"/>
    <w:rsid w:val="00C41784"/>
    <w:rsid w:val="00C41B10"/>
    <w:rsid w:val="00C41F05"/>
    <w:rsid w:val="00C421C2"/>
    <w:rsid w:val="00C4230D"/>
    <w:rsid w:val="00C423FC"/>
    <w:rsid w:val="00C43937"/>
    <w:rsid w:val="00C43A32"/>
    <w:rsid w:val="00C43D02"/>
    <w:rsid w:val="00C441CD"/>
    <w:rsid w:val="00C44E23"/>
    <w:rsid w:val="00C4548E"/>
    <w:rsid w:val="00C45C4C"/>
    <w:rsid w:val="00C4630A"/>
    <w:rsid w:val="00C4700C"/>
    <w:rsid w:val="00C507F4"/>
    <w:rsid w:val="00C51660"/>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57E84"/>
    <w:rsid w:val="00C601B1"/>
    <w:rsid w:val="00C60F50"/>
    <w:rsid w:val="00C6133E"/>
    <w:rsid w:val="00C6151D"/>
    <w:rsid w:val="00C61D1F"/>
    <w:rsid w:val="00C61F59"/>
    <w:rsid w:val="00C62385"/>
    <w:rsid w:val="00C62B05"/>
    <w:rsid w:val="00C6338C"/>
    <w:rsid w:val="00C63735"/>
    <w:rsid w:val="00C649F1"/>
    <w:rsid w:val="00C66C21"/>
    <w:rsid w:val="00C671F7"/>
    <w:rsid w:val="00C673CF"/>
    <w:rsid w:val="00C677E6"/>
    <w:rsid w:val="00C67A90"/>
    <w:rsid w:val="00C70810"/>
    <w:rsid w:val="00C70FB7"/>
    <w:rsid w:val="00C71401"/>
    <w:rsid w:val="00C71888"/>
    <w:rsid w:val="00C724A7"/>
    <w:rsid w:val="00C7267B"/>
    <w:rsid w:val="00C72FC7"/>
    <w:rsid w:val="00C73084"/>
    <w:rsid w:val="00C733DB"/>
    <w:rsid w:val="00C748B8"/>
    <w:rsid w:val="00C74D84"/>
    <w:rsid w:val="00C75787"/>
    <w:rsid w:val="00C75A16"/>
    <w:rsid w:val="00C75EC5"/>
    <w:rsid w:val="00C75F3B"/>
    <w:rsid w:val="00C765CD"/>
    <w:rsid w:val="00C7715E"/>
    <w:rsid w:val="00C7788E"/>
    <w:rsid w:val="00C778B4"/>
    <w:rsid w:val="00C779D8"/>
    <w:rsid w:val="00C77AAA"/>
    <w:rsid w:val="00C801B1"/>
    <w:rsid w:val="00C804BE"/>
    <w:rsid w:val="00C80F8C"/>
    <w:rsid w:val="00C813CF"/>
    <w:rsid w:val="00C8219A"/>
    <w:rsid w:val="00C835BF"/>
    <w:rsid w:val="00C83685"/>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307"/>
    <w:rsid w:val="00C9571F"/>
    <w:rsid w:val="00C95979"/>
    <w:rsid w:val="00C95B7B"/>
    <w:rsid w:val="00C967C2"/>
    <w:rsid w:val="00CA0E4C"/>
    <w:rsid w:val="00CA0FFF"/>
    <w:rsid w:val="00CA1238"/>
    <w:rsid w:val="00CA1AF4"/>
    <w:rsid w:val="00CA217B"/>
    <w:rsid w:val="00CA2D89"/>
    <w:rsid w:val="00CA328C"/>
    <w:rsid w:val="00CA40D9"/>
    <w:rsid w:val="00CA421E"/>
    <w:rsid w:val="00CA4AE4"/>
    <w:rsid w:val="00CA4FFF"/>
    <w:rsid w:val="00CA538C"/>
    <w:rsid w:val="00CA574E"/>
    <w:rsid w:val="00CA5C7C"/>
    <w:rsid w:val="00CA5F76"/>
    <w:rsid w:val="00CA66DA"/>
    <w:rsid w:val="00CA6B3E"/>
    <w:rsid w:val="00CA7AC5"/>
    <w:rsid w:val="00CA7F00"/>
    <w:rsid w:val="00CB022E"/>
    <w:rsid w:val="00CB05C2"/>
    <w:rsid w:val="00CB0700"/>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70A1"/>
    <w:rsid w:val="00CB74B8"/>
    <w:rsid w:val="00CB75B4"/>
    <w:rsid w:val="00CB77B0"/>
    <w:rsid w:val="00CB7A9F"/>
    <w:rsid w:val="00CB7BD0"/>
    <w:rsid w:val="00CC099B"/>
    <w:rsid w:val="00CC0C98"/>
    <w:rsid w:val="00CC1351"/>
    <w:rsid w:val="00CC150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C7F74"/>
    <w:rsid w:val="00CD0754"/>
    <w:rsid w:val="00CD121D"/>
    <w:rsid w:val="00CD1A7C"/>
    <w:rsid w:val="00CD22CF"/>
    <w:rsid w:val="00CD2319"/>
    <w:rsid w:val="00CD290E"/>
    <w:rsid w:val="00CD2DE8"/>
    <w:rsid w:val="00CD39AB"/>
    <w:rsid w:val="00CD39D7"/>
    <w:rsid w:val="00CD3AEA"/>
    <w:rsid w:val="00CD3DDA"/>
    <w:rsid w:val="00CD4055"/>
    <w:rsid w:val="00CD4BF1"/>
    <w:rsid w:val="00CD4CD7"/>
    <w:rsid w:val="00CD522C"/>
    <w:rsid w:val="00CD53BE"/>
    <w:rsid w:val="00CD5C5E"/>
    <w:rsid w:val="00CD5EA2"/>
    <w:rsid w:val="00CD5F74"/>
    <w:rsid w:val="00CD6357"/>
    <w:rsid w:val="00CD6393"/>
    <w:rsid w:val="00CD6F5D"/>
    <w:rsid w:val="00CD6FCD"/>
    <w:rsid w:val="00CD77B4"/>
    <w:rsid w:val="00CD7898"/>
    <w:rsid w:val="00CE017F"/>
    <w:rsid w:val="00CE094D"/>
    <w:rsid w:val="00CE0EA7"/>
    <w:rsid w:val="00CE0F74"/>
    <w:rsid w:val="00CE100B"/>
    <w:rsid w:val="00CE128B"/>
    <w:rsid w:val="00CE14A0"/>
    <w:rsid w:val="00CE1C3C"/>
    <w:rsid w:val="00CE1D27"/>
    <w:rsid w:val="00CE2884"/>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206"/>
    <w:rsid w:val="00CF1264"/>
    <w:rsid w:val="00CF175F"/>
    <w:rsid w:val="00CF1933"/>
    <w:rsid w:val="00CF19BD"/>
    <w:rsid w:val="00CF1D8A"/>
    <w:rsid w:val="00CF212D"/>
    <w:rsid w:val="00CF2131"/>
    <w:rsid w:val="00CF23B8"/>
    <w:rsid w:val="00CF268C"/>
    <w:rsid w:val="00CF26F9"/>
    <w:rsid w:val="00CF30B2"/>
    <w:rsid w:val="00CF3BA6"/>
    <w:rsid w:val="00CF3C1A"/>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60F4"/>
    <w:rsid w:val="00D06221"/>
    <w:rsid w:val="00D07B90"/>
    <w:rsid w:val="00D07DE6"/>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475"/>
    <w:rsid w:val="00D205A3"/>
    <w:rsid w:val="00D20A11"/>
    <w:rsid w:val="00D212DF"/>
    <w:rsid w:val="00D21D91"/>
    <w:rsid w:val="00D22638"/>
    <w:rsid w:val="00D22B05"/>
    <w:rsid w:val="00D23C5B"/>
    <w:rsid w:val="00D2486D"/>
    <w:rsid w:val="00D24B37"/>
    <w:rsid w:val="00D253F8"/>
    <w:rsid w:val="00D255A8"/>
    <w:rsid w:val="00D25733"/>
    <w:rsid w:val="00D25D8E"/>
    <w:rsid w:val="00D26144"/>
    <w:rsid w:val="00D27341"/>
    <w:rsid w:val="00D278B8"/>
    <w:rsid w:val="00D30461"/>
    <w:rsid w:val="00D30561"/>
    <w:rsid w:val="00D30DB1"/>
    <w:rsid w:val="00D31BB0"/>
    <w:rsid w:val="00D31DB2"/>
    <w:rsid w:val="00D33A00"/>
    <w:rsid w:val="00D34366"/>
    <w:rsid w:val="00D34690"/>
    <w:rsid w:val="00D348AC"/>
    <w:rsid w:val="00D34FEF"/>
    <w:rsid w:val="00D35447"/>
    <w:rsid w:val="00D35470"/>
    <w:rsid w:val="00D36AD2"/>
    <w:rsid w:val="00D36B6B"/>
    <w:rsid w:val="00D36C25"/>
    <w:rsid w:val="00D36CAC"/>
    <w:rsid w:val="00D371D0"/>
    <w:rsid w:val="00D375BF"/>
    <w:rsid w:val="00D37DF9"/>
    <w:rsid w:val="00D400A6"/>
    <w:rsid w:val="00D4064B"/>
    <w:rsid w:val="00D41106"/>
    <w:rsid w:val="00D41507"/>
    <w:rsid w:val="00D41D47"/>
    <w:rsid w:val="00D422A1"/>
    <w:rsid w:val="00D43343"/>
    <w:rsid w:val="00D43A22"/>
    <w:rsid w:val="00D43DD3"/>
    <w:rsid w:val="00D440CC"/>
    <w:rsid w:val="00D44420"/>
    <w:rsid w:val="00D44655"/>
    <w:rsid w:val="00D446DF"/>
    <w:rsid w:val="00D4474E"/>
    <w:rsid w:val="00D44C70"/>
    <w:rsid w:val="00D4518A"/>
    <w:rsid w:val="00D457D4"/>
    <w:rsid w:val="00D4624B"/>
    <w:rsid w:val="00D46933"/>
    <w:rsid w:val="00D46EFB"/>
    <w:rsid w:val="00D476E8"/>
    <w:rsid w:val="00D47997"/>
    <w:rsid w:val="00D47B4D"/>
    <w:rsid w:val="00D47E63"/>
    <w:rsid w:val="00D5022C"/>
    <w:rsid w:val="00D50409"/>
    <w:rsid w:val="00D50504"/>
    <w:rsid w:val="00D50658"/>
    <w:rsid w:val="00D50AE3"/>
    <w:rsid w:val="00D50C8F"/>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B77"/>
    <w:rsid w:val="00D566DF"/>
    <w:rsid w:val="00D57CB6"/>
    <w:rsid w:val="00D60074"/>
    <w:rsid w:val="00D60251"/>
    <w:rsid w:val="00D607A2"/>
    <w:rsid w:val="00D611EE"/>
    <w:rsid w:val="00D61478"/>
    <w:rsid w:val="00D61554"/>
    <w:rsid w:val="00D61DE5"/>
    <w:rsid w:val="00D62461"/>
    <w:rsid w:val="00D62A02"/>
    <w:rsid w:val="00D63E64"/>
    <w:rsid w:val="00D64204"/>
    <w:rsid w:val="00D642C4"/>
    <w:rsid w:val="00D6540E"/>
    <w:rsid w:val="00D65AEB"/>
    <w:rsid w:val="00D6610B"/>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F1C"/>
    <w:rsid w:val="00D76259"/>
    <w:rsid w:val="00D774E5"/>
    <w:rsid w:val="00D77927"/>
    <w:rsid w:val="00D77A5E"/>
    <w:rsid w:val="00D77A78"/>
    <w:rsid w:val="00D812BF"/>
    <w:rsid w:val="00D8180F"/>
    <w:rsid w:val="00D8259E"/>
    <w:rsid w:val="00D83396"/>
    <w:rsid w:val="00D8363F"/>
    <w:rsid w:val="00D83902"/>
    <w:rsid w:val="00D8432A"/>
    <w:rsid w:val="00D849A5"/>
    <w:rsid w:val="00D84ABB"/>
    <w:rsid w:val="00D84F12"/>
    <w:rsid w:val="00D85903"/>
    <w:rsid w:val="00D8682D"/>
    <w:rsid w:val="00D86DB5"/>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736C"/>
    <w:rsid w:val="00D9765D"/>
    <w:rsid w:val="00D9778C"/>
    <w:rsid w:val="00D977AF"/>
    <w:rsid w:val="00DA015F"/>
    <w:rsid w:val="00DA0234"/>
    <w:rsid w:val="00DA049F"/>
    <w:rsid w:val="00DA0B75"/>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1B"/>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5DD"/>
    <w:rsid w:val="00DB4FA7"/>
    <w:rsid w:val="00DB5EC6"/>
    <w:rsid w:val="00DB63E0"/>
    <w:rsid w:val="00DB63FB"/>
    <w:rsid w:val="00DB6554"/>
    <w:rsid w:val="00DB70F1"/>
    <w:rsid w:val="00DB7976"/>
    <w:rsid w:val="00DB7B10"/>
    <w:rsid w:val="00DC03BB"/>
    <w:rsid w:val="00DC08F2"/>
    <w:rsid w:val="00DC09C5"/>
    <w:rsid w:val="00DC0A73"/>
    <w:rsid w:val="00DC1A69"/>
    <w:rsid w:val="00DC1D35"/>
    <w:rsid w:val="00DC2075"/>
    <w:rsid w:val="00DC27BD"/>
    <w:rsid w:val="00DC29EE"/>
    <w:rsid w:val="00DC2F57"/>
    <w:rsid w:val="00DC31DF"/>
    <w:rsid w:val="00DC3223"/>
    <w:rsid w:val="00DC32D0"/>
    <w:rsid w:val="00DC373B"/>
    <w:rsid w:val="00DC3B5E"/>
    <w:rsid w:val="00DC40D8"/>
    <w:rsid w:val="00DC41C8"/>
    <w:rsid w:val="00DC492F"/>
    <w:rsid w:val="00DC4C51"/>
    <w:rsid w:val="00DC4CA2"/>
    <w:rsid w:val="00DC4D94"/>
    <w:rsid w:val="00DC4E59"/>
    <w:rsid w:val="00DC4FD1"/>
    <w:rsid w:val="00DC5D75"/>
    <w:rsid w:val="00DC6E2E"/>
    <w:rsid w:val="00DC6FC2"/>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7B5"/>
    <w:rsid w:val="00DE4856"/>
    <w:rsid w:val="00DE4868"/>
    <w:rsid w:val="00DE491E"/>
    <w:rsid w:val="00DE5140"/>
    <w:rsid w:val="00DE5A70"/>
    <w:rsid w:val="00DE5DA6"/>
    <w:rsid w:val="00DE6529"/>
    <w:rsid w:val="00DE6DC2"/>
    <w:rsid w:val="00DE75D3"/>
    <w:rsid w:val="00DE7626"/>
    <w:rsid w:val="00DE7670"/>
    <w:rsid w:val="00DE777B"/>
    <w:rsid w:val="00DE7920"/>
    <w:rsid w:val="00DE7D7C"/>
    <w:rsid w:val="00DF0034"/>
    <w:rsid w:val="00DF1C97"/>
    <w:rsid w:val="00DF1D8C"/>
    <w:rsid w:val="00DF280F"/>
    <w:rsid w:val="00DF2858"/>
    <w:rsid w:val="00DF2862"/>
    <w:rsid w:val="00DF2D90"/>
    <w:rsid w:val="00DF306F"/>
    <w:rsid w:val="00DF317C"/>
    <w:rsid w:val="00DF3808"/>
    <w:rsid w:val="00DF3AE3"/>
    <w:rsid w:val="00DF46FC"/>
    <w:rsid w:val="00DF4780"/>
    <w:rsid w:val="00DF54B5"/>
    <w:rsid w:val="00DF6138"/>
    <w:rsid w:val="00DF65FB"/>
    <w:rsid w:val="00DF671C"/>
    <w:rsid w:val="00DF6CCB"/>
    <w:rsid w:val="00DF73B1"/>
    <w:rsid w:val="00DF7501"/>
    <w:rsid w:val="00DF7A96"/>
    <w:rsid w:val="00DF7AD5"/>
    <w:rsid w:val="00DF7B6F"/>
    <w:rsid w:val="00DF7CD7"/>
    <w:rsid w:val="00E001FC"/>
    <w:rsid w:val="00E003F7"/>
    <w:rsid w:val="00E00DCC"/>
    <w:rsid w:val="00E01355"/>
    <w:rsid w:val="00E01B94"/>
    <w:rsid w:val="00E01D16"/>
    <w:rsid w:val="00E02F72"/>
    <w:rsid w:val="00E03B27"/>
    <w:rsid w:val="00E040ED"/>
    <w:rsid w:val="00E04342"/>
    <w:rsid w:val="00E044F7"/>
    <w:rsid w:val="00E0504C"/>
    <w:rsid w:val="00E05879"/>
    <w:rsid w:val="00E05A73"/>
    <w:rsid w:val="00E068B9"/>
    <w:rsid w:val="00E0755D"/>
    <w:rsid w:val="00E07710"/>
    <w:rsid w:val="00E10CC9"/>
    <w:rsid w:val="00E110F8"/>
    <w:rsid w:val="00E120FD"/>
    <w:rsid w:val="00E12B9D"/>
    <w:rsid w:val="00E13B19"/>
    <w:rsid w:val="00E149E9"/>
    <w:rsid w:val="00E14FC1"/>
    <w:rsid w:val="00E15A4A"/>
    <w:rsid w:val="00E15BE0"/>
    <w:rsid w:val="00E15C58"/>
    <w:rsid w:val="00E15F30"/>
    <w:rsid w:val="00E16208"/>
    <w:rsid w:val="00E16513"/>
    <w:rsid w:val="00E16B06"/>
    <w:rsid w:val="00E16F44"/>
    <w:rsid w:val="00E172D0"/>
    <w:rsid w:val="00E17435"/>
    <w:rsid w:val="00E1761A"/>
    <w:rsid w:val="00E17E39"/>
    <w:rsid w:val="00E17EFF"/>
    <w:rsid w:val="00E200E4"/>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73D"/>
    <w:rsid w:val="00E252AD"/>
    <w:rsid w:val="00E25BCA"/>
    <w:rsid w:val="00E26180"/>
    <w:rsid w:val="00E26508"/>
    <w:rsid w:val="00E265DC"/>
    <w:rsid w:val="00E26DF6"/>
    <w:rsid w:val="00E27E55"/>
    <w:rsid w:val="00E27EEF"/>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1BE4"/>
    <w:rsid w:val="00E422A0"/>
    <w:rsid w:val="00E42905"/>
    <w:rsid w:val="00E42909"/>
    <w:rsid w:val="00E42F0C"/>
    <w:rsid w:val="00E42F1E"/>
    <w:rsid w:val="00E43258"/>
    <w:rsid w:val="00E432F9"/>
    <w:rsid w:val="00E433F5"/>
    <w:rsid w:val="00E44599"/>
    <w:rsid w:val="00E44C26"/>
    <w:rsid w:val="00E458EA"/>
    <w:rsid w:val="00E45A0A"/>
    <w:rsid w:val="00E45EB3"/>
    <w:rsid w:val="00E463ED"/>
    <w:rsid w:val="00E468BF"/>
    <w:rsid w:val="00E46C91"/>
    <w:rsid w:val="00E46EAF"/>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86C"/>
    <w:rsid w:val="00E768F4"/>
    <w:rsid w:val="00E76B3A"/>
    <w:rsid w:val="00E76BC6"/>
    <w:rsid w:val="00E80488"/>
    <w:rsid w:val="00E808C7"/>
    <w:rsid w:val="00E80B7F"/>
    <w:rsid w:val="00E81572"/>
    <w:rsid w:val="00E816E0"/>
    <w:rsid w:val="00E81912"/>
    <w:rsid w:val="00E82955"/>
    <w:rsid w:val="00E832F8"/>
    <w:rsid w:val="00E8383B"/>
    <w:rsid w:val="00E838E2"/>
    <w:rsid w:val="00E839A1"/>
    <w:rsid w:val="00E84715"/>
    <w:rsid w:val="00E84813"/>
    <w:rsid w:val="00E848B6"/>
    <w:rsid w:val="00E84EE1"/>
    <w:rsid w:val="00E852C3"/>
    <w:rsid w:val="00E857BB"/>
    <w:rsid w:val="00E8663E"/>
    <w:rsid w:val="00E8666F"/>
    <w:rsid w:val="00E86E4F"/>
    <w:rsid w:val="00E87645"/>
    <w:rsid w:val="00E87716"/>
    <w:rsid w:val="00E9151F"/>
    <w:rsid w:val="00E91588"/>
    <w:rsid w:val="00E915CC"/>
    <w:rsid w:val="00E91D9A"/>
    <w:rsid w:val="00E9246E"/>
    <w:rsid w:val="00E92585"/>
    <w:rsid w:val="00E925FB"/>
    <w:rsid w:val="00E9369B"/>
    <w:rsid w:val="00E947D0"/>
    <w:rsid w:val="00E94F26"/>
    <w:rsid w:val="00E958A5"/>
    <w:rsid w:val="00E96568"/>
    <w:rsid w:val="00E96AC5"/>
    <w:rsid w:val="00E96BE8"/>
    <w:rsid w:val="00E96CDD"/>
    <w:rsid w:val="00E96EA4"/>
    <w:rsid w:val="00EA00C0"/>
    <w:rsid w:val="00EA0839"/>
    <w:rsid w:val="00EA0ECA"/>
    <w:rsid w:val="00EA0F34"/>
    <w:rsid w:val="00EA1079"/>
    <w:rsid w:val="00EA131F"/>
    <w:rsid w:val="00EA1414"/>
    <w:rsid w:val="00EA1D12"/>
    <w:rsid w:val="00EA1ECC"/>
    <w:rsid w:val="00EA1EE4"/>
    <w:rsid w:val="00EA23FF"/>
    <w:rsid w:val="00EA27D1"/>
    <w:rsid w:val="00EA2F4B"/>
    <w:rsid w:val="00EA31E3"/>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F03"/>
    <w:rsid w:val="00EB2BC1"/>
    <w:rsid w:val="00EB3302"/>
    <w:rsid w:val="00EB34EA"/>
    <w:rsid w:val="00EB3635"/>
    <w:rsid w:val="00EB3895"/>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861"/>
    <w:rsid w:val="00EC509C"/>
    <w:rsid w:val="00EC5301"/>
    <w:rsid w:val="00EC5CA8"/>
    <w:rsid w:val="00EC64B5"/>
    <w:rsid w:val="00EC685F"/>
    <w:rsid w:val="00EC715C"/>
    <w:rsid w:val="00EC761D"/>
    <w:rsid w:val="00ED0A62"/>
    <w:rsid w:val="00ED0EFD"/>
    <w:rsid w:val="00ED1F7C"/>
    <w:rsid w:val="00ED2644"/>
    <w:rsid w:val="00ED2D9C"/>
    <w:rsid w:val="00ED360F"/>
    <w:rsid w:val="00ED37A6"/>
    <w:rsid w:val="00ED3EC5"/>
    <w:rsid w:val="00ED4566"/>
    <w:rsid w:val="00ED4E8E"/>
    <w:rsid w:val="00ED4F9F"/>
    <w:rsid w:val="00ED5205"/>
    <w:rsid w:val="00ED5486"/>
    <w:rsid w:val="00ED5A04"/>
    <w:rsid w:val="00ED6530"/>
    <w:rsid w:val="00ED670A"/>
    <w:rsid w:val="00ED6990"/>
    <w:rsid w:val="00ED6B01"/>
    <w:rsid w:val="00ED6D3A"/>
    <w:rsid w:val="00ED72CB"/>
    <w:rsid w:val="00ED73CC"/>
    <w:rsid w:val="00ED78FC"/>
    <w:rsid w:val="00ED7A08"/>
    <w:rsid w:val="00EE0888"/>
    <w:rsid w:val="00EE0AD0"/>
    <w:rsid w:val="00EE0CD9"/>
    <w:rsid w:val="00EE0FBD"/>
    <w:rsid w:val="00EE1B24"/>
    <w:rsid w:val="00EE1C12"/>
    <w:rsid w:val="00EE1C1E"/>
    <w:rsid w:val="00EE1EE0"/>
    <w:rsid w:val="00EE2260"/>
    <w:rsid w:val="00EE2AB3"/>
    <w:rsid w:val="00EE3398"/>
    <w:rsid w:val="00EE396C"/>
    <w:rsid w:val="00EE3CB6"/>
    <w:rsid w:val="00EE4801"/>
    <w:rsid w:val="00EE4CD3"/>
    <w:rsid w:val="00EE4D66"/>
    <w:rsid w:val="00EE50D3"/>
    <w:rsid w:val="00EE5AB7"/>
    <w:rsid w:val="00EE76EB"/>
    <w:rsid w:val="00EE77DC"/>
    <w:rsid w:val="00EE7A5A"/>
    <w:rsid w:val="00EE7AD7"/>
    <w:rsid w:val="00EE7F79"/>
    <w:rsid w:val="00EF06BF"/>
    <w:rsid w:val="00EF06C6"/>
    <w:rsid w:val="00EF101D"/>
    <w:rsid w:val="00EF1C96"/>
    <w:rsid w:val="00EF1DAE"/>
    <w:rsid w:val="00EF1F1B"/>
    <w:rsid w:val="00EF377C"/>
    <w:rsid w:val="00EF3D86"/>
    <w:rsid w:val="00EF3DC2"/>
    <w:rsid w:val="00EF3E64"/>
    <w:rsid w:val="00EF3EB6"/>
    <w:rsid w:val="00EF40C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D3C"/>
    <w:rsid w:val="00F147AC"/>
    <w:rsid w:val="00F14D7D"/>
    <w:rsid w:val="00F15864"/>
    <w:rsid w:val="00F15FC2"/>
    <w:rsid w:val="00F15FED"/>
    <w:rsid w:val="00F1614C"/>
    <w:rsid w:val="00F16ADE"/>
    <w:rsid w:val="00F17345"/>
    <w:rsid w:val="00F17AC9"/>
    <w:rsid w:val="00F212DD"/>
    <w:rsid w:val="00F218FF"/>
    <w:rsid w:val="00F2244C"/>
    <w:rsid w:val="00F235BC"/>
    <w:rsid w:val="00F238F9"/>
    <w:rsid w:val="00F23A32"/>
    <w:rsid w:val="00F25009"/>
    <w:rsid w:val="00F25738"/>
    <w:rsid w:val="00F261E6"/>
    <w:rsid w:val="00F266B1"/>
    <w:rsid w:val="00F26CDA"/>
    <w:rsid w:val="00F27831"/>
    <w:rsid w:val="00F27ADA"/>
    <w:rsid w:val="00F30154"/>
    <w:rsid w:val="00F30B2E"/>
    <w:rsid w:val="00F310CE"/>
    <w:rsid w:val="00F31281"/>
    <w:rsid w:val="00F31AAA"/>
    <w:rsid w:val="00F31E00"/>
    <w:rsid w:val="00F3224B"/>
    <w:rsid w:val="00F32A4F"/>
    <w:rsid w:val="00F32AA4"/>
    <w:rsid w:val="00F32B2F"/>
    <w:rsid w:val="00F33560"/>
    <w:rsid w:val="00F338EF"/>
    <w:rsid w:val="00F3460E"/>
    <w:rsid w:val="00F35168"/>
    <w:rsid w:val="00F369F8"/>
    <w:rsid w:val="00F3712D"/>
    <w:rsid w:val="00F37384"/>
    <w:rsid w:val="00F40701"/>
    <w:rsid w:val="00F407CB"/>
    <w:rsid w:val="00F408A1"/>
    <w:rsid w:val="00F408E3"/>
    <w:rsid w:val="00F40912"/>
    <w:rsid w:val="00F41177"/>
    <w:rsid w:val="00F413DE"/>
    <w:rsid w:val="00F41917"/>
    <w:rsid w:val="00F43AFE"/>
    <w:rsid w:val="00F4485A"/>
    <w:rsid w:val="00F44AF6"/>
    <w:rsid w:val="00F44E39"/>
    <w:rsid w:val="00F44F1F"/>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6A8"/>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75DD"/>
    <w:rsid w:val="00F614DD"/>
    <w:rsid w:val="00F62034"/>
    <w:rsid w:val="00F62AAE"/>
    <w:rsid w:val="00F62AF0"/>
    <w:rsid w:val="00F6315F"/>
    <w:rsid w:val="00F63352"/>
    <w:rsid w:val="00F640FB"/>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49E"/>
    <w:rsid w:val="00F714AC"/>
    <w:rsid w:val="00F71583"/>
    <w:rsid w:val="00F71D98"/>
    <w:rsid w:val="00F71FE6"/>
    <w:rsid w:val="00F7200F"/>
    <w:rsid w:val="00F72E59"/>
    <w:rsid w:val="00F73129"/>
    <w:rsid w:val="00F745D1"/>
    <w:rsid w:val="00F74E4E"/>
    <w:rsid w:val="00F74FF2"/>
    <w:rsid w:val="00F75600"/>
    <w:rsid w:val="00F757B3"/>
    <w:rsid w:val="00F75C16"/>
    <w:rsid w:val="00F75F32"/>
    <w:rsid w:val="00F76752"/>
    <w:rsid w:val="00F7794C"/>
    <w:rsid w:val="00F77BFA"/>
    <w:rsid w:val="00F803EF"/>
    <w:rsid w:val="00F8044C"/>
    <w:rsid w:val="00F80560"/>
    <w:rsid w:val="00F80841"/>
    <w:rsid w:val="00F80DC2"/>
    <w:rsid w:val="00F81FCF"/>
    <w:rsid w:val="00F82134"/>
    <w:rsid w:val="00F822B2"/>
    <w:rsid w:val="00F822BE"/>
    <w:rsid w:val="00F82627"/>
    <w:rsid w:val="00F827D7"/>
    <w:rsid w:val="00F828E2"/>
    <w:rsid w:val="00F836BA"/>
    <w:rsid w:val="00F83D96"/>
    <w:rsid w:val="00F83EA1"/>
    <w:rsid w:val="00F842A4"/>
    <w:rsid w:val="00F851BF"/>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2094"/>
    <w:rsid w:val="00F93087"/>
    <w:rsid w:val="00F930EF"/>
    <w:rsid w:val="00F9402A"/>
    <w:rsid w:val="00F9454F"/>
    <w:rsid w:val="00F94593"/>
    <w:rsid w:val="00F9477D"/>
    <w:rsid w:val="00F947A0"/>
    <w:rsid w:val="00F95E33"/>
    <w:rsid w:val="00F960EC"/>
    <w:rsid w:val="00F969DB"/>
    <w:rsid w:val="00F96A5D"/>
    <w:rsid w:val="00F96C31"/>
    <w:rsid w:val="00F96E7D"/>
    <w:rsid w:val="00F96EF1"/>
    <w:rsid w:val="00F97398"/>
    <w:rsid w:val="00F97913"/>
    <w:rsid w:val="00FA041E"/>
    <w:rsid w:val="00FA055E"/>
    <w:rsid w:val="00FA0690"/>
    <w:rsid w:val="00FA1A30"/>
    <w:rsid w:val="00FA1B03"/>
    <w:rsid w:val="00FA229C"/>
    <w:rsid w:val="00FA22A4"/>
    <w:rsid w:val="00FA22CC"/>
    <w:rsid w:val="00FA259E"/>
    <w:rsid w:val="00FA2637"/>
    <w:rsid w:val="00FA3A26"/>
    <w:rsid w:val="00FA3A48"/>
    <w:rsid w:val="00FA3BF4"/>
    <w:rsid w:val="00FA4C3D"/>
    <w:rsid w:val="00FA528A"/>
    <w:rsid w:val="00FA532C"/>
    <w:rsid w:val="00FA55CB"/>
    <w:rsid w:val="00FA6EF0"/>
    <w:rsid w:val="00FA7B36"/>
    <w:rsid w:val="00FB0039"/>
    <w:rsid w:val="00FB080F"/>
    <w:rsid w:val="00FB0FB2"/>
    <w:rsid w:val="00FB1331"/>
    <w:rsid w:val="00FB1993"/>
    <w:rsid w:val="00FB238F"/>
    <w:rsid w:val="00FB271D"/>
    <w:rsid w:val="00FB29DB"/>
    <w:rsid w:val="00FB3456"/>
    <w:rsid w:val="00FB3596"/>
    <w:rsid w:val="00FB3ECF"/>
    <w:rsid w:val="00FB48D6"/>
    <w:rsid w:val="00FB509D"/>
    <w:rsid w:val="00FB5365"/>
    <w:rsid w:val="00FB5C39"/>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683"/>
    <w:rsid w:val="00FC675E"/>
    <w:rsid w:val="00FC682F"/>
    <w:rsid w:val="00FC6BD0"/>
    <w:rsid w:val="00FC7DF3"/>
    <w:rsid w:val="00FD0744"/>
    <w:rsid w:val="00FD15D9"/>
    <w:rsid w:val="00FD22CB"/>
    <w:rsid w:val="00FD387E"/>
    <w:rsid w:val="00FD3CA5"/>
    <w:rsid w:val="00FD3CB1"/>
    <w:rsid w:val="00FD41F6"/>
    <w:rsid w:val="00FD50ED"/>
    <w:rsid w:val="00FD5206"/>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4D0"/>
    <w:rsid w:val="00FE253A"/>
    <w:rsid w:val="00FE2F48"/>
    <w:rsid w:val="00FE307C"/>
    <w:rsid w:val="00FE435E"/>
    <w:rsid w:val="00FE49AC"/>
    <w:rsid w:val="00FE4EC9"/>
    <w:rsid w:val="00FE4FB6"/>
    <w:rsid w:val="00FE4FE2"/>
    <w:rsid w:val="00FE5042"/>
    <w:rsid w:val="00FE556C"/>
    <w:rsid w:val="00FE685C"/>
    <w:rsid w:val="00FF0610"/>
    <w:rsid w:val="00FF08B7"/>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3219886E"/>
  <w15:docId w15:val="{0D51F0E9-7444-49B3-8243-3C5A814CA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60B8"/>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paragraph" w:styleId="Ttulo7">
    <w:name w:val="heading 7"/>
    <w:basedOn w:val="Normal"/>
    <w:next w:val="Normal"/>
    <w:link w:val="Ttulo7Car"/>
    <w:uiPriority w:val="9"/>
    <w:semiHidden/>
    <w:unhideWhenUsed/>
    <w:qFormat/>
    <w:rsid w:val="00F803EF"/>
    <w:pPr>
      <w:keepNext/>
      <w:keepLines/>
      <w:spacing w:before="40" w:line="264" w:lineRule="auto"/>
      <w:outlineLvl w:val="6"/>
    </w:pPr>
    <w:rPr>
      <w:rFonts w:asciiTheme="majorHAnsi" w:eastAsiaTheme="majorEastAsia" w:hAnsiTheme="majorHAnsi" w:cstheme="majorBidi"/>
      <w:i/>
      <w:iCs/>
      <w:color w:val="244061" w:themeColor="accent1" w:themeShade="80"/>
      <w:sz w:val="21"/>
      <w:szCs w:val="21"/>
      <w:lang w:val="es-ES_tradnl"/>
    </w:rPr>
  </w:style>
  <w:style w:type="paragraph" w:styleId="Ttulo8">
    <w:name w:val="heading 8"/>
    <w:basedOn w:val="Normal"/>
    <w:next w:val="Normal"/>
    <w:link w:val="Ttulo8Car"/>
    <w:uiPriority w:val="9"/>
    <w:semiHidden/>
    <w:unhideWhenUsed/>
    <w:qFormat/>
    <w:rsid w:val="00F803EF"/>
    <w:pPr>
      <w:keepNext/>
      <w:keepLines/>
      <w:spacing w:before="40" w:line="264" w:lineRule="auto"/>
      <w:outlineLvl w:val="7"/>
    </w:pPr>
    <w:rPr>
      <w:rFonts w:asciiTheme="majorHAnsi" w:eastAsiaTheme="majorEastAsia" w:hAnsiTheme="majorHAnsi" w:cstheme="majorBidi"/>
      <w:b/>
      <w:bCs/>
      <w:color w:val="1F497D" w:themeColor="text2"/>
      <w:sz w:val="20"/>
      <w:szCs w:val="20"/>
      <w:lang w:val="es-ES_tradnl"/>
    </w:rPr>
  </w:style>
  <w:style w:type="paragraph" w:styleId="Ttulo9">
    <w:name w:val="heading 9"/>
    <w:basedOn w:val="Normal"/>
    <w:next w:val="Normal"/>
    <w:link w:val="Ttulo9Car"/>
    <w:uiPriority w:val="9"/>
    <w:semiHidden/>
    <w:unhideWhenUsed/>
    <w:qFormat/>
    <w:rsid w:val="00F803EF"/>
    <w:pPr>
      <w:keepNext/>
      <w:keepLines/>
      <w:spacing w:before="40" w:line="264" w:lineRule="auto"/>
      <w:outlineLvl w:val="8"/>
    </w:pPr>
    <w:rPr>
      <w:rFonts w:asciiTheme="majorHAnsi" w:eastAsiaTheme="majorEastAsia" w:hAnsiTheme="majorHAnsi" w:cstheme="majorBidi"/>
      <w:b/>
      <w:bCs/>
      <w:i/>
      <w:iCs/>
      <w:color w:val="1F497D" w:themeColor="text2"/>
      <w:sz w:val="20"/>
      <w:szCs w:val="2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qFormat/>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qFormat/>
    <w:rsid w:val="00C80F8C"/>
  </w:style>
  <w:style w:type="paragraph" w:styleId="Textodeglobo">
    <w:name w:val="Balloon Text"/>
    <w:basedOn w:val="Normal"/>
    <w:link w:val="TextodegloboCar"/>
    <w:uiPriority w:val="99"/>
    <w:semiHidden/>
    <w:unhideWhenUsed/>
    <w:qFormat/>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qFormat/>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qFormat/>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qFormat/>
    <w:rsid w:val="009776B8"/>
    <w:pPr>
      <w:spacing w:after="120" w:line="480" w:lineRule="auto"/>
    </w:pPr>
  </w:style>
  <w:style w:type="character" w:customStyle="1" w:styleId="Textoindependiente2Car">
    <w:name w:val="Texto independiente 2 Car"/>
    <w:basedOn w:val="Fuentedeprrafopredeter"/>
    <w:link w:val="Textoindependiente2"/>
    <w:uiPriority w:val="99"/>
    <w:qFormat/>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qFormat/>
    <w:rsid w:val="00532734"/>
    <w:rPr>
      <w:sz w:val="16"/>
      <w:szCs w:val="16"/>
    </w:rPr>
  </w:style>
  <w:style w:type="character" w:customStyle="1" w:styleId="apple-converted-space">
    <w:name w:val="apple-converted-space"/>
    <w:basedOn w:val="Fuentedeprrafopredeter"/>
    <w:qFormat/>
    <w:rsid w:val="00097B14"/>
  </w:style>
  <w:style w:type="paragraph" w:customStyle="1" w:styleId="Default">
    <w:name w:val="Default"/>
    <w:qForma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qFormat/>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qFormat/>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qFormat/>
    <w:rsid w:val="0015349A"/>
    <w:rPr>
      <w:rFonts w:ascii="Courier New" w:hAnsi="Courier New"/>
      <w:sz w:val="20"/>
      <w:szCs w:val="20"/>
    </w:rPr>
  </w:style>
  <w:style w:type="character" w:customStyle="1" w:styleId="TextosinformatoCar">
    <w:name w:val="Texto sin formato Car"/>
    <w:basedOn w:val="Fuentedeprrafopredeter"/>
    <w:link w:val="Textosinformato"/>
    <w:qFormat/>
    <w:rsid w:val="0015349A"/>
    <w:rPr>
      <w:rFonts w:ascii="Courier New" w:eastAsia="Times New Roman" w:hAnsi="Courier New" w:cs="Times New Roman"/>
      <w:sz w:val="20"/>
      <w:szCs w:val="20"/>
      <w:lang w:val="es-ES"/>
    </w:rPr>
  </w:style>
  <w:style w:type="paragraph" w:customStyle="1" w:styleId="Standard">
    <w:name w:val="Standard"/>
    <w:qFormat/>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qFormat/>
    <w:rsid w:val="0015349A"/>
    <w:rPr>
      <w:rFonts w:ascii="Arial" w:hAnsi="Arial" w:cs="Arial" w:hint="default"/>
      <w:b/>
      <w:bCs/>
      <w:sz w:val="18"/>
      <w:szCs w:val="18"/>
    </w:rPr>
  </w:style>
  <w:style w:type="paragraph" w:customStyle="1" w:styleId="Pa2">
    <w:name w:val="Pa2"/>
    <w:basedOn w:val="Normal"/>
    <w:next w:val="Normal"/>
    <w:uiPriority w:val="99"/>
    <w:qFormat/>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qFormat/>
    <w:rsid w:val="0015349A"/>
  </w:style>
  <w:style w:type="paragraph" w:customStyle="1" w:styleId="q">
    <w:name w:val="q"/>
    <w:basedOn w:val="Normal"/>
    <w:qFormat/>
    <w:rsid w:val="0015349A"/>
    <w:pPr>
      <w:spacing w:before="100" w:beforeAutospacing="1" w:after="100" w:afterAutospacing="1"/>
    </w:pPr>
    <w:rPr>
      <w:lang w:eastAsia="es-MX"/>
    </w:rPr>
  </w:style>
  <w:style w:type="character" w:customStyle="1" w:styleId="d">
    <w:name w:val="d"/>
    <w:basedOn w:val="Fuentedeprrafopredeter"/>
    <w:qFormat/>
    <w:rsid w:val="0015349A"/>
  </w:style>
  <w:style w:type="character" w:customStyle="1" w:styleId="b">
    <w:name w:val="b"/>
    <w:basedOn w:val="Fuentedeprrafopredeter"/>
    <w:qFormat/>
    <w:rsid w:val="0015349A"/>
  </w:style>
  <w:style w:type="character" w:customStyle="1" w:styleId="k">
    <w:name w:val="k"/>
    <w:basedOn w:val="Fuentedeprrafopredeter"/>
    <w:qFormat/>
    <w:rsid w:val="0015349A"/>
  </w:style>
  <w:style w:type="character" w:customStyle="1" w:styleId="h">
    <w:name w:val="h"/>
    <w:basedOn w:val="Fuentedeprrafopredeter"/>
    <w:qFormat/>
    <w:rsid w:val="0015349A"/>
  </w:style>
  <w:style w:type="character" w:styleId="CitaHTML">
    <w:name w:val="HTML Cite"/>
    <w:uiPriority w:val="99"/>
    <w:semiHidden/>
    <w:unhideWhenUsed/>
    <w:qFormat/>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qFormat/>
    <w:rsid w:val="00052E1B"/>
    <w:rPr>
      <w:color w:val="FFFFFF"/>
    </w:rPr>
  </w:style>
  <w:style w:type="character" w:customStyle="1" w:styleId="TextoCar">
    <w:name w:val="Texto Car"/>
    <w:link w:val="Texto"/>
    <w:qFormat/>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qFormat/>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qFormat/>
    <w:rsid w:val="003D3A0C"/>
    <w:pPr>
      <w:spacing w:before="101" w:after="101"/>
      <w:jc w:val="center"/>
    </w:pPr>
    <w:rPr>
      <w:b/>
      <w:sz w:val="18"/>
      <w:szCs w:val="18"/>
    </w:rPr>
  </w:style>
  <w:style w:type="character" w:customStyle="1" w:styleId="ANOTACIONCar">
    <w:name w:val="ANOTACION Car"/>
    <w:link w:val="ANOTACION"/>
    <w:qFormat/>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qFormat/>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qFormat/>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qFormat/>
    <w:rsid w:val="002B0232"/>
  </w:style>
  <w:style w:type="paragraph" w:styleId="Textocomentario">
    <w:name w:val="annotation text"/>
    <w:basedOn w:val="Normal"/>
    <w:link w:val="TextocomentarioCar"/>
    <w:uiPriority w:val="99"/>
    <w:unhideWhenUsed/>
    <w:qFormat/>
    <w:rsid w:val="006C2EF9"/>
    <w:rPr>
      <w:sz w:val="20"/>
      <w:szCs w:val="20"/>
    </w:rPr>
  </w:style>
  <w:style w:type="character" w:customStyle="1" w:styleId="TextocomentarioCar">
    <w:name w:val="Texto comentario Car"/>
    <w:basedOn w:val="Fuentedeprrafopredeter"/>
    <w:link w:val="Textocomentario"/>
    <w:uiPriority w:val="99"/>
    <w:qFormat/>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qFormat/>
    <w:rsid w:val="006C2EF9"/>
    <w:rPr>
      <w:b/>
      <w:bCs/>
    </w:rPr>
  </w:style>
  <w:style w:type="character" w:customStyle="1" w:styleId="AsuntodelcomentarioCar">
    <w:name w:val="Asunto del comentario Car"/>
    <w:basedOn w:val="TextocomentarioCar"/>
    <w:link w:val="Asuntodelcomentario"/>
    <w:uiPriority w:val="99"/>
    <w:semiHidden/>
    <w:qFormat/>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qFormat/>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qFormat/>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qFormat/>
    <w:rsid w:val="000054EA"/>
  </w:style>
  <w:style w:type="character" w:customStyle="1" w:styleId="Ninguno">
    <w:name w:val="Ninguno"/>
    <w:qFormat/>
    <w:rsid w:val="00A327E0"/>
    <w:rPr>
      <w:lang w:val="es-ES_tradnl"/>
    </w:rPr>
  </w:style>
  <w:style w:type="paragraph" w:customStyle="1" w:styleId="Cuerpo">
    <w:name w:val="Cuerpo"/>
    <w:qFormat/>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qFormat/>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qFormat/>
    <w:rsid w:val="00641BB8"/>
  </w:style>
  <w:style w:type="paragraph" w:customStyle="1" w:styleId="INCISO">
    <w:name w:val="INCISO"/>
    <w:basedOn w:val="Normal"/>
    <w:qFormat/>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qFormat/>
    <w:rsid w:val="001C4E80"/>
    <w:pPr>
      <w:spacing w:before="100" w:beforeAutospacing="1" w:after="100" w:afterAutospacing="1"/>
    </w:pPr>
    <w:rPr>
      <w:lang w:eastAsia="es-MX"/>
    </w:rPr>
  </w:style>
  <w:style w:type="paragraph" w:customStyle="1" w:styleId="j">
    <w:name w:val="j"/>
    <w:basedOn w:val="Normal"/>
    <w:qFormat/>
    <w:rsid w:val="001C4E80"/>
    <w:pPr>
      <w:spacing w:before="100" w:beforeAutospacing="1" w:after="100" w:afterAutospacing="1"/>
    </w:pPr>
    <w:rPr>
      <w:lang w:eastAsia="es-MX"/>
    </w:rPr>
  </w:style>
  <w:style w:type="character" w:customStyle="1" w:styleId="nacep">
    <w:name w:val="n_acep"/>
    <w:basedOn w:val="Fuentedeprrafopredeter"/>
    <w:qFormat/>
    <w:rsid w:val="001C4E80"/>
  </w:style>
  <w:style w:type="paragraph" w:customStyle="1" w:styleId="m5212863947045306324gmail-msonormal">
    <w:name w:val="m_5212863947045306324gmail-msonormal"/>
    <w:basedOn w:val="Normal"/>
    <w:qFormat/>
    <w:rsid w:val="003A73F9"/>
    <w:pPr>
      <w:spacing w:before="100" w:beforeAutospacing="1" w:after="100" w:afterAutospacing="1"/>
    </w:pPr>
    <w:rPr>
      <w:lang w:eastAsia="es-MX"/>
    </w:rPr>
  </w:style>
  <w:style w:type="character" w:customStyle="1" w:styleId="user-highlighted-active">
    <w:name w:val="user-highlighted-active"/>
    <w:basedOn w:val="Fuentedeprrafopredeter"/>
    <w:qFormat/>
    <w:rsid w:val="00967345"/>
  </w:style>
  <w:style w:type="character" w:customStyle="1" w:styleId="Ttulo4Car">
    <w:name w:val="Título 4 Car"/>
    <w:basedOn w:val="Fuentedeprrafopredeter"/>
    <w:link w:val="Ttulo4"/>
    <w:uiPriority w:val="9"/>
    <w:qFormat/>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qFormat/>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qFormat/>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qFormat/>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qFormat/>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qFormat/>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qFormat/>
    <w:rsid w:val="00FC157F"/>
    <w:rPr>
      <w:rFonts w:ascii="Times New Roman" w:eastAsia="Times New Roman" w:hAnsi="Times New Roman" w:cs="Times New Roman"/>
      <w:lang w:val="es-ES"/>
    </w:rPr>
  </w:style>
  <w:style w:type="character" w:customStyle="1" w:styleId="numberfracccentro">
    <w:name w:val="numberfracccentro"/>
    <w:basedOn w:val="Fuentedeprrafopredeter"/>
    <w:qFormat/>
    <w:rsid w:val="004B7691"/>
  </w:style>
  <w:style w:type="character" w:customStyle="1" w:styleId="titulorubrolgt">
    <w:name w:val="titulorubrolgt"/>
    <w:basedOn w:val="Fuentedeprrafopredeter"/>
    <w:qFormat/>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qForma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qFormat/>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qFormat/>
    <w:rsid w:val="001D2165"/>
    <w:rPr>
      <w:rFonts w:asciiTheme="minorHAnsi" w:eastAsia="Cambria" w:hAnsiTheme="minorHAnsi" w:cstheme="minorBidi"/>
      <w:sz w:val="20"/>
      <w:szCs w:val="20"/>
      <w:lang w:eastAsia="en-US"/>
    </w:rPr>
  </w:style>
  <w:style w:type="paragraph" w:customStyle="1" w:styleId="paragraph">
    <w:name w:val="paragraph"/>
    <w:basedOn w:val="Normal"/>
    <w:uiPriority w:val="99"/>
    <w:qFormat/>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uiPriority w:val="9"/>
    <w:semiHidden/>
    <w:rsid w:val="00F803EF"/>
    <w:rPr>
      <w:rFonts w:asciiTheme="majorHAnsi" w:eastAsiaTheme="majorEastAsia" w:hAnsiTheme="majorHAnsi" w:cstheme="majorBidi"/>
      <w:i/>
      <w:iCs/>
      <w:color w:val="244061" w:themeColor="accent1" w:themeShade="80"/>
      <w:sz w:val="21"/>
      <w:szCs w:val="21"/>
    </w:rPr>
  </w:style>
  <w:style w:type="character" w:customStyle="1" w:styleId="Ttulo8Car">
    <w:name w:val="Título 8 Car"/>
    <w:basedOn w:val="Fuentedeprrafopredeter"/>
    <w:link w:val="Ttulo8"/>
    <w:uiPriority w:val="9"/>
    <w:semiHidden/>
    <w:rsid w:val="00F803EF"/>
    <w:rPr>
      <w:rFonts w:asciiTheme="majorHAnsi" w:eastAsiaTheme="majorEastAsia" w:hAnsiTheme="majorHAnsi" w:cstheme="majorBidi"/>
      <w:b/>
      <w:bCs/>
      <w:color w:val="1F497D" w:themeColor="text2"/>
      <w:sz w:val="20"/>
      <w:szCs w:val="20"/>
    </w:rPr>
  </w:style>
  <w:style w:type="character" w:customStyle="1" w:styleId="Ttulo9Car">
    <w:name w:val="Título 9 Car"/>
    <w:basedOn w:val="Fuentedeprrafopredeter"/>
    <w:link w:val="Ttulo9"/>
    <w:uiPriority w:val="9"/>
    <w:semiHidden/>
    <w:rsid w:val="00F803EF"/>
    <w:rPr>
      <w:rFonts w:asciiTheme="majorHAnsi" w:eastAsiaTheme="majorEastAsia" w:hAnsiTheme="majorHAnsi" w:cstheme="majorBidi"/>
      <w:b/>
      <w:bCs/>
      <w:i/>
      <w:iCs/>
      <w:color w:val="1F497D" w:themeColor="text2"/>
      <w:sz w:val="20"/>
      <w:szCs w:val="20"/>
    </w:rPr>
  </w:style>
  <w:style w:type="numbering" w:customStyle="1" w:styleId="Sinlista1">
    <w:name w:val="Sin lista1"/>
    <w:next w:val="Sinlista"/>
    <w:uiPriority w:val="99"/>
    <w:semiHidden/>
    <w:unhideWhenUsed/>
    <w:rsid w:val="00F803EF"/>
  </w:style>
  <w:style w:type="character" w:customStyle="1" w:styleId="EnlacedeInternet">
    <w:name w:val="Enlace de Internet"/>
    <w:uiPriority w:val="99"/>
    <w:unhideWhenUsed/>
    <w:rsid w:val="00F803EF"/>
    <w:rPr>
      <w:strike w:val="0"/>
      <w:dstrike w:val="0"/>
      <w:color w:val="035899"/>
      <w:u w:val="none"/>
      <w:effect w:val="none"/>
    </w:rPr>
  </w:style>
  <w:style w:type="character" w:customStyle="1" w:styleId="EnlacedeInternetvisitado">
    <w:name w:val="Enlace de Internet visitado"/>
    <w:basedOn w:val="Fuentedeprrafopredeter"/>
    <w:uiPriority w:val="99"/>
    <w:semiHidden/>
    <w:unhideWhenUsed/>
    <w:rsid w:val="00F803EF"/>
    <w:rPr>
      <w:color w:val="800080" w:themeColor="followedHyperlink"/>
      <w:u w:val="single"/>
    </w:rPr>
  </w:style>
  <w:style w:type="character" w:customStyle="1" w:styleId="FootnoteCharacters">
    <w:name w:val="Footnote Characters"/>
    <w:basedOn w:val="Fuentedeprrafopredeter"/>
    <w:uiPriority w:val="99"/>
    <w:unhideWhenUsed/>
    <w:qFormat/>
    <w:rsid w:val="00F803EF"/>
    <w:rPr>
      <w:vertAlign w:val="superscript"/>
    </w:rPr>
  </w:style>
  <w:style w:type="character" w:customStyle="1" w:styleId="FootnoteAnchor">
    <w:name w:val="Footnote Anchor"/>
    <w:qFormat/>
    <w:rsid w:val="00F803EF"/>
    <w:rPr>
      <w:vertAlign w:val="superscript"/>
    </w:rPr>
  </w:style>
  <w:style w:type="character" w:customStyle="1" w:styleId="Destacado">
    <w:name w:val="Destacado"/>
    <w:basedOn w:val="Fuentedeprrafopredeter"/>
    <w:uiPriority w:val="20"/>
    <w:qFormat/>
    <w:rsid w:val="00F803EF"/>
    <w:rPr>
      <w:i/>
      <w:iCs/>
    </w:rPr>
  </w:style>
  <w:style w:type="character" w:customStyle="1" w:styleId="Caracteresdenotaalpie">
    <w:name w:val="Caracteres de nota al pie"/>
    <w:qFormat/>
    <w:rsid w:val="00F803EF"/>
  </w:style>
  <w:style w:type="character" w:customStyle="1" w:styleId="Ancladenotaalpie">
    <w:name w:val="Ancla de nota al pie"/>
    <w:rsid w:val="00F803EF"/>
    <w:rPr>
      <w:vertAlign w:val="superscript"/>
    </w:rPr>
  </w:style>
  <w:style w:type="character" w:customStyle="1" w:styleId="Ancladenotafinal">
    <w:name w:val="Ancla de nota final"/>
    <w:rsid w:val="00F803EF"/>
    <w:rPr>
      <w:vertAlign w:val="superscript"/>
    </w:rPr>
  </w:style>
  <w:style w:type="character" w:customStyle="1" w:styleId="Caracteresdenotafinal">
    <w:name w:val="Caracteres de nota final"/>
    <w:qFormat/>
    <w:rsid w:val="00F803EF"/>
  </w:style>
  <w:style w:type="character" w:customStyle="1" w:styleId="Smbolosdenumeracin">
    <w:name w:val="Símbolos de numeración"/>
    <w:qFormat/>
    <w:rsid w:val="00F803EF"/>
    <w:rPr>
      <w:b/>
      <w:bCs/>
      <w:sz w:val="28"/>
      <w:szCs w:val="28"/>
    </w:rPr>
  </w:style>
  <w:style w:type="paragraph" w:customStyle="1" w:styleId="Ttulo10">
    <w:name w:val="Título1"/>
    <w:basedOn w:val="Normal"/>
    <w:next w:val="Textoindependiente"/>
    <w:qFormat/>
    <w:rsid w:val="00F803EF"/>
    <w:pPr>
      <w:keepNext/>
      <w:suppressAutoHyphens/>
      <w:spacing w:before="240" w:after="120"/>
    </w:pPr>
    <w:rPr>
      <w:rFonts w:ascii="Liberation Sans" w:eastAsia="Noto Sans CJK SC" w:hAnsi="Liberation Sans" w:cs="Lohit Devanagari"/>
      <w:sz w:val="28"/>
      <w:szCs w:val="28"/>
    </w:rPr>
  </w:style>
  <w:style w:type="paragraph" w:styleId="Descripcin">
    <w:name w:val="caption"/>
    <w:basedOn w:val="Normal"/>
    <w:uiPriority w:val="35"/>
    <w:qFormat/>
    <w:rsid w:val="00F803EF"/>
    <w:pPr>
      <w:suppressLineNumbers/>
      <w:suppressAutoHyphens/>
      <w:spacing w:before="120" w:after="120"/>
    </w:pPr>
    <w:rPr>
      <w:rFonts w:cs="Lohit Devanagari"/>
      <w:i/>
      <w:iCs/>
    </w:rPr>
  </w:style>
  <w:style w:type="paragraph" w:customStyle="1" w:styleId="ndice">
    <w:name w:val="Índice"/>
    <w:basedOn w:val="Normal"/>
    <w:qFormat/>
    <w:rsid w:val="00F803EF"/>
    <w:pPr>
      <w:suppressLineNumbers/>
      <w:suppressAutoHyphens/>
    </w:pPr>
    <w:rPr>
      <w:rFonts w:cs="Lohit Devanagari"/>
    </w:rPr>
  </w:style>
  <w:style w:type="paragraph" w:customStyle="1" w:styleId="Cabeceraypie">
    <w:name w:val="Cabecera y pie"/>
    <w:basedOn w:val="Normal"/>
    <w:qFormat/>
    <w:rsid w:val="00F803EF"/>
    <w:pPr>
      <w:suppressAutoHyphens/>
    </w:pPr>
  </w:style>
  <w:style w:type="paragraph" w:styleId="Listaconvietas3">
    <w:name w:val="List Bullet 3"/>
    <w:basedOn w:val="Normal"/>
    <w:uiPriority w:val="99"/>
    <w:unhideWhenUsed/>
    <w:qFormat/>
    <w:rsid w:val="00F803EF"/>
    <w:pPr>
      <w:suppressAutoHyphens/>
      <w:ind w:left="566" w:hanging="283"/>
      <w:contextualSpacing/>
    </w:pPr>
    <w:rPr>
      <w:lang w:val="es-ES"/>
    </w:rPr>
  </w:style>
  <w:style w:type="paragraph" w:styleId="Listaconvietas4">
    <w:name w:val="List Bullet 4"/>
    <w:basedOn w:val="Normal"/>
    <w:uiPriority w:val="99"/>
    <w:unhideWhenUsed/>
    <w:qFormat/>
    <w:rsid w:val="00F803EF"/>
    <w:pPr>
      <w:suppressAutoHyphens/>
      <w:ind w:left="849" w:hanging="283"/>
      <w:contextualSpacing/>
    </w:pPr>
    <w:rPr>
      <w:lang w:val="es-ES"/>
    </w:rPr>
  </w:style>
  <w:style w:type="numbering" w:customStyle="1" w:styleId="Estiloimportado21">
    <w:name w:val="Estilo importado 21"/>
    <w:qFormat/>
    <w:rsid w:val="00F803EF"/>
  </w:style>
  <w:style w:type="numbering" w:customStyle="1" w:styleId="Estiloimportado11">
    <w:name w:val="Estilo importado 11"/>
    <w:qFormat/>
    <w:rsid w:val="00F803EF"/>
    <w:pPr>
      <w:numPr>
        <w:numId w:val="3"/>
      </w:numPr>
    </w:pPr>
  </w:style>
  <w:style w:type="table" w:customStyle="1" w:styleId="Tablaconcuadrcula3">
    <w:name w:val="Tabla con cuadrícula3"/>
    <w:basedOn w:val="Tablanormal"/>
    <w:next w:val="Tablaconcuadrcula"/>
    <w:uiPriority w:val="39"/>
    <w:rsid w:val="00F803EF"/>
    <w:pPr>
      <w:suppressAutoHyphens/>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uiPriority w:val="59"/>
    <w:rsid w:val="00F803EF"/>
    <w:pPr>
      <w:suppressAutoHyphens/>
    </w:pPr>
    <w:rPr>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uiPriority w:val="39"/>
    <w:rsid w:val="00F803EF"/>
    <w:pPr>
      <w:suppressAutoHyphens/>
    </w:pPr>
    <w:rPr>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op">
    <w:name w:val="eop"/>
    <w:basedOn w:val="Fuentedeprrafopredeter"/>
    <w:rsid w:val="00F803EF"/>
  </w:style>
  <w:style w:type="numbering" w:customStyle="1" w:styleId="Sinlista11">
    <w:name w:val="Sin lista11"/>
    <w:next w:val="Sinlista"/>
    <w:uiPriority w:val="99"/>
    <w:semiHidden/>
    <w:unhideWhenUsed/>
    <w:rsid w:val="00F803EF"/>
  </w:style>
  <w:style w:type="table" w:customStyle="1" w:styleId="Tablaconcuadrcula31">
    <w:name w:val="Tabla con cuadrícula31"/>
    <w:basedOn w:val="Tablanormal"/>
    <w:next w:val="Tablaconcuadrcula"/>
    <w:uiPriority w:val="5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
    <w:name w:val="Estilo importado 211"/>
    <w:rsid w:val="00F803EF"/>
    <w:pPr>
      <w:numPr>
        <w:numId w:val="4"/>
      </w:numPr>
    </w:pPr>
  </w:style>
  <w:style w:type="numbering" w:customStyle="1" w:styleId="Estiloimportado111">
    <w:name w:val="Estilo importado 111"/>
    <w:rsid w:val="00F803EF"/>
  </w:style>
  <w:style w:type="table" w:customStyle="1" w:styleId="Tablaconcuadrcula111">
    <w:name w:val="Tabla con cuadrícula111"/>
    <w:basedOn w:val="Tablanormal"/>
    <w:next w:val="Tablaconcuadrcula"/>
    <w:uiPriority w:val="39"/>
    <w:rsid w:val="00F803EF"/>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1">
    <w:name w:val="Tabla con cuadrícula211"/>
    <w:basedOn w:val="Tablanormal"/>
    <w:next w:val="Tablaconcuadrcula"/>
    <w:uiPriority w:val="39"/>
    <w:rsid w:val="00F803E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F803EF"/>
    <w:rPr>
      <w:color w:val="605E5C"/>
      <w:shd w:val="clear" w:color="auto" w:fill="E1DFDD"/>
    </w:rPr>
  </w:style>
  <w:style w:type="paragraph" w:customStyle="1" w:styleId="temp">
    <w:name w:val="temp"/>
    <w:basedOn w:val="Normal"/>
    <w:rsid w:val="00F803EF"/>
    <w:pPr>
      <w:spacing w:before="100" w:beforeAutospacing="1" w:after="100" w:afterAutospacing="1"/>
    </w:pPr>
    <w:rPr>
      <w:lang w:eastAsia="es-MX"/>
    </w:rPr>
  </w:style>
  <w:style w:type="character" w:customStyle="1" w:styleId="bold">
    <w:name w:val="bold"/>
    <w:basedOn w:val="Fuentedeprrafopredeter"/>
    <w:rsid w:val="00F803EF"/>
  </w:style>
  <w:style w:type="paragraph" w:customStyle="1" w:styleId="ng-star-inserted">
    <w:name w:val="ng-star-inserted"/>
    <w:basedOn w:val="Normal"/>
    <w:rsid w:val="00F803EF"/>
    <w:pPr>
      <w:spacing w:before="100" w:beforeAutospacing="1" w:after="100" w:afterAutospacing="1"/>
    </w:pPr>
    <w:rPr>
      <w:lang w:eastAsia="es-MX"/>
    </w:rPr>
  </w:style>
  <w:style w:type="character" w:customStyle="1" w:styleId="Mencinsinresolver2">
    <w:name w:val="Mención sin resolver2"/>
    <w:basedOn w:val="Fuentedeprrafopredeter"/>
    <w:uiPriority w:val="99"/>
    <w:semiHidden/>
    <w:unhideWhenUsed/>
    <w:rsid w:val="00F803EF"/>
    <w:rPr>
      <w:color w:val="605E5C"/>
      <w:shd w:val="clear" w:color="auto" w:fill="E1DFDD"/>
    </w:rPr>
  </w:style>
  <w:style w:type="character" w:customStyle="1" w:styleId="Mencinsinresolver3">
    <w:name w:val="Mención sin resolver3"/>
    <w:basedOn w:val="Fuentedeprrafopredeter"/>
    <w:uiPriority w:val="99"/>
    <w:semiHidden/>
    <w:unhideWhenUsed/>
    <w:rsid w:val="00F803EF"/>
    <w:rPr>
      <w:color w:val="605E5C"/>
      <w:shd w:val="clear" w:color="auto" w:fill="E1DFDD"/>
    </w:rPr>
  </w:style>
  <w:style w:type="paragraph" w:styleId="Saludo">
    <w:name w:val="Salutation"/>
    <w:basedOn w:val="Normal"/>
    <w:next w:val="Normal"/>
    <w:link w:val="SaludoCar"/>
    <w:uiPriority w:val="99"/>
    <w:unhideWhenUsed/>
    <w:rsid w:val="00F803EF"/>
  </w:style>
  <w:style w:type="character" w:customStyle="1" w:styleId="SaludoCar">
    <w:name w:val="Saludo Car"/>
    <w:basedOn w:val="Fuentedeprrafopredeter"/>
    <w:link w:val="Saludo"/>
    <w:uiPriority w:val="99"/>
    <w:rsid w:val="00F803EF"/>
    <w:rPr>
      <w:rFonts w:ascii="Times New Roman" w:eastAsia="Times New Roman" w:hAnsi="Times New Roman" w:cs="Times New Roman"/>
      <w:lang w:val="es-MX"/>
    </w:rPr>
  </w:style>
  <w:style w:type="character" w:customStyle="1" w:styleId="Mencinsinresolver4">
    <w:name w:val="Mención sin resolver4"/>
    <w:basedOn w:val="Fuentedeprrafopredeter"/>
    <w:uiPriority w:val="99"/>
    <w:semiHidden/>
    <w:unhideWhenUsed/>
    <w:rsid w:val="00F803EF"/>
    <w:rPr>
      <w:color w:val="605E5C"/>
      <w:shd w:val="clear" w:color="auto" w:fill="E1DFDD"/>
    </w:rPr>
  </w:style>
  <w:style w:type="character" w:customStyle="1" w:styleId="Mencinsinresolver5">
    <w:name w:val="Mención sin resolver5"/>
    <w:basedOn w:val="Fuentedeprrafopredeter"/>
    <w:uiPriority w:val="99"/>
    <w:semiHidden/>
    <w:unhideWhenUsed/>
    <w:rsid w:val="00F803EF"/>
    <w:rPr>
      <w:color w:val="605E5C"/>
      <w:shd w:val="clear" w:color="auto" w:fill="E1DFDD"/>
    </w:rPr>
  </w:style>
  <w:style w:type="character" w:customStyle="1" w:styleId="Mencinsinresolver6">
    <w:name w:val="Mención sin resolver6"/>
    <w:basedOn w:val="Fuentedeprrafopredeter"/>
    <w:uiPriority w:val="99"/>
    <w:semiHidden/>
    <w:unhideWhenUsed/>
    <w:rsid w:val="00F803EF"/>
    <w:rPr>
      <w:color w:val="605E5C"/>
      <w:shd w:val="clear" w:color="auto" w:fill="E1DFDD"/>
    </w:rPr>
  </w:style>
  <w:style w:type="table" w:customStyle="1" w:styleId="Tablaconcuadrcula111121">
    <w:name w:val="Tabla con cuadrícula111121"/>
    <w:basedOn w:val="Tablanormal"/>
    <w:uiPriority w:val="39"/>
    <w:rsid w:val="00F803EF"/>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11">
    <w:name w:val="Tabla con cuadrícula1111211"/>
    <w:basedOn w:val="Tablanormal"/>
    <w:uiPriority w:val="39"/>
    <w:rsid w:val="00F803EF"/>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7">
    <w:name w:val="Mención sin resolver7"/>
    <w:basedOn w:val="Fuentedeprrafopredeter"/>
    <w:uiPriority w:val="99"/>
    <w:semiHidden/>
    <w:unhideWhenUsed/>
    <w:rsid w:val="00F803EF"/>
    <w:rPr>
      <w:color w:val="605E5C"/>
      <w:shd w:val="clear" w:color="auto" w:fill="E1DFDD"/>
    </w:rPr>
  </w:style>
  <w:style w:type="character" w:customStyle="1" w:styleId="Mencinsinresolver8">
    <w:name w:val="Mención sin resolver8"/>
    <w:basedOn w:val="Fuentedeprrafopredeter"/>
    <w:uiPriority w:val="99"/>
    <w:semiHidden/>
    <w:unhideWhenUsed/>
    <w:rsid w:val="00F803EF"/>
    <w:rPr>
      <w:color w:val="605E5C"/>
      <w:shd w:val="clear" w:color="auto" w:fill="E1DFDD"/>
    </w:rPr>
  </w:style>
  <w:style w:type="table" w:customStyle="1" w:styleId="Tablaconcuadrcula1111212">
    <w:name w:val="Tabla con cuadrícula1111212"/>
    <w:basedOn w:val="Tablanormal"/>
    <w:uiPriority w:val="39"/>
    <w:rsid w:val="00F803EF"/>
    <w:rPr>
      <w:rFonts w:ascii="Cambria" w:eastAsia="Cambria" w:hAnsi="Cambria"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uiPriority w:val="39"/>
    <w:rsid w:val="00F803EF"/>
    <w:pPr>
      <w:suppressAutoHyphens/>
    </w:pPr>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F803EF"/>
    <w:pPr>
      <w:spacing w:before="100" w:beforeAutospacing="1" w:after="100" w:afterAutospacing="1"/>
    </w:pPr>
    <w:rPr>
      <w:lang w:eastAsia="es-MX"/>
    </w:rPr>
  </w:style>
  <w:style w:type="table" w:customStyle="1" w:styleId="Tablaconcuadrcula7">
    <w:name w:val="Tabla con cuadrícula7"/>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
    <w:name w:val="Sin lista111"/>
    <w:next w:val="Sinlista"/>
    <w:uiPriority w:val="99"/>
    <w:semiHidden/>
    <w:unhideWhenUsed/>
    <w:rsid w:val="00F803EF"/>
  </w:style>
  <w:style w:type="numbering" w:customStyle="1" w:styleId="Sinlista1111">
    <w:name w:val="Sin lista1111"/>
    <w:next w:val="Sinlista"/>
    <w:uiPriority w:val="99"/>
    <w:semiHidden/>
    <w:unhideWhenUsed/>
    <w:rsid w:val="00F803EF"/>
  </w:style>
  <w:style w:type="table" w:customStyle="1" w:styleId="Tablaconcuadrcula1111">
    <w:name w:val="Tabla con cuadrícula111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semiHidden/>
    <w:unhideWhenUsed/>
    <w:rsid w:val="00F803EF"/>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F803EF"/>
    <w:rPr>
      <w:rFonts w:ascii="Times New Roman" w:eastAsia="Times New Roman" w:hAnsi="Times New Roman" w:cs="Times New Roman"/>
      <w:sz w:val="16"/>
      <w:szCs w:val="16"/>
      <w:lang w:val="es-MX"/>
    </w:rPr>
  </w:style>
  <w:style w:type="numbering" w:customStyle="1" w:styleId="Sinlista2">
    <w:name w:val="Sin lista2"/>
    <w:next w:val="Sinlista"/>
    <w:uiPriority w:val="99"/>
    <w:semiHidden/>
    <w:unhideWhenUsed/>
    <w:rsid w:val="00F803EF"/>
  </w:style>
  <w:style w:type="numbering" w:customStyle="1" w:styleId="Sinlista3">
    <w:name w:val="Sin lista3"/>
    <w:next w:val="Sinlista"/>
    <w:uiPriority w:val="99"/>
    <w:semiHidden/>
    <w:unhideWhenUsed/>
    <w:rsid w:val="00F803EF"/>
  </w:style>
  <w:style w:type="numbering" w:customStyle="1" w:styleId="Sinlista4">
    <w:name w:val="Sin lista4"/>
    <w:next w:val="Sinlista"/>
    <w:uiPriority w:val="99"/>
    <w:semiHidden/>
    <w:unhideWhenUsed/>
    <w:rsid w:val="00F803EF"/>
  </w:style>
  <w:style w:type="table" w:customStyle="1" w:styleId="Tablaconcuadrcula4">
    <w:name w:val="Tabla con cuadrícula4"/>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803EF"/>
  </w:style>
  <w:style w:type="table" w:customStyle="1" w:styleId="Tablaconcuadrcula5">
    <w:name w:val="Tabla con cuadrícula5"/>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F803EF"/>
  </w:style>
  <w:style w:type="table" w:customStyle="1" w:styleId="Tablaconcuadrcula2111">
    <w:name w:val="Tabla con cuadrícula211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
    <w:name w:val="Sin lista11111"/>
    <w:next w:val="Sinlista"/>
    <w:uiPriority w:val="99"/>
    <w:semiHidden/>
    <w:unhideWhenUsed/>
    <w:rsid w:val="00F803EF"/>
  </w:style>
  <w:style w:type="numbering" w:customStyle="1" w:styleId="Sinlista21">
    <w:name w:val="Sin lista21"/>
    <w:next w:val="Sinlista"/>
    <w:uiPriority w:val="99"/>
    <w:semiHidden/>
    <w:unhideWhenUsed/>
    <w:rsid w:val="00F803EF"/>
  </w:style>
  <w:style w:type="numbering" w:customStyle="1" w:styleId="Sinlista31">
    <w:name w:val="Sin lista31"/>
    <w:next w:val="Sinlista"/>
    <w:uiPriority w:val="99"/>
    <w:semiHidden/>
    <w:unhideWhenUsed/>
    <w:rsid w:val="00F803EF"/>
  </w:style>
  <w:style w:type="table" w:customStyle="1" w:styleId="Tablaconcuadrcula3111">
    <w:name w:val="Tabla con cuadrícula311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
    <w:name w:val="Sin lista41"/>
    <w:next w:val="Sinlista"/>
    <w:uiPriority w:val="99"/>
    <w:semiHidden/>
    <w:unhideWhenUsed/>
    <w:rsid w:val="00F803EF"/>
  </w:style>
  <w:style w:type="table" w:customStyle="1" w:styleId="Tablaconcuadrcula41">
    <w:name w:val="Tabla con cuadrícula4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F803EF"/>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
    <w:name w:val="Estilo importado 2111"/>
    <w:rsid w:val="00F803EF"/>
  </w:style>
  <w:style w:type="numbering" w:customStyle="1" w:styleId="Estiloimportado1111">
    <w:name w:val="Estilo importado 1111"/>
    <w:rsid w:val="00F803EF"/>
  </w:style>
  <w:style w:type="numbering" w:customStyle="1" w:styleId="Sinlista111111">
    <w:name w:val="Sin lista111111"/>
    <w:next w:val="Sinlista"/>
    <w:uiPriority w:val="99"/>
    <w:semiHidden/>
    <w:unhideWhenUsed/>
    <w:rsid w:val="00F803EF"/>
  </w:style>
  <w:style w:type="numbering" w:customStyle="1" w:styleId="Sinlista6">
    <w:name w:val="Sin lista6"/>
    <w:next w:val="Sinlista"/>
    <w:uiPriority w:val="99"/>
    <w:semiHidden/>
    <w:unhideWhenUsed/>
    <w:rsid w:val="00F803EF"/>
  </w:style>
  <w:style w:type="table" w:customStyle="1" w:styleId="Tablaconcuadrcula6">
    <w:name w:val="Tabla con cuadrícula6"/>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39"/>
    <w:rsid w:val="00F803EF"/>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F803EF"/>
  </w:style>
  <w:style w:type="numbering" w:customStyle="1" w:styleId="Sinlista13">
    <w:name w:val="Sin lista13"/>
    <w:next w:val="Sinlista"/>
    <w:uiPriority w:val="99"/>
    <w:semiHidden/>
    <w:unhideWhenUsed/>
    <w:rsid w:val="00F803EF"/>
  </w:style>
  <w:style w:type="table" w:customStyle="1" w:styleId="Tablaconcuadrcula13">
    <w:name w:val="Tabla con cuadrícula13"/>
    <w:basedOn w:val="Tablanormal"/>
    <w:next w:val="Tablaconcuadrcula"/>
    <w:uiPriority w:val="5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F803EF"/>
  </w:style>
  <w:style w:type="table" w:customStyle="1" w:styleId="Tablaconcuadrcula22">
    <w:name w:val="Tabla con cuadrícula2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
    <w:name w:val="Sin lista32"/>
    <w:next w:val="Sinlista"/>
    <w:uiPriority w:val="99"/>
    <w:semiHidden/>
    <w:unhideWhenUsed/>
    <w:rsid w:val="00F803EF"/>
  </w:style>
  <w:style w:type="table" w:customStyle="1" w:styleId="Tablaconcuadrcula32">
    <w:name w:val="Tabla con cuadrícula3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
    <w:name w:val="Sin lista42"/>
    <w:next w:val="Sinlista"/>
    <w:uiPriority w:val="99"/>
    <w:semiHidden/>
    <w:unhideWhenUsed/>
    <w:rsid w:val="00F803EF"/>
  </w:style>
  <w:style w:type="table" w:customStyle="1" w:styleId="Tablaconcuadrcula42">
    <w:name w:val="Tabla con cuadrícula4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
    <w:name w:val="Sin lista51"/>
    <w:next w:val="Sinlista"/>
    <w:uiPriority w:val="99"/>
    <w:semiHidden/>
    <w:unhideWhenUsed/>
    <w:rsid w:val="00F803EF"/>
  </w:style>
  <w:style w:type="table" w:customStyle="1" w:styleId="Tablaconcuadrcula51">
    <w:name w:val="Tabla con cuadrícula5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
    <w:name w:val="Sin lista61"/>
    <w:next w:val="Sinlista"/>
    <w:uiPriority w:val="99"/>
    <w:semiHidden/>
    <w:unhideWhenUsed/>
    <w:rsid w:val="00F803EF"/>
  </w:style>
  <w:style w:type="table" w:customStyle="1" w:styleId="Tablaconcuadrcula61">
    <w:name w:val="Tabla con cuadrícula6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
    <w:name w:val="Estilo importado 22"/>
    <w:rsid w:val="00F803EF"/>
    <w:pPr>
      <w:numPr>
        <w:numId w:val="8"/>
      </w:numPr>
    </w:pPr>
  </w:style>
  <w:style w:type="numbering" w:customStyle="1" w:styleId="Estiloimportado12">
    <w:name w:val="Estilo importado 12"/>
    <w:rsid w:val="00F803EF"/>
    <w:pPr>
      <w:numPr>
        <w:numId w:val="9"/>
      </w:numPr>
    </w:pPr>
  </w:style>
  <w:style w:type="table" w:customStyle="1" w:styleId="Tablaconcuadrcula121">
    <w:name w:val="Tabla con cuadrícula121"/>
    <w:basedOn w:val="Tablanormal"/>
    <w:next w:val="Tablaconcuadrcula"/>
    <w:uiPriority w:val="5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
    <w:name w:val="Sin lista112"/>
    <w:next w:val="Sinlista"/>
    <w:uiPriority w:val="99"/>
    <w:semiHidden/>
    <w:unhideWhenUsed/>
    <w:rsid w:val="00F803EF"/>
  </w:style>
  <w:style w:type="numbering" w:customStyle="1" w:styleId="Sinlista1112">
    <w:name w:val="Sin lista1112"/>
    <w:next w:val="Sinlista"/>
    <w:uiPriority w:val="99"/>
    <w:semiHidden/>
    <w:unhideWhenUsed/>
    <w:rsid w:val="00F803EF"/>
  </w:style>
  <w:style w:type="numbering" w:customStyle="1" w:styleId="Sinlista211">
    <w:name w:val="Sin lista211"/>
    <w:next w:val="Sinlista"/>
    <w:uiPriority w:val="99"/>
    <w:semiHidden/>
    <w:unhideWhenUsed/>
    <w:rsid w:val="00F803EF"/>
  </w:style>
  <w:style w:type="numbering" w:customStyle="1" w:styleId="Sinlista311">
    <w:name w:val="Sin lista311"/>
    <w:next w:val="Sinlista"/>
    <w:uiPriority w:val="99"/>
    <w:semiHidden/>
    <w:unhideWhenUsed/>
    <w:rsid w:val="00F803EF"/>
  </w:style>
  <w:style w:type="numbering" w:customStyle="1" w:styleId="Sinlista411">
    <w:name w:val="Sin lista411"/>
    <w:next w:val="Sinlista"/>
    <w:uiPriority w:val="99"/>
    <w:semiHidden/>
    <w:unhideWhenUsed/>
    <w:rsid w:val="00F803EF"/>
  </w:style>
  <w:style w:type="table" w:customStyle="1" w:styleId="Tablaconcuadrcula411">
    <w:name w:val="Tabla con cuadrícula41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
    <w:name w:val="Sin lista511"/>
    <w:next w:val="Sinlista"/>
    <w:uiPriority w:val="99"/>
    <w:semiHidden/>
    <w:unhideWhenUsed/>
    <w:rsid w:val="00F803EF"/>
  </w:style>
  <w:style w:type="numbering" w:customStyle="1" w:styleId="Sinlista121">
    <w:name w:val="Sin lista121"/>
    <w:next w:val="Sinlista"/>
    <w:uiPriority w:val="99"/>
    <w:semiHidden/>
    <w:unhideWhenUsed/>
    <w:rsid w:val="00F803EF"/>
  </w:style>
  <w:style w:type="numbering" w:customStyle="1" w:styleId="Sinlista1111111">
    <w:name w:val="Sin lista1111111"/>
    <w:next w:val="Sinlista"/>
    <w:uiPriority w:val="99"/>
    <w:semiHidden/>
    <w:unhideWhenUsed/>
    <w:rsid w:val="00F803EF"/>
  </w:style>
  <w:style w:type="numbering" w:customStyle="1" w:styleId="Sinlista2111">
    <w:name w:val="Sin lista2111"/>
    <w:next w:val="Sinlista"/>
    <w:uiPriority w:val="99"/>
    <w:semiHidden/>
    <w:unhideWhenUsed/>
    <w:rsid w:val="00F803EF"/>
  </w:style>
  <w:style w:type="numbering" w:customStyle="1" w:styleId="Sinlista3111">
    <w:name w:val="Sin lista3111"/>
    <w:next w:val="Sinlista"/>
    <w:uiPriority w:val="99"/>
    <w:semiHidden/>
    <w:unhideWhenUsed/>
    <w:rsid w:val="00F803EF"/>
  </w:style>
  <w:style w:type="numbering" w:customStyle="1" w:styleId="Sinlista4111">
    <w:name w:val="Sin lista4111"/>
    <w:next w:val="Sinlista"/>
    <w:uiPriority w:val="99"/>
    <w:semiHidden/>
    <w:unhideWhenUsed/>
    <w:rsid w:val="00F803EF"/>
  </w:style>
  <w:style w:type="numbering" w:customStyle="1" w:styleId="Sinlista71">
    <w:name w:val="Sin lista71"/>
    <w:next w:val="Sinlista"/>
    <w:uiPriority w:val="99"/>
    <w:semiHidden/>
    <w:unhideWhenUsed/>
    <w:rsid w:val="00F803EF"/>
  </w:style>
  <w:style w:type="table" w:customStyle="1" w:styleId="Tablaconcuadrcula8">
    <w:name w:val="Tabla con cuadrícula8"/>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1">
    <w:name w:val="Estilo importado 21111"/>
    <w:rsid w:val="00F803EF"/>
  </w:style>
  <w:style w:type="numbering" w:customStyle="1" w:styleId="Estiloimportado11111">
    <w:name w:val="Estilo importado 11111"/>
    <w:rsid w:val="00F803EF"/>
  </w:style>
  <w:style w:type="numbering" w:customStyle="1" w:styleId="Sinlista131">
    <w:name w:val="Sin lista131"/>
    <w:next w:val="Sinlista"/>
    <w:uiPriority w:val="99"/>
    <w:semiHidden/>
    <w:unhideWhenUsed/>
    <w:rsid w:val="00F803EF"/>
  </w:style>
  <w:style w:type="numbering" w:customStyle="1" w:styleId="Sinlista1121">
    <w:name w:val="Sin lista1121"/>
    <w:next w:val="Sinlista"/>
    <w:uiPriority w:val="99"/>
    <w:semiHidden/>
    <w:unhideWhenUsed/>
    <w:rsid w:val="00F803EF"/>
  </w:style>
  <w:style w:type="table" w:customStyle="1" w:styleId="Tablaconcuadrcula1121">
    <w:name w:val="Tabla con cuadrícula112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1">
    <w:name w:val="Sin lista221"/>
    <w:next w:val="Sinlista"/>
    <w:uiPriority w:val="99"/>
    <w:semiHidden/>
    <w:unhideWhenUsed/>
    <w:rsid w:val="00F803EF"/>
  </w:style>
  <w:style w:type="numbering" w:customStyle="1" w:styleId="Sinlista321">
    <w:name w:val="Sin lista321"/>
    <w:next w:val="Sinlista"/>
    <w:uiPriority w:val="99"/>
    <w:semiHidden/>
    <w:unhideWhenUsed/>
    <w:rsid w:val="00F803EF"/>
  </w:style>
  <w:style w:type="numbering" w:customStyle="1" w:styleId="Sinlista421">
    <w:name w:val="Sin lista421"/>
    <w:next w:val="Sinlista"/>
    <w:uiPriority w:val="99"/>
    <w:semiHidden/>
    <w:unhideWhenUsed/>
    <w:rsid w:val="00F803EF"/>
  </w:style>
  <w:style w:type="numbering" w:customStyle="1" w:styleId="Estiloimportado23">
    <w:name w:val="Estilo importado 23"/>
    <w:rsid w:val="00F803EF"/>
  </w:style>
  <w:style w:type="numbering" w:customStyle="1" w:styleId="Estiloimportado13">
    <w:name w:val="Estilo importado 13"/>
    <w:rsid w:val="00F803EF"/>
  </w:style>
  <w:style w:type="numbering" w:customStyle="1" w:styleId="Estiloimportado212">
    <w:name w:val="Estilo importado 212"/>
    <w:rsid w:val="00F803EF"/>
    <w:pPr>
      <w:numPr>
        <w:numId w:val="10"/>
      </w:numPr>
    </w:pPr>
  </w:style>
  <w:style w:type="numbering" w:customStyle="1" w:styleId="Estiloimportado112">
    <w:name w:val="Estilo importado 112"/>
    <w:rsid w:val="00F803EF"/>
    <w:pPr>
      <w:numPr>
        <w:numId w:val="11"/>
      </w:numPr>
    </w:pPr>
  </w:style>
  <w:style w:type="table" w:customStyle="1" w:styleId="Tablaconcuadrcula1122">
    <w:name w:val="Tabla con cuadrícula112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F803EF"/>
  </w:style>
  <w:style w:type="table" w:customStyle="1" w:styleId="Tablaconcuadrcula9">
    <w:name w:val="Tabla con cuadrícula9"/>
    <w:basedOn w:val="Tablanormal"/>
    <w:next w:val="Tablaconcuadrcula"/>
    <w:uiPriority w:val="5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F803EF"/>
  </w:style>
  <w:style w:type="table" w:customStyle="1" w:styleId="Tablaconcuadrcula14">
    <w:name w:val="Tabla con cuadrícula14"/>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F803EF"/>
  </w:style>
  <w:style w:type="table" w:customStyle="1" w:styleId="Tablaconcuadrcula23">
    <w:name w:val="Tabla con cuadrícula23"/>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
    <w:name w:val="Sin lista33"/>
    <w:next w:val="Sinlista"/>
    <w:uiPriority w:val="99"/>
    <w:semiHidden/>
    <w:unhideWhenUsed/>
    <w:rsid w:val="00F803EF"/>
  </w:style>
  <w:style w:type="table" w:customStyle="1" w:styleId="Tablaconcuadrcula33">
    <w:name w:val="Tabla con cuadrícula33"/>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
    <w:name w:val="Sin lista43"/>
    <w:next w:val="Sinlista"/>
    <w:uiPriority w:val="99"/>
    <w:semiHidden/>
    <w:unhideWhenUsed/>
    <w:rsid w:val="00F803EF"/>
  </w:style>
  <w:style w:type="table" w:customStyle="1" w:styleId="Tablaconcuadrcula43">
    <w:name w:val="Tabla con cuadrícula43"/>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
    <w:name w:val="Sin lista52"/>
    <w:next w:val="Sinlista"/>
    <w:uiPriority w:val="99"/>
    <w:semiHidden/>
    <w:unhideWhenUsed/>
    <w:rsid w:val="00F803EF"/>
  </w:style>
  <w:style w:type="table" w:customStyle="1" w:styleId="Tablaconcuadrcula52">
    <w:name w:val="Tabla con cuadrícula5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
    <w:name w:val="Sin lista62"/>
    <w:next w:val="Sinlista"/>
    <w:uiPriority w:val="99"/>
    <w:semiHidden/>
    <w:unhideWhenUsed/>
    <w:rsid w:val="00F803EF"/>
  </w:style>
  <w:style w:type="table" w:customStyle="1" w:styleId="Tablaconcuadrcula62">
    <w:name w:val="Tabla con cuadrícula6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4">
    <w:name w:val="Estilo importado 24"/>
    <w:rsid w:val="00F803EF"/>
    <w:pPr>
      <w:numPr>
        <w:numId w:val="12"/>
      </w:numPr>
    </w:pPr>
  </w:style>
  <w:style w:type="numbering" w:customStyle="1" w:styleId="Estiloimportado14">
    <w:name w:val="Estilo importado 14"/>
    <w:rsid w:val="00F803EF"/>
    <w:pPr>
      <w:numPr>
        <w:numId w:val="13"/>
      </w:numPr>
    </w:pPr>
  </w:style>
  <w:style w:type="table" w:customStyle="1" w:styleId="Tablaconcuadrcula122">
    <w:name w:val="Tabla con cuadrícula122"/>
    <w:basedOn w:val="Tablanormal"/>
    <w:next w:val="Tablaconcuadrcula"/>
    <w:uiPriority w:val="5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
    <w:name w:val="Sin lista113"/>
    <w:next w:val="Sinlista"/>
    <w:uiPriority w:val="99"/>
    <w:semiHidden/>
    <w:unhideWhenUsed/>
    <w:rsid w:val="00F803EF"/>
  </w:style>
  <w:style w:type="table" w:customStyle="1" w:styleId="Tablaconcuadrcula212">
    <w:name w:val="Tabla con cuadrícula21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
    <w:name w:val="Sin lista1113"/>
    <w:next w:val="Sinlista"/>
    <w:uiPriority w:val="99"/>
    <w:semiHidden/>
    <w:unhideWhenUsed/>
    <w:rsid w:val="00F803EF"/>
  </w:style>
  <w:style w:type="table" w:customStyle="1" w:styleId="Tablaconcuadrcula1112">
    <w:name w:val="Tabla con cuadrícula111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2">
    <w:name w:val="Sin lista212"/>
    <w:next w:val="Sinlista"/>
    <w:uiPriority w:val="99"/>
    <w:semiHidden/>
    <w:unhideWhenUsed/>
    <w:rsid w:val="00F803EF"/>
  </w:style>
  <w:style w:type="numbering" w:customStyle="1" w:styleId="Sinlista312">
    <w:name w:val="Sin lista312"/>
    <w:next w:val="Sinlista"/>
    <w:uiPriority w:val="99"/>
    <w:semiHidden/>
    <w:unhideWhenUsed/>
    <w:rsid w:val="00F803EF"/>
  </w:style>
  <w:style w:type="table" w:customStyle="1" w:styleId="Tablaconcuadrcula312">
    <w:name w:val="Tabla con cuadrícula31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F803EF"/>
  </w:style>
  <w:style w:type="table" w:customStyle="1" w:styleId="Tablaconcuadrcula412">
    <w:name w:val="Tabla con cuadrícula41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F803EF"/>
  </w:style>
  <w:style w:type="table" w:customStyle="1" w:styleId="Tablaconcuadrcula511">
    <w:name w:val="Tabla con cuadrícula51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
    <w:name w:val="Sin lista122"/>
    <w:next w:val="Sinlista"/>
    <w:uiPriority w:val="99"/>
    <w:semiHidden/>
    <w:unhideWhenUsed/>
    <w:rsid w:val="00F803EF"/>
  </w:style>
  <w:style w:type="numbering" w:customStyle="1" w:styleId="Sinlista11112">
    <w:name w:val="Sin lista11112"/>
    <w:next w:val="Sinlista"/>
    <w:uiPriority w:val="99"/>
    <w:semiHidden/>
    <w:unhideWhenUsed/>
    <w:rsid w:val="00F803EF"/>
  </w:style>
  <w:style w:type="numbering" w:customStyle="1" w:styleId="Sinlista2112">
    <w:name w:val="Sin lista2112"/>
    <w:next w:val="Sinlista"/>
    <w:uiPriority w:val="99"/>
    <w:semiHidden/>
    <w:unhideWhenUsed/>
    <w:rsid w:val="00F803EF"/>
  </w:style>
  <w:style w:type="numbering" w:customStyle="1" w:styleId="Sinlista3112">
    <w:name w:val="Sin lista3112"/>
    <w:next w:val="Sinlista"/>
    <w:uiPriority w:val="99"/>
    <w:semiHidden/>
    <w:unhideWhenUsed/>
    <w:rsid w:val="00F803EF"/>
  </w:style>
  <w:style w:type="numbering" w:customStyle="1" w:styleId="Sinlista4112">
    <w:name w:val="Sin lista4112"/>
    <w:next w:val="Sinlista"/>
    <w:uiPriority w:val="99"/>
    <w:semiHidden/>
    <w:unhideWhenUsed/>
    <w:rsid w:val="00F803EF"/>
  </w:style>
  <w:style w:type="numbering" w:customStyle="1" w:styleId="Sinlista72">
    <w:name w:val="Sin lista72"/>
    <w:next w:val="Sinlista"/>
    <w:uiPriority w:val="99"/>
    <w:semiHidden/>
    <w:unhideWhenUsed/>
    <w:rsid w:val="00F803EF"/>
  </w:style>
  <w:style w:type="table" w:customStyle="1" w:styleId="Tablaconcuadrcula81">
    <w:name w:val="Tabla con cuadrícula8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3">
    <w:name w:val="Estilo importado 213"/>
    <w:rsid w:val="00F803EF"/>
  </w:style>
  <w:style w:type="numbering" w:customStyle="1" w:styleId="Estiloimportado113">
    <w:name w:val="Estilo importado 113"/>
    <w:rsid w:val="00F803EF"/>
  </w:style>
  <w:style w:type="table" w:customStyle="1" w:styleId="Tablaconcuadrcula131">
    <w:name w:val="Tabla con cuadrícula131"/>
    <w:basedOn w:val="Tablanormal"/>
    <w:next w:val="Tablaconcuadrcula"/>
    <w:uiPriority w:val="5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2">
    <w:name w:val="Sin lista132"/>
    <w:next w:val="Sinlista"/>
    <w:uiPriority w:val="99"/>
    <w:semiHidden/>
    <w:unhideWhenUsed/>
    <w:rsid w:val="00F803EF"/>
  </w:style>
  <w:style w:type="table" w:customStyle="1" w:styleId="Tablaconcuadrcula221">
    <w:name w:val="Tabla con cuadrícula22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2">
    <w:name w:val="Sin lista1122"/>
    <w:next w:val="Sinlista"/>
    <w:uiPriority w:val="99"/>
    <w:semiHidden/>
    <w:unhideWhenUsed/>
    <w:rsid w:val="00F803EF"/>
  </w:style>
  <w:style w:type="table" w:customStyle="1" w:styleId="Tablaconcuadrcula1123">
    <w:name w:val="Tabla con cuadrícula1123"/>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2">
    <w:name w:val="Sin lista222"/>
    <w:next w:val="Sinlista"/>
    <w:uiPriority w:val="99"/>
    <w:semiHidden/>
    <w:unhideWhenUsed/>
    <w:rsid w:val="00F803EF"/>
  </w:style>
  <w:style w:type="numbering" w:customStyle="1" w:styleId="Sinlista322">
    <w:name w:val="Sin lista322"/>
    <w:next w:val="Sinlista"/>
    <w:uiPriority w:val="99"/>
    <w:semiHidden/>
    <w:unhideWhenUsed/>
    <w:rsid w:val="00F803EF"/>
  </w:style>
  <w:style w:type="table" w:customStyle="1" w:styleId="Tablaconcuadrcula321">
    <w:name w:val="Tabla con cuadrícula32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F803EF"/>
  </w:style>
  <w:style w:type="table" w:customStyle="1" w:styleId="Tablaconcuadrcula421">
    <w:name w:val="Tabla con cuadrícula42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
    <w:name w:val="Sin lista9"/>
    <w:next w:val="Sinlista"/>
    <w:uiPriority w:val="99"/>
    <w:semiHidden/>
    <w:unhideWhenUsed/>
    <w:rsid w:val="00F803EF"/>
  </w:style>
  <w:style w:type="table" w:customStyle="1" w:styleId="Tablaconcuadrcula10">
    <w:name w:val="Tabla con cuadrícula10"/>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F803EF"/>
  </w:style>
  <w:style w:type="table" w:customStyle="1" w:styleId="Tablaconcuadrcula24">
    <w:name w:val="Tabla con cuadrícula24"/>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
    <w:name w:val="Sin lista114"/>
    <w:next w:val="Sinlista"/>
    <w:uiPriority w:val="99"/>
    <w:semiHidden/>
    <w:unhideWhenUsed/>
    <w:rsid w:val="00F803EF"/>
  </w:style>
  <w:style w:type="table" w:customStyle="1" w:styleId="Tablaconcuadrcula116">
    <w:name w:val="Tabla con cuadrícula116"/>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F803EF"/>
  </w:style>
  <w:style w:type="numbering" w:customStyle="1" w:styleId="Sinlista34">
    <w:name w:val="Sin lista34"/>
    <w:next w:val="Sinlista"/>
    <w:uiPriority w:val="99"/>
    <w:semiHidden/>
    <w:unhideWhenUsed/>
    <w:rsid w:val="00F803EF"/>
  </w:style>
  <w:style w:type="table" w:customStyle="1" w:styleId="Tablaconcuadrcula34">
    <w:name w:val="Tabla con cuadrícula34"/>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
    <w:name w:val="Sin lista44"/>
    <w:next w:val="Sinlista"/>
    <w:uiPriority w:val="99"/>
    <w:semiHidden/>
    <w:unhideWhenUsed/>
    <w:rsid w:val="00F803EF"/>
  </w:style>
  <w:style w:type="table" w:customStyle="1" w:styleId="Tablaconcuadrcula44">
    <w:name w:val="Tabla con cuadrícula44"/>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
    <w:name w:val="Sin lista53"/>
    <w:next w:val="Sinlista"/>
    <w:uiPriority w:val="99"/>
    <w:semiHidden/>
    <w:unhideWhenUsed/>
    <w:rsid w:val="00F803EF"/>
  </w:style>
  <w:style w:type="table" w:customStyle="1" w:styleId="Tablaconcuadrcula53">
    <w:name w:val="Tabla con cuadrícula53"/>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
    <w:name w:val="Sin lista123"/>
    <w:next w:val="Sinlista"/>
    <w:uiPriority w:val="99"/>
    <w:semiHidden/>
    <w:unhideWhenUsed/>
    <w:rsid w:val="00F803EF"/>
  </w:style>
  <w:style w:type="table" w:customStyle="1" w:styleId="Tablaconcuadrcula213">
    <w:name w:val="Tabla con cuadrícula213"/>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
    <w:name w:val="Sin lista1114"/>
    <w:next w:val="Sinlista"/>
    <w:uiPriority w:val="99"/>
    <w:semiHidden/>
    <w:unhideWhenUsed/>
    <w:rsid w:val="00F803EF"/>
  </w:style>
  <w:style w:type="table" w:customStyle="1" w:styleId="Tablaconcuadrcula1113">
    <w:name w:val="Tabla con cuadrícula1113"/>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3">
    <w:name w:val="Sin lista213"/>
    <w:next w:val="Sinlista"/>
    <w:uiPriority w:val="99"/>
    <w:semiHidden/>
    <w:unhideWhenUsed/>
    <w:rsid w:val="00F803EF"/>
  </w:style>
  <w:style w:type="numbering" w:customStyle="1" w:styleId="Sinlista313">
    <w:name w:val="Sin lista313"/>
    <w:next w:val="Sinlista"/>
    <w:uiPriority w:val="99"/>
    <w:semiHidden/>
    <w:unhideWhenUsed/>
    <w:rsid w:val="00F803EF"/>
  </w:style>
  <w:style w:type="table" w:customStyle="1" w:styleId="Tablaconcuadrcula313">
    <w:name w:val="Tabla con cuadrícula313"/>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F803EF"/>
  </w:style>
  <w:style w:type="table" w:customStyle="1" w:styleId="Tablaconcuadrcula413">
    <w:name w:val="Tabla con cuadrícula413"/>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4">
    <w:name w:val="Tabla con cuadrícula1124"/>
    <w:basedOn w:val="Tablanormal"/>
    <w:next w:val="Tablaconcuadrcula"/>
    <w:uiPriority w:val="39"/>
    <w:rsid w:val="00F803EF"/>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4">
    <w:name w:val="Estilo importado 214"/>
    <w:rsid w:val="00F803EF"/>
  </w:style>
  <w:style w:type="numbering" w:customStyle="1" w:styleId="Estiloimportado114">
    <w:name w:val="Estilo importado 114"/>
    <w:rsid w:val="00F803EF"/>
  </w:style>
  <w:style w:type="numbering" w:customStyle="1" w:styleId="Sinlista11113">
    <w:name w:val="Sin lista11113"/>
    <w:next w:val="Sinlista"/>
    <w:uiPriority w:val="99"/>
    <w:semiHidden/>
    <w:unhideWhenUsed/>
    <w:rsid w:val="00F803EF"/>
  </w:style>
  <w:style w:type="numbering" w:customStyle="1" w:styleId="Sinlista63">
    <w:name w:val="Sin lista63"/>
    <w:next w:val="Sinlista"/>
    <w:uiPriority w:val="99"/>
    <w:semiHidden/>
    <w:unhideWhenUsed/>
    <w:rsid w:val="00F803EF"/>
  </w:style>
  <w:style w:type="table" w:customStyle="1" w:styleId="Tablaconcuadrcula63">
    <w:name w:val="Tabla con cuadrícula63"/>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rancesa">
    <w:name w:val="francesa"/>
    <w:basedOn w:val="Normal"/>
    <w:rsid w:val="00F803EF"/>
    <w:pPr>
      <w:spacing w:before="100" w:beforeAutospacing="1" w:after="100" w:afterAutospacing="1"/>
    </w:pPr>
    <w:rPr>
      <w:lang w:eastAsia="es-MX"/>
    </w:rPr>
  </w:style>
  <w:style w:type="table" w:customStyle="1" w:styleId="Tablaconcuadrcula117">
    <w:name w:val="Tabla con cuadrícula117"/>
    <w:basedOn w:val="Tablanormal"/>
    <w:next w:val="Tablaconcuadrcula"/>
    <w:uiPriority w:val="39"/>
    <w:rsid w:val="00F803EF"/>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
    <w:name w:val="Sin lista10"/>
    <w:next w:val="Sinlista"/>
    <w:uiPriority w:val="99"/>
    <w:semiHidden/>
    <w:unhideWhenUsed/>
    <w:rsid w:val="00F803EF"/>
  </w:style>
  <w:style w:type="table" w:customStyle="1" w:styleId="Tablaconcuadrcula16">
    <w:name w:val="Tabla con cuadrícula16"/>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5">
    <w:name w:val="Estilo importado 25"/>
    <w:rsid w:val="00F803EF"/>
  </w:style>
  <w:style w:type="numbering" w:customStyle="1" w:styleId="Estiloimportado15">
    <w:name w:val="Estilo importado 15"/>
    <w:rsid w:val="00F803EF"/>
  </w:style>
  <w:style w:type="table" w:customStyle="1" w:styleId="Tablaconcuadrcula1114">
    <w:name w:val="Tabla con cuadrícula1114"/>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F803EF"/>
  </w:style>
  <w:style w:type="table" w:customStyle="1" w:styleId="Tablaconcuadrcula17">
    <w:name w:val="Tabla con cuadrícula17"/>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5">
    <w:name w:val="Tabla con cuadrícula1125"/>
    <w:basedOn w:val="Tablanormal"/>
    <w:next w:val="Tablaconcuadrcula"/>
    <w:uiPriority w:val="39"/>
    <w:rsid w:val="00F803EF"/>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
    <w:name w:val="Sin lista115"/>
    <w:next w:val="Sinlista"/>
    <w:uiPriority w:val="99"/>
    <w:semiHidden/>
    <w:unhideWhenUsed/>
    <w:rsid w:val="00F803EF"/>
  </w:style>
  <w:style w:type="numbering" w:customStyle="1" w:styleId="Sinlista25">
    <w:name w:val="Sin lista25"/>
    <w:next w:val="Sinlista"/>
    <w:uiPriority w:val="99"/>
    <w:semiHidden/>
    <w:unhideWhenUsed/>
    <w:rsid w:val="00F803EF"/>
  </w:style>
  <w:style w:type="numbering" w:customStyle="1" w:styleId="Sinlista35">
    <w:name w:val="Sin lista35"/>
    <w:next w:val="Sinlista"/>
    <w:uiPriority w:val="99"/>
    <w:semiHidden/>
    <w:unhideWhenUsed/>
    <w:rsid w:val="00F803EF"/>
  </w:style>
  <w:style w:type="table" w:customStyle="1" w:styleId="Tablaconcuadrcula35">
    <w:name w:val="Tabla con cuadrícula35"/>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F803EF"/>
  </w:style>
  <w:style w:type="table" w:customStyle="1" w:styleId="Tablaconcuadrcula45">
    <w:name w:val="Tabla con cuadrícula45"/>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
    <w:name w:val="Sin lista54"/>
    <w:next w:val="Sinlista"/>
    <w:uiPriority w:val="99"/>
    <w:semiHidden/>
    <w:unhideWhenUsed/>
    <w:rsid w:val="00F803EF"/>
  </w:style>
  <w:style w:type="table" w:customStyle="1" w:styleId="Tablaconcuadrcula54">
    <w:name w:val="Tabla con cuadrícula54"/>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5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
    <w:name w:val="Sin lista124"/>
    <w:next w:val="Sinlista"/>
    <w:uiPriority w:val="99"/>
    <w:semiHidden/>
    <w:unhideWhenUsed/>
    <w:rsid w:val="00F803EF"/>
  </w:style>
  <w:style w:type="table" w:customStyle="1" w:styleId="Tablaconcuadrcula214">
    <w:name w:val="Tabla con cuadrícula214"/>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5">
    <w:name w:val="Sin lista1115"/>
    <w:next w:val="Sinlista"/>
    <w:uiPriority w:val="99"/>
    <w:semiHidden/>
    <w:unhideWhenUsed/>
    <w:rsid w:val="00F803EF"/>
  </w:style>
  <w:style w:type="numbering" w:customStyle="1" w:styleId="Sinlista214">
    <w:name w:val="Sin lista214"/>
    <w:next w:val="Sinlista"/>
    <w:uiPriority w:val="99"/>
    <w:semiHidden/>
    <w:unhideWhenUsed/>
    <w:rsid w:val="00F803EF"/>
  </w:style>
  <w:style w:type="numbering" w:customStyle="1" w:styleId="Sinlista314">
    <w:name w:val="Sin lista314"/>
    <w:next w:val="Sinlista"/>
    <w:uiPriority w:val="99"/>
    <w:semiHidden/>
    <w:unhideWhenUsed/>
    <w:rsid w:val="00F803EF"/>
  </w:style>
  <w:style w:type="table" w:customStyle="1" w:styleId="Tablaconcuadrcula314">
    <w:name w:val="Tabla con cuadrícula314"/>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F803EF"/>
  </w:style>
  <w:style w:type="table" w:customStyle="1" w:styleId="Tablaconcuadrcula414">
    <w:name w:val="Tabla con cuadrícula414"/>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5">
    <w:name w:val="Estilo importado 215"/>
    <w:rsid w:val="00F803EF"/>
  </w:style>
  <w:style w:type="numbering" w:customStyle="1" w:styleId="Estiloimportado115">
    <w:name w:val="Estilo importado 115"/>
    <w:rsid w:val="00F803EF"/>
  </w:style>
  <w:style w:type="numbering" w:customStyle="1" w:styleId="Sinlista64">
    <w:name w:val="Sin lista64"/>
    <w:next w:val="Sinlista"/>
    <w:uiPriority w:val="99"/>
    <w:semiHidden/>
    <w:unhideWhenUsed/>
    <w:rsid w:val="00F803EF"/>
  </w:style>
  <w:style w:type="table" w:customStyle="1" w:styleId="Tablaconcuadrcula64">
    <w:name w:val="Tabla con cuadrícula64"/>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F803EF"/>
  </w:style>
  <w:style w:type="table" w:customStyle="1" w:styleId="Tablaconcuadrcula72">
    <w:name w:val="Tabla con cuadrícula7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21">
    <w:name w:val="Estilo importado 221"/>
    <w:rsid w:val="00F803EF"/>
  </w:style>
  <w:style w:type="numbering" w:customStyle="1" w:styleId="Estiloimportado121">
    <w:name w:val="Estilo importado 121"/>
    <w:rsid w:val="00F803EF"/>
  </w:style>
  <w:style w:type="table" w:customStyle="1" w:styleId="Tablaconcuadrcula11121">
    <w:name w:val="Tabla con cuadrícula1112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3">
    <w:name w:val="Sin lista133"/>
    <w:next w:val="Sinlista"/>
    <w:uiPriority w:val="99"/>
    <w:semiHidden/>
    <w:unhideWhenUsed/>
    <w:rsid w:val="00F803EF"/>
  </w:style>
  <w:style w:type="table" w:customStyle="1" w:styleId="Tablaconcuadrcula132">
    <w:name w:val="Tabla con cuadrícula13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basedOn w:val="Tablanormal"/>
    <w:next w:val="Tablaconcuadrcula"/>
    <w:uiPriority w:val="39"/>
    <w:rsid w:val="00F803EF"/>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2">
    <w:name w:val="Tabla con cuadrícula22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
    <w:name w:val="Sin lista1123"/>
    <w:next w:val="Sinlista"/>
    <w:uiPriority w:val="99"/>
    <w:semiHidden/>
    <w:unhideWhenUsed/>
    <w:rsid w:val="00F803EF"/>
  </w:style>
  <w:style w:type="numbering" w:customStyle="1" w:styleId="Sinlista223">
    <w:name w:val="Sin lista223"/>
    <w:next w:val="Sinlista"/>
    <w:uiPriority w:val="99"/>
    <w:semiHidden/>
    <w:unhideWhenUsed/>
    <w:rsid w:val="00F803EF"/>
  </w:style>
  <w:style w:type="numbering" w:customStyle="1" w:styleId="Sinlista323">
    <w:name w:val="Sin lista323"/>
    <w:next w:val="Sinlista"/>
    <w:uiPriority w:val="99"/>
    <w:semiHidden/>
    <w:unhideWhenUsed/>
    <w:rsid w:val="00F803EF"/>
  </w:style>
  <w:style w:type="table" w:customStyle="1" w:styleId="Tablaconcuadrcula322">
    <w:name w:val="Tabla con cuadrícula32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F803EF"/>
  </w:style>
  <w:style w:type="table" w:customStyle="1" w:styleId="Tablaconcuadrcula422">
    <w:name w:val="Tabla con cuadrícula42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F803EF"/>
  </w:style>
  <w:style w:type="table" w:customStyle="1" w:styleId="Tablaconcuadrcula512">
    <w:name w:val="Tabla con cuadrícula51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basedOn w:val="Tablanormal"/>
    <w:next w:val="Tablaconcuadrcula"/>
    <w:uiPriority w:val="5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
    <w:name w:val="Sin lista1211"/>
    <w:next w:val="Sinlista"/>
    <w:uiPriority w:val="99"/>
    <w:semiHidden/>
    <w:unhideWhenUsed/>
    <w:rsid w:val="00F803EF"/>
  </w:style>
  <w:style w:type="numbering" w:customStyle="1" w:styleId="Sinlista11114">
    <w:name w:val="Sin lista11114"/>
    <w:next w:val="Sinlista"/>
    <w:uiPriority w:val="99"/>
    <w:semiHidden/>
    <w:unhideWhenUsed/>
    <w:rsid w:val="00F803EF"/>
  </w:style>
  <w:style w:type="numbering" w:customStyle="1" w:styleId="Sinlista2113">
    <w:name w:val="Sin lista2113"/>
    <w:next w:val="Sinlista"/>
    <w:uiPriority w:val="99"/>
    <w:semiHidden/>
    <w:unhideWhenUsed/>
    <w:rsid w:val="00F803EF"/>
  </w:style>
  <w:style w:type="numbering" w:customStyle="1" w:styleId="Sinlista3113">
    <w:name w:val="Sin lista3113"/>
    <w:next w:val="Sinlista"/>
    <w:uiPriority w:val="99"/>
    <w:semiHidden/>
    <w:unhideWhenUsed/>
    <w:rsid w:val="00F803EF"/>
  </w:style>
  <w:style w:type="numbering" w:customStyle="1" w:styleId="Sinlista4113">
    <w:name w:val="Sin lista4113"/>
    <w:next w:val="Sinlista"/>
    <w:uiPriority w:val="99"/>
    <w:semiHidden/>
    <w:unhideWhenUsed/>
    <w:rsid w:val="00F803EF"/>
  </w:style>
  <w:style w:type="table" w:customStyle="1" w:styleId="Tablaconcuadrcula4111">
    <w:name w:val="Tabla con cuadrícula411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11111">
    <w:name w:val="Estilo importado 211111"/>
    <w:rsid w:val="00F803EF"/>
  </w:style>
  <w:style w:type="numbering" w:customStyle="1" w:styleId="Estiloimportado111111">
    <w:name w:val="Estilo importado 111111"/>
    <w:rsid w:val="00F803EF"/>
  </w:style>
  <w:style w:type="numbering" w:customStyle="1" w:styleId="Sinlista611">
    <w:name w:val="Sin lista611"/>
    <w:next w:val="Sinlista"/>
    <w:uiPriority w:val="99"/>
    <w:semiHidden/>
    <w:unhideWhenUsed/>
    <w:rsid w:val="00F803EF"/>
  </w:style>
  <w:style w:type="table" w:customStyle="1" w:styleId="Tablaconcuadrcula611">
    <w:name w:val="Tabla con cuadrícula61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uiPriority w:val="39"/>
    <w:rsid w:val="00F803EF"/>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importado231">
    <w:name w:val="Estilo importado 231"/>
    <w:rsid w:val="00F803EF"/>
  </w:style>
  <w:style w:type="numbering" w:customStyle="1" w:styleId="Estiloimportado131">
    <w:name w:val="Estilo importado 131"/>
    <w:rsid w:val="00F803EF"/>
  </w:style>
  <w:style w:type="table" w:customStyle="1" w:styleId="Tablaconcuadrcula11221">
    <w:name w:val="Tabla con cuadrícula11221"/>
    <w:basedOn w:val="Tablanormal"/>
    <w:next w:val="Tablaconcuadrcula"/>
    <w:uiPriority w:val="39"/>
    <w:rsid w:val="00F803EF"/>
    <w:rPr>
      <w:rFonts w:ascii="Cambria" w:eastAsia="Calibri" w:hAnsi="Cambria"/>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59"/>
    <w:rsid w:val="00F803EF"/>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4-nfasis31">
    <w:name w:val="Tabla de cuadrícula 4 - Énfasis 31"/>
    <w:basedOn w:val="Tablanormal"/>
    <w:uiPriority w:val="49"/>
    <w:rsid w:val="00F803EF"/>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Estilo">
    <w:name w:val="Estilo"/>
    <w:rsid w:val="00F803EF"/>
    <w:pPr>
      <w:widowControl w:val="0"/>
      <w:autoSpaceDE w:val="0"/>
      <w:autoSpaceDN w:val="0"/>
      <w:adjustRightInd w:val="0"/>
    </w:pPr>
    <w:rPr>
      <w:rFonts w:ascii="Times New Roman" w:eastAsia="Times New Roman" w:hAnsi="Times New Roman" w:cs="Times New Roman"/>
      <w:lang w:val="es-ES"/>
    </w:rPr>
  </w:style>
  <w:style w:type="character" w:customStyle="1" w:styleId="TextodegloboCar1">
    <w:name w:val="Texto de globo Car1"/>
    <w:basedOn w:val="Fuentedeprrafopredeter"/>
    <w:uiPriority w:val="99"/>
    <w:semiHidden/>
    <w:rsid w:val="00F803EF"/>
    <w:rPr>
      <w:rFonts w:ascii="Segoe UI" w:eastAsia="Times New Roman" w:hAnsi="Segoe UI" w:cs="Segoe UI"/>
      <w:sz w:val="18"/>
      <w:szCs w:val="18"/>
      <w:lang w:val="es-ES" w:eastAsia="es-ES"/>
    </w:rPr>
  </w:style>
  <w:style w:type="character" w:customStyle="1" w:styleId="u">
    <w:name w:val="u"/>
    <w:basedOn w:val="Fuentedeprrafopredeter"/>
    <w:rsid w:val="00F803EF"/>
  </w:style>
  <w:style w:type="character" w:customStyle="1" w:styleId="TextonotapieCar1">
    <w:name w:val="Texto nota pie Car1"/>
    <w:uiPriority w:val="99"/>
    <w:rsid w:val="00F803EF"/>
    <w:rPr>
      <w:rFonts w:ascii="Times New Roman" w:eastAsia="Times New Roman" w:hAnsi="Times New Roman"/>
      <w:lang w:val="es-ES" w:eastAsia="es-ES"/>
    </w:rPr>
  </w:style>
  <w:style w:type="paragraph" w:styleId="Ttulo">
    <w:name w:val="Title"/>
    <w:basedOn w:val="Normal"/>
    <w:next w:val="Normal"/>
    <w:link w:val="TtuloCar"/>
    <w:uiPriority w:val="10"/>
    <w:qFormat/>
    <w:rsid w:val="00F803EF"/>
    <w:pPr>
      <w:contextualSpacing/>
    </w:pPr>
    <w:rPr>
      <w:rFonts w:asciiTheme="majorHAnsi" w:eastAsiaTheme="majorEastAsia" w:hAnsiTheme="majorHAnsi" w:cstheme="majorBidi"/>
      <w:color w:val="4F81BD" w:themeColor="accent1"/>
      <w:spacing w:val="-10"/>
      <w:sz w:val="56"/>
      <w:szCs w:val="56"/>
      <w:lang w:val="es-ES_tradnl"/>
    </w:rPr>
  </w:style>
  <w:style w:type="character" w:customStyle="1" w:styleId="TtuloCar">
    <w:name w:val="Título Car"/>
    <w:basedOn w:val="Fuentedeprrafopredeter"/>
    <w:link w:val="Ttulo"/>
    <w:uiPriority w:val="10"/>
    <w:rsid w:val="00F803EF"/>
    <w:rPr>
      <w:rFonts w:asciiTheme="majorHAnsi" w:eastAsiaTheme="majorEastAsia" w:hAnsiTheme="majorHAnsi" w:cstheme="majorBidi"/>
      <w:color w:val="4F81BD" w:themeColor="accent1"/>
      <w:spacing w:val="-10"/>
      <w:sz w:val="56"/>
      <w:szCs w:val="56"/>
    </w:rPr>
  </w:style>
  <w:style w:type="paragraph" w:styleId="Subttulo">
    <w:name w:val="Subtitle"/>
    <w:basedOn w:val="Normal"/>
    <w:next w:val="Normal"/>
    <w:link w:val="SubttuloCar"/>
    <w:uiPriority w:val="11"/>
    <w:qFormat/>
    <w:rsid w:val="00F803EF"/>
    <w:pPr>
      <w:numPr>
        <w:ilvl w:val="1"/>
      </w:numPr>
      <w:spacing w:after="120"/>
    </w:pPr>
    <w:rPr>
      <w:rFonts w:asciiTheme="majorHAnsi" w:eastAsiaTheme="majorEastAsia" w:hAnsiTheme="majorHAnsi" w:cstheme="majorBidi"/>
      <w:lang w:val="es-ES_tradnl"/>
    </w:rPr>
  </w:style>
  <w:style w:type="character" w:customStyle="1" w:styleId="SubttuloCar">
    <w:name w:val="Subtítulo Car"/>
    <w:basedOn w:val="Fuentedeprrafopredeter"/>
    <w:link w:val="Subttulo"/>
    <w:uiPriority w:val="11"/>
    <w:rsid w:val="00F803EF"/>
    <w:rPr>
      <w:rFonts w:asciiTheme="majorHAnsi" w:eastAsiaTheme="majorEastAsia" w:hAnsiTheme="majorHAnsi" w:cstheme="majorBidi"/>
    </w:rPr>
  </w:style>
  <w:style w:type="paragraph" w:styleId="Cita">
    <w:name w:val="Quote"/>
    <w:basedOn w:val="Normal"/>
    <w:next w:val="Normal"/>
    <w:link w:val="CitaCar"/>
    <w:uiPriority w:val="29"/>
    <w:qFormat/>
    <w:rsid w:val="00F803EF"/>
    <w:pPr>
      <w:spacing w:before="160" w:after="120" w:line="264" w:lineRule="auto"/>
      <w:ind w:left="720" w:right="720"/>
    </w:pPr>
    <w:rPr>
      <w:rFonts w:asciiTheme="minorHAnsi" w:eastAsiaTheme="minorEastAsia" w:hAnsiTheme="minorHAnsi" w:cstheme="minorBidi"/>
      <w:i/>
      <w:iCs/>
      <w:color w:val="404040" w:themeColor="text1" w:themeTint="BF"/>
      <w:sz w:val="20"/>
      <w:szCs w:val="20"/>
      <w:lang w:val="es-ES_tradnl"/>
    </w:rPr>
  </w:style>
  <w:style w:type="character" w:customStyle="1" w:styleId="CitaCar">
    <w:name w:val="Cita Car"/>
    <w:basedOn w:val="Fuentedeprrafopredeter"/>
    <w:link w:val="Cita"/>
    <w:uiPriority w:val="29"/>
    <w:rsid w:val="00F803EF"/>
    <w:rPr>
      <w:i/>
      <w:iCs/>
      <w:color w:val="404040" w:themeColor="text1" w:themeTint="BF"/>
      <w:sz w:val="20"/>
      <w:szCs w:val="20"/>
    </w:rPr>
  </w:style>
  <w:style w:type="paragraph" w:styleId="Citadestacada">
    <w:name w:val="Intense Quote"/>
    <w:basedOn w:val="Normal"/>
    <w:next w:val="Normal"/>
    <w:link w:val="CitadestacadaCar"/>
    <w:uiPriority w:val="30"/>
    <w:qFormat/>
    <w:rsid w:val="00F803EF"/>
    <w:pPr>
      <w:pBdr>
        <w:left w:val="single" w:sz="18" w:space="12" w:color="4F81BD" w:themeColor="accent1"/>
      </w:pBdr>
      <w:spacing w:before="100" w:beforeAutospacing="1" w:after="120" w:line="300" w:lineRule="auto"/>
      <w:ind w:left="1224" w:right="1224"/>
    </w:pPr>
    <w:rPr>
      <w:rFonts w:asciiTheme="majorHAnsi" w:eastAsiaTheme="majorEastAsia" w:hAnsiTheme="majorHAnsi" w:cstheme="majorBidi"/>
      <w:color w:val="4F81BD" w:themeColor="accent1"/>
      <w:sz w:val="28"/>
      <w:szCs w:val="28"/>
      <w:lang w:val="es-ES_tradnl"/>
    </w:rPr>
  </w:style>
  <w:style w:type="character" w:customStyle="1" w:styleId="CitadestacadaCar">
    <w:name w:val="Cita destacada Car"/>
    <w:basedOn w:val="Fuentedeprrafopredeter"/>
    <w:link w:val="Citadestacada"/>
    <w:uiPriority w:val="30"/>
    <w:rsid w:val="00F803EF"/>
    <w:rPr>
      <w:rFonts w:asciiTheme="majorHAnsi" w:eastAsiaTheme="majorEastAsia" w:hAnsiTheme="majorHAnsi" w:cstheme="majorBidi"/>
      <w:color w:val="4F81BD" w:themeColor="accent1"/>
      <w:sz w:val="28"/>
      <w:szCs w:val="28"/>
    </w:rPr>
  </w:style>
  <w:style w:type="character" w:styleId="nfasissutil">
    <w:name w:val="Subtle Emphasis"/>
    <w:basedOn w:val="Fuentedeprrafopredeter"/>
    <w:uiPriority w:val="19"/>
    <w:qFormat/>
    <w:rsid w:val="00F803EF"/>
    <w:rPr>
      <w:i/>
      <w:iCs/>
      <w:color w:val="404040" w:themeColor="text1" w:themeTint="BF"/>
    </w:rPr>
  </w:style>
  <w:style w:type="character" w:styleId="nfasisintenso">
    <w:name w:val="Intense Emphasis"/>
    <w:basedOn w:val="Fuentedeprrafopredeter"/>
    <w:uiPriority w:val="21"/>
    <w:qFormat/>
    <w:rsid w:val="00F803EF"/>
    <w:rPr>
      <w:b/>
      <w:bCs/>
      <w:i/>
      <w:iCs/>
    </w:rPr>
  </w:style>
  <w:style w:type="character" w:styleId="Referenciasutil">
    <w:name w:val="Subtle Reference"/>
    <w:basedOn w:val="Fuentedeprrafopredeter"/>
    <w:uiPriority w:val="31"/>
    <w:qFormat/>
    <w:rsid w:val="00F803EF"/>
    <w:rPr>
      <w:smallCaps/>
      <w:color w:val="404040" w:themeColor="text1" w:themeTint="BF"/>
      <w:u w:val="single" w:color="7F7F7F" w:themeColor="text1" w:themeTint="80"/>
    </w:rPr>
  </w:style>
  <w:style w:type="character" w:styleId="Referenciaintensa">
    <w:name w:val="Intense Reference"/>
    <w:basedOn w:val="Fuentedeprrafopredeter"/>
    <w:uiPriority w:val="32"/>
    <w:qFormat/>
    <w:rsid w:val="00F803EF"/>
    <w:rPr>
      <w:b/>
      <w:bCs/>
      <w:smallCaps/>
      <w:spacing w:val="5"/>
      <w:u w:val="single"/>
    </w:rPr>
  </w:style>
  <w:style w:type="character" w:styleId="Ttulodellibro">
    <w:name w:val="Book Title"/>
    <w:basedOn w:val="Fuentedeprrafopredeter"/>
    <w:uiPriority w:val="33"/>
    <w:qFormat/>
    <w:rsid w:val="00F803EF"/>
    <w:rPr>
      <w:b/>
      <w:bCs/>
      <w:smallCaps/>
    </w:rPr>
  </w:style>
  <w:style w:type="paragraph" w:styleId="TtuloTDC">
    <w:name w:val="TOC Heading"/>
    <w:basedOn w:val="Ttulo1"/>
    <w:next w:val="Normal"/>
    <w:uiPriority w:val="39"/>
    <w:semiHidden/>
    <w:unhideWhenUsed/>
    <w:qFormat/>
    <w:rsid w:val="00F803EF"/>
    <w:pPr>
      <w:spacing w:before="320"/>
      <w:outlineLvl w:val="9"/>
    </w:pPr>
    <w:rPr>
      <w:lang w:val="es-ES_tradnl"/>
    </w:rPr>
  </w:style>
  <w:style w:type="character" w:customStyle="1" w:styleId="ctr">
    <w:name w:val="ctr"/>
    <w:basedOn w:val="Fuentedeprrafopredeter"/>
    <w:rsid w:val="00F803EF"/>
  </w:style>
  <w:style w:type="table" w:customStyle="1" w:styleId="Tablaconcuadrcula1111213">
    <w:name w:val="Tabla con cuadrícula1111213"/>
    <w:basedOn w:val="Tablanormal"/>
    <w:uiPriority w:val="39"/>
    <w:rsid w:val="0049193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25341012">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483275">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654474">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2" Type="http://schemas.openxmlformats.org/officeDocument/2006/relationships/image" Target="media/image14.png"/><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DC2D03-0A56-4B23-973D-490CF1F33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31</Pages>
  <Words>6140</Words>
  <Characters>33774</Characters>
  <Application>Microsoft Office Word</Application>
  <DocSecurity>0</DocSecurity>
  <Lines>281</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Jorge Luis Penunuri Loredo</cp:lastModifiedBy>
  <cp:revision>6</cp:revision>
  <cp:lastPrinted>2022-05-02T01:54:00Z</cp:lastPrinted>
  <dcterms:created xsi:type="dcterms:W3CDTF">2022-04-22T02:21:00Z</dcterms:created>
  <dcterms:modified xsi:type="dcterms:W3CDTF">2022-05-02T01:56:00Z</dcterms:modified>
</cp:coreProperties>
</file>