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9F5DE" w14:textId="77777777" w:rsidR="008F45A0" w:rsidRDefault="008F45A0">
      <w:pPr>
        <w:widowControl w:val="0"/>
        <w:pBdr>
          <w:top w:val="nil"/>
          <w:left w:val="nil"/>
          <w:bottom w:val="nil"/>
          <w:right w:val="nil"/>
          <w:between w:val="nil"/>
        </w:pBdr>
        <w:spacing w:line="276" w:lineRule="auto"/>
      </w:pPr>
    </w:p>
    <w:p w14:paraId="5F4A1658"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dieciocho de mayo de dos mil veintidós. </w:t>
      </w:r>
    </w:p>
    <w:p w14:paraId="38481FDC" w14:textId="77777777" w:rsidR="008F45A0" w:rsidRPr="00D42BD8" w:rsidRDefault="008F45A0">
      <w:pPr>
        <w:spacing w:line="360" w:lineRule="auto"/>
        <w:jc w:val="both"/>
        <w:rPr>
          <w:rFonts w:ascii="Palatino Linotype" w:eastAsia="Palatino Linotype" w:hAnsi="Palatino Linotype" w:cs="Palatino Linotype"/>
        </w:rPr>
      </w:pPr>
    </w:p>
    <w:p w14:paraId="41FB185C" w14:textId="354815E1"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b/>
          <w:sz w:val="28"/>
          <w:szCs w:val="28"/>
        </w:rPr>
        <w:t>VISTO</w:t>
      </w:r>
      <w:r w:rsidRPr="00D42BD8">
        <w:rPr>
          <w:rFonts w:ascii="Palatino Linotype" w:eastAsia="Palatino Linotype" w:hAnsi="Palatino Linotype" w:cs="Palatino Linotype"/>
        </w:rPr>
        <w:t xml:space="preserve"> el expediente formado con motivo del Recurso de Revisión</w:t>
      </w:r>
      <w:r w:rsidR="00FE43D3">
        <w:rPr>
          <w:rFonts w:ascii="Palatino Linotype" w:eastAsia="Palatino Linotype" w:hAnsi="Palatino Linotype" w:cs="Palatino Linotype"/>
        </w:rPr>
        <w:t xml:space="preserve"> </w:t>
      </w:r>
      <w:r w:rsidR="00FE43D3">
        <w:rPr>
          <w:rFonts w:ascii="Palatino Linotype" w:eastAsia="Palatino Linotype" w:hAnsi="Palatino Linotype" w:cs="Palatino Linotype"/>
          <w:b/>
        </w:rPr>
        <w:t>02757/INFOEM/IP/RR/2022</w:t>
      </w:r>
      <w:bookmarkStart w:id="0" w:name="_GoBack"/>
      <w:bookmarkEnd w:id="0"/>
      <w:r w:rsidRPr="00D42BD8">
        <w:rPr>
          <w:rFonts w:ascii="Palatino Linotype" w:eastAsia="Palatino Linotype" w:hAnsi="Palatino Linotype" w:cs="Palatino Linotype"/>
          <w:b/>
        </w:rPr>
        <w:t xml:space="preserve">, </w:t>
      </w:r>
      <w:r w:rsidRPr="00D42BD8">
        <w:rPr>
          <w:rFonts w:ascii="Palatino Linotype" w:eastAsia="Palatino Linotype" w:hAnsi="Palatino Linotype" w:cs="Palatino Linotype"/>
        </w:rPr>
        <w:t xml:space="preserve">promovido por el </w:t>
      </w:r>
      <w:r w:rsidRPr="00334230">
        <w:rPr>
          <w:rFonts w:ascii="Palatino Linotype" w:eastAsia="Palatino Linotype" w:hAnsi="Palatino Linotype" w:cs="Palatino Linotype"/>
          <w:b/>
        </w:rPr>
        <w:t>C.</w:t>
      </w:r>
      <w:r w:rsidRPr="00D42BD8">
        <w:rPr>
          <w:rFonts w:ascii="Palatino Linotype" w:eastAsia="Palatino Linotype" w:hAnsi="Palatino Linotype" w:cs="Palatino Linotype"/>
        </w:rPr>
        <w:t xml:space="preserve"> </w:t>
      </w:r>
      <w:r w:rsidR="00580187">
        <w:rPr>
          <w:rFonts w:ascii="Palatino Linotype" w:eastAsia="Palatino Linotype" w:hAnsi="Palatino Linotype" w:cs="Palatino Linotype"/>
          <w:b/>
          <w:sz w:val="22"/>
          <w:szCs w:val="22"/>
        </w:rPr>
        <w:t>XXXXXX XXXXXXX XXXXXX</w:t>
      </w:r>
      <w:r w:rsidRPr="00D42BD8">
        <w:rPr>
          <w:rFonts w:ascii="Palatino Linotype" w:eastAsia="Palatino Linotype" w:hAnsi="Palatino Linotype" w:cs="Palatino Linotype"/>
        </w:rPr>
        <w:t xml:space="preserve"> a quien en lo sucesivo se le denominara como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en contra de la respuesta del </w:t>
      </w:r>
      <w:r w:rsidRPr="00D42BD8">
        <w:rPr>
          <w:rFonts w:ascii="Palatino Linotype" w:eastAsia="Palatino Linotype" w:hAnsi="Palatino Linotype" w:cs="Palatino Linotype"/>
          <w:b/>
        </w:rPr>
        <w:t xml:space="preserve">Ayuntamiento de Ixtlahuaca, </w:t>
      </w:r>
      <w:r w:rsidRPr="00D42BD8">
        <w:rPr>
          <w:rFonts w:ascii="Palatino Linotype" w:eastAsia="Palatino Linotype" w:hAnsi="Palatino Linotype" w:cs="Palatino Linotype"/>
        </w:rPr>
        <w:t xml:space="preserve">en lo subsecuente se le denominará </w:t>
      </w:r>
      <w:r w:rsidRPr="00D42BD8">
        <w:rPr>
          <w:rFonts w:ascii="Palatino Linotype" w:eastAsia="Palatino Linotype" w:hAnsi="Palatino Linotype" w:cs="Palatino Linotype"/>
          <w:b/>
        </w:rPr>
        <w:t xml:space="preserve">EL SUJETO OBLIGADO, </w:t>
      </w:r>
      <w:r w:rsidRPr="00D42BD8">
        <w:rPr>
          <w:rFonts w:ascii="Palatino Linotype" w:eastAsia="Palatino Linotype" w:hAnsi="Palatino Linotype" w:cs="Palatino Linotype"/>
        </w:rPr>
        <w:t>se procede a dictar la presente resolución con base en lo siguiente:</w:t>
      </w:r>
    </w:p>
    <w:p w14:paraId="58E2484E" w14:textId="77777777" w:rsidR="008F45A0" w:rsidRPr="00D42BD8" w:rsidRDefault="008F45A0">
      <w:pPr>
        <w:spacing w:line="360" w:lineRule="auto"/>
        <w:jc w:val="both"/>
        <w:rPr>
          <w:rFonts w:ascii="Palatino Linotype" w:eastAsia="Palatino Linotype" w:hAnsi="Palatino Linotype" w:cs="Palatino Linotype"/>
          <w:b/>
        </w:rPr>
      </w:pPr>
    </w:p>
    <w:p w14:paraId="7BFCABBA" w14:textId="77777777" w:rsidR="008F45A0" w:rsidRPr="00D42BD8" w:rsidRDefault="00D435A4">
      <w:pPr>
        <w:jc w:val="center"/>
        <w:rPr>
          <w:rFonts w:ascii="Palatino Linotype" w:eastAsia="Palatino Linotype" w:hAnsi="Palatino Linotype" w:cs="Palatino Linotype"/>
          <w:b/>
          <w:sz w:val="28"/>
          <w:szCs w:val="28"/>
        </w:rPr>
      </w:pPr>
      <w:r w:rsidRPr="00D42BD8">
        <w:rPr>
          <w:rFonts w:ascii="Palatino Linotype" w:eastAsia="Palatino Linotype" w:hAnsi="Palatino Linotype" w:cs="Palatino Linotype"/>
          <w:b/>
          <w:sz w:val="28"/>
          <w:szCs w:val="28"/>
        </w:rPr>
        <w:t>ANTECEDENTES</w:t>
      </w:r>
    </w:p>
    <w:p w14:paraId="27550525" w14:textId="77777777" w:rsidR="008F45A0" w:rsidRPr="00D42BD8" w:rsidRDefault="008F45A0">
      <w:pPr>
        <w:rPr>
          <w:rFonts w:ascii="Palatino Linotype" w:eastAsia="Palatino Linotype" w:hAnsi="Palatino Linotype" w:cs="Palatino Linotype"/>
          <w:b/>
        </w:rPr>
      </w:pPr>
    </w:p>
    <w:p w14:paraId="03B3189D" w14:textId="77777777" w:rsidR="008F45A0" w:rsidRPr="00D42BD8" w:rsidRDefault="00D435A4">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D42BD8">
        <w:rPr>
          <w:rFonts w:ascii="Palatino Linotype" w:eastAsia="Palatino Linotype" w:hAnsi="Palatino Linotype" w:cs="Palatino Linotype"/>
          <w:b/>
          <w:sz w:val="28"/>
          <w:szCs w:val="28"/>
        </w:rPr>
        <w:t>I.</w:t>
      </w:r>
      <w:r w:rsidRPr="00D42BD8">
        <w:rPr>
          <w:rFonts w:ascii="Palatino Linotype" w:eastAsia="Palatino Linotype" w:hAnsi="Palatino Linotype" w:cs="Palatino Linotype"/>
          <w:b/>
        </w:rPr>
        <w:t xml:space="preserve"> </w:t>
      </w:r>
      <w:r w:rsidRPr="00D42BD8">
        <w:rPr>
          <w:rFonts w:ascii="Palatino Linotype" w:eastAsia="Palatino Linotype" w:hAnsi="Palatino Linotype" w:cs="Palatino Linotype"/>
          <w:b/>
          <w:sz w:val="28"/>
          <w:szCs w:val="28"/>
        </w:rPr>
        <w:t>De la Solicitud de Información</w:t>
      </w:r>
    </w:p>
    <w:p w14:paraId="08C3ED0B" w14:textId="77777777" w:rsidR="008F45A0" w:rsidRPr="00D42BD8" w:rsidRDefault="00D435A4">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sidRPr="00D42BD8">
        <w:rPr>
          <w:rFonts w:ascii="Palatino Linotype" w:eastAsia="Palatino Linotype" w:hAnsi="Palatino Linotype" w:cs="Palatino Linotype"/>
        </w:rPr>
        <w:t xml:space="preserve"> En fecha tres de febrero de dos mil veintidós,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presentó a través del Sistema de Acceso a la Información Mexiquense, en lo subsecuente </w:t>
      </w:r>
      <w:r w:rsidRPr="00D42BD8">
        <w:rPr>
          <w:rFonts w:ascii="Palatino Linotype" w:eastAsia="Palatino Linotype" w:hAnsi="Palatino Linotype" w:cs="Palatino Linotype"/>
          <w:b/>
        </w:rPr>
        <w:t>EL SAIMEX</w:t>
      </w:r>
      <w:r w:rsidRPr="00D42BD8">
        <w:rPr>
          <w:rFonts w:ascii="Palatino Linotype" w:eastAsia="Palatino Linotype" w:hAnsi="Palatino Linotype" w:cs="Palatino Linotype"/>
        </w:rPr>
        <w:t xml:space="preserve"> ante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la solicitud de acceso a la información pública, a la que se le asignó el número de expediente </w:t>
      </w:r>
      <w:r w:rsidRPr="00D42BD8">
        <w:rPr>
          <w:rFonts w:ascii="Palatino Linotype" w:eastAsia="Palatino Linotype" w:hAnsi="Palatino Linotype" w:cs="Palatino Linotype"/>
          <w:b/>
        </w:rPr>
        <w:t xml:space="preserve">00050/IXTLAHUA/IP/2022, </w:t>
      </w:r>
      <w:r w:rsidRPr="00D42BD8">
        <w:rPr>
          <w:rFonts w:ascii="Palatino Linotype" w:eastAsia="Palatino Linotype" w:hAnsi="Palatino Linotype" w:cs="Palatino Linotype"/>
        </w:rPr>
        <w:t xml:space="preserve"> requirió, lo siguiente:</w:t>
      </w:r>
    </w:p>
    <w:p w14:paraId="5F6986B3" w14:textId="77777777" w:rsidR="008F45A0" w:rsidRPr="00D42BD8" w:rsidRDefault="00D435A4">
      <w:pPr>
        <w:ind w:left="850" w:right="899"/>
        <w:jc w:val="both"/>
        <w:rPr>
          <w:rFonts w:ascii="Palatino Linotype" w:eastAsia="Palatino Linotype" w:hAnsi="Palatino Linotype" w:cs="Palatino Linotype"/>
          <w:sz w:val="22"/>
          <w:szCs w:val="22"/>
        </w:rPr>
      </w:pPr>
      <w:r w:rsidRPr="00D42BD8">
        <w:rPr>
          <w:rFonts w:ascii="Palatino Linotype" w:eastAsia="Palatino Linotype" w:hAnsi="Palatino Linotype" w:cs="Palatino Linotype"/>
          <w:i/>
          <w:sz w:val="22"/>
          <w:szCs w:val="22"/>
        </w:rPr>
        <w:t>“Información sobre el Centro de Transferencia de Residuos Solidos en Ixtlahuaca, proyecto, ubicación, impacto ambiental, afectación a los predios colindantes, uso de suelo del predio donde se pretende ubicar, empresa destinada a realizarlo, avance de obra, forma de adquirir el predio, monto destinado para la obra, acta de Asamblea del Ejido al que pertenece el predio..” (sic)</w:t>
      </w:r>
    </w:p>
    <w:p w14:paraId="6E617AB5" w14:textId="77777777" w:rsidR="008F45A0" w:rsidRPr="00D42BD8" w:rsidRDefault="008F45A0">
      <w:pPr>
        <w:tabs>
          <w:tab w:val="left" w:pos="851"/>
        </w:tabs>
        <w:ind w:right="901"/>
        <w:jc w:val="both"/>
        <w:rPr>
          <w:rFonts w:ascii="Palatino Linotype" w:eastAsia="Palatino Linotype" w:hAnsi="Palatino Linotype" w:cs="Palatino Linotype"/>
          <w:sz w:val="22"/>
          <w:szCs w:val="22"/>
        </w:rPr>
      </w:pPr>
    </w:p>
    <w:p w14:paraId="2CAD715C" w14:textId="77777777" w:rsidR="008F45A0" w:rsidRPr="00D42BD8" w:rsidRDefault="00D435A4">
      <w:pPr>
        <w:widowControl w:val="0"/>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rPr>
        <w:lastRenderedPageBreak/>
        <w:t xml:space="preserve">MODALIDAD DE ENTREGA: </w:t>
      </w:r>
      <w:r w:rsidRPr="00D42BD8">
        <w:rPr>
          <w:rFonts w:ascii="Palatino Linotype" w:eastAsia="Palatino Linotype" w:hAnsi="Palatino Linotype" w:cs="Palatino Linotype"/>
        </w:rPr>
        <w:t xml:space="preserve">Vía </w:t>
      </w:r>
      <w:r w:rsidRPr="00D42BD8">
        <w:rPr>
          <w:rFonts w:ascii="Palatino Linotype" w:eastAsia="Palatino Linotype" w:hAnsi="Palatino Linotype" w:cs="Palatino Linotype"/>
          <w:b/>
        </w:rPr>
        <w:t>SAIMEX.</w:t>
      </w:r>
    </w:p>
    <w:p w14:paraId="14E296CA" w14:textId="77777777" w:rsidR="008F45A0" w:rsidRPr="00D42BD8" w:rsidRDefault="008F45A0">
      <w:pPr>
        <w:widowControl w:val="0"/>
        <w:spacing w:line="360" w:lineRule="auto"/>
        <w:jc w:val="both"/>
        <w:rPr>
          <w:rFonts w:ascii="Palatino Linotype" w:eastAsia="Palatino Linotype" w:hAnsi="Palatino Linotype" w:cs="Palatino Linotype"/>
          <w:b/>
        </w:rPr>
      </w:pPr>
    </w:p>
    <w:p w14:paraId="53BF77FB" w14:textId="77777777" w:rsidR="008F45A0" w:rsidRPr="00D42BD8" w:rsidRDefault="00D435A4">
      <w:pPr>
        <w:spacing w:line="360" w:lineRule="auto"/>
        <w:jc w:val="both"/>
        <w:rPr>
          <w:rFonts w:ascii="Palatino Linotype" w:eastAsia="Palatino Linotype" w:hAnsi="Palatino Linotype" w:cs="Palatino Linotype"/>
          <w:b/>
          <w:sz w:val="28"/>
          <w:szCs w:val="28"/>
        </w:rPr>
      </w:pPr>
      <w:r w:rsidRPr="00D42BD8">
        <w:rPr>
          <w:rFonts w:ascii="Palatino Linotype" w:eastAsia="Palatino Linotype" w:hAnsi="Palatino Linotype" w:cs="Palatino Linotype"/>
          <w:b/>
          <w:sz w:val="28"/>
          <w:szCs w:val="28"/>
        </w:rPr>
        <w:t>II. Turno de Requerimiento del Sujeto Obligado</w:t>
      </w:r>
    </w:p>
    <w:p w14:paraId="736AC5A7"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De las constancias que obran en el expediente electrónico del SAIMEX, no se aprecia turno de requerimiento a los servidores públicos habilitados en cumplimiento al artículo 162 de la Ley de Transparencia y Acceso a la Información Pública del Estado de México y Municipios, a efecto de que realizaran la búsqueda y localización de la información solicitada.</w:t>
      </w:r>
    </w:p>
    <w:p w14:paraId="622D7FF7" w14:textId="77777777" w:rsidR="008F45A0" w:rsidRPr="00D42BD8" w:rsidRDefault="008F45A0">
      <w:pPr>
        <w:spacing w:line="360" w:lineRule="auto"/>
        <w:jc w:val="both"/>
        <w:rPr>
          <w:rFonts w:ascii="Palatino Linotype" w:eastAsia="Palatino Linotype" w:hAnsi="Palatino Linotype" w:cs="Palatino Linotype"/>
        </w:rPr>
      </w:pPr>
    </w:p>
    <w:p w14:paraId="069320F1" w14:textId="77777777" w:rsidR="008F45A0" w:rsidRPr="00D42BD8" w:rsidRDefault="00D435A4">
      <w:pPr>
        <w:spacing w:line="360" w:lineRule="auto"/>
        <w:jc w:val="both"/>
        <w:rPr>
          <w:rFonts w:ascii="Palatino Linotype" w:eastAsia="Palatino Linotype" w:hAnsi="Palatino Linotype" w:cs="Palatino Linotype"/>
          <w:b/>
          <w:sz w:val="28"/>
          <w:szCs w:val="28"/>
        </w:rPr>
      </w:pPr>
      <w:r w:rsidRPr="00D42BD8">
        <w:rPr>
          <w:rFonts w:ascii="Palatino Linotype" w:eastAsia="Palatino Linotype" w:hAnsi="Palatino Linotype" w:cs="Palatino Linotype"/>
          <w:b/>
          <w:sz w:val="28"/>
          <w:szCs w:val="28"/>
        </w:rPr>
        <w:t>III. Respuesta del Sujeto Obligado</w:t>
      </w:r>
    </w:p>
    <w:p w14:paraId="55637AD7"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fecha veinticinco de febrero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dio respuesta a la solicitud de información pública en los términos siguientes:</w:t>
      </w:r>
    </w:p>
    <w:p w14:paraId="646C7A45" w14:textId="0867B303" w:rsidR="008F45A0" w:rsidRPr="00D42BD8" w:rsidRDefault="00D435A4">
      <w:pPr>
        <w:ind w:left="850" w:right="899"/>
        <w:jc w:val="both"/>
        <w:rPr>
          <w:rFonts w:ascii="Palatino Linotype" w:eastAsia="Palatino Linotype" w:hAnsi="Palatino Linotype" w:cs="Palatino Linotype"/>
        </w:rPr>
      </w:pPr>
      <w:r w:rsidRPr="00D42BD8">
        <w:rPr>
          <w:rFonts w:ascii="Palatino Linotype" w:eastAsia="Palatino Linotype" w:hAnsi="Palatino Linotype" w:cs="Palatino Linotype"/>
          <w:i/>
          <w:sz w:val="22"/>
          <w:szCs w:val="22"/>
        </w:rPr>
        <w:t xml:space="preserve">“...Ixtlahuaca, México a 25 de Febrero de 2022 Nombre del solicitante: </w:t>
      </w:r>
      <w:r w:rsidR="00580187">
        <w:rPr>
          <w:rFonts w:ascii="Palatino Linotype" w:eastAsia="Palatino Linotype" w:hAnsi="Palatino Linotype" w:cs="Palatino Linotype"/>
          <w:i/>
          <w:sz w:val="22"/>
          <w:szCs w:val="22"/>
        </w:rPr>
        <w:t>XXXXXX XXXXXXX XXXXXX</w:t>
      </w:r>
      <w:r w:rsidRPr="00D42BD8">
        <w:rPr>
          <w:rFonts w:ascii="Palatino Linotype" w:eastAsia="Palatino Linotype" w:hAnsi="Palatino Linotype" w:cs="Palatino Linotype"/>
          <w:i/>
          <w:sz w:val="22"/>
          <w:szCs w:val="22"/>
        </w:rPr>
        <w:t xml:space="preserve"> Folio de la solicitud: 00050/IXTLAHUA/IP/2022 Ixtlahuaca de Rayón; México, a 25 de febrero de 2022 </w:t>
      </w:r>
      <w:r w:rsidR="00580187">
        <w:rPr>
          <w:rFonts w:ascii="Palatino Linotype" w:eastAsia="Palatino Linotype" w:hAnsi="Palatino Linotype" w:cs="Palatino Linotype"/>
          <w:i/>
          <w:sz w:val="22"/>
          <w:szCs w:val="22"/>
        </w:rPr>
        <w:t>XXXXXX XXXXXXX XXXXXX</w:t>
      </w:r>
      <w:r w:rsidRPr="00D42BD8">
        <w:rPr>
          <w:rFonts w:ascii="Palatino Linotype" w:eastAsia="Palatino Linotype" w:hAnsi="Palatino Linotype" w:cs="Palatino Linotype"/>
          <w:i/>
          <w:sz w:val="22"/>
          <w:szCs w:val="22"/>
        </w:rPr>
        <w:t xml:space="preserve"> P R E S E N T E . Por medio del presente me permito enviarle un cordial y afectuoso saludo, al mismo tiempo y en atención a su solicitud 00050/IXTLAHUA/IP/2022 de fecha tres de febrero de dos mil veintidós; donde solicita lo siguiente: “…Información sobre el Centro de Transferencia de Residuos Solidos en Ixtlahuaca, proyecto, ubicación, impacto ambiental, afectación a los predios colindantes, uso de suelo del predio donde se pretende ubicar, empresa destinada a realizarlo, avance de obra, forma de adquirir el predio, monto destinado para la obra, acta de Asamblea del Ejido al que pertenece el predio…”;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w:t>
      </w:r>
      <w:r w:rsidRPr="00D42BD8">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al respecto envió a Usted la información siguiente: Al respecto envió en formato PDF (RESPUESTA 000050/IXTLAHUA/IP/2022) Sin otro particular por el momento quedo de Usted; para cualquier duda y/o aclaración al respecto. A T E N T A M E N T E P.EN CRIM. ANA KAREN MARTÍNEZ MATEOS TITULAR DE LA UNIDAD DE TRANSPARENCIA Y ACCESO A LA INFORMACIÓN MUNICIPAL ATENTAMENTE P. en Crim. ANA KAREN MARTÍNEZ MATEOS Unidad de Transparencia Ayuntamiento de Ixtlahuaca …”</w:t>
      </w:r>
      <w:r w:rsidRPr="00D42BD8">
        <w:rPr>
          <w:rFonts w:ascii="Palatino Linotype" w:eastAsia="Palatino Linotype" w:hAnsi="Palatino Linotype" w:cs="Palatino Linotype"/>
        </w:rPr>
        <w:t xml:space="preserve"> </w:t>
      </w:r>
    </w:p>
    <w:p w14:paraId="309BA60C" w14:textId="77777777" w:rsidR="008F45A0" w:rsidRPr="00D42BD8" w:rsidRDefault="008F45A0">
      <w:pPr>
        <w:spacing w:line="360" w:lineRule="auto"/>
        <w:jc w:val="both"/>
        <w:rPr>
          <w:rFonts w:ascii="Palatino Linotype" w:eastAsia="Palatino Linotype" w:hAnsi="Palatino Linotype" w:cs="Palatino Linotype"/>
        </w:rPr>
      </w:pPr>
    </w:p>
    <w:p w14:paraId="5E3DF34C"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Adjuntando dos documentos el primero de ellos denominado </w:t>
      </w:r>
      <w:r w:rsidRPr="00D42BD8">
        <w:rPr>
          <w:rFonts w:ascii="Palatino Linotype" w:eastAsia="Palatino Linotype" w:hAnsi="Palatino Linotype" w:cs="Palatino Linotype"/>
          <w:i/>
        </w:rPr>
        <w:t>respuesta # 0050-2022.pdf</w:t>
      </w:r>
      <w:r w:rsidRPr="00D42BD8">
        <w:rPr>
          <w:rFonts w:ascii="Palatino Linotype" w:eastAsia="Palatino Linotype" w:hAnsi="Palatino Linotype" w:cs="Palatino Linotype"/>
        </w:rPr>
        <w:t xml:space="preserve">, del cual se advierten tres oficios de fechas veinticuatro, veintitrés y nueve de febrero, en donde constan, la respuesta del Director de Planeación del Territorio señalando que la información solicitada se reservada ya que corresponde a un procedimiento administrativo en proceso, la Respuesta de la Directora de Medio Ambiente manifestando que la información requerida se encuentra en proceso de elaboración y es parte de un procedimiento administrativo que no ha quedado firme. Así como la respuesta del Director de Infraestructura Municipal quien de igual manera refiere la reserva de la información solicitada. </w:t>
      </w:r>
    </w:p>
    <w:p w14:paraId="09AB9BC1" w14:textId="77777777" w:rsidR="008F45A0" w:rsidRPr="00D42BD8" w:rsidRDefault="008F45A0">
      <w:pPr>
        <w:spacing w:line="360" w:lineRule="auto"/>
        <w:jc w:val="both"/>
        <w:rPr>
          <w:rFonts w:ascii="Palatino Linotype" w:eastAsia="Palatino Linotype" w:hAnsi="Palatino Linotype" w:cs="Palatino Linotype"/>
        </w:rPr>
      </w:pPr>
    </w:p>
    <w:p w14:paraId="1782F93B"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El segundo documento de nombre </w:t>
      </w:r>
      <w:r w:rsidRPr="00D42BD8">
        <w:rPr>
          <w:rFonts w:ascii="Palatino Linotype" w:eastAsia="Palatino Linotype" w:hAnsi="Palatino Linotype" w:cs="Palatino Linotype"/>
          <w:i/>
        </w:rPr>
        <w:t xml:space="preserve">Acta de Comite # 50-2022.pdf </w:t>
      </w:r>
      <w:r w:rsidRPr="00D42BD8">
        <w:rPr>
          <w:rFonts w:ascii="Palatino Linotype" w:eastAsia="Palatino Linotype" w:hAnsi="Palatino Linotype" w:cs="Palatino Linotype"/>
        </w:rPr>
        <w:t xml:space="preserve">que como su nombre lo indica contiene el Acta de la Octava Sesión Ordinaria del Comité de Transparencia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de fecha veinticinco de febrero de dos mil veintidós en donde se aprueba la clasificación de la información solicitada como reservada  por el periodo de un año. </w:t>
      </w:r>
    </w:p>
    <w:p w14:paraId="16A0162A" w14:textId="77777777" w:rsidR="008F45A0" w:rsidRPr="00D42BD8" w:rsidRDefault="008F45A0">
      <w:pPr>
        <w:widowControl w:val="0"/>
        <w:spacing w:line="360" w:lineRule="auto"/>
        <w:jc w:val="both"/>
        <w:rPr>
          <w:rFonts w:ascii="Palatino Linotype" w:eastAsia="Palatino Linotype" w:hAnsi="Palatino Linotype" w:cs="Palatino Linotype"/>
        </w:rPr>
      </w:pPr>
    </w:p>
    <w:p w14:paraId="167F18E9" w14:textId="77777777" w:rsidR="008F45A0" w:rsidRPr="00D42BD8" w:rsidRDefault="00D435A4">
      <w:pPr>
        <w:widowControl w:val="0"/>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sz w:val="28"/>
          <w:szCs w:val="28"/>
        </w:rPr>
        <w:lastRenderedPageBreak/>
        <w:t>III. Del Recurso de Revisión</w:t>
      </w:r>
      <w:r w:rsidRPr="00D42BD8">
        <w:rPr>
          <w:rFonts w:ascii="Palatino Linotype" w:eastAsia="Palatino Linotype" w:hAnsi="Palatino Linotype" w:cs="Palatino Linotype"/>
          <w:b/>
        </w:rPr>
        <w:t>.</w:t>
      </w:r>
    </w:p>
    <w:p w14:paraId="24EB5958" w14:textId="77777777" w:rsidR="008F45A0" w:rsidRPr="00D42BD8" w:rsidRDefault="00D435A4">
      <w:pPr>
        <w:widowControl w:val="0"/>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Inconforme por la respuesta del</w:t>
      </w:r>
      <w:r w:rsidRPr="00D42BD8">
        <w:rPr>
          <w:rFonts w:ascii="Palatino Linotype" w:eastAsia="Palatino Linotype" w:hAnsi="Palatino Linotype" w:cs="Palatino Linotype"/>
          <w:b/>
        </w:rPr>
        <w:t xml:space="preserve"> SUJETO OBLIGADO</w:t>
      </w:r>
      <w:r w:rsidRPr="00D42BD8">
        <w:rPr>
          <w:rFonts w:ascii="Palatino Linotype" w:eastAsia="Palatino Linotype" w:hAnsi="Palatino Linotype" w:cs="Palatino Linotype"/>
        </w:rPr>
        <w:t xml:space="preserve">, el primero de marzo de dos mil veintidós,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interpuso el Recurso de Revisión. El cual fue registrado en </w:t>
      </w:r>
      <w:r w:rsidRPr="00D42BD8">
        <w:rPr>
          <w:rFonts w:ascii="Palatino Linotype" w:eastAsia="Palatino Linotype" w:hAnsi="Palatino Linotype" w:cs="Palatino Linotype"/>
          <w:b/>
        </w:rPr>
        <w:t>EL SAIMEX</w:t>
      </w:r>
      <w:r w:rsidRPr="00D42BD8">
        <w:rPr>
          <w:rFonts w:ascii="Palatino Linotype" w:eastAsia="Palatino Linotype" w:hAnsi="Palatino Linotype" w:cs="Palatino Linotype"/>
        </w:rPr>
        <w:t xml:space="preserve"> y se le asignó el número de expediente </w:t>
      </w:r>
      <w:r w:rsidRPr="00D42BD8">
        <w:rPr>
          <w:rFonts w:ascii="Palatino Linotype" w:eastAsia="Palatino Linotype" w:hAnsi="Palatino Linotype" w:cs="Palatino Linotype"/>
          <w:b/>
        </w:rPr>
        <w:t xml:space="preserve">02757/INFOEM/IP/RR/2022, </w:t>
      </w:r>
      <w:r w:rsidRPr="00D42BD8">
        <w:rPr>
          <w:rFonts w:ascii="Palatino Linotype" w:eastAsia="Palatino Linotype" w:hAnsi="Palatino Linotype" w:cs="Palatino Linotype"/>
        </w:rPr>
        <w:t xml:space="preserve">donde los motivos de agravio del </w:t>
      </w:r>
      <w:r w:rsidRPr="00D42BD8">
        <w:rPr>
          <w:rFonts w:ascii="Palatino Linotype" w:eastAsia="Palatino Linotype" w:hAnsi="Palatino Linotype" w:cs="Palatino Linotype"/>
          <w:b/>
        </w:rPr>
        <w:t xml:space="preserve">RECURRENTE </w:t>
      </w:r>
      <w:r w:rsidRPr="00D42BD8">
        <w:rPr>
          <w:rFonts w:ascii="Palatino Linotype" w:eastAsia="Palatino Linotype" w:hAnsi="Palatino Linotype" w:cs="Palatino Linotype"/>
        </w:rPr>
        <w:t>fueron los siguientes:</w:t>
      </w:r>
    </w:p>
    <w:p w14:paraId="73CF4F5F" w14:textId="77777777" w:rsidR="008F45A0" w:rsidRPr="00D42BD8" w:rsidRDefault="008F45A0">
      <w:pPr>
        <w:spacing w:line="360" w:lineRule="auto"/>
        <w:ind w:left="-57" w:right="-57"/>
        <w:jc w:val="both"/>
        <w:rPr>
          <w:rFonts w:ascii="Palatino Linotype" w:eastAsia="Palatino Linotype" w:hAnsi="Palatino Linotype" w:cs="Palatino Linotype"/>
        </w:rPr>
      </w:pPr>
    </w:p>
    <w:p w14:paraId="7324D782" w14:textId="77777777" w:rsidR="008F45A0" w:rsidRPr="00D42BD8" w:rsidRDefault="00D435A4">
      <w:pPr>
        <w:spacing w:line="360" w:lineRule="auto"/>
        <w:ind w:left="-57" w:right="-57"/>
        <w:jc w:val="both"/>
        <w:rPr>
          <w:rFonts w:ascii="Palatino Linotype" w:eastAsia="Palatino Linotype" w:hAnsi="Palatino Linotype" w:cs="Palatino Linotype"/>
        </w:rPr>
      </w:pPr>
      <w:r w:rsidRPr="00D42BD8">
        <w:rPr>
          <w:rFonts w:ascii="Palatino Linotype" w:eastAsia="Palatino Linotype" w:hAnsi="Palatino Linotype" w:cs="Palatino Linotype"/>
        </w:rPr>
        <w:t>Acto Impugnado:</w:t>
      </w:r>
      <w:r w:rsidRPr="00D42BD8">
        <w:t xml:space="preserve"> </w:t>
      </w:r>
    </w:p>
    <w:p w14:paraId="676C9AEC" w14:textId="77777777" w:rsidR="008F45A0" w:rsidRPr="00D42BD8" w:rsidRDefault="00D435A4">
      <w:pPr>
        <w:tabs>
          <w:tab w:val="left" w:pos="709"/>
        </w:tabs>
        <w:spacing w:before="66"/>
        <w:ind w:left="850" w:right="899"/>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“Respuesta emitida por el Ayuntamiento de Ixtlahuaca, Estado de México a la solicitud 00050/IXTLAHUACA/IP/2022”(sic)</w:t>
      </w:r>
    </w:p>
    <w:p w14:paraId="4C8043F3" w14:textId="77777777" w:rsidR="008F45A0" w:rsidRPr="00D42BD8" w:rsidRDefault="008F45A0">
      <w:pPr>
        <w:tabs>
          <w:tab w:val="left" w:pos="709"/>
        </w:tabs>
        <w:spacing w:before="66"/>
        <w:ind w:left="850" w:right="899"/>
        <w:rPr>
          <w:rFonts w:ascii="Palatino Linotype" w:eastAsia="Palatino Linotype" w:hAnsi="Palatino Linotype" w:cs="Palatino Linotype"/>
          <w:i/>
          <w:sz w:val="20"/>
          <w:szCs w:val="20"/>
        </w:rPr>
      </w:pPr>
    </w:p>
    <w:p w14:paraId="6FBB908D" w14:textId="77777777" w:rsidR="008F45A0" w:rsidRPr="00D42BD8" w:rsidRDefault="00D435A4">
      <w:pPr>
        <w:tabs>
          <w:tab w:val="left" w:pos="709"/>
        </w:tabs>
        <w:spacing w:before="66"/>
        <w:rPr>
          <w:rFonts w:ascii="Palatino Linotype" w:eastAsia="Palatino Linotype" w:hAnsi="Palatino Linotype" w:cs="Palatino Linotype"/>
        </w:rPr>
      </w:pPr>
      <w:r w:rsidRPr="00D42BD8">
        <w:rPr>
          <w:rFonts w:ascii="Palatino Linotype" w:eastAsia="Palatino Linotype" w:hAnsi="Palatino Linotype" w:cs="Palatino Linotype"/>
        </w:rPr>
        <w:t>Razones o motivos de la inconformidad:</w:t>
      </w:r>
    </w:p>
    <w:p w14:paraId="09A551CF" w14:textId="77777777" w:rsidR="008F45A0" w:rsidRPr="00D42BD8" w:rsidRDefault="008F45A0">
      <w:pPr>
        <w:tabs>
          <w:tab w:val="left" w:pos="709"/>
        </w:tabs>
        <w:spacing w:before="66"/>
        <w:rPr>
          <w:rFonts w:ascii="Palatino Linotype" w:eastAsia="Palatino Linotype" w:hAnsi="Palatino Linotype" w:cs="Palatino Linotype"/>
        </w:rPr>
      </w:pPr>
    </w:p>
    <w:p w14:paraId="26402AEC"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“Por no haber contestado a lo peticionado y por el inadecuado fundamento, pues el Centro de Transferencia de Residuos Solidos no se encuentra dentro de la hipótesis que establece el articulo 140 de la Ley de Transferencia y Acceso a la Información Publica del Estado de México, máxime que dicha obra fue publicada a través de la página oficial del Ayuntamiento de Ixtlahuaca de la red social facebook y por consiguiente toda información que se derive de dicha obra deberá ser con carácter público.” (sic)</w:t>
      </w:r>
    </w:p>
    <w:p w14:paraId="06BB6678" w14:textId="77777777" w:rsidR="008F45A0" w:rsidRPr="00D42BD8" w:rsidRDefault="008F45A0">
      <w:pPr>
        <w:ind w:left="850" w:right="899"/>
        <w:jc w:val="both"/>
        <w:rPr>
          <w:rFonts w:ascii="Palatino Linotype" w:eastAsia="Palatino Linotype" w:hAnsi="Palatino Linotype" w:cs="Palatino Linotype"/>
          <w:i/>
          <w:sz w:val="22"/>
          <w:szCs w:val="22"/>
        </w:rPr>
      </w:pPr>
    </w:p>
    <w:p w14:paraId="5E56CF0D" w14:textId="77777777" w:rsidR="008F45A0" w:rsidRPr="00D42BD8" w:rsidRDefault="00D435A4">
      <w:pPr>
        <w:spacing w:line="360" w:lineRule="auto"/>
        <w:ind w:right="899"/>
        <w:jc w:val="both"/>
        <w:rPr>
          <w:rFonts w:ascii="Palatino Linotype" w:eastAsia="Palatino Linotype" w:hAnsi="Palatino Linotype" w:cs="Palatino Linotype"/>
          <w:b/>
        </w:rPr>
      </w:pPr>
      <w:r w:rsidRPr="00D42BD8">
        <w:rPr>
          <w:rFonts w:ascii="Palatino Linotype" w:eastAsia="Palatino Linotype" w:hAnsi="Palatino Linotype" w:cs="Palatino Linotype"/>
        </w:rPr>
        <w:t xml:space="preserve">Adjuntando a su escrito de interposición la respuesta proporcionada por </w:t>
      </w:r>
      <w:r w:rsidRPr="00D42BD8">
        <w:rPr>
          <w:rFonts w:ascii="Palatino Linotype" w:eastAsia="Palatino Linotype" w:hAnsi="Palatino Linotype" w:cs="Palatino Linotype"/>
          <w:b/>
        </w:rPr>
        <w:t xml:space="preserve">EL SUJETO OBLIGADO. </w:t>
      </w:r>
    </w:p>
    <w:p w14:paraId="43520E2C" w14:textId="77777777" w:rsidR="008F45A0" w:rsidRPr="00D42BD8" w:rsidRDefault="00D435A4">
      <w:pPr>
        <w:spacing w:line="360" w:lineRule="auto"/>
        <w:jc w:val="both"/>
        <w:rPr>
          <w:rFonts w:ascii="Palatino Linotype" w:eastAsia="Palatino Linotype" w:hAnsi="Palatino Linotype" w:cs="Palatino Linotype"/>
          <w:b/>
          <w:sz w:val="28"/>
          <w:szCs w:val="28"/>
        </w:rPr>
      </w:pPr>
      <w:r w:rsidRPr="00D42BD8">
        <w:rPr>
          <w:rFonts w:ascii="Palatino Linotype" w:eastAsia="Palatino Linotype" w:hAnsi="Palatino Linotype" w:cs="Palatino Linotype"/>
          <w:b/>
          <w:sz w:val="28"/>
          <w:szCs w:val="28"/>
        </w:rPr>
        <w:t xml:space="preserve">IV. Del turno del Recurso de Revisión. </w:t>
      </w:r>
    </w:p>
    <w:p w14:paraId="3DF68FC4"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El tres de marzo de dos mil veintidós, el recurso del que se trata se envió electrónicamente al Instituto de Transparencia, Acceso a la Información Pública y Protección de Datos Personales del Estado de México y Municipios y con fundamento </w:t>
      </w:r>
      <w:r w:rsidRPr="00D42BD8">
        <w:rPr>
          <w:rFonts w:ascii="Palatino Linotype" w:eastAsia="Palatino Linotype" w:hAnsi="Palatino Linotype" w:cs="Palatino Linotype"/>
        </w:rPr>
        <w:lastRenderedPageBreak/>
        <w:t xml:space="preserve">en el artículo 185, fracción I de la Ley de Transparencia y Acceso a la Información Pública del Estado de México y Municipios, se turnó a la </w:t>
      </w:r>
      <w:r w:rsidRPr="00D42BD8">
        <w:rPr>
          <w:rFonts w:ascii="Palatino Linotype" w:eastAsia="Palatino Linotype" w:hAnsi="Palatino Linotype" w:cs="Palatino Linotype"/>
          <w:b/>
        </w:rPr>
        <w:t>Comisionada Guadalupe Ramírez Peña</w:t>
      </w:r>
      <w:r w:rsidRPr="00D42BD8">
        <w:rPr>
          <w:rFonts w:ascii="Palatino Linotype" w:eastAsia="Palatino Linotype" w:hAnsi="Palatino Linotype" w:cs="Palatino Linotype"/>
        </w:rPr>
        <w:t>; a efecto de decretar su admisión o desechamiento.</w:t>
      </w:r>
    </w:p>
    <w:p w14:paraId="36F62D9E" w14:textId="77777777" w:rsidR="008F45A0" w:rsidRPr="00D42BD8" w:rsidRDefault="008F45A0">
      <w:pPr>
        <w:spacing w:line="360" w:lineRule="auto"/>
        <w:jc w:val="both"/>
        <w:rPr>
          <w:rFonts w:ascii="Palatino Linotype" w:eastAsia="Palatino Linotype" w:hAnsi="Palatino Linotype" w:cs="Palatino Linotype"/>
        </w:rPr>
      </w:pPr>
    </w:p>
    <w:p w14:paraId="1D40D0F4" w14:textId="77777777" w:rsidR="008F45A0" w:rsidRPr="00D42BD8" w:rsidRDefault="00D435A4">
      <w:pPr>
        <w:tabs>
          <w:tab w:val="center" w:pos="4252"/>
          <w:tab w:val="right" w:pos="8504"/>
        </w:tabs>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rPr>
        <w:t>a) Admisión del Recurso de Revisión</w:t>
      </w:r>
    </w:p>
    <w:p w14:paraId="5A9CF037" w14:textId="77777777" w:rsidR="008F45A0" w:rsidRPr="00D42BD8" w:rsidRDefault="00D435A4">
      <w:pPr>
        <w:tabs>
          <w:tab w:val="center" w:pos="4252"/>
          <w:tab w:val="right" w:pos="8504"/>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De las constancias que obran en el expediente electrónico del</w:t>
      </w:r>
      <w:r w:rsidRPr="00D42BD8">
        <w:rPr>
          <w:rFonts w:ascii="Palatino Linotype" w:eastAsia="Palatino Linotype" w:hAnsi="Palatino Linotype" w:cs="Palatino Linotype"/>
          <w:b/>
        </w:rPr>
        <w:t xml:space="preserve"> SAIMEX</w:t>
      </w:r>
      <w:r w:rsidRPr="00D42BD8">
        <w:rPr>
          <w:rFonts w:ascii="Palatino Linotype" w:eastAsia="Palatino Linotype" w:hAnsi="Palatino Linotype" w:cs="Palatino Linotype"/>
        </w:rPr>
        <w:t xml:space="preserve">, se advierte que en fecha cuatro de marzo de dos mil veintidós, se acordó la admisión a trámite del Recurso de Revisión que nos ocupa; así como la integración del expediente respectivo, mismo que se puso a disposición de las partes, para que en un plazo máximo de siete días hábiles </w:t>
      </w:r>
      <w:r w:rsidRPr="00D42BD8">
        <w:rPr>
          <w:rFonts w:ascii="Palatino Linotype" w:eastAsia="Palatino Linotype" w:hAnsi="Palatino Linotype" w:cs="Palatino Linotype"/>
          <w:b/>
        </w:rPr>
        <w:t xml:space="preserve">EL RECURRENTE </w:t>
      </w:r>
      <w:r w:rsidRPr="00D42BD8">
        <w:rPr>
          <w:rFonts w:ascii="Palatino Linotype" w:eastAsia="Palatino Linotype" w:hAnsi="Palatino Linotype" w:cs="Palatino Linotype"/>
        </w:rPr>
        <w:t xml:space="preserve">manifestara lo que a su derecho conviniera, a efecto de presentar pruebas y alegatos; así como, para que </w:t>
      </w:r>
      <w:r w:rsidRPr="00D42BD8">
        <w:rPr>
          <w:rFonts w:ascii="Palatino Linotype" w:eastAsia="Palatino Linotype" w:hAnsi="Palatino Linotype" w:cs="Palatino Linotype"/>
          <w:b/>
        </w:rPr>
        <w:t xml:space="preserve">EL SUJETO OBLIGADO </w:t>
      </w:r>
      <w:r w:rsidRPr="00D42BD8">
        <w:rPr>
          <w:rFonts w:ascii="Palatino Linotype" w:eastAsia="Palatino Linotype" w:hAnsi="Palatino Linotype" w:cs="Palatino Linotype"/>
        </w:rPr>
        <w:t>rindiera el correspondiente</w:t>
      </w:r>
      <w:r w:rsidRPr="00D42BD8">
        <w:rPr>
          <w:rFonts w:ascii="Palatino Linotype" w:eastAsia="Palatino Linotype" w:hAnsi="Palatino Linotype" w:cs="Palatino Linotype"/>
          <w:b/>
        </w:rPr>
        <w:t xml:space="preserve"> </w:t>
      </w:r>
      <w:r w:rsidRPr="00D42BD8">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51B84413" w14:textId="77777777" w:rsidR="008F45A0" w:rsidRPr="00D42BD8" w:rsidRDefault="008F45A0">
      <w:pPr>
        <w:tabs>
          <w:tab w:val="center" w:pos="4252"/>
          <w:tab w:val="right" w:pos="8504"/>
        </w:tabs>
        <w:spacing w:line="360" w:lineRule="auto"/>
        <w:jc w:val="both"/>
        <w:rPr>
          <w:rFonts w:ascii="Palatino Linotype" w:eastAsia="Palatino Linotype" w:hAnsi="Palatino Linotype" w:cs="Palatino Linotype"/>
        </w:rPr>
      </w:pPr>
    </w:p>
    <w:p w14:paraId="25185B6E" w14:textId="77777777" w:rsidR="008F45A0" w:rsidRPr="00D42BD8" w:rsidRDefault="00D435A4">
      <w:pPr>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rPr>
        <w:t>b) Informe Justificado</w:t>
      </w:r>
    </w:p>
    <w:p w14:paraId="32784C3A"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Conforme a las constancias que obran en el expediente del </w:t>
      </w:r>
      <w:r w:rsidRPr="00D42BD8">
        <w:rPr>
          <w:rFonts w:ascii="Palatino Linotype" w:eastAsia="Palatino Linotype" w:hAnsi="Palatino Linotype" w:cs="Palatino Linotype"/>
          <w:b/>
        </w:rPr>
        <w:t>SAIMEX,</w:t>
      </w:r>
      <w:r w:rsidRPr="00D42BD8">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D42BD8">
        <w:rPr>
          <w:rFonts w:ascii="Palatino Linotype" w:eastAsia="Palatino Linotype" w:hAnsi="Palatino Linotype" w:cs="Palatino Linotype"/>
          <w:b/>
        </w:rPr>
        <w:t>EL</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b/>
        </w:rPr>
        <w:t>RECURRENTE</w:t>
      </w:r>
      <w:r w:rsidRPr="00D42BD8">
        <w:rPr>
          <w:rFonts w:ascii="Palatino Linotype" w:eastAsia="Palatino Linotype" w:hAnsi="Palatino Linotype" w:cs="Palatino Linotype"/>
        </w:rPr>
        <w:t xml:space="preserve">, remitió en fecha veintiocho de marzo  el archivo denominado </w:t>
      </w:r>
      <w:r w:rsidRPr="00D42BD8">
        <w:rPr>
          <w:rFonts w:ascii="Palatino Linotype" w:eastAsia="Palatino Linotype" w:hAnsi="Palatino Linotype" w:cs="Palatino Linotype"/>
          <w:i/>
        </w:rPr>
        <w:t xml:space="preserve">FOTOS OBRA CTRANSFERENCIA.docx </w:t>
      </w:r>
      <w:r w:rsidRPr="00D42BD8">
        <w:rPr>
          <w:rFonts w:ascii="Palatino Linotype" w:eastAsia="Palatino Linotype" w:hAnsi="Palatino Linotype" w:cs="Palatino Linotype"/>
        </w:rPr>
        <w:t xml:space="preserve">del cual se advierten dos publicaciones del </w:t>
      </w:r>
      <w:r w:rsidR="00D42BD8" w:rsidRPr="00D42BD8">
        <w:rPr>
          <w:rFonts w:ascii="Palatino Linotype" w:eastAsia="Palatino Linotype" w:hAnsi="Palatino Linotype" w:cs="Palatino Linotype"/>
        </w:rPr>
        <w:t>gobierno</w:t>
      </w:r>
      <w:r w:rsidRPr="00D42BD8">
        <w:rPr>
          <w:rFonts w:ascii="Palatino Linotype" w:eastAsia="Palatino Linotype" w:hAnsi="Palatino Linotype" w:cs="Palatino Linotype"/>
        </w:rPr>
        <w:t xml:space="preserve"> de Ixtlahuaca referentes a la obra señalada en el </w:t>
      </w:r>
      <w:r w:rsidR="00D42BD8" w:rsidRPr="00D42BD8">
        <w:rPr>
          <w:rFonts w:ascii="Palatino Linotype" w:eastAsia="Palatino Linotype" w:hAnsi="Palatino Linotype" w:cs="Palatino Linotype"/>
        </w:rPr>
        <w:t>a solicitud</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rPr>
        <w:lastRenderedPageBreak/>
        <w:t xml:space="preserve">de información pública, así también adjunto el enlace electrónico  </w:t>
      </w:r>
      <w:hyperlink r:id="rId8">
        <w:r w:rsidRPr="00D42BD8">
          <w:rPr>
            <w:rFonts w:ascii="Palatino Linotype" w:eastAsia="Palatino Linotype" w:hAnsi="Palatino Linotype" w:cs="Palatino Linotype"/>
            <w:i/>
            <w:color w:val="1155CC"/>
            <w:u w:val="single"/>
          </w:rPr>
          <w:t>https://www.facebook.com/gobiernodeixtlahuaca/photos/pcb.1249529882124037/1249529812124044/</w:t>
        </w:r>
      </w:hyperlink>
      <w:r w:rsidRPr="00D42BD8">
        <w:rPr>
          <w:rFonts w:ascii="Palatino Linotype" w:eastAsia="Palatino Linotype" w:hAnsi="Palatino Linotype" w:cs="Palatino Linotype"/>
          <w:i/>
        </w:rPr>
        <w:t xml:space="preserve"> </w:t>
      </w:r>
      <w:r w:rsidRPr="00D42BD8">
        <w:rPr>
          <w:rFonts w:ascii="Palatino Linotype" w:eastAsia="Palatino Linotype" w:hAnsi="Palatino Linotype" w:cs="Palatino Linotype"/>
        </w:rPr>
        <w:t xml:space="preserve">el cual una vez consultado contiene la publicación remitida en el archivo electrónico antes descrito. Se inserta una imagen a continuación para mayor referencia  </w:t>
      </w:r>
    </w:p>
    <w:p w14:paraId="4C110890" w14:textId="77777777" w:rsidR="008F45A0" w:rsidRPr="00D42BD8" w:rsidRDefault="00D435A4">
      <w:pPr>
        <w:widowControl w:val="0"/>
        <w:tabs>
          <w:tab w:val="left" w:pos="0"/>
        </w:tabs>
        <w:spacing w:line="360" w:lineRule="auto"/>
        <w:jc w:val="cente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7E6A771B" wp14:editId="556850E7">
            <wp:extent cx="4133850" cy="2781346"/>
            <wp:effectExtent l="0" t="0" r="0" b="0"/>
            <wp:docPr id="2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29295"/>
                    <a:stretch>
                      <a:fillRect/>
                    </a:stretch>
                  </pic:blipFill>
                  <pic:spPr>
                    <a:xfrm>
                      <a:off x="0" y="0"/>
                      <a:ext cx="4133850" cy="2781346"/>
                    </a:xfrm>
                    <a:prstGeom prst="rect">
                      <a:avLst/>
                    </a:prstGeom>
                    <a:ln/>
                  </pic:spPr>
                </pic:pic>
              </a:graphicData>
            </a:graphic>
          </wp:inline>
        </w:drawing>
      </w:r>
    </w:p>
    <w:p w14:paraId="44825EB2" w14:textId="77777777" w:rsidR="008F45A0" w:rsidRPr="00D42BD8" w:rsidRDefault="008F45A0">
      <w:pPr>
        <w:widowControl w:val="0"/>
        <w:tabs>
          <w:tab w:val="left" w:pos="0"/>
        </w:tabs>
        <w:spacing w:line="360" w:lineRule="auto"/>
        <w:jc w:val="both"/>
        <w:rPr>
          <w:rFonts w:ascii="Palatino Linotype" w:eastAsia="Palatino Linotype" w:hAnsi="Palatino Linotype" w:cs="Palatino Linotype"/>
          <w:i/>
        </w:rPr>
      </w:pPr>
    </w:p>
    <w:p w14:paraId="58779918"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su parte,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remitió en fecha diez de marzo el archivo  denominado </w:t>
      </w:r>
      <w:r w:rsidRPr="00D42BD8">
        <w:rPr>
          <w:rFonts w:ascii="Palatino Linotype" w:eastAsia="Palatino Linotype" w:hAnsi="Palatino Linotype" w:cs="Palatino Linotype"/>
          <w:i/>
        </w:rPr>
        <w:t xml:space="preserve">INFORME JUSTIFICADO SOL 50 RR.pdf </w:t>
      </w:r>
      <w:r w:rsidRPr="00D42BD8">
        <w:rPr>
          <w:rFonts w:ascii="Palatino Linotype" w:eastAsia="Palatino Linotype" w:hAnsi="Palatino Linotype" w:cs="Palatino Linotype"/>
        </w:rPr>
        <w:t xml:space="preserve">el cual fue puesto a disposición de la particular en fecha ocho de abril de la anualidad y   mediante el cual ratifica la reserva y señala sobre el Centro de Transferencia de Residuos Sólidos lo siguiente: </w:t>
      </w:r>
    </w:p>
    <w:p w14:paraId="7F392407"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lastRenderedPageBreak/>
        <w:drawing>
          <wp:inline distT="114300" distB="114300" distL="114300" distR="114300" wp14:anchorId="1DF47EC5" wp14:editId="47AFFEAB">
            <wp:extent cx="5690625" cy="3500483"/>
            <wp:effectExtent l="0" t="0" r="0" b="0"/>
            <wp:docPr id="2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19221"/>
                    <a:stretch>
                      <a:fillRect/>
                    </a:stretch>
                  </pic:blipFill>
                  <pic:spPr>
                    <a:xfrm>
                      <a:off x="0" y="0"/>
                      <a:ext cx="5690625" cy="3500483"/>
                    </a:xfrm>
                    <a:prstGeom prst="rect">
                      <a:avLst/>
                    </a:prstGeom>
                    <a:ln/>
                  </pic:spPr>
                </pic:pic>
              </a:graphicData>
            </a:graphic>
          </wp:inline>
        </w:drawing>
      </w:r>
    </w:p>
    <w:p w14:paraId="4E28197A"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45C9BB51" wp14:editId="6723DA0E">
            <wp:extent cx="5791200" cy="761954"/>
            <wp:effectExtent l="0" t="0" r="0" b="0"/>
            <wp:docPr id="2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82722"/>
                    <a:stretch>
                      <a:fillRect/>
                    </a:stretch>
                  </pic:blipFill>
                  <pic:spPr>
                    <a:xfrm>
                      <a:off x="0" y="0"/>
                      <a:ext cx="5791200" cy="761954"/>
                    </a:xfrm>
                    <a:prstGeom prst="rect">
                      <a:avLst/>
                    </a:prstGeom>
                    <a:ln/>
                  </pic:spPr>
                </pic:pic>
              </a:graphicData>
            </a:graphic>
          </wp:inline>
        </w:drawing>
      </w:r>
    </w:p>
    <w:p w14:paraId="73663DC0"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lastRenderedPageBreak/>
        <w:drawing>
          <wp:inline distT="114300" distB="114300" distL="114300" distR="114300" wp14:anchorId="65713DCD" wp14:editId="445CBED5">
            <wp:extent cx="5791835" cy="4229100"/>
            <wp:effectExtent l="0" t="0" r="0" b="0"/>
            <wp:docPr id="2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91835" cy="4229100"/>
                    </a:xfrm>
                    <a:prstGeom prst="rect">
                      <a:avLst/>
                    </a:prstGeom>
                    <a:ln/>
                  </pic:spPr>
                </pic:pic>
              </a:graphicData>
            </a:graphic>
          </wp:inline>
        </w:drawing>
      </w:r>
    </w:p>
    <w:p w14:paraId="345BE630" w14:textId="77777777" w:rsidR="008F45A0" w:rsidRPr="00D42BD8" w:rsidRDefault="008F45A0">
      <w:pPr>
        <w:spacing w:line="360" w:lineRule="auto"/>
        <w:jc w:val="both"/>
        <w:rPr>
          <w:rFonts w:ascii="Palatino Linotype" w:eastAsia="Palatino Linotype" w:hAnsi="Palatino Linotype" w:cs="Palatino Linotype"/>
          <w:b/>
        </w:rPr>
      </w:pPr>
    </w:p>
    <w:p w14:paraId="449A8798" w14:textId="77777777" w:rsidR="008F45A0" w:rsidRPr="00D42BD8" w:rsidRDefault="00D435A4">
      <w:pPr>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rPr>
        <w:t>c) Del returno del Recurso de Revisión</w:t>
      </w:r>
    </w:p>
    <w:p w14:paraId="7750A8FC"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En la Novena Sesión Ordinaria de fecha nueve de marzo de dos mil veintidós, por acuerdo del Pleno de este Órgano Garante, fue returnado el Recurso de Revisión número</w:t>
      </w:r>
      <w:r w:rsidRPr="00D42BD8">
        <w:rPr>
          <w:rFonts w:ascii="Palatino Linotype" w:eastAsia="Palatino Linotype" w:hAnsi="Palatino Linotype" w:cs="Palatino Linotype"/>
          <w:b/>
        </w:rPr>
        <w:t xml:space="preserve"> 02757/INFOEM/IP/RR/2022 </w:t>
      </w:r>
      <w:r w:rsidRPr="00D42BD8">
        <w:rPr>
          <w:rFonts w:ascii="Palatino Linotype" w:eastAsia="Palatino Linotype" w:hAnsi="Palatino Linotype" w:cs="Palatino Linotype"/>
        </w:rPr>
        <w:t xml:space="preserve">a la </w:t>
      </w:r>
      <w:r w:rsidRPr="00D42BD8">
        <w:rPr>
          <w:rFonts w:ascii="Palatino Linotype" w:eastAsia="Palatino Linotype" w:hAnsi="Palatino Linotype" w:cs="Palatino Linotype"/>
          <w:b/>
        </w:rPr>
        <w:t>Comisionada Sharon Cristina Morales Martínez</w:t>
      </w:r>
      <w:r w:rsidRPr="00D42BD8">
        <w:rPr>
          <w:rFonts w:ascii="Palatino Linotype" w:eastAsia="Palatino Linotype" w:hAnsi="Palatino Linotype" w:cs="Palatino Linotype"/>
        </w:rPr>
        <w:t xml:space="preserve"> para su resolución y presentación al Pleno. .</w:t>
      </w:r>
    </w:p>
    <w:p w14:paraId="6C6FB26C"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 </w:t>
      </w:r>
    </w:p>
    <w:p w14:paraId="141CC236" w14:textId="77777777" w:rsidR="008F45A0" w:rsidRPr="00D42BD8" w:rsidRDefault="008F45A0">
      <w:pPr>
        <w:spacing w:line="360" w:lineRule="auto"/>
        <w:jc w:val="both"/>
        <w:rPr>
          <w:rFonts w:ascii="Palatino Linotype" w:eastAsia="Palatino Linotype" w:hAnsi="Palatino Linotype" w:cs="Palatino Linotype"/>
        </w:rPr>
      </w:pPr>
    </w:p>
    <w:p w14:paraId="2E535787" w14:textId="77777777" w:rsidR="008F45A0" w:rsidRPr="00D42BD8" w:rsidRDefault="00D435A4">
      <w:pPr>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rPr>
        <w:lastRenderedPageBreak/>
        <w:t xml:space="preserve">d) De la ampliación </w:t>
      </w:r>
    </w:p>
    <w:p w14:paraId="4E519B93"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En fecha veintiséis de abril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2BCA45D3" w14:textId="77777777" w:rsidR="008F45A0" w:rsidRPr="00D42BD8" w:rsidRDefault="008F45A0">
      <w:pPr>
        <w:spacing w:line="360" w:lineRule="auto"/>
        <w:jc w:val="both"/>
        <w:rPr>
          <w:rFonts w:ascii="Palatino Linotype" w:eastAsia="Palatino Linotype" w:hAnsi="Palatino Linotype" w:cs="Palatino Linotype"/>
        </w:rPr>
      </w:pPr>
    </w:p>
    <w:p w14:paraId="09E566F4" w14:textId="77777777" w:rsidR="008F45A0" w:rsidRPr="00D42BD8" w:rsidRDefault="00D435A4">
      <w:pPr>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rPr>
        <w:t>e) Cierre de Instrucción</w:t>
      </w:r>
    </w:p>
    <w:p w14:paraId="40AB5411"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lo que, una vez analizado el estado procesal que guarda el expediente, en fecha diecisiete de mayo  de dos mil veintidós, la </w:t>
      </w:r>
      <w:r w:rsidRPr="00D42BD8">
        <w:rPr>
          <w:rFonts w:ascii="Palatino Linotype" w:eastAsia="Palatino Linotype" w:hAnsi="Palatino Linotype" w:cs="Palatino Linotype"/>
          <w:b/>
        </w:rPr>
        <w:t xml:space="preserve">Comisionada Sharon Cristina Morales Martínez </w:t>
      </w:r>
      <w:r w:rsidRPr="00D42BD8">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7C4D736" w14:textId="77777777" w:rsidR="008F45A0" w:rsidRPr="00D42BD8" w:rsidRDefault="00D435A4">
      <w:pPr>
        <w:jc w:val="center"/>
        <w:rPr>
          <w:rFonts w:ascii="Palatino Linotype" w:eastAsia="Palatino Linotype" w:hAnsi="Palatino Linotype" w:cs="Palatino Linotype"/>
          <w:b/>
          <w:sz w:val="28"/>
          <w:szCs w:val="28"/>
        </w:rPr>
      </w:pPr>
      <w:r w:rsidRPr="00D42BD8">
        <w:rPr>
          <w:rFonts w:ascii="Palatino Linotype" w:eastAsia="Palatino Linotype" w:hAnsi="Palatino Linotype" w:cs="Palatino Linotype"/>
          <w:b/>
          <w:sz w:val="28"/>
          <w:szCs w:val="28"/>
        </w:rPr>
        <w:t>CONSIDERANDO</w:t>
      </w:r>
    </w:p>
    <w:p w14:paraId="2580ED96" w14:textId="77777777" w:rsidR="008F45A0" w:rsidRPr="00D42BD8" w:rsidRDefault="008F45A0">
      <w:pPr>
        <w:jc w:val="center"/>
        <w:rPr>
          <w:rFonts w:ascii="Palatino Linotype" w:eastAsia="Palatino Linotype" w:hAnsi="Palatino Linotype" w:cs="Palatino Linotype"/>
          <w:b/>
          <w:sz w:val="28"/>
          <w:szCs w:val="28"/>
        </w:rPr>
      </w:pPr>
    </w:p>
    <w:p w14:paraId="5E276B75" w14:textId="77777777" w:rsidR="008F45A0" w:rsidRPr="00D42BD8" w:rsidRDefault="00D435A4">
      <w:pPr>
        <w:widowControl w:val="0"/>
        <w:tabs>
          <w:tab w:val="left" w:pos="1701"/>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b/>
          <w:sz w:val="28"/>
          <w:szCs w:val="28"/>
        </w:rPr>
        <w:t>PRIMERO.</w:t>
      </w:r>
      <w:r w:rsidRPr="00D42BD8">
        <w:rPr>
          <w:rFonts w:ascii="Palatino Linotype" w:eastAsia="Palatino Linotype" w:hAnsi="Palatino Linotype" w:cs="Palatino Linotype"/>
          <w:b/>
        </w:rPr>
        <w:t xml:space="preserve"> Competencia</w:t>
      </w:r>
      <w:r w:rsidRPr="00D42BD8">
        <w:rPr>
          <w:rFonts w:ascii="Palatino Linotype" w:eastAsia="Palatino Linotype" w:hAnsi="Palatino Linotype" w:cs="Palatino Linotype"/>
        </w:rPr>
        <w:t>.</w:t>
      </w:r>
      <w:r w:rsidRPr="00D42BD8">
        <w:rPr>
          <w:rFonts w:ascii="Palatino Linotype" w:eastAsia="Palatino Linotype" w:hAnsi="Palatino Linotype" w:cs="Palatino Linotype"/>
          <w:b/>
        </w:rPr>
        <w:t xml:space="preserve"> </w:t>
      </w:r>
    </w:p>
    <w:p w14:paraId="29524AC9" w14:textId="77777777" w:rsidR="008F45A0" w:rsidRPr="00D42BD8" w:rsidRDefault="00D435A4">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D42BD8">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w:t>
      </w:r>
      <w:r w:rsidRPr="00D42BD8">
        <w:rPr>
          <w:rFonts w:ascii="Palatino Linotype" w:eastAsia="Palatino Linotype" w:hAnsi="Palatino Linotype" w:cs="Palatino Linotype"/>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550BCE58" w14:textId="77777777" w:rsidR="008F45A0" w:rsidRPr="00D42BD8" w:rsidRDefault="008F45A0">
      <w:pPr>
        <w:widowControl w:val="0"/>
        <w:tabs>
          <w:tab w:val="left" w:pos="1701"/>
          <w:tab w:val="left" w:pos="2977"/>
        </w:tabs>
        <w:spacing w:line="360" w:lineRule="auto"/>
        <w:jc w:val="both"/>
        <w:rPr>
          <w:rFonts w:ascii="Palatino Linotype" w:eastAsia="Palatino Linotype" w:hAnsi="Palatino Linotype" w:cs="Palatino Linotype"/>
        </w:rPr>
      </w:pPr>
    </w:p>
    <w:p w14:paraId="40F7F131" w14:textId="77777777" w:rsidR="008F45A0" w:rsidRPr="00D42BD8" w:rsidRDefault="00D435A4">
      <w:pPr>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sz w:val="28"/>
          <w:szCs w:val="28"/>
        </w:rPr>
        <w:t>SEGUNDO</w:t>
      </w:r>
      <w:r w:rsidRPr="00D42BD8">
        <w:rPr>
          <w:rFonts w:ascii="Palatino Linotype" w:eastAsia="Palatino Linotype" w:hAnsi="Palatino Linotype" w:cs="Palatino Linotype"/>
          <w:b/>
        </w:rPr>
        <w:t xml:space="preserve">. Interés. </w:t>
      </w:r>
    </w:p>
    <w:p w14:paraId="02ECBBDF" w14:textId="77777777" w:rsidR="008F45A0" w:rsidRPr="00D42BD8" w:rsidRDefault="00D435A4">
      <w:pPr>
        <w:spacing w:line="360" w:lineRule="auto"/>
        <w:jc w:val="both"/>
        <w:rPr>
          <w:rFonts w:ascii="Palatino Linotype" w:eastAsia="Palatino Linotype" w:hAnsi="Palatino Linotype" w:cs="Palatino Linotype"/>
          <w:b/>
          <w:color w:val="000000"/>
        </w:rPr>
      </w:pPr>
      <w:r w:rsidRPr="00D42BD8">
        <w:rPr>
          <w:rFonts w:ascii="Palatino Linotype" w:eastAsia="Palatino Linotype" w:hAnsi="Palatino Linotype" w:cs="Palatino Linotype"/>
        </w:rPr>
        <w:t>El</w:t>
      </w:r>
      <w:r w:rsidRPr="00D42BD8">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D42BD8">
        <w:rPr>
          <w:rFonts w:ascii="Palatino Linotype" w:eastAsia="Palatino Linotype" w:hAnsi="Palatino Linotype" w:cs="Palatino Linotype"/>
          <w:b/>
        </w:rPr>
        <w:t>EL</w:t>
      </w:r>
      <w:r w:rsidRPr="00D42BD8">
        <w:rPr>
          <w:rFonts w:ascii="Palatino Linotype" w:eastAsia="Palatino Linotype" w:hAnsi="Palatino Linotype" w:cs="Palatino Linotype"/>
          <w:b/>
          <w:color w:val="000000"/>
        </w:rPr>
        <w:t xml:space="preserve"> RECURRENTE,</w:t>
      </w:r>
      <w:r w:rsidRPr="00D42BD8">
        <w:rPr>
          <w:rFonts w:ascii="Palatino Linotype" w:eastAsia="Palatino Linotype" w:hAnsi="Palatino Linotype" w:cs="Palatino Linotype"/>
          <w:color w:val="000000"/>
        </w:rPr>
        <w:t xml:space="preserve"> quien es la misma persona que formuló la solicitud de acceso a la información pública al </w:t>
      </w:r>
      <w:r w:rsidRPr="00D42BD8">
        <w:rPr>
          <w:rFonts w:ascii="Palatino Linotype" w:eastAsia="Palatino Linotype" w:hAnsi="Palatino Linotype" w:cs="Palatino Linotype"/>
          <w:b/>
          <w:color w:val="000000"/>
        </w:rPr>
        <w:t xml:space="preserve">SUJETO OBLIGADO, </w:t>
      </w:r>
      <w:r w:rsidRPr="00D42BD8">
        <w:rPr>
          <w:rFonts w:ascii="Palatino Linotype" w:eastAsia="Palatino Linotype" w:hAnsi="Palatino Linotype" w:cs="Palatino Linotype"/>
          <w:color w:val="000000"/>
        </w:rPr>
        <w:t xml:space="preserve">pues para ello, es necesario que el particular ingrese al </w:t>
      </w:r>
      <w:r w:rsidRPr="00D42BD8">
        <w:rPr>
          <w:rFonts w:ascii="Palatino Linotype" w:eastAsia="Palatino Linotype" w:hAnsi="Palatino Linotype" w:cs="Palatino Linotype"/>
          <w:b/>
          <w:color w:val="000000"/>
        </w:rPr>
        <w:t xml:space="preserve">SAIMEX </w:t>
      </w:r>
      <w:r w:rsidRPr="00D42BD8">
        <w:rPr>
          <w:rFonts w:ascii="Palatino Linotype" w:eastAsia="Palatino Linotype" w:hAnsi="Palatino Linotype" w:cs="Palatino Linotype"/>
          <w:color w:val="000000"/>
        </w:rPr>
        <w:t>mediante la utilización de su clave de usuario y contraseña.</w:t>
      </w:r>
    </w:p>
    <w:p w14:paraId="4EF01009" w14:textId="77777777" w:rsidR="008F45A0" w:rsidRPr="00D42BD8" w:rsidRDefault="008F45A0">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6AA401AF" w14:textId="77777777" w:rsidR="008F45A0" w:rsidRPr="00D42BD8" w:rsidRDefault="00D435A4">
      <w:pPr>
        <w:tabs>
          <w:tab w:val="center" w:pos="4252"/>
          <w:tab w:val="right" w:pos="8504"/>
        </w:tabs>
        <w:spacing w:line="360" w:lineRule="auto"/>
        <w:ind w:left="-57"/>
        <w:jc w:val="both"/>
        <w:rPr>
          <w:rFonts w:ascii="Palatino Linotype" w:eastAsia="Palatino Linotype" w:hAnsi="Palatino Linotype" w:cs="Palatino Linotype"/>
          <w:color w:val="000000"/>
        </w:rPr>
      </w:pPr>
      <w:r w:rsidRPr="00D42BD8">
        <w:rPr>
          <w:rFonts w:ascii="Palatino Linotype" w:eastAsia="Palatino Linotype" w:hAnsi="Palatino Linotype" w:cs="Palatino Linotype"/>
          <w:b/>
          <w:sz w:val="28"/>
          <w:szCs w:val="28"/>
        </w:rPr>
        <w:t>TERCERO.</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b/>
          <w:color w:val="000000"/>
        </w:rPr>
        <w:t>Oportunidad</w:t>
      </w:r>
      <w:r w:rsidRPr="00D42BD8">
        <w:rPr>
          <w:rFonts w:ascii="Palatino Linotype" w:eastAsia="Palatino Linotype" w:hAnsi="Palatino Linotype" w:cs="Palatino Linotype"/>
          <w:color w:val="000000"/>
        </w:rPr>
        <w:t xml:space="preserve">. </w:t>
      </w:r>
    </w:p>
    <w:p w14:paraId="30E1944E" w14:textId="77777777" w:rsidR="008F45A0" w:rsidRPr="00D42BD8" w:rsidRDefault="00D435A4">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D42BD8">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D42BD8">
        <w:rPr>
          <w:rFonts w:ascii="Palatino Linotype" w:eastAsia="Palatino Linotype" w:hAnsi="Palatino Linotype" w:cs="Palatino Linotype"/>
          <w:b/>
          <w:color w:val="000000"/>
        </w:rPr>
        <w:t xml:space="preserve">EL RECURRENTE </w:t>
      </w:r>
      <w:r w:rsidRPr="00D42BD8">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5903463B" w14:textId="77777777" w:rsidR="008F45A0" w:rsidRPr="00D42BD8" w:rsidRDefault="008F45A0">
      <w:pPr>
        <w:ind w:left="720" w:right="709"/>
        <w:jc w:val="both"/>
        <w:rPr>
          <w:rFonts w:ascii="Palatino Linotype" w:eastAsia="Palatino Linotype" w:hAnsi="Palatino Linotype" w:cs="Palatino Linotype"/>
          <w:i/>
          <w:sz w:val="22"/>
          <w:szCs w:val="22"/>
        </w:rPr>
      </w:pPr>
    </w:p>
    <w:p w14:paraId="6DAA33BA" w14:textId="77777777" w:rsidR="008F45A0" w:rsidRPr="00D42BD8" w:rsidRDefault="00D435A4">
      <w:pPr>
        <w:ind w:left="851"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Artículo 178.</w:t>
      </w:r>
      <w:r w:rsidRPr="00D42BD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58F4ECC" w14:textId="77777777" w:rsidR="008F45A0" w:rsidRPr="00D42BD8" w:rsidRDefault="008F45A0">
      <w:pPr>
        <w:ind w:left="851" w:right="899"/>
        <w:jc w:val="both"/>
        <w:rPr>
          <w:rFonts w:ascii="Palatino Linotype" w:eastAsia="Palatino Linotype" w:hAnsi="Palatino Linotype" w:cs="Palatino Linotype"/>
          <w:i/>
          <w:sz w:val="22"/>
          <w:szCs w:val="22"/>
        </w:rPr>
      </w:pPr>
    </w:p>
    <w:p w14:paraId="55CEB50F" w14:textId="77777777" w:rsidR="008F45A0" w:rsidRPr="00D42BD8" w:rsidRDefault="00D435A4">
      <w:pPr>
        <w:ind w:left="851"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el recurso podrá ser interpuesto </w:t>
      </w:r>
      <w:r w:rsidRPr="00D42BD8">
        <w:rPr>
          <w:rFonts w:ascii="Palatino Linotype" w:eastAsia="Palatino Linotype" w:hAnsi="Palatino Linotype" w:cs="Palatino Linotype"/>
          <w:i/>
          <w:sz w:val="22"/>
          <w:szCs w:val="22"/>
        </w:rPr>
        <w:lastRenderedPageBreak/>
        <w:t>en cualquier momento, acompañado con el documento que pruebe la fecha en que presentó la solicitud.</w:t>
      </w:r>
    </w:p>
    <w:p w14:paraId="7604EF31" w14:textId="77777777" w:rsidR="008F45A0" w:rsidRPr="00D42BD8" w:rsidRDefault="008F45A0">
      <w:pPr>
        <w:ind w:left="851" w:right="899"/>
        <w:jc w:val="both"/>
        <w:rPr>
          <w:rFonts w:ascii="Palatino Linotype" w:eastAsia="Palatino Linotype" w:hAnsi="Palatino Linotype" w:cs="Palatino Linotype"/>
          <w:i/>
          <w:sz w:val="22"/>
          <w:szCs w:val="22"/>
        </w:rPr>
      </w:pPr>
    </w:p>
    <w:p w14:paraId="36591679" w14:textId="77777777" w:rsidR="008F45A0" w:rsidRPr="00D42BD8" w:rsidRDefault="00D435A4">
      <w:pPr>
        <w:ind w:left="851"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2BFFA8C" w14:textId="77777777" w:rsidR="008F45A0" w:rsidRPr="00D42BD8" w:rsidRDefault="008F45A0">
      <w:pPr>
        <w:ind w:left="720" w:right="709"/>
        <w:jc w:val="both"/>
        <w:rPr>
          <w:rFonts w:ascii="Palatino Linotype" w:eastAsia="Palatino Linotype" w:hAnsi="Palatino Linotype" w:cs="Palatino Linotype"/>
          <w:i/>
          <w:sz w:val="22"/>
          <w:szCs w:val="22"/>
        </w:rPr>
      </w:pPr>
    </w:p>
    <w:p w14:paraId="69FB977C" w14:textId="77777777" w:rsidR="008F45A0" w:rsidRPr="00D42BD8" w:rsidRDefault="00D435A4">
      <w:pPr>
        <w:spacing w:line="360" w:lineRule="auto"/>
        <w:jc w:val="both"/>
        <w:rPr>
          <w:rFonts w:ascii="Palatino Linotype" w:eastAsia="Palatino Linotype" w:hAnsi="Palatino Linotype" w:cs="Palatino Linotype"/>
        </w:rPr>
      </w:pPr>
      <w:bookmarkStart w:id="4" w:name="_heading=h.2et92p0" w:colFirst="0" w:colLast="0"/>
      <w:bookmarkEnd w:id="4"/>
      <w:r w:rsidRPr="00D42BD8">
        <w:rPr>
          <w:rFonts w:ascii="Palatino Linotype" w:eastAsia="Palatino Linotype" w:hAnsi="Palatino Linotype" w:cs="Palatino Linotype"/>
        </w:rPr>
        <w:t xml:space="preserve">En esa tesitura, atendiendo a que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notificó la respuesta a la solicitud de acceso a la información pública el día</w:t>
      </w:r>
      <w:r w:rsidRPr="00D42BD8">
        <w:rPr>
          <w:rFonts w:ascii="Palatino Linotype" w:eastAsia="Palatino Linotype" w:hAnsi="Palatino Linotype" w:cs="Palatino Linotype"/>
          <w:b/>
        </w:rPr>
        <w:t xml:space="preserve"> veinticinco  de febrero de dos mil veintidós</w:t>
      </w:r>
      <w:r w:rsidRPr="00D42BD8">
        <w:rPr>
          <w:rFonts w:ascii="Palatino Linotype" w:eastAsia="Palatino Linotype" w:hAnsi="Palatino Linotype" w:cs="Palatino Linotype"/>
        </w:rPr>
        <w:t>; así, el plazo de quince días hábiles que el artículo 178 de la Ley de la materia otorga al</w:t>
      </w:r>
      <w:r w:rsidRPr="00D42BD8">
        <w:rPr>
          <w:rFonts w:ascii="Palatino Linotype" w:eastAsia="Palatino Linotype" w:hAnsi="Palatino Linotype" w:cs="Palatino Linotype"/>
          <w:b/>
        </w:rPr>
        <w:t xml:space="preserve"> RECURRENTE</w:t>
      </w:r>
      <w:r w:rsidRPr="00D42BD8">
        <w:rPr>
          <w:rFonts w:ascii="Palatino Linotype" w:eastAsia="Palatino Linotype" w:hAnsi="Palatino Linotype" w:cs="Palatino Linotype"/>
        </w:rPr>
        <w:t xml:space="preserve"> para presentar el respectivo Recurso de Revisión, transcurrió del</w:t>
      </w:r>
      <w:r w:rsidRPr="00D42BD8">
        <w:rPr>
          <w:rFonts w:ascii="Palatino Linotype" w:eastAsia="Palatino Linotype" w:hAnsi="Palatino Linotype" w:cs="Palatino Linotype"/>
          <w:b/>
        </w:rPr>
        <w:t xml:space="preserve"> veintiocho de febrero al veintidós de marzo de dos mil veintidós, </w:t>
      </w:r>
      <w:r w:rsidRPr="00D42BD8">
        <w:rPr>
          <w:rFonts w:ascii="Palatino Linotype" w:eastAsia="Palatino Linotype" w:hAnsi="Palatino Linotype" w:cs="Palatino Linotype"/>
        </w:rPr>
        <w:t>sin contemplar en el cómputo los días veintiséis y veintisiete de febrero así como cinco, seis, doce, trece, diecinueve y veinte  de marzo de dos mil veintidós por corresponder a sábados y domingos, considerados como días inhábiles, en términos del artículo 3, fracción X de la Ley de Transparencia y Acceso a la Información Pública del Estado de México y Municipios. Así como, los días dos y veintiuno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D42BD8">
        <w:rPr>
          <w:rFonts w:ascii="Palatino Linotype" w:eastAsia="Palatino Linotype" w:hAnsi="Palatino Linotype" w:cs="Palatino Linotype"/>
          <w:vertAlign w:val="superscript"/>
        </w:rPr>
        <w:footnoteReference w:id="1"/>
      </w:r>
      <w:r w:rsidRPr="00D42BD8">
        <w:rPr>
          <w:rFonts w:ascii="Palatino Linotype" w:eastAsia="Palatino Linotype" w:hAnsi="Palatino Linotype" w:cs="Palatino Linotype"/>
        </w:rPr>
        <w:t xml:space="preserve">. </w:t>
      </w:r>
    </w:p>
    <w:p w14:paraId="73EF6CF3" w14:textId="77777777" w:rsidR="008F45A0" w:rsidRPr="00D42BD8" w:rsidRDefault="008F45A0">
      <w:pPr>
        <w:spacing w:line="360" w:lineRule="auto"/>
        <w:jc w:val="both"/>
        <w:rPr>
          <w:rFonts w:ascii="Palatino Linotype" w:eastAsia="Palatino Linotype" w:hAnsi="Palatino Linotype" w:cs="Palatino Linotype"/>
        </w:rPr>
      </w:pPr>
      <w:bookmarkStart w:id="5" w:name="_heading=h.v4j9422lv9tn" w:colFirst="0" w:colLast="0"/>
      <w:bookmarkEnd w:id="5"/>
    </w:p>
    <w:p w14:paraId="43339E9D" w14:textId="77777777" w:rsidR="008F45A0" w:rsidRPr="00D42BD8" w:rsidRDefault="00D435A4">
      <w:pPr>
        <w:spacing w:line="360" w:lineRule="auto"/>
        <w:ind w:left="-5" w:hanging="10"/>
        <w:jc w:val="both"/>
        <w:rPr>
          <w:rFonts w:ascii="Palatino Linotype" w:eastAsia="Palatino Linotype" w:hAnsi="Palatino Linotype" w:cs="Palatino Linotype"/>
        </w:rPr>
      </w:pPr>
      <w:r w:rsidRPr="00D42BD8">
        <w:rPr>
          <w:rFonts w:ascii="Palatino Linotype" w:eastAsia="Palatino Linotype" w:hAnsi="Palatino Linotype" w:cs="Palatino Linotype"/>
        </w:rPr>
        <w:lastRenderedPageBreak/>
        <w:t xml:space="preserve">En ese tenor, se advierte que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presentó el medio de impugnación, el primero de marzo de la anualidad, por lo que el Recurso de Revisión se encuentra dentro del término previsto y en consecuencia es procedente. </w:t>
      </w:r>
    </w:p>
    <w:p w14:paraId="2E58BC16" w14:textId="77777777" w:rsidR="008F45A0" w:rsidRPr="00D42BD8" w:rsidRDefault="008F45A0">
      <w:pPr>
        <w:spacing w:line="360" w:lineRule="auto"/>
        <w:ind w:left="-5" w:hanging="10"/>
        <w:jc w:val="both"/>
        <w:rPr>
          <w:rFonts w:ascii="Palatino Linotype" w:eastAsia="Palatino Linotype" w:hAnsi="Palatino Linotype" w:cs="Palatino Linotype"/>
        </w:rPr>
      </w:pPr>
    </w:p>
    <w:p w14:paraId="1D3463AC" w14:textId="77777777" w:rsidR="008F45A0" w:rsidRPr="00D42BD8" w:rsidRDefault="00D435A4">
      <w:pPr>
        <w:spacing w:line="360" w:lineRule="auto"/>
        <w:ind w:right="49"/>
        <w:jc w:val="both"/>
        <w:rPr>
          <w:rFonts w:ascii="Palatino Linotype" w:eastAsia="Palatino Linotype" w:hAnsi="Palatino Linotype" w:cs="Palatino Linotype"/>
          <w:b/>
        </w:rPr>
      </w:pPr>
      <w:r w:rsidRPr="00D42BD8">
        <w:rPr>
          <w:rFonts w:ascii="Palatino Linotype" w:eastAsia="Palatino Linotype" w:hAnsi="Palatino Linotype" w:cs="Palatino Linotype"/>
          <w:b/>
          <w:sz w:val="28"/>
          <w:szCs w:val="28"/>
        </w:rPr>
        <w:t>CUARTO</w:t>
      </w:r>
      <w:r w:rsidRPr="00D42BD8">
        <w:rPr>
          <w:rFonts w:ascii="Palatino Linotype" w:eastAsia="Palatino Linotype" w:hAnsi="Palatino Linotype" w:cs="Palatino Linotype"/>
          <w:b/>
        </w:rPr>
        <w:t xml:space="preserve">. Procedibilidad. </w:t>
      </w:r>
    </w:p>
    <w:p w14:paraId="7DE0827D" w14:textId="77777777" w:rsidR="008F45A0" w:rsidRPr="00D42BD8" w:rsidRDefault="00D435A4">
      <w:pPr>
        <w:spacing w:line="360" w:lineRule="auto"/>
        <w:ind w:right="49"/>
        <w:jc w:val="both"/>
        <w:rPr>
          <w:rFonts w:ascii="Palatino Linotype" w:eastAsia="Palatino Linotype" w:hAnsi="Palatino Linotype" w:cs="Palatino Linotype"/>
          <w:b/>
        </w:rPr>
      </w:pPr>
      <w:r w:rsidRPr="00D42BD8">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D42BD8">
        <w:rPr>
          <w:rFonts w:ascii="Palatino Linotype" w:eastAsia="Palatino Linotype" w:hAnsi="Palatino Linotype" w:cs="Palatino Linotype"/>
          <w:b/>
        </w:rPr>
        <w:t>EL SAIMEX.</w:t>
      </w:r>
    </w:p>
    <w:p w14:paraId="28FB00C7" w14:textId="77777777" w:rsidR="008F45A0" w:rsidRPr="00D42BD8" w:rsidRDefault="008F45A0">
      <w:pPr>
        <w:spacing w:line="360" w:lineRule="auto"/>
        <w:ind w:right="49"/>
        <w:jc w:val="both"/>
        <w:rPr>
          <w:rFonts w:ascii="Palatino Linotype" w:eastAsia="Palatino Linotype" w:hAnsi="Palatino Linotype" w:cs="Palatino Linotype"/>
          <w:b/>
        </w:rPr>
      </w:pPr>
    </w:p>
    <w:p w14:paraId="4059A670" w14:textId="77777777" w:rsidR="008F45A0" w:rsidRPr="00D42BD8" w:rsidRDefault="00D435A4">
      <w:pPr>
        <w:spacing w:line="360" w:lineRule="auto"/>
        <w:jc w:val="both"/>
        <w:rPr>
          <w:rFonts w:ascii="Palatino Linotype" w:eastAsia="Palatino Linotype" w:hAnsi="Palatino Linotype" w:cs="Palatino Linotype"/>
          <w:b/>
        </w:rPr>
      </w:pPr>
      <w:r w:rsidRPr="00D42BD8">
        <w:rPr>
          <w:rFonts w:ascii="Palatino Linotype" w:eastAsia="Palatino Linotype" w:hAnsi="Palatino Linotype" w:cs="Palatino Linotype"/>
          <w:b/>
          <w:sz w:val="28"/>
          <w:szCs w:val="28"/>
        </w:rPr>
        <w:t>QUINTO</w:t>
      </w:r>
      <w:r w:rsidRPr="00D42BD8">
        <w:rPr>
          <w:rFonts w:ascii="Palatino Linotype" w:eastAsia="Palatino Linotype" w:hAnsi="Palatino Linotype" w:cs="Palatino Linotype"/>
          <w:b/>
        </w:rPr>
        <w:t xml:space="preserve">. Estudio y resolución del asunto. </w:t>
      </w:r>
    </w:p>
    <w:p w14:paraId="4A52EFDA"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ese tenor, para un mejor estudio y comprensión del asunto que se resuelve, es preciso recordar que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solicitó al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lo siguiente: </w:t>
      </w:r>
    </w:p>
    <w:p w14:paraId="6AC85DE0"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“Información sobre el Centro de Transferencia de Residuos Solidos en Ixtlahuaca, proyecto, ubicación, impacto ambiental, afectación a los predios colindantes, uso de suelo del predio donde se pretende ubicar, empresa destinada a realizarlo, avance de obra, forma de adquirir el predio, monto destinado para la obra, acta de Asamblea del Ejido al que pertenece el predio.” (sic)</w:t>
      </w:r>
    </w:p>
    <w:p w14:paraId="23C658DB" w14:textId="77777777" w:rsidR="008F45A0" w:rsidRPr="00D42BD8" w:rsidRDefault="008F45A0">
      <w:pPr>
        <w:spacing w:line="360" w:lineRule="auto"/>
        <w:ind w:right="49"/>
        <w:jc w:val="both"/>
        <w:rPr>
          <w:rFonts w:ascii="Palatino Linotype" w:eastAsia="Palatino Linotype" w:hAnsi="Palatino Linotype" w:cs="Palatino Linotype"/>
        </w:rPr>
      </w:pPr>
    </w:p>
    <w:p w14:paraId="0B4B946A"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respuesta,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señaló por medio del Director de Planeación del Territorio, la Directora de Medio Ambiente y el Director de Infraestructura Municipal quienes refieren que  la información solicitada es de carácter reservado por </w:t>
      </w:r>
      <w:r w:rsidRPr="00D42BD8">
        <w:rPr>
          <w:rFonts w:ascii="Palatino Linotype" w:eastAsia="Palatino Linotype" w:hAnsi="Palatino Linotype" w:cs="Palatino Linotype"/>
        </w:rPr>
        <w:lastRenderedPageBreak/>
        <w:t>tratarse de documentos parte de un procedimiento  administrativo en proceso, como se puede apreciar de las capturas de pantalla que se insertan a continuación:</w:t>
      </w:r>
    </w:p>
    <w:p w14:paraId="6D896B97" w14:textId="77777777" w:rsidR="008F45A0" w:rsidRPr="00D42BD8" w:rsidRDefault="00D435A4">
      <w:pPr>
        <w:spacing w:line="360" w:lineRule="auto"/>
        <w:ind w:right="49"/>
        <w:jc w:val="cente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3511D7A8" wp14:editId="088B1F8D">
            <wp:extent cx="4230307" cy="3620699"/>
            <wp:effectExtent l="0" t="0" r="0" b="0"/>
            <wp:docPr id="2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t="16357" b="2648"/>
                    <a:stretch>
                      <a:fillRect/>
                    </a:stretch>
                  </pic:blipFill>
                  <pic:spPr>
                    <a:xfrm>
                      <a:off x="0" y="0"/>
                      <a:ext cx="4230307" cy="3620699"/>
                    </a:xfrm>
                    <a:prstGeom prst="rect">
                      <a:avLst/>
                    </a:prstGeom>
                    <a:ln/>
                  </pic:spPr>
                </pic:pic>
              </a:graphicData>
            </a:graphic>
          </wp:inline>
        </w:drawing>
      </w:r>
      <w:r w:rsidRPr="00D42BD8">
        <w:rPr>
          <w:rFonts w:ascii="Palatino Linotype" w:eastAsia="Palatino Linotype" w:hAnsi="Palatino Linotype" w:cs="Palatino Linotype"/>
        </w:rPr>
        <w:t xml:space="preserve"> </w:t>
      </w:r>
    </w:p>
    <w:p w14:paraId="4BF16BD4" w14:textId="77777777" w:rsidR="008F45A0" w:rsidRPr="00D42BD8" w:rsidRDefault="00D435A4">
      <w:pPr>
        <w:spacing w:line="360" w:lineRule="auto"/>
        <w:ind w:right="49"/>
        <w:jc w:val="center"/>
        <w:rPr>
          <w:rFonts w:ascii="Palatino Linotype" w:eastAsia="Palatino Linotype" w:hAnsi="Palatino Linotype" w:cs="Palatino Linotype"/>
        </w:rPr>
      </w:pPr>
      <w:r w:rsidRPr="00D42BD8">
        <w:rPr>
          <w:rFonts w:ascii="Palatino Linotype" w:eastAsia="Palatino Linotype" w:hAnsi="Palatino Linotype" w:cs="Palatino Linotype"/>
          <w:noProof/>
        </w:rPr>
        <w:lastRenderedPageBreak/>
        <w:drawing>
          <wp:inline distT="114300" distB="114300" distL="114300" distR="114300" wp14:anchorId="5C461DB1" wp14:editId="08EDF55B">
            <wp:extent cx="4280853" cy="2637150"/>
            <wp:effectExtent l="0" t="0" r="0" b="0"/>
            <wp:docPr id="2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t="33576"/>
                    <a:stretch>
                      <a:fillRect/>
                    </a:stretch>
                  </pic:blipFill>
                  <pic:spPr>
                    <a:xfrm>
                      <a:off x="0" y="0"/>
                      <a:ext cx="4280853" cy="2637150"/>
                    </a:xfrm>
                    <a:prstGeom prst="rect">
                      <a:avLst/>
                    </a:prstGeom>
                    <a:ln/>
                  </pic:spPr>
                </pic:pic>
              </a:graphicData>
            </a:graphic>
          </wp:inline>
        </w:drawing>
      </w:r>
    </w:p>
    <w:p w14:paraId="07C2741E" w14:textId="77777777" w:rsidR="008F45A0" w:rsidRPr="00D42BD8" w:rsidRDefault="00D435A4">
      <w:pPr>
        <w:spacing w:line="360" w:lineRule="auto"/>
        <w:ind w:right="49"/>
        <w:jc w:val="cente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2BEA66AC" wp14:editId="5A719A51">
            <wp:extent cx="4948872" cy="4071413"/>
            <wp:effectExtent l="0" t="0" r="0" b="0"/>
            <wp:docPr id="2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948872" cy="4071413"/>
                    </a:xfrm>
                    <a:prstGeom prst="rect">
                      <a:avLst/>
                    </a:prstGeom>
                    <a:ln/>
                  </pic:spPr>
                </pic:pic>
              </a:graphicData>
            </a:graphic>
          </wp:inline>
        </w:drawing>
      </w:r>
    </w:p>
    <w:p w14:paraId="49ED5D0B"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lastRenderedPageBreak/>
        <w:t xml:space="preserve">Remitiendo además el Acta de la Octava Sesión Ordinaria del Comité de Transparencia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de fecha veinticinco de febrero de dos mil veintidós en donde se aprueba la clasificación de la información solicitada como reservada  por el periodo de un año. </w:t>
      </w:r>
    </w:p>
    <w:p w14:paraId="3217470A" w14:textId="77777777" w:rsidR="008F45A0" w:rsidRPr="00D42BD8" w:rsidRDefault="008F45A0">
      <w:pPr>
        <w:spacing w:line="360" w:lineRule="auto"/>
        <w:ind w:right="49"/>
        <w:jc w:val="both"/>
        <w:rPr>
          <w:rFonts w:ascii="Palatino Linotype" w:eastAsia="Palatino Linotype" w:hAnsi="Palatino Linotype" w:cs="Palatino Linotype"/>
        </w:rPr>
      </w:pPr>
    </w:p>
    <w:p w14:paraId="420D0E85"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Así pues, de los documentos insertos anteriormente se puede observar que dieron contestación a la solicitud de información pública tres servidores públicos, siendo estos el Director de Planeación del Territorio, Directora de Medio Ambiente y Cuidado de Recursos Materiales y el Director de Infraestructura Municipal, con lo que al haberse pronunciado las tres áreas con competencia para conocer de la información solicitada, las cuales se pronunciaron en los mismos términos señalando que la información debe ser reservada por tratarse de un proceso administrativo que no ha quedado firme en términos de los establecido por el artículo 140 fracción X de la Ley de Transparencia y Acceso a la Información Pública del Estado de México y Municipios, razón de la inconformidad del particular por lo que el presente estudio versará sobre la clasificación referida.  </w:t>
      </w:r>
    </w:p>
    <w:p w14:paraId="09F2CD86" w14:textId="77777777" w:rsidR="008F45A0" w:rsidRPr="00D42BD8" w:rsidRDefault="008F45A0">
      <w:pPr>
        <w:spacing w:line="360" w:lineRule="auto"/>
        <w:ind w:right="49"/>
        <w:jc w:val="both"/>
        <w:rPr>
          <w:rFonts w:ascii="Palatino Linotype" w:eastAsia="Palatino Linotype" w:hAnsi="Palatino Linotype" w:cs="Palatino Linotype"/>
        </w:rPr>
      </w:pPr>
    </w:p>
    <w:p w14:paraId="42C352EA"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tal sentido es conveniente traer a colación el contenido del artículo 140  de la Ley de Transparencia local el cual versa sobre la reserva de la información y a la letra establece lo siguiente: </w:t>
      </w:r>
    </w:p>
    <w:p w14:paraId="5A50AE8D"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140.</w:t>
      </w:r>
      <w:r w:rsidRPr="00D42BD8">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6445455E"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lastRenderedPageBreak/>
        <w:t>I. Comprometa la seguridad pública y cuente con un propósito genuino y un efecto demostrable;</w:t>
      </w:r>
    </w:p>
    <w:p w14:paraId="50830170"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II. Pueda menoscabar la conducción de las negociaciones y relaciones internacionales; </w:t>
      </w:r>
    </w:p>
    <w:p w14:paraId="4CDAFACE"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7D497DE"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IV. Ponga en riesgo la vida, la seguridad o la salud de una persona física; </w:t>
      </w:r>
    </w:p>
    <w:p w14:paraId="01D2C9C3"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V. Aquella cuya divulgación obstruya o pueda causar un serio perjuicio a: </w:t>
      </w:r>
    </w:p>
    <w:p w14:paraId="0E92F477" w14:textId="77777777" w:rsidR="008F45A0" w:rsidRPr="00D42BD8" w:rsidRDefault="00D435A4">
      <w:pPr>
        <w:ind w:left="157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36B93CAB" w14:textId="77777777" w:rsidR="008F45A0" w:rsidRPr="00D42BD8" w:rsidRDefault="00D435A4">
      <w:pPr>
        <w:ind w:left="157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2. La recaudación de las contribuciones. </w:t>
      </w:r>
    </w:p>
    <w:p w14:paraId="7B5948E1" w14:textId="77777777" w:rsidR="008F45A0" w:rsidRPr="00D42BD8" w:rsidRDefault="00D435A4">
      <w:pPr>
        <w:ind w:left="850" w:right="899"/>
        <w:jc w:val="both"/>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B4DDAFF"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64D73AD5"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VIII. Vulnere la conducción de los expedientes judiciales o de los procedimientos administrativos seguidos en forma de juicio, en tanto no hayan quedado firmes; </w:t>
      </w:r>
    </w:p>
    <w:p w14:paraId="2FF8E12F"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IX. Se encuentre contenida dentro de las investigaciones de hechos que la Ley señale como delitos y se tramiten ante el Ministerio Público; </w:t>
      </w:r>
    </w:p>
    <w:p w14:paraId="79E39FD0" w14:textId="77777777" w:rsidR="008F45A0" w:rsidRPr="00D42BD8" w:rsidRDefault="00D435A4">
      <w:pPr>
        <w:ind w:left="850" w:right="899"/>
        <w:jc w:val="both"/>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C76E34D" w14:textId="77777777" w:rsidR="008F45A0" w:rsidRPr="00D42BD8" w:rsidRDefault="00D435A4">
      <w:pPr>
        <w:ind w:left="850" w:right="899"/>
        <w:jc w:val="both"/>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 xml:space="preserve">Cuando se trate de información sobre estudios y proyectos cuya divulgación pueda causar daños al interés del Estado o suponga un riesgo para su realización, siempre que esté directamente relacionado con procesos o </w:t>
      </w:r>
      <w:r w:rsidRPr="00D42BD8">
        <w:rPr>
          <w:rFonts w:ascii="Palatino Linotype" w:eastAsia="Palatino Linotype" w:hAnsi="Palatino Linotype" w:cs="Palatino Linotype"/>
          <w:b/>
          <w:i/>
          <w:sz w:val="22"/>
          <w:szCs w:val="22"/>
        </w:rPr>
        <w:lastRenderedPageBreak/>
        <w:t xml:space="preserve">procedimientos administrativos o judiciales que no hayan quedado firmes; y </w:t>
      </w:r>
    </w:p>
    <w:p w14:paraId="67FADACF"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p>
    <w:p w14:paraId="1DA92F3D"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(énfasis añadido)</w:t>
      </w:r>
    </w:p>
    <w:p w14:paraId="7E85EA2F" w14:textId="77777777" w:rsidR="008F45A0" w:rsidRPr="00D42BD8" w:rsidRDefault="008F45A0">
      <w:pPr>
        <w:spacing w:line="360" w:lineRule="auto"/>
        <w:ind w:right="51"/>
        <w:jc w:val="both"/>
        <w:rPr>
          <w:rFonts w:ascii="Palatino Linotype" w:eastAsia="Palatino Linotype" w:hAnsi="Palatino Linotype" w:cs="Palatino Linotype"/>
        </w:rPr>
      </w:pPr>
    </w:p>
    <w:p w14:paraId="727601A9" w14:textId="77777777" w:rsidR="008F45A0" w:rsidRPr="00D42BD8" w:rsidRDefault="00D435A4">
      <w:pPr>
        <w:spacing w:line="360" w:lineRule="auto"/>
        <w:ind w:right="49"/>
        <w:jc w:val="both"/>
        <w:rPr>
          <w:rFonts w:ascii="Palatino Linotype" w:eastAsia="Palatino Linotype" w:hAnsi="Palatino Linotype" w:cs="Palatino Linotype"/>
          <w:i/>
        </w:rPr>
      </w:pPr>
      <w:r w:rsidRPr="00D42BD8">
        <w:rPr>
          <w:rFonts w:ascii="Palatino Linotype" w:eastAsia="Palatino Linotype" w:hAnsi="Palatino Linotype" w:cs="Palatino Linotype"/>
        </w:rPr>
        <w:t xml:space="preserve">Del precepto en cita es posible observar que la ley de la materia  establece de forma específica, los supuestos en los que se podrá proceder a la reserva de la información pública, entre los cuales se encuentran aquellos contemplados en las fracciones VI y X referida por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en su respuesta. </w:t>
      </w:r>
    </w:p>
    <w:p w14:paraId="342AA283" w14:textId="77777777" w:rsidR="008F45A0" w:rsidRPr="00D42BD8" w:rsidRDefault="008F45A0">
      <w:pPr>
        <w:spacing w:line="360" w:lineRule="auto"/>
        <w:ind w:right="49"/>
        <w:jc w:val="both"/>
        <w:rPr>
          <w:rFonts w:ascii="Palatino Linotype" w:eastAsia="Palatino Linotype" w:hAnsi="Palatino Linotype" w:cs="Palatino Linotype"/>
        </w:rPr>
      </w:pPr>
    </w:p>
    <w:p w14:paraId="62A947A4"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Para sustentar la clasificación referida, el ente recurrido remitió el Acta de la Octava Sesión Ordinaria del Comité de Transparencia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de fecha veinticinco de febrero de dos mil veintidós en donde se aprueba la clasificación de la información solicitada como reservada  por el periodo de un año, por lo que se procede a analizar dicha acta </w:t>
      </w:r>
    </w:p>
    <w:p w14:paraId="132E466F" w14:textId="77777777" w:rsidR="008F45A0" w:rsidRPr="00D42BD8" w:rsidRDefault="008F45A0">
      <w:pPr>
        <w:spacing w:line="360" w:lineRule="auto"/>
        <w:ind w:right="49"/>
        <w:jc w:val="both"/>
        <w:rPr>
          <w:rFonts w:ascii="Palatino Linotype" w:eastAsia="Palatino Linotype" w:hAnsi="Palatino Linotype" w:cs="Palatino Linotype"/>
        </w:rPr>
      </w:pPr>
    </w:p>
    <w:p w14:paraId="7150BA5B"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Así las cosas se procede al análisis de la misma a efecto de determinar si cumple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w:t>
      </w:r>
    </w:p>
    <w:p w14:paraId="410A3171" w14:textId="77777777" w:rsidR="008F45A0" w:rsidRPr="00D42BD8" w:rsidRDefault="008F45A0">
      <w:pPr>
        <w:spacing w:line="360" w:lineRule="auto"/>
        <w:jc w:val="both"/>
        <w:rPr>
          <w:rFonts w:ascii="Palatino Linotype" w:eastAsia="Palatino Linotype" w:hAnsi="Palatino Linotype" w:cs="Palatino Linotype"/>
        </w:rPr>
      </w:pPr>
    </w:p>
    <w:tbl>
      <w:tblPr>
        <w:tblStyle w:val="afffa"/>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5970"/>
        <w:gridCol w:w="1170"/>
      </w:tblGrid>
      <w:tr w:rsidR="008F45A0" w:rsidRPr="00D42BD8" w14:paraId="14ECD795" w14:textId="77777777">
        <w:trPr>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7B7B7B"/>
          </w:tcPr>
          <w:p w14:paraId="3F17839C"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sz w:val="18"/>
                <w:szCs w:val="18"/>
              </w:rPr>
              <w:t>Elementos del acuerdo de clasificación</w:t>
            </w:r>
          </w:p>
        </w:tc>
        <w:tc>
          <w:tcPr>
            <w:tcW w:w="5970" w:type="dxa"/>
            <w:tcBorders>
              <w:top w:val="single" w:sz="4" w:space="0" w:color="000000"/>
              <w:left w:val="single" w:sz="4" w:space="0" w:color="000000"/>
              <w:bottom w:val="single" w:sz="4" w:space="0" w:color="000000"/>
              <w:right w:val="single" w:sz="4" w:space="0" w:color="000000"/>
            </w:tcBorders>
            <w:shd w:val="clear" w:color="auto" w:fill="7B7B7B"/>
          </w:tcPr>
          <w:p w14:paraId="0420BD0F"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Contenido</w:t>
            </w:r>
          </w:p>
        </w:tc>
        <w:tc>
          <w:tcPr>
            <w:tcW w:w="1170" w:type="dxa"/>
            <w:tcBorders>
              <w:top w:val="single" w:sz="4" w:space="0" w:color="000000"/>
              <w:left w:val="single" w:sz="4" w:space="0" w:color="000000"/>
              <w:bottom w:val="single" w:sz="4" w:space="0" w:color="000000"/>
              <w:right w:val="single" w:sz="4" w:space="0" w:color="000000"/>
            </w:tcBorders>
            <w:shd w:val="clear" w:color="auto" w:fill="7B7B7B"/>
          </w:tcPr>
          <w:p w14:paraId="7701A391"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Cumple</w:t>
            </w:r>
          </w:p>
        </w:tc>
      </w:tr>
      <w:tr w:rsidR="008F45A0" w:rsidRPr="00D42BD8" w14:paraId="393003DF" w14:textId="77777777">
        <w:trPr>
          <w:jc w:val="center"/>
        </w:trPr>
        <w:tc>
          <w:tcPr>
            <w:tcW w:w="1695" w:type="dxa"/>
            <w:tcBorders>
              <w:top w:val="single" w:sz="4" w:space="0" w:color="000000"/>
              <w:left w:val="single" w:sz="4" w:space="0" w:color="000000"/>
              <w:bottom w:val="single" w:sz="4" w:space="0" w:color="000000"/>
              <w:right w:val="single" w:sz="4" w:space="0" w:color="000000"/>
            </w:tcBorders>
          </w:tcPr>
          <w:p w14:paraId="5D1723CD" w14:textId="77777777" w:rsidR="008F45A0" w:rsidRPr="00D42BD8" w:rsidRDefault="00D435A4">
            <w:pPr>
              <w:spacing w:before="100" w:after="200" w:line="276" w:lineRule="auto"/>
              <w:jc w:val="center"/>
              <w:rPr>
                <w:rFonts w:ascii="Palatino Linotype" w:eastAsia="Palatino Linotype" w:hAnsi="Palatino Linotype" w:cs="Palatino Linotype"/>
                <w:sz w:val="18"/>
                <w:szCs w:val="18"/>
              </w:rPr>
            </w:pPr>
            <w:r w:rsidRPr="00D42BD8">
              <w:rPr>
                <w:rFonts w:ascii="Palatino Linotype" w:eastAsia="Palatino Linotype" w:hAnsi="Palatino Linotype" w:cs="Palatino Linotype"/>
                <w:b/>
                <w:sz w:val="18"/>
                <w:szCs w:val="18"/>
              </w:rPr>
              <w:t>Número de folio de la solicitud</w:t>
            </w:r>
          </w:p>
        </w:tc>
        <w:tc>
          <w:tcPr>
            <w:tcW w:w="5970" w:type="dxa"/>
            <w:tcBorders>
              <w:top w:val="single" w:sz="4" w:space="0" w:color="000000"/>
              <w:left w:val="single" w:sz="4" w:space="0" w:color="000000"/>
              <w:bottom w:val="single" w:sz="4" w:space="0" w:color="000000"/>
              <w:right w:val="single" w:sz="4" w:space="0" w:color="000000"/>
            </w:tcBorders>
          </w:tcPr>
          <w:p w14:paraId="5BC563E9" w14:textId="77777777" w:rsidR="008F45A0" w:rsidRPr="00D42BD8" w:rsidRDefault="00D435A4">
            <w:pPr>
              <w:spacing w:before="100" w:after="200" w:line="276" w:lineRule="auto"/>
              <w:jc w:val="center"/>
              <w:rPr>
                <w:rFonts w:ascii="Calibri" w:eastAsia="Calibri" w:hAnsi="Calibri" w:cs="Calibri"/>
                <w:sz w:val="20"/>
                <w:szCs w:val="20"/>
              </w:rPr>
            </w:pPr>
            <w:r w:rsidRPr="00D42BD8">
              <w:rPr>
                <w:noProof/>
              </w:rPr>
              <w:drawing>
                <wp:inline distT="114300" distB="114300" distL="114300" distR="114300" wp14:anchorId="5339FA5A" wp14:editId="7246423B">
                  <wp:extent cx="3305175" cy="1253731"/>
                  <wp:effectExtent l="0" t="0" r="0" b="0"/>
                  <wp:docPr id="2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305175" cy="1253731"/>
                          </a:xfrm>
                          <a:prstGeom prst="rect">
                            <a:avLst/>
                          </a:prstGeom>
                          <a:ln/>
                        </pic:spPr>
                      </pic:pic>
                    </a:graphicData>
                  </a:graphic>
                </wp:inline>
              </w:drawing>
            </w:r>
            <w:r w:rsidRPr="00D42BD8">
              <w:rPr>
                <w:noProof/>
              </w:rPr>
              <mc:AlternateContent>
                <mc:Choice Requires="wpg">
                  <w:drawing>
                    <wp:anchor distT="0" distB="0" distL="114300" distR="114300" simplePos="0" relativeHeight="251658240" behindDoc="0" locked="0" layoutInCell="1" hidden="0" allowOverlap="1" wp14:anchorId="0C67D516" wp14:editId="06666604">
                      <wp:simplePos x="0" y="0"/>
                      <wp:positionH relativeFrom="column">
                        <wp:posOffset>2247900</wp:posOffset>
                      </wp:positionH>
                      <wp:positionV relativeFrom="paragraph">
                        <wp:posOffset>635000</wp:posOffset>
                      </wp:positionV>
                      <wp:extent cx="1134498" cy="236430"/>
                      <wp:effectExtent l="0" t="0" r="0" b="0"/>
                      <wp:wrapNone/>
                      <wp:docPr id="249" name="Rectángulo 249"/>
                      <wp:cNvGraphicFramePr/>
                      <a:graphic xmlns:a="http://schemas.openxmlformats.org/drawingml/2006/main">
                        <a:graphicData uri="http://schemas.microsoft.com/office/word/2010/wordprocessingShape">
                          <wps:wsp>
                            <wps:cNvSpPr/>
                            <wps:spPr>
                              <a:xfrm>
                                <a:off x="4835901" y="3718935"/>
                                <a:ext cx="1020198" cy="122130"/>
                              </a:xfrm>
                              <a:prstGeom prst="rect">
                                <a:avLst/>
                              </a:prstGeom>
                              <a:noFill/>
                              <a:ln w="28575" cap="flat" cmpd="sng">
                                <a:solidFill>
                                  <a:srgbClr val="002060"/>
                                </a:solidFill>
                                <a:prstDash val="solid"/>
                                <a:miter lim="800000"/>
                                <a:headEnd type="none" w="sm" len="sm"/>
                                <a:tailEnd type="none" w="sm" len="sm"/>
                              </a:ln>
                            </wps:spPr>
                            <wps:txbx>
                              <w:txbxContent>
                                <w:p w14:paraId="12F4E260" w14:textId="77777777" w:rsidR="008F45A0" w:rsidRDefault="008F45A0">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635000</wp:posOffset>
                      </wp:positionV>
                      <wp:extent cx="1134498" cy="236430"/>
                      <wp:effectExtent b="0" l="0" r="0" t="0"/>
                      <wp:wrapNone/>
                      <wp:docPr id="249"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134498" cy="236430"/>
                              </a:xfrm>
                              <a:prstGeom prst="rect"/>
                              <a:ln/>
                            </pic:spPr>
                          </pic:pic>
                        </a:graphicData>
                      </a:graphic>
                    </wp:anchor>
                  </w:drawing>
                </mc:Fallback>
              </mc:AlternateContent>
            </w:r>
          </w:p>
        </w:tc>
        <w:tc>
          <w:tcPr>
            <w:tcW w:w="1170" w:type="dxa"/>
            <w:tcBorders>
              <w:top w:val="single" w:sz="4" w:space="0" w:color="000000"/>
              <w:left w:val="single" w:sz="4" w:space="0" w:color="000000"/>
              <w:bottom w:val="single" w:sz="4" w:space="0" w:color="000000"/>
              <w:right w:val="single" w:sz="4" w:space="0" w:color="000000"/>
            </w:tcBorders>
          </w:tcPr>
          <w:p w14:paraId="3E96C5D3" w14:textId="77777777" w:rsidR="008F45A0" w:rsidRPr="00D42BD8" w:rsidRDefault="00D435A4">
            <w:pPr>
              <w:spacing w:before="100" w:after="200" w:line="276" w:lineRule="auto"/>
              <w:jc w:val="center"/>
              <w:rPr>
                <w:rFonts w:ascii="Palatino Linotype" w:eastAsia="Palatino Linotype" w:hAnsi="Palatino Linotype" w:cs="Palatino Linotype"/>
                <w:b/>
                <w:sz w:val="20"/>
                <w:szCs w:val="20"/>
              </w:rPr>
            </w:pPr>
            <w:r w:rsidRPr="00D42BD8">
              <w:rPr>
                <w:rFonts w:ascii="Palatino Linotype" w:eastAsia="Palatino Linotype" w:hAnsi="Palatino Linotype" w:cs="Palatino Linotype"/>
                <w:b/>
              </w:rPr>
              <w:t>Sí</w:t>
            </w:r>
          </w:p>
        </w:tc>
      </w:tr>
      <w:tr w:rsidR="008F45A0" w:rsidRPr="00D42BD8" w14:paraId="71FEBEE4" w14:textId="77777777">
        <w:trPr>
          <w:jc w:val="center"/>
        </w:trPr>
        <w:tc>
          <w:tcPr>
            <w:tcW w:w="1695" w:type="dxa"/>
            <w:tcBorders>
              <w:top w:val="single" w:sz="4" w:space="0" w:color="000000"/>
              <w:left w:val="single" w:sz="4" w:space="0" w:color="000000"/>
              <w:bottom w:val="single" w:sz="4" w:space="0" w:color="000000"/>
              <w:right w:val="single" w:sz="4" w:space="0" w:color="000000"/>
            </w:tcBorders>
          </w:tcPr>
          <w:p w14:paraId="02116226" w14:textId="77777777" w:rsidR="008F45A0" w:rsidRPr="00D42BD8" w:rsidRDefault="00D435A4">
            <w:pPr>
              <w:spacing w:before="100" w:after="200" w:line="276" w:lineRule="auto"/>
              <w:jc w:val="center"/>
              <w:rPr>
                <w:rFonts w:ascii="Palatino Linotype" w:eastAsia="Palatino Linotype" w:hAnsi="Palatino Linotype" w:cs="Palatino Linotype"/>
                <w:sz w:val="18"/>
                <w:szCs w:val="18"/>
              </w:rPr>
            </w:pPr>
            <w:r w:rsidRPr="00D42BD8">
              <w:rPr>
                <w:rFonts w:ascii="Palatino Linotype" w:eastAsia="Palatino Linotype" w:hAnsi="Palatino Linotype" w:cs="Palatino Linotype"/>
                <w:b/>
                <w:sz w:val="18"/>
                <w:szCs w:val="18"/>
              </w:rPr>
              <w:t>Referencia de la información solicitada</w:t>
            </w:r>
          </w:p>
        </w:tc>
        <w:tc>
          <w:tcPr>
            <w:tcW w:w="5970" w:type="dxa"/>
            <w:tcBorders>
              <w:top w:val="single" w:sz="4" w:space="0" w:color="000000"/>
              <w:left w:val="single" w:sz="4" w:space="0" w:color="000000"/>
              <w:bottom w:val="single" w:sz="4" w:space="0" w:color="000000"/>
              <w:right w:val="single" w:sz="4" w:space="0" w:color="000000"/>
            </w:tcBorders>
          </w:tcPr>
          <w:p w14:paraId="6FEF0100" w14:textId="77777777" w:rsidR="008F45A0" w:rsidRPr="00D42BD8" w:rsidRDefault="00D435A4">
            <w:pPr>
              <w:spacing w:before="100" w:after="200" w:line="276" w:lineRule="auto"/>
              <w:jc w:val="center"/>
              <w:rPr>
                <w:rFonts w:ascii="Palatino Linotype" w:eastAsia="Palatino Linotype" w:hAnsi="Palatino Linotype" w:cs="Palatino Linotype"/>
              </w:rPr>
            </w:pPr>
            <w:r w:rsidRPr="00D42BD8">
              <w:rPr>
                <w:noProof/>
              </w:rPr>
              <w:drawing>
                <wp:inline distT="114300" distB="114300" distL="114300" distR="114300" wp14:anchorId="216463B3" wp14:editId="23517F01">
                  <wp:extent cx="3457575" cy="685800"/>
                  <wp:effectExtent l="0" t="0" r="0" b="0"/>
                  <wp:docPr id="2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3457575" cy="685800"/>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vAlign w:val="center"/>
          </w:tcPr>
          <w:p w14:paraId="3F065BDB"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 xml:space="preserve">Parcial </w:t>
            </w:r>
          </w:p>
        </w:tc>
      </w:tr>
      <w:tr w:rsidR="008F45A0" w:rsidRPr="00D42BD8" w14:paraId="2848D3E5" w14:textId="77777777">
        <w:trPr>
          <w:jc w:val="center"/>
        </w:trPr>
        <w:tc>
          <w:tcPr>
            <w:tcW w:w="1695" w:type="dxa"/>
            <w:tcBorders>
              <w:top w:val="single" w:sz="4" w:space="0" w:color="000000"/>
              <w:left w:val="single" w:sz="4" w:space="0" w:color="000000"/>
              <w:bottom w:val="single" w:sz="4" w:space="0" w:color="000000"/>
              <w:right w:val="single" w:sz="4" w:space="0" w:color="000000"/>
            </w:tcBorders>
          </w:tcPr>
          <w:p w14:paraId="54EE24F7" w14:textId="77777777" w:rsidR="008F45A0" w:rsidRPr="00D42BD8" w:rsidRDefault="00D435A4">
            <w:pPr>
              <w:jc w:val="center"/>
              <w:rPr>
                <w:rFonts w:ascii="Palatino Linotype" w:eastAsia="Palatino Linotype" w:hAnsi="Palatino Linotype" w:cs="Palatino Linotype"/>
                <w:sz w:val="18"/>
                <w:szCs w:val="18"/>
              </w:rPr>
            </w:pPr>
            <w:r w:rsidRPr="00D42BD8">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5970" w:type="dxa"/>
            <w:tcBorders>
              <w:top w:val="single" w:sz="4" w:space="0" w:color="000000"/>
              <w:left w:val="single" w:sz="4" w:space="0" w:color="000000"/>
              <w:bottom w:val="single" w:sz="4" w:space="0" w:color="000000"/>
              <w:right w:val="single" w:sz="4" w:space="0" w:color="000000"/>
            </w:tcBorders>
            <w:vAlign w:val="center"/>
          </w:tcPr>
          <w:p w14:paraId="4F0D068C" w14:textId="77777777" w:rsidR="008F45A0" w:rsidRPr="00D42BD8" w:rsidRDefault="00D435A4">
            <w:pPr>
              <w:spacing w:before="100" w:after="200" w:line="276" w:lineRule="auto"/>
              <w:rPr>
                <w:rFonts w:ascii="Calibri" w:eastAsia="Calibri" w:hAnsi="Calibri" w:cs="Calibri"/>
                <w:sz w:val="20"/>
                <w:szCs w:val="20"/>
              </w:rPr>
            </w:pPr>
            <w:r w:rsidRPr="00D42BD8">
              <w:rPr>
                <w:noProof/>
              </w:rPr>
              <w:drawing>
                <wp:inline distT="114300" distB="114300" distL="114300" distR="114300" wp14:anchorId="08820CF4" wp14:editId="003799FA">
                  <wp:extent cx="3457575" cy="865503"/>
                  <wp:effectExtent l="0" t="0" r="0" b="0"/>
                  <wp:docPr id="2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3457575" cy="865503"/>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vAlign w:val="center"/>
          </w:tcPr>
          <w:p w14:paraId="41C11B80"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Sí</w:t>
            </w:r>
          </w:p>
        </w:tc>
      </w:tr>
      <w:tr w:rsidR="008F45A0" w:rsidRPr="00D42BD8" w14:paraId="18B12EDB" w14:textId="77777777">
        <w:trPr>
          <w:trHeight w:val="6164"/>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0CF5BC3B" w14:textId="77777777" w:rsidR="008F45A0" w:rsidRPr="00D42BD8" w:rsidRDefault="00D435A4">
            <w:pPr>
              <w:spacing w:before="100" w:after="200" w:line="276" w:lineRule="auto"/>
              <w:jc w:val="center"/>
              <w:rPr>
                <w:rFonts w:ascii="Palatino Linotype" w:eastAsia="Palatino Linotype" w:hAnsi="Palatino Linotype" w:cs="Palatino Linotype"/>
                <w:sz w:val="18"/>
                <w:szCs w:val="18"/>
              </w:rPr>
            </w:pPr>
            <w:r w:rsidRPr="00D42BD8">
              <w:rPr>
                <w:rFonts w:ascii="Palatino Linotype" w:eastAsia="Palatino Linotype" w:hAnsi="Palatino Linotype" w:cs="Palatino Linotype"/>
                <w:b/>
                <w:sz w:val="18"/>
                <w:szCs w:val="18"/>
              </w:rPr>
              <w:lastRenderedPageBreak/>
              <w:t>Fundamento y Motivación Legal</w:t>
            </w:r>
          </w:p>
        </w:tc>
        <w:tc>
          <w:tcPr>
            <w:tcW w:w="5970" w:type="dxa"/>
            <w:tcBorders>
              <w:top w:val="single" w:sz="4" w:space="0" w:color="000000"/>
              <w:left w:val="single" w:sz="4" w:space="0" w:color="000000"/>
              <w:bottom w:val="single" w:sz="4" w:space="0" w:color="000000"/>
              <w:right w:val="single" w:sz="4" w:space="0" w:color="000000"/>
            </w:tcBorders>
          </w:tcPr>
          <w:p w14:paraId="4A42D436" w14:textId="77777777" w:rsidR="008F45A0" w:rsidRPr="00D42BD8" w:rsidRDefault="00D435A4">
            <w:pPr>
              <w:spacing w:before="100" w:after="200" w:line="276" w:lineRule="auto"/>
              <w:rPr>
                <w:rFonts w:ascii="Calibri" w:eastAsia="Calibri" w:hAnsi="Calibri" w:cs="Calibri"/>
                <w:sz w:val="20"/>
                <w:szCs w:val="20"/>
              </w:rPr>
            </w:pPr>
            <w:r w:rsidRPr="00D42BD8">
              <w:rPr>
                <w:rFonts w:ascii="Calibri" w:eastAsia="Calibri" w:hAnsi="Calibri" w:cs="Calibri"/>
                <w:noProof/>
                <w:sz w:val="20"/>
                <w:szCs w:val="20"/>
              </w:rPr>
              <w:drawing>
                <wp:inline distT="114300" distB="114300" distL="114300" distR="114300" wp14:anchorId="701ABB2C" wp14:editId="4C8B7F65">
                  <wp:extent cx="3457575" cy="2176893"/>
                  <wp:effectExtent l="0" t="0" r="0" b="0"/>
                  <wp:docPr id="2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3457575" cy="2176893"/>
                          </a:xfrm>
                          <a:prstGeom prst="rect">
                            <a:avLst/>
                          </a:prstGeom>
                          <a:ln/>
                        </pic:spPr>
                      </pic:pic>
                    </a:graphicData>
                  </a:graphic>
                </wp:inline>
              </w:drawing>
            </w:r>
          </w:p>
          <w:p w14:paraId="00D3FEFA" w14:textId="77777777" w:rsidR="008F45A0" w:rsidRPr="00D42BD8" w:rsidRDefault="00D435A4">
            <w:pPr>
              <w:spacing w:before="100" w:after="200" w:line="276" w:lineRule="auto"/>
              <w:rPr>
                <w:rFonts w:ascii="Calibri" w:eastAsia="Calibri" w:hAnsi="Calibri" w:cs="Calibri"/>
                <w:sz w:val="20"/>
                <w:szCs w:val="20"/>
              </w:rPr>
            </w:pPr>
            <w:r w:rsidRPr="00D42BD8">
              <w:rPr>
                <w:rFonts w:ascii="Calibri" w:eastAsia="Calibri" w:hAnsi="Calibri" w:cs="Calibri"/>
                <w:noProof/>
                <w:sz w:val="20"/>
                <w:szCs w:val="20"/>
              </w:rPr>
              <w:drawing>
                <wp:inline distT="114300" distB="114300" distL="114300" distR="114300" wp14:anchorId="1EA32A06" wp14:editId="748FE3F8">
                  <wp:extent cx="3619500" cy="1004288"/>
                  <wp:effectExtent l="0" t="0" r="0" b="0"/>
                  <wp:docPr id="2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619500" cy="1004288"/>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vAlign w:val="center"/>
          </w:tcPr>
          <w:p w14:paraId="5FE96AC0" w14:textId="77777777" w:rsidR="008F45A0" w:rsidRPr="00D42BD8" w:rsidRDefault="00D435A4">
            <w:pPr>
              <w:spacing w:before="100" w:after="200" w:line="276" w:lineRule="auto"/>
              <w:jc w:val="center"/>
              <w:rPr>
                <w:rFonts w:ascii="Palatino Linotype" w:eastAsia="Palatino Linotype" w:hAnsi="Palatino Linotype" w:cs="Palatino Linotype"/>
                <w:b/>
                <w:sz w:val="20"/>
                <w:szCs w:val="20"/>
              </w:rPr>
            </w:pPr>
            <w:r w:rsidRPr="00D42BD8">
              <w:rPr>
                <w:rFonts w:ascii="Palatino Linotype" w:eastAsia="Palatino Linotype" w:hAnsi="Palatino Linotype" w:cs="Palatino Linotype"/>
                <w:b/>
                <w:sz w:val="20"/>
                <w:szCs w:val="20"/>
              </w:rPr>
              <w:t>Parcial</w:t>
            </w:r>
          </w:p>
        </w:tc>
      </w:tr>
      <w:tr w:rsidR="008F45A0" w:rsidRPr="00D42BD8" w14:paraId="7E79EBB1" w14:textId="77777777">
        <w:trPr>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605F4419" w14:textId="77777777" w:rsidR="008F45A0" w:rsidRPr="00D42BD8" w:rsidRDefault="00D435A4">
            <w:pPr>
              <w:spacing w:before="100" w:after="200" w:line="276" w:lineRule="auto"/>
              <w:jc w:val="center"/>
              <w:rPr>
                <w:rFonts w:ascii="Palatino Linotype" w:eastAsia="Palatino Linotype" w:hAnsi="Palatino Linotype" w:cs="Palatino Linotype"/>
                <w:b/>
                <w:sz w:val="16"/>
                <w:szCs w:val="16"/>
              </w:rPr>
            </w:pPr>
            <w:r w:rsidRPr="00D42BD8">
              <w:rPr>
                <w:rFonts w:ascii="Palatino Linotype" w:eastAsia="Palatino Linotype" w:hAnsi="Palatino Linotype" w:cs="Palatino Linotype"/>
                <w:b/>
                <w:sz w:val="16"/>
                <w:szCs w:val="16"/>
              </w:rPr>
              <w:t>Conexión entre los fundamentos y motivos que dieron origen a la Reserva de la información</w:t>
            </w:r>
          </w:p>
        </w:tc>
        <w:tc>
          <w:tcPr>
            <w:tcW w:w="5970" w:type="dxa"/>
            <w:tcBorders>
              <w:top w:val="single" w:sz="4" w:space="0" w:color="000000"/>
              <w:left w:val="single" w:sz="4" w:space="0" w:color="000000"/>
              <w:bottom w:val="single" w:sz="4" w:space="0" w:color="000000"/>
              <w:right w:val="single" w:sz="4" w:space="0" w:color="000000"/>
            </w:tcBorders>
          </w:tcPr>
          <w:p w14:paraId="41C46A4B" w14:textId="77777777" w:rsidR="008F45A0" w:rsidRPr="00D42BD8" w:rsidRDefault="00D435A4">
            <w:pPr>
              <w:spacing w:before="100" w:after="200" w:line="276" w:lineRule="auto"/>
              <w:rPr>
                <w:rFonts w:ascii="Calibri" w:eastAsia="Calibri" w:hAnsi="Calibri" w:cs="Calibri"/>
                <w:sz w:val="20"/>
                <w:szCs w:val="20"/>
              </w:rPr>
            </w:pPr>
            <w:r w:rsidRPr="00D42BD8">
              <w:rPr>
                <w:rFonts w:ascii="Calibri" w:eastAsia="Calibri" w:hAnsi="Calibri" w:cs="Calibri"/>
                <w:noProof/>
                <w:sz w:val="20"/>
                <w:szCs w:val="20"/>
              </w:rPr>
              <w:drawing>
                <wp:inline distT="114300" distB="114300" distL="114300" distR="114300" wp14:anchorId="4F299F59" wp14:editId="0AD2F5B9">
                  <wp:extent cx="3619500" cy="1432913"/>
                  <wp:effectExtent l="0" t="0" r="0" b="0"/>
                  <wp:docPr id="2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619500" cy="1432913"/>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vAlign w:val="center"/>
          </w:tcPr>
          <w:p w14:paraId="272E98B6"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No</w:t>
            </w:r>
          </w:p>
          <w:p w14:paraId="41A55350" w14:textId="77777777" w:rsidR="008F45A0" w:rsidRPr="00D42BD8" w:rsidRDefault="008F45A0">
            <w:pPr>
              <w:spacing w:before="100" w:after="200" w:line="276" w:lineRule="auto"/>
              <w:rPr>
                <w:rFonts w:ascii="Palatino Linotype" w:eastAsia="Palatino Linotype" w:hAnsi="Palatino Linotype" w:cs="Palatino Linotype"/>
                <w:b/>
                <w:sz w:val="20"/>
                <w:szCs w:val="20"/>
              </w:rPr>
            </w:pPr>
          </w:p>
        </w:tc>
      </w:tr>
      <w:tr w:rsidR="008F45A0" w:rsidRPr="00D42BD8" w14:paraId="7992EEE3" w14:textId="77777777">
        <w:trPr>
          <w:jc w:val="center"/>
        </w:trPr>
        <w:tc>
          <w:tcPr>
            <w:tcW w:w="8835" w:type="dxa"/>
            <w:gridSpan w:val="3"/>
            <w:tcBorders>
              <w:top w:val="single" w:sz="4" w:space="0" w:color="000000"/>
              <w:left w:val="single" w:sz="4" w:space="0" w:color="000000"/>
              <w:bottom w:val="single" w:sz="4" w:space="0" w:color="000000"/>
              <w:right w:val="single" w:sz="4" w:space="0" w:color="000000"/>
            </w:tcBorders>
            <w:shd w:val="clear" w:color="auto" w:fill="7B7B7B"/>
          </w:tcPr>
          <w:p w14:paraId="2653D805"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Elementos de la prueba de daño</w:t>
            </w:r>
          </w:p>
        </w:tc>
      </w:tr>
      <w:tr w:rsidR="008F45A0" w:rsidRPr="00D42BD8" w14:paraId="6A027C80" w14:textId="77777777">
        <w:trPr>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14E367B7" w14:textId="77777777" w:rsidR="008F45A0" w:rsidRPr="00D42BD8" w:rsidRDefault="00D435A4">
            <w:pPr>
              <w:spacing w:after="120" w:line="256" w:lineRule="auto"/>
              <w:jc w:val="center"/>
              <w:rPr>
                <w:rFonts w:ascii="Palatino Linotype" w:eastAsia="Palatino Linotype" w:hAnsi="Palatino Linotype" w:cs="Palatino Linotype"/>
                <w:b/>
                <w:sz w:val="16"/>
                <w:szCs w:val="16"/>
              </w:rPr>
            </w:pPr>
            <w:r w:rsidRPr="00D42BD8">
              <w:rPr>
                <w:rFonts w:ascii="Palatino Linotype" w:eastAsia="Palatino Linotype" w:hAnsi="Palatino Linotype" w:cs="Palatino Linotype"/>
                <w:b/>
                <w:sz w:val="16"/>
                <w:szCs w:val="16"/>
              </w:rPr>
              <w:lastRenderedPageBreak/>
              <w:t>Riesgo Real, Demostrable e Identificable</w:t>
            </w:r>
          </w:p>
          <w:p w14:paraId="730E84A9"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sz w:val="16"/>
                <w:szCs w:val="16"/>
              </w:rPr>
              <w:t>(Modo, Tiempo y Lugar)</w:t>
            </w:r>
          </w:p>
        </w:tc>
        <w:tc>
          <w:tcPr>
            <w:tcW w:w="5970" w:type="dxa"/>
            <w:tcBorders>
              <w:top w:val="single" w:sz="4" w:space="0" w:color="000000"/>
              <w:left w:val="single" w:sz="4" w:space="0" w:color="000000"/>
              <w:bottom w:val="single" w:sz="4" w:space="0" w:color="000000"/>
              <w:right w:val="single" w:sz="4" w:space="0" w:color="000000"/>
            </w:tcBorders>
          </w:tcPr>
          <w:p w14:paraId="0F04358B" w14:textId="77777777" w:rsidR="008F45A0" w:rsidRPr="00D42BD8" w:rsidRDefault="008F45A0">
            <w:pPr>
              <w:spacing w:before="100" w:after="200" w:line="276" w:lineRule="auto"/>
              <w:jc w:val="center"/>
              <w:rPr>
                <w:rFonts w:ascii="Palatino Linotype" w:eastAsia="Palatino Linotype" w:hAnsi="Palatino Linotype" w:cs="Palatino Linotype"/>
                <w:b/>
              </w:rPr>
            </w:pPr>
          </w:p>
          <w:p w14:paraId="2F86C993" w14:textId="77777777" w:rsidR="008F45A0" w:rsidRPr="00D42BD8" w:rsidRDefault="00D435A4">
            <w:pPr>
              <w:spacing w:before="100" w:after="200" w:line="276" w:lineRule="auto"/>
              <w:jc w:val="center"/>
            </w:pPr>
            <w:r w:rsidRPr="00D42BD8">
              <w:rPr>
                <w:noProof/>
              </w:rPr>
              <w:drawing>
                <wp:inline distT="114300" distB="114300" distL="114300" distR="114300" wp14:anchorId="5A296C42" wp14:editId="022B06B5">
                  <wp:extent cx="3619500" cy="1663700"/>
                  <wp:effectExtent l="0" t="0" r="0" b="0"/>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619500" cy="1663700"/>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vAlign w:val="center"/>
          </w:tcPr>
          <w:p w14:paraId="60EFC918"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No</w:t>
            </w:r>
          </w:p>
        </w:tc>
      </w:tr>
      <w:tr w:rsidR="008F45A0" w:rsidRPr="00D42BD8" w14:paraId="014CD9AC" w14:textId="77777777">
        <w:trPr>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7C6F3215"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sz w:val="16"/>
                <w:szCs w:val="16"/>
              </w:rPr>
              <w:t>Temporalidad de la Reserva de la información</w:t>
            </w:r>
          </w:p>
        </w:tc>
        <w:tc>
          <w:tcPr>
            <w:tcW w:w="5970" w:type="dxa"/>
            <w:tcBorders>
              <w:top w:val="single" w:sz="4" w:space="0" w:color="000000"/>
              <w:left w:val="single" w:sz="4" w:space="0" w:color="000000"/>
              <w:bottom w:val="single" w:sz="4" w:space="0" w:color="000000"/>
              <w:right w:val="single" w:sz="4" w:space="0" w:color="000000"/>
            </w:tcBorders>
            <w:vAlign w:val="center"/>
          </w:tcPr>
          <w:p w14:paraId="50E14BEF"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noProof/>
              </w:rPr>
              <w:drawing>
                <wp:inline distT="114300" distB="114300" distL="114300" distR="114300" wp14:anchorId="47AD025A" wp14:editId="5340242B">
                  <wp:extent cx="3619500" cy="609600"/>
                  <wp:effectExtent l="0" t="0" r="0" b="0"/>
                  <wp:docPr id="2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619500" cy="609600"/>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vAlign w:val="center"/>
          </w:tcPr>
          <w:p w14:paraId="6E2AF6D9"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 xml:space="preserve">Sí </w:t>
            </w:r>
          </w:p>
        </w:tc>
      </w:tr>
      <w:tr w:rsidR="008F45A0" w:rsidRPr="00D42BD8" w14:paraId="28DC6B69" w14:textId="77777777">
        <w:trPr>
          <w:jc w:val="center"/>
        </w:trPr>
        <w:tc>
          <w:tcPr>
            <w:tcW w:w="1695" w:type="dxa"/>
            <w:tcBorders>
              <w:top w:val="single" w:sz="4" w:space="0" w:color="000000"/>
              <w:left w:val="single" w:sz="4" w:space="0" w:color="000000"/>
              <w:bottom w:val="single" w:sz="4" w:space="0" w:color="000000"/>
              <w:right w:val="single" w:sz="4" w:space="0" w:color="000000"/>
            </w:tcBorders>
          </w:tcPr>
          <w:p w14:paraId="7C475241"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sz w:val="16"/>
                <w:szCs w:val="16"/>
              </w:rPr>
              <w:t>Autoridades competentes.</w:t>
            </w:r>
          </w:p>
        </w:tc>
        <w:tc>
          <w:tcPr>
            <w:tcW w:w="5970" w:type="dxa"/>
            <w:tcBorders>
              <w:top w:val="single" w:sz="4" w:space="0" w:color="000000"/>
              <w:left w:val="single" w:sz="4" w:space="0" w:color="000000"/>
              <w:bottom w:val="single" w:sz="4" w:space="0" w:color="000000"/>
              <w:right w:val="single" w:sz="4" w:space="0" w:color="000000"/>
            </w:tcBorders>
          </w:tcPr>
          <w:p w14:paraId="572B7F59"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noProof/>
              </w:rPr>
              <w:drawing>
                <wp:inline distT="114300" distB="114300" distL="114300" distR="114300" wp14:anchorId="5EB85E8F" wp14:editId="62108517">
                  <wp:extent cx="3434668" cy="1482331"/>
                  <wp:effectExtent l="0" t="0" r="0" b="0"/>
                  <wp:docPr id="2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3434668" cy="1482331"/>
                          </a:xfrm>
                          <a:prstGeom prst="rect">
                            <a:avLst/>
                          </a:prstGeom>
                          <a:ln/>
                        </pic:spPr>
                      </pic:pic>
                    </a:graphicData>
                  </a:graphic>
                </wp:inline>
              </w:drawing>
            </w:r>
          </w:p>
        </w:tc>
        <w:tc>
          <w:tcPr>
            <w:tcW w:w="1170" w:type="dxa"/>
            <w:tcBorders>
              <w:top w:val="single" w:sz="4" w:space="0" w:color="000000"/>
              <w:left w:val="single" w:sz="4" w:space="0" w:color="000000"/>
              <w:bottom w:val="single" w:sz="4" w:space="0" w:color="000000"/>
              <w:right w:val="single" w:sz="4" w:space="0" w:color="000000"/>
            </w:tcBorders>
          </w:tcPr>
          <w:p w14:paraId="3AC168C0" w14:textId="77777777" w:rsidR="008F45A0" w:rsidRPr="00D42BD8" w:rsidRDefault="00D435A4">
            <w:pPr>
              <w:spacing w:before="100" w:after="200" w:line="276" w:lineRule="auto"/>
              <w:jc w:val="center"/>
              <w:rPr>
                <w:rFonts w:ascii="Palatino Linotype" w:eastAsia="Palatino Linotype" w:hAnsi="Palatino Linotype" w:cs="Palatino Linotype"/>
                <w:b/>
              </w:rPr>
            </w:pPr>
            <w:r w:rsidRPr="00D42BD8">
              <w:rPr>
                <w:rFonts w:ascii="Palatino Linotype" w:eastAsia="Palatino Linotype" w:hAnsi="Palatino Linotype" w:cs="Palatino Linotype"/>
                <w:b/>
              </w:rPr>
              <w:t>Sí</w:t>
            </w:r>
          </w:p>
        </w:tc>
      </w:tr>
    </w:tbl>
    <w:p w14:paraId="2B1176EF" w14:textId="77777777" w:rsidR="008F45A0" w:rsidRPr="00D42BD8" w:rsidRDefault="00D435A4">
      <w:pPr>
        <w:spacing w:before="240" w:after="24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Como se vislumbra, el acuerdo entregado por </w:t>
      </w:r>
      <w:r w:rsidRPr="00D42BD8">
        <w:rPr>
          <w:rFonts w:ascii="Palatino Linotype" w:eastAsia="Palatino Linotype" w:hAnsi="Palatino Linotype" w:cs="Palatino Linotype"/>
          <w:b/>
        </w:rPr>
        <w:t xml:space="preserve"> EL SUJETO OBLIGADO</w:t>
      </w:r>
      <w:r w:rsidRPr="00D42BD8">
        <w:rPr>
          <w:rFonts w:ascii="Palatino Linotype" w:eastAsia="Palatino Linotype" w:hAnsi="Palatino Linotype" w:cs="Palatino Linotype"/>
        </w:rPr>
        <w:t xml:space="preserve">, no cumple con los requisitos mínimos señalados por la normatividad de la materia, pues del contenido del acta no se observa que el ente recurrido señale de forma fehaciente las razones por las cuales la información solicitada encuentre en los supuestos previstos por las fracciones VI y X del artículo 140, así tampoco se acredita el riesgo Real, </w:t>
      </w:r>
      <w:r w:rsidRPr="00D42BD8">
        <w:rPr>
          <w:rFonts w:ascii="Palatino Linotype" w:eastAsia="Palatino Linotype" w:hAnsi="Palatino Linotype" w:cs="Palatino Linotype"/>
        </w:rPr>
        <w:lastRenderedPageBreak/>
        <w:t>Demostrable e  Identificable que conlleva el divulgar la información solicitada, ni se estableció que el perjuicio supera el interés público general que pudiera existir sobre la información requerida, en consecuencia, se concluye que este no se encuentra debidamente fundado y motivado, en términos de lo dispuesto en los artículos 128, 129 y 140 de la Ley de Transparencia y Acceso a la Información Pública del Estado de México y Municipios.</w:t>
      </w:r>
    </w:p>
    <w:p w14:paraId="580C75DB" w14:textId="77777777" w:rsidR="008F45A0" w:rsidRPr="00D42BD8" w:rsidRDefault="00D435A4">
      <w:pPr>
        <w:spacing w:before="240" w:after="240" w:line="360" w:lineRule="auto"/>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rPr>
        <w:t>Al respecto de la fundamentación y motivación, el máximo tribunal del país ha establecido jurisprudencia respecto a qué debe entenderse por fundamentación y motivación, en los siguientes términos:</w:t>
      </w:r>
    </w:p>
    <w:p w14:paraId="711233E3" w14:textId="77777777" w:rsidR="008F45A0" w:rsidRPr="00D42BD8" w:rsidRDefault="00D435A4">
      <w:pPr>
        <w:ind w:left="850" w:right="900"/>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 xml:space="preserve">FUNDAMENTACION Y MOTIVACION. </w:t>
      </w:r>
      <w:r w:rsidRPr="00D42BD8">
        <w:rPr>
          <w:rFonts w:ascii="Palatino Linotype" w:eastAsia="Palatino Linotype" w:hAnsi="Palatino Linotype" w:cs="Palatino Linotype"/>
          <w:i/>
          <w:sz w:val="22"/>
          <w:szCs w:val="22"/>
        </w:rPr>
        <w:t xml:space="preserve">La </w:t>
      </w:r>
      <w:r w:rsidRPr="00D42BD8">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42BD8">
        <w:rPr>
          <w:rFonts w:ascii="Palatino Linotype" w:eastAsia="Palatino Linotype" w:hAnsi="Palatino Linotype" w:cs="Palatino Linotype"/>
          <w:b/>
          <w:i/>
          <w:sz w:val="22"/>
          <w:szCs w:val="22"/>
        </w:rPr>
        <w:t xml:space="preserve">…” </w:t>
      </w:r>
      <w:r w:rsidRPr="00D42BD8">
        <w:rPr>
          <w:rFonts w:ascii="Palatino Linotype" w:eastAsia="Palatino Linotype" w:hAnsi="Palatino Linotype" w:cs="Palatino Linotype"/>
          <w:i/>
          <w:sz w:val="22"/>
          <w:szCs w:val="22"/>
        </w:rPr>
        <w:t>(Sic)</w:t>
      </w:r>
    </w:p>
    <w:p w14:paraId="625D89CB" w14:textId="77777777" w:rsidR="008F45A0" w:rsidRPr="00D42BD8" w:rsidRDefault="008F45A0">
      <w:pPr>
        <w:ind w:left="850" w:right="900"/>
        <w:jc w:val="both"/>
        <w:rPr>
          <w:rFonts w:ascii="Palatino Linotype" w:eastAsia="Palatino Linotype" w:hAnsi="Palatino Linotype" w:cs="Palatino Linotype"/>
          <w:i/>
          <w:sz w:val="22"/>
          <w:szCs w:val="22"/>
        </w:rPr>
      </w:pPr>
    </w:p>
    <w:p w14:paraId="397C142D" w14:textId="77777777" w:rsidR="008F45A0" w:rsidRPr="00D42BD8" w:rsidRDefault="00D435A4">
      <w:pPr>
        <w:spacing w:line="360" w:lineRule="auto"/>
        <w:ind w:right="51"/>
        <w:jc w:val="both"/>
        <w:rPr>
          <w:rFonts w:ascii="Palatino Linotype" w:eastAsia="Palatino Linotype" w:hAnsi="Palatino Linotype" w:cs="Palatino Linotype"/>
        </w:rPr>
      </w:pPr>
      <w:r w:rsidRPr="00D42BD8">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81EDD9C" w14:textId="77777777" w:rsidR="008F45A0" w:rsidRPr="00D42BD8" w:rsidRDefault="008F45A0">
      <w:pPr>
        <w:spacing w:line="360" w:lineRule="auto"/>
        <w:ind w:right="51"/>
        <w:jc w:val="both"/>
        <w:rPr>
          <w:rFonts w:ascii="Palatino Linotype" w:eastAsia="Palatino Linotype" w:hAnsi="Palatino Linotype" w:cs="Palatino Linotype"/>
        </w:rPr>
      </w:pPr>
    </w:p>
    <w:p w14:paraId="03288CA8" w14:textId="77777777" w:rsidR="008F45A0" w:rsidRPr="00D42BD8" w:rsidRDefault="00D435A4">
      <w:pPr>
        <w:spacing w:line="360" w:lineRule="auto"/>
        <w:ind w:right="51"/>
        <w:jc w:val="both"/>
        <w:rPr>
          <w:rFonts w:ascii="Palatino Linotype" w:eastAsia="Palatino Linotype" w:hAnsi="Palatino Linotype" w:cs="Palatino Linotype"/>
        </w:rPr>
      </w:pPr>
      <w:r w:rsidRPr="00D42BD8">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5A8BA7C" w14:textId="77777777" w:rsidR="008F45A0" w:rsidRPr="00D42BD8" w:rsidRDefault="008F45A0">
      <w:pPr>
        <w:ind w:left="850" w:right="900"/>
        <w:jc w:val="both"/>
        <w:rPr>
          <w:rFonts w:ascii="Palatino Linotype" w:eastAsia="Palatino Linotype" w:hAnsi="Palatino Linotype" w:cs="Palatino Linotype"/>
          <w:b/>
          <w:i/>
          <w:sz w:val="22"/>
          <w:szCs w:val="22"/>
        </w:rPr>
      </w:pPr>
    </w:p>
    <w:p w14:paraId="7506FC64" w14:textId="77777777" w:rsidR="008F45A0" w:rsidRPr="00D42BD8" w:rsidRDefault="00D435A4">
      <w:pPr>
        <w:ind w:left="850" w:right="900"/>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D42BD8">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D42BD8">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42BD8">
        <w:rPr>
          <w:rFonts w:ascii="Palatino Linotype" w:eastAsia="Palatino Linotype" w:hAnsi="Palatino Linotype" w:cs="Palatino Linotype"/>
          <w:i/>
          <w:sz w:val="22"/>
          <w:szCs w:val="22"/>
        </w:rPr>
        <w:t xml:space="preserve">. Por tanto, </w:t>
      </w:r>
      <w:r w:rsidRPr="00D42BD8">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D42BD8">
        <w:rPr>
          <w:rFonts w:ascii="Palatino Linotype" w:eastAsia="Palatino Linotype" w:hAnsi="Palatino Linotype" w:cs="Palatino Linotype"/>
          <w:i/>
          <w:sz w:val="22"/>
          <w:szCs w:val="22"/>
        </w:rPr>
        <w:t>, que impida la finalidad del conocimiento, comprobación y defensa pertinente</w:t>
      </w:r>
      <w:r w:rsidRPr="00D42BD8">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i/>
          <w:sz w:val="22"/>
          <w:szCs w:val="22"/>
        </w:rPr>
        <w:t>(Sic)</w:t>
      </w:r>
    </w:p>
    <w:p w14:paraId="280D74E7" w14:textId="77777777" w:rsidR="008F45A0" w:rsidRPr="00D42BD8" w:rsidRDefault="008F45A0">
      <w:pPr>
        <w:ind w:left="850" w:right="900"/>
        <w:jc w:val="both"/>
        <w:rPr>
          <w:rFonts w:ascii="Palatino Linotype" w:eastAsia="Palatino Linotype" w:hAnsi="Palatino Linotype" w:cs="Palatino Linotype"/>
          <w:i/>
          <w:sz w:val="22"/>
          <w:szCs w:val="22"/>
        </w:rPr>
      </w:pPr>
    </w:p>
    <w:p w14:paraId="274A7D0A" w14:textId="77777777" w:rsidR="008F45A0" w:rsidRPr="00D42BD8" w:rsidRDefault="008F45A0">
      <w:pPr>
        <w:ind w:left="850" w:right="900"/>
        <w:jc w:val="both"/>
        <w:rPr>
          <w:rFonts w:ascii="Palatino Linotype" w:eastAsia="Palatino Linotype" w:hAnsi="Palatino Linotype" w:cs="Palatino Linotype"/>
          <w:i/>
          <w:sz w:val="22"/>
          <w:szCs w:val="22"/>
        </w:rPr>
      </w:pPr>
    </w:p>
    <w:p w14:paraId="6FABA82B"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75F7B06" w14:textId="77777777" w:rsidR="008F45A0" w:rsidRPr="00D42BD8" w:rsidRDefault="008F45A0">
      <w:pPr>
        <w:spacing w:line="360" w:lineRule="auto"/>
        <w:ind w:right="49"/>
        <w:jc w:val="both"/>
        <w:rPr>
          <w:rFonts w:ascii="Palatino Linotype" w:eastAsia="Palatino Linotype" w:hAnsi="Palatino Linotype" w:cs="Palatino Linotype"/>
        </w:rPr>
      </w:pPr>
    </w:p>
    <w:p w14:paraId="14FF6355"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Así bien, no basta con solamente referir el precepto legal aplicable, sino que debe de estar claramente relacionado con el caso en concreto; es decir, si se argumenta el cobro </w:t>
      </w:r>
      <w:r w:rsidRPr="00D42BD8">
        <w:rPr>
          <w:rFonts w:ascii="Palatino Linotype" w:eastAsia="Palatino Linotype" w:hAnsi="Palatino Linotype" w:cs="Palatino Linotype"/>
        </w:rPr>
        <w:lastRenderedPageBreak/>
        <w:t xml:space="preserve">de la información dicho cobro o en su caso el cambio de modalidad debe estar acreditado y  soportado con el fundamento legal corresponde y la explicación de porqué dicha norma es procedente en el supuesto del que se trate. </w:t>
      </w:r>
    </w:p>
    <w:p w14:paraId="249278AA" w14:textId="77777777" w:rsidR="008F45A0" w:rsidRPr="00D42BD8" w:rsidRDefault="008F45A0">
      <w:pPr>
        <w:spacing w:line="360" w:lineRule="auto"/>
        <w:ind w:right="49"/>
        <w:jc w:val="both"/>
        <w:rPr>
          <w:rFonts w:ascii="Palatino Linotype" w:eastAsia="Palatino Linotype" w:hAnsi="Palatino Linotype" w:cs="Palatino Linotype"/>
        </w:rPr>
      </w:pPr>
    </w:p>
    <w:p w14:paraId="222BE1DC"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De igual manera no escapa de la Óptica de este Instituto que en el acta antes referenciada se hace referencia sobre la reserva de información contenida en  los archivos de la Comisión de Honor y Justicia la cual no tiene relación con la información solicitada y sobre la cual versa la mayor parte del Acuerdo de Clasificación. </w:t>
      </w:r>
    </w:p>
    <w:p w14:paraId="08846F12" w14:textId="77777777" w:rsidR="008F45A0" w:rsidRPr="00D42BD8" w:rsidRDefault="008F45A0">
      <w:pPr>
        <w:spacing w:line="360" w:lineRule="auto"/>
        <w:ind w:right="49"/>
        <w:jc w:val="both"/>
        <w:rPr>
          <w:rFonts w:ascii="Palatino Linotype" w:eastAsia="Palatino Linotype" w:hAnsi="Palatino Linotype" w:cs="Palatino Linotype"/>
        </w:rPr>
      </w:pPr>
    </w:p>
    <w:p w14:paraId="5BA5B737"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consecuencia, con la respuesta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no se puede tener por colmado el derecho de acceso a la información del particular pues la reserva de la información no se llevó a cabo en los términos establecidos por la ley. </w:t>
      </w:r>
    </w:p>
    <w:p w14:paraId="7F72A33A" w14:textId="77777777" w:rsidR="008F45A0" w:rsidRPr="00D42BD8" w:rsidRDefault="008F45A0">
      <w:pPr>
        <w:spacing w:line="360" w:lineRule="auto"/>
        <w:ind w:right="49"/>
        <w:jc w:val="both"/>
        <w:rPr>
          <w:rFonts w:ascii="Palatino Linotype" w:eastAsia="Palatino Linotype" w:hAnsi="Palatino Linotype" w:cs="Palatino Linotype"/>
        </w:rPr>
      </w:pPr>
    </w:p>
    <w:p w14:paraId="6BECD7A3"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Atento a lo anterior, resulta importante señalar que una vez abierta la etapa de manifestaciones </w:t>
      </w:r>
      <w:r w:rsidRPr="00D42BD8">
        <w:rPr>
          <w:rFonts w:ascii="Palatino Linotype" w:eastAsia="Palatino Linotype" w:hAnsi="Palatino Linotype" w:cs="Palatino Linotype"/>
          <w:b/>
        </w:rPr>
        <w:t>EL</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b/>
        </w:rPr>
        <w:t>RECURRENTE</w:t>
      </w:r>
      <w:r w:rsidRPr="00D42BD8">
        <w:rPr>
          <w:rFonts w:ascii="Palatino Linotype" w:eastAsia="Palatino Linotype" w:hAnsi="Palatino Linotype" w:cs="Palatino Linotype"/>
        </w:rPr>
        <w:t xml:space="preserve">, remitió en fecha veintiocho de marzo  el archivo denominado </w:t>
      </w:r>
      <w:r w:rsidRPr="00D42BD8">
        <w:rPr>
          <w:rFonts w:ascii="Palatino Linotype" w:eastAsia="Palatino Linotype" w:hAnsi="Palatino Linotype" w:cs="Palatino Linotype"/>
          <w:i/>
        </w:rPr>
        <w:t xml:space="preserve">FOTOS OBRA CTRANSFERENCIA.docx </w:t>
      </w:r>
      <w:r w:rsidRPr="00D42BD8">
        <w:rPr>
          <w:rFonts w:ascii="Palatino Linotype" w:eastAsia="Palatino Linotype" w:hAnsi="Palatino Linotype" w:cs="Palatino Linotype"/>
        </w:rPr>
        <w:t xml:space="preserve">del cual se advierten dos publicaciones del gobierno de Ixtlahuaca referentes a la obra señalada en la solicitud de información pública, así también adjunto el enlace electrónico  </w:t>
      </w:r>
      <w:hyperlink r:id="rId25">
        <w:r w:rsidRPr="00D42BD8">
          <w:rPr>
            <w:rFonts w:ascii="Palatino Linotype" w:eastAsia="Palatino Linotype" w:hAnsi="Palatino Linotype" w:cs="Palatino Linotype"/>
            <w:i/>
            <w:color w:val="1155CC"/>
            <w:u w:val="single"/>
          </w:rPr>
          <w:t>https://www.facebook.com/gobiernodeixtlahuaca/photos/pcb.1249529882124037/1249529812124044/</w:t>
        </w:r>
      </w:hyperlink>
      <w:r w:rsidRPr="00D42BD8">
        <w:rPr>
          <w:rFonts w:ascii="Palatino Linotype" w:eastAsia="Palatino Linotype" w:hAnsi="Palatino Linotype" w:cs="Palatino Linotype"/>
          <w:i/>
        </w:rPr>
        <w:t xml:space="preserve"> </w:t>
      </w:r>
      <w:r w:rsidRPr="00D42BD8">
        <w:rPr>
          <w:rFonts w:ascii="Palatino Linotype" w:eastAsia="Palatino Linotype" w:hAnsi="Palatino Linotype" w:cs="Palatino Linotype"/>
        </w:rPr>
        <w:t xml:space="preserve">el cual una vez consultado contiene la publicación remitida en el archivo electrónico antes descrito. Se inserta una imagen a continuación para mayor referencia  </w:t>
      </w:r>
    </w:p>
    <w:p w14:paraId="781973E2" w14:textId="77777777" w:rsidR="008F45A0" w:rsidRPr="00D42BD8" w:rsidRDefault="00D435A4">
      <w:pPr>
        <w:widowControl w:val="0"/>
        <w:tabs>
          <w:tab w:val="left" w:pos="0"/>
        </w:tabs>
        <w:spacing w:line="360" w:lineRule="auto"/>
        <w:jc w:val="center"/>
        <w:rPr>
          <w:rFonts w:ascii="Palatino Linotype" w:eastAsia="Palatino Linotype" w:hAnsi="Palatino Linotype" w:cs="Palatino Linotype"/>
        </w:rPr>
      </w:pPr>
      <w:r w:rsidRPr="00D42BD8">
        <w:rPr>
          <w:rFonts w:ascii="Palatino Linotype" w:eastAsia="Palatino Linotype" w:hAnsi="Palatino Linotype" w:cs="Palatino Linotype"/>
          <w:noProof/>
        </w:rPr>
        <w:lastRenderedPageBreak/>
        <w:drawing>
          <wp:inline distT="114300" distB="114300" distL="114300" distR="114300" wp14:anchorId="2ECEA7D6" wp14:editId="49098679">
            <wp:extent cx="4133850" cy="2781346"/>
            <wp:effectExtent l="0" t="0" r="0" b="0"/>
            <wp:docPr id="2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29295"/>
                    <a:stretch>
                      <a:fillRect/>
                    </a:stretch>
                  </pic:blipFill>
                  <pic:spPr>
                    <a:xfrm>
                      <a:off x="0" y="0"/>
                      <a:ext cx="4133850" cy="2781346"/>
                    </a:xfrm>
                    <a:prstGeom prst="rect">
                      <a:avLst/>
                    </a:prstGeom>
                    <a:ln/>
                  </pic:spPr>
                </pic:pic>
              </a:graphicData>
            </a:graphic>
          </wp:inline>
        </w:drawing>
      </w:r>
    </w:p>
    <w:p w14:paraId="037FA60F" w14:textId="77777777" w:rsidR="008F45A0" w:rsidRPr="00D42BD8" w:rsidRDefault="008F45A0">
      <w:pPr>
        <w:widowControl w:val="0"/>
        <w:tabs>
          <w:tab w:val="left" w:pos="0"/>
        </w:tabs>
        <w:spacing w:line="360" w:lineRule="auto"/>
        <w:jc w:val="both"/>
        <w:rPr>
          <w:rFonts w:ascii="Palatino Linotype" w:eastAsia="Palatino Linotype" w:hAnsi="Palatino Linotype" w:cs="Palatino Linotype"/>
          <w:i/>
        </w:rPr>
      </w:pPr>
    </w:p>
    <w:p w14:paraId="531231CA"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su parte,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remitió en fecha diez de marzo el archivo  denominado </w:t>
      </w:r>
      <w:r w:rsidRPr="00D42BD8">
        <w:rPr>
          <w:rFonts w:ascii="Palatino Linotype" w:eastAsia="Palatino Linotype" w:hAnsi="Palatino Linotype" w:cs="Palatino Linotype"/>
          <w:i/>
        </w:rPr>
        <w:t xml:space="preserve">INFORME JUSTIFICADO SOL 50 RR.pdf </w:t>
      </w:r>
      <w:r w:rsidRPr="00D42BD8">
        <w:rPr>
          <w:rFonts w:ascii="Palatino Linotype" w:eastAsia="Palatino Linotype" w:hAnsi="Palatino Linotype" w:cs="Palatino Linotype"/>
        </w:rPr>
        <w:t>el cual fue puesto a disposición de la particular en fecha ocho de abril de la anualidad y mediante el cual ratifica la reserva y además señala sobre el Centro de Transferencia de Residuos Sólidos lo siguiente:</w:t>
      </w:r>
    </w:p>
    <w:p w14:paraId="7C0CEFE4" w14:textId="77777777" w:rsidR="008F45A0" w:rsidRPr="00D42BD8" w:rsidRDefault="008F45A0">
      <w:pPr>
        <w:widowControl w:val="0"/>
        <w:tabs>
          <w:tab w:val="left" w:pos="0"/>
        </w:tabs>
        <w:spacing w:line="360" w:lineRule="auto"/>
        <w:jc w:val="both"/>
        <w:rPr>
          <w:rFonts w:ascii="Palatino Linotype" w:eastAsia="Palatino Linotype" w:hAnsi="Palatino Linotype" w:cs="Palatino Linotype"/>
        </w:rPr>
      </w:pPr>
    </w:p>
    <w:p w14:paraId="175BF20B"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medio de la Directora de Medio Ambiente y Cuidado de Recursos Naturales indicó que:  </w:t>
      </w:r>
    </w:p>
    <w:p w14:paraId="3D615F58" w14:textId="77777777" w:rsidR="008F45A0" w:rsidRPr="00D42BD8" w:rsidRDefault="00D435A4">
      <w:pPr>
        <w:widowControl w:val="0"/>
        <w:numPr>
          <w:ilvl w:val="0"/>
          <w:numId w:val="1"/>
        </w:numPr>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El Centro de Transferencia de Residuos Sólidos de Ixtlahuaca consistirá en una instalación para que los vehículos encargados de recolección de  residuos sólidos puedan transferirlos a un vehículo con mayor capacidad para ser llevados al sitio de disposición final. </w:t>
      </w:r>
    </w:p>
    <w:p w14:paraId="5B939A85" w14:textId="77777777" w:rsidR="008F45A0" w:rsidRPr="00D42BD8" w:rsidRDefault="00D435A4">
      <w:pPr>
        <w:widowControl w:val="0"/>
        <w:numPr>
          <w:ilvl w:val="0"/>
          <w:numId w:val="1"/>
        </w:numPr>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lastRenderedPageBreak/>
        <w:t xml:space="preserve">Que el uso de suelo corresponde a la Unidad de Gestión Ambiental 19, Cabecera Municipal, uso de suelo predominante: Asentamientos Humanos y uso de suelo compatible Infraestructura de servicios. </w:t>
      </w:r>
    </w:p>
    <w:p w14:paraId="489BBB34" w14:textId="77777777" w:rsidR="008F45A0" w:rsidRPr="00D42BD8" w:rsidRDefault="00D435A4">
      <w:pPr>
        <w:widowControl w:val="0"/>
        <w:numPr>
          <w:ilvl w:val="0"/>
          <w:numId w:val="1"/>
        </w:numPr>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Correspondiente a los impactos ambientales y las afectaciones a predios colindantes señaló que se implementarán medidas de prevención y mitigación dando seis medidas a manera de ejemplo. </w:t>
      </w:r>
    </w:p>
    <w:p w14:paraId="1969A065"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Sobre lo señalado anteriormente se inserta captura de pantalla para mayor referencia: </w:t>
      </w:r>
    </w:p>
    <w:p w14:paraId="043B08C1"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0D789F9C" wp14:editId="678FDA5E">
            <wp:extent cx="5690625" cy="3500483"/>
            <wp:effectExtent l="0" t="0" r="0" b="0"/>
            <wp:docPr id="2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19221"/>
                    <a:stretch>
                      <a:fillRect/>
                    </a:stretch>
                  </pic:blipFill>
                  <pic:spPr>
                    <a:xfrm>
                      <a:off x="0" y="0"/>
                      <a:ext cx="5690625" cy="3500483"/>
                    </a:xfrm>
                    <a:prstGeom prst="rect">
                      <a:avLst/>
                    </a:prstGeom>
                    <a:ln/>
                  </pic:spPr>
                </pic:pic>
              </a:graphicData>
            </a:graphic>
          </wp:inline>
        </w:drawing>
      </w:r>
    </w:p>
    <w:p w14:paraId="67CB8138"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14B938EB" wp14:editId="20C95103">
            <wp:extent cx="5791200" cy="761954"/>
            <wp:effectExtent l="0" t="0" r="0" b="0"/>
            <wp:docPr id="2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82722"/>
                    <a:stretch>
                      <a:fillRect/>
                    </a:stretch>
                  </pic:blipFill>
                  <pic:spPr>
                    <a:xfrm>
                      <a:off x="0" y="0"/>
                      <a:ext cx="5791200" cy="761954"/>
                    </a:xfrm>
                    <a:prstGeom prst="rect">
                      <a:avLst/>
                    </a:prstGeom>
                    <a:ln/>
                  </pic:spPr>
                </pic:pic>
              </a:graphicData>
            </a:graphic>
          </wp:inline>
        </w:drawing>
      </w:r>
    </w:p>
    <w:p w14:paraId="05292886"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lastRenderedPageBreak/>
        <w:drawing>
          <wp:inline distT="114300" distB="114300" distL="114300" distR="114300" wp14:anchorId="6635980F" wp14:editId="31176B97">
            <wp:extent cx="5791200" cy="2083993"/>
            <wp:effectExtent l="0" t="0" r="0" b="0"/>
            <wp:docPr id="2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50722"/>
                    <a:stretch>
                      <a:fillRect/>
                    </a:stretch>
                  </pic:blipFill>
                  <pic:spPr>
                    <a:xfrm>
                      <a:off x="0" y="0"/>
                      <a:ext cx="5791200" cy="2083993"/>
                    </a:xfrm>
                    <a:prstGeom prst="rect">
                      <a:avLst/>
                    </a:prstGeom>
                    <a:ln/>
                  </pic:spPr>
                </pic:pic>
              </a:graphicData>
            </a:graphic>
          </wp:inline>
        </w:drawing>
      </w:r>
    </w:p>
    <w:p w14:paraId="170454BB" w14:textId="77777777" w:rsidR="008F45A0" w:rsidRPr="00D42BD8" w:rsidRDefault="00D435A4">
      <w:pPr>
        <w:widowControl w:val="0"/>
        <w:tabs>
          <w:tab w:val="left" w:pos="0"/>
        </w:tabs>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6A874829" wp14:editId="62E83199">
            <wp:extent cx="5791200" cy="2126057"/>
            <wp:effectExtent l="0" t="0" r="0" b="0"/>
            <wp:docPr id="2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49727"/>
                    <a:stretch>
                      <a:fillRect/>
                    </a:stretch>
                  </pic:blipFill>
                  <pic:spPr>
                    <a:xfrm>
                      <a:off x="0" y="0"/>
                      <a:ext cx="5791200" cy="2126057"/>
                    </a:xfrm>
                    <a:prstGeom prst="rect">
                      <a:avLst/>
                    </a:prstGeom>
                    <a:ln/>
                  </pic:spPr>
                </pic:pic>
              </a:graphicData>
            </a:graphic>
          </wp:inline>
        </w:drawing>
      </w:r>
    </w:p>
    <w:p w14:paraId="1C333851" w14:textId="77777777" w:rsidR="008F45A0" w:rsidRPr="00D42BD8" w:rsidRDefault="008F45A0">
      <w:pPr>
        <w:widowControl w:val="0"/>
        <w:tabs>
          <w:tab w:val="left" w:pos="0"/>
        </w:tabs>
        <w:spacing w:line="360" w:lineRule="auto"/>
        <w:jc w:val="both"/>
        <w:rPr>
          <w:rFonts w:ascii="Palatino Linotype" w:eastAsia="Palatino Linotype" w:hAnsi="Palatino Linotype" w:cs="Palatino Linotype"/>
        </w:rPr>
      </w:pPr>
    </w:p>
    <w:p w14:paraId="74043F9C" w14:textId="77777777" w:rsidR="008F45A0" w:rsidRPr="00D42BD8" w:rsidRDefault="00D435A4">
      <w:pPr>
        <w:spacing w:line="360" w:lineRule="auto"/>
        <w:jc w:val="both"/>
        <w:rPr>
          <w:rFonts w:ascii="Palatino Linotype" w:eastAsia="Palatino Linotype" w:hAnsi="Palatino Linotype" w:cs="Palatino Linotype"/>
        </w:rPr>
      </w:pPr>
      <w:bookmarkStart w:id="6" w:name="_heading=h.bhboqmi6e0et" w:colFirst="0" w:colLast="0"/>
      <w:bookmarkEnd w:id="6"/>
      <w:r w:rsidRPr="00D42BD8">
        <w:rPr>
          <w:rFonts w:ascii="Palatino Linotype" w:eastAsia="Palatino Linotype" w:hAnsi="Palatino Linotype" w:cs="Palatino Linotype"/>
        </w:rPr>
        <w:t xml:space="preserve">Por su parte, el Director de Infraestructura Municipal del Ayuntamiento manifestó que: </w:t>
      </w:r>
    </w:p>
    <w:p w14:paraId="620928C0" w14:textId="77777777" w:rsidR="008F45A0" w:rsidRPr="00D42BD8" w:rsidRDefault="00D435A4">
      <w:pPr>
        <w:spacing w:line="360" w:lineRule="auto"/>
        <w:jc w:val="both"/>
        <w:rPr>
          <w:rFonts w:ascii="Palatino Linotype" w:eastAsia="Palatino Linotype" w:hAnsi="Palatino Linotype" w:cs="Palatino Linotype"/>
        </w:rPr>
      </w:pPr>
      <w:bookmarkStart w:id="7" w:name="_heading=h.tiqrnqqfmr1w" w:colFirst="0" w:colLast="0"/>
      <w:bookmarkEnd w:id="7"/>
      <w:r w:rsidRPr="00D42BD8">
        <w:rPr>
          <w:rFonts w:ascii="Palatino Linotype" w:eastAsia="Palatino Linotype" w:hAnsi="Palatino Linotype" w:cs="Palatino Linotype"/>
        </w:rPr>
        <w:t xml:space="preserve">El proyecto se ubica en el Barrio San Joaquín La Cabecera, el cual una vez sea autorizado podrá ser ocupado como estación de transferencia de Residuos Sólidos Urbanos. </w:t>
      </w:r>
    </w:p>
    <w:p w14:paraId="146D28F1" w14:textId="77777777" w:rsidR="008F45A0" w:rsidRPr="00D42BD8" w:rsidRDefault="008F45A0">
      <w:pPr>
        <w:spacing w:line="360" w:lineRule="auto"/>
        <w:jc w:val="both"/>
        <w:rPr>
          <w:rFonts w:ascii="Palatino Linotype" w:eastAsia="Palatino Linotype" w:hAnsi="Palatino Linotype" w:cs="Palatino Linotype"/>
        </w:rPr>
      </w:pPr>
    </w:p>
    <w:p w14:paraId="3AC85B33" w14:textId="77777777" w:rsidR="008F45A0" w:rsidRPr="00D42BD8" w:rsidRDefault="00D435A4">
      <w:pPr>
        <w:spacing w:line="360" w:lineRule="auto"/>
        <w:jc w:val="both"/>
        <w:rPr>
          <w:rFonts w:ascii="Palatino Linotype" w:eastAsia="Palatino Linotype" w:hAnsi="Palatino Linotype" w:cs="Palatino Linotype"/>
        </w:rPr>
      </w:pPr>
      <w:bookmarkStart w:id="8" w:name="_heading=h.y29r9sa4d546" w:colFirst="0" w:colLast="0"/>
      <w:bookmarkEnd w:id="8"/>
      <w:r w:rsidRPr="00D42BD8">
        <w:rPr>
          <w:rFonts w:ascii="Palatino Linotype" w:eastAsia="Palatino Linotype" w:hAnsi="Palatino Linotype" w:cs="Palatino Linotype"/>
        </w:rPr>
        <w:t xml:space="preserve">Señala además que el proyecto se encuentra en proceso de revisión y aprobación por las autoridades competentes. Resaltando que en la elaboración del proyecto se están </w:t>
      </w:r>
      <w:r w:rsidRPr="00D42BD8">
        <w:rPr>
          <w:rFonts w:ascii="Palatino Linotype" w:eastAsia="Palatino Linotype" w:hAnsi="Palatino Linotype" w:cs="Palatino Linotype"/>
        </w:rPr>
        <w:lastRenderedPageBreak/>
        <w:t xml:space="preserve">considerando especificaciones ambientales para no permitir la afectación a los predios colindantes mediante la instalación de rampas y plataformas. Y que al tratarse de un proyecto en proceso, es necesaria su aprobación para luego poder realizar la asignación presupuestal. Tal y como se puede apreciar del fragmento que se inserta a continuación: </w:t>
      </w:r>
    </w:p>
    <w:p w14:paraId="335F8F77" w14:textId="77777777" w:rsidR="008F45A0" w:rsidRPr="00D42BD8" w:rsidRDefault="00D435A4">
      <w:pPr>
        <w:spacing w:line="360" w:lineRule="auto"/>
        <w:jc w:val="both"/>
        <w:rPr>
          <w:rFonts w:ascii="Palatino Linotype" w:eastAsia="Palatino Linotype" w:hAnsi="Palatino Linotype" w:cs="Palatino Linotype"/>
        </w:rPr>
      </w:pPr>
      <w:bookmarkStart w:id="9" w:name="_heading=h.vdmgsxx6d2ld" w:colFirst="0" w:colLast="0"/>
      <w:bookmarkEnd w:id="9"/>
      <w:r w:rsidRPr="00D42BD8">
        <w:rPr>
          <w:rFonts w:ascii="Palatino Linotype" w:eastAsia="Palatino Linotype" w:hAnsi="Palatino Linotype" w:cs="Palatino Linotype"/>
          <w:noProof/>
        </w:rPr>
        <w:drawing>
          <wp:inline distT="114300" distB="114300" distL="114300" distR="114300" wp14:anchorId="00C39938" wp14:editId="6AD9BCA1">
            <wp:extent cx="5791835" cy="3429000"/>
            <wp:effectExtent l="0" t="0" r="0" b="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791835" cy="3429000"/>
                    </a:xfrm>
                    <a:prstGeom prst="rect">
                      <a:avLst/>
                    </a:prstGeom>
                    <a:ln/>
                  </pic:spPr>
                </pic:pic>
              </a:graphicData>
            </a:graphic>
          </wp:inline>
        </w:drawing>
      </w:r>
      <w:r w:rsidRPr="00D42BD8">
        <w:rPr>
          <w:rFonts w:ascii="Palatino Linotype" w:eastAsia="Palatino Linotype" w:hAnsi="Palatino Linotype" w:cs="Palatino Linotype"/>
        </w:rPr>
        <w:t xml:space="preserve"> </w:t>
      </w:r>
    </w:p>
    <w:p w14:paraId="740F9D32" w14:textId="77777777" w:rsidR="008F45A0" w:rsidRPr="00D42BD8" w:rsidRDefault="008F45A0">
      <w:pPr>
        <w:ind w:left="850" w:right="899"/>
        <w:jc w:val="both"/>
        <w:rPr>
          <w:rFonts w:ascii="Palatino Linotype" w:eastAsia="Palatino Linotype" w:hAnsi="Palatino Linotype" w:cs="Palatino Linotype"/>
        </w:rPr>
      </w:pPr>
    </w:p>
    <w:p w14:paraId="160E869F" w14:textId="77777777" w:rsidR="008F45A0" w:rsidRPr="00D42BD8" w:rsidRDefault="008F45A0">
      <w:pPr>
        <w:spacing w:line="360" w:lineRule="auto"/>
        <w:jc w:val="both"/>
        <w:rPr>
          <w:rFonts w:ascii="Palatino Linotype" w:eastAsia="Palatino Linotype" w:hAnsi="Palatino Linotype" w:cs="Palatino Linotype"/>
        </w:rPr>
      </w:pPr>
      <w:bookmarkStart w:id="10" w:name="_heading=h.tm3hujotpum9" w:colFirst="0" w:colLast="0"/>
      <w:bookmarkEnd w:id="10"/>
    </w:p>
    <w:p w14:paraId="464F3430" w14:textId="77777777" w:rsidR="008F45A0" w:rsidRPr="00D42BD8" w:rsidRDefault="00D435A4">
      <w:pPr>
        <w:spacing w:line="360" w:lineRule="auto"/>
        <w:jc w:val="both"/>
        <w:rPr>
          <w:rFonts w:ascii="Palatino Linotype" w:eastAsia="Palatino Linotype" w:hAnsi="Palatino Linotype" w:cs="Palatino Linotype"/>
        </w:rPr>
      </w:pPr>
      <w:bookmarkStart w:id="11" w:name="_heading=h.z95nl0hdiskh" w:colFirst="0" w:colLast="0"/>
      <w:bookmarkEnd w:id="11"/>
      <w:r w:rsidRPr="00D42BD8">
        <w:rPr>
          <w:rFonts w:ascii="Palatino Linotype" w:eastAsia="Palatino Linotype" w:hAnsi="Palatino Linotype" w:cs="Palatino Linotype"/>
        </w:rPr>
        <w:t>Así pues, se advierte que con la información remitida por ambos servidores públicos habilitados mediante el Informe Justificado se puede colmar una parte de la solicitud del particular.</w:t>
      </w:r>
    </w:p>
    <w:p w14:paraId="6791F8A4" w14:textId="77777777" w:rsidR="008F45A0" w:rsidRPr="00D42BD8" w:rsidRDefault="008F45A0">
      <w:pPr>
        <w:spacing w:line="360" w:lineRule="auto"/>
        <w:jc w:val="both"/>
        <w:rPr>
          <w:rFonts w:ascii="Palatino Linotype" w:eastAsia="Palatino Linotype" w:hAnsi="Palatino Linotype" w:cs="Palatino Linotype"/>
        </w:rPr>
      </w:pPr>
      <w:bookmarkStart w:id="12" w:name="_heading=h.6ihjptins0tk" w:colFirst="0" w:colLast="0"/>
      <w:bookmarkEnd w:id="12"/>
    </w:p>
    <w:p w14:paraId="65FC984C" w14:textId="77777777" w:rsidR="008F45A0" w:rsidRPr="00D42BD8" w:rsidRDefault="00D435A4">
      <w:pPr>
        <w:spacing w:line="360" w:lineRule="auto"/>
        <w:jc w:val="both"/>
        <w:rPr>
          <w:rFonts w:ascii="Palatino Linotype" w:eastAsia="Palatino Linotype" w:hAnsi="Palatino Linotype" w:cs="Palatino Linotype"/>
        </w:rPr>
      </w:pPr>
      <w:bookmarkStart w:id="13" w:name="_heading=h.yw3s1w53855d" w:colFirst="0" w:colLast="0"/>
      <w:bookmarkEnd w:id="13"/>
      <w:r w:rsidRPr="00D42BD8">
        <w:rPr>
          <w:rFonts w:ascii="Palatino Linotype" w:eastAsia="Palatino Linotype" w:hAnsi="Palatino Linotype" w:cs="Palatino Linotype"/>
          <w:i/>
          <w:sz w:val="22"/>
          <w:szCs w:val="22"/>
        </w:rPr>
        <w:lastRenderedPageBreak/>
        <w:t xml:space="preserve">“Información sobre el Centro de Transferencia de Residuos Sólidos en Ixtlahuaca, proyecto, ubicación, impacto ambiental, afectación a los predios colindantes, uso de suelo del predio donde se pretende ubicar, empresa destinada a realizarlo, avance de obra, forma de adquirir el predio, monto destinado para la obra, acta de Asamblea del Ejido al que pertenece el predio.” </w:t>
      </w:r>
      <w:r w:rsidRPr="00D42BD8">
        <w:rPr>
          <w:rFonts w:ascii="Palatino Linotype" w:eastAsia="Palatino Linotype" w:hAnsi="Palatino Linotype" w:cs="Palatino Linotype"/>
        </w:rPr>
        <w:t xml:space="preserve"> </w:t>
      </w:r>
    </w:p>
    <w:p w14:paraId="266B8AF4" w14:textId="77777777" w:rsidR="008F45A0" w:rsidRPr="00D42BD8" w:rsidRDefault="008F45A0">
      <w:pPr>
        <w:spacing w:line="360" w:lineRule="auto"/>
        <w:jc w:val="both"/>
        <w:rPr>
          <w:rFonts w:ascii="Palatino Linotype" w:eastAsia="Palatino Linotype" w:hAnsi="Palatino Linotype" w:cs="Palatino Linotype"/>
        </w:rPr>
      </w:pPr>
      <w:bookmarkStart w:id="14" w:name="_heading=h.j1lwfar6ajl0" w:colFirst="0" w:colLast="0"/>
      <w:bookmarkEnd w:id="14"/>
    </w:p>
    <w:tbl>
      <w:tblPr>
        <w:tblStyle w:val="afffb"/>
        <w:tblW w:w="9105"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5670"/>
        <w:gridCol w:w="1485"/>
      </w:tblGrid>
      <w:tr w:rsidR="008F45A0" w:rsidRPr="00D42BD8" w14:paraId="5881E97C" w14:textId="77777777">
        <w:tc>
          <w:tcPr>
            <w:tcW w:w="1950" w:type="dxa"/>
            <w:shd w:val="clear" w:color="auto" w:fill="auto"/>
            <w:tcMar>
              <w:top w:w="100" w:type="dxa"/>
              <w:left w:w="100" w:type="dxa"/>
              <w:bottom w:w="100" w:type="dxa"/>
              <w:right w:w="100" w:type="dxa"/>
            </w:tcMar>
          </w:tcPr>
          <w:p w14:paraId="06BE8956"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b/>
              </w:rPr>
            </w:pPr>
            <w:r w:rsidRPr="00D42BD8">
              <w:rPr>
                <w:rFonts w:ascii="Palatino Linotype" w:eastAsia="Palatino Linotype" w:hAnsi="Palatino Linotype" w:cs="Palatino Linotype"/>
                <w:b/>
              </w:rPr>
              <w:t xml:space="preserve">Solicitud </w:t>
            </w:r>
          </w:p>
        </w:tc>
        <w:tc>
          <w:tcPr>
            <w:tcW w:w="5670" w:type="dxa"/>
            <w:shd w:val="clear" w:color="auto" w:fill="auto"/>
            <w:tcMar>
              <w:top w:w="100" w:type="dxa"/>
              <w:left w:w="100" w:type="dxa"/>
              <w:bottom w:w="100" w:type="dxa"/>
              <w:right w:w="100" w:type="dxa"/>
            </w:tcMar>
          </w:tcPr>
          <w:p w14:paraId="56A761C9"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b/>
              </w:rPr>
            </w:pPr>
            <w:r w:rsidRPr="00D42BD8">
              <w:rPr>
                <w:rFonts w:ascii="Palatino Linotype" w:eastAsia="Palatino Linotype" w:hAnsi="Palatino Linotype" w:cs="Palatino Linotype"/>
                <w:b/>
              </w:rPr>
              <w:t xml:space="preserve">Informe Justificado </w:t>
            </w:r>
          </w:p>
        </w:tc>
        <w:tc>
          <w:tcPr>
            <w:tcW w:w="1485" w:type="dxa"/>
            <w:shd w:val="clear" w:color="auto" w:fill="auto"/>
            <w:tcMar>
              <w:top w:w="100" w:type="dxa"/>
              <w:left w:w="100" w:type="dxa"/>
              <w:bottom w:w="100" w:type="dxa"/>
              <w:right w:w="100" w:type="dxa"/>
            </w:tcMar>
          </w:tcPr>
          <w:p w14:paraId="6E5F490A"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b/>
              </w:rPr>
            </w:pPr>
            <w:r w:rsidRPr="00D42BD8">
              <w:rPr>
                <w:rFonts w:ascii="Palatino Linotype" w:eastAsia="Palatino Linotype" w:hAnsi="Palatino Linotype" w:cs="Palatino Linotype"/>
                <w:b/>
              </w:rPr>
              <w:t>Colma</w:t>
            </w:r>
          </w:p>
        </w:tc>
      </w:tr>
      <w:tr w:rsidR="008F45A0" w:rsidRPr="00D42BD8" w14:paraId="3C2FE102" w14:textId="77777777">
        <w:tc>
          <w:tcPr>
            <w:tcW w:w="1950" w:type="dxa"/>
            <w:shd w:val="clear" w:color="auto" w:fill="auto"/>
            <w:tcMar>
              <w:top w:w="100" w:type="dxa"/>
              <w:left w:w="100" w:type="dxa"/>
              <w:bottom w:w="100" w:type="dxa"/>
              <w:right w:w="100" w:type="dxa"/>
            </w:tcMar>
          </w:tcPr>
          <w:p w14:paraId="0AE726C5"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Información sobre el proyecto </w:t>
            </w:r>
          </w:p>
        </w:tc>
        <w:tc>
          <w:tcPr>
            <w:tcW w:w="5670" w:type="dxa"/>
            <w:shd w:val="clear" w:color="auto" w:fill="auto"/>
            <w:tcMar>
              <w:top w:w="100" w:type="dxa"/>
              <w:left w:w="100" w:type="dxa"/>
              <w:bottom w:w="100" w:type="dxa"/>
              <w:right w:w="100" w:type="dxa"/>
            </w:tcMar>
          </w:tcPr>
          <w:p w14:paraId="60C71C8B"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3E264AAD" wp14:editId="5E0B9A4D">
                  <wp:extent cx="3305175" cy="1110927"/>
                  <wp:effectExtent l="0" t="0" r="0" b="0"/>
                  <wp:docPr id="2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305175" cy="1110927"/>
                          </a:xfrm>
                          <a:prstGeom prst="rect">
                            <a:avLst/>
                          </a:prstGeom>
                          <a:ln/>
                        </pic:spPr>
                      </pic:pic>
                    </a:graphicData>
                  </a:graphic>
                </wp:inline>
              </w:drawing>
            </w:r>
          </w:p>
          <w:p w14:paraId="519EFD8D" w14:textId="77777777" w:rsidR="008F45A0" w:rsidRPr="00D42BD8" w:rsidRDefault="008F45A0">
            <w:pPr>
              <w:widowControl w:val="0"/>
              <w:pBdr>
                <w:top w:val="nil"/>
                <w:left w:val="nil"/>
                <w:bottom w:val="nil"/>
                <w:right w:val="nil"/>
                <w:between w:val="nil"/>
              </w:pBdr>
              <w:rPr>
                <w:rFonts w:ascii="Palatino Linotype" w:eastAsia="Palatino Linotype" w:hAnsi="Palatino Linotype" w:cs="Palatino Linotype"/>
              </w:rPr>
            </w:pPr>
          </w:p>
        </w:tc>
        <w:tc>
          <w:tcPr>
            <w:tcW w:w="1485" w:type="dxa"/>
            <w:shd w:val="clear" w:color="auto" w:fill="auto"/>
            <w:tcMar>
              <w:top w:w="100" w:type="dxa"/>
              <w:left w:w="100" w:type="dxa"/>
              <w:bottom w:w="100" w:type="dxa"/>
              <w:right w:w="100" w:type="dxa"/>
            </w:tcMar>
          </w:tcPr>
          <w:p w14:paraId="5B71EA21"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w:t>
            </w:r>
          </w:p>
        </w:tc>
      </w:tr>
      <w:tr w:rsidR="008F45A0" w:rsidRPr="00D42BD8" w14:paraId="2483033E" w14:textId="77777777">
        <w:tc>
          <w:tcPr>
            <w:tcW w:w="1950" w:type="dxa"/>
            <w:shd w:val="clear" w:color="auto" w:fill="auto"/>
            <w:tcMar>
              <w:top w:w="100" w:type="dxa"/>
              <w:left w:w="100" w:type="dxa"/>
              <w:bottom w:w="100" w:type="dxa"/>
              <w:right w:w="100" w:type="dxa"/>
            </w:tcMar>
          </w:tcPr>
          <w:p w14:paraId="13D7EE95"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Ubicación </w:t>
            </w:r>
          </w:p>
        </w:tc>
        <w:tc>
          <w:tcPr>
            <w:tcW w:w="5670" w:type="dxa"/>
            <w:shd w:val="clear" w:color="auto" w:fill="auto"/>
            <w:tcMar>
              <w:top w:w="100" w:type="dxa"/>
              <w:left w:w="100" w:type="dxa"/>
              <w:bottom w:w="100" w:type="dxa"/>
              <w:right w:w="100" w:type="dxa"/>
            </w:tcMar>
          </w:tcPr>
          <w:p w14:paraId="5DE89056"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7E2B5270" wp14:editId="5F06840D">
                  <wp:extent cx="3352800" cy="852487"/>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352800" cy="852487"/>
                          </a:xfrm>
                          <a:prstGeom prst="rect">
                            <a:avLst/>
                          </a:prstGeom>
                          <a:ln/>
                        </pic:spPr>
                      </pic:pic>
                    </a:graphicData>
                  </a:graphic>
                </wp:inline>
              </w:drawing>
            </w:r>
          </w:p>
        </w:tc>
        <w:tc>
          <w:tcPr>
            <w:tcW w:w="1485" w:type="dxa"/>
            <w:shd w:val="clear" w:color="auto" w:fill="auto"/>
            <w:tcMar>
              <w:top w:w="100" w:type="dxa"/>
              <w:left w:w="100" w:type="dxa"/>
              <w:bottom w:w="100" w:type="dxa"/>
              <w:right w:w="100" w:type="dxa"/>
            </w:tcMar>
          </w:tcPr>
          <w:p w14:paraId="3DF614A6"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w:t>
            </w:r>
          </w:p>
        </w:tc>
      </w:tr>
      <w:tr w:rsidR="008F45A0" w:rsidRPr="00D42BD8" w14:paraId="355FE2FF" w14:textId="77777777">
        <w:tc>
          <w:tcPr>
            <w:tcW w:w="1950" w:type="dxa"/>
            <w:shd w:val="clear" w:color="auto" w:fill="auto"/>
            <w:tcMar>
              <w:top w:w="100" w:type="dxa"/>
              <w:left w:w="100" w:type="dxa"/>
              <w:bottom w:w="100" w:type="dxa"/>
              <w:right w:w="100" w:type="dxa"/>
            </w:tcMar>
          </w:tcPr>
          <w:p w14:paraId="51201A52"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Impacto ambiental y afectación a los predios colindantes </w:t>
            </w:r>
          </w:p>
        </w:tc>
        <w:tc>
          <w:tcPr>
            <w:tcW w:w="5670" w:type="dxa"/>
            <w:shd w:val="clear" w:color="auto" w:fill="auto"/>
            <w:tcMar>
              <w:top w:w="100" w:type="dxa"/>
              <w:left w:w="100" w:type="dxa"/>
              <w:bottom w:w="100" w:type="dxa"/>
              <w:right w:w="100" w:type="dxa"/>
            </w:tcMar>
          </w:tcPr>
          <w:p w14:paraId="579E897D"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1804E02F" wp14:editId="0E192F6A">
                  <wp:extent cx="3333750" cy="1126731"/>
                  <wp:effectExtent l="0" t="0" r="0" b="0"/>
                  <wp:docPr id="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333750" cy="1126731"/>
                          </a:xfrm>
                          <a:prstGeom prst="rect">
                            <a:avLst/>
                          </a:prstGeom>
                          <a:ln/>
                        </pic:spPr>
                      </pic:pic>
                    </a:graphicData>
                  </a:graphic>
                </wp:inline>
              </w:drawing>
            </w:r>
          </w:p>
        </w:tc>
        <w:tc>
          <w:tcPr>
            <w:tcW w:w="1485" w:type="dxa"/>
            <w:shd w:val="clear" w:color="auto" w:fill="auto"/>
            <w:tcMar>
              <w:top w:w="100" w:type="dxa"/>
              <w:left w:w="100" w:type="dxa"/>
              <w:bottom w:w="100" w:type="dxa"/>
              <w:right w:w="100" w:type="dxa"/>
            </w:tcMar>
          </w:tcPr>
          <w:p w14:paraId="780D681C"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w:t>
            </w:r>
          </w:p>
        </w:tc>
      </w:tr>
      <w:tr w:rsidR="008F45A0" w:rsidRPr="00D42BD8" w14:paraId="3CB22C26" w14:textId="77777777">
        <w:tc>
          <w:tcPr>
            <w:tcW w:w="1950" w:type="dxa"/>
            <w:shd w:val="clear" w:color="auto" w:fill="auto"/>
            <w:tcMar>
              <w:top w:w="100" w:type="dxa"/>
              <w:left w:w="100" w:type="dxa"/>
              <w:bottom w:w="100" w:type="dxa"/>
              <w:right w:w="100" w:type="dxa"/>
            </w:tcMar>
          </w:tcPr>
          <w:p w14:paraId="3A942EF9"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Uso de suelo </w:t>
            </w:r>
          </w:p>
        </w:tc>
        <w:tc>
          <w:tcPr>
            <w:tcW w:w="5670" w:type="dxa"/>
            <w:shd w:val="clear" w:color="auto" w:fill="auto"/>
            <w:tcMar>
              <w:top w:w="100" w:type="dxa"/>
              <w:left w:w="100" w:type="dxa"/>
              <w:bottom w:w="100" w:type="dxa"/>
              <w:right w:w="100" w:type="dxa"/>
            </w:tcMar>
          </w:tcPr>
          <w:p w14:paraId="61DAD43B"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773C9BCB" wp14:editId="6B31B3FA">
                  <wp:extent cx="3228975" cy="1092947"/>
                  <wp:effectExtent l="0" t="0" r="0" b="0"/>
                  <wp:docPr id="2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l="3579"/>
                          <a:stretch>
                            <a:fillRect/>
                          </a:stretch>
                        </pic:blipFill>
                        <pic:spPr>
                          <a:xfrm>
                            <a:off x="0" y="0"/>
                            <a:ext cx="3228975" cy="1092947"/>
                          </a:xfrm>
                          <a:prstGeom prst="rect">
                            <a:avLst/>
                          </a:prstGeom>
                          <a:ln/>
                        </pic:spPr>
                      </pic:pic>
                    </a:graphicData>
                  </a:graphic>
                </wp:inline>
              </w:drawing>
            </w:r>
          </w:p>
        </w:tc>
        <w:tc>
          <w:tcPr>
            <w:tcW w:w="1485" w:type="dxa"/>
            <w:shd w:val="clear" w:color="auto" w:fill="auto"/>
            <w:tcMar>
              <w:top w:w="100" w:type="dxa"/>
              <w:left w:w="100" w:type="dxa"/>
              <w:bottom w:w="100" w:type="dxa"/>
              <w:right w:w="100" w:type="dxa"/>
            </w:tcMar>
          </w:tcPr>
          <w:p w14:paraId="230CCA1B"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w:t>
            </w:r>
          </w:p>
        </w:tc>
      </w:tr>
      <w:tr w:rsidR="008F45A0" w:rsidRPr="00D42BD8" w14:paraId="3FDFD6CD" w14:textId="77777777">
        <w:tc>
          <w:tcPr>
            <w:tcW w:w="1950" w:type="dxa"/>
            <w:shd w:val="clear" w:color="auto" w:fill="auto"/>
            <w:tcMar>
              <w:top w:w="100" w:type="dxa"/>
              <w:left w:w="100" w:type="dxa"/>
              <w:bottom w:w="100" w:type="dxa"/>
              <w:right w:w="100" w:type="dxa"/>
            </w:tcMar>
          </w:tcPr>
          <w:p w14:paraId="1A548C71"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lastRenderedPageBreak/>
              <w:t xml:space="preserve">Empresa destinada a realizarlo </w:t>
            </w:r>
          </w:p>
        </w:tc>
        <w:tc>
          <w:tcPr>
            <w:tcW w:w="5670" w:type="dxa"/>
            <w:shd w:val="clear" w:color="auto" w:fill="auto"/>
            <w:tcMar>
              <w:top w:w="100" w:type="dxa"/>
              <w:left w:w="100" w:type="dxa"/>
              <w:bottom w:w="100" w:type="dxa"/>
              <w:right w:w="100" w:type="dxa"/>
            </w:tcMar>
          </w:tcPr>
          <w:p w14:paraId="389C8E56"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Señala que al ser un proyecto en proceso aún no se ha llevado a cabo la asignación presupuestal </w:t>
            </w:r>
            <w:r w:rsidRPr="00D42BD8">
              <w:rPr>
                <w:rFonts w:ascii="Palatino Linotype" w:eastAsia="Palatino Linotype" w:hAnsi="Palatino Linotype" w:cs="Palatino Linotype"/>
                <w:noProof/>
              </w:rPr>
              <w:drawing>
                <wp:inline distT="114300" distB="114300" distL="114300" distR="114300" wp14:anchorId="6CD27A20" wp14:editId="61A404A6">
                  <wp:extent cx="3352800" cy="381000"/>
                  <wp:effectExtent l="0" t="0" r="0" b="0"/>
                  <wp:docPr id="2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352800" cy="381000"/>
                          </a:xfrm>
                          <a:prstGeom prst="rect">
                            <a:avLst/>
                          </a:prstGeom>
                          <a:ln/>
                        </pic:spPr>
                      </pic:pic>
                    </a:graphicData>
                  </a:graphic>
                </wp:inline>
              </w:drawing>
            </w:r>
          </w:p>
        </w:tc>
        <w:tc>
          <w:tcPr>
            <w:tcW w:w="1485" w:type="dxa"/>
            <w:shd w:val="clear" w:color="auto" w:fill="auto"/>
            <w:tcMar>
              <w:top w:w="100" w:type="dxa"/>
              <w:left w:w="100" w:type="dxa"/>
              <w:bottom w:w="100" w:type="dxa"/>
              <w:right w:w="100" w:type="dxa"/>
            </w:tcMar>
          </w:tcPr>
          <w:p w14:paraId="690D576D"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w:t>
            </w:r>
          </w:p>
        </w:tc>
      </w:tr>
      <w:tr w:rsidR="008F45A0" w:rsidRPr="00D42BD8" w14:paraId="0A3DD543" w14:textId="77777777">
        <w:tc>
          <w:tcPr>
            <w:tcW w:w="1950" w:type="dxa"/>
            <w:shd w:val="clear" w:color="auto" w:fill="auto"/>
            <w:tcMar>
              <w:top w:w="100" w:type="dxa"/>
              <w:left w:w="100" w:type="dxa"/>
              <w:bottom w:w="100" w:type="dxa"/>
              <w:right w:w="100" w:type="dxa"/>
            </w:tcMar>
          </w:tcPr>
          <w:p w14:paraId="09404706"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Avance de la obra </w:t>
            </w:r>
          </w:p>
        </w:tc>
        <w:tc>
          <w:tcPr>
            <w:tcW w:w="5670" w:type="dxa"/>
            <w:shd w:val="clear" w:color="auto" w:fill="auto"/>
            <w:tcMar>
              <w:top w:w="100" w:type="dxa"/>
              <w:left w:w="100" w:type="dxa"/>
              <w:bottom w:w="100" w:type="dxa"/>
              <w:right w:w="100" w:type="dxa"/>
            </w:tcMar>
          </w:tcPr>
          <w:p w14:paraId="01F16EC6"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Indica que a la fecha del 9 de marzo el proyecto se encuentra en proceso de revisión y aprobación. </w:t>
            </w:r>
          </w:p>
          <w:p w14:paraId="2633613F"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noProof/>
              </w:rPr>
              <w:drawing>
                <wp:inline distT="114300" distB="114300" distL="114300" distR="114300" wp14:anchorId="6C534B37" wp14:editId="527960EF">
                  <wp:extent cx="3352800" cy="342900"/>
                  <wp:effectExtent l="0" t="0" r="0" b="0"/>
                  <wp:docPr id="2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352800" cy="342900"/>
                          </a:xfrm>
                          <a:prstGeom prst="rect">
                            <a:avLst/>
                          </a:prstGeom>
                          <a:ln/>
                        </pic:spPr>
                      </pic:pic>
                    </a:graphicData>
                  </a:graphic>
                </wp:inline>
              </w:drawing>
            </w:r>
          </w:p>
        </w:tc>
        <w:tc>
          <w:tcPr>
            <w:tcW w:w="1485" w:type="dxa"/>
            <w:shd w:val="clear" w:color="auto" w:fill="auto"/>
            <w:tcMar>
              <w:top w:w="100" w:type="dxa"/>
              <w:left w:w="100" w:type="dxa"/>
              <w:bottom w:w="100" w:type="dxa"/>
              <w:right w:w="100" w:type="dxa"/>
            </w:tcMar>
          </w:tcPr>
          <w:p w14:paraId="1C267406"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w:t>
            </w:r>
          </w:p>
        </w:tc>
      </w:tr>
      <w:tr w:rsidR="008F45A0" w:rsidRPr="00D42BD8" w14:paraId="44F3C9B4" w14:textId="77777777">
        <w:tc>
          <w:tcPr>
            <w:tcW w:w="1950" w:type="dxa"/>
            <w:shd w:val="clear" w:color="auto" w:fill="auto"/>
            <w:tcMar>
              <w:top w:w="100" w:type="dxa"/>
              <w:left w:w="100" w:type="dxa"/>
              <w:bottom w:w="100" w:type="dxa"/>
              <w:right w:w="100" w:type="dxa"/>
            </w:tcMar>
          </w:tcPr>
          <w:p w14:paraId="012B1EF8"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Forma de adquisición del predio </w:t>
            </w:r>
          </w:p>
        </w:tc>
        <w:tc>
          <w:tcPr>
            <w:tcW w:w="5670" w:type="dxa"/>
            <w:shd w:val="clear" w:color="auto" w:fill="auto"/>
            <w:tcMar>
              <w:top w:w="100" w:type="dxa"/>
              <w:left w:w="100" w:type="dxa"/>
              <w:bottom w:w="100" w:type="dxa"/>
              <w:right w:w="100" w:type="dxa"/>
            </w:tcMar>
          </w:tcPr>
          <w:p w14:paraId="6E4FC956"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No se pronuncia </w:t>
            </w:r>
          </w:p>
        </w:tc>
        <w:tc>
          <w:tcPr>
            <w:tcW w:w="1485" w:type="dxa"/>
            <w:shd w:val="clear" w:color="auto" w:fill="auto"/>
            <w:tcMar>
              <w:top w:w="100" w:type="dxa"/>
              <w:left w:w="100" w:type="dxa"/>
              <w:bottom w:w="100" w:type="dxa"/>
              <w:right w:w="100" w:type="dxa"/>
            </w:tcMar>
          </w:tcPr>
          <w:p w14:paraId="05EBDFC2"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Parcialmente </w:t>
            </w:r>
          </w:p>
        </w:tc>
      </w:tr>
      <w:tr w:rsidR="008F45A0" w:rsidRPr="00D42BD8" w14:paraId="3BFDF3BE" w14:textId="77777777">
        <w:tc>
          <w:tcPr>
            <w:tcW w:w="1950" w:type="dxa"/>
            <w:shd w:val="clear" w:color="auto" w:fill="auto"/>
            <w:tcMar>
              <w:top w:w="100" w:type="dxa"/>
              <w:left w:w="100" w:type="dxa"/>
              <w:bottom w:w="100" w:type="dxa"/>
              <w:right w:w="100" w:type="dxa"/>
            </w:tcMar>
          </w:tcPr>
          <w:p w14:paraId="578DC905"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Monto destinado </w:t>
            </w:r>
          </w:p>
        </w:tc>
        <w:tc>
          <w:tcPr>
            <w:tcW w:w="5670" w:type="dxa"/>
            <w:shd w:val="clear" w:color="auto" w:fill="auto"/>
            <w:tcMar>
              <w:top w:w="100" w:type="dxa"/>
              <w:left w:w="100" w:type="dxa"/>
              <w:bottom w:w="100" w:type="dxa"/>
              <w:right w:w="100" w:type="dxa"/>
            </w:tcMar>
          </w:tcPr>
          <w:p w14:paraId="75659B5B"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Señala que al ser un proyecto en proceso aún no se tiene una asignación presupuestal pues esto ocurrirá una vez se encuentre autorizado el proyecto. </w:t>
            </w:r>
            <w:r w:rsidRPr="00D42BD8">
              <w:rPr>
                <w:rFonts w:ascii="Palatino Linotype" w:eastAsia="Palatino Linotype" w:hAnsi="Palatino Linotype" w:cs="Palatino Linotype"/>
                <w:noProof/>
              </w:rPr>
              <w:drawing>
                <wp:inline distT="114300" distB="114300" distL="114300" distR="114300" wp14:anchorId="158896A8" wp14:editId="340858BD">
                  <wp:extent cx="3352800" cy="381000"/>
                  <wp:effectExtent l="0" t="0" r="0" b="0"/>
                  <wp:docPr id="2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352800" cy="381000"/>
                          </a:xfrm>
                          <a:prstGeom prst="rect">
                            <a:avLst/>
                          </a:prstGeom>
                          <a:ln/>
                        </pic:spPr>
                      </pic:pic>
                    </a:graphicData>
                  </a:graphic>
                </wp:inline>
              </w:drawing>
            </w:r>
          </w:p>
        </w:tc>
        <w:tc>
          <w:tcPr>
            <w:tcW w:w="1485" w:type="dxa"/>
            <w:shd w:val="clear" w:color="auto" w:fill="auto"/>
            <w:tcMar>
              <w:top w:w="100" w:type="dxa"/>
              <w:left w:w="100" w:type="dxa"/>
              <w:bottom w:w="100" w:type="dxa"/>
              <w:right w:w="100" w:type="dxa"/>
            </w:tcMar>
          </w:tcPr>
          <w:p w14:paraId="5605EA64"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Sí (Hecho negativo) </w:t>
            </w:r>
          </w:p>
        </w:tc>
      </w:tr>
      <w:tr w:rsidR="008F45A0" w:rsidRPr="00D42BD8" w14:paraId="66A0AE97" w14:textId="77777777">
        <w:tc>
          <w:tcPr>
            <w:tcW w:w="1950" w:type="dxa"/>
            <w:shd w:val="clear" w:color="auto" w:fill="auto"/>
            <w:tcMar>
              <w:top w:w="100" w:type="dxa"/>
              <w:left w:w="100" w:type="dxa"/>
              <w:bottom w:w="100" w:type="dxa"/>
              <w:right w:w="100" w:type="dxa"/>
            </w:tcMar>
          </w:tcPr>
          <w:p w14:paraId="187C8BB4"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 xml:space="preserve">Acta de Asamblea con relación al ejido al que pertenece el predio </w:t>
            </w:r>
          </w:p>
        </w:tc>
        <w:tc>
          <w:tcPr>
            <w:tcW w:w="5670" w:type="dxa"/>
            <w:shd w:val="clear" w:color="auto" w:fill="auto"/>
            <w:tcMar>
              <w:top w:w="100" w:type="dxa"/>
              <w:left w:w="100" w:type="dxa"/>
              <w:bottom w:w="100" w:type="dxa"/>
              <w:right w:w="100" w:type="dxa"/>
            </w:tcMar>
          </w:tcPr>
          <w:p w14:paraId="7D083D65" w14:textId="77777777" w:rsidR="008F45A0" w:rsidRPr="00D42BD8" w:rsidRDefault="00D435A4">
            <w:pPr>
              <w:widowControl w:val="0"/>
              <w:pBdr>
                <w:top w:val="nil"/>
                <w:left w:val="nil"/>
                <w:bottom w:val="nil"/>
                <w:right w:val="nil"/>
                <w:between w:val="nil"/>
              </w:pBdr>
              <w:rPr>
                <w:rFonts w:ascii="Palatino Linotype" w:eastAsia="Palatino Linotype" w:hAnsi="Palatino Linotype" w:cs="Palatino Linotype"/>
              </w:rPr>
            </w:pPr>
            <w:r w:rsidRPr="00D42BD8">
              <w:rPr>
                <w:rFonts w:ascii="Palatino Linotype" w:eastAsia="Palatino Linotype" w:hAnsi="Palatino Linotype" w:cs="Palatino Linotype"/>
              </w:rPr>
              <w:t>No se pronuncia</w:t>
            </w:r>
          </w:p>
        </w:tc>
        <w:tc>
          <w:tcPr>
            <w:tcW w:w="1485" w:type="dxa"/>
            <w:shd w:val="clear" w:color="auto" w:fill="auto"/>
            <w:tcMar>
              <w:top w:w="100" w:type="dxa"/>
              <w:left w:w="100" w:type="dxa"/>
              <w:bottom w:w="100" w:type="dxa"/>
              <w:right w:w="100" w:type="dxa"/>
            </w:tcMar>
          </w:tcPr>
          <w:p w14:paraId="4028570F" w14:textId="77777777" w:rsidR="008F45A0" w:rsidRPr="00D42BD8" w:rsidRDefault="00D435A4">
            <w:pPr>
              <w:widowControl w:val="0"/>
              <w:pBdr>
                <w:top w:val="nil"/>
                <w:left w:val="nil"/>
                <w:bottom w:val="nil"/>
                <w:right w:val="nil"/>
                <w:between w:val="nil"/>
              </w:pBdr>
              <w:jc w:val="center"/>
              <w:rPr>
                <w:rFonts w:ascii="Palatino Linotype" w:eastAsia="Palatino Linotype" w:hAnsi="Palatino Linotype" w:cs="Palatino Linotype"/>
              </w:rPr>
            </w:pPr>
            <w:r w:rsidRPr="00D42BD8">
              <w:rPr>
                <w:rFonts w:ascii="Palatino Linotype" w:eastAsia="Palatino Linotype" w:hAnsi="Palatino Linotype" w:cs="Palatino Linotype"/>
              </w:rPr>
              <w:t xml:space="preserve">Parcialmente </w:t>
            </w:r>
          </w:p>
        </w:tc>
      </w:tr>
    </w:tbl>
    <w:p w14:paraId="3D56D662" w14:textId="77777777" w:rsidR="008F45A0" w:rsidRPr="00D42BD8" w:rsidRDefault="008F45A0">
      <w:pPr>
        <w:spacing w:line="360" w:lineRule="auto"/>
        <w:jc w:val="both"/>
        <w:rPr>
          <w:rFonts w:ascii="Palatino Linotype" w:eastAsia="Palatino Linotype" w:hAnsi="Palatino Linotype" w:cs="Palatino Linotype"/>
        </w:rPr>
      </w:pPr>
      <w:bookmarkStart w:id="15" w:name="_heading=h.f2xdbzyrz7py" w:colFirst="0" w:colLast="0"/>
      <w:bookmarkEnd w:id="15"/>
    </w:p>
    <w:p w14:paraId="476B4D49" w14:textId="77777777" w:rsidR="008F45A0" w:rsidRPr="00D42BD8" w:rsidRDefault="00D435A4">
      <w:pPr>
        <w:spacing w:line="360" w:lineRule="auto"/>
        <w:jc w:val="both"/>
        <w:rPr>
          <w:rFonts w:ascii="Palatino Linotype" w:eastAsia="Palatino Linotype" w:hAnsi="Palatino Linotype" w:cs="Palatino Linotype"/>
        </w:rPr>
      </w:pPr>
      <w:bookmarkStart w:id="16" w:name="_heading=h.5sskd6s7gjxv" w:colFirst="0" w:colLast="0"/>
      <w:bookmarkEnd w:id="16"/>
      <w:r w:rsidRPr="00D42BD8">
        <w:rPr>
          <w:rFonts w:ascii="Palatino Linotype" w:eastAsia="Palatino Linotype" w:hAnsi="Palatino Linotype" w:cs="Palatino Linotype"/>
        </w:rPr>
        <w:t xml:space="preserve">Es así que del contenido del Informe justificado se puede apreciar que el ente recurrido se pronuncia con respecto del proyecto señalando su información general, ubicación, tipo de uso de suelo del predio, el impacto ambiental y la posible afectación a predios colindantes y señala además que, al ser un proyecto que se encuentra en etapa de evaluación, ya que aún no ha sido aprobado, no cuenta con información referente al monto destinado, situación que actualiza un hecho negativo. </w:t>
      </w:r>
    </w:p>
    <w:p w14:paraId="7A80C1A2" w14:textId="77777777" w:rsidR="008F45A0" w:rsidRPr="00D42BD8" w:rsidRDefault="00D435A4">
      <w:pPr>
        <w:spacing w:after="280" w:line="360" w:lineRule="auto"/>
        <w:jc w:val="both"/>
      </w:pPr>
      <w:r w:rsidRPr="00D42BD8">
        <w:rPr>
          <w:rFonts w:ascii="Palatino Linotype" w:eastAsia="Palatino Linotype" w:hAnsi="Palatino Linotype" w:cs="Palatino Linotype"/>
        </w:rPr>
        <w:lastRenderedPageBreak/>
        <w:t xml:space="preserve">Lo que indica que la información solicitada por su naturaleza no puede fácticamente obrar en los archivos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dado que no puede probarse que este no generó dicha información, ni tampoco la posee, ni la administra y no cuenta con la misma.</w:t>
      </w:r>
    </w:p>
    <w:p w14:paraId="38915512" w14:textId="77777777" w:rsidR="008F45A0" w:rsidRPr="00D42BD8" w:rsidRDefault="00D435A4">
      <w:pPr>
        <w:spacing w:before="280" w:after="280" w:line="360" w:lineRule="auto"/>
        <w:jc w:val="both"/>
      </w:pPr>
      <w:r w:rsidRPr="00D42BD8">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3A7958B3" w14:textId="77777777" w:rsidR="008F45A0" w:rsidRPr="00D42BD8" w:rsidRDefault="00D435A4">
      <w:pPr>
        <w:spacing w:before="280" w:after="280" w:line="360" w:lineRule="auto"/>
        <w:jc w:val="both"/>
      </w:pPr>
      <w:r w:rsidRPr="00D42BD8">
        <w:rPr>
          <w:rFonts w:ascii="Palatino Linotype" w:eastAsia="Palatino Linotype" w:hAnsi="Palatino Linotype" w:cs="Palatino Linotype"/>
        </w:rPr>
        <w:t xml:space="preserve">Por ello, de conformidad con lo establecido en el artículo 12 de la Ley de Transparencia y Acceso a la Información Pública del Estado de México y Municipios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5C4C979A" w14:textId="77777777" w:rsidR="008F45A0" w:rsidRPr="00D42BD8" w:rsidRDefault="00D435A4">
      <w:pPr>
        <w:ind w:left="851" w:right="902"/>
        <w:jc w:val="both"/>
        <w:rPr>
          <w:sz w:val="22"/>
          <w:szCs w:val="22"/>
        </w:rPr>
      </w:pPr>
      <w:r w:rsidRPr="00D42BD8">
        <w:rPr>
          <w:rFonts w:ascii="Palatino Linotype" w:eastAsia="Palatino Linotype" w:hAnsi="Palatino Linotype" w:cs="Palatino Linotype"/>
          <w:b/>
          <w:i/>
          <w:sz w:val="22"/>
          <w:szCs w:val="22"/>
        </w:rPr>
        <w:t>“HECHOS NEGATIVOS, NO SON SUSCEPTIBLES DE DEMOSTRACIÓN.</w:t>
      </w:r>
    </w:p>
    <w:p w14:paraId="0160E137" w14:textId="77777777" w:rsidR="008F45A0" w:rsidRPr="00D42BD8" w:rsidRDefault="00D435A4">
      <w:pPr>
        <w:ind w:left="851" w:right="902"/>
        <w:jc w:val="both"/>
        <w:rPr>
          <w:sz w:val="22"/>
          <w:szCs w:val="22"/>
        </w:rPr>
      </w:pPr>
      <w:r w:rsidRPr="00D42BD8">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7CACAE87" w14:textId="77777777" w:rsidR="008F45A0" w:rsidRPr="00D42BD8" w:rsidRDefault="00D435A4">
      <w:pPr>
        <w:ind w:left="851" w:right="902"/>
        <w:jc w:val="both"/>
        <w:rPr>
          <w:sz w:val="22"/>
          <w:szCs w:val="22"/>
        </w:rPr>
      </w:pPr>
      <w:r w:rsidRPr="00D42BD8">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07B0700D" w14:textId="77777777" w:rsidR="008F45A0" w:rsidRPr="00D42BD8" w:rsidRDefault="00D435A4">
      <w:pPr>
        <w:spacing w:before="280" w:after="280" w:line="360" w:lineRule="auto"/>
        <w:jc w:val="both"/>
      </w:pPr>
      <w:r w:rsidRPr="00D42BD8">
        <w:rPr>
          <w:rFonts w:ascii="Palatino Linotype" w:eastAsia="Palatino Linotype" w:hAnsi="Palatino Linotype" w:cs="Palatino Linotype"/>
        </w:rPr>
        <w:lastRenderedPageBreak/>
        <w:t>De igual forma, es aplicable el criterio 7/2017, emitido en la Segunda Época por el Instituto Nacional de Transparencia, Acceso a la Información y Protección de Datos Personales (INAI), el cual señala lo siguiente:</w:t>
      </w:r>
    </w:p>
    <w:p w14:paraId="16C75D3F" w14:textId="77777777" w:rsidR="008F45A0" w:rsidRPr="00D42BD8" w:rsidRDefault="00D435A4">
      <w:pPr>
        <w:ind w:left="851" w:right="902"/>
        <w:jc w:val="both"/>
        <w:rPr>
          <w:sz w:val="22"/>
          <w:szCs w:val="22"/>
        </w:rPr>
      </w:pPr>
      <w:r w:rsidRPr="00D42BD8">
        <w:rPr>
          <w:rFonts w:ascii="Palatino Linotype" w:eastAsia="Palatino Linotype" w:hAnsi="Palatino Linotype" w:cs="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7950E80A" w14:textId="77777777" w:rsidR="008F45A0" w:rsidRPr="00D42BD8" w:rsidRDefault="00D435A4">
      <w:pPr>
        <w:spacing w:before="280" w:after="280" w:line="360" w:lineRule="auto"/>
        <w:jc w:val="both"/>
      </w:pPr>
      <w:r w:rsidRPr="00D42BD8">
        <w:rPr>
          <w:rFonts w:ascii="Palatino Linotype" w:eastAsia="Palatino Linotype" w:hAnsi="Palatino Linotype" w:cs="Palatino Linotype"/>
        </w:rPr>
        <w:t xml:space="preserve">Aunado a ello, no se omite comentar que al haber existido un pronunciamiento por parte del </w:t>
      </w:r>
      <w:r w:rsidRPr="00D42BD8">
        <w:rPr>
          <w:rFonts w:ascii="Palatino Linotype" w:eastAsia="Palatino Linotype" w:hAnsi="Palatino Linotype" w:cs="Palatino Linotype"/>
          <w:b/>
        </w:rPr>
        <w:t xml:space="preserve">SUJETO OBLIGADO </w:t>
      </w:r>
      <w:r w:rsidRPr="00D42BD8">
        <w:rPr>
          <w:rFonts w:ascii="Palatino Linotype" w:eastAsia="Palatino Linotype" w:hAnsi="Palatino Linotype" w:cs="Palatino Linotype"/>
        </w:rPr>
        <w:t>competente,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FE2C3A4" w14:textId="77777777" w:rsidR="008F45A0" w:rsidRPr="00D42BD8" w:rsidRDefault="00D435A4">
      <w:pPr>
        <w:spacing w:before="280" w:after="280" w:line="360" w:lineRule="auto"/>
        <w:jc w:val="both"/>
      </w:pPr>
      <w:r w:rsidRPr="00D42BD8">
        <w:rPr>
          <w:rFonts w:ascii="Palatino Linotype" w:eastAsia="Palatino Linotype" w:hAnsi="Palatino Linotype" w:cs="Palatino Linotype"/>
        </w:rPr>
        <w:t>Sirve de sustento a lo anterior, el criterio 31/10 emitido por el entonces Instituto Federal de Acceso a la Información y Protección de Datos, ahora Instituto Nacional de Acceso a la Información y Protección de Datos,  el cual refiere: </w:t>
      </w:r>
    </w:p>
    <w:p w14:paraId="297835BC" w14:textId="77777777" w:rsidR="008F45A0" w:rsidRPr="00D42BD8" w:rsidRDefault="00D435A4">
      <w:pPr>
        <w:ind w:left="851" w:right="104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lastRenderedPageBreak/>
        <w:t>“El Instituto Federal de Acceso a la Información y Protección de Datos no cuenta con facultades para pronunciarse respecto de la veracidad de los documentos proporcionados por los sujetos obligados</w:t>
      </w:r>
      <w:r w:rsidRPr="00D42BD8">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42BD8">
        <w:rPr>
          <w:rFonts w:ascii="Palatino Linotype" w:eastAsia="Palatino Linotype" w:hAnsi="Palatino Linotype" w:cs="Palatino Linotype"/>
          <w:b/>
          <w:i/>
          <w:sz w:val="22"/>
          <w:szCs w:val="22"/>
        </w:rPr>
        <w:t>”</w:t>
      </w:r>
      <w:r w:rsidRPr="00D42BD8">
        <w:rPr>
          <w:rFonts w:ascii="Palatino Linotype" w:eastAsia="Palatino Linotype" w:hAnsi="Palatino Linotype" w:cs="Palatino Linotype"/>
          <w:i/>
          <w:sz w:val="22"/>
          <w:szCs w:val="22"/>
        </w:rPr>
        <w:t xml:space="preserve"> (Sic)</w:t>
      </w:r>
    </w:p>
    <w:p w14:paraId="03B227E5" w14:textId="77777777" w:rsidR="008F45A0" w:rsidRPr="00D42BD8" w:rsidRDefault="008F45A0">
      <w:pPr>
        <w:ind w:left="851" w:right="1041"/>
        <w:jc w:val="both"/>
        <w:rPr>
          <w:rFonts w:ascii="Palatino Linotype" w:eastAsia="Palatino Linotype" w:hAnsi="Palatino Linotype" w:cs="Palatino Linotype"/>
          <w:i/>
          <w:sz w:val="22"/>
          <w:szCs w:val="22"/>
        </w:rPr>
      </w:pPr>
    </w:p>
    <w:p w14:paraId="64B13150" w14:textId="77777777" w:rsidR="008F45A0" w:rsidRPr="00D42BD8" w:rsidRDefault="00D435A4">
      <w:pPr>
        <w:spacing w:line="360" w:lineRule="auto"/>
        <w:jc w:val="both"/>
        <w:rPr>
          <w:rFonts w:ascii="Palatino Linotype" w:eastAsia="Palatino Linotype" w:hAnsi="Palatino Linotype" w:cs="Palatino Linotype"/>
        </w:rPr>
      </w:pPr>
      <w:bookmarkStart w:id="17" w:name="_heading=h.rfn4r3yaw4k0" w:colFirst="0" w:colLast="0"/>
      <w:bookmarkEnd w:id="17"/>
      <w:r w:rsidRPr="00D42BD8">
        <w:rPr>
          <w:rFonts w:ascii="Palatino Linotype" w:eastAsia="Palatino Linotype" w:hAnsi="Palatino Linotype" w:cs="Palatino Linotype"/>
        </w:rPr>
        <w:t>En lo que respecta a la parte de la solicitud en donde el particular desea conocer la forma en la que fue adquirido el predio y en caso de ser ejido el acta de asamblea respectiva, se observa que</w:t>
      </w:r>
      <w:r w:rsidRPr="00D42BD8">
        <w:rPr>
          <w:rFonts w:ascii="Palatino Linotype" w:eastAsia="Palatino Linotype" w:hAnsi="Palatino Linotype" w:cs="Palatino Linotype"/>
          <w:b/>
        </w:rPr>
        <w:t xml:space="preserve"> EL SUJETO OBLIGADO</w:t>
      </w:r>
      <w:r w:rsidRPr="00D42BD8">
        <w:rPr>
          <w:rFonts w:ascii="Palatino Linotype" w:eastAsia="Palatino Linotype" w:hAnsi="Palatino Linotype" w:cs="Palatino Linotype"/>
        </w:rPr>
        <w:t xml:space="preserve"> no se pronunció de manera específica sobre ninguno de los dos requerimientos </w:t>
      </w:r>
    </w:p>
    <w:p w14:paraId="7CBDC1F2" w14:textId="77777777" w:rsidR="008F45A0" w:rsidRPr="00D42BD8" w:rsidRDefault="008F45A0">
      <w:pPr>
        <w:spacing w:line="360" w:lineRule="auto"/>
        <w:jc w:val="both"/>
        <w:rPr>
          <w:rFonts w:ascii="Palatino Linotype" w:eastAsia="Palatino Linotype" w:hAnsi="Palatino Linotype" w:cs="Palatino Linotype"/>
        </w:rPr>
      </w:pPr>
      <w:bookmarkStart w:id="18" w:name="_heading=h.975jhw972rcz" w:colFirst="0" w:colLast="0"/>
      <w:bookmarkEnd w:id="18"/>
    </w:p>
    <w:p w14:paraId="16C652BC" w14:textId="77777777" w:rsidR="008F45A0" w:rsidRPr="00D42BD8" w:rsidRDefault="00D435A4">
      <w:pPr>
        <w:spacing w:line="360" w:lineRule="auto"/>
        <w:jc w:val="both"/>
        <w:rPr>
          <w:rFonts w:ascii="Palatino Linotype" w:eastAsia="Palatino Linotype" w:hAnsi="Palatino Linotype" w:cs="Palatino Linotype"/>
        </w:rPr>
      </w:pPr>
      <w:bookmarkStart w:id="19" w:name="_heading=h.58z56u24w23" w:colFirst="0" w:colLast="0"/>
      <w:bookmarkEnd w:id="19"/>
      <w:r w:rsidRPr="00D42BD8">
        <w:rPr>
          <w:rFonts w:ascii="Palatino Linotype" w:eastAsia="Palatino Linotype" w:hAnsi="Palatino Linotype" w:cs="Palatino Linotype"/>
        </w:rPr>
        <w:t xml:space="preserve">De forma que si  bien señaló que el proyecto está en proceso de aprobación, nunca refirió si ya cuenta con el predio señalado en respuesta la adquisición del mismo será una vez aprobado el proyecto, en su lugar procedió a la clasificación de la información que integra el expediente del proyecto, clasificación que es improcedente por no haberse acreditado la existencia de un procedimiento administrativo que no haya causado ejecutoria, sino más bien se refiere a un proyecto de infraestructura que se encuentra en etapa de evaluación. </w:t>
      </w:r>
    </w:p>
    <w:p w14:paraId="5160A67A" w14:textId="77777777" w:rsidR="008F45A0" w:rsidRPr="00D42BD8" w:rsidRDefault="008F45A0">
      <w:pPr>
        <w:spacing w:line="360" w:lineRule="auto"/>
        <w:jc w:val="both"/>
        <w:rPr>
          <w:rFonts w:ascii="Palatino Linotype" w:eastAsia="Palatino Linotype" w:hAnsi="Palatino Linotype" w:cs="Palatino Linotype"/>
        </w:rPr>
      </w:pPr>
      <w:bookmarkStart w:id="20" w:name="_heading=h.w6pwfaqe6bls" w:colFirst="0" w:colLast="0"/>
      <w:bookmarkEnd w:id="20"/>
    </w:p>
    <w:p w14:paraId="03DF684C" w14:textId="77777777" w:rsidR="008F45A0" w:rsidRPr="00D42BD8" w:rsidRDefault="00D435A4">
      <w:pPr>
        <w:spacing w:line="360" w:lineRule="auto"/>
        <w:jc w:val="both"/>
        <w:rPr>
          <w:rFonts w:ascii="Palatino Linotype" w:eastAsia="Palatino Linotype" w:hAnsi="Palatino Linotype" w:cs="Palatino Linotype"/>
        </w:rPr>
      </w:pPr>
      <w:bookmarkStart w:id="21" w:name="_heading=h.kszlljds6nyv" w:colFirst="0" w:colLast="0"/>
      <w:bookmarkEnd w:id="21"/>
      <w:r w:rsidRPr="00D42BD8">
        <w:rPr>
          <w:rFonts w:ascii="Palatino Linotype" w:eastAsia="Palatino Linotype" w:hAnsi="Palatino Linotype" w:cs="Palatino Linotype"/>
        </w:rPr>
        <w:lastRenderedPageBreak/>
        <w:t xml:space="preserve">Por lo que, al no haber señalado si cuenta con el predio o no, este Instituto no puede tener certeza de que la información referente a la forma de adquisición no obre en sus archivos. </w:t>
      </w:r>
    </w:p>
    <w:p w14:paraId="2CB0D426" w14:textId="77777777" w:rsidR="008F45A0" w:rsidRPr="00D42BD8" w:rsidRDefault="00D435A4">
      <w:pPr>
        <w:spacing w:before="280" w:after="28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ese sentido, resulta importante indicar, que la encargada de regular la adquisición de bienes inmuebles por parte de los Ayuntamientos es la Ley de Bienes del Estado de México y sus Municipios, la cual en su artículo 4 señala lo siguiente: </w:t>
      </w:r>
    </w:p>
    <w:p w14:paraId="16C7738C" w14:textId="77777777" w:rsidR="008F45A0" w:rsidRPr="00D42BD8" w:rsidRDefault="00D435A4">
      <w:pPr>
        <w:spacing w:before="280" w:after="280"/>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 xml:space="preserve">Artículo 4.- </w:t>
      </w:r>
      <w:r w:rsidRPr="00D42BD8">
        <w:rPr>
          <w:rFonts w:ascii="Palatino Linotype" w:eastAsia="Palatino Linotype" w:hAnsi="Palatino Linotype" w:cs="Palatino Linotype"/>
          <w:i/>
          <w:sz w:val="22"/>
          <w:szCs w:val="22"/>
        </w:rPr>
        <w:t xml:space="preserve">El Estado de México y los municipios podrán adquirir bienes por vías de derecho público y de derecho privado. </w:t>
      </w:r>
    </w:p>
    <w:p w14:paraId="7CA88F1B" w14:textId="77777777" w:rsidR="008F45A0" w:rsidRPr="00D42BD8" w:rsidRDefault="00D435A4">
      <w:pPr>
        <w:spacing w:before="280" w:after="280"/>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Las adquisiciones por vías de derecho público se regirán por la presente ley, las leyes especiales y los reglamentos respectivos. Las adquisiciones por vías de derecho privado se regularán por las disposiciones de esta ley, las aplicables a las adquisiciones de bienes y servicios, el Código Civil del Estado de México y los reglamentos aplicables.” </w:t>
      </w:r>
    </w:p>
    <w:p w14:paraId="6987096C" w14:textId="77777777" w:rsidR="008F45A0" w:rsidRPr="00D42BD8" w:rsidRDefault="00D435A4">
      <w:pPr>
        <w:spacing w:before="280" w:after="280"/>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(Énfasis añadido)</w:t>
      </w:r>
    </w:p>
    <w:p w14:paraId="7C8175EF" w14:textId="77777777" w:rsidR="008F45A0" w:rsidRPr="00D42BD8" w:rsidRDefault="00D435A4">
      <w:pPr>
        <w:spacing w:before="280" w:after="280" w:line="360" w:lineRule="auto"/>
        <w:ind w:right="899"/>
        <w:jc w:val="both"/>
        <w:rPr>
          <w:rFonts w:ascii="Palatino Linotype" w:eastAsia="Palatino Linotype" w:hAnsi="Palatino Linotype" w:cs="Palatino Linotype"/>
        </w:rPr>
      </w:pPr>
      <w:r w:rsidRPr="00D42BD8">
        <w:rPr>
          <w:rFonts w:ascii="Palatino Linotype" w:eastAsia="Palatino Linotype" w:hAnsi="Palatino Linotype" w:cs="Palatino Linotype"/>
        </w:rPr>
        <w:t>La misma ley en su artículo 5 contempla las facultades del Estado y los ayuntamiento</w:t>
      </w:r>
      <w:r w:rsidR="00355237" w:rsidRPr="00D42BD8">
        <w:rPr>
          <w:rFonts w:ascii="Palatino Linotype" w:eastAsia="Palatino Linotype" w:hAnsi="Palatino Linotype" w:cs="Palatino Linotype"/>
        </w:rPr>
        <w:t>s</w:t>
      </w:r>
      <w:r w:rsidRPr="00D42BD8">
        <w:rPr>
          <w:rFonts w:ascii="Palatino Linotype" w:eastAsia="Palatino Linotype" w:hAnsi="Palatino Linotype" w:cs="Palatino Linotype"/>
        </w:rPr>
        <w:t xml:space="preserve">, señalando en su fracción IX  que corresponde al Ejecutivo del Estado así como a los  Ayuntamientos el Adquirir bienes inmuebles, como se puede apreciar a continuación: </w:t>
      </w:r>
    </w:p>
    <w:p w14:paraId="0D963BC7" w14:textId="77777777" w:rsidR="008F45A0" w:rsidRPr="00D42BD8" w:rsidRDefault="00D435A4">
      <w:pPr>
        <w:spacing w:before="280" w:after="280"/>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5.</w:t>
      </w:r>
      <w:r w:rsidRPr="00D42BD8">
        <w:rPr>
          <w:rFonts w:ascii="Palatino Linotype" w:eastAsia="Palatino Linotype" w:hAnsi="Palatino Linotype" w:cs="Palatino Linotype"/>
          <w:i/>
          <w:sz w:val="22"/>
          <w:szCs w:val="22"/>
        </w:rPr>
        <w:t>- Corresponde al Ejecutivo del Estado por conducto de la Secretaría de Finanzas y a los ayuntamientos:</w:t>
      </w:r>
    </w:p>
    <w:p w14:paraId="577FEEC6" w14:textId="77777777" w:rsidR="008F45A0" w:rsidRPr="00D42BD8" w:rsidRDefault="00D435A4">
      <w:pPr>
        <w:spacing w:before="280" w:after="280"/>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IX. Adquirir bienes inmuebles o celebrar los actos jurídicos que impliquen la transmisión a título oneroso o gratuito de los bienes del dominio privado, conforme a lo dispuesto por el artículo 61 fracción XXXVI de la Constitución Política del Estado;</w:t>
      </w:r>
    </w:p>
    <w:p w14:paraId="61F80595" w14:textId="77777777" w:rsidR="008F45A0" w:rsidRPr="00D42BD8" w:rsidRDefault="00D435A4">
      <w:pPr>
        <w:spacing w:before="280" w:after="280"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lastRenderedPageBreak/>
        <w:t>Teniendo los municipios del Estado de México según lo establecido por el artículo 12, personalidad jurídica para adquirir y poseer bienes par a</w:t>
      </w:r>
      <w:r w:rsidR="00355237"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rPr>
        <w:t xml:space="preserve">la </w:t>
      </w:r>
      <w:r w:rsidR="00355237" w:rsidRPr="00D42BD8">
        <w:rPr>
          <w:rFonts w:ascii="Palatino Linotype" w:eastAsia="Palatino Linotype" w:hAnsi="Palatino Linotype" w:cs="Palatino Linotype"/>
        </w:rPr>
        <w:t>prestación</w:t>
      </w:r>
      <w:r w:rsidRPr="00D42BD8">
        <w:rPr>
          <w:rFonts w:ascii="Palatino Linotype" w:eastAsia="Palatino Linotype" w:hAnsi="Palatino Linotype" w:cs="Palatino Linotype"/>
        </w:rPr>
        <w:t xml:space="preserve"> de servicios y </w:t>
      </w:r>
      <w:r w:rsidR="00355237" w:rsidRPr="00D42BD8">
        <w:rPr>
          <w:rFonts w:ascii="Palatino Linotype" w:eastAsia="Palatino Linotype" w:hAnsi="Palatino Linotype" w:cs="Palatino Linotype"/>
        </w:rPr>
        <w:t>cumplimiento</w:t>
      </w:r>
      <w:r w:rsidRPr="00D42BD8">
        <w:rPr>
          <w:rFonts w:ascii="Palatino Linotype" w:eastAsia="Palatino Linotype" w:hAnsi="Palatino Linotype" w:cs="Palatino Linotype"/>
        </w:rPr>
        <w:t xml:space="preserve"> de sus fines </w:t>
      </w:r>
    </w:p>
    <w:p w14:paraId="02FB154D"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Artículo 12.-</w:t>
      </w:r>
      <w:r w:rsidRPr="00D42BD8">
        <w:rPr>
          <w:rFonts w:ascii="Palatino Linotype" w:eastAsia="Palatino Linotype" w:hAnsi="Palatino Linotype" w:cs="Palatino Linotype"/>
          <w:i/>
          <w:sz w:val="22"/>
          <w:szCs w:val="22"/>
        </w:rPr>
        <w:t xml:space="preserve"> El Estado de México y sus </w:t>
      </w:r>
      <w:r w:rsidRPr="00D42BD8">
        <w:rPr>
          <w:rFonts w:ascii="Palatino Linotype" w:eastAsia="Palatino Linotype" w:hAnsi="Palatino Linotype" w:cs="Palatino Linotype"/>
          <w:b/>
          <w:i/>
          <w:sz w:val="22"/>
          <w:szCs w:val="22"/>
        </w:rPr>
        <w:t>municipios tienen personalidad jurídica para adquirir y poseer bienes</w:t>
      </w:r>
      <w:r w:rsidRPr="00D42BD8">
        <w:rPr>
          <w:rFonts w:ascii="Palatino Linotype" w:eastAsia="Palatino Linotype" w:hAnsi="Palatino Linotype" w:cs="Palatino Linotype"/>
          <w:i/>
          <w:sz w:val="22"/>
          <w:szCs w:val="22"/>
        </w:rPr>
        <w:t xml:space="preserve"> para la prestación de los servicios públicos y el cumplimiento de sus fines. “</w:t>
      </w:r>
    </w:p>
    <w:p w14:paraId="756CDB39"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00355237" w:rsidRPr="00D42BD8">
        <w:rPr>
          <w:rFonts w:ascii="Palatino Linotype" w:eastAsia="Palatino Linotype" w:hAnsi="Palatino Linotype" w:cs="Palatino Linotype"/>
          <w:i/>
          <w:sz w:val="22"/>
          <w:szCs w:val="22"/>
        </w:rPr>
        <w:t xml:space="preserve">Énfasis </w:t>
      </w:r>
      <w:r w:rsidRPr="00D42BD8">
        <w:rPr>
          <w:rFonts w:ascii="Palatino Linotype" w:eastAsia="Palatino Linotype" w:hAnsi="Palatino Linotype" w:cs="Palatino Linotype"/>
          <w:i/>
          <w:sz w:val="22"/>
          <w:szCs w:val="22"/>
        </w:rPr>
        <w:t>añadido)</w:t>
      </w:r>
    </w:p>
    <w:p w14:paraId="6C231903" w14:textId="77777777" w:rsidR="008F45A0" w:rsidRPr="00D42BD8" w:rsidRDefault="00D435A4">
      <w:pPr>
        <w:spacing w:before="280" w:after="280"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Así pues, los bienes del Estado pueden ser de dos tipos: Bienes de dominio público y Bienes del dominio privado, dividiéndose los primeros en Bienes de uso común y Bienes destinados a un servicio público como se aprecia de los artículos 13 y 14 de la ley previamente referida: </w:t>
      </w:r>
    </w:p>
    <w:p w14:paraId="198369E0" w14:textId="77777777" w:rsidR="008F45A0" w:rsidRPr="00D42BD8" w:rsidRDefault="00D435A4">
      <w:pPr>
        <w:ind w:right="899" w:firstLine="720"/>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13.-</w:t>
      </w:r>
      <w:r w:rsidRPr="00D42BD8">
        <w:rPr>
          <w:rFonts w:ascii="Palatino Linotype" w:eastAsia="Palatino Linotype" w:hAnsi="Palatino Linotype" w:cs="Palatino Linotype"/>
          <w:i/>
          <w:sz w:val="22"/>
          <w:szCs w:val="22"/>
        </w:rPr>
        <w:t xml:space="preserve"> Los bienes del Estado de México y sus municipios son: </w:t>
      </w:r>
    </w:p>
    <w:p w14:paraId="61816B7F"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 Bienes del dominio público; y </w:t>
      </w:r>
    </w:p>
    <w:p w14:paraId="3D05DF06" w14:textId="77777777" w:rsidR="008F45A0" w:rsidRPr="00D42BD8" w:rsidRDefault="008F45A0">
      <w:pPr>
        <w:ind w:left="850" w:right="899"/>
        <w:jc w:val="both"/>
        <w:rPr>
          <w:rFonts w:ascii="Palatino Linotype" w:eastAsia="Palatino Linotype" w:hAnsi="Palatino Linotype" w:cs="Palatino Linotype"/>
          <w:i/>
          <w:sz w:val="22"/>
          <w:szCs w:val="22"/>
        </w:rPr>
      </w:pPr>
    </w:p>
    <w:p w14:paraId="2549B4A2"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II. Bienes del dominio privado. </w:t>
      </w:r>
    </w:p>
    <w:p w14:paraId="17A38152" w14:textId="77777777" w:rsidR="008F45A0" w:rsidRPr="00D42BD8" w:rsidRDefault="008F45A0">
      <w:pPr>
        <w:ind w:left="850" w:right="899"/>
        <w:jc w:val="both"/>
        <w:rPr>
          <w:rFonts w:ascii="Palatino Linotype" w:eastAsia="Palatino Linotype" w:hAnsi="Palatino Linotype" w:cs="Palatino Linotype"/>
          <w:b/>
          <w:i/>
          <w:sz w:val="22"/>
          <w:szCs w:val="22"/>
        </w:rPr>
      </w:pPr>
    </w:p>
    <w:p w14:paraId="76A4F1CA"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14.</w:t>
      </w:r>
      <w:r w:rsidRPr="00D42BD8">
        <w:rPr>
          <w:rFonts w:ascii="Palatino Linotype" w:eastAsia="Palatino Linotype" w:hAnsi="Palatino Linotype" w:cs="Palatino Linotype"/>
          <w:i/>
          <w:sz w:val="22"/>
          <w:szCs w:val="22"/>
        </w:rPr>
        <w:t xml:space="preserve">- Los bienes del dominio público, se clasifican en: </w:t>
      </w:r>
    </w:p>
    <w:p w14:paraId="30DCCBC5"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 Bienes de uso común; y </w:t>
      </w:r>
    </w:p>
    <w:p w14:paraId="218201EF" w14:textId="77777777" w:rsidR="008F45A0" w:rsidRPr="00D42BD8" w:rsidRDefault="008F45A0">
      <w:pPr>
        <w:ind w:left="850" w:right="899"/>
        <w:jc w:val="both"/>
        <w:rPr>
          <w:rFonts w:ascii="Palatino Linotype" w:eastAsia="Palatino Linotype" w:hAnsi="Palatino Linotype" w:cs="Palatino Linotype"/>
          <w:i/>
          <w:sz w:val="22"/>
          <w:szCs w:val="22"/>
        </w:rPr>
      </w:pPr>
    </w:p>
    <w:p w14:paraId="1390FE9A"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II. Bienes destinados a un servicio público.”</w:t>
      </w:r>
    </w:p>
    <w:p w14:paraId="3C840614" w14:textId="77777777" w:rsidR="008F45A0" w:rsidRPr="00D42BD8" w:rsidRDefault="00D435A4">
      <w:pPr>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00355237" w:rsidRPr="00D42BD8">
        <w:rPr>
          <w:rFonts w:ascii="Palatino Linotype" w:eastAsia="Palatino Linotype" w:hAnsi="Palatino Linotype" w:cs="Palatino Linotype"/>
          <w:i/>
          <w:sz w:val="22"/>
          <w:szCs w:val="22"/>
        </w:rPr>
        <w:t xml:space="preserve">Énfasis </w:t>
      </w:r>
      <w:r w:rsidRPr="00D42BD8">
        <w:rPr>
          <w:rFonts w:ascii="Palatino Linotype" w:eastAsia="Palatino Linotype" w:hAnsi="Palatino Linotype" w:cs="Palatino Linotype"/>
          <w:i/>
          <w:sz w:val="22"/>
          <w:szCs w:val="22"/>
        </w:rPr>
        <w:t>añadido)</w:t>
      </w:r>
    </w:p>
    <w:p w14:paraId="2FEA0695" w14:textId="77777777" w:rsidR="00355237" w:rsidRPr="00D42BD8" w:rsidRDefault="00355237">
      <w:pPr>
        <w:ind w:left="850" w:right="899"/>
        <w:jc w:val="both"/>
        <w:rPr>
          <w:rFonts w:ascii="Palatino Linotype" w:eastAsia="Palatino Linotype" w:hAnsi="Palatino Linotype" w:cs="Palatino Linotype"/>
          <w:i/>
          <w:sz w:val="22"/>
          <w:szCs w:val="22"/>
        </w:rPr>
      </w:pPr>
    </w:p>
    <w:p w14:paraId="400B4963"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Luego entonces, para la adquisición de dichos bienes, los Ayuntamientos deberán observar las disposiciones normativas aplicables, entre ellas lo establecido por los reglamentos internos, el Código Civil y la Ley de Bienes del Estado de México y sus Municipios, ya sea de bienes del dominio público o privado. </w:t>
      </w:r>
    </w:p>
    <w:p w14:paraId="0C0B2AD8" w14:textId="77777777" w:rsidR="008F45A0" w:rsidRPr="00D42BD8" w:rsidRDefault="008F45A0">
      <w:pPr>
        <w:spacing w:line="360" w:lineRule="auto"/>
        <w:ind w:right="49"/>
        <w:jc w:val="both"/>
        <w:rPr>
          <w:rFonts w:ascii="Palatino Linotype" w:eastAsia="Palatino Linotype" w:hAnsi="Palatino Linotype" w:cs="Palatino Linotype"/>
        </w:rPr>
      </w:pPr>
    </w:p>
    <w:p w14:paraId="237745B6"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lastRenderedPageBreak/>
        <w:t xml:space="preserve">De manera que entre las formas de adquisición de la propiedad, el Código Civil del Estado de México contempla la compraventa y la donación, definiendo la primera en su artículo 7.532. </w:t>
      </w:r>
      <w:r w:rsidR="00355237" w:rsidRPr="00D42BD8">
        <w:rPr>
          <w:rFonts w:ascii="Palatino Linotype" w:eastAsia="Palatino Linotype" w:hAnsi="Palatino Linotype" w:cs="Palatino Linotype"/>
        </w:rPr>
        <w:t>Como</w:t>
      </w:r>
      <w:r w:rsidRPr="00D42BD8">
        <w:rPr>
          <w:rFonts w:ascii="Palatino Linotype" w:eastAsia="Palatino Linotype" w:hAnsi="Palatino Linotype" w:cs="Palatino Linotype"/>
        </w:rPr>
        <w:t xml:space="preserve"> el acto que tiene lugar cuando uno de los contratantes se obliga a transferir la propiedad de un bien o de un derecho, y el otro, a su vez, se obliga a pagar por ello un precio cierto y en dinero y la segunda como el contrato, por virtud del cual una persona llamada donante,</w:t>
      </w:r>
      <w:r w:rsidR="00355237"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rPr>
        <w:t xml:space="preserve">transfiere, en forma gratuita, una parte de sus bienes presentes, a otra llamada donataria quien acepta dicha liberalidad según lo señalado por su artículo  7.610. </w:t>
      </w:r>
    </w:p>
    <w:p w14:paraId="31BA1529" w14:textId="77777777" w:rsidR="008F45A0" w:rsidRPr="00D42BD8" w:rsidRDefault="008F45A0">
      <w:pPr>
        <w:spacing w:line="360" w:lineRule="auto"/>
        <w:ind w:right="49"/>
        <w:jc w:val="both"/>
        <w:rPr>
          <w:rFonts w:ascii="Palatino Linotype" w:eastAsia="Palatino Linotype" w:hAnsi="Palatino Linotype" w:cs="Palatino Linotype"/>
        </w:rPr>
      </w:pPr>
    </w:p>
    <w:p w14:paraId="4ACA88A8"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Actos que devienen del ejercicio de las facultades conferidas a los Municipios por las leyes aplicables y que además involucran el uso de recursos públicos siendo conveniente recordar que los artículos 4 y 12 de la Ley de Transparencia y Acceso a la Información Pública del Estado de México y Municipios, establecen que toda la información generada, obtenida, adquirida, transmitida, administrada o en posesión de los Sujetos Obligados, será accesible de manera permanente a cualquier persona, privilegiando el principio de máxima publicidad de la información.</w:t>
      </w:r>
    </w:p>
    <w:p w14:paraId="56E968CD" w14:textId="77777777" w:rsidR="008F45A0" w:rsidRPr="00D42BD8" w:rsidRDefault="008F45A0">
      <w:pPr>
        <w:spacing w:line="360" w:lineRule="auto"/>
        <w:ind w:right="49"/>
        <w:jc w:val="both"/>
        <w:rPr>
          <w:rFonts w:ascii="Palatino Linotype" w:eastAsia="Palatino Linotype" w:hAnsi="Palatino Linotype" w:cs="Palatino Linotype"/>
        </w:rPr>
      </w:pPr>
    </w:p>
    <w:p w14:paraId="53665D28"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otra parte,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1910BBD3"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lastRenderedPageBreak/>
        <w:t>“</w:t>
      </w:r>
      <w:r w:rsidRPr="00D42BD8">
        <w:rPr>
          <w:rFonts w:ascii="Palatino Linotype" w:eastAsia="Palatino Linotype" w:hAnsi="Palatino Linotype" w:cs="Palatino Linotype"/>
          <w:b/>
          <w:i/>
          <w:sz w:val="22"/>
          <w:szCs w:val="22"/>
        </w:rPr>
        <w:t>Artículo 4.</w:t>
      </w:r>
      <w:r w:rsidRPr="00D42BD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023D88" w14:textId="77777777" w:rsidR="008F45A0" w:rsidRPr="00D42BD8" w:rsidRDefault="008F45A0">
      <w:pPr>
        <w:tabs>
          <w:tab w:val="left" w:pos="851"/>
        </w:tabs>
        <w:ind w:left="851" w:right="901"/>
        <w:jc w:val="both"/>
        <w:rPr>
          <w:rFonts w:ascii="Palatino Linotype" w:eastAsia="Palatino Linotype" w:hAnsi="Palatino Linotype" w:cs="Palatino Linotype"/>
          <w:i/>
          <w:sz w:val="22"/>
          <w:szCs w:val="22"/>
        </w:rPr>
      </w:pPr>
    </w:p>
    <w:p w14:paraId="1AFF66DF"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31A3208" w14:textId="77777777" w:rsidR="008F45A0" w:rsidRPr="00D42BD8" w:rsidRDefault="008F45A0">
      <w:pPr>
        <w:tabs>
          <w:tab w:val="left" w:pos="851"/>
        </w:tabs>
        <w:ind w:left="851" w:right="901"/>
        <w:jc w:val="both"/>
        <w:rPr>
          <w:rFonts w:ascii="Palatino Linotype" w:eastAsia="Palatino Linotype" w:hAnsi="Palatino Linotype" w:cs="Palatino Linotype"/>
          <w:i/>
          <w:sz w:val="22"/>
          <w:szCs w:val="22"/>
        </w:rPr>
      </w:pPr>
    </w:p>
    <w:p w14:paraId="2EFE3F83"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AD75FED" w14:textId="77777777" w:rsidR="008F45A0" w:rsidRPr="00D42BD8" w:rsidRDefault="008F45A0">
      <w:pPr>
        <w:tabs>
          <w:tab w:val="left" w:pos="851"/>
        </w:tabs>
        <w:ind w:left="851" w:right="901"/>
        <w:jc w:val="both"/>
        <w:rPr>
          <w:rFonts w:ascii="Palatino Linotype" w:eastAsia="Palatino Linotype" w:hAnsi="Palatino Linotype" w:cs="Palatino Linotype"/>
          <w:b/>
          <w:i/>
          <w:sz w:val="22"/>
          <w:szCs w:val="22"/>
        </w:rPr>
      </w:pPr>
    </w:p>
    <w:p w14:paraId="6387F10B"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12.</w:t>
      </w:r>
      <w:r w:rsidRPr="00D42BD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372D34"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 </w:t>
      </w:r>
    </w:p>
    <w:p w14:paraId="6CCE078B"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7044FD1" w14:textId="77777777" w:rsidR="008F45A0" w:rsidRPr="00D42BD8" w:rsidRDefault="00D435A4">
      <w:pPr>
        <w:tabs>
          <w:tab w:val="left" w:pos="851"/>
        </w:tabs>
        <w:ind w:left="851" w:right="901"/>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00355237" w:rsidRPr="00D42BD8">
        <w:rPr>
          <w:rFonts w:ascii="Palatino Linotype" w:eastAsia="Palatino Linotype" w:hAnsi="Palatino Linotype" w:cs="Palatino Linotype"/>
          <w:i/>
          <w:sz w:val="22"/>
          <w:szCs w:val="22"/>
        </w:rPr>
        <w:t xml:space="preserve">Énfasis </w:t>
      </w:r>
      <w:r w:rsidRPr="00D42BD8">
        <w:rPr>
          <w:rFonts w:ascii="Palatino Linotype" w:eastAsia="Palatino Linotype" w:hAnsi="Palatino Linotype" w:cs="Palatino Linotype"/>
          <w:i/>
          <w:sz w:val="22"/>
          <w:szCs w:val="22"/>
        </w:rPr>
        <w:t>añadido)</w:t>
      </w:r>
    </w:p>
    <w:p w14:paraId="3B76C331" w14:textId="77777777" w:rsidR="008F45A0" w:rsidRPr="00D42BD8" w:rsidRDefault="00D435A4">
      <w:pPr>
        <w:spacing w:before="280" w:after="28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Consecuentemente es dable ordenarle al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haga entrega del soporte documental donde conste la forma de adquisición del predio mencionado en el Informe Justificado. </w:t>
      </w:r>
    </w:p>
    <w:p w14:paraId="562B0677" w14:textId="77777777" w:rsidR="008F45A0" w:rsidRPr="00D42BD8" w:rsidRDefault="00D435A4">
      <w:pPr>
        <w:spacing w:before="280" w:after="28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w:t>
      </w:r>
      <w:r w:rsidRPr="00D42BD8">
        <w:rPr>
          <w:rFonts w:ascii="Palatino Linotype" w:eastAsia="Palatino Linotype" w:hAnsi="Palatino Linotype" w:cs="Palatino Linotype"/>
        </w:rPr>
        <w:lastRenderedPageBreak/>
        <w:t xml:space="preserve">Información Pública del Estado de México y Municipios y deberá procederse a su clasificación mediante las formalidades de Ley, es decir, que el Comité de Transparencia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BA3F100" w14:textId="77777777" w:rsidR="008F45A0" w:rsidRPr="00D42BD8" w:rsidRDefault="00D435A4">
      <w:pPr>
        <w:spacing w:before="280" w:after="28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ende,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debe testar los datos confidenciales,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B616ACF" w14:textId="77777777" w:rsidR="008F45A0" w:rsidRPr="00D42BD8" w:rsidRDefault="00D435A4">
      <w:pPr>
        <w:ind w:left="709" w:right="709"/>
        <w:jc w:val="center"/>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Ley de Transparencia y Acceso a la Información Pública del Estado de México y Municipios</w:t>
      </w:r>
    </w:p>
    <w:p w14:paraId="134B70ED" w14:textId="77777777" w:rsidR="008F45A0" w:rsidRPr="00D42BD8" w:rsidRDefault="00D435A4">
      <w:pPr>
        <w:tabs>
          <w:tab w:val="left" w:pos="851"/>
        </w:tabs>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lastRenderedPageBreak/>
        <w:t>“</w:t>
      </w:r>
      <w:r w:rsidRPr="00D42BD8">
        <w:rPr>
          <w:rFonts w:ascii="Palatino Linotype" w:eastAsia="Palatino Linotype" w:hAnsi="Palatino Linotype" w:cs="Palatino Linotype"/>
          <w:b/>
          <w:i/>
          <w:sz w:val="22"/>
          <w:szCs w:val="22"/>
        </w:rPr>
        <w:t xml:space="preserve">Artículo 49. </w:t>
      </w:r>
      <w:r w:rsidRPr="00D42BD8">
        <w:rPr>
          <w:rFonts w:ascii="Palatino Linotype" w:eastAsia="Palatino Linotype" w:hAnsi="Palatino Linotype" w:cs="Palatino Linotype"/>
          <w:i/>
          <w:sz w:val="22"/>
          <w:szCs w:val="22"/>
        </w:rPr>
        <w:t>Los Comités de Transparencia tendrán las siguientes atribuciones:</w:t>
      </w:r>
    </w:p>
    <w:p w14:paraId="5037F2F6"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VIII.</w:t>
      </w:r>
      <w:r w:rsidRPr="00D42BD8">
        <w:rPr>
          <w:rFonts w:ascii="Palatino Linotype" w:eastAsia="Palatino Linotype" w:hAnsi="Palatino Linotype" w:cs="Palatino Linotype"/>
          <w:i/>
          <w:sz w:val="22"/>
          <w:szCs w:val="22"/>
        </w:rPr>
        <w:t xml:space="preserve"> Aprobar, modificar o revocar la clasificación de la información;</w:t>
      </w:r>
    </w:p>
    <w:p w14:paraId="0D70B06C"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132.</w:t>
      </w:r>
      <w:r w:rsidRPr="00D42BD8">
        <w:rPr>
          <w:rFonts w:ascii="Palatino Linotype" w:eastAsia="Palatino Linotype" w:hAnsi="Palatino Linotype" w:cs="Palatino Linotype"/>
          <w:i/>
          <w:sz w:val="22"/>
          <w:szCs w:val="22"/>
        </w:rPr>
        <w:t xml:space="preserve"> La clasificación de la información se llevará a cabo en el momento en que:</w:t>
      </w:r>
    </w:p>
    <w:p w14:paraId="372CC5AC"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w:t>
      </w:r>
    </w:p>
    <w:p w14:paraId="4BA8384B"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II.</w:t>
      </w:r>
      <w:r w:rsidRPr="00D42BD8">
        <w:rPr>
          <w:rFonts w:ascii="Palatino Linotype" w:eastAsia="Palatino Linotype" w:hAnsi="Palatino Linotype" w:cs="Palatino Linotype"/>
          <w:i/>
          <w:sz w:val="22"/>
          <w:szCs w:val="22"/>
        </w:rPr>
        <w:t xml:space="preserve"> Se determine mediante resolución de autoridad competente; o</w:t>
      </w:r>
    </w:p>
    <w:p w14:paraId="0F8462CD"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III</w:t>
      </w:r>
      <w:r w:rsidRPr="00D42BD8">
        <w:rPr>
          <w:rFonts w:ascii="Palatino Linotype" w:eastAsia="Palatino Linotype" w:hAnsi="Palatino Linotype" w:cs="Palatino Linotype"/>
          <w:i/>
          <w:sz w:val="22"/>
          <w:szCs w:val="22"/>
        </w:rPr>
        <w:t>. Se generen versiones públicas para dar cumplimiento a las obligaciones de transparencia previstas en esta Ley.”</w:t>
      </w:r>
    </w:p>
    <w:p w14:paraId="64CF05DF" w14:textId="77777777" w:rsidR="008F45A0" w:rsidRPr="00D42BD8" w:rsidRDefault="00D435A4">
      <w:pPr>
        <w:ind w:left="709" w:right="709"/>
        <w:jc w:val="center"/>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Lineamientos Generales en materia de Clasificación y Desclasificación de la Información</w:t>
      </w:r>
    </w:p>
    <w:p w14:paraId="75212D13"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Segundo.-</w:t>
      </w:r>
      <w:r w:rsidRPr="00D42BD8">
        <w:rPr>
          <w:rFonts w:ascii="Palatino Linotype" w:eastAsia="Palatino Linotype" w:hAnsi="Palatino Linotype" w:cs="Palatino Linotype"/>
          <w:i/>
          <w:sz w:val="22"/>
          <w:szCs w:val="22"/>
        </w:rPr>
        <w:t xml:space="preserve"> Para efectos de los presentes Lineamientos Generales, se entenderá por:</w:t>
      </w:r>
    </w:p>
    <w:p w14:paraId="14CB35C7"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XVIII.</w:t>
      </w:r>
      <w:r w:rsidRPr="00D42BD8">
        <w:rPr>
          <w:rFonts w:ascii="Palatino Linotype" w:eastAsia="Palatino Linotype" w:hAnsi="Palatino Linotype" w:cs="Palatino Linotype"/>
          <w:i/>
          <w:sz w:val="22"/>
          <w:szCs w:val="22"/>
        </w:rPr>
        <w:t xml:space="preserve"> </w:t>
      </w:r>
      <w:r w:rsidRPr="00D42BD8">
        <w:rPr>
          <w:rFonts w:ascii="Palatino Linotype" w:eastAsia="Palatino Linotype" w:hAnsi="Palatino Linotype" w:cs="Palatino Linotype"/>
          <w:b/>
          <w:i/>
          <w:sz w:val="22"/>
          <w:szCs w:val="22"/>
        </w:rPr>
        <w:t>Versión pública:</w:t>
      </w:r>
      <w:r w:rsidRPr="00D42BD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42BD8">
        <w:rPr>
          <w:rFonts w:ascii="Palatino Linotype" w:eastAsia="Palatino Linotype" w:hAnsi="Palatino Linotype" w:cs="Palatino Linotype"/>
          <w:b/>
          <w:i/>
          <w:sz w:val="22"/>
          <w:szCs w:val="22"/>
          <w:u w:val="single"/>
        </w:rPr>
        <w:t>fundando y motivando</w:t>
      </w:r>
      <w:r w:rsidRPr="00D42BD8">
        <w:rPr>
          <w:rFonts w:ascii="Palatino Linotype" w:eastAsia="Palatino Linotype" w:hAnsi="Palatino Linotype" w:cs="Palatino Linotype"/>
          <w:b/>
          <w:i/>
          <w:sz w:val="22"/>
          <w:szCs w:val="22"/>
        </w:rPr>
        <w:t xml:space="preserve"> </w:t>
      </w:r>
      <w:r w:rsidRPr="00D42BD8">
        <w:rPr>
          <w:rFonts w:ascii="Palatino Linotype" w:eastAsia="Palatino Linotype" w:hAnsi="Palatino Linotype" w:cs="Palatino Linotype"/>
          <w:b/>
          <w:i/>
          <w:sz w:val="22"/>
          <w:szCs w:val="22"/>
          <w:u w:val="single"/>
        </w:rPr>
        <w:t>la</w:t>
      </w:r>
      <w:r w:rsidRPr="00D42BD8">
        <w:rPr>
          <w:rFonts w:ascii="Palatino Linotype" w:eastAsia="Palatino Linotype" w:hAnsi="Palatino Linotype" w:cs="Palatino Linotype"/>
          <w:i/>
          <w:sz w:val="22"/>
          <w:szCs w:val="22"/>
        </w:rPr>
        <w:t xml:space="preserve"> reserva o </w:t>
      </w:r>
      <w:r w:rsidRPr="00D42BD8">
        <w:rPr>
          <w:rFonts w:ascii="Palatino Linotype" w:eastAsia="Palatino Linotype" w:hAnsi="Palatino Linotype" w:cs="Palatino Linotype"/>
          <w:b/>
          <w:i/>
          <w:sz w:val="22"/>
          <w:szCs w:val="22"/>
          <w:u w:val="single"/>
        </w:rPr>
        <w:t>confidencialidad</w:t>
      </w:r>
      <w:r w:rsidRPr="00D42BD8">
        <w:rPr>
          <w:rFonts w:ascii="Palatino Linotype" w:eastAsia="Palatino Linotype" w:hAnsi="Palatino Linotype" w:cs="Palatino Linotype"/>
          <w:i/>
          <w:sz w:val="22"/>
          <w:szCs w:val="22"/>
        </w:rPr>
        <w:t>, a través de la resolución que para tal efecto emita el Comité de Transparencia.</w:t>
      </w:r>
    </w:p>
    <w:p w14:paraId="52DAE125"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Cuarto.</w:t>
      </w:r>
      <w:r w:rsidRPr="00D42BD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1FC17B7"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F26A810"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Quinto.</w:t>
      </w:r>
      <w:r w:rsidRPr="00D42BD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0A4CD2"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Sexto.</w:t>
      </w:r>
      <w:r w:rsidRPr="00D42BD8">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B31FA6B"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760A486"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Séptimo.</w:t>
      </w:r>
      <w:r w:rsidRPr="00D42BD8">
        <w:rPr>
          <w:rFonts w:ascii="Palatino Linotype" w:eastAsia="Palatino Linotype" w:hAnsi="Palatino Linotype" w:cs="Palatino Linotype"/>
          <w:i/>
          <w:sz w:val="22"/>
          <w:szCs w:val="22"/>
        </w:rPr>
        <w:t xml:space="preserve"> La clasificación de la información se llevará a cabo en el momento en que:</w:t>
      </w:r>
    </w:p>
    <w:p w14:paraId="019497BA"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I.</w:t>
      </w:r>
      <w:r w:rsidRPr="00D42BD8">
        <w:rPr>
          <w:rFonts w:ascii="Palatino Linotype" w:eastAsia="Palatino Linotype" w:hAnsi="Palatino Linotype" w:cs="Palatino Linotype"/>
          <w:i/>
          <w:sz w:val="22"/>
          <w:szCs w:val="22"/>
        </w:rPr>
        <w:t xml:space="preserve"> Se reciba una solicitud de acceso a la información;</w:t>
      </w:r>
    </w:p>
    <w:p w14:paraId="3C8D7564"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lastRenderedPageBreak/>
        <w:t>II.</w:t>
      </w:r>
      <w:r w:rsidRPr="00D42BD8">
        <w:rPr>
          <w:rFonts w:ascii="Palatino Linotype" w:eastAsia="Palatino Linotype" w:hAnsi="Palatino Linotype" w:cs="Palatino Linotype"/>
          <w:i/>
          <w:sz w:val="22"/>
          <w:szCs w:val="22"/>
        </w:rPr>
        <w:t xml:space="preserve"> Se determine mediante resolución de autoridad competente, o</w:t>
      </w:r>
    </w:p>
    <w:p w14:paraId="19DD475C"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III.</w:t>
      </w:r>
      <w:r w:rsidRPr="00D42BD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907650B"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BBC41EC"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Octavo.</w:t>
      </w:r>
      <w:r w:rsidRPr="00D42BD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039B5ED"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10531F8"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F5ACE03"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99E178A"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0F9E9CA"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Noveno.</w:t>
      </w:r>
      <w:r w:rsidRPr="00D42BD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8AD05C"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Décimo.</w:t>
      </w:r>
      <w:r w:rsidRPr="00D42BD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E683B80"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FBF94CA"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Décimo primero.</w:t>
      </w:r>
      <w:r w:rsidRPr="00D42BD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D42BD8">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63BBC373" w14:textId="77777777" w:rsidR="008F45A0" w:rsidRPr="00D42BD8" w:rsidRDefault="00D435A4">
      <w:pPr>
        <w:ind w:left="709" w:right="709"/>
        <w:jc w:val="both"/>
        <w:rPr>
          <w:rFonts w:ascii="Palatino Linotype" w:eastAsia="Palatino Linotype" w:hAnsi="Palatino Linotype" w:cs="Palatino Linotype"/>
          <w:sz w:val="22"/>
          <w:szCs w:val="22"/>
        </w:rPr>
      </w:pPr>
      <w:r w:rsidRPr="00D42BD8">
        <w:rPr>
          <w:rFonts w:ascii="Palatino Linotype" w:eastAsia="Palatino Linotype" w:hAnsi="Palatino Linotype" w:cs="Palatino Linotype"/>
          <w:sz w:val="22"/>
          <w:szCs w:val="22"/>
        </w:rPr>
        <w:t>(Énfasis Añadido)</w:t>
      </w:r>
    </w:p>
    <w:p w14:paraId="35460A37" w14:textId="77777777" w:rsidR="008F45A0" w:rsidRPr="00D42BD8" w:rsidRDefault="00D435A4">
      <w:pPr>
        <w:spacing w:before="280" w:after="28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Por lo tanto, es importante referir que </w:t>
      </w:r>
      <w:r w:rsidRPr="00D42BD8">
        <w:rPr>
          <w:rFonts w:ascii="Palatino Linotype" w:eastAsia="Palatino Linotype" w:hAnsi="Palatino Linotype" w:cs="Palatino Linotype"/>
          <w:b/>
        </w:rPr>
        <w:t>EL SUJETO OBLIGADO</w:t>
      </w:r>
      <w:r w:rsidRPr="00D42BD8">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D42BD8">
        <w:rPr>
          <w:rFonts w:ascii="Palatino Linotype" w:eastAsia="Palatino Linotype" w:hAnsi="Palatino Linotype" w:cs="Palatino Linotype"/>
          <w:b/>
        </w:rPr>
        <w:t xml:space="preserve"> </w:t>
      </w:r>
      <w:r w:rsidRPr="00D42BD8">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B02A7FC" w14:textId="77777777" w:rsidR="008F45A0" w:rsidRPr="00D42BD8" w:rsidRDefault="00D435A4">
      <w:pPr>
        <w:widowControl w:val="0"/>
        <w:spacing w:before="120" w:after="12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0FF35DBE" w14:textId="77777777" w:rsidR="008F45A0" w:rsidRPr="00D42BD8" w:rsidRDefault="00D435A4">
      <w:pPr>
        <w:ind w:left="709" w:right="709"/>
        <w:jc w:val="center"/>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Ley de Transparencia y Acceso a la Información Pública del Estado de México y Municipios</w:t>
      </w:r>
    </w:p>
    <w:p w14:paraId="06600AC8" w14:textId="77777777" w:rsidR="008F45A0" w:rsidRPr="00D42BD8" w:rsidRDefault="00D435A4">
      <w:pPr>
        <w:ind w:left="709" w:right="709"/>
        <w:jc w:val="both"/>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 xml:space="preserve">Artículo 3. </w:t>
      </w:r>
      <w:r w:rsidRPr="00D42BD8">
        <w:rPr>
          <w:rFonts w:ascii="Palatino Linotype" w:eastAsia="Palatino Linotype" w:hAnsi="Palatino Linotype" w:cs="Palatino Linotype"/>
          <w:b/>
          <w:i/>
          <w:sz w:val="22"/>
          <w:szCs w:val="22"/>
          <w:u w:val="single"/>
        </w:rPr>
        <w:t>Para los efectos de la presente Ley se entenderá por</w:t>
      </w:r>
      <w:r w:rsidRPr="00D42BD8">
        <w:rPr>
          <w:rFonts w:ascii="Palatino Linotype" w:eastAsia="Palatino Linotype" w:hAnsi="Palatino Linotype" w:cs="Palatino Linotype"/>
          <w:i/>
          <w:sz w:val="22"/>
          <w:szCs w:val="22"/>
        </w:rPr>
        <w:t>:</w:t>
      </w:r>
    </w:p>
    <w:p w14:paraId="2D8A5C72"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lastRenderedPageBreak/>
        <w:t>…</w:t>
      </w:r>
    </w:p>
    <w:p w14:paraId="30094753" w14:textId="77777777" w:rsidR="008F45A0" w:rsidRPr="00D42BD8" w:rsidRDefault="00D435A4">
      <w:pPr>
        <w:ind w:left="709" w:right="709"/>
        <w:jc w:val="both"/>
        <w:rPr>
          <w:rFonts w:ascii="Palatino Linotype" w:eastAsia="Palatino Linotype" w:hAnsi="Palatino Linotype" w:cs="Palatino Linotype"/>
          <w:b/>
          <w:i/>
          <w:sz w:val="22"/>
          <w:szCs w:val="22"/>
        </w:rPr>
      </w:pPr>
      <w:r w:rsidRPr="00D42BD8">
        <w:rPr>
          <w:rFonts w:ascii="Palatino Linotype" w:eastAsia="Palatino Linotype" w:hAnsi="Palatino Linotype" w:cs="Palatino Linotype"/>
          <w:b/>
          <w:i/>
          <w:sz w:val="22"/>
          <w:szCs w:val="22"/>
        </w:rPr>
        <w:t>IX.</w:t>
      </w:r>
      <w:r w:rsidRPr="00D42BD8">
        <w:rPr>
          <w:rFonts w:ascii="Palatino Linotype" w:eastAsia="Palatino Linotype" w:hAnsi="Palatino Linotype" w:cs="Palatino Linotype"/>
          <w:b/>
          <w:i/>
          <w:sz w:val="22"/>
          <w:szCs w:val="22"/>
        </w:rPr>
        <w:tab/>
        <w:t xml:space="preserve">Datos personales: </w:t>
      </w:r>
      <w:r w:rsidRPr="00D42BD8">
        <w:rPr>
          <w:rFonts w:ascii="Palatino Linotype" w:eastAsia="Palatino Linotype" w:hAnsi="Palatino Linotype" w:cs="Palatino Linotype"/>
          <w:b/>
          <w:i/>
          <w:sz w:val="22"/>
          <w:szCs w:val="22"/>
          <w:u w:val="single"/>
        </w:rPr>
        <w:t>La información concerniente a una persona, identificada o identificable</w:t>
      </w:r>
      <w:r w:rsidRPr="00D42BD8">
        <w:rPr>
          <w:rFonts w:ascii="Palatino Linotype" w:eastAsia="Palatino Linotype" w:hAnsi="Palatino Linotype" w:cs="Palatino Linotype"/>
          <w:b/>
          <w:i/>
          <w:sz w:val="22"/>
          <w:szCs w:val="22"/>
        </w:rPr>
        <w:t xml:space="preserve"> </w:t>
      </w:r>
      <w:r w:rsidRPr="00D42BD8">
        <w:rPr>
          <w:rFonts w:ascii="Palatino Linotype" w:eastAsia="Palatino Linotype" w:hAnsi="Palatino Linotype" w:cs="Palatino Linotype"/>
          <w:i/>
          <w:sz w:val="22"/>
          <w:szCs w:val="22"/>
        </w:rPr>
        <w:t>según lo dispuesto por la Ley de Protección de Datos Personales del Estado de México;</w:t>
      </w:r>
    </w:p>
    <w:p w14:paraId="6F0200AF"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p>
    <w:p w14:paraId="3AE128FE"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XXI.</w:t>
      </w:r>
      <w:r w:rsidRPr="00D42BD8">
        <w:rPr>
          <w:rFonts w:ascii="Palatino Linotype" w:eastAsia="Palatino Linotype" w:hAnsi="Palatino Linotype" w:cs="Palatino Linotype"/>
          <w:i/>
          <w:sz w:val="22"/>
          <w:szCs w:val="22"/>
        </w:rPr>
        <w:tab/>
      </w:r>
      <w:r w:rsidRPr="00D42BD8">
        <w:rPr>
          <w:rFonts w:ascii="Palatino Linotype" w:eastAsia="Palatino Linotype" w:hAnsi="Palatino Linotype" w:cs="Palatino Linotype"/>
          <w:b/>
          <w:i/>
          <w:sz w:val="22"/>
          <w:szCs w:val="22"/>
          <w:u w:val="single"/>
        </w:rPr>
        <w:t>Información confidencial</w:t>
      </w:r>
      <w:r w:rsidRPr="00D42BD8">
        <w:rPr>
          <w:rFonts w:ascii="Palatino Linotype" w:eastAsia="Palatino Linotype" w:hAnsi="Palatino Linotype" w:cs="Palatino Linotype"/>
          <w:i/>
          <w:sz w:val="22"/>
          <w:szCs w:val="22"/>
        </w:rPr>
        <w:t xml:space="preserve">: </w:t>
      </w:r>
      <w:r w:rsidRPr="00D42BD8">
        <w:rPr>
          <w:rFonts w:ascii="Palatino Linotype" w:eastAsia="Palatino Linotype" w:hAnsi="Palatino Linotype" w:cs="Palatino Linotype"/>
          <w:b/>
          <w:i/>
          <w:sz w:val="22"/>
          <w:szCs w:val="22"/>
          <w:u w:val="single"/>
        </w:rPr>
        <w:t>Se considera como información confidencial</w:t>
      </w:r>
      <w:r w:rsidRPr="00D42BD8">
        <w:rPr>
          <w:rFonts w:ascii="Palatino Linotype" w:eastAsia="Palatino Linotype" w:hAnsi="Palatino Linotype" w:cs="Palatino Linotype"/>
          <w:i/>
          <w:sz w:val="22"/>
          <w:szCs w:val="22"/>
        </w:rPr>
        <w:t xml:space="preserve"> los secretos bancario, fiduciario, industrial, comercial, fiscal, bursátil y postal, </w:t>
      </w:r>
      <w:r w:rsidRPr="00D42BD8">
        <w:rPr>
          <w:rFonts w:ascii="Palatino Linotype" w:eastAsia="Palatino Linotype" w:hAnsi="Palatino Linotype" w:cs="Palatino Linotype"/>
          <w:b/>
          <w:i/>
          <w:sz w:val="22"/>
          <w:szCs w:val="22"/>
          <w:u w:val="single"/>
        </w:rPr>
        <w:t>cuya titularidad corresponda a particulares</w:t>
      </w:r>
      <w:r w:rsidRPr="00D42BD8">
        <w:rPr>
          <w:rFonts w:ascii="Palatino Linotype" w:eastAsia="Palatino Linotype" w:hAnsi="Palatino Linotype" w:cs="Palatino Linotype"/>
          <w:i/>
          <w:sz w:val="22"/>
          <w:szCs w:val="22"/>
        </w:rPr>
        <w:t xml:space="preserve">, sujetos de derecho internacional o a sujetos obligados </w:t>
      </w:r>
      <w:r w:rsidRPr="00D42BD8">
        <w:rPr>
          <w:rFonts w:ascii="Palatino Linotype" w:eastAsia="Palatino Linotype" w:hAnsi="Palatino Linotype" w:cs="Palatino Linotype"/>
          <w:b/>
          <w:i/>
          <w:sz w:val="22"/>
          <w:szCs w:val="22"/>
          <w:u w:val="single"/>
        </w:rPr>
        <w:t>cuando no involucren el ejercicio de recursos públicos</w:t>
      </w:r>
      <w:r w:rsidRPr="00D42BD8">
        <w:rPr>
          <w:rFonts w:ascii="Palatino Linotype" w:eastAsia="Palatino Linotype" w:hAnsi="Palatino Linotype" w:cs="Palatino Linotype"/>
          <w:i/>
          <w:sz w:val="22"/>
          <w:szCs w:val="22"/>
        </w:rPr>
        <w:t>;</w:t>
      </w:r>
    </w:p>
    <w:p w14:paraId="6AEE7602"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p>
    <w:p w14:paraId="59320D7B"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XXIII. Información privada</w:t>
      </w:r>
      <w:r w:rsidRPr="00D42BD8">
        <w:rPr>
          <w:rFonts w:ascii="Palatino Linotype" w:eastAsia="Palatino Linotype" w:hAnsi="Palatino Linotype" w:cs="Palatino Linotype"/>
          <w:i/>
          <w:sz w:val="22"/>
          <w:szCs w:val="22"/>
        </w:rPr>
        <w:t xml:space="preserve">: </w:t>
      </w:r>
      <w:r w:rsidRPr="00D42BD8">
        <w:rPr>
          <w:rFonts w:ascii="Palatino Linotype" w:eastAsia="Palatino Linotype" w:hAnsi="Palatino Linotype" w:cs="Palatino Linotype"/>
          <w:b/>
          <w:i/>
          <w:sz w:val="22"/>
          <w:szCs w:val="22"/>
          <w:u w:val="single"/>
        </w:rPr>
        <w:t>La contenida en documentos públicos</w:t>
      </w:r>
      <w:r w:rsidRPr="00D42BD8">
        <w:rPr>
          <w:rFonts w:ascii="Palatino Linotype" w:eastAsia="Palatino Linotype" w:hAnsi="Palatino Linotype" w:cs="Palatino Linotype"/>
          <w:i/>
          <w:sz w:val="22"/>
          <w:szCs w:val="22"/>
        </w:rPr>
        <w:t xml:space="preserve"> o privados </w:t>
      </w:r>
      <w:r w:rsidRPr="00D42BD8">
        <w:rPr>
          <w:rFonts w:ascii="Palatino Linotype" w:eastAsia="Palatino Linotype" w:hAnsi="Palatino Linotype" w:cs="Palatino Linotype"/>
          <w:b/>
          <w:i/>
          <w:sz w:val="22"/>
          <w:szCs w:val="22"/>
          <w:u w:val="single"/>
        </w:rPr>
        <w:t>que refiera a la vida privada y/o los datos personales</w:t>
      </w:r>
      <w:r w:rsidRPr="00D42BD8">
        <w:rPr>
          <w:rFonts w:ascii="Palatino Linotype" w:eastAsia="Palatino Linotype" w:hAnsi="Palatino Linotype" w:cs="Palatino Linotype"/>
          <w:i/>
          <w:sz w:val="22"/>
          <w:szCs w:val="22"/>
        </w:rPr>
        <w:t xml:space="preserve">, </w:t>
      </w:r>
      <w:r w:rsidRPr="00D42BD8">
        <w:rPr>
          <w:rFonts w:ascii="Palatino Linotype" w:eastAsia="Palatino Linotype" w:hAnsi="Palatino Linotype" w:cs="Palatino Linotype"/>
          <w:b/>
          <w:i/>
          <w:sz w:val="22"/>
          <w:szCs w:val="22"/>
          <w:u w:val="single"/>
        </w:rPr>
        <w:t>que no son de acceso público</w:t>
      </w:r>
      <w:r w:rsidRPr="00D42BD8">
        <w:rPr>
          <w:rFonts w:ascii="Palatino Linotype" w:eastAsia="Palatino Linotype" w:hAnsi="Palatino Linotype" w:cs="Palatino Linotype"/>
          <w:i/>
          <w:sz w:val="22"/>
          <w:szCs w:val="22"/>
        </w:rPr>
        <w:t>;</w:t>
      </w:r>
    </w:p>
    <w:p w14:paraId="703C111B"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Artículo 143</w:t>
      </w:r>
      <w:r w:rsidRPr="00D42BD8">
        <w:rPr>
          <w:rFonts w:ascii="Palatino Linotype" w:eastAsia="Palatino Linotype" w:hAnsi="Palatino Linotype" w:cs="Palatino Linotype"/>
          <w:i/>
          <w:sz w:val="22"/>
          <w:szCs w:val="22"/>
        </w:rPr>
        <w:t xml:space="preserve">. </w:t>
      </w:r>
      <w:r w:rsidRPr="00D42BD8">
        <w:rPr>
          <w:rFonts w:ascii="Palatino Linotype" w:eastAsia="Palatino Linotype" w:hAnsi="Palatino Linotype" w:cs="Palatino Linotype"/>
          <w:b/>
          <w:i/>
          <w:sz w:val="22"/>
          <w:szCs w:val="22"/>
          <w:u w:val="single"/>
        </w:rPr>
        <w:t>Para los efectos de esta Ley se considera información confidencial</w:t>
      </w:r>
      <w:r w:rsidRPr="00D42BD8">
        <w:rPr>
          <w:rFonts w:ascii="Palatino Linotype" w:eastAsia="Palatino Linotype" w:hAnsi="Palatino Linotype" w:cs="Palatino Linotype"/>
          <w:i/>
          <w:sz w:val="22"/>
          <w:szCs w:val="22"/>
        </w:rPr>
        <w:t xml:space="preserve">, la clasificada como tal, </w:t>
      </w:r>
      <w:r w:rsidRPr="00D42BD8">
        <w:rPr>
          <w:rFonts w:ascii="Palatino Linotype" w:eastAsia="Palatino Linotype" w:hAnsi="Palatino Linotype" w:cs="Palatino Linotype"/>
          <w:b/>
          <w:i/>
          <w:sz w:val="22"/>
          <w:szCs w:val="22"/>
          <w:u w:val="single"/>
        </w:rPr>
        <w:t>de manera permanente, por su naturaleza, cuando</w:t>
      </w:r>
      <w:r w:rsidRPr="00D42BD8">
        <w:rPr>
          <w:rFonts w:ascii="Palatino Linotype" w:eastAsia="Palatino Linotype" w:hAnsi="Palatino Linotype" w:cs="Palatino Linotype"/>
          <w:i/>
          <w:sz w:val="22"/>
          <w:szCs w:val="22"/>
        </w:rPr>
        <w:t xml:space="preserve">: </w:t>
      </w:r>
    </w:p>
    <w:p w14:paraId="4B692874"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 xml:space="preserve">I. </w:t>
      </w:r>
      <w:r w:rsidRPr="00D42BD8">
        <w:rPr>
          <w:rFonts w:ascii="Palatino Linotype" w:eastAsia="Palatino Linotype" w:hAnsi="Palatino Linotype" w:cs="Palatino Linotype"/>
          <w:b/>
          <w:i/>
          <w:sz w:val="22"/>
          <w:szCs w:val="22"/>
          <w:u w:val="single"/>
        </w:rPr>
        <w:t>Se refiera a la información privada</w:t>
      </w:r>
      <w:r w:rsidRPr="00D42BD8">
        <w:rPr>
          <w:rFonts w:ascii="Palatino Linotype" w:eastAsia="Palatino Linotype" w:hAnsi="Palatino Linotype" w:cs="Palatino Linotype"/>
          <w:i/>
          <w:sz w:val="22"/>
          <w:szCs w:val="22"/>
        </w:rPr>
        <w:t xml:space="preserve"> y los datos personales c</w:t>
      </w:r>
      <w:r w:rsidRPr="00D42BD8">
        <w:rPr>
          <w:rFonts w:ascii="Palatino Linotype" w:eastAsia="Palatino Linotype" w:hAnsi="Palatino Linotype" w:cs="Palatino Linotype"/>
          <w:b/>
          <w:i/>
          <w:sz w:val="22"/>
          <w:szCs w:val="22"/>
          <w:u w:val="single"/>
        </w:rPr>
        <w:t xml:space="preserve">oncernientes a una persona física </w:t>
      </w:r>
      <w:r w:rsidRPr="00D42BD8">
        <w:rPr>
          <w:rFonts w:ascii="Palatino Linotype" w:eastAsia="Palatino Linotype" w:hAnsi="Palatino Linotype" w:cs="Palatino Linotype"/>
          <w:i/>
          <w:sz w:val="22"/>
          <w:szCs w:val="22"/>
        </w:rPr>
        <w:t xml:space="preserve">o jurídico colectiva </w:t>
      </w:r>
      <w:r w:rsidRPr="00D42BD8">
        <w:rPr>
          <w:rFonts w:ascii="Palatino Linotype" w:eastAsia="Palatino Linotype" w:hAnsi="Palatino Linotype" w:cs="Palatino Linotype"/>
          <w:b/>
          <w:i/>
          <w:sz w:val="22"/>
          <w:szCs w:val="22"/>
          <w:u w:val="single"/>
        </w:rPr>
        <w:t>identificada o identificable</w:t>
      </w:r>
      <w:r w:rsidRPr="00D42BD8">
        <w:rPr>
          <w:rFonts w:ascii="Palatino Linotype" w:eastAsia="Palatino Linotype" w:hAnsi="Palatino Linotype" w:cs="Palatino Linotype"/>
          <w:i/>
          <w:sz w:val="22"/>
          <w:szCs w:val="22"/>
        </w:rPr>
        <w:t xml:space="preserve">; </w:t>
      </w:r>
    </w:p>
    <w:p w14:paraId="1C41B67F"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II. … </w:t>
      </w:r>
    </w:p>
    <w:p w14:paraId="2002DD23"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III. … </w:t>
      </w:r>
    </w:p>
    <w:p w14:paraId="28EA47A1"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u w:val="single"/>
        </w:rPr>
        <w:t>La información confidencial</w:t>
      </w:r>
      <w:r w:rsidRPr="00D42BD8">
        <w:rPr>
          <w:rFonts w:ascii="Palatino Linotype" w:eastAsia="Palatino Linotype" w:hAnsi="Palatino Linotype" w:cs="Palatino Linotype"/>
          <w:i/>
          <w:sz w:val="22"/>
          <w:szCs w:val="22"/>
        </w:rPr>
        <w:t xml:space="preserve"> no estará sujeta a temporalidad alguna y </w:t>
      </w:r>
      <w:r w:rsidRPr="00D42BD8">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sidRPr="00D42BD8">
        <w:rPr>
          <w:rFonts w:ascii="Palatino Linotype" w:eastAsia="Palatino Linotype" w:hAnsi="Palatino Linotype" w:cs="Palatino Linotype"/>
          <w:i/>
          <w:sz w:val="22"/>
          <w:szCs w:val="22"/>
        </w:rPr>
        <w:t xml:space="preserve">. </w:t>
      </w:r>
    </w:p>
    <w:p w14:paraId="3ECAC301"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3A7DD33" w14:textId="77777777" w:rsidR="008F45A0" w:rsidRPr="00D42BD8" w:rsidRDefault="00D435A4">
      <w:pPr>
        <w:ind w:left="709" w:right="709"/>
        <w:jc w:val="center"/>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Ley de Protección de Datos Personales en Posesión de Sujetos Obligados del Estado de México y Municipios</w:t>
      </w:r>
    </w:p>
    <w:p w14:paraId="59DDAD37"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r w:rsidRPr="00D42BD8">
        <w:rPr>
          <w:rFonts w:ascii="Palatino Linotype" w:eastAsia="Palatino Linotype" w:hAnsi="Palatino Linotype" w:cs="Palatino Linotype"/>
          <w:b/>
          <w:i/>
          <w:sz w:val="22"/>
          <w:szCs w:val="22"/>
        </w:rPr>
        <w:t>Artículo 4</w:t>
      </w:r>
      <w:r w:rsidRPr="00D42BD8">
        <w:rPr>
          <w:rFonts w:ascii="Palatino Linotype" w:eastAsia="Palatino Linotype" w:hAnsi="Palatino Linotype" w:cs="Palatino Linotype"/>
          <w:i/>
          <w:sz w:val="22"/>
          <w:szCs w:val="22"/>
        </w:rPr>
        <w:t xml:space="preserve">.- </w:t>
      </w:r>
      <w:r w:rsidRPr="00D42BD8">
        <w:rPr>
          <w:rFonts w:ascii="Palatino Linotype" w:eastAsia="Palatino Linotype" w:hAnsi="Palatino Linotype" w:cs="Palatino Linotype"/>
          <w:b/>
          <w:i/>
          <w:sz w:val="22"/>
          <w:szCs w:val="22"/>
          <w:u w:val="single"/>
        </w:rPr>
        <w:t>Para los efectos de esta Ley se entenderá por</w:t>
      </w:r>
      <w:r w:rsidRPr="00D42BD8">
        <w:rPr>
          <w:rFonts w:ascii="Palatino Linotype" w:eastAsia="Palatino Linotype" w:hAnsi="Palatino Linotype" w:cs="Palatino Linotype"/>
          <w:i/>
          <w:sz w:val="22"/>
          <w:szCs w:val="22"/>
        </w:rPr>
        <w:t>:</w:t>
      </w:r>
    </w:p>
    <w:p w14:paraId="284AFFF5"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w:t>
      </w:r>
    </w:p>
    <w:p w14:paraId="604A1FD6" w14:textId="77777777" w:rsidR="008F45A0" w:rsidRPr="00D42BD8" w:rsidRDefault="00D435A4">
      <w:pPr>
        <w:ind w:left="709" w:right="70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b/>
          <w:i/>
          <w:sz w:val="22"/>
          <w:szCs w:val="22"/>
        </w:rPr>
        <w:t xml:space="preserve">XI. </w:t>
      </w:r>
      <w:r w:rsidRPr="00D42BD8">
        <w:rPr>
          <w:rFonts w:ascii="Palatino Linotype" w:eastAsia="Palatino Linotype" w:hAnsi="Palatino Linotype" w:cs="Palatino Linotype"/>
          <w:b/>
          <w:i/>
          <w:sz w:val="22"/>
          <w:szCs w:val="22"/>
          <w:u w:val="single"/>
        </w:rPr>
        <w:t>Datos personales</w:t>
      </w:r>
      <w:r w:rsidRPr="00D42BD8">
        <w:rPr>
          <w:rFonts w:ascii="Palatino Linotype" w:eastAsia="Palatino Linotype" w:hAnsi="Palatino Linotype" w:cs="Palatino Linotype"/>
          <w:i/>
          <w:sz w:val="22"/>
          <w:szCs w:val="22"/>
        </w:rPr>
        <w:t xml:space="preserve">: a </w:t>
      </w:r>
      <w:r w:rsidRPr="00D42BD8">
        <w:rPr>
          <w:rFonts w:ascii="Palatino Linotype" w:eastAsia="Palatino Linotype" w:hAnsi="Palatino Linotype" w:cs="Palatino Linotype"/>
          <w:b/>
          <w:i/>
          <w:sz w:val="22"/>
          <w:szCs w:val="22"/>
          <w:u w:val="single"/>
        </w:rPr>
        <w:t>la información concerniente a una persona física o jurídica colectiva identificada o identificable</w:t>
      </w:r>
      <w:r w:rsidRPr="00D42BD8">
        <w:rPr>
          <w:rFonts w:ascii="Palatino Linotype" w:eastAsia="Palatino Linotype" w:hAnsi="Palatino Linotype" w:cs="Palatino Linotype"/>
          <w:i/>
          <w:sz w:val="22"/>
          <w:szCs w:val="22"/>
        </w:rPr>
        <w:t xml:space="preserve">, establecida en cualquier formato o modalidad, y que esté almacenada en los sistemas y bases de datos, </w:t>
      </w:r>
      <w:r w:rsidRPr="00D42BD8">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sidRPr="00D42BD8">
        <w:rPr>
          <w:rFonts w:ascii="Palatino Linotype" w:eastAsia="Palatino Linotype" w:hAnsi="Palatino Linotype" w:cs="Palatino Linotype"/>
          <w:i/>
          <w:sz w:val="22"/>
          <w:szCs w:val="22"/>
        </w:rPr>
        <w:t xml:space="preserve"> a través de cualquier documento informativo físico o electrónico.”</w:t>
      </w:r>
    </w:p>
    <w:p w14:paraId="16B439AC" w14:textId="77777777" w:rsidR="008F45A0" w:rsidRPr="00D42BD8" w:rsidRDefault="00D435A4">
      <w:pPr>
        <w:ind w:left="709" w:right="709"/>
        <w:jc w:val="both"/>
        <w:rPr>
          <w:rFonts w:ascii="Palatino Linotype" w:eastAsia="Palatino Linotype" w:hAnsi="Palatino Linotype" w:cs="Palatino Linotype"/>
          <w:sz w:val="22"/>
          <w:szCs w:val="22"/>
        </w:rPr>
      </w:pPr>
      <w:r w:rsidRPr="00D42BD8">
        <w:rPr>
          <w:rFonts w:ascii="Palatino Linotype" w:eastAsia="Palatino Linotype" w:hAnsi="Palatino Linotype" w:cs="Palatino Linotype"/>
          <w:sz w:val="22"/>
          <w:szCs w:val="22"/>
        </w:rPr>
        <w:t>(Énfasis añadido)</w:t>
      </w:r>
    </w:p>
    <w:p w14:paraId="1B1548AA" w14:textId="77777777" w:rsidR="008F45A0" w:rsidRPr="00D42BD8" w:rsidRDefault="00D435A4">
      <w:pPr>
        <w:widowControl w:val="0"/>
        <w:spacing w:before="200" w:after="200"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De una interpretación armónica y sistemática de dichos preceptos jurídicos, podemos </w:t>
      </w:r>
      <w:r w:rsidRPr="00D42BD8">
        <w:rPr>
          <w:rFonts w:ascii="Palatino Linotype" w:eastAsia="Palatino Linotype" w:hAnsi="Palatino Linotype" w:cs="Palatino Linotype"/>
        </w:rPr>
        <w:lastRenderedPageBreak/>
        <w:t xml:space="preserve">advertir que la información privada es aquella contenida en documentos de orden público que se refiera o contenga, a su vez, datos personales, los cuales no serán de acceso público. En ese mismo sentido, los datos personales son aquellos que conciernen a una persona, ya sea física o jurídica colectiva, que </w:t>
      </w:r>
      <w:r w:rsidRPr="00D42BD8">
        <w:rPr>
          <w:rFonts w:ascii="Palatino Linotype" w:eastAsia="Palatino Linotype" w:hAnsi="Palatino Linotype" w:cs="Palatino Linotype"/>
          <w:b/>
          <w:u w:val="single"/>
        </w:rPr>
        <w:t>la hacen identificada o identificable</w:t>
      </w:r>
      <w:r w:rsidRPr="00D42BD8">
        <w:rPr>
          <w:rFonts w:ascii="Palatino Linotype" w:eastAsia="Palatino Linotype" w:hAnsi="Palatino Linotype" w:cs="Palatino Linotype"/>
        </w:rPr>
        <w:t xml:space="preserve">; lo anterior, siempre que no involucren el ejercicio de recursos públicos. </w:t>
      </w:r>
    </w:p>
    <w:p w14:paraId="1A9158AF" w14:textId="77777777" w:rsidR="008F45A0" w:rsidRPr="00D42BD8" w:rsidRDefault="008F45A0">
      <w:pPr>
        <w:widowControl w:val="0"/>
        <w:spacing w:before="200" w:after="200" w:line="360" w:lineRule="auto"/>
        <w:jc w:val="both"/>
        <w:rPr>
          <w:rFonts w:ascii="Palatino Linotype" w:eastAsia="Palatino Linotype" w:hAnsi="Palatino Linotype" w:cs="Palatino Linotype"/>
        </w:rPr>
      </w:pPr>
    </w:p>
    <w:p w14:paraId="5503EA85" w14:textId="77777777" w:rsidR="008F45A0" w:rsidRPr="00D42BD8" w:rsidRDefault="00D435A4">
      <w:pPr>
        <w:spacing w:line="360" w:lineRule="auto"/>
        <w:jc w:val="both"/>
        <w:rPr>
          <w:rFonts w:ascii="Palatino Linotype" w:eastAsia="Palatino Linotype" w:hAnsi="Palatino Linotype" w:cs="Palatino Linotype"/>
        </w:rPr>
      </w:pPr>
      <w:bookmarkStart w:id="22" w:name="_heading=h.nms7q82gx7sj" w:colFirst="0" w:colLast="0"/>
      <w:bookmarkEnd w:id="22"/>
      <w:r w:rsidRPr="00D42BD8">
        <w:rPr>
          <w:rFonts w:ascii="Palatino Linotype" w:eastAsia="Palatino Linotype" w:hAnsi="Palatino Linotype" w:cs="Palatino Linotype"/>
        </w:rPr>
        <w:t>Expuesto todo lo anterior</w:t>
      </w:r>
      <w:r w:rsidRPr="00D42BD8">
        <w:rPr>
          <w:rFonts w:ascii="Palatino Linotype" w:eastAsia="Palatino Linotype" w:hAnsi="Palatino Linotype" w:cs="Palatino Linotype"/>
          <w:b/>
        </w:rPr>
        <w:t xml:space="preserve">, </w:t>
      </w:r>
      <w:r w:rsidRPr="00D42BD8">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resultan </w:t>
      </w:r>
      <w:r w:rsidRPr="00D42BD8">
        <w:rPr>
          <w:rFonts w:ascii="Palatino Linotype" w:eastAsia="Palatino Linotype" w:hAnsi="Palatino Linotype" w:cs="Palatino Linotype"/>
          <w:b/>
        </w:rPr>
        <w:t>parcialmente</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b/>
        </w:rPr>
        <w:t>fundadas</w:t>
      </w:r>
      <w:r w:rsidRPr="00D42BD8">
        <w:rPr>
          <w:rFonts w:ascii="Palatino Linotype" w:eastAsia="Palatino Linotype" w:hAnsi="Palatino Linotype" w:cs="Palatino Linotype"/>
        </w:rPr>
        <w:t xml:space="preserve"> y suficientes para </w:t>
      </w:r>
      <w:r w:rsidRPr="00D42BD8">
        <w:rPr>
          <w:rFonts w:ascii="Palatino Linotype" w:eastAsia="Palatino Linotype" w:hAnsi="Palatino Linotype" w:cs="Palatino Linotype"/>
          <w:b/>
        </w:rPr>
        <w:t>MODIFICAR</w:t>
      </w:r>
      <w:r w:rsidRPr="00D42BD8">
        <w:rPr>
          <w:rFonts w:ascii="Palatino Linotype" w:eastAsia="Palatino Linotype" w:hAnsi="Palatino Linotype" w:cs="Palatino Linotype"/>
        </w:rPr>
        <w:t xml:space="preserve"> la respuesta del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y ordenarle haga entrega en versión pública del soporte documental que avale la donación, compraventa o el medio de adquisición del predio mencionado en el Informe Justificado al tres de febrero de dos mil veintidós.</w:t>
      </w:r>
    </w:p>
    <w:p w14:paraId="1248CBF5" w14:textId="77777777" w:rsidR="008F45A0" w:rsidRPr="00D42BD8" w:rsidRDefault="008F45A0">
      <w:pPr>
        <w:spacing w:line="360" w:lineRule="auto"/>
        <w:jc w:val="both"/>
        <w:rPr>
          <w:rFonts w:ascii="Palatino Linotype" w:eastAsia="Palatino Linotype" w:hAnsi="Palatino Linotype" w:cs="Palatino Linotype"/>
        </w:rPr>
      </w:pPr>
    </w:p>
    <w:p w14:paraId="0DC52F1A"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60ACBBA8" w14:textId="77777777" w:rsidR="008F45A0" w:rsidRPr="00D42BD8" w:rsidRDefault="008F45A0">
      <w:pPr>
        <w:spacing w:line="360" w:lineRule="auto"/>
        <w:jc w:val="both"/>
        <w:rPr>
          <w:rFonts w:ascii="Palatino Linotype" w:eastAsia="Palatino Linotype" w:hAnsi="Palatino Linotype" w:cs="Palatino Linotype"/>
        </w:rPr>
      </w:pPr>
    </w:p>
    <w:p w14:paraId="5DA7F33F" w14:textId="77777777" w:rsidR="00355237" w:rsidRPr="00D42BD8" w:rsidRDefault="00355237">
      <w:pPr>
        <w:spacing w:line="360" w:lineRule="auto"/>
        <w:jc w:val="both"/>
        <w:rPr>
          <w:rFonts w:ascii="Palatino Linotype" w:eastAsia="Palatino Linotype" w:hAnsi="Palatino Linotype" w:cs="Palatino Linotype"/>
        </w:rPr>
      </w:pPr>
    </w:p>
    <w:p w14:paraId="0F2BA237" w14:textId="77777777" w:rsidR="008F45A0" w:rsidRPr="00D42BD8" w:rsidRDefault="00D435A4">
      <w:pPr>
        <w:spacing w:line="360" w:lineRule="auto"/>
        <w:jc w:val="center"/>
        <w:rPr>
          <w:rFonts w:ascii="Palatino Linotype" w:eastAsia="Palatino Linotype" w:hAnsi="Palatino Linotype" w:cs="Palatino Linotype"/>
          <w:b/>
          <w:sz w:val="26"/>
          <w:szCs w:val="26"/>
        </w:rPr>
      </w:pPr>
      <w:r w:rsidRPr="00D42BD8">
        <w:rPr>
          <w:rFonts w:ascii="Palatino Linotype" w:eastAsia="Palatino Linotype" w:hAnsi="Palatino Linotype" w:cs="Palatino Linotype"/>
          <w:b/>
          <w:sz w:val="26"/>
          <w:szCs w:val="26"/>
        </w:rPr>
        <w:lastRenderedPageBreak/>
        <w:t>RESUELVE</w:t>
      </w:r>
    </w:p>
    <w:p w14:paraId="17FAC1CB" w14:textId="77777777" w:rsidR="008F45A0" w:rsidRPr="00D42BD8" w:rsidRDefault="008F45A0">
      <w:pPr>
        <w:spacing w:line="360" w:lineRule="auto"/>
        <w:jc w:val="center"/>
        <w:rPr>
          <w:rFonts w:ascii="Palatino Linotype" w:eastAsia="Palatino Linotype" w:hAnsi="Palatino Linotype" w:cs="Palatino Linotype"/>
          <w:b/>
          <w:sz w:val="26"/>
          <w:szCs w:val="26"/>
        </w:rPr>
      </w:pPr>
    </w:p>
    <w:p w14:paraId="09E949DD" w14:textId="77777777" w:rsidR="008F45A0" w:rsidRPr="00D42BD8" w:rsidRDefault="00D435A4">
      <w:pPr>
        <w:spacing w:line="360" w:lineRule="auto"/>
        <w:ind w:right="49"/>
        <w:jc w:val="both"/>
        <w:rPr>
          <w:rFonts w:ascii="Palatino Linotype" w:eastAsia="Palatino Linotype" w:hAnsi="Palatino Linotype" w:cs="Palatino Linotype"/>
        </w:rPr>
      </w:pPr>
      <w:r w:rsidRPr="00D42BD8">
        <w:rPr>
          <w:rFonts w:ascii="Palatino Linotype" w:eastAsia="Palatino Linotype" w:hAnsi="Palatino Linotype" w:cs="Palatino Linotype"/>
          <w:b/>
        </w:rPr>
        <w:t>PRIMERO.</w:t>
      </w:r>
      <w:r w:rsidRPr="00D42BD8">
        <w:rPr>
          <w:rFonts w:ascii="Palatino Linotype" w:eastAsia="Palatino Linotype" w:hAnsi="Palatino Linotype" w:cs="Palatino Linotype"/>
        </w:rPr>
        <w:t xml:space="preserve"> Resultan </w:t>
      </w:r>
      <w:r w:rsidRPr="00D42BD8">
        <w:rPr>
          <w:rFonts w:ascii="Palatino Linotype" w:eastAsia="Palatino Linotype" w:hAnsi="Palatino Linotype" w:cs="Palatino Linotype"/>
          <w:b/>
        </w:rPr>
        <w:t>parcialmente fundados</w:t>
      </w:r>
      <w:r w:rsidRPr="00D42BD8">
        <w:rPr>
          <w:rFonts w:ascii="Palatino Linotype" w:eastAsia="Palatino Linotype" w:hAnsi="Palatino Linotype" w:cs="Palatino Linotype"/>
        </w:rPr>
        <w:t xml:space="preserve"> los motivos de inconformidad hechos valer por </w:t>
      </w:r>
      <w:r w:rsidRPr="00D42BD8">
        <w:rPr>
          <w:rFonts w:ascii="Palatino Linotype" w:eastAsia="Palatino Linotype" w:hAnsi="Palatino Linotype" w:cs="Palatino Linotype"/>
          <w:b/>
        </w:rPr>
        <w:t>EL RECURRENTE</w:t>
      </w:r>
      <w:r w:rsidRPr="00D42BD8">
        <w:rPr>
          <w:rFonts w:ascii="Palatino Linotype" w:eastAsia="Palatino Linotype" w:hAnsi="Palatino Linotype" w:cs="Palatino Linotype"/>
        </w:rPr>
        <w:t xml:space="preserve"> en el Recurso de Revisión </w:t>
      </w:r>
      <w:r w:rsidRPr="00D42BD8">
        <w:rPr>
          <w:rFonts w:ascii="Palatino Linotype" w:eastAsia="Palatino Linotype" w:hAnsi="Palatino Linotype" w:cs="Palatino Linotype"/>
          <w:b/>
        </w:rPr>
        <w:t>02757/INFOEM/IP/RR/2022</w:t>
      </w:r>
      <w:r w:rsidRPr="00D42BD8">
        <w:rPr>
          <w:rFonts w:ascii="Palatino Linotype" w:eastAsia="Palatino Linotype" w:hAnsi="Palatino Linotype" w:cs="Palatino Linotype"/>
        </w:rPr>
        <w:t xml:space="preserve">, en términos del considerando </w:t>
      </w:r>
      <w:r w:rsidRPr="00D42BD8">
        <w:rPr>
          <w:rFonts w:ascii="Palatino Linotype" w:eastAsia="Palatino Linotype" w:hAnsi="Palatino Linotype" w:cs="Palatino Linotype"/>
          <w:b/>
        </w:rPr>
        <w:t>QUINTO</w:t>
      </w:r>
      <w:r w:rsidRPr="00D42BD8">
        <w:rPr>
          <w:rFonts w:ascii="Palatino Linotype" w:eastAsia="Palatino Linotype" w:hAnsi="Palatino Linotype" w:cs="Palatino Linotype"/>
        </w:rPr>
        <w:t>.</w:t>
      </w:r>
    </w:p>
    <w:p w14:paraId="55C350D7" w14:textId="77777777" w:rsidR="008F45A0" w:rsidRPr="00D42BD8" w:rsidRDefault="008F45A0">
      <w:pPr>
        <w:spacing w:line="360" w:lineRule="auto"/>
        <w:ind w:right="49"/>
        <w:jc w:val="both"/>
        <w:rPr>
          <w:rFonts w:ascii="Palatino Linotype" w:eastAsia="Palatino Linotype" w:hAnsi="Palatino Linotype" w:cs="Palatino Linotype"/>
        </w:rPr>
      </w:pPr>
    </w:p>
    <w:p w14:paraId="410132BB"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b/>
        </w:rPr>
        <w:t xml:space="preserve">SEGUNDO. </w:t>
      </w:r>
      <w:r w:rsidRPr="00D42BD8">
        <w:rPr>
          <w:rFonts w:ascii="Palatino Linotype" w:eastAsia="Palatino Linotype" w:hAnsi="Palatino Linotype" w:cs="Palatino Linotype"/>
        </w:rPr>
        <w:t xml:space="preserve">Se </w:t>
      </w:r>
      <w:r w:rsidRPr="00D42BD8">
        <w:rPr>
          <w:rFonts w:ascii="Palatino Linotype" w:eastAsia="Palatino Linotype" w:hAnsi="Palatino Linotype" w:cs="Palatino Linotype"/>
          <w:b/>
        </w:rPr>
        <w:t xml:space="preserve">MODIFICA </w:t>
      </w:r>
      <w:r w:rsidRPr="00D42BD8">
        <w:rPr>
          <w:rFonts w:ascii="Palatino Linotype" w:eastAsia="Palatino Linotype" w:hAnsi="Palatino Linotype" w:cs="Palatino Linotype"/>
        </w:rPr>
        <w:t xml:space="preserve">la respuesta emitida por </w:t>
      </w:r>
      <w:r w:rsidRPr="00D42BD8">
        <w:rPr>
          <w:rFonts w:ascii="Palatino Linotype" w:eastAsia="Palatino Linotype" w:hAnsi="Palatino Linotype" w:cs="Palatino Linotype"/>
          <w:b/>
        </w:rPr>
        <w:t>EL</w:t>
      </w:r>
      <w:r w:rsidRPr="00D42BD8">
        <w:rPr>
          <w:rFonts w:ascii="Palatino Linotype" w:eastAsia="Palatino Linotype" w:hAnsi="Palatino Linotype" w:cs="Palatino Linotype"/>
        </w:rPr>
        <w:t xml:space="preserve"> </w:t>
      </w:r>
      <w:r w:rsidRPr="00D42BD8">
        <w:rPr>
          <w:rFonts w:ascii="Palatino Linotype" w:eastAsia="Palatino Linotype" w:hAnsi="Palatino Linotype" w:cs="Palatino Linotype"/>
          <w:b/>
        </w:rPr>
        <w:t>SUJETO OBLIGADO</w:t>
      </w:r>
      <w:r w:rsidRPr="00D42BD8">
        <w:rPr>
          <w:rFonts w:ascii="Palatino Linotype" w:eastAsia="Palatino Linotype" w:hAnsi="Palatino Linotype" w:cs="Palatino Linotype"/>
        </w:rPr>
        <w:t xml:space="preserve"> y se ordena que en términos del Considerando </w:t>
      </w:r>
      <w:r w:rsidRPr="00D42BD8">
        <w:rPr>
          <w:rFonts w:ascii="Palatino Linotype" w:eastAsia="Palatino Linotype" w:hAnsi="Palatino Linotype" w:cs="Palatino Linotype"/>
          <w:b/>
        </w:rPr>
        <w:t>Quinto</w:t>
      </w:r>
      <w:r w:rsidRPr="00D42BD8">
        <w:rPr>
          <w:rFonts w:ascii="Palatino Linotype" w:eastAsia="Palatino Linotype" w:hAnsi="Palatino Linotype" w:cs="Palatino Linotype"/>
        </w:rPr>
        <w:t xml:space="preserve"> haga entrega al</w:t>
      </w:r>
      <w:r w:rsidRPr="00D42BD8">
        <w:rPr>
          <w:rFonts w:ascii="Palatino Linotype" w:eastAsia="Palatino Linotype" w:hAnsi="Palatino Linotype" w:cs="Palatino Linotype"/>
          <w:b/>
        </w:rPr>
        <w:t xml:space="preserve"> RECURRENTE </w:t>
      </w:r>
      <w:r w:rsidRPr="00D42BD8">
        <w:rPr>
          <w:rFonts w:ascii="Palatino Linotype" w:eastAsia="Palatino Linotype" w:hAnsi="Palatino Linotype" w:cs="Palatino Linotype"/>
        </w:rPr>
        <w:t xml:space="preserve">mediante el Sistema de Acceso a la Información Mexiquense (SAIMEX), en versión pública de  lo siguiente: </w:t>
      </w:r>
    </w:p>
    <w:p w14:paraId="6603F59D" w14:textId="77777777" w:rsidR="008F45A0" w:rsidRPr="00D42BD8" w:rsidRDefault="00D435A4">
      <w:pPr>
        <w:tabs>
          <w:tab w:val="left" w:pos="709"/>
        </w:tabs>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El soporte documental que avale la donación, compraventa o el medio de adquisición del predio mencionado en el Informe Justificado al tres de febrero de dos mil veintidós. </w:t>
      </w:r>
    </w:p>
    <w:p w14:paraId="40F28564" w14:textId="77777777" w:rsidR="008F45A0" w:rsidRPr="00D42BD8" w:rsidRDefault="008F45A0">
      <w:pPr>
        <w:tabs>
          <w:tab w:val="left" w:pos="709"/>
        </w:tabs>
        <w:ind w:left="850" w:right="899"/>
        <w:jc w:val="both"/>
        <w:rPr>
          <w:rFonts w:ascii="Palatino Linotype" w:eastAsia="Palatino Linotype" w:hAnsi="Palatino Linotype" w:cs="Palatino Linotype"/>
          <w:i/>
          <w:sz w:val="22"/>
          <w:szCs w:val="22"/>
        </w:rPr>
      </w:pPr>
    </w:p>
    <w:p w14:paraId="32F422BF" w14:textId="77777777" w:rsidR="008F45A0" w:rsidRPr="00D42BD8" w:rsidRDefault="00D435A4">
      <w:pPr>
        <w:tabs>
          <w:tab w:val="left" w:pos="709"/>
        </w:tabs>
        <w:ind w:left="850" w:right="899"/>
        <w:jc w:val="both"/>
        <w:rPr>
          <w:rFonts w:ascii="Palatino Linotype" w:eastAsia="Palatino Linotype" w:hAnsi="Palatino Linotype" w:cs="Palatino Linotype"/>
          <w:i/>
          <w:sz w:val="22"/>
          <w:szCs w:val="22"/>
        </w:rPr>
      </w:pPr>
      <w:r w:rsidRPr="00D42BD8">
        <w:rPr>
          <w:rFonts w:ascii="Palatino Linotype" w:eastAsia="Palatino Linotype" w:hAnsi="Palatino Linotype" w:cs="Palatino Linotype"/>
          <w:i/>
          <w:sz w:val="22"/>
          <w:szCs w:val="22"/>
        </w:rPr>
        <w:t xml:space="preserve">Debiendo notificar al </w:t>
      </w:r>
      <w:r w:rsidRPr="00D42BD8">
        <w:rPr>
          <w:rFonts w:ascii="Palatino Linotype" w:eastAsia="Palatino Linotype" w:hAnsi="Palatino Linotype" w:cs="Palatino Linotype"/>
          <w:b/>
          <w:i/>
          <w:sz w:val="22"/>
          <w:szCs w:val="22"/>
        </w:rPr>
        <w:t>RECURRENTE</w:t>
      </w:r>
      <w:r w:rsidRPr="00D42BD8">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5AE5D5EC" w14:textId="77777777" w:rsidR="008F45A0" w:rsidRPr="00D42BD8" w:rsidRDefault="008F45A0">
      <w:pPr>
        <w:tabs>
          <w:tab w:val="left" w:pos="709"/>
        </w:tabs>
        <w:ind w:left="850" w:right="899"/>
        <w:jc w:val="both"/>
        <w:rPr>
          <w:rFonts w:ascii="Palatino Linotype" w:eastAsia="Palatino Linotype" w:hAnsi="Palatino Linotype" w:cs="Palatino Linotype"/>
          <w:i/>
          <w:sz w:val="22"/>
          <w:szCs w:val="22"/>
        </w:rPr>
      </w:pPr>
    </w:p>
    <w:p w14:paraId="3E4CA516" w14:textId="77777777" w:rsidR="008F45A0" w:rsidRPr="00D42BD8" w:rsidRDefault="008F45A0">
      <w:pPr>
        <w:tabs>
          <w:tab w:val="left" w:pos="709"/>
        </w:tabs>
        <w:ind w:left="850" w:right="899"/>
        <w:jc w:val="both"/>
        <w:rPr>
          <w:rFonts w:ascii="Palatino Linotype" w:eastAsia="Palatino Linotype" w:hAnsi="Palatino Linotype" w:cs="Palatino Linotype"/>
          <w:b/>
        </w:rPr>
      </w:pPr>
    </w:p>
    <w:p w14:paraId="1D661B7B"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b/>
        </w:rPr>
        <w:t>TERCERO. Notifíquese</w:t>
      </w:r>
      <w:r w:rsidRPr="00D42BD8">
        <w:rPr>
          <w:rFonts w:ascii="Palatino Linotype" w:eastAsia="Palatino Linotype" w:hAnsi="Palatino Linotype" w:cs="Palatino Linotype"/>
          <w:b/>
          <w:i/>
        </w:rPr>
        <w:t xml:space="preserve"> </w:t>
      </w:r>
      <w:r w:rsidRPr="00D42BD8">
        <w:rPr>
          <w:rFonts w:ascii="Palatino Linotype" w:eastAsia="Palatino Linotype" w:hAnsi="Palatino Linotype" w:cs="Palatino Linotype"/>
        </w:rPr>
        <w:t>al Titular de la Unidad de Transparencia del</w:t>
      </w:r>
      <w:r w:rsidRPr="00D42BD8">
        <w:rPr>
          <w:rFonts w:ascii="Palatino Linotype" w:eastAsia="Palatino Linotype" w:hAnsi="Palatino Linotype" w:cs="Palatino Linotype"/>
          <w:b/>
        </w:rPr>
        <w:t xml:space="preserve"> </w:t>
      </w:r>
      <w:r w:rsidRPr="00D42BD8">
        <w:rPr>
          <w:rFonts w:ascii="Palatino Linotype" w:eastAsia="Palatino Linotype" w:hAnsi="Palatino Linotype" w:cs="Palatino Linotype"/>
        </w:rPr>
        <w:t>Sujeto Obligado por medio del Sistema de Acceso a la Información Mexiquense (</w:t>
      </w:r>
      <w:r w:rsidRPr="00D42BD8">
        <w:rPr>
          <w:rFonts w:ascii="Palatino Linotype" w:eastAsia="Palatino Linotype" w:hAnsi="Palatino Linotype" w:cs="Palatino Linotype"/>
          <w:b/>
        </w:rPr>
        <w:t>SAIMEX),</w:t>
      </w:r>
      <w:r w:rsidRPr="00D42BD8">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7138F308" w14:textId="77777777" w:rsidR="008F45A0" w:rsidRPr="00D42BD8" w:rsidRDefault="008F45A0">
      <w:pPr>
        <w:spacing w:line="360" w:lineRule="auto"/>
        <w:jc w:val="both"/>
        <w:rPr>
          <w:rFonts w:ascii="Palatino Linotype" w:eastAsia="Palatino Linotype" w:hAnsi="Palatino Linotype" w:cs="Palatino Linotype"/>
          <w:b/>
        </w:rPr>
      </w:pPr>
    </w:p>
    <w:p w14:paraId="30D06056"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b/>
        </w:rPr>
        <w:lastRenderedPageBreak/>
        <w:t xml:space="preserve">CUARTO. </w:t>
      </w:r>
      <w:r w:rsidRPr="00D42BD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50C8268" w14:textId="77777777" w:rsidR="008F45A0" w:rsidRPr="00D42BD8" w:rsidRDefault="008F45A0">
      <w:pPr>
        <w:spacing w:line="360" w:lineRule="auto"/>
        <w:jc w:val="both"/>
        <w:rPr>
          <w:rFonts w:ascii="Palatino Linotype" w:eastAsia="Palatino Linotype" w:hAnsi="Palatino Linotype" w:cs="Palatino Linotype"/>
          <w:b/>
        </w:rPr>
      </w:pPr>
    </w:p>
    <w:p w14:paraId="0BF3AE58"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b/>
        </w:rPr>
        <w:t xml:space="preserve">QUINTO. Notifíquese </w:t>
      </w:r>
      <w:r w:rsidRPr="00D42BD8">
        <w:rPr>
          <w:rFonts w:ascii="Palatino Linotype" w:eastAsia="Palatino Linotype" w:hAnsi="Palatino Linotype" w:cs="Palatino Linotype"/>
        </w:rPr>
        <w:t xml:space="preserve">la presente resolución al </w:t>
      </w:r>
      <w:r w:rsidRPr="00D42BD8">
        <w:rPr>
          <w:rFonts w:ascii="Palatino Linotype" w:eastAsia="Palatino Linotype" w:hAnsi="Palatino Linotype" w:cs="Palatino Linotype"/>
          <w:b/>
        </w:rPr>
        <w:t>RECURRENTE</w:t>
      </w:r>
      <w:r w:rsidRPr="00D42BD8">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1E74224A" w14:textId="77777777" w:rsidR="008F45A0" w:rsidRPr="00D42BD8" w:rsidRDefault="008F45A0">
      <w:pPr>
        <w:spacing w:line="360" w:lineRule="auto"/>
        <w:jc w:val="both"/>
        <w:rPr>
          <w:rFonts w:ascii="Palatino Linotype" w:eastAsia="Palatino Linotype" w:hAnsi="Palatino Linotype" w:cs="Palatino Linotype"/>
        </w:rPr>
      </w:pPr>
    </w:p>
    <w:p w14:paraId="68542CD3" w14:textId="77777777" w:rsidR="008F45A0" w:rsidRPr="00D42BD8" w:rsidRDefault="00D435A4">
      <w:pPr>
        <w:spacing w:line="360" w:lineRule="auto"/>
        <w:jc w:val="both"/>
        <w:rPr>
          <w:rFonts w:ascii="Palatino Linotype" w:eastAsia="Palatino Linotype" w:hAnsi="Palatino Linotype" w:cs="Palatino Linotype"/>
        </w:rPr>
      </w:pPr>
      <w:r w:rsidRPr="00D42BD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DE MAYO DE DOS MIL VEINTIDÓS, ANTE EL SECRETARIO TÉCNICO DEL PLENO, ALEXIS TAPIA RAMÍREZ.</w:t>
      </w:r>
    </w:p>
    <w:p w14:paraId="0048807C" w14:textId="77777777" w:rsidR="008F45A0" w:rsidRDefault="00D435A4">
      <w:pPr>
        <w:spacing w:line="360" w:lineRule="auto"/>
        <w:jc w:val="both"/>
        <w:rPr>
          <w:rFonts w:ascii="Palatino Linotype" w:eastAsia="Palatino Linotype" w:hAnsi="Palatino Linotype" w:cs="Palatino Linotype"/>
          <w:sz w:val="14"/>
          <w:szCs w:val="14"/>
        </w:rPr>
      </w:pPr>
      <w:bookmarkStart w:id="23" w:name="_heading=h.30j0zll" w:colFirst="0" w:colLast="0"/>
      <w:bookmarkEnd w:id="23"/>
      <w:r w:rsidRPr="00D42BD8">
        <w:rPr>
          <w:rFonts w:ascii="Palatino Linotype" w:eastAsia="Palatino Linotype" w:hAnsi="Palatino Linotype" w:cs="Palatino Linotype"/>
          <w:sz w:val="14"/>
          <w:szCs w:val="14"/>
        </w:rPr>
        <w:t>SCMM/BLA/DEMF/PMRE</w:t>
      </w:r>
    </w:p>
    <w:p w14:paraId="7875C2C0" w14:textId="77777777" w:rsidR="008F45A0" w:rsidRDefault="00D435A4">
      <w:pPr>
        <w:rPr>
          <w:rFonts w:ascii="Palatino Linotype" w:eastAsia="Palatino Linotype" w:hAnsi="Palatino Linotype" w:cs="Palatino Linotype"/>
        </w:rPr>
      </w:pPr>
      <w:r>
        <w:br w:type="page"/>
      </w:r>
    </w:p>
    <w:p w14:paraId="58BD384F" w14:textId="77777777" w:rsidR="008F45A0" w:rsidRDefault="008F45A0">
      <w:pPr>
        <w:spacing w:line="360" w:lineRule="auto"/>
        <w:jc w:val="both"/>
        <w:rPr>
          <w:rFonts w:ascii="Palatino Linotype" w:eastAsia="Palatino Linotype" w:hAnsi="Palatino Linotype" w:cs="Palatino Linotype"/>
        </w:rPr>
      </w:pPr>
    </w:p>
    <w:p w14:paraId="6E2620F6" w14:textId="77777777" w:rsidR="008F45A0" w:rsidRDefault="008F45A0">
      <w:pPr>
        <w:spacing w:line="360" w:lineRule="auto"/>
        <w:jc w:val="both"/>
        <w:rPr>
          <w:rFonts w:ascii="Palatino Linotype" w:eastAsia="Palatino Linotype" w:hAnsi="Palatino Linotype" w:cs="Palatino Linotype"/>
        </w:rPr>
      </w:pPr>
    </w:p>
    <w:p w14:paraId="47CB7DA5" w14:textId="77777777" w:rsidR="008F45A0" w:rsidRDefault="008F45A0">
      <w:pPr>
        <w:spacing w:line="360" w:lineRule="auto"/>
        <w:jc w:val="both"/>
        <w:rPr>
          <w:rFonts w:ascii="Palatino Linotype" w:eastAsia="Palatino Linotype" w:hAnsi="Palatino Linotype" w:cs="Palatino Linotype"/>
        </w:rPr>
      </w:pPr>
    </w:p>
    <w:p w14:paraId="649FFB94" w14:textId="77777777" w:rsidR="008F45A0" w:rsidRDefault="008F45A0">
      <w:pPr>
        <w:spacing w:line="360" w:lineRule="auto"/>
        <w:jc w:val="both"/>
        <w:rPr>
          <w:rFonts w:ascii="Palatino Linotype" w:eastAsia="Palatino Linotype" w:hAnsi="Palatino Linotype" w:cs="Palatino Linotype"/>
        </w:rPr>
      </w:pPr>
    </w:p>
    <w:p w14:paraId="68835865" w14:textId="77777777" w:rsidR="008F45A0" w:rsidRDefault="008F45A0">
      <w:pPr>
        <w:spacing w:line="360" w:lineRule="auto"/>
        <w:jc w:val="both"/>
        <w:rPr>
          <w:rFonts w:ascii="Palatino Linotype" w:eastAsia="Palatino Linotype" w:hAnsi="Palatino Linotype" w:cs="Palatino Linotype"/>
        </w:rPr>
      </w:pPr>
    </w:p>
    <w:p w14:paraId="11E30FA8" w14:textId="77777777" w:rsidR="008F45A0" w:rsidRDefault="008F45A0">
      <w:pPr>
        <w:spacing w:line="360" w:lineRule="auto"/>
        <w:jc w:val="both"/>
        <w:rPr>
          <w:rFonts w:ascii="Palatino Linotype" w:eastAsia="Palatino Linotype" w:hAnsi="Palatino Linotype" w:cs="Palatino Linotype"/>
        </w:rPr>
      </w:pPr>
    </w:p>
    <w:p w14:paraId="4EDC6843" w14:textId="77777777" w:rsidR="008F45A0" w:rsidRDefault="008F45A0">
      <w:pPr>
        <w:spacing w:line="360" w:lineRule="auto"/>
        <w:jc w:val="both"/>
        <w:rPr>
          <w:rFonts w:ascii="Palatino Linotype" w:eastAsia="Palatino Linotype" w:hAnsi="Palatino Linotype" w:cs="Palatino Linotype"/>
        </w:rPr>
      </w:pPr>
    </w:p>
    <w:p w14:paraId="7898B012" w14:textId="77777777" w:rsidR="008F45A0" w:rsidRDefault="008F45A0">
      <w:pPr>
        <w:spacing w:line="360" w:lineRule="auto"/>
        <w:jc w:val="both"/>
        <w:rPr>
          <w:rFonts w:ascii="Palatino Linotype" w:eastAsia="Palatino Linotype" w:hAnsi="Palatino Linotype" w:cs="Palatino Linotype"/>
        </w:rPr>
      </w:pPr>
    </w:p>
    <w:p w14:paraId="14A7ABA9" w14:textId="77777777" w:rsidR="008F45A0" w:rsidRDefault="008F45A0">
      <w:pPr>
        <w:spacing w:line="360" w:lineRule="auto"/>
        <w:jc w:val="both"/>
        <w:rPr>
          <w:rFonts w:ascii="Palatino Linotype" w:eastAsia="Palatino Linotype" w:hAnsi="Palatino Linotype" w:cs="Palatino Linotype"/>
        </w:rPr>
      </w:pPr>
    </w:p>
    <w:p w14:paraId="7F713574" w14:textId="77777777" w:rsidR="008F45A0" w:rsidRDefault="008F45A0">
      <w:pPr>
        <w:spacing w:line="360" w:lineRule="auto"/>
        <w:jc w:val="both"/>
        <w:rPr>
          <w:rFonts w:ascii="Palatino Linotype" w:eastAsia="Palatino Linotype" w:hAnsi="Palatino Linotype" w:cs="Palatino Linotype"/>
        </w:rPr>
      </w:pPr>
    </w:p>
    <w:p w14:paraId="351C92C9" w14:textId="77777777" w:rsidR="008F45A0" w:rsidRDefault="008F45A0">
      <w:pPr>
        <w:spacing w:line="360" w:lineRule="auto"/>
        <w:jc w:val="both"/>
        <w:rPr>
          <w:rFonts w:ascii="Palatino Linotype" w:eastAsia="Palatino Linotype" w:hAnsi="Palatino Linotype" w:cs="Palatino Linotype"/>
        </w:rPr>
      </w:pPr>
    </w:p>
    <w:p w14:paraId="2437F560" w14:textId="77777777" w:rsidR="008F45A0" w:rsidRDefault="008F45A0">
      <w:pPr>
        <w:spacing w:line="360" w:lineRule="auto"/>
        <w:jc w:val="both"/>
        <w:rPr>
          <w:rFonts w:ascii="Palatino Linotype" w:eastAsia="Palatino Linotype" w:hAnsi="Palatino Linotype" w:cs="Palatino Linotype"/>
        </w:rPr>
      </w:pPr>
    </w:p>
    <w:p w14:paraId="11CD1AE0" w14:textId="77777777" w:rsidR="008F45A0" w:rsidRDefault="008F45A0">
      <w:pPr>
        <w:spacing w:line="360" w:lineRule="auto"/>
        <w:jc w:val="both"/>
        <w:rPr>
          <w:rFonts w:ascii="Palatino Linotype" w:eastAsia="Palatino Linotype" w:hAnsi="Palatino Linotype" w:cs="Palatino Linotype"/>
        </w:rPr>
      </w:pPr>
    </w:p>
    <w:p w14:paraId="048CC34B" w14:textId="77777777" w:rsidR="008F45A0" w:rsidRDefault="008F45A0">
      <w:pPr>
        <w:spacing w:line="360" w:lineRule="auto"/>
        <w:jc w:val="both"/>
        <w:rPr>
          <w:rFonts w:ascii="Palatino Linotype" w:eastAsia="Palatino Linotype" w:hAnsi="Palatino Linotype" w:cs="Palatino Linotype"/>
        </w:rPr>
      </w:pPr>
    </w:p>
    <w:p w14:paraId="272CC567" w14:textId="77777777" w:rsidR="008F45A0" w:rsidRDefault="008F45A0">
      <w:pPr>
        <w:spacing w:line="360" w:lineRule="auto"/>
        <w:jc w:val="both"/>
        <w:rPr>
          <w:rFonts w:ascii="Palatino Linotype" w:eastAsia="Palatino Linotype" w:hAnsi="Palatino Linotype" w:cs="Palatino Linotype"/>
        </w:rPr>
      </w:pPr>
    </w:p>
    <w:p w14:paraId="7B9DB9E2" w14:textId="77777777" w:rsidR="008F45A0" w:rsidRDefault="008F45A0">
      <w:pPr>
        <w:spacing w:line="360" w:lineRule="auto"/>
        <w:jc w:val="both"/>
        <w:rPr>
          <w:rFonts w:ascii="Palatino Linotype" w:eastAsia="Palatino Linotype" w:hAnsi="Palatino Linotype" w:cs="Palatino Linotype"/>
        </w:rPr>
      </w:pPr>
    </w:p>
    <w:p w14:paraId="6CF11F84" w14:textId="77777777" w:rsidR="008F45A0" w:rsidRDefault="008F45A0">
      <w:pPr>
        <w:spacing w:line="360" w:lineRule="auto"/>
        <w:jc w:val="both"/>
        <w:rPr>
          <w:rFonts w:ascii="Palatino Linotype" w:eastAsia="Palatino Linotype" w:hAnsi="Palatino Linotype" w:cs="Palatino Linotype"/>
        </w:rPr>
      </w:pPr>
    </w:p>
    <w:p w14:paraId="7952F413" w14:textId="77777777" w:rsidR="008F45A0" w:rsidRDefault="008F45A0">
      <w:pPr>
        <w:spacing w:line="360" w:lineRule="auto"/>
        <w:jc w:val="both"/>
        <w:rPr>
          <w:rFonts w:ascii="Palatino Linotype" w:eastAsia="Palatino Linotype" w:hAnsi="Palatino Linotype" w:cs="Palatino Linotype"/>
        </w:rPr>
      </w:pPr>
    </w:p>
    <w:sectPr w:rsidR="008F45A0">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31437" w14:textId="77777777" w:rsidR="00C80F34" w:rsidRDefault="00C80F34">
      <w:r>
        <w:separator/>
      </w:r>
    </w:p>
  </w:endnote>
  <w:endnote w:type="continuationSeparator" w:id="0">
    <w:p w14:paraId="2F386DB6" w14:textId="77777777" w:rsidR="00C80F34" w:rsidRDefault="00C80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FDD36" w14:textId="77777777" w:rsidR="008F45A0" w:rsidRDefault="00D435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E43D3">
      <w:rPr>
        <w:rFonts w:ascii="Palatino Linotype" w:eastAsia="Palatino Linotype" w:hAnsi="Palatino Linotype" w:cs="Palatino Linotype"/>
        <w:noProof/>
        <w:color w:val="000000"/>
        <w:sz w:val="22"/>
        <w:szCs w:val="22"/>
      </w:rPr>
      <w:t>24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E43D3">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2B0C2" w14:textId="77777777" w:rsidR="008F45A0" w:rsidRDefault="00D435A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E43D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E43D3">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C13A0" w14:textId="77777777" w:rsidR="00C80F34" w:rsidRDefault="00C80F34">
      <w:r>
        <w:separator/>
      </w:r>
    </w:p>
  </w:footnote>
  <w:footnote w:type="continuationSeparator" w:id="0">
    <w:p w14:paraId="7A300405" w14:textId="77777777" w:rsidR="00C80F34" w:rsidRDefault="00C80F34">
      <w:r>
        <w:continuationSeparator/>
      </w:r>
    </w:p>
  </w:footnote>
  <w:footnote w:id="1">
    <w:p w14:paraId="4CF0D2D8" w14:textId="77777777" w:rsidR="008F45A0" w:rsidRDefault="00D435A4">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B298C" w14:textId="77777777" w:rsidR="008F45A0" w:rsidRDefault="00C80F3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694F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E2C95" w14:textId="77777777" w:rsidR="008F45A0" w:rsidRDefault="00C80F3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C087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fc"/>
      <w:tblW w:w="9534" w:type="dxa"/>
      <w:tblInd w:w="-142" w:type="dxa"/>
      <w:tblLayout w:type="fixed"/>
      <w:tblLook w:val="0400" w:firstRow="0" w:lastRow="0" w:firstColumn="0" w:lastColumn="0" w:noHBand="0" w:noVBand="1"/>
    </w:tblPr>
    <w:tblGrid>
      <w:gridCol w:w="3261"/>
      <w:gridCol w:w="2551"/>
      <w:gridCol w:w="3722"/>
    </w:tblGrid>
    <w:tr w:rsidR="008F45A0" w14:paraId="5BE02B61" w14:textId="77777777">
      <w:tc>
        <w:tcPr>
          <w:tcW w:w="3261" w:type="dxa"/>
          <w:vMerge w:val="restart"/>
        </w:tcPr>
        <w:p w14:paraId="36511D62"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B7DF44A" wp14:editId="2A11B2EB">
                <wp:extent cx="1692162" cy="852673"/>
                <wp:effectExtent l="0" t="0" r="0" b="0"/>
                <wp:docPr id="2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0E0F67E"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15D1AF6" w14:textId="77777777" w:rsidR="008F45A0" w:rsidRDefault="00D435A4">
          <w:pPr>
            <w:jc w:val="both"/>
            <w:rPr>
              <w:rFonts w:ascii="Palatino Linotype" w:eastAsia="Palatino Linotype" w:hAnsi="Palatino Linotype" w:cs="Palatino Linotype"/>
              <w:b/>
            </w:rPr>
          </w:pPr>
          <w:r>
            <w:rPr>
              <w:rFonts w:ascii="Palatino Linotype" w:eastAsia="Palatino Linotype" w:hAnsi="Palatino Linotype" w:cs="Palatino Linotype"/>
              <w:b/>
            </w:rPr>
            <w:t>02757/INFOEM/IP/RR/2022</w:t>
          </w:r>
        </w:p>
      </w:tc>
    </w:tr>
    <w:tr w:rsidR="008F45A0" w14:paraId="4C42ABAB" w14:textId="77777777">
      <w:tc>
        <w:tcPr>
          <w:tcW w:w="3261" w:type="dxa"/>
          <w:vMerge/>
        </w:tcPr>
        <w:p w14:paraId="41ED042D" w14:textId="77777777" w:rsidR="008F45A0" w:rsidRDefault="008F45A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CC60751"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14138785" w14:textId="77777777" w:rsidR="008F45A0" w:rsidRDefault="00D435A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Ixtlahuaca</w:t>
          </w:r>
        </w:p>
      </w:tc>
    </w:tr>
    <w:tr w:rsidR="008F45A0" w14:paraId="59BC6EE4" w14:textId="77777777">
      <w:trPr>
        <w:trHeight w:val="790"/>
      </w:trPr>
      <w:tc>
        <w:tcPr>
          <w:tcW w:w="3261" w:type="dxa"/>
          <w:vMerge/>
        </w:tcPr>
        <w:p w14:paraId="34C09B5C" w14:textId="77777777" w:rsidR="008F45A0" w:rsidRDefault="008F45A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C14E2E6"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8518086" w14:textId="77777777" w:rsidR="008F45A0" w:rsidRDefault="00D435A4">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2CF71558" w14:textId="77777777" w:rsidR="008F45A0" w:rsidRDefault="008F45A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D40AB" w14:textId="77777777" w:rsidR="008F45A0" w:rsidRDefault="00C80F3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409B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d"/>
      <w:tblW w:w="9900" w:type="dxa"/>
      <w:tblInd w:w="-833" w:type="dxa"/>
      <w:tblLayout w:type="fixed"/>
      <w:tblLook w:val="0400" w:firstRow="0" w:lastRow="0" w:firstColumn="0" w:lastColumn="0" w:noHBand="0" w:noVBand="1"/>
    </w:tblPr>
    <w:tblGrid>
      <w:gridCol w:w="3805"/>
      <w:gridCol w:w="3000"/>
      <w:gridCol w:w="3095"/>
    </w:tblGrid>
    <w:tr w:rsidR="008F45A0" w14:paraId="548141FE" w14:textId="77777777">
      <w:tc>
        <w:tcPr>
          <w:tcW w:w="3805" w:type="dxa"/>
          <w:vMerge w:val="restart"/>
          <w:shd w:val="clear" w:color="auto" w:fill="auto"/>
        </w:tcPr>
        <w:p w14:paraId="5786A401" w14:textId="77777777" w:rsidR="008F45A0" w:rsidRDefault="00D435A4">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045458CF" wp14:editId="32DFC0B6">
                <wp:extent cx="1692162" cy="852673"/>
                <wp:effectExtent l="0" t="0" r="0" b="0"/>
                <wp:docPr id="2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634EA9EE"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5BD9FB0E" w14:textId="77777777" w:rsidR="008F45A0" w:rsidRDefault="00D435A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02757/INFOEM/IP/RR/2022 </w:t>
          </w:r>
        </w:p>
      </w:tc>
    </w:tr>
    <w:tr w:rsidR="008F45A0" w14:paraId="13724DFD" w14:textId="77777777">
      <w:tc>
        <w:tcPr>
          <w:tcW w:w="3805" w:type="dxa"/>
          <w:vMerge/>
          <w:shd w:val="clear" w:color="auto" w:fill="auto"/>
        </w:tcPr>
        <w:p w14:paraId="7DCD9B6A" w14:textId="77777777" w:rsidR="008F45A0" w:rsidRDefault="008F45A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D03229"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5212416" w14:textId="2B0846F0" w:rsidR="008F45A0" w:rsidRDefault="00580187">
          <w:pPr>
            <w:jc w:val="both"/>
            <w:rPr>
              <w:rFonts w:ascii="Palatino Linotype" w:eastAsia="Palatino Linotype" w:hAnsi="Palatino Linotype" w:cs="Palatino Linotype"/>
              <w:b/>
            </w:rPr>
          </w:pPr>
          <w:r>
            <w:rPr>
              <w:rFonts w:ascii="Palatino Linotype" w:eastAsia="Palatino Linotype" w:hAnsi="Palatino Linotype" w:cs="Palatino Linotype"/>
              <w:b/>
            </w:rPr>
            <w:t>XXXXXX XXXXXXX XXXXXX</w:t>
          </w:r>
        </w:p>
      </w:tc>
    </w:tr>
    <w:tr w:rsidR="008F45A0" w14:paraId="09FC86DB" w14:textId="77777777">
      <w:trPr>
        <w:trHeight w:val="228"/>
      </w:trPr>
      <w:tc>
        <w:tcPr>
          <w:tcW w:w="3805" w:type="dxa"/>
          <w:vMerge/>
          <w:shd w:val="clear" w:color="auto" w:fill="auto"/>
        </w:tcPr>
        <w:p w14:paraId="2326AF44" w14:textId="77777777" w:rsidR="008F45A0" w:rsidRDefault="008F45A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E1E7AB4"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12560B4F" w14:textId="77777777" w:rsidR="008F45A0" w:rsidRDefault="00D435A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Ixtlahuaca</w:t>
          </w:r>
        </w:p>
      </w:tc>
    </w:tr>
    <w:tr w:rsidR="008F45A0" w14:paraId="09575313" w14:textId="77777777">
      <w:tc>
        <w:tcPr>
          <w:tcW w:w="3805" w:type="dxa"/>
          <w:vMerge/>
          <w:shd w:val="clear" w:color="auto" w:fill="auto"/>
        </w:tcPr>
        <w:p w14:paraId="37CE3908" w14:textId="77777777" w:rsidR="008F45A0" w:rsidRDefault="008F45A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D6EA798" w14:textId="77777777" w:rsidR="008F45A0" w:rsidRDefault="00D435A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19205B32" w14:textId="77777777" w:rsidR="008F45A0" w:rsidRDefault="00D435A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761AC56F" w14:textId="77777777" w:rsidR="008F45A0" w:rsidRDefault="008F45A0">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3C7C4D"/>
    <w:multiLevelType w:val="multilevel"/>
    <w:tmpl w:val="B2A86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5A0"/>
    <w:rsid w:val="00334230"/>
    <w:rsid w:val="00355237"/>
    <w:rsid w:val="00495795"/>
    <w:rsid w:val="00580187"/>
    <w:rsid w:val="0087546D"/>
    <w:rsid w:val="008F45A0"/>
    <w:rsid w:val="00AA615E"/>
    <w:rsid w:val="00C80F34"/>
    <w:rsid w:val="00D42BD8"/>
    <w:rsid w:val="00D435A4"/>
    <w:rsid w:val="00FE4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699C24"/>
  <w15:docId w15:val="{ECB785B0-B2DC-4D2A-82AD-10723EF3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top w:w="100" w:type="dxa"/>
        <w:left w:w="100" w:type="dxa"/>
        <w:bottom w:w="100" w:type="dxa"/>
        <w:right w:w="100" w:type="dxa"/>
      </w:tblCellMar>
    </w:tblPr>
  </w:style>
  <w:style w:type="table" w:customStyle="1" w:styleId="a0">
    <w:basedOn w:val="TableNormalf3"/>
    <w:tblPr>
      <w:tblStyleRowBandSize w:val="1"/>
      <w:tblStyleColBandSize w:val="1"/>
      <w:tblCellMar>
        <w:left w:w="115" w:type="dxa"/>
        <w:right w:w="115"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table" w:customStyle="1" w:styleId="a3">
    <w:basedOn w:val="TableNormalf3"/>
    <w:tblPr>
      <w:tblStyleRowBandSize w:val="1"/>
      <w:tblStyleColBandSize w:val="1"/>
      <w:tblCellMar>
        <w:left w:w="115" w:type="dxa"/>
        <w:right w:w="115" w:type="dxa"/>
      </w:tblCellMar>
    </w:tblPr>
  </w:style>
  <w:style w:type="table" w:customStyle="1" w:styleId="a4">
    <w:basedOn w:val="TableNormalf3"/>
    <w:tblPr>
      <w:tblStyleRowBandSize w:val="1"/>
      <w:tblStyleColBandSize w:val="1"/>
      <w:tblCellMar>
        <w:left w:w="115" w:type="dxa"/>
        <w:right w:w="115" w:type="dxa"/>
      </w:tblCellMar>
    </w:tblPr>
  </w:style>
  <w:style w:type="table" w:customStyle="1" w:styleId="a5">
    <w:basedOn w:val="TableNormalf3"/>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3"/>
    <w:tblPr>
      <w:tblStyleRowBandSize w:val="1"/>
      <w:tblStyleColBandSize w:val="1"/>
      <w:tblCellMar>
        <w:left w:w="115" w:type="dxa"/>
        <w:right w:w="115" w:type="dxa"/>
      </w:tblCellMar>
    </w:tblPr>
  </w:style>
  <w:style w:type="table" w:customStyle="1" w:styleId="a7">
    <w:basedOn w:val="TableNormalf3"/>
    <w:tblPr>
      <w:tblStyleRowBandSize w:val="1"/>
      <w:tblStyleColBandSize w:val="1"/>
      <w:tblCellMar>
        <w:left w:w="115" w:type="dxa"/>
        <w:right w:w="115" w:type="dxa"/>
      </w:tblCellMar>
    </w:tblPr>
  </w:style>
  <w:style w:type="table" w:customStyle="1" w:styleId="a8">
    <w:basedOn w:val="TableNormalf3"/>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3"/>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0"/>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tblPr>
      <w:tblStyleRowBandSize w:val="1"/>
      <w:tblStyleColBandSize w:val="1"/>
      <w:tblCellMar>
        <w:top w:w="100" w:type="dxa"/>
        <w:left w:w="100" w:type="dxa"/>
        <w:bottom w:w="100" w:type="dxa"/>
        <w:right w:w="100" w:type="dxa"/>
      </w:tblCellMar>
    </w:tblPr>
  </w:style>
  <w:style w:type="table" w:customStyle="1" w:styleId="a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acebook.com/gobiernodeixtlahuaca/photos/pcb.1249529882124037/1249529812124044/"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hyperlink" Target="https://www.facebook.com/gobiernodeixtlahuaca/photos/pcb.1249529882124037/1249529812124044/"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NSH99gTGmLTRY4iaRKIIgd/hcg==">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45</Pages>
  <Words>8723</Words>
  <Characters>47979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8</cp:revision>
  <cp:lastPrinted>2022-05-23T05:58:00Z</cp:lastPrinted>
  <dcterms:created xsi:type="dcterms:W3CDTF">2022-05-13T04:16:00Z</dcterms:created>
  <dcterms:modified xsi:type="dcterms:W3CDTF">2022-06-14T19:46:00Z</dcterms:modified>
</cp:coreProperties>
</file>