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55D6" w14:textId="77777777" w:rsidR="001E24FE" w:rsidRDefault="001E24FE"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6074EC" w14:textId="04164F6B"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1E24FE">
        <w:rPr>
          <w:rFonts w:ascii="Palatino Linotype" w:eastAsia="Palatino Linotype" w:hAnsi="Palatino Linotype" w:cs="Palatino Linotype"/>
          <w:color w:val="000000"/>
          <w:sz w:val="24"/>
          <w:szCs w:val="24"/>
        </w:rPr>
        <w:t>veinte de abril</w:t>
      </w:r>
      <w:r w:rsidR="00285F02">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05F14D2D"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1E24FE">
        <w:rPr>
          <w:rFonts w:ascii="Palatino Linotype" w:eastAsia="Palatino Linotype" w:hAnsi="Palatino Linotype" w:cs="Palatino Linotype"/>
          <w:b/>
          <w:color w:val="000000"/>
          <w:sz w:val="24"/>
          <w:szCs w:val="24"/>
        </w:rPr>
        <w:t>1745</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995EDA">
        <w:rPr>
          <w:rFonts w:ascii="Palatino Linotype" w:eastAsia="Palatino Linotype" w:hAnsi="Palatino Linotype" w:cs="Palatino Linotype"/>
          <w:color w:val="000000"/>
          <w:sz w:val="24"/>
          <w:szCs w:val="24"/>
        </w:rPr>
        <w:t xml:space="preserve"> </w:t>
      </w:r>
      <w:r w:rsidR="001E24FE">
        <w:rPr>
          <w:rFonts w:ascii="Palatino Linotype" w:eastAsia="Palatino Linotype" w:hAnsi="Palatino Linotype" w:cs="Palatino Linotype"/>
          <w:color w:val="000000"/>
          <w:sz w:val="24"/>
          <w:szCs w:val="24"/>
        </w:rPr>
        <w:t>la</w:t>
      </w:r>
      <w:r w:rsidR="0045561B">
        <w:rPr>
          <w:rFonts w:ascii="Palatino Linotype" w:eastAsia="Palatino Linotype" w:hAnsi="Palatino Linotype" w:cs="Palatino Linotype"/>
          <w:color w:val="000000"/>
          <w:sz w:val="24"/>
          <w:szCs w:val="24"/>
        </w:rPr>
        <w:t xml:space="preserve"> </w:t>
      </w:r>
      <w:r w:rsidR="00F316D2">
        <w:rPr>
          <w:rFonts w:ascii="Palatino Linotype" w:eastAsia="Palatino Linotype" w:hAnsi="Palatino Linotype" w:cs="Palatino Linotype"/>
          <w:color w:val="000000"/>
          <w:sz w:val="24"/>
          <w:szCs w:val="24"/>
        </w:rPr>
        <w:t>XXXXX</w:t>
      </w:r>
      <w:r w:rsidR="00671A4E">
        <w:rPr>
          <w:rFonts w:ascii="Palatino Linotype" w:eastAsia="Palatino Linotype" w:hAnsi="Palatino Linotype" w:cs="Palatino Linotype"/>
          <w:color w:val="000000"/>
          <w:sz w:val="24"/>
          <w:szCs w:val="24"/>
        </w:rPr>
        <w:t>XXX</w:t>
      </w:r>
      <w:r w:rsidR="00F316D2">
        <w:rPr>
          <w:rFonts w:ascii="Palatino Linotype" w:eastAsia="Palatino Linotype" w:hAnsi="Palatino Linotype" w:cs="Palatino Linotype"/>
          <w:color w:val="000000"/>
          <w:sz w:val="24"/>
          <w:szCs w:val="24"/>
        </w:rPr>
        <w:t>XXX</w:t>
      </w:r>
      <w:r>
        <w:rPr>
          <w:rFonts w:ascii="Palatino Linotype" w:eastAsia="Palatino Linotype" w:hAnsi="Palatino Linotype" w:cs="Palatino Linotype"/>
          <w:color w:val="000000"/>
          <w:sz w:val="24"/>
          <w:szCs w:val="24"/>
        </w:rPr>
        <w:t xml:space="preserve">, en </w:t>
      </w:r>
      <w:r w:rsidR="001E24FE">
        <w:rPr>
          <w:rFonts w:ascii="Palatino Linotype" w:eastAsia="Palatino Linotype" w:hAnsi="Palatino Linotype" w:cs="Palatino Linotype"/>
          <w:color w:val="000000"/>
          <w:sz w:val="24"/>
          <w:szCs w:val="24"/>
        </w:rPr>
        <w:t>lo sucesivo la</w:t>
      </w:r>
      <w:r w:rsidRPr="0024072C">
        <w:rPr>
          <w:rFonts w:ascii="Palatino Linotype" w:eastAsia="Palatino Linotype" w:hAnsi="Palatino Linotype" w:cs="Palatino Linotype"/>
          <w:color w:val="000000"/>
          <w:sz w:val="24"/>
          <w:szCs w:val="24"/>
        </w:rPr>
        <w:t xml:space="preserve">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995EDA">
        <w:rPr>
          <w:rFonts w:ascii="Palatino Linotype" w:eastAsia="Palatino Linotype" w:hAnsi="Palatino Linotype" w:cs="Palatino Linotype"/>
          <w:b/>
          <w:color w:val="000000"/>
          <w:sz w:val="24"/>
          <w:szCs w:val="24"/>
        </w:rPr>
        <w:t xml:space="preserve">Ayuntamiento de </w:t>
      </w:r>
      <w:r w:rsidR="0045561B">
        <w:rPr>
          <w:rFonts w:ascii="Palatino Linotype" w:eastAsia="Palatino Linotype" w:hAnsi="Palatino Linotype" w:cs="Palatino Linotype"/>
          <w:b/>
          <w:color w:val="000000"/>
          <w:sz w:val="24"/>
          <w:szCs w:val="24"/>
        </w:rPr>
        <w:t>Nicolás Romero</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303F22B5"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1E24FE">
        <w:rPr>
          <w:rFonts w:ascii="Palatino Linotype" w:eastAsia="Palatino Linotype" w:hAnsi="Palatino Linotype" w:cs="Palatino Linotype"/>
          <w:color w:val="000000"/>
          <w:sz w:val="24"/>
          <w:szCs w:val="24"/>
        </w:rPr>
        <w:t>veintiuno</w:t>
      </w:r>
      <w:r w:rsidR="00995EDA">
        <w:rPr>
          <w:rFonts w:ascii="Palatino Linotype" w:eastAsia="Palatino Linotype" w:hAnsi="Palatino Linotype" w:cs="Palatino Linotype"/>
          <w:color w:val="000000"/>
          <w:sz w:val="24"/>
          <w:szCs w:val="24"/>
        </w:rPr>
        <w:t xml:space="preserve"> de enero de dos mil veintidós</w:t>
      </w:r>
      <w:r w:rsidR="001E24FE">
        <w:rPr>
          <w:rFonts w:ascii="Palatino Linotype" w:eastAsia="Palatino Linotype" w:hAnsi="Palatino Linotype" w:cs="Palatino Linotype"/>
          <w:color w:val="000000"/>
          <w:sz w:val="24"/>
          <w:szCs w:val="24"/>
        </w:rPr>
        <w:t>, la</w:t>
      </w:r>
      <w:r w:rsidR="00663A37">
        <w:rPr>
          <w:rFonts w:ascii="Palatino Linotype" w:eastAsia="Palatino Linotype" w:hAnsi="Palatino Linotype" w:cs="Palatino Linotype"/>
          <w:color w:val="000000"/>
          <w:sz w:val="24"/>
          <w:szCs w:val="24"/>
        </w:rPr>
        <w:t xml:space="preserve"> Recurrente presentó solicitud de información pública </w:t>
      </w:r>
      <w:r>
        <w:rPr>
          <w:rFonts w:ascii="Palatino Linotype" w:eastAsia="Palatino Linotype" w:hAnsi="Palatino Linotype" w:cs="Palatino Linotype"/>
          <w:color w:val="000000"/>
          <w:sz w:val="24"/>
          <w:szCs w:val="24"/>
        </w:rPr>
        <w:t>por medio del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que fue registrada </w:t>
      </w:r>
      <w:r w:rsidR="00663A37">
        <w:rPr>
          <w:rFonts w:ascii="Palatino Linotype" w:eastAsia="Palatino Linotype" w:hAnsi="Palatino Linotype" w:cs="Palatino Linotype"/>
          <w:color w:val="000000"/>
          <w:sz w:val="24"/>
          <w:szCs w:val="24"/>
        </w:rPr>
        <w:t>con el número de expediente</w:t>
      </w:r>
      <w:r w:rsidR="00663A37">
        <w:rPr>
          <w:rFonts w:ascii="Palatino Linotype" w:eastAsia="Palatino Linotype" w:hAnsi="Palatino Linotype" w:cs="Palatino Linotype"/>
          <w:b/>
          <w:color w:val="000000"/>
          <w:sz w:val="24"/>
          <w:szCs w:val="24"/>
        </w:rPr>
        <w:t xml:space="preserve"> </w:t>
      </w:r>
      <w:r w:rsidRPr="00C57E04">
        <w:rPr>
          <w:rFonts w:ascii="Palatino Linotype" w:eastAsia="Palatino Linotype" w:hAnsi="Palatino Linotype" w:cs="Palatino Linotype"/>
          <w:b/>
          <w:bCs/>
          <w:color w:val="000000"/>
          <w:sz w:val="24"/>
          <w:szCs w:val="24"/>
        </w:rPr>
        <w:t>00</w:t>
      </w:r>
      <w:r w:rsidR="00457738">
        <w:rPr>
          <w:rFonts w:ascii="Palatino Linotype" w:eastAsia="Palatino Linotype" w:hAnsi="Palatino Linotype" w:cs="Palatino Linotype"/>
          <w:b/>
          <w:bCs/>
          <w:color w:val="000000"/>
          <w:sz w:val="24"/>
          <w:szCs w:val="24"/>
        </w:rPr>
        <w:t>0</w:t>
      </w:r>
      <w:r w:rsidR="001E24FE">
        <w:rPr>
          <w:rFonts w:ascii="Palatino Linotype" w:eastAsia="Palatino Linotype" w:hAnsi="Palatino Linotype" w:cs="Palatino Linotype"/>
          <w:b/>
          <w:bCs/>
          <w:color w:val="000000"/>
          <w:sz w:val="24"/>
          <w:szCs w:val="24"/>
        </w:rPr>
        <w:t>21</w:t>
      </w:r>
      <w:r w:rsidR="0045561B">
        <w:rPr>
          <w:rFonts w:ascii="Palatino Linotype" w:eastAsia="Palatino Linotype" w:hAnsi="Palatino Linotype" w:cs="Palatino Linotype"/>
          <w:b/>
          <w:bCs/>
          <w:color w:val="000000"/>
          <w:sz w:val="24"/>
          <w:szCs w:val="24"/>
        </w:rPr>
        <w:t>/NICOROM</w:t>
      </w:r>
      <w:r w:rsidRPr="00C57E04">
        <w:rPr>
          <w:rFonts w:ascii="Palatino Linotype" w:eastAsia="Palatino Linotype" w:hAnsi="Palatino Linotype" w:cs="Palatino Linotype"/>
          <w:b/>
          <w:bCs/>
          <w:color w:val="000000"/>
          <w:sz w:val="24"/>
          <w:szCs w:val="24"/>
        </w:rPr>
        <w:t>/IP/202</w:t>
      </w:r>
      <w:r w:rsidR="00995EDA">
        <w:rPr>
          <w:rFonts w:ascii="Palatino Linotype" w:eastAsia="Palatino Linotype" w:hAnsi="Palatino Linotype" w:cs="Palatino Linotype"/>
          <w:b/>
          <w:bCs/>
          <w:color w:val="000000"/>
          <w:sz w:val="24"/>
          <w:szCs w:val="24"/>
        </w:rPr>
        <w:t>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454ACD43"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E24FE" w:rsidRPr="001E24FE">
        <w:rPr>
          <w:rFonts w:ascii="Palatino Linotype" w:eastAsia="Palatino Linotype" w:hAnsi="Palatino Linotype" w:cs="Palatino Linotype"/>
          <w:i/>
          <w:color w:val="000000"/>
        </w:rPr>
        <w:t>Informe el nombre de los 3 integrantes del Comité de Participación Ciudadana en materia de anticorrupción en 2020, 2021 y 2022 y en su caso me den a conocer las convocatorias para la designación de dichos integrantes por los periodos antes referidos.</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sidR="00C57E04">
        <w:rPr>
          <w:rFonts w:ascii="Palatino Linotype" w:eastAsia="Palatino Linotype" w:hAnsi="Palatino Linotype" w:cs="Palatino Linotype"/>
          <w:b/>
          <w:color w:val="000000"/>
          <w:sz w:val="24"/>
          <w:szCs w:val="24"/>
        </w:rPr>
        <w:t>A través del SAIMEX</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 xml:space="preserve">SEGUNDO. </w:t>
      </w:r>
      <w:r w:rsidR="002B35F5">
        <w:rPr>
          <w:rFonts w:ascii="Palatino Linotype" w:eastAsia="Palatino Linotype" w:hAnsi="Palatino Linotype" w:cs="Palatino Linotype"/>
          <w:b/>
          <w:color w:val="000000"/>
          <w:sz w:val="26"/>
          <w:szCs w:val="26"/>
        </w:rPr>
        <w:t xml:space="preserve">De la </w:t>
      </w:r>
      <w:r>
        <w:rPr>
          <w:rFonts w:ascii="Palatino Linotype" w:eastAsia="Palatino Linotype" w:hAnsi="Palatino Linotype" w:cs="Palatino Linotype"/>
          <w:b/>
          <w:color w:val="000000"/>
          <w:sz w:val="26"/>
          <w:szCs w:val="26"/>
        </w:rPr>
        <w:t>respuesta del Sujeto Obligado.</w:t>
      </w:r>
    </w:p>
    <w:p w14:paraId="7C156F33" w14:textId="591EC258"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w:t>
      </w:r>
      <w:r w:rsidR="001E24FE">
        <w:rPr>
          <w:rFonts w:ascii="Palatino Linotype" w:eastAsia="Palatino Linotype" w:hAnsi="Palatino Linotype" w:cs="Palatino Linotype"/>
          <w:color w:val="000000"/>
          <w:sz w:val="24"/>
          <w:szCs w:val="24"/>
        </w:rPr>
        <w:t>ectrónico, se observa que el día nueve de febrero</w:t>
      </w:r>
      <w:r w:rsidR="00995EDA">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BCA553" w14:textId="77777777" w:rsidR="001E24FE" w:rsidRDefault="00663A37" w:rsidP="001E24F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E24FE" w:rsidRPr="001E24FE">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57A63D" w14:textId="77777777" w:rsidR="001E24FE" w:rsidRPr="001E24FE" w:rsidRDefault="001E24FE" w:rsidP="001E24F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0B7C61" w14:textId="581F42EF" w:rsidR="0045561B" w:rsidRDefault="001E24FE" w:rsidP="001E24FE">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1E24FE">
        <w:rPr>
          <w:rFonts w:ascii="Palatino Linotype" w:eastAsia="Palatino Linotype" w:hAnsi="Palatino Linotype" w:cs="Palatino Linotype"/>
          <w:i/>
          <w:color w:val="000000"/>
        </w:rPr>
        <w:t>Buenas tardes, por este medio envío respuesta a su solicitud de información. Sin mas por el momento, reciba un cordial saludo.</w:t>
      </w:r>
    </w:p>
    <w:p w14:paraId="0BD82395" w14:textId="77777777" w:rsidR="0045561B" w:rsidRPr="0045561B"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0AF621D" w14:textId="77777777" w:rsidR="0045561B" w:rsidRPr="0045561B"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5561B">
        <w:rPr>
          <w:rFonts w:ascii="Palatino Linotype" w:eastAsia="Palatino Linotype" w:hAnsi="Palatino Linotype" w:cs="Palatino Linotype"/>
          <w:i/>
          <w:color w:val="000000"/>
        </w:rPr>
        <w:t>ATENTAMENTE</w:t>
      </w:r>
    </w:p>
    <w:p w14:paraId="38DF58A5" w14:textId="7353DA4F" w:rsidR="00663A37" w:rsidRDefault="0045561B" w:rsidP="0045561B">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45561B">
        <w:rPr>
          <w:rFonts w:ascii="Palatino Linotype" w:eastAsia="Palatino Linotype" w:hAnsi="Palatino Linotype" w:cs="Palatino Linotype"/>
          <w:i/>
          <w:color w:val="000000"/>
        </w:rPr>
        <w:t>LIC. ALFONSO HERNANDEZ GASCA</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1CDE2122" w:rsidR="00663A37"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Sujeto Obligado anexó a su </w:t>
      </w:r>
      <w:r w:rsidR="00C57E04">
        <w:rPr>
          <w:rFonts w:ascii="Palatino Linotype" w:eastAsia="Palatino Linotype" w:hAnsi="Palatino Linotype" w:cs="Palatino Linotype"/>
          <w:color w:val="000000"/>
          <w:sz w:val="24"/>
          <w:szCs w:val="24"/>
        </w:rPr>
        <w:t xml:space="preserve">respuesta </w:t>
      </w:r>
      <w:r w:rsidR="001E24FE">
        <w:rPr>
          <w:rFonts w:ascii="Palatino Linotype" w:eastAsia="Palatino Linotype" w:hAnsi="Palatino Linotype" w:cs="Palatino Linotype"/>
          <w:color w:val="000000"/>
          <w:sz w:val="24"/>
          <w:szCs w:val="24"/>
        </w:rPr>
        <w:t>los</w:t>
      </w:r>
      <w:r w:rsidR="00995EDA">
        <w:rPr>
          <w:rFonts w:ascii="Palatino Linotype" w:eastAsia="Palatino Linotype" w:hAnsi="Palatino Linotype" w:cs="Palatino Linotype"/>
          <w:color w:val="000000"/>
          <w:sz w:val="24"/>
          <w:szCs w:val="24"/>
        </w:rPr>
        <w:t xml:space="preserve"> documento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45561B">
        <w:rPr>
          <w:rFonts w:ascii="Palatino Linotype" w:eastAsia="Palatino Linotype" w:hAnsi="Palatino Linotype" w:cs="Palatino Linotype"/>
          <w:color w:val="000000"/>
          <w:sz w:val="24"/>
          <w:szCs w:val="24"/>
        </w:rPr>
        <w:t>electrónico</w:t>
      </w:r>
      <w:r w:rsidR="001E24FE">
        <w:rPr>
          <w:rFonts w:ascii="Palatino Linotype" w:eastAsia="Palatino Linotype" w:hAnsi="Palatino Linotype" w:cs="Palatino Linotype"/>
          <w:color w:val="000000"/>
          <w:sz w:val="24"/>
          <w:szCs w:val="24"/>
        </w:rPr>
        <w:t>s</w:t>
      </w:r>
      <w:r w:rsidR="0045561B">
        <w:rPr>
          <w:rFonts w:ascii="Palatino Linotype" w:eastAsia="Palatino Linotype" w:hAnsi="Palatino Linotype" w:cs="Palatino Linotype"/>
          <w:color w:val="000000"/>
          <w:sz w:val="24"/>
          <w:szCs w:val="24"/>
        </w:rPr>
        <w:t xml:space="preserve"> </w:t>
      </w:r>
      <w:r w:rsidR="002B35F5">
        <w:rPr>
          <w:rFonts w:ascii="Palatino Linotype" w:eastAsia="Palatino Linotype" w:hAnsi="Palatino Linotype" w:cs="Palatino Linotype"/>
          <w:color w:val="000000"/>
          <w:sz w:val="24"/>
          <w:szCs w:val="24"/>
        </w:rPr>
        <w:t>denominado</w:t>
      </w:r>
      <w:r w:rsidR="001E24FE">
        <w:rPr>
          <w:rFonts w:ascii="Palatino Linotype" w:eastAsia="Palatino Linotype" w:hAnsi="Palatino Linotype" w:cs="Palatino Linotype"/>
          <w:color w:val="000000"/>
          <w:sz w:val="24"/>
          <w:szCs w:val="24"/>
        </w:rPr>
        <w:t>s</w:t>
      </w:r>
      <w:r w:rsidR="002B35F5">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b/>
          <w:color w:val="000000"/>
          <w:sz w:val="24"/>
          <w:szCs w:val="24"/>
        </w:rPr>
        <w:t>“</w:t>
      </w:r>
      <w:r w:rsidR="001E24FE" w:rsidRPr="001E24FE">
        <w:rPr>
          <w:rFonts w:ascii="Palatino Linotype" w:eastAsia="Palatino Linotype" w:hAnsi="Palatino Linotype" w:cs="Palatino Linotype"/>
          <w:b/>
          <w:color w:val="000000"/>
          <w:sz w:val="24"/>
          <w:szCs w:val="24"/>
        </w:rPr>
        <w:t>NR_CM_097_2022 00021.pdf</w:t>
      </w:r>
      <w:r w:rsidR="001E24FE">
        <w:rPr>
          <w:rFonts w:ascii="Palatino Linotype" w:eastAsia="Palatino Linotype" w:hAnsi="Palatino Linotype" w:cs="Palatino Linotype"/>
          <w:b/>
          <w:color w:val="000000"/>
          <w:sz w:val="24"/>
          <w:szCs w:val="24"/>
        </w:rPr>
        <w:t xml:space="preserve">” </w:t>
      </w:r>
      <w:r w:rsidR="001E24FE">
        <w:rPr>
          <w:rFonts w:ascii="Palatino Linotype" w:eastAsia="Palatino Linotype" w:hAnsi="Palatino Linotype" w:cs="Palatino Linotype"/>
          <w:color w:val="000000"/>
          <w:sz w:val="24"/>
          <w:szCs w:val="24"/>
        </w:rPr>
        <w:t xml:space="preserve">y </w:t>
      </w:r>
      <w:r w:rsidR="001E24FE" w:rsidRPr="001E24FE">
        <w:rPr>
          <w:rFonts w:ascii="Palatino Linotype" w:eastAsia="Palatino Linotype" w:hAnsi="Palatino Linotype" w:cs="Palatino Linotype"/>
          <w:b/>
          <w:color w:val="000000"/>
          <w:sz w:val="24"/>
          <w:szCs w:val="24"/>
        </w:rPr>
        <w:t>NR_DIG_UT_67_2022 00021.PDF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1E24FE">
        <w:rPr>
          <w:rFonts w:ascii="Palatino Linotype" w:eastAsia="Palatino Linotype" w:hAnsi="Palatino Linotype" w:cs="Palatino Linotype"/>
          <w:color w:val="000000"/>
          <w:sz w:val="24"/>
          <w:szCs w:val="24"/>
        </w:rPr>
        <w:t>los</w:t>
      </w:r>
      <w:r w:rsidR="00663A37">
        <w:rPr>
          <w:rFonts w:ascii="Palatino Linotype" w:eastAsia="Palatino Linotype" w:hAnsi="Palatino Linotype" w:cs="Palatino Linotype"/>
          <w:color w:val="000000"/>
          <w:sz w:val="24"/>
          <w:szCs w:val="24"/>
        </w:rPr>
        <w:t xml:space="preserve"> cual</w:t>
      </w:r>
      <w:r w:rsidR="001E24FE">
        <w:rPr>
          <w:rFonts w:ascii="Palatino Linotype" w:eastAsia="Palatino Linotype" w:hAnsi="Palatino Linotype" w:cs="Palatino Linotype"/>
          <w:color w:val="000000"/>
          <w:sz w:val="24"/>
          <w:szCs w:val="24"/>
        </w:rPr>
        <w:t>es</w:t>
      </w:r>
      <w:r w:rsidR="00663A37">
        <w:rPr>
          <w:rFonts w:ascii="Palatino Linotype" w:eastAsia="Palatino Linotype" w:hAnsi="Palatino Linotype" w:cs="Palatino Linotype"/>
          <w:color w:val="000000"/>
          <w:sz w:val="24"/>
          <w:szCs w:val="24"/>
        </w:rPr>
        <w:t xml:space="preserve"> no se reproduce</w:t>
      </w:r>
      <w:r w:rsidR="001E24FE">
        <w:rPr>
          <w:rFonts w:ascii="Palatino Linotype" w:eastAsia="Palatino Linotype" w:hAnsi="Palatino Linotype" w:cs="Palatino Linotype"/>
          <w:color w:val="000000"/>
          <w:sz w:val="24"/>
          <w:szCs w:val="24"/>
        </w:rPr>
        <w:t>n</w:t>
      </w:r>
      <w:r w:rsidR="00663A37">
        <w:rPr>
          <w:rFonts w:ascii="Palatino Linotype" w:eastAsia="Palatino Linotype" w:hAnsi="Palatino Linotype" w:cs="Palatino Linotype"/>
          <w:color w:val="000000"/>
          <w:sz w:val="24"/>
          <w:szCs w:val="24"/>
        </w:rPr>
        <w:t xml:space="preserv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663A37">
        <w:rPr>
          <w:rFonts w:ascii="Palatino Linotype" w:eastAsia="Palatino Linotype" w:hAnsi="Palatino Linotype" w:cs="Palatino Linotype"/>
          <w:b/>
          <w:color w:val="000000"/>
          <w:sz w:val="26"/>
          <w:szCs w:val="26"/>
        </w:rPr>
        <w:t>. Del recurso de revisión.</w:t>
      </w:r>
    </w:p>
    <w:p w14:paraId="7F8982C5" w14:textId="43C8D76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1E24FE">
        <w:rPr>
          <w:rFonts w:ascii="Palatino Linotype" w:eastAsia="Palatino Linotype" w:hAnsi="Palatino Linotype" w:cs="Palatino Linotype"/>
          <w:color w:val="000000"/>
          <w:sz w:val="24"/>
          <w:szCs w:val="24"/>
        </w:rPr>
        <w:t>itida por el Sujeto Obligado, la</w:t>
      </w:r>
      <w:r>
        <w:rPr>
          <w:rFonts w:ascii="Palatino Linotype" w:eastAsia="Palatino Linotype" w:hAnsi="Palatino Linotype" w:cs="Palatino Linotype"/>
          <w:color w:val="000000"/>
          <w:sz w:val="24"/>
          <w:szCs w:val="24"/>
        </w:rPr>
        <w:t xml:space="preserve"> Recurrente interpuso el presente recurso de re</w:t>
      </w:r>
      <w:r w:rsidR="006377A9">
        <w:rPr>
          <w:rFonts w:ascii="Palatino Linotype" w:eastAsia="Palatino Linotype" w:hAnsi="Palatino Linotype" w:cs="Palatino Linotype"/>
          <w:color w:val="000000"/>
          <w:sz w:val="24"/>
          <w:szCs w:val="24"/>
        </w:rPr>
        <w:t xml:space="preserve">visión el día </w:t>
      </w:r>
      <w:r w:rsidR="001E24FE">
        <w:rPr>
          <w:rFonts w:ascii="Palatino Linotype" w:eastAsia="Palatino Linotype" w:hAnsi="Palatino Linotype" w:cs="Palatino Linotype"/>
          <w:color w:val="000000"/>
          <w:sz w:val="24"/>
          <w:szCs w:val="24"/>
        </w:rPr>
        <w:t>veintitrés</w:t>
      </w:r>
      <w:r w:rsidR="002F5D4D">
        <w:rPr>
          <w:rFonts w:ascii="Palatino Linotype" w:eastAsia="Palatino Linotype" w:hAnsi="Palatino Linotype" w:cs="Palatino Linotype"/>
          <w:color w:val="000000"/>
          <w:sz w:val="24"/>
          <w:szCs w:val="24"/>
        </w:rPr>
        <w:t xml:space="preserve"> de febrero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6377A9">
        <w:rPr>
          <w:rFonts w:ascii="Palatino Linotype" w:eastAsia="Palatino Linotype" w:hAnsi="Palatino Linotype" w:cs="Palatino Linotype"/>
          <w:b/>
          <w:color w:val="000000"/>
          <w:sz w:val="24"/>
          <w:szCs w:val="24"/>
        </w:rPr>
        <w:t>0</w:t>
      </w:r>
      <w:r w:rsidR="007C3580">
        <w:rPr>
          <w:rFonts w:ascii="Palatino Linotype" w:eastAsia="Palatino Linotype" w:hAnsi="Palatino Linotype" w:cs="Palatino Linotype"/>
          <w:b/>
          <w:color w:val="000000"/>
          <w:sz w:val="24"/>
          <w:szCs w:val="24"/>
        </w:rPr>
        <w:t>174</w:t>
      </w:r>
      <w:r w:rsidR="00D967D5">
        <w:rPr>
          <w:rFonts w:ascii="Palatino Linotype" w:eastAsia="Palatino Linotype" w:hAnsi="Palatino Linotype" w:cs="Palatino Linotype"/>
          <w:b/>
          <w:color w:val="000000"/>
          <w:sz w:val="24"/>
          <w:szCs w:val="24"/>
        </w:rPr>
        <w:t>5</w:t>
      </w:r>
      <w:r>
        <w:rPr>
          <w:rFonts w:ascii="Palatino Linotype" w:eastAsia="Palatino Linotype" w:hAnsi="Palatino Linotype" w:cs="Palatino Linotype"/>
          <w:b/>
          <w:color w:val="000000"/>
          <w:sz w:val="24"/>
          <w:szCs w:val="24"/>
        </w:rPr>
        <w:t>/INFOEM/IP/RR/202</w:t>
      </w:r>
      <w:r w:rsidR="00593107">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93FFE3" w14:textId="77777777" w:rsidR="001B3646" w:rsidRDefault="00663A37" w:rsidP="001B3646">
      <w:pPr>
        <w:spacing w:before="240" w:line="360" w:lineRule="auto"/>
        <w:contextualSpacing/>
        <w:jc w:val="both"/>
        <w:rPr>
          <w:rFonts w:ascii="Palatino Linotype" w:eastAsia="Palatino Linotype" w:hAnsi="Palatino Linotype" w:cs="Palatino Linotype"/>
          <w:b/>
        </w:rPr>
      </w:pPr>
      <w:r w:rsidRPr="001B3646">
        <w:rPr>
          <w:rFonts w:ascii="Palatino Linotype" w:eastAsia="Palatino Linotype" w:hAnsi="Palatino Linotype" w:cs="Palatino Linotype"/>
          <w:b/>
        </w:rPr>
        <w:lastRenderedPageBreak/>
        <w:t xml:space="preserve">Acto Impugnado: </w:t>
      </w:r>
    </w:p>
    <w:p w14:paraId="6FDB73D8" w14:textId="42CC8E44" w:rsidR="00663A37" w:rsidRPr="001B3646" w:rsidRDefault="00663A37" w:rsidP="001B3646">
      <w:pPr>
        <w:spacing w:before="240" w:line="240" w:lineRule="auto"/>
        <w:ind w:left="567" w:right="616"/>
        <w:contextualSpacing/>
        <w:jc w:val="both"/>
        <w:rPr>
          <w:rFonts w:ascii="Palatino Linotype" w:eastAsia="Palatino Linotype" w:hAnsi="Palatino Linotype" w:cs="Palatino Linotype"/>
          <w:i/>
        </w:rPr>
      </w:pPr>
      <w:r w:rsidRPr="001B3646">
        <w:rPr>
          <w:rFonts w:ascii="Palatino Linotype" w:eastAsia="Palatino Linotype" w:hAnsi="Palatino Linotype" w:cs="Palatino Linotype"/>
          <w:i/>
        </w:rPr>
        <w:t>“</w:t>
      </w:r>
      <w:r w:rsidR="007C3580" w:rsidRPr="001B3646">
        <w:rPr>
          <w:rFonts w:ascii="Palatino Linotype" w:eastAsia="Palatino Linotype" w:hAnsi="Palatino Linotype" w:cs="Palatino Linotype"/>
          <w:i/>
        </w:rPr>
        <w:t>el oficio NR/SA/DAT/0174/2022 de 28 de enero de 2022 emitido por la Titular de la Contraloría Municipal de Nicolás Romero</w:t>
      </w:r>
      <w:r w:rsidRPr="001B3646">
        <w:rPr>
          <w:rFonts w:ascii="Palatino Linotype" w:eastAsia="Palatino Linotype" w:hAnsi="Palatino Linotype" w:cs="Palatino Linotype"/>
          <w:i/>
        </w:rPr>
        <w:t>"(Sic)</w:t>
      </w:r>
    </w:p>
    <w:p w14:paraId="50F81DF4" w14:textId="77777777" w:rsidR="00663A37" w:rsidRPr="001B3646" w:rsidRDefault="00663A37" w:rsidP="00663A37">
      <w:pPr>
        <w:spacing w:after="0" w:line="360" w:lineRule="auto"/>
        <w:contextualSpacing/>
        <w:jc w:val="both"/>
        <w:rPr>
          <w:rFonts w:ascii="Palatino Linotype" w:eastAsia="Palatino Linotype" w:hAnsi="Palatino Linotype" w:cs="Palatino Linotype"/>
          <w:iCs/>
          <w:sz w:val="24"/>
          <w:szCs w:val="24"/>
        </w:rPr>
      </w:pPr>
    </w:p>
    <w:p w14:paraId="01C42909" w14:textId="5175BD2C" w:rsidR="001B3646" w:rsidRDefault="00663A37" w:rsidP="001B3646">
      <w:pPr>
        <w:spacing w:before="240" w:line="360" w:lineRule="auto"/>
        <w:contextualSpacing/>
        <w:jc w:val="both"/>
        <w:rPr>
          <w:rFonts w:ascii="Palatino Linotype" w:eastAsia="Palatino Linotype" w:hAnsi="Palatino Linotype" w:cs="Palatino Linotype"/>
        </w:rPr>
      </w:pPr>
      <w:r w:rsidRPr="001B3646">
        <w:rPr>
          <w:rFonts w:ascii="Palatino Linotype" w:eastAsia="Palatino Linotype" w:hAnsi="Palatino Linotype" w:cs="Palatino Linotype"/>
          <w:b/>
        </w:rPr>
        <w:t>Razones o Motivos de Inconformidad</w:t>
      </w:r>
      <w:r w:rsidR="001B3646">
        <w:rPr>
          <w:rFonts w:ascii="Palatino Linotype" w:eastAsia="Palatino Linotype" w:hAnsi="Palatino Linotype" w:cs="Palatino Linotype"/>
        </w:rPr>
        <w:t>:</w:t>
      </w:r>
    </w:p>
    <w:p w14:paraId="59A1F67A" w14:textId="5D66E395" w:rsidR="00663A37" w:rsidRPr="001B3646" w:rsidRDefault="00663A37" w:rsidP="001B3646">
      <w:pPr>
        <w:spacing w:before="240" w:line="240" w:lineRule="auto"/>
        <w:ind w:left="567" w:right="616"/>
        <w:contextualSpacing/>
        <w:jc w:val="both"/>
        <w:rPr>
          <w:rFonts w:ascii="Palatino Linotype" w:eastAsia="Palatino Linotype" w:hAnsi="Palatino Linotype" w:cs="Palatino Linotype"/>
          <w:i/>
        </w:rPr>
      </w:pPr>
      <w:r w:rsidRPr="001B3646">
        <w:rPr>
          <w:rFonts w:ascii="Palatino Linotype" w:eastAsia="Palatino Linotype" w:hAnsi="Palatino Linotype" w:cs="Palatino Linotype"/>
          <w:i/>
        </w:rPr>
        <w:t>“</w:t>
      </w:r>
      <w:r w:rsidR="007C3580" w:rsidRPr="001B3646">
        <w:rPr>
          <w:rFonts w:ascii="Palatino Linotype" w:eastAsia="Palatino Linotype" w:hAnsi="Palatino Linotype" w:cs="Palatino Linotype"/>
          <w:i/>
        </w:rPr>
        <w:t>Violenta mi derecho de acceso a la información, en virtud de que de conformidad con lo previsto en el artículo 184 del Reglamento Orgánico de la Administración Pública Municipal de Nicolás Romero, Estado de México, vigente el día 21 de enero de 2022, señala que la Contraloría Municipal para el mejor y eficiente cumplimiento de sus atribuciones, tendrá bajo su cargo diversas áreas, entre ellas la comprendida en la fracción VII. Comité de Participación Ciudadana (CPC) del Sistema Municipal Anticorrupción, por lo tanto al estar dicha área adscrita a su cargo, cuenta con las facultades debidas para hacer del conocimiento publico dicha información, siendo total y absolutamente infundada la falta de competencia que alude la Titular de la Contraloría, lo cual pone en evidencia que dicha Contralor pretende ocultar información que es de carácter público.</w:t>
      </w:r>
      <w:r w:rsidRPr="001B3646">
        <w:rPr>
          <w:rFonts w:ascii="Palatino Linotype" w:eastAsia="Palatino Linotype" w:hAnsi="Palatino Linotype" w:cs="Palatino Linotype"/>
          <w:i/>
        </w:rPr>
        <w:t>” (Sic)</w:t>
      </w:r>
    </w:p>
    <w:p w14:paraId="74997E37" w14:textId="77777777" w:rsidR="001B3646" w:rsidRPr="001B3646" w:rsidRDefault="001B3646" w:rsidP="001B3646">
      <w:pPr>
        <w:spacing w:before="240" w:line="360" w:lineRule="auto"/>
        <w:contextualSpacing/>
        <w:jc w:val="both"/>
        <w:rPr>
          <w:rFonts w:ascii="Palatino Linotype" w:eastAsia="Palatino Linotype" w:hAnsi="Palatino Linotype" w:cs="Palatino Linotype"/>
          <w:sz w:val="24"/>
          <w:szCs w:val="24"/>
        </w:rPr>
      </w:pPr>
    </w:p>
    <w:p w14:paraId="3F8C0023" w14:textId="251C3637" w:rsidR="001B3646" w:rsidRPr="001B3646" w:rsidRDefault="001B3646" w:rsidP="001B3646">
      <w:pPr>
        <w:spacing w:before="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Anexando al recurso de revisión los documentos denominados </w:t>
      </w:r>
      <w:r w:rsidRPr="001B3646">
        <w:rPr>
          <w:rFonts w:ascii="Palatino Linotype" w:eastAsia="Palatino Linotype" w:hAnsi="Palatino Linotype" w:cs="Palatino Linotype"/>
          <w:b/>
          <w:sz w:val="24"/>
          <w:szCs w:val="24"/>
        </w:rPr>
        <w:t>“GACETA 138_24-09-2021.pdf”</w:t>
      </w:r>
      <w:r>
        <w:rPr>
          <w:rFonts w:ascii="Palatino Linotype" w:eastAsia="Palatino Linotype" w:hAnsi="Palatino Linotype" w:cs="Palatino Linotype"/>
          <w:sz w:val="24"/>
          <w:szCs w:val="24"/>
        </w:rPr>
        <w:t xml:space="preserve"> y </w:t>
      </w:r>
      <w:r w:rsidRPr="001B3646">
        <w:rPr>
          <w:rFonts w:ascii="Palatino Linotype" w:eastAsia="Palatino Linotype" w:hAnsi="Palatino Linotype" w:cs="Palatino Linotype"/>
          <w:b/>
          <w:sz w:val="24"/>
          <w:szCs w:val="24"/>
        </w:rPr>
        <w:t>“NR_CM_097_2022 00021 (3).pdf”</w:t>
      </w:r>
      <w:r>
        <w:rPr>
          <w:rFonts w:ascii="Palatino Linotype" w:eastAsia="Palatino Linotype" w:hAnsi="Palatino Linotype" w:cs="Palatino Linotype"/>
          <w:sz w:val="24"/>
          <w:szCs w:val="24"/>
        </w:rPr>
        <w:t>, cuyo contenido será analizado en el estudio del presente recurso.</w:t>
      </w:r>
    </w:p>
    <w:p w14:paraId="11841314" w14:textId="77777777" w:rsidR="00663A37" w:rsidRPr="001B3646"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5C6947"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663A37" w:rsidRPr="005C6947">
        <w:rPr>
          <w:rFonts w:ascii="Palatino Linotype" w:eastAsia="Palatino Linotype" w:hAnsi="Palatino Linotype" w:cs="Palatino Linotype"/>
          <w:b/>
          <w:color w:val="000000"/>
          <w:sz w:val="26"/>
          <w:szCs w:val="26"/>
        </w:rPr>
        <w:t>. Del turno y admisión del recurso de revisión.</w:t>
      </w:r>
    </w:p>
    <w:p w14:paraId="348439E0" w14:textId="3A39A9AE"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2D2B60">
        <w:rPr>
          <w:rFonts w:ascii="Palatino Linotype" w:eastAsia="Palatino Linotype" w:hAnsi="Palatino Linotype" w:cs="Palatino Linotype"/>
          <w:color w:val="000000"/>
          <w:sz w:val="24"/>
          <w:szCs w:val="24"/>
        </w:rPr>
        <w:t>primero de marzo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DB4D34C" w14:textId="77777777" w:rsidR="002D2B60" w:rsidRPr="005C6947" w:rsidRDefault="002D2B60" w:rsidP="002D2B6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QUINTO. De la etapa de instrucción.</w:t>
      </w:r>
    </w:p>
    <w:p w14:paraId="049AAA76" w14:textId="73E8A3C1" w:rsidR="00CC6603" w:rsidRDefault="002D2B60" w:rsidP="002D2B6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 Asimismo, la</w:t>
      </w:r>
      <w:r w:rsidRPr="006377A9">
        <w:rPr>
          <w:rFonts w:ascii="Palatino Linotype" w:eastAsia="Palatino Linotype" w:hAnsi="Palatino Linotype" w:cs="Palatino Linotype"/>
          <w:color w:val="000000"/>
          <w:sz w:val="24"/>
          <w:szCs w:val="24"/>
        </w:rPr>
        <w:t xml:space="preserve"> Recurrente no presentó manifestaciones, rindió alegatos ni presentó pruebas que a su derecho convinieran.</w:t>
      </w:r>
    </w:p>
    <w:p w14:paraId="2D35D4A5"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44352C8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2D2B60">
        <w:rPr>
          <w:rFonts w:ascii="Palatino Linotype" w:eastAsia="Palatino Linotype" w:hAnsi="Palatino Linotype" w:cs="Palatino Linotype"/>
          <w:color w:val="000000"/>
          <w:sz w:val="24"/>
          <w:szCs w:val="24"/>
        </w:rPr>
        <w:t>catorce de marzo</w:t>
      </w:r>
      <w:r w:rsidR="002F7C73">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w:t>
      </w:r>
      <w:r>
        <w:rPr>
          <w:rFonts w:ascii="Palatino Linotype" w:eastAsia="Palatino Linotype" w:hAnsi="Palatino Linotype" w:cs="Palatino Linotype"/>
          <w:color w:val="000000"/>
          <w:sz w:val="24"/>
          <w:szCs w:val="24"/>
        </w:rPr>
        <w:lastRenderedPageBreak/>
        <w:t>Municipios; y 10, 7, 9 fracciones I y XXIV, y 11 del Reglamento Interior del Instituto de Transparencia, Acceso a la Información Pública y Protección de Datos Personales del Estado de México y Municipios.</w:t>
      </w:r>
    </w:p>
    <w:p w14:paraId="46FABF9D"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2C0F16BF" w:rsidR="00663A37" w:rsidRPr="005C6947" w:rsidRDefault="002F7C73"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TERCERO. </w:t>
      </w:r>
      <w:r w:rsidR="00663A37" w:rsidRPr="005C6947">
        <w:rPr>
          <w:rFonts w:ascii="Palatino Linotype" w:eastAsia="Palatino Linotype" w:hAnsi="Palatino Linotype" w:cs="Palatino Linotype"/>
          <w:b/>
          <w:color w:val="000000"/>
          <w:sz w:val="26"/>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6049C463" w:rsidR="00663A37" w:rsidRPr="005C6947"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00BB2E98">
        <w:rPr>
          <w:rFonts w:ascii="Palatino Linotype" w:eastAsia="Palatino Linotype" w:hAnsi="Palatino Linotype" w:cs="Palatino Linotype"/>
          <w:b/>
          <w:color w:val="000000"/>
          <w:sz w:val="26"/>
          <w:szCs w:val="26"/>
        </w:rPr>
        <w:t>TO</w:t>
      </w:r>
      <w:r w:rsidR="00663A37" w:rsidRPr="005C6947">
        <w:rPr>
          <w:rFonts w:ascii="Palatino Linotype" w:eastAsia="Palatino Linotype" w:hAnsi="Palatino Linotype" w:cs="Palatino Linotype"/>
          <w:b/>
          <w:color w:val="000000"/>
          <w:sz w:val="26"/>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E15E29" w14:textId="5B1DDD9C" w:rsidR="006400DC" w:rsidRPr="006400DC"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1B3646">
        <w:rPr>
          <w:rFonts w:ascii="Palatino Linotype" w:eastAsia="Palatino Linotype" w:hAnsi="Palatino Linotype" w:cs="Palatino Linotype"/>
          <w:color w:val="000000"/>
          <w:sz w:val="24"/>
          <w:szCs w:val="24"/>
        </w:rPr>
        <w:t>, es conveniente recordar que la</w:t>
      </w:r>
      <w:r>
        <w:rPr>
          <w:rFonts w:ascii="Palatino Linotype" w:eastAsia="Palatino Linotype" w:hAnsi="Palatino Linotype" w:cs="Palatino Linotype"/>
          <w:color w:val="000000"/>
          <w:sz w:val="24"/>
          <w:szCs w:val="24"/>
        </w:rPr>
        <w:t xml:space="preserve"> hoy Recurrente requirió del Sujeto Obligado </w:t>
      </w:r>
      <w:r w:rsidR="00BB2E98">
        <w:rPr>
          <w:rFonts w:ascii="Palatino Linotype" w:eastAsia="Palatino Linotype" w:hAnsi="Palatino Linotype" w:cs="Palatino Linotype"/>
          <w:color w:val="000000"/>
          <w:sz w:val="24"/>
          <w:szCs w:val="24"/>
        </w:rPr>
        <w:t>l</w:t>
      </w:r>
      <w:r w:rsidR="001B3646">
        <w:rPr>
          <w:rFonts w:ascii="Palatino Linotype" w:eastAsia="Palatino Linotype" w:hAnsi="Palatino Linotype" w:cs="Palatino Linotype"/>
          <w:color w:val="000000"/>
          <w:sz w:val="24"/>
          <w:szCs w:val="24"/>
        </w:rPr>
        <w:t>os nombres de los tres integrantes del Comité de Participación Ciudadana en materia de anticorrupción de los ejercicios 2020, 2021 y 2022 y, en su caso, las convocatorias para la designación de dichos integrantes por los periodos referidos.</w:t>
      </w:r>
    </w:p>
    <w:p w14:paraId="23F23B4A" w14:textId="7EC9C55B" w:rsidR="006400DC"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0B6674C8"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sidR="001B3646">
        <w:rPr>
          <w:rFonts w:ascii="Palatino Linotype" w:eastAsia="Palatino Linotype" w:hAnsi="Palatino Linotype" w:cs="Palatino Linotype"/>
          <w:color w:val="000000"/>
          <w:sz w:val="24"/>
          <w:szCs w:val="24"/>
        </w:rPr>
        <w:t xml:space="preserve"> </w:t>
      </w:r>
      <w:r w:rsidR="007707A3">
        <w:rPr>
          <w:rFonts w:ascii="Palatino Linotype" w:eastAsia="Palatino Linotype" w:hAnsi="Palatino Linotype" w:cs="Palatino Linotype"/>
          <w:color w:val="000000"/>
          <w:sz w:val="24"/>
          <w:szCs w:val="24"/>
        </w:rPr>
        <w:t>l</w:t>
      </w:r>
      <w:r w:rsidR="001B3646">
        <w:rPr>
          <w:rFonts w:ascii="Palatino Linotype" w:eastAsia="Palatino Linotype" w:hAnsi="Palatino Linotype" w:cs="Palatino Linotype"/>
          <w:color w:val="000000"/>
          <w:sz w:val="24"/>
          <w:szCs w:val="24"/>
        </w:rPr>
        <w:t>os sigui</w:t>
      </w:r>
      <w:r>
        <w:rPr>
          <w:rFonts w:ascii="Palatino Linotype" w:eastAsia="Palatino Linotype" w:hAnsi="Palatino Linotype" w:cs="Palatino Linotype"/>
          <w:color w:val="000000"/>
          <w:sz w:val="24"/>
          <w:szCs w:val="24"/>
        </w:rPr>
        <w:t>ente</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109139" w14:textId="34577467" w:rsidR="00AF5FEB" w:rsidRPr="00AF5FEB" w:rsidRDefault="00AF5FEB"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1E24FE">
        <w:rPr>
          <w:rFonts w:ascii="Palatino Linotype" w:eastAsia="Palatino Linotype" w:hAnsi="Palatino Linotype" w:cs="Palatino Linotype"/>
          <w:b/>
          <w:color w:val="000000"/>
        </w:rPr>
        <w:t>NR_CM_097_2022 00021.pdf</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Oficio</w:t>
      </w:r>
      <w:r w:rsidR="00577DAD">
        <w:rPr>
          <w:rFonts w:ascii="Palatino Linotype" w:eastAsia="Palatino Linotype" w:hAnsi="Palatino Linotype" w:cs="Palatino Linotype"/>
          <w:color w:val="000000"/>
        </w:rPr>
        <w:t xml:space="preserve"> NR/CM/097/2022,</w:t>
      </w:r>
      <w:r>
        <w:rPr>
          <w:rFonts w:ascii="Palatino Linotype" w:eastAsia="Palatino Linotype" w:hAnsi="Palatino Linotype" w:cs="Palatino Linotype"/>
          <w:color w:val="000000"/>
        </w:rPr>
        <w:t xml:space="preserve"> </w:t>
      </w:r>
      <w:r w:rsidR="00145FEB">
        <w:rPr>
          <w:rFonts w:ascii="Palatino Linotype" w:eastAsia="Palatino Linotype" w:hAnsi="Palatino Linotype" w:cs="Palatino Linotype"/>
          <w:color w:val="000000"/>
        </w:rPr>
        <w:t>suscrito por la Contralora M</w:t>
      </w:r>
      <w:r w:rsidR="00577DAD">
        <w:rPr>
          <w:rFonts w:ascii="Palatino Linotype" w:eastAsia="Palatino Linotype" w:hAnsi="Palatino Linotype" w:cs="Palatino Linotype"/>
          <w:color w:val="000000"/>
        </w:rPr>
        <w:t>unicipal, con el cual informó que el Órgano de Control Interno carece de competencia para proporcionar la información solicitada.</w:t>
      </w:r>
    </w:p>
    <w:p w14:paraId="6241FF43" w14:textId="69B05C91" w:rsidR="005473DB" w:rsidRPr="007707A3" w:rsidRDefault="00AF5FEB" w:rsidP="00A17CB9">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1E24FE">
        <w:rPr>
          <w:rFonts w:ascii="Palatino Linotype" w:eastAsia="Palatino Linotype" w:hAnsi="Palatino Linotype" w:cs="Palatino Linotype"/>
          <w:b/>
          <w:color w:val="000000"/>
        </w:rPr>
        <w:t>NR_DIG_UT_67_2022 00021.PDF</w:t>
      </w:r>
      <w:r w:rsidR="00BB2E98" w:rsidRPr="0008679B">
        <w:rPr>
          <w:rFonts w:ascii="Palatino Linotype" w:eastAsia="Palatino Linotype" w:hAnsi="Palatino Linotype" w:cs="Palatino Linotype"/>
          <w:b/>
          <w:color w:val="000000"/>
        </w:rPr>
        <w:t>.</w:t>
      </w:r>
      <w:r w:rsidR="0008679B">
        <w:rPr>
          <w:rFonts w:ascii="Palatino Linotype" w:eastAsia="Palatino Linotype" w:hAnsi="Palatino Linotype" w:cs="Palatino Linotype"/>
          <w:color w:val="000000"/>
        </w:rPr>
        <w:t xml:space="preserve"> Oficio </w:t>
      </w:r>
      <w:r>
        <w:rPr>
          <w:rFonts w:ascii="Palatino Linotype" w:eastAsia="Palatino Linotype" w:hAnsi="Palatino Linotype" w:cs="Palatino Linotype"/>
          <w:color w:val="000000"/>
        </w:rPr>
        <w:t xml:space="preserve">número NR/DIG/UT/67/2022, suscrito por el Titular de la Unidad de Transparencia Municipal, mediante el cual informó el nombre de los integrantes </w:t>
      </w:r>
      <w:r w:rsidR="00577DAD">
        <w:rPr>
          <w:rFonts w:ascii="Palatino Linotype" w:eastAsia="Palatino Linotype" w:hAnsi="Palatino Linotype" w:cs="Palatino Linotype"/>
          <w:color w:val="000000"/>
        </w:rPr>
        <w:t>que conformaron</w:t>
      </w:r>
      <w:r>
        <w:rPr>
          <w:rFonts w:ascii="Palatino Linotype" w:eastAsia="Palatino Linotype" w:hAnsi="Palatino Linotype" w:cs="Palatino Linotype"/>
          <w:color w:val="000000"/>
        </w:rPr>
        <w:t xml:space="preserve"> Comité de Participación Ciudadana</w:t>
      </w:r>
      <w:r w:rsidR="00577DAD">
        <w:rPr>
          <w:rFonts w:ascii="Palatino Linotype" w:eastAsia="Palatino Linotype" w:hAnsi="Palatino Linotype" w:cs="Palatino Linotype"/>
          <w:color w:val="000000"/>
        </w:rPr>
        <w:t xml:space="preserve"> en los ejercicios 2020 y 2021; mientras que, respecto del ejercicio 2022, no ha sido notificado </w:t>
      </w:r>
      <w:r w:rsidR="001C0533">
        <w:rPr>
          <w:rFonts w:ascii="Palatino Linotype" w:eastAsia="Palatino Linotype" w:hAnsi="Palatino Linotype" w:cs="Palatino Linotype"/>
          <w:color w:val="000000"/>
        </w:rPr>
        <w:t xml:space="preserve">de </w:t>
      </w:r>
      <w:r w:rsidR="00577DAD">
        <w:rPr>
          <w:rFonts w:ascii="Palatino Linotype" w:eastAsia="Palatino Linotype" w:hAnsi="Palatino Linotype" w:cs="Palatino Linotype"/>
          <w:color w:val="000000"/>
        </w:rPr>
        <w:t>información alguna.</w:t>
      </w:r>
    </w:p>
    <w:p w14:paraId="6458C0B1" w14:textId="77777777" w:rsidR="007707A3"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2CC38B7C"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Ante la respuesta del Sujeto Obligado, el Recurrente consideró que su derecho de acceso a la información había sido conculcado por lo que interpuso el presente recurso de revisión señalando como acto impugnado </w:t>
      </w:r>
      <w:r w:rsidR="00D366F2">
        <w:rPr>
          <w:rFonts w:ascii="Palatino Linotype" w:eastAsia="Palatino Linotype" w:hAnsi="Palatino Linotype" w:cs="Palatino Linotype"/>
          <w:color w:val="000000"/>
          <w:sz w:val="24"/>
          <w:szCs w:val="24"/>
        </w:rPr>
        <w:t xml:space="preserve">el oficio </w:t>
      </w:r>
      <w:r w:rsidR="00D366F2" w:rsidRPr="00D366F2">
        <w:rPr>
          <w:rFonts w:ascii="Palatino Linotype" w:eastAsia="Palatino Linotype" w:hAnsi="Palatino Linotype" w:cs="Palatino Linotype"/>
          <w:color w:val="000000"/>
          <w:sz w:val="24"/>
          <w:szCs w:val="24"/>
        </w:rPr>
        <w:t>NR/SA/DAT/0174/2022 de 28 de enero de 2022 emitido por la Titular de la Contraloría Municipal de Nicolás Romero</w:t>
      </w:r>
      <w:r w:rsidR="00D366F2">
        <w:rPr>
          <w:rFonts w:ascii="Palatino Linotype" w:eastAsia="Palatino Linotype" w:hAnsi="Palatino Linotype" w:cs="Palatino Linotype"/>
          <w:color w:val="000000"/>
          <w:sz w:val="24"/>
          <w:szCs w:val="24"/>
        </w:rPr>
        <w:t>; dando como razones o motivos de inconformidad que, conforme al artículo 184 del Reglamento Orgánico de la Administración Pública Municipal de Nicolás Romero vigente, se establece que la Contraloría Municipal tendrá bajo su cargo diversas áreas, entre ellas el Comité de Participación Ciudadana (fracción VII), por lo que la particular consideró que al estar adscrita a dicha área, se cuenta con las facultades debidas para hacer del conocimiento público la información solicitada. La particular adjuntó a su recurso los siguientes documentos:</w:t>
      </w:r>
    </w:p>
    <w:p w14:paraId="535DA574" w14:textId="77777777" w:rsidR="00D366F2"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A13107" w14:textId="0EE501FC" w:rsidR="00D366F2" w:rsidRPr="00D366F2" w:rsidRDefault="00D366F2" w:rsidP="00A17CB9">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366F2">
        <w:rPr>
          <w:rFonts w:ascii="Palatino Linotype" w:eastAsia="Palatino Linotype" w:hAnsi="Palatino Linotype" w:cs="Palatino Linotype"/>
          <w:b/>
          <w:color w:val="000000"/>
        </w:rPr>
        <w:t>NR_CM_097_2022 00021 (3).</w:t>
      </w:r>
      <w:proofErr w:type="spellStart"/>
      <w:r w:rsidRPr="00D366F2">
        <w:rPr>
          <w:rFonts w:ascii="Palatino Linotype" w:eastAsia="Palatino Linotype" w:hAnsi="Palatino Linotype" w:cs="Palatino Linotype"/>
          <w:b/>
          <w:color w:val="000000"/>
        </w:rPr>
        <w:t>pdf</w:t>
      </w:r>
      <w:proofErr w:type="spellEnd"/>
      <w:r w:rsidRPr="00D366F2">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Oficio NR/CM/097/2022, </w:t>
      </w:r>
      <w:r w:rsidR="004E7A3F">
        <w:rPr>
          <w:rFonts w:ascii="Palatino Linotype" w:eastAsia="Palatino Linotype" w:hAnsi="Palatino Linotype" w:cs="Palatino Linotype"/>
          <w:color w:val="000000"/>
        </w:rPr>
        <w:t xml:space="preserve">que fue remitido por el Sujeto Obligado en respuesta, que se encuentra </w:t>
      </w:r>
      <w:r>
        <w:rPr>
          <w:rFonts w:ascii="Palatino Linotype" w:eastAsia="Palatino Linotype" w:hAnsi="Palatino Linotype" w:cs="Palatino Linotype"/>
          <w:color w:val="000000"/>
        </w:rPr>
        <w:t>suscrito por la Contralora Municipal, con el cual informó que el Órgano de Control Interno carece de competencia para proporcionar la información solicitada.</w:t>
      </w:r>
    </w:p>
    <w:p w14:paraId="24E2A3E0" w14:textId="0DE6A621" w:rsidR="00D366F2" w:rsidRPr="00D366F2" w:rsidRDefault="00D366F2" w:rsidP="00A17CB9">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D366F2">
        <w:rPr>
          <w:rFonts w:ascii="Palatino Linotype" w:eastAsia="Palatino Linotype" w:hAnsi="Palatino Linotype" w:cs="Palatino Linotype"/>
          <w:b/>
          <w:color w:val="000000"/>
        </w:rPr>
        <w:t>GACETA 138_24-09-2021.pdf</w:t>
      </w:r>
      <w:r w:rsidR="004E7A3F">
        <w:rPr>
          <w:rFonts w:ascii="Palatino Linotype" w:eastAsia="Palatino Linotype" w:hAnsi="Palatino Linotype" w:cs="Palatino Linotype"/>
          <w:b/>
          <w:color w:val="000000"/>
        </w:rPr>
        <w:t>.</w:t>
      </w:r>
      <w:r w:rsidR="004E7A3F">
        <w:rPr>
          <w:rFonts w:ascii="Palatino Linotype" w:eastAsia="Palatino Linotype" w:hAnsi="Palatino Linotype" w:cs="Palatino Linotype"/>
          <w:color w:val="000000"/>
        </w:rPr>
        <w:t xml:space="preserve"> Gaceta Municipal del Ayuntamiento de Nicolás Romero del año 3, número 138, de fecha veinticuatro de septiembre de dos mil veintiuno, con la cual se publicaron diversos acuerdos aprobados en la Septuagésima Primera Sesión Extraordinaria de Cabildo celebrada en la misma fecha. Entre los acuerdos publicados se encuentra la aprobación del Reglamento Orgánico de la Administración Pública Municipal de Nicolás Romero, Estado de México 2019-2021, referido por la Recurrente para sustentar lo expresado en sus razones o motivos de inconformidad.</w:t>
      </w:r>
    </w:p>
    <w:p w14:paraId="25B5830C" w14:textId="77777777" w:rsidR="00D366F2" w:rsidRPr="004E7A3F" w:rsidRDefault="00D366F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CB0FFA" w14:textId="2ABDEA47" w:rsidR="00663A37" w:rsidRPr="004E7A3F" w:rsidRDefault="004E7A3F" w:rsidP="00663A37">
      <w:pP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5217B4DC" w14:textId="77777777" w:rsidR="004E7A3F" w:rsidRPr="004E7A3F" w:rsidRDefault="004E7A3F"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w:t>
      </w:r>
      <w:r w:rsidRPr="005C6947">
        <w:rPr>
          <w:rFonts w:ascii="Palatino Linotype" w:eastAsia="Palatino Linotype" w:hAnsi="Palatino Linotype" w:cs="Palatino Linotype"/>
          <w:i/>
          <w:color w:val="000000"/>
        </w:rPr>
        <w:lastRenderedPageBreak/>
        <w:t xml:space="preserve">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VI. Los sujetos obligados deberán preservar sus documentos en archivos administrativos actualizados y publicarán, a través de los medios electrónicos disponibles, la información </w:t>
      </w:r>
      <w:r w:rsidRPr="005C6947">
        <w:rPr>
          <w:rFonts w:ascii="Palatino Linotype" w:eastAsia="Palatino Linotype" w:hAnsi="Palatino Linotype" w:cs="Palatino Linotype"/>
          <w:i/>
          <w:color w:val="000000"/>
        </w:rPr>
        <w:lastRenderedPageBreak/>
        <w:t>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280E695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B6F142F" w14:textId="02DED1D7" w:rsidR="00B02564" w:rsidRDefault="00663A37"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B02564">
        <w:rPr>
          <w:rFonts w:ascii="Palatino Linotype" w:eastAsia="Palatino Linotype" w:hAnsi="Palatino Linotype" w:cs="Palatino Linotype"/>
          <w:sz w:val="24"/>
          <w:szCs w:val="24"/>
        </w:rPr>
        <w:t xml:space="preserve">no pasa desapercibido a este Instituto que la Recurrente expresó en su solicitud que requería el nombre de los 3 integrantes del Comité referido para los ejercicios 2020, 2021 y 2019 y, </w:t>
      </w:r>
      <w:r w:rsidR="00B02564" w:rsidRPr="00F11F01">
        <w:rPr>
          <w:rFonts w:ascii="Palatino Linotype" w:eastAsia="Palatino Linotype" w:hAnsi="Palatino Linotype" w:cs="Palatino Linotype"/>
          <w:b/>
          <w:sz w:val="24"/>
          <w:szCs w:val="24"/>
          <w:u w:val="single"/>
        </w:rPr>
        <w:t>en su caso</w:t>
      </w:r>
      <w:r w:rsidR="00B02564">
        <w:rPr>
          <w:rFonts w:ascii="Palatino Linotype" w:eastAsia="Palatino Linotype" w:hAnsi="Palatino Linotype" w:cs="Palatino Linotype"/>
          <w:sz w:val="24"/>
          <w:szCs w:val="24"/>
        </w:rPr>
        <w:t>, se le den a conocer las convocatorias para la designación de los integrantes en los ejercicios mencionados.</w:t>
      </w:r>
    </w:p>
    <w:p w14:paraId="0F65FF8E" w14:textId="77777777" w:rsidR="00B02564" w:rsidRDefault="00B02564" w:rsidP="00B02564">
      <w:pPr>
        <w:spacing w:after="0" w:line="360" w:lineRule="auto"/>
        <w:jc w:val="both"/>
        <w:rPr>
          <w:rFonts w:ascii="Palatino Linotype" w:eastAsia="Palatino Linotype" w:hAnsi="Palatino Linotype" w:cs="Palatino Linotype"/>
          <w:sz w:val="24"/>
          <w:szCs w:val="24"/>
        </w:rPr>
      </w:pPr>
    </w:p>
    <w:p w14:paraId="5709B211" w14:textId="77777777" w:rsidR="00B02564" w:rsidRDefault="00B02564" w:rsidP="00B0256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manera que la frase “en su caso” puede ser interpretada de forma inclusiva o excluyente. Así, en el caso de que se considera como inclusiva, en la solicitud de información se estaría requiriendo tanto el nombre de los integrantes como las convocatorias emitidas para la conformación de los Comités de Participación Ciudadana en los años referidos. Mientras que de forma excluyente, la solicitud de información consistiría en requerir los nombres de los integrantes o bien, las convocatorias para conformar dichos Comités; es decir, los nombres de los integrantes y en el supuesto de no estregarlos, hacer entrega de las convocatorias.</w:t>
      </w:r>
    </w:p>
    <w:p w14:paraId="2A011AF5" w14:textId="77777777" w:rsidR="00B02564" w:rsidRDefault="00B02564" w:rsidP="00B02564">
      <w:pPr>
        <w:spacing w:after="0" w:line="360" w:lineRule="auto"/>
        <w:jc w:val="both"/>
        <w:rPr>
          <w:rFonts w:ascii="Palatino Linotype" w:eastAsia="Palatino Linotype" w:hAnsi="Palatino Linotype" w:cs="Palatino Linotype"/>
          <w:sz w:val="24"/>
          <w:szCs w:val="24"/>
        </w:rPr>
      </w:pPr>
    </w:p>
    <w:p w14:paraId="75CDB30A" w14:textId="4EAA9277" w:rsidR="00B02564" w:rsidRDefault="00B02564" w:rsidP="00663A3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No obstante, en virtud de que la Recurrente no manifestó inconformidad alguna ante la entrega de los nombres entregados en respuesta ni ante la falta de las convocatorias, sino que exclusivamente </w:t>
      </w:r>
      <w:r w:rsidR="00E4012E">
        <w:rPr>
          <w:rFonts w:ascii="Palatino Linotype" w:eastAsia="Palatino Linotype" w:hAnsi="Palatino Linotype" w:cs="Palatino Linotype"/>
          <w:sz w:val="24"/>
          <w:szCs w:val="24"/>
        </w:rPr>
        <w:t xml:space="preserve">señaló como acto impugnado el oficio </w:t>
      </w:r>
      <w:r w:rsidR="00E4012E" w:rsidRPr="00D366F2">
        <w:rPr>
          <w:rFonts w:ascii="Palatino Linotype" w:eastAsia="Palatino Linotype" w:hAnsi="Palatino Linotype" w:cs="Palatino Linotype"/>
          <w:color w:val="000000"/>
          <w:sz w:val="24"/>
          <w:szCs w:val="24"/>
        </w:rPr>
        <w:t>NR/SA/DAT/0174/2022 de 28 de enero de 2022 emitido por la Titular de la Contraloría Municipal</w:t>
      </w:r>
      <w:r w:rsidR="00E4012E">
        <w:rPr>
          <w:rFonts w:ascii="Palatino Linotype" w:eastAsia="Palatino Linotype" w:hAnsi="Palatino Linotype" w:cs="Palatino Linotype"/>
          <w:color w:val="000000"/>
          <w:sz w:val="24"/>
          <w:szCs w:val="24"/>
        </w:rPr>
        <w:t>, por considerar que dicha área cuenta con facultades para conocer de la información solicitada conforme al Reglamento Orgánico publicado en la Gaceta Municipal de fecha veinticuatro de septiem</w:t>
      </w:r>
      <w:r>
        <w:rPr>
          <w:rFonts w:ascii="Palatino Linotype" w:eastAsia="Palatino Linotype" w:hAnsi="Palatino Linotype" w:cs="Palatino Linotype"/>
          <w:color w:val="000000"/>
          <w:sz w:val="24"/>
          <w:szCs w:val="24"/>
        </w:rPr>
        <w:t xml:space="preserve">bre de dos mil veintiuno, </w:t>
      </w:r>
      <w:r>
        <w:rPr>
          <w:rFonts w:ascii="Palatino Linotype" w:eastAsia="Palatino Linotype" w:hAnsi="Palatino Linotype" w:cs="Palatino Linotype"/>
          <w:sz w:val="24"/>
          <w:szCs w:val="24"/>
        </w:rPr>
        <w:t xml:space="preserve">es viable colegir que </w:t>
      </w:r>
      <w:r w:rsidR="00640F54">
        <w:rPr>
          <w:rFonts w:ascii="Palatino Linotype" w:eastAsia="Palatino Linotype" w:hAnsi="Palatino Linotype" w:cs="Palatino Linotype"/>
          <w:sz w:val="24"/>
          <w:szCs w:val="24"/>
        </w:rPr>
        <w:t xml:space="preserve">consintió parcialmente la respuesta del Sujeto Obligado. </w:t>
      </w:r>
    </w:p>
    <w:p w14:paraId="7AAC62D5" w14:textId="77777777" w:rsidR="00B02564" w:rsidRDefault="00B02564" w:rsidP="00663A37">
      <w:pPr>
        <w:spacing w:after="0" w:line="360" w:lineRule="auto"/>
        <w:jc w:val="both"/>
        <w:rPr>
          <w:rFonts w:ascii="Palatino Linotype" w:eastAsia="Palatino Linotype" w:hAnsi="Palatino Linotype" w:cs="Palatino Linotype"/>
          <w:color w:val="000000"/>
          <w:sz w:val="24"/>
          <w:szCs w:val="24"/>
        </w:rPr>
      </w:pPr>
    </w:p>
    <w:p w14:paraId="7AE1CCCA" w14:textId="19222EE7" w:rsidR="001A3F8D" w:rsidRDefault="00640F54" w:rsidP="00663A3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w:t>
      </w:r>
      <w:r w:rsidR="00B02564">
        <w:rPr>
          <w:rFonts w:ascii="Palatino Linotype" w:eastAsia="Palatino Linotype" w:hAnsi="Palatino Linotype" w:cs="Palatino Linotype"/>
          <w:color w:val="000000"/>
          <w:sz w:val="24"/>
          <w:szCs w:val="24"/>
        </w:rPr>
        <w:t>en este punto</w:t>
      </w:r>
      <w:r w:rsidR="00E4012E">
        <w:rPr>
          <w:rFonts w:ascii="Palatino Linotype" w:eastAsia="Palatino Linotype" w:hAnsi="Palatino Linotype" w:cs="Palatino Linotype"/>
          <w:color w:val="000000"/>
          <w:sz w:val="24"/>
          <w:szCs w:val="24"/>
        </w:rPr>
        <w:t>, se debe</w:t>
      </w:r>
      <w:r>
        <w:rPr>
          <w:rFonts w:ascii="Palatino Linotype" w:eastAsia="Palatino Linotype" w:hAnsi="Palatino Linotype" w:cs="Palatino Linotype"/>
          <w:color w:val="000000"/>
          <w:sz w:val="24"/>
          <w:szCs w:val="24"/>
        </w:rPr>
        <w:t xml:space="preserve"> hacer la aclaración que el</w:t>
      </w:r>
      <w:r w:rsidR="00E4012E">
        <w:rPr>
          <w:rFonts w:ascii="Palatino Linotype" w:eastAsia="Palatino Linotype" w:hAnsi="Palatino Linotype" w:cs="Palatino Linotype"/>
          <w:color w:val="000000"/>
          <w:sz w:val="24"/>
          <w:szCs w:val="24"/>
        </w:rPr>
        <w:t xml:space="preserve"> documento </w:t>
      </w:r>
      <w:r>
        <w:rPr>
          <w:rFonts w:ascii="Palatino Linotype" w:eastAsia="Palatino Linotype" w:hAnsi="Palatino Linotype" w:cs="Palatino Linotype"/>
          <w:color w:val="000000"/>
          <w:sz w:val="24"/>
          <w:szCs w:val="24"/>
        </w:rPr>
        <w:t xml:space="preserve">referido en el acto impugnado </w:t>
      </w:r>
      <w:r w:rsidR="00E4012E">
        <w:rPr>
          <w:rFonts w:ascii="Palatino Linotype" w:eastAsia="Palatino Linotype" w:hAnsi="Palatino Linotype" w:cs="Palatino Linotype"/>
          <w:color w:val="000000"/>
          <w:sz w:val="24"/>
          <w:szCs w:val="24"/>
        </w:rPr>
        <w:t>no obra en las actuaciones del presente expediente, por lo que se debe entender que hubo una confusión por parte de la particular debido a que el oficio rendido por la Contraloría Municipal está identificado como NR/CM/097/2022 y se emitió el treinta y uno de enero del año en curso.</w:t>
      </w:r>
    </w:p>
    <w:p w14:paraId="4C813711" w14:textId="77777777" w:rsidR="00E4012E" w:rsidRDefault="00E4012E" w:rsidP="00663A37">
      <w:pPr>
        <w:spacing w:after="0" w:line="360" w:lineRule="auto"/>
        <w:contextualSpacing/>
        <w:jc w:val="both"/>
        <w:rPr>
          <w:rFonts w:ascii="Palatino Linotype" w:eastAsia="Palatino Linotype" w:hAnsi="Palatino Linotype" w:cs="Palatino Linotype"/>
          <w:color w:val="000000"/>
          <w:sz w:val="24"/>
          <w:szCs w:val="24"/>
        </w:rPr>
      </w:pPr>
    </w:p>
    <w:p w14:paraId="1E3DFBEC" w14:textId="1C63A63C" w:rsidR="00E4012E" w:rsidRDefault="00E4012E" w:rsidP="00663A37">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Una vez aclarado lo anterior, es de suma importancia resaltar que el Sujeto Obligado dio respuesta a la solicitud con dos documentos: a) el oficio NR/CM/097/2022 suscrito por el Contralor Municipal</w:t>
      </w:r>
      <w:r w:rsidR="003A13EE">
        <w:rPr>
          <w:rFonts w:ascii="Palatino Linotype" w:eastAsia="Palatino Linotype" w:hAnsi="Palatino Linotype" w:cs="Palatino Linotype"/>
          <w:color w:val="000000"/>
          <w:sz w:val="24"/>
          <w:szCs w:val="24"/>
        </w:rPr>
        <w:t xml:space="preserve"> y b) NR/DIG/UT/67/2022 emitido por el  Titular de la Unidad de Transparencia Municipal.</w:t>
      </w:r>
    </w:p>
    <w:p w14:paraId="2ED1D09A" w14:textId="77777777" w:rsidR="003A13EE" w:rsidRDefault="003A13EE" w:rsidP="00663A37">
      <w:pPr>
        <w:spacing w:after="0" w:line="360" w:lineRule="auto"/>
        <w:contextualSpacing/>
        <w:jc w:val="both"/>
        <w:rPr>
          <w:rFonts w:ascii="Palatino Linotype" w:eastAsia="Palatino Linotype" w:hAnsi="Palatino Linotype" w:cs="Palatino Linotype"/>
          <w:color w:val="000000"/>
          <w:sz w:val="24"/>
          <w:szCs w:val="24"/>
        </w:rPr>
      </w:pPr>
    </w:p>
    <w:p w14:paraId="25BDD92D" w14:textId="4B385E33" w:rsidR="003A13EE" w:rsidRDefault="003A13EE" w:rsidP="00663A37">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orden de ideas, si bien es cierto que el Contralor Municipal manifestó que carece de competencia para dar respuesta a la solicitud; también lo es que el Titular de la Unidad de Transparencia Municipal hizo del conocimiento de la Recurrente el nombre de los tres integrantes de los Comités de Participación Ciudadana conformados para los ejercicios 2020 y 2021, además de que manifestó que no contaba aún con la i</w:t>
      </w:r>
      <w:r w:rsidR="00640F54">
        <w:rPr>
          <w:rFonts w:ascii="Palatino Linotype" w:eastAsia="Palatino Linotype" w:hAnsi="Palatino Linotype" w:cs="Palatino Linotype"/>
          <w:color w:val="000000"/>
          <w:sz w:val="24"/>
          <w:szCs w:val="24"/>
        </w:rPr>
        <w:t>nformación para el presente año, lo cual no fue controvertido por la particular.</w:t>
      </w:r>
    </w:p>
    <w:p w14:paraId="5B04E83D" w14:textId="77777777" w:rsidR="003A13EE" w:rsidRDefault="003A13EE" w:rsidP="00663A37">
      <w:pPr>
        <w:spacing w:after="0" w:line="360" w:lineRule="auto"/>
        <w:contextualSpacing/>
        <w:jc w:val="both"/>
        <w:rPr>
          <w:rFonts w:ascii="Palatino Linotype" w:eastAsia="Palatino Linotype" w:hAnsi="Palatino Linotype" w:cs="Palatino Linotype"/>
          <w:color w:val="000000"/>
          <w:sz w:val="24"/>
          <w:szCs w:val="24"/>
        </w:rPr>
      </w:pPr>
    </w:p>
    <w:p w14:paraId="43544293" w14:textId="3ED4C08F" w:rsidR="00F11F01" w:rsidRDefault="003A13EE" w:rsidP="00F11F0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De tal forma que la Recurrente no expresó motivo de inconformidad en contra de la respuesta otorgada por la Unidad de Transparencia; por tanto, </w:t>
      </w:r>
      <w:r w:rsidR="00F11F01">
        <w:rPr>
          <w:rFonts w:ascii="Palatino Linotype" w:eastAsia="Palatino Linotype" w:hAnsi="Palatino Linotype" w:cs="Palatino Linotype"/>
          <w:sz w:val="24"/>
          <w:szCs w:val="24"/>
        </w:rPr>
        <w:t>se debe entender que la particular consintió parcia</w:t>
      </w:r>
      <w:r w:rsidR="00640F54">
        <w:rPr>
          <w:rFonts w:ascii="Palatino Linotype" w:eastAsia="Palatino Linotype" w:hAnsi="Palatino Linotype" w:cs="Palatino Linotype"/>
          <w:sz w:val="24"/>
          <w:szCs w:val="24"/>
        </w:rPr>
        <w:t>lmente la respuesta,</w:t>
      </w:r>
      <w:r w:rsidR="00F11F01">
        <w:rPr>
          <w:rFonts w:ascii="Palatino Linotype" w:eastAsia="Palatino Linotype" w:hAnsi="Palatino Linotype" w:cs="Palatino Linotype"/>
          <w:sz w:val="24"/>
          <w:szCs w:val="24"/>
        </w:rPr>
        <w:t xml:space="preserve"> pues</w:t>
      </w:r>
      <w:r w:rsidR="00640F54">
        <w:rPr>
          <w:rFonts w:ascii="Palatino Linotype" w:eastAsia="Palatino Linotype" w:hAnsi="Palatino Linotype" w:cs="Palatino Linotype"/>
          <w:sz w:val="24"/>
          <w:szCs w:val="24"/>
        </w:rPr>
        <w:t xml:space="preserve">, se reitera, que no hubo inconformidad ante lo señalado por el Sujeto Obligado en el oficio número NR/DGI/UT/67/2022. </w:t>
      </w:r>
      <w:r w:rsidR="00F11F01">
        <w:rPr>
          <w:rFonts w:ascii="Palatino Linotype" w:eastAsia="Palatino Linotype" w:hAnsi="Palatino Linotype" w:cs="Palatino Linotype"/>
          <w:sz w:val="24"/>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digital 174177, en la que se establece lo siguiente:</w:t>
      </w:r>
    </w:p>
    <w:p w14:paraId="128AE549" w14:textId="77777777" w:rsidR="00F11F01" w:rsidRDefault="00F11F01" w:rsidP="00F11F01">
      <w:pPr>
        <w:spacing w:after="0" w:line="360" w:lineRule="auto"/>
        <w:jc w:val="both"/>
        <w:rPr>
          <w:rFonts w:ascii="Palatino Linotype" w:eastAsia="Palatino Linotype" w:hAnsi="Palatino Linotype" w:cs="Palatino Linotype"/>
          <w:sz w:val="24"/>
          <w:szCs w:val="24"/>
        </w:rPr>
      </w:pPr>
    </w:p>
    <w:p w14:paraId="758AD9DD" w14:textId="77777777" w:rsidR="00F11F01" w:rsidRPr="005336A5" w:rsidRDefault="00F11F01" w:rsidP="00F11F01">
      <w:pPr>
        <w:spacing w:after="0" w:line="240" w:lineRule="auto"/>
        <w:ind w:left="567" w:right="567"/>
        <w:jc w:val="both"/>
        <w:rPr>
          <w:rFonts w:ascii="Palatino Linotype" w:eastAsia="Palatino Linotype" w:hAnsi="Palatino Linotype" w:cs="Palatino Linotype"/>
          <w:i/>
        </w:rPr>
      </w:pPr>
      <w:r w:rsidRPr="005336A5">
        <w:rPr>
          <w:rFonts w:ascii="Palatino Linotype" w:eastAsia="Palatino Linotype" w:hAnsi="Palatino Linotype" w:cs="Palatino Linotype"/>
          <w:b/>
          <w:i/>
        </w:rPr>
        <w:t>REVISIÓN EN AMPARO. LOS RESOLUTIVOS NO COMBATIDOS DEBEN DECLARARSE FIRMES</w:t>
      </w:r>
      <w:r w:rsidRPr="005336A5">
        <w:rPr>
          <w:rFonts w:ascii="Palatino Linotype" w:eastAsia="Palatino Linotype" w:hAnsi="Palatino Linotype" w:cs="Palatino Linotype"/>
          <w:i/>
        </w:rPr>
        <w:t xml:space="preserve">. </w:t>
      </w:r>
    </w:p>
    <w:p w14:paraId="6AD4E3E6" w14:textId="77777777" w:rsidR="00F11F01" w:rsidRPr="005336A5" w:rsidRDefault="00F11F01" w:rsidP="00F11F01">
      <w:pPr>
        <w:spacing w:after="0" w:line="240" w:lineRule="auto"/>
        <w:ind w:left="567" w:right="567"/>
        <w:jc w:val="both"/>
        <w:rPr>
          <w:rFonts w:ascii="Palatino Linotype" w:eastAsia="Palatino Linotype" w:hAnsi="Palatino Linotype" w:cs="Palatino Linotype"/>
          <w:i/>
        </w:rPr>
      </w:pPr>
      <w:r w:rsidRPr="005336A5">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37EF10" w14:textId="77777777" w:rsidR="00F11F01" w:rsidRDefault="00F11F01" w:rsidP="00F11F01">
      <w:pPr>
        <w:spacing w:after="0" w:line="360" w:lineRule="auto"/>
        <w:jc w:val="both"/>
        <w:rPr>
          <w:rFonts w:ascii="Palatino Linotype" w:eastAsia="Palatino Linotype" w:hAnsi="Palatino Linotype" w:cs="Palatino Linotype"/>
          <w:sz w:val="24"/>
          <w:szCs w:val="24"/>
        </w:rPr>
      </w:pPr>
    </w:p>
    <w:p w14:paraId="70DAD9B4" w14:textId="345DFD45" w:rsidR="00F11F01" w:rsidRDefault="00F11F01" w:rsidP="00F11F0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 parte de la solicitud sobre la que no se expresó inconformidad, d</w:t>
      </w:r>
      <w:r w:rsidR="00640F54">
        <w:rPr>
          <w:rFonts w:ascii="Palatino Linotype" w:eastAsia="Palatino Linotype" w:hAnsi="Palatino Linotype" w:cs="Palatino Linotype"/>
          <w:sz w:val="24"/>
          <w:szCs w:val="24"/>
        </w:rPr>
        <w:t>ebe declararse consentida por la</w:t>
      </w:r>
      <w:r>
        <w:rPr>
          <w:rFonts w:ascii="Palatino Linotype" w:eastAsia="Palatino Linotype" w:hAnsi="Palatino Linotype" w:cs="Palatino Linotype"/>
          <w:sz w:val="24"/>
          <w:szCs w:val="24"/>
        </w:rPr>
        <w:t xml:space="preserve">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cuyo contenido señala lo siguiente:</w:t>
      </w:r>
    </w:p>
    <w:p w14:paraId="16DEC4A1" w14:textId="77777777" w:rsidR="00F11F01" w:rsidRDefault="00F11F01" w:rsidP="00F11F01">
      <w:pPr>
        <w:spacing w:after="0" w:line="360" w:lineRule="auto"/>
        <w:jc w:val="both"/>
        <w:rPr>
          <w:rFonts w:ascii="Palatino Linotype" w:eastAsia="Palatino Linotype" w:hAnsi="Palatino Linotype" w:cs="Palatino Linotype"/>
          <w:sz w:val="24"/>
          <w:szCs w:val="24"/>
        </w:rPr>
      </w:pPr>
    </w:p>
    <w:p w14:paraId="7B2A203D" w14:textId="77777777" w:rsidR="00F11F01" w:rsidRPr="005336A5" w:rsidRDefault="00F11F01" w:rsidP="00F11F01">
      <w:pPr>
        <w:spacing w:after="0" w:line="240" w:lineRule="auto"/>
        <w:ind w:left="567" w:right="567"/>
        <w:jc w:val="both"/>
        <w:rPr>
          <w:rFonts w:ascii="Palatino Linotype" w:eastAsia="Palatino Linotype" w:hAnsi="Palatino Linotype" w:cs="Palatino Linotype"/>
          <w:i/>
        </w:rPr>
      </w:pPr>
      <w:r w:rsidRPr="005336A5">
        <w:rPr>
          <w:rFonts w:ascii="Palatino Linotype" w:eastAsia="Palatino Linotype" w:hAnsi="Palatino Linotype" w:cs="Palatino Linotype"/>
          <w:b/>
          <w:i/>
        </w:rPr>
        <w:t>ACTOS CONSENTIDOS. SON LOS QUE NO SE IMPUGNAN MEDIANTE EL RECURSO IDÓNEO.</w:t>
      </w:r>
      <w:r w:rsidRPr="005336A5">
        <w:rPr>
          <w:rFonts w:ascii="Palatino Linotype" w:eastAsia="Palatino Linotype" w:hAnsi="Palatino Linotype" w:cs="Palatino Linotype"/>
          <w:i/>
        </w:rPr>
        <w:t xml:space="preserve"> </w:t>
      </w:r>
    </w:p>
    <w:p w14:paraId="1A23B681" w14:textId="77777777" w:rsidR="00F11F01" w:rsidRPr="005336A5" w:rsidRDefault="00F11F01" w:rsidP="00F11F01">
      <w:pPr>
        <w:spacing w:after="0" w:line="240" w:lineRule="auto"/>
        <w:ind w:left="567" w:right="567"/>
        <w:jc w:val="both"/>
        <w:rPr>
          <w:rFonts w:ascii="Palatino Linotype" w:eastAsia="Palatino Linotype" w:hAnsi="Palatino Linotype" w:cs="Palatino Linotype"/>
        </w:rPr>
      </w:pPr>
      <w:r w:rsidRPr="005336A5">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71D2D88" w14:textId="77777777" w:rsidR="00F11F01" w:rsidRDefault="00F11F01" w:rsidP="00F11F01">
      <w:pPr>
        <w:spacing w:after="0" w:line="360" w:lineRule="auto"/>
        <w:jc w:val="both"/>
        <w:rPr>
          <w:rFonts w:ascii="Palatino Linotype" w:eastAsia="Palatino Linotype" w:hAnsi="Palatino Linotype" w:cs="Palatino Linotype"/>
          <w:sz w:val="24"/>
          <w:szCs w:val="24"/>
        </w:rPr>
      </w:pPr>
    </w:p>
    <w:p w14:paraId="65689CDC" w14:textId="77777777" w:rsidR="00F11F01" w:rsidRDefault="00F11F01" w:rsidP="00F11F0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Para mayor abundamiento, también resulta aplicable el criterio 01/20 emitido por el Instituto Nacional de Transparencia, Acceso a la Información Pública y Protección de Datos Personales, que a la letra estipula lo siguiente: </w:t>
      </w:r>
    </w:p>
    <w:p w14:paraId="795697AF" w14:textId="77777777" w:rsidR="00F11F01" w:rsidRDefault="00F11F01" w:rsidP="00F11F01">
      <w:pPr>
        <w:spacing w:after="0" w:line="360" w:lineRule="auto"/>
        <w:jc w:val="both"/>
        <w:rPr>
          <w:rFonts w:ascii="Palatino Linotype" w:eastAsia="Palatino Linotype" w:hAnsi="Palatino Linotype" w:cs="Palatino Linotype"/>
          <w:sz w:val="24"/>
          <w:szCs w:val="24"/>
        </w:rPr>
      </w:pPr>
    </w:p>
    <w:p w14:paraId="0A0606C5" w14:textId="77777777" w:rsidR="00F11F01" w:rsidRPr="005336A5" w:rsidRDefault="00F11F01" w:rsidP="00F11F01">
      <w:pPr>
        <w:spacing w:after="0" w:line="240" w:lineRule="auto"/>
        <w:ind w:left="567" w:right="567"/>
        <w:jc w:val="both"/>
        <w:rPr>
          <w:rFonts w:ascii="Palatino Linotype" w:eastAsia="Palatino Linotype" w:hAnsi="Palatino Linotype" w:cs="Palatino Linotype"/>
          <w:i/>
        </w:rPr>
      </w:pPr>
      <w:r w:rsidRPr="005336A5">
        <w:rPr>
          <w:rFonts w:ascii="Palatino Linotype" w:eastAsia="Palatino Linotype" w:hAnsi="Palatino Linotype" w:cs="Palatino Linotype"/>
          <w:b/>
          <w:i/>
        </w:rPr>
        <w:t xml:space="preserve">Actos consentidos tácitamente. Improcedencia de su análisis. </w:t>
      </w:r>
      <w:r w:rsidRPr="005336A5">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43E6027" w14:textId="77777777" w:rsidR="00F11F01" w:rsidRDefault="00F11F01" w:rsidP="00F11F01">
      <w:pPr>
        <w:spacing w:after="0" w:line="360" w:lineRule="auto"/>
        <w:jc w:val="both"/>
        <w:rPr>
          <w:rFonts w:ascii="Palatino Linotype" w:eastAsia="Palatino Linotype" w:hAnsi="Palatino Linotype" w:cs="Palatino Linotype"/>
          <w:sz w:val="24"/>
          <w:szCs w:val="24"/>
        </w:rPr>
      </w:pPr>
    </w:p>
    <w:p w14:paraId="07FB6E92" w14:textId="582D7884" w:rsidR="00F11F01" w:rsidRDefault="00F11F01" w:rsidP="00F11F01">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Por lo señalado anteriormente, </w:t>
      </w:r>
      <w:r>
        <w:rPr>
          <w:rFonts w:ascii="Palatino Linotype" w:eastAsia="Palatino Linotype" w:hAnsi="Palatino Linotype" w:cs="Palatino Linotype"/>
          <w:b/>
          <w:sz w:val="24"/>
          <w:szCs w:val="24"/>
        </w:rPr>
        <w:t>queda establecido que la</w:t>
      </w:r>
      <w:r w:rsidRPr="00C833A5">
        <w:rPr>
          <w:rFonts w:ascii="Palatino Linotype" w:eastAsia="Palatino Linotype" w:hAnsi="Palatino Linotype" w:cs="Palatino Linotype"/>
          <w:b/>
          <w:sz w:val="24"/>
          <w:szCs w:val="24"/>
        </w:rPr>
        <w:t xml:space="preserve"> Recurrente está conforme con la respuesta </w:t>
      </w:r>
      <w:r>
        <w:rPr>
          <w:rFonts w:ascii="Palatino Linotype" w:eastAsia="Palatino Linotype" w:hAnsi="Palatino Linotype" w:cs="Palatino Linotype"/>
          <w:b/>
          <w:sz w:val="24"/>
          <w:szCs w:val="24"/>
        </w:rPr>
        <w:t xml:space="preserve">otorgada </w:t>
      </w:r>
      <w:r w:rsidRPr="00C833A5">
        <w:rPr>
          <w:rFonts w:ascii="Palatino Linotype" w:eastAsia="Palatino Linotype" w:hAnsi="Palatino Linotype" w:cs="Palatino Linotype"/>
          <w:b/>
          <w:sz w:val="24"/>
          <w:szCs w:val="24"/>
        </w:rPr>
        <w:t xml:space="preserve">por </w:t>
      </w:r>
      <w:r>
        <w:rPr>
          <w:rFonts w:ascii="Palatino Linotype" w:eastAsia="Palatino Linotype" w:hAnsi="Palatino Linotype" w:cs="Palatino Linotype"/>
          <w:b/>
          <w:sz w:val="24"/>
          <w:szCs w:val="24"/>
        </w:rPr>
        <w:t>la Unidad de Transparencia del Sujeto Obligado, con la que se le informó el nombre de las personas que integraron los Comités de Participación Ciudadana en los ejercicios 2020 y 2021.</w:t>
      </w:r>
    </w:p>
    <w:p w14:paraId="63753A64" w14:textId="77777777" w:rsidR="00F11F01" w:rsidRDefault="00F11F01" w:rsidP="00F11F01">
      <w:pPr>
        <w:spacing w:after="0" w:line="360" w:lineRule="auto"/>
        <w:jc w:val="both"/>
        <w:rPr>
          <w:rFonts w:ascii="Palatino Linotype" w:eastAsia="Palatino Linotype" w:hAnsi="Palatino Linotype" w:cs="Palatino Linotype"/>
          <w:sz w:val="24"/>
          <w:szCs w:val="24"/>
        </w:rPr>
      </w:pPr>
    </w:p>
    <w:p w14:paraId="3D19155A" w14:textId="2F851FDC" w:rsidR="00CD098C" w:rsidRPr="00D63146" w:rsidRDefault="00CD098C" w:rsidP="00CD098C">
      <w:pPr>
        <w:spacing w:after="0" w:line="360" w:lineRule="auto"/>
        <w:jc w:val="both"/>
        <w:rPr>
          <w:rFonts w:ascii="Palatino Linotype" w:eastAsiaTheme="minorHAnsi" w:hAnsi="Palatino Linotype" w:cstheme="minorBidi"/>
          <w:sz w:val="24"/>
          <w:szCs w:val="24"/>
          <w:lang w:eastAsia="en-US"/>
        </w:rPr>
      </w:pPr>
      <w:r>
        <w:rPr>
          <w:rFonts w:ascii="Palatino Linotype" w:eastAsia="Palatino Linotype" w:hAnsi="Palatino Linotype" w:cs="Palatino Linotype"/>
          <w:sz w:val="24"/>
          <w:szCs w:val="24"/>
        </w:rPr>
        <w:t xml:space="preserve">De tal forma que el Sujeto Obligado atendió la solicitud de la Recurrente emitiendo un pronunciamiento en el sentido de informar a la particular los nombres requeridos. </w:t>
      </w:r>
      <w:r>
        <w:rPr>
          <w:rFonts w:ascii="Palatino Linotype" w:eastAsiaTheme="minorHAnsi" w:hAnsi="Palatino Linotype" w:cstheme="minorBidi"/>
          <w:sz w:val="24"/>
          <w:szCs w:val="24"/>
          <w:lang w:eastAsia="en-US"/>
        </w:rPr>
        <w:t>Por ende</w:t>
      </w:r>
      <w:r w:rsidRPr="00D63146">
        <w:rPr>
          <w:rFonts w:ascii="Palatino Linotype" w:eastAsiaTheme="minorHAnsi" w:hAnsi="Palatino Linotype" w:cstheme="minorBidi"/>
          <w:sz w:val="24"/>
          <w:szCs w:val="24"/>
          <w:lang w:eastAsia="en-US"/>
        </w:rPr>
        <w:t>, a</w:t>
      </w:r>
      <w:r>
        <w:rPr>
          <w:rFonts w:ascii="Palatino Linotype" w:eastAsiaTheme="minorHAnsi" w:hAnsi="Palatino Linotype" w:cstheme="minorBidi"/>
          <w:sz w:val="24"/>
          <w:szCs w:val="24"/>
          <w:lang w:eastAsia="en-US"/>
        </w:rPr>
        <w:t>l existir un pronunciamiento</w:t>
      </w:r>
      <w:r w:rsidRPr="00D63146">
        <w:rPr>
          <w:rFonts w:ascii="Palatino Linotype" w:eastAsiaTheme="minorHAnsi" w:hAnsi="Palatino Linotype" w:cstheme="minorBidi"/>
          <w:sz w:val="24"/>
          <w:szCs w:val="24"/>
          <w:lang w:eastAsia="en-US"/>
        </w:rPr>
        <w:t xml:space="preserve"> por parte del Sujeto Obligado, </w:t>
      </w:r>
      <w:r w:rsidRPr="00D63146">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w:t>
      </w:r>
      <w:r>
        <w:rPr>
          <w:rFonts w:ascii="Palatino Linotype" w:eastAsiaTheme="minorHAnsi" w:hAnsi="Palatino Linotype" w:cstheme="minorBidi"/>
          <w:sz w:val="24"/>
          <w:szCs w:val="24"/>
        </w:rPr>
        <w:t>so de revisión, que se pronuncie</w:t>
      </w:r>
      <w:r w:rsidRPr="00D63146">
        <w:rPr>
          <w:rFonts w:ascii="Palatino Linotype" w:eastAsiaTheme="minorHAnsi" w:hAnsi="Palatino Linotype" w:cstheme="minorBidi"/>
          <w:sz w:val="24"/>
          <w:szCs w:val="24"/>
        </w:rPr>
        <w:t xml:space="preserve"> al respecto. Por analogía, sirve de apo</w:t>
      </w:r>
      <w:r>
        <w:rPr>
          <w:rFonts w:ascii="Palatino Linotype" w:eastAsiaTheme="minorHAnsi" w:hAnsi="Palatino Linotype" w:cstheme="minorBidi"/>
          <w:sz w:val="24"/>
          <w:szCs w:val="24"/>
        </w:rPr>
        <w:t>yo a lo anterior el Criterio 31/</w:t>
      </w:r>
      <w:r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0654F7D7" w14:textId="77777777" w:rsidR="00CD098C" w:rsidRPr="00D63146" w:rsidRDefault="00CD098C" w:rsidP="00CD098C">
      <w:pPr>
        <w:spacing w:after="0" w:line="360" w:lineRule="auto"/>
        <w:jc w:val="both"/>
        <w:rPr>
          <w:rFonts w:ascii="Palatino Linotype" w:eastAsiaTheme="minorHAnsi" w:hAnsi="Palatino Linotype" w:cstheme="minorBidi"/>
          <w:sz w:val="24"/>
          <w:szCs w:val="24"/>
        </w:rPr>
      </w:pPr>
    </w:p>
    <w:p w14:paraId="04B493EE" w14:textId="77777777" w:rsidR="00CD098C" w:rsidRPr="00D63146" w:rsidRDefault="00CD098C" w:rsidP="00CD098C">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E9BB401" w14:textId="77777777" w:rsidR="00CD098C" w:rsidRPr="00D63146" w:rsidRDefault="00CD098C" w:rsidP="00CD098C">
      <w:pPr>
        <w:spacing w:after="0" w:line="360" w:lineRule="auto"/>
        <w:jc w:val="both"/>
        <w:rPr>
          <w:rFonts w:ascii="Palatino Linotype" w:eastAsiaTheme="minorHAnsi" w:hAnsi="Palatino Linotype" w:cs="Arial"/>
          <w:sz w:val="24"/>
          <w:szCs w:val="24"/>
          <w:lang w:eastAsia="en-US"/>
        </w:rPr>
      </w:pPr>
    </w:p>
    <w:p w14:paraId="73ABCE41" w14:textId="56555A16" w:rsidR="00CD098C" w:rsidRDefault="00CD098C" w:rsidP="00CD098C">
      <w:pPr>
        <w:spacing w:after="0" w:line="360" w:lineRule="auto"/>
        <w:jc w:val="both"/>
        <w:rPr>
          <w:rFonts w:ascii="Palatino Linotype" w:eastAsia="Palatino Linotype" w:hAnsi="Palatino Linotype" w:cs="Palatino Linotype"/>
          <w:sz w:val="24"/>
          <w:szCs w:val="24"/>
        </w:rPr>
      </w:pPr>
      <w:r w:rsidRPr="00D63146">
        <w:rPr>
          <w:rFonts w:ascii="Palatino Linotype" w:eastAsiaTheme="minorHAnsi" w:hAnsi="Palatino Linotype" w:cs="Arial"/>
          <w:sz w:val="24"/>
          <w:szCs w:val="24"/>
          <w:lang w:eastAsia="en-US"/>
        </w:rPr>
        <w:t>De tal forma que el Sujeto Obligado realizó un pronunciamiento con el cual respondió a la solicitud realizada por el hoy Recurrente, cuyo sentido no transgrede el derecho de acceso a la información del particular debido a</w:t>
      </w:r>
      <w:r>
        <w:rPr>
          <w:rFonts w:ascii="Palatino Linotype" w:eastAsiaTheme="minorHAnsi" w:hAnsi="Palatino Linotype" w:cs="Arial"/>
          <w:sz w:val="24"/>
          <w:szCs w:val="24"/>
          <w:lang w:eastAsia="en-US"/>
        </w:rPr>
        <w:t xml:space="preserve"> que la respuesta de la autoridad atiende el cuestionamiento planteado por el particular.</w:t>
      </w:r>
    </w:p>
    <w:p w14:paraId="21147D31" w14:textId="77777777" w:rsidR="00CD098C" w:rsidRDefault="00CD098C" w:rsidP="00F11F01">
      <w:pPr>
        <w:spacing w:after="0" w:line="360" w:lineRule="auto"/>
        <w:jc w:val="both"/>
        <w:rPr>
          <w:rFonts w:ascii="Palatino Linotype" w:eastAsia="Palatino Linotype" w:hAnsi="Palatino Linotype" w:cs="Palatino Linotype"/>
          <w:sz w:val="24"/>
          <w:szCs w:val="24"/>
        </w:rPr>
      </w:pPr>
    </w:p>
    <w:p w14:paraId="1AD4761B" w14:textId="08A2B22A" w:rsidR="00591EE3" w:rsidRDefault="00591EE3" w:rsidP="00F11F0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w:t>
      </w:r>
      <w:r w:rsidR="00CD098C">
        <w:rPr>
          <w:rFonts w:ascii="Palatino Linotype" w:eastAsia="Palatino Linotype" w:hAnsi="Palatino Linotype" w:cs="Palatino Linotype"/>
          <w:sz w:val="24"/>
          <w:szCs w:val="24"/>
        </w:rPr>
        <w:t xml:space="preserve"> obstante, no</w:t>
      </w:r>
      <w:r>
        <w:rPr>
          <w:rFonts w:ascii="Palatino Linotype" w:eastAsia="Palatino Linotype" w:hAnsi="Palatino Linotype" w:cs="Palatino Linotype"/>
          <w:sz w:val="24"/>
          <w:szCs w:val="24"/>
        </w:rPr>
        <w:t xml:space="preserve"> se soslaya que la Unidad de Transparencia manifestó que no cuenta con la información del Comité de Participación Ciudadana para el presente ejercicio, pues a la fecha de respuesta no había recibido información alguna.</w:t>
      </w:r>
    </w:p>
    <w:p w14:paraId="465F67B2" w14:textId="77777777" w:rsidR="00591EE3" w:rsidRDefault="00591EE3" w:rsidP="00F11F01">
      <w:pPr>
        <w:spacing w:after="0" w:line="360" w:lineRule="auto"/>
        <w:jc w:val="both"/>
        <w:rPr>
          <w:rFonts w:ascii="Palatino Linotype" w:eastAsia="Palatino Linotype" w:hAnsi="Palatino Linotype" w:cs="Palatino Linotype"/>
          <w:sz w:val="24"/>
          <w:szCs w:val="24"/>
        </w:rPr>
      </w:pPr>
    </w:p>
    <w:p w14:paraId="5D27EC7E" w14:textId="3F3A3453" w:rsidR="00591EE3" w:rsidRDefault="00591EE3" w:rsidP="00F11F0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si bien no se manifestó inconformidad ante este pronunciamiento, </w:t>
      </w:r>
      <w:r w:rsidR="00ED3CDB">
        <w:rPr>
          <w:rFonts w:ascii="Palatino Linotype" w:eastAsia="Palatino Linotype" w:hAnsi="Palatino Linotype" w:cs="Palatino Linotype"/>
          <w:sz w:val="24"/>
          <w:szCs w:val="24"/>
        </w:rPr>
        <w:t xml:space="preserve">se considera conveniente hacer referencia a lo establecido en la Ley del Sistema Anticorrupción del Estado de México y Municipios, la cual estipula en sus artículos </w:t>
      </w:r>
      <w:r w:rsidR="0049217B">
        <w:rPr>
          <w:rFonts w:ascii="Palatino Linotype" w:eastAsia="Palatino Linotype" w:hAnsi="Palatino Linotype" w:cs="Palatino Linotype"/>
          <w:sz w:val="24"/>
          <w:szCs w:val="24"/>
        </w:rPr>
        <w:t>61, 62, 63, 68,</w:t>
      </w:r>
      <w:r w:rsidR="002C0972">
        <w:rPr>
          <w:rFonts w:ascii="Palatino Linotype" w:eastAsia="Palatino Linotype" w:hAnsi="Palatino Linotype" w:cs="Palatino Linotype"/>
          <w:sz w:val="24"/>
          <w:szCs w:val="24"/>
        </w:rPr>
        <w:t xml:space="preserve"> 69,</w:t>
      </w:r>
      <w:r w:rsidR="0049217B">
        <w:rPr>
          <w:rFonts w:ascii="Palatino Linotype" w:eastAsia="Palatino Linotype" w:hAnsi="Palatino Linotype" w:cs="Palatino Linotype"/>
          <w:sz w:val="24"/>
          <w:szCs w:val="24"/>
        </w:rPr>
        <w:t xml:space="preserve"> 71 y 72 lo siguiente:</w:t>
      </w:r>
    </w:p>
    <w:p w14:paraId="75863F0C" w14:textId="77777777" w:rsidR="0049217B" w:rsidRDefault="0049217B" w:rsidP="00F11F01">
      <w:pPr>
        <w:spacing w:after="0" w:line="360" w:lineRule="auto"/>
        <w:jc w:val="both"/>
        <w:rPr>
          <w:rFonts w:ascii="Palatino Linotype" w:eastAsia="Palatino Linotype" w:hAnsi="Palatino Linotype" w:cs="Palatino Linotype"/>
          <w:sz w:val="24"/>
          <w:szCs w:val="24"/>
        </w:rPr>
      </w:pPr>
    </w:p>
    <w:p w14:paraId="2251049B"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Artículo 61. </w:t>
      </w:r>
      <w:r w:rsidRPr="00F255BF">
        <w:rPr>
          <w:rFonts w:ascii="Palatino Linotype" w:eastAsia="Palatino Linotype" w:hAnsi="Palatino Linotype" w:cs="Palatino Linotype"/>
          <w:i/>
        </w:rPr>
        <w:t>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192A636F"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0A356ADA"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Artículo 62. </w:t>
      </w:r>
      <w:r w:rsidRPr="00F255BF">
        <w:rPr>
          <w:rFonts w:ascii="Palatino Linotype" w:eastAsia="Palatino Linotype" w:hAnsi="Palatino Linotype" w:cs="Palatino Linotype"/>
          <w:i/>
        </w:rPr>
        <w:t>El Sistema Municipal Anticorrupción se integrará por:</w:t>
      </w:r>
    </w:p>
    <w:p w14:paraId="3E50D249"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3DA010FD" w14:textId="335B1FE0" w:rsidR="0049217B" w:rsidRPr="00F255BF" w:rsidRDefault="0049217B" w:rsidP="00A17CB9">
      <w:pPr>
        <w:pStyle w:val="Prrafodelista"/>
        <w:numPr>
          <w:ilvl w:val="0"/>
          <w:numId w:val="6"/>
        </w:numPr>
        <w:ind w:left="993" w:right="616" w:hanging="426"/>
        <w:jc w:val="both"/>
        <w:rPr>
          <w:rFonts w:ascii="Palatino Linotype" w:eastAsia="Palatino Linotype" w:hAnsi="Palatino Linotype" w:cs="Palatino Linotype"/>
          <w:i/>
          <w:sz w:val="22"/>
          <w:szCs w:val="22"/>
        </w:rPr>
      </w:pPr>
      <w:r w:rsidRPr="00F255BF">
        <w:rPr>
          <w:rFonts w:ascii="Palatino Linotype" w:eastAsia="Palatino Linotype" w:hAnsi="Palatino Linotype" w:cs="Palatino Linotype"/>
          <w:i/>
          <w:sz w:val="22"/>
          <w:szCs w:val="22"/>
        </w:rPr>
        <w:t>Un Comité Coordinador Municipal.</w:t>
      </w:r>
    </w:p>
    <w:p w14:paraId="01CFD808" w14:textId="49E2981C" w:rsidR="0049217B" w:rsidRPr="00F255BF" w:rsidRDefault="0049217B" w:rsidP="00A17CB9">
      <w:pPr>
        <w:pStyle w:val="Prrafodelista"/>
        <w:numPr>
          <w:ilvl w:val="0"/>
          <w:numId w:val="6"/>
        </w:numPr>
        <w:ind w:left="993" w:right="616" w:hanging="426"/>
        <w:jc w:val="both"/>
        <w:rPr>
          <w:rFonts w:ascii="Palatino Linotype" w:eastAsia="Palatino Linotype" w:hAnsi="Palatino Linotype" w:cs="Palatino Linotype"/>
          <w:i/>
          <w:sz w:val="22"/>
          <w:szCs w:val="22"/>
        </w:rPr>
      </w:pPr>
      <w:r w:rsidRPr="00F255BF">
        <w:rPr>
          <w:rFonts w:ascii="Palatino Linotype" w:eastAsia="Palatino Linotype" w:hAnsi="Palatino Linotype" w:cs="Palatino Linotype"/>
          <w:i/>
          <w:sz w:val="22"/>
          <w:szCs w:val="22"/>
        </w:rPr>
        <w:t>Un Comité de Participación Ciudadana.</w:t>
      </w:r>
    </w:p>
    <w:p w14:paraId="1D9F6846"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07701635"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Artículo 63. </w:t>
      </w:r>
      <w:r w:rsidRPr="00F255BF">
        <w:rPr>
          <w:rFonts w:ascii="Palatino Linotype" w:eastAsia="Palatino Linotype" w:hAnsi="Palatino Linotype" w:cs="Palatino Linotype"/>
          <w:i/>
        </w:rPr>
        <w:t>El Comité Coordinador Municipal se integrará por:</w:t>
      </w:r>
    </w:p>
    <w:p w14:paraId="7210B263"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05987695" w14:textId="77777777" w:rsidR="0049217B" w:rsidRPr="00F255BF" w:rsidRDefault="0049217B" w:rsidP="00A17CB9">
      <w:pPr>
        <w:numPr>
          <w:ilvl w:val="0"/>
          <w:numId w:val="3"/>
        </w:numPr>
        <w:spacing w:after="0" w:line="240" w:lineRule="auto"/>
        <w:ind w:left="993" w:right="616" w:hanging="426"/>
        <w:jc w:val="both"/>
        <w:rPr>
          <w:rFonts w:ascii="Palatino Linotype" w:eastAsia="Palatino Linotype" w:hAnsi="Palatino Linotype" w:cs="Palatino Linotype"/>
          <w:i/>
        </w:rPr>
      </w:pPr>
      <w:r w:rsidRPr="00F255BF">
        <w:rPr>
          <w:rFonts w:ascii="Palatino Linotype" w:eastAsia="Palatino Linotype" w:hAnsi="Palatino Linotype" w:cs="Palatino Linotype"/>
          <w:i/>
        </w:rPr>
        <w:t>El titular de la contraloría municipal.</w:t>
      </w:r>
    </w:p>
    <w:p w14:paraId="2513DB81" w14:textId="77777777" w:rsidR="0049217B" w:rsidRPr="00F255BF" w:rsidRDefault="0049217B" w:rsidP="00A17CB9">
      <w:pPr>
        <w:numPr>
          <w:ilvl w:val="0"/>
          <w:numId w:val="3"/>
        </w:numPr>
        <w:spacing w:after="0" w:line="240" w:lineRule="auto"/>
        <w:ind w:left="993" w:right="616" w:hanging="426"/>
        <w:jc w:val="both"/>
        <w:rPr>
          <w:rFonts w:ascii="Palatino Linotype" w:eastAsia="Palatino Linotype" w:hAnsi="Palatino Linotype" w:cs="Palatino Linotype"/>
          <w:i/>
        </w:rPr>
      </w:pPr>
      <w:r w:rsidRPr="00F255BF">
        <w:rPr>
          <w:rFonts w:ascii="Palatino Linotype" w:eastAsia="Palatino Linotype" w:hAnsi="Palatino Linotype" w:cs="Palatino Linotype"/>
          <w:i/>
        </w:rPr>
        <w:t>El titular de la unidad de transparencia y acceso a la información del municipio.</w:t>
      </w:r>
    </w:p>
    <w:p w14:paraId="6326DFC6" w14:textId="77777777" w:rsidR="0049217B" w:rsidRPr="00F255BF" w:rsidRDefault="0049217B" w:rsidP="00A17CB9">
      <w:pPr>
        <w:numPr>
          <w:ilvl w:val="0"/>
          <w:numId w:val="3"/>
        </w:numPr>
        <w:spacing w:after="0" w:line="240" w:lineRule="auto"/>
        <w:ind w:left="993" w:right="616" w:hanging="426"/>
        <w:jc w:val="both"/>
        <w:rPr>
          <w:rFonts w:ascii="Palatino Linotype" w:eastAsia="Palatino Linotype" w:hAnsi="Palatino Linotype" w:cs="Palatino Linotype"/>
          <w:i/>
        </w:rPr>
      </w:pPr>
      <w:r w:rsidRPr="00F255BF">
        <w:rPr>
          <w:rFonts w:ascii="Palatino Linotype" w:eastAsia="Palatino Linotype" w:hAnsi="Palatino Linotype" w:cs="Palatino Linotype"/>
          <w:i/>
        </w:rPr>
        <w:t>Un representante del Comité de Participación Ciudadana Municipal, quien lo presidirá.</w:t>
      </w:r>
    </w:p>
    <w:p w14:paraId="65639428"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4A941314" w14:textId="2AC8E83B" w:rsidR="0049217B"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Artículo 68. </w:t>
      </w:r>
      <w:r w:rsidRPr="00F255BF">
        <w:rPr>
          <w:rFonts w:ascii="Palatino Linotype" w:eastAsia="Palatino Linotype" w:hAnsi="Palatino Linotype" w:cs="Palatino Linotype"/>
          <w:i/>
        </w:rPr>
        <w:t>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w:t>
      </w:r>
    </w:p>
    <w:p w14:paraId="1A4DFA85" w14:textId="77777777" w:rsidR="002C0972" w:rsidRDefault="002C0972" w:rsidP="00F255BF">
      <w:pPr>
        <w:spacing w:after="0" w:line="240" w:lineRule="auto"/>
        <w:ind w:left="567" w:right="616"/>
        <w:jc w:val="both"/>
        <w:rPr>
          <w:rFonts w:ascii="Palatino Linotype" w:eastAsia="Palatino Linotype" w:hAnsi="Palatino Linotype" w:cs="Palatino Linotype"/>
          <w:i/>
        </w:rPr>
      </w:pPr>
    </w:p>
    <w:p w14:paraId="3C9089BF" w14:textId="1A1EE1FA" w:rsidR="002C0972" w:rsidRPr="00F255BF" w:rsidRDefault="002C0972" w:rsidP="00F255BF">
      <w:pPr>
        <w:spacing w:after="0" w:line="240" w:lineRule="auto"/>
        <w:ind w:left="567" w:right="616"/>
        <w:jc w:val="both"/>
        <w:rPr>
          <w:rFonts w:ascii="Palatino Linotype" w:eastAsia="Palatino Linotype" w:hAnsi="Palatino Linotype" w:cs="Palatino Linotype"/>
          <w:i/>
        </w:rPr>
      </w:pPr>
      <w:r w:rsidRPr="002C0972">
        <w:rPr>
          <w:rFonts w:ascii="Palatino Linotype" w:eastAsia="Palatino Linotype" w:hAnsi="Palatino Linotype" w:cs="Palatino Linotype"/>
          <w:b/>
          <w:i/>
        </w:rPr>
        <w:t xml:space="preserve">Artículo 69. </w:t>
      </w:r>
      <w:r w:rsidRPr="002C0972">
        <w:rPr>
          <w:rFonts w:ascii="Palatino Linotype" w:eastAsia="Palatino Linotype" w:hAnsi="Palatino Linotype" w:cs="Palatino Linotype"/>
          <w:i/>
        </w:rPr>
        <w:t>El Comité de Participación Ciudadana Municipal se integrará por tres ciudadanos que se hayan destacado por su contribución al combate a la corrupción, de notoria buena conducta y honorabilidad manifiesta.</w:t>
      </w:r>
    </w:p>
    <w:p w14:paraId="2A36E748"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52A17DA3"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Artículo 71. </w:t>
      </w:r>
      <w:r w:rsidRPr="00F255BF">
        <w:rPr>
          <w:rFonts w:ascii="Palatino Linotype" w:eastAsia="Palatino Linotype" w:hAnsi="Palatino Linotype" w:cs="Palatino Linotype"/>
          <w:i/>
        </w:rPr>
        <w:t>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w:t>
      </w:r>
    </w:p>
    <w:p w14:paraId="185DABB6"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5C912242"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i/>
        </w:rPr>
        <w:lastRenderedPageBreak/>
        <w:t>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w:t>
      </w:r>
    </w:p>
    <w:p w14:paraId="46DC2035"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05CC701E"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i/>
        </w:rPr>
        <w:t>En la conformación del Comité de Participación Ciudadana Municipal, se procurará que prevalezca la equidad de género.</w:t>
      </w:r>
    </w:p>
    <w:p w14:paraId="0EF5E0BB"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09BB1165"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Artículo 72. </w:t>
      </w:r>
      <w:r w:rsidRPr="00F255BF">
        <w:rPr>
          <w:rFonts w:ascii="Palatino Linotype" w:eastAsia="Palatino Linotype" w:hAnsi="Palatino Linotype" w:cs="Palatino Linotype"/>
          <w:i/>
        </w:rPr>
        <w:t>Los integrantes del Comité de Participación Ciudadana Municipal, serán nombrados conforme al procedimiento siguiente:</w:t>
      </w:r>
    </w:p>
    <w:p w14:paraId="689710A7"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0666C305"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I. </w:t>
      </w:r>
      <w:r w:rsidRPr="00F255BF">
        <w:rPr>
          <w:rFonts w:ascii="Palatino Linotype" w:eastAsia="Palatino Linotype" w:hAnsi="Palatino Linotype" w:cs="Palatino Linotype"/>
          <w:i/>
        </w:rPr>
        <w:t>El Ayuntamiento constituirá una Comisión de Selección Municipal, integrada por cinco mexiquenses por un periodo de dieciocho meses, de la siguiente manera:</w:t>
      </w:r>
    </w:p>
    <w:p w14:paraId="2F543CF5"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4DB347F0" w14:textId="77777777" w:rsidR="0049217B" w:rsidRPr="00F255BF" w:rsidRDefault="0049217B" w:rsidP="00A17CB9">
      <w:pPr>
        <w:numPr>
          <w:ilvl w:val="0"/>
          <w:numId w:val="5"/>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w:t>
      </w:r>
    </w:p>
    <w:p w14:paraId="119E82FA" w14:textId="77777777" w:rsidR="0049217B" w:rsidRPr="00F255BF" w:rsidRDefault="0049217B" w:rsidP="00A17CB9">
      <w:pPr>
        <w:numPr>
          <w:ilvl w:val="0"/>
          <w:numId w:val="5"/>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Convocará a organizaciones de la sociedad civil o en su caso, personas con conocimientos en materia de fiscalización, de rendición de cuentas y combate a la corrupción para seleccionar a dos integrantes, en los mismos términos del inciso anterior.</w:t>
      </w:r>
    </w:p>
    <w:p w14:paraId="09136367"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47D90AD5"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i/>
        </w:rPr>
        <w:t>El cargo de miembro de la Comisión de Selección Municipal será honorario.</w:t>
      </w:r>
    </w:p>
    <w:p w14:paraId="6C8171DB"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3CF9CEA7"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i/>
        </w:rPr>
        <w:t>Quienes funjan como integrantes no podrán ser designados como integrantes del Comité de Participación Ciudadana Municipal, por un periodo de tres años contados a partir de la disolución de la Comisión de Selección Municipal.</w:t>
      </w:r>
    </w:p>
    <w:p w14:paraId="5679AC51"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14D47C7D"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b/>
          <w:i/>
        </w:rPr>
        <w:t xml:space="preserve">II. </w:t>
      </w:r>
      <w:r w:rsidRPr="00F255BF">
        <w:rPr>
          <w:rFonts w:ascii="Palatino Linotype" w:eastAsia="Palatino Linotype" w:hAnsi="Palatino Linotype" w:cs="Palatino Linotype"/>
          <w:i/>
        </w:rPr>
        <w:t>La Comisión de Selección Municipal deberá emitir una convocatoria con el objeto de realizar consulta pública municipal para que presenten sus postulaciones de aspirantes a ocupar el cargo.</w:t>
      </w:r>
    </w:p>
    <w:p w14:paraId="36B891D1"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61BEC090"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i/>
        </w:rPr>
        <w:lastRenderedPageBreak/>
        <w:t>Para ello, definirá la metodología, plazos y criterios de selección de los integrantes del Comité de Participación Ciudadana Municipal y deberá hacerlo público, en donde deberá considerar al menos las siguientes características:</w:t>
      </w:r>
    </w:p>
    <w:p w14:paraId="6DEE32A5"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6619D814" w14:textId="77777777" w:rsidR="0049217B" w:rsidRPr="00F255BF" w:rsidRDefault="0049217B" w:rsidP="00A17CB9">
      <w:pPr>
        <w:numPr>
          <w:ilvl w:val="0"/>
          <w:numId w:val="4"/>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El método de registro y evaluación de los aspirantes.</w:t>
      </w:r>
    </w:p>
    <w:p w14:paraId="08836617" w14:textId="77777777" w:rsidR="0049217B" w:rsidRPr="00F255BF" w:rsidRDefault="0049217B" w:rsidP="00A17CB9">
      <w:pPr>
        <w:numPr>
          <w:ilvl w:val="0"/>
          <w:numId w:val="4"/>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Hacer pública la lista de los aspirantes.</w:t>
      </w:r>
    </w:p>
    <w:p w14:paraId="33F02645" w14:textId="77777777" w:rsidR="0049217B" w:rsidRPr="00F255BF" w:rsidRDefault="0049217B" w:rsidP="00A17CB9">
      <w:pPr>
        <w:numPr>
          <w:ilvl w:val="0"/>
          <w:numId w:val="4"/>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Hacer públicos los documentos que hayan sido entregados para su inscripción en versiones públicas.</w:t>
      </w:r>
    </w:p>
    <w:p w14:paraId="1EF8FB76" w14:textId="77777777" w:rsidR="0049217B" w:rsidRPr="00F255BF" w:rsidRDefault="0049217B" w:rsidP="00A17CB9">
      <w:pPr>
        <w:numPr>
          <w:ilvl w:val="0"/>
          <w:numId w:val="4"/>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Hacer público el cronograma de audiencias.</w:t>
      </w:r>
    </w:p>
    <w:p w14:paraId="50D3A1E7" w14:textId="77777777" w:rsidR="0049217B" w:rsidRPr="00F255BF" w:rsidRDefault="0049217B" w:rsidP="00A17CB9">
      <w:pPr>
        <w:numPr>
          <w:ilvl w:val="0"/>
          <w:numId w:val="4"/>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Podrán efectuarse audiencias públicas en las que se invitará a participar a investigadores, académicos y a organizaciones de la sociedad civil, especialistas en la materia.</w:t>
      </w:r>
    </w:p>
    <w:p w14:paraId="61F6F20F" w14:textId="77777777" w:rsidR="0049217B" w:rsidRPr="00F255BF" w:rsidRDefault="0049217B" w:rsidP="00A17CB9">
      <w:pPr>
        <w:numPr>
          <w:ilvl w:val="0"/>
          <w:numId w:val="4"/>
        </w:numPr>
        <w:spacing w:after="0" w:line="240" w:lineRule="auto"/>
        <w:ind w:left="1276" w:right="616" w:hanging="425"/>
        <w:jc w:val="both"/>
        <w:rPr>
          <w:rFonts w:ascii="Palatino Linotype" w:eastAsia="Palatino Linotype" w:hAnsi="Palatino Linotype" w:cs="Palatino Linotype"/>
          <w:i/>
        </w:rPr>
      </w:pPr>
      <w:r w:rsidRPr="00F255BF">
        <w:rPr>
          <w:rFonts w:ascii="Palatino Linotype" w:eastAsia="Palatino Linotype" w:hAnsi="Palatino Linotype" w:cs="Palatino Linotype"/>
          <w:i/>
        </w:rPr>
        <w:t>El plazo en que se deberá hacer la designación que al efecto se determine y que se tomará, en sesión pública, por el voto de la mayoría de sus miembros.</w:t>
      </w:r>
    </w:p>
    <w:p w14:paraId="59B10CCE" w14:textId="77777777" w:rsidR="0049217B" w:rsidRPr="00F255BF" w:rsidRDefault="0049217B" w:rsidP="00F255BF">
      <w:pPr>
        <w:spacing w:after="0" w:line="240" w:lineRule="auto"/>
        <w:ind w:left="567" w:right="616"/>
        <w:jc w:val="both"/>
        <w:rPr>
          <w:rFonts w:ascii="Palatino Linotype" w:eastAsia="Palatino Linotype" w:hAnsi="Palatino Linotype" w:cs="Palatino Linotype"/>
          <w:i/>
        </w:rPr>
      </w:pPr>
    </w:p>
    <w:p w14:paraId="175370BA" w14:textId="2024CF87" w:rsidR="0049217B" w:rsidRPr="00F255BF" w:rsidRDefault="0049217B" w:rsidP="00F255BF">
      <w:pPr>
        <w:spacing w:after="0" w:line="240" w:lineRule="auto"/>
        <w:ind w:left="567" w:right="616"/>
        <w:jc w:val="both"/>
        <w:rPr>
          <w:rFonts w:ascii="Palatino Linotype" w:eastAsia="Palatino Linotype" w:hAnsi="Palatino Linotype" w:cs="Palatino Linotype"/>
          <w:i/>
        </w:rPr>
      </w:pPr>
      <w:r w:rsidRPr="00F255BF">
        <w:rPr>
          <w:rFonts w:ascii="Palatino Linotype" w:eastAsia="Palatino Linotype" w:hAnsi="Palatino Linotype" w:cs="Palatino Linotype"/>
          <w:i/>
        </w:rPr>
        <w:t>En caso de generar vacantes imprevistas, el proceso de selección del nuevo integrante no podrá exceder el límite de cuarenta y cinco días hábiles y el ciudadano que resulte electo desempeñará el encargo por el tiempo restante de la vacante a ocupar</w:t>
      </w:r>
      <w:r w:rsidR="002C0972">
        <w:rPr>
          <w:rFonts w:ascii="Palatino Linotype" w:eastAsia="Palatino Linotype" w:hAnsi="Palatino Linotype" w:cs="Palatino Linotype"/>
          <w:i/>
        </w:rPr>
        <w:t>.</w:t>
      </w:r>
    </w:p>
    <w:p w14:paraId="7718528E" w14:textId="77777777" w:rsidR="0049217B" w:rsidRDefault="0049217B" w:rsidP="0049217B">
      <w:pPr>
        <w:spacing w:after="0" w:line="360" w:lineRule="auto"/>
        <w:jc w:val="both"/>
        <w:rPr>
          <w:rFonts w:ascii="Palatino Linotype" w:eastAsia="Palatino Linotype" w:hAnsi="Palatino Linotype" w:cs="Palatino Linotype"/>
          <w:sz w:val="24"/>
          <w:szCs w:val="24"/>
        </w:rPr>
      </w:pPr>
    </w:p>
    <w:p w14:paraId="7B23FA42" w14:textId="007BDA2A" w:rsidR="0049217B" w:rsidRDefault="00F255BF" w:rsidP="0049217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Del articulado anterior se desprende que el Sistema Municipal Anticorrupción está integrado por el Comité Coordinador Municipal y el </w:t>
      </w:r>
      <w:r>
        <w:rPr>
          <w:rFonts w:ascii="Palatino Linotype" w:eastAsia="Palatino Linotype" w:hAnsi="Palatino Linotype" w:cs="Palatino Linotype"/>
          <w:b/>
          <w:sz w:val="24"/>
          <w:szCs w:val="24"/>
        </w:rPr>
        <w:t>Comité de Participación Ciudadana</w:t>
      </w:r>
      <w:r>
        <w:rPr>
          <w:rFonts w:ascii="Palatino Linotype" w:eastAsia="Palatino Linotype" w:hAnsi="Palatino Linotype" w:cs="Palatino Linotype"/>
          <w:sz w:val="24"/>
          <w:szCs w:val="24"/>
        </w:rPr>
        <w:t xml:space="preserve">; que el primero se conforma por el titular de la Contraloría Municipal, el titular de la Unidad de Transparencia y Acceso a la Información y un representante del Comité de Participación Ciudadana como presidente; que </w:t>
      </w:r>
      <w:r w:rsidR="002C0972">
        <w:rPr>
          <w:rFonts w:ascii="Palatino Linotype" w:eastAsia="Palatino Linotype" w:hAnsi="Palatino Linotype" w:cs="Palatino Linotype"/>
          <w:sz w:val="24"/>
          <w:szCs w:val="24"/>
        </w:rPr>
        <w:t xml:space="preserve">el Comité de Participación Ciudadana tiene como objetivo coadyuvar al cumplimiento de los objetivos del Comité Coordinador Municipal y ser la instancia de vinculación con las organizaciones sociales y académicas relacionadas con las materias del Sistema Municipal Anticorrupción; que está integrado por </w:t>
      </w:r>
      <w:r w:rsidR="002C0972">
        <w:rPr>
          <w:rFonts w:ascii="Palatino Linotype" w:eastAsia="Palatino Linotype" w:hAnsi="Palatino Linotype" w:cs="Palatino Linotype"/>
          <w:b/>
          <w:sz w:val="24"/>
          <w:szCs w:val="24"/>
        </w:rPr>
        <w:t>tres ciudadanos que se hayan destacado por su contribución al combate a la corrupción</w:t>
      </w:r>
      <w:r w:rsidR="002C0972">
        <w:rPr>
          <w:rFonts w:ascii="Palatino Linotype" w:eastAsia="Palatino Linotype" w:hAnsi="Palatino Linotype" w:cs="Palatino Linotype"/>
          <w:sz w:val="24"/>
          <w:szCs w:val="24"/>
        </w:rPr>
        <w:t xml:space="preserve"> quienes no tendrán relación laboral alguna por virtud de su encargo;  y que estos son nombrados conforme al procedimiento señalado en el artículo </w:t>
      </w:r>
      <w:r w:rsidR="002C0972">
        <w:rPr>
          <w:rFonts w:ascii="Palatino Linotype" w:eastAsia="Palatino Linotype" w:hAnsi="Palatino Linotype" w:cs="Palatino Linotype"/>
          <w:sz w:val="24"/>
          <w:szCs w:val="24"/>
        </w:rPr>
        <w:lastRenderedPageBreak/>
        <w:t>72 que establece que el Ayuntamiento constituirá una Comisión de Selección Municipal la cual emitirá una convocatoria con el objeto de realizar la consulta pública municipal para que presenten sus postulaciones de aspirantes a ocupar el cargo.</w:t>
      </w:r>
    </w:p>
    <w:p w14:paraId="5F274480" w14:textId="77777777" w:rsidR="002C0972" w:rsidRDefault="002C0972" w:rsidP="0049217B">
      <w:pPr>
        <w:spacing w:after="0" w:line="360" w:lineRule="auto"/>
        <w:jc w:val="both"/>
        <w:rPr>
          <w:rFonts w:ascii="Palatino Linotype" w:eastAsia="Palatino Linotype" w:hAnsi="Palatino Linotype" w:cs="Palatino Linotype"/>
          <w:sz w:val="24"/>
          <w:szCs w:val="24"/>
        </w:rPr>
      </w:pPr>
    </w:p>
    <w:p w14:paraId="2A6D33CF" w14:textId="7D48BABC" w:rsidR="002C0972" w:rsidRPr="002C0972" w:rsidRDefault="002C0972" w:rsidP="0049217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contexto, </w:t>
      </w:r>
      <w:r w:rsidRPr="00504593">
        <w:rPr>
          <w:rFonts w:ascii="Palatino Linotype" w:eastAsia="Palatino Linotype" w:hAnsi="Palatino Linotype" w:cs="Palatino Linotype"/>
          <w:b/>
          <w:sz w:val="24"/>
          <w:szCs w:val="24"/>
        </w:rPr>
        <w:t>quien emite la convocatoria no es el Sujeto Obligado, sino la Comisión de Selección Municipal</w:t>
      </w:r>
      <w:r>
        <w:rPr>
          <w:rFonts w:ascii="Palatino Linotype" w:eastAsia="Palatino Linotype" w:hAnsi="Palatino Linotype" w:cs="Palatino Linotype"/>
          <w:sz w:val="24"/>
          <w:szCs w:val="24"/>
        </w:rPr>
        <w:t xml:space="preserve"> que está conformada por cinco mexiquenses convocados de instituciones de educación e investigación para ocupar tres lugares y de organizaciones de la sociedad civil o personas con conocimientos en materia de fiscalización, rendición de cuentas y combate a la corrupción para designar a los dos miembros restantes.</w:t>
      </w:r>
    </w:p>
    <w:p w14:paraId="2E44ACBD" w14:textId="77777777" w:rsidR="0049217B" w:rsidRDefault="0049217B" w:rsidP="0049217B">
      <w:pPr>
        <w:spacing w:after="0" w:line="360" w:lineRule="auto"/>
        <w:jc w:val="both"/>
        <w:rPr>
          <w:rFonts w:ascii="Palatino Linotype" w:eastAsia="Palatino Linotype" w:hAnsi="Palatino Linotype" w:cs="Palatino Linotype"/>
          <w:sz w:val="24"/>
          <w:szCs w:val="24"/>
        </w:rPr>
      </w:pPr>
    </w:p>
    <w:p w14:paraId="1BA3A4C1" w14:textId="3116FCAC" w:rsidR="0049217B" w:rsidRDefault="00504593" w:rsidP="0049217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la Ley del Sistema Anticorrupción del Estado de México y Municipios no establece un plazo determinado para la emisión de la convocatoria referida, dado que únicamente se establece que, para emitir la convocatoria de selección del Comité de Participación Ciudadana, </w:t>
      </w:r>
      <w:r w:rsidRPr="00504593">
        <w:rPr>
          <w:rFonts w:ascii="Palatino Linotype" w:eastAsia="Palatino Linotype" w:hAnsi="Palatino Linotype" w:cs="Palatino Linotype"/>
          <w:b/>
          <w:sz w:val="24"/>
          <w:szCs w:val="24"/>
        </w:rPr>
        <w:t>la Comisión de Selección Municipal</w:t>
      </w:r>
      <w:r>
        <w:rPr>
          <w:rFonts w:ascii="Palatino Linotype" w:eastAsia="Palatino Linotype" w:hAnsi="Palatino Linotype" w:cs="Palatino Linotype"/>
          <w:sz w:val="24"/>
          <w:szCs w:val="24"/>
        </w:rPr>
        <w:t xml:space="preserve"> </w:t>
      </w:r>
      <w:r w:rsidRPr="00504593">
        <w:rPr>
          <w:rFonts w:ascii="Palatino Linotype" w:eastAsia="Palatino Linotype" w:hAnsi="Palatino Linotype" w:cs="Palatino Linotype"/>
          <w:b/>
          <w:sz w:val="24"/>
          <w:szCs w:val="24"/>
        </w:rPr>
        <w:t>definirá la metodología, plazos y criterios de selección de los integrantes de dicho Comité</w:t>
      </w:r>
      <w:r>
        <w:rPr>
          <w:rFonts w:ascii="Palatino Linotype" w:eastAsia="Palatino Linotype" w:hAnsi="Palatino Linotype" w:cs="Palatino Linotype"/>
          <w:sz w:val="24"/>
          <w:szCs w:val="24"/>
        </w:rPr>
        <w:t>.</w:t>
      </w:r>
    </w:p>
    <w:p w14:paraId="2DACB863" w14:textId="77777777" w:rsidR="0049217B" w:rsidRDefault="0049217B" w:rsidP="0049217B">
      <w:pPr>
        <w:spacing w:after="0" w:line="360" w:lineRule="auto"/>
        <w:jc w:val="both"/>
        <w:rPr>
          <w:rFonts w:ascii="Palatino Linotype" w:eastAsia="Palatino Linotype" w:hAnsi="Palatino Linotype" w:cs="Palatino Linotype"/>
          <w:sz w:val="24"/>
          <w:szCs w:val="24"/>
        </w:rPr>
      </w:pPr>
    </w:p>
    <w:p w14:paraId="562A8ACD" w14:textId="1335E39E" w:rsidR="0049217B" w:rsidRDefault="00504593" w:rsidP="0049217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Consecuentemente, resulta viable colegir que es la Comisión de Selección Municipal la facultada para generar, poseer o administrar la información relativa a las convocatorias tendientes a realizar la consulta pública para la selección de integrantes del Comité de Participación Ciudadana.</w:t>
      </w:r>
    </w:p>
    <w:p w14:paraId="391BB656" w14:textId="77777777" w:rsidR="0049217B" w:rsidRDefault="0049217B" w:rsidP="0049217B">
      <w:pPr>
        <w:spacing w:after="0" w:line="360" w:lineRule="auto"/>
        <w:jc w:val="both"/>
        <w:rPr>
          <w:rFonts w:ascii="Palatino Linotype" w:eastAsia="Palatino Linotype" w:hAnsi="Palatino Linotype" w:cs="Palatino Linotype"/>
          <w:sz w:val="24"/>
          <w:szCs w:val="24"/>
        </w:rPr>
      </w:pPr>
    </w:p>
    <w:p w14:paraId="772ECF3D" w14:textId="13FB9FF7" w:rsidR="0049217B" w:rsidRDefault="00504593" w:rsidP="0049217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otra parte, es necesario recordar que la principal pretensión de la Re</w:t>
      </w:r>
      <w:r w:rsidR="008A4E89">
        <w:rPr>
          <w:rFonts w:ascii="Palatino Linotype" w:eastAsia="Palatino Linotype" w:hAnsi="Palatino Linotype" w:cs="Palatino Linotype"/>
          <w:sz w:val="24"/>
          <w:szCs w:val="24"/>
        </w:rPr>
        <w:t>currente en su</w:t>
      </w:r>
      <w:r>
        <w:rPr>
          <w:rFonts w:ascii="Palatino Linotype" w:eastAsia="Palatino Linotype" w:hAnsi="Palatino Linotype" w:cs="Palatino Linotype"/>
          <w:sz w:val="24"/>
          <w:szCs w:val="24"/>
        </w:rPr>
        <w:t xml:space="preserve"> solicitud de información era conocer el nombre de los integrantes del Comité de Participación Ciudadana </w:t>
      </w:r>
      <w:r w:rsidR="008A4E89">
        <w:rPr>
          <w:rFonts w:ascii="Palatino Linotype" w:eastAsia="Palatino Linotype" w:hAnsi="Palatino Linotype" w:cs="Palatino Linotype"/>
          <w:sz w:val="24"/>
          <w:szCs w:val="24"/>
        </w:rPr>
        <w:t>y, en su caso, las convocatorias emitidas para su selección, lo cual fue colmado con la respuesta emitida por la Unidad de Transparencia</w:t>
      </w:r>
      <w:r w:rsidR="005B0D38">
        <w:rPr>
          <w:rFonts w:ascii="Palatino Linotype" w:eastAsia="Palatino Linotype" w:hAnsi="Palatino Linotype" w:cs="Palatino Linotype"/>
          <w:sz w:val="24"/>
          <w:szCs w:val="24"/>
        </w:rPr>
        <w:t>, en la que constan los nombres de los integrantes de</w:t>
      </w:r>
      <w:r w:rsidR="00405D64">
        <w:rPr>
          <w:rFonts w:ascii="Palatino Linotype" w:eastAsia="Palatino Linotype" w:hAnsi="Palatino Linotype" w:cs="Palatino Linotype"/>
          <w:sz w:val="24"/>
          <w:szCs w:val="24"/>
        </w:rPr>
        <w:t xml:space="preserve"> </w:t>
      </w:r>
      <w:r w:rsidR="005B0D38">
        <w:rPr>
          <w:rFonts w:ascii="Palatino Linotype" w:eastAsia="Palatino Linotype" w:hAnsi="Palatino Linotype" w:cs="Palatino Linotype"/>
          <w:sz w:val="24"/>
          <w:szCs w:val="24"/>
        </w:rPr>
        <w:t>l</w:t>
      </w:r>
      <w:r w:rsidR="00405D64">
        <w:rPr>
          <w:rFonts w:ascii="Palatino Linotype" w:eastAsia="Palatino Linotype" w:hAnsi="Palatino Linotype" w:cs="Palatino Linotype"/>
          <w:sz w:val="24"/>
          <w:szCs w:val="24"/>
        </w:rPr>
        <w:t>os</w:t>
      </w:r>
      <w:r w:rsidR="005B0D38">
        <w:rPr>
          <w:rFonts w:ascii="Palatino Linotype" w:eastAsia="Palatino Linotype" w:hAnsi="Palatino Linotype" w:cs="Palatino Linotype"/>
          <w:sz w:val="24"/>
          <w:szCs w:val="24"/>
        </w:rPr>
        <w:t xml:space="preserve"> </w:t>
      </w:r>
      <w:r w:rsidR="00405D64">
        <w:rPr>
          <w:rFonts w:ascii="Palatino Linotype" w:eastAsia="Palatino Linotype" w:hAnsi="Palatino Linotype" w:cs="Palatino Linotype"/>
          <w:sz w:val="24"/>
          <w:szCs w:val="24"/>
        </w:rPr>
        <w:t>Comités integrados en los ejercicios 2020 y 2021</w:t>
      </w:r>
      <w:r w:rsidR="00F06C06">
        <w:rPr>
          <w:rFonts w:ascii="Palatino Linotype" w:eastAsia="Palatino Linotype" w:hAnsi="Palatino Linotype" w:cs="Palatino Linotype"/>
          <w:sz w:val="24"/>
          <w:szCs w:val="24"/>
        </w:rPr>
        <w:t>,</w:t>
      </w:r>
      <w:r w:rsidR="00405D64">
        <w:rPr>
          <w:rFonts w:ascii="Palatino Linotype" w:eastAsia="Palatino Linotype" w:hAnsi="Palatino Linotype" w:cs="Palatino Linotype"/>
          <w:sz w:val="24"/>
          <w:szCs w:val="24"/>
        </w:rPr>
        <w:t xml:space="preserve"> sin que tenga información del Comité del presente ejercicio</w:t>
      </w:r>
      <w:r w:rsidR="008A4E89">
        <w:rPr>
          <w:rFonts w:ascii="Palatino Linotype" w:eastAsia="Palatino Linotype" w:hAnsi="Palatino Linotype" w:cs="Palatino Linotype"/>
          <w:sz w:val="24"/>
          <w:szCs w:val="24"/>
        </w:rPr>
        <w:t>, sin dejar de subrayar que esto no fue controvertido por la Recurrente.</w:t>
      </w:r>
    </w:p>
    <w:p w14:paraId="65131670" w14:textId="77777777" w:rsidR="008A4E89" w:rsidRDefault="008A4E89" w:rsidP="0049217B">
      <w:pPr>
        <w:spacing w:after="0" w:line="360" w:lineRule="auto"/>
        <w:jc w:val="both"/>
        <w:rPr>
          <w:rFonts w:ascii="Palatino Linotype" w:eastAsia="Palatino Linotype" w:hAnsi="Palatino Linotype" w:cs="Palatino Linotype"/>
          <w:sz w:val="24"/>
          <w:szCs w:val="24"/>
        </w:rPr>
      </w:pPr>
    </w:p>
    <w:p w14:paraId="3A8C914C" w14:textId="2C3BEC4F" w:rsidR="008A4E89" w:rsidRDefault="008A4E89" w:rsidP="0049217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tanto, </w:t>
      </w:r>
      <w:r w:rsidR="005B0D38">
        <w:rPr>
          <w:rFonts w:ascii="Palatino Linotype" w:eastAsia="Palatino Linotype" w:hAnsi="Palatino Linotype" w:cs="Palatino Linotype"/>
          <w:sz w:val="24"/>
          <w:szCs w:val="24"/>
        </w:rPr>
        <w:t xml:space="preserve">resulta innecesario realizar el estudio respecto de la competencia de la Contraloría Municipal para conocer de la información solicitada, </w:t>
      </w:r>
      <w:r>
        <w:rPr>
          <w:rFonts w:ascii="Palatino Linotype" w:eastAsia="Palatino Linotype" w:hAnsi="Palatino Linotype" w:cs="Palatino Linotype"/>
          <w:sz w:val="24"/>
          <w:szCs w:val="24"/>
        </w:rPr>
        <w:t>dado que la pretensión de la Recurre</w:t>
      </w:r>
      <w:r w:rsidR="005B0D38">
        <w:rPr>
          <w:rFonts w:ascii="Palatino Linotype" w:eastAsia="Palatino Linotype" w:hAnsi="Palatino Linotype" w:cs="Palatino Linotype"/>
          <w:sz w:val="24"/>
          <w:szCs w:val="24"/>
        </w:rPr>
        <w:t>nte fue consentida y, por ende, colmada.</w:t>
      </w:r>
    </w:p>
    <w:p w14:paraId="59D15ABC" w14:textId="77777777" w:rsidR="0049217B" w:rsidRDefault="0049217B" w:rsidP="0049217B">
      <w:pPr>
        <w:spacing w:after="0" w:line="360" w:lineRule="auto"/>
        <w:jc w:val="both"/>
        <w:rPr>
          <w:rFonts w:ascii="Palatino Linotype" w:eastAsia="Palatino Linotype" w:hAnsi="Palatino Linotype" w:cs="Palatino Linotype"/>
          <w:sz w:val="24"/>
          <w:szCs w:val="24"/>
        </w:rPr>
      </w:pPr>
    </w:p>
    <w:p w14:paraId="56B4EB1A" w14:textId="77777777" w:rsidR="00CD098C" w:rsidRDefault="00CD098C" w:rsidP="00CD098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dados los argumentos vertidos en párrafos anteriores, este Órgano Garante estima que el Sujeto Obligado colmó la pretensión del particular al informarle lo señalado anteriormente. Consecuentemente, debido a que la respuesta se encuentra fundada y motivada, se satisface plenamente el requerimiento del particular por lo que los motivos de inconformidad planteados en el recurso de revisión devienen infundados, siendo lo procedente confirmar la respuesta del Sujeto Obligado.</w:t>
      </w:r>
    </w:p>
    <w:p w14:paraId="75AC1E35" w14:textId="77777777" w:rsidR="00CD098C" w:rsidRDefault="00CD098C" w:rsidP="00CD098C">
      <w:pPr>
        <w:spacing w:after="0" w:line="360" w:lineRule="auto"/>
        <w:contextualSpacing/>
        <w:jc w:val="both"/>
        <w:rPr>
          <w:rFonts w:ascii="Palatino Linotype" w:eastAsia="Palatino Linotype" w:hAnsi="Palatino Linotype" w:cs="Palatino Linotype"/>
          <w:sz w:val="24"/>
          <w:szCs w:val="24"/>
        </w:rPr>
      </w:pPr>
    </w:p>
    <w:p w14:paraId="670FC852" w14:textId="0EB58C26" w:rsidR="00CD098C" w:rsidRDefault="00CD098C" w:rsidP="00CD09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Pr="00CD098C">
        <w:rPr>
          <w:rFonts w:ascii="Palatino Linotype" w:eastAsia="Palatino Linotype" w:hAnsi="Palatino Linotype" w:cs="Palatino Linotype"/>
          <w:b/>
          <w:bCs/>
          <w:color w:val="000000"/>
          <w:sz w:val="24"/>
          <w:szCs w:val="24"/>
        </w:rPr>
        <w:t>00021/NICOROM/IP/2022</w:t>
      </w:r>
      <w:r>
        <w:rPr>
          <w:rFonts w:ascii="Palatino Linotype" w:eastAsia="Palatino Linotype" w:hAnsi="Palatino Linotype" w:cs="Palatino Linotype"/>
          <w:color w:val="000000"/>
          <w:sz w:val="24"/>
          <w:szCs w:val="24"/>
        </w:rPr>
        <w:t xml:space="preserve"> que ha sido materia del presente fallo, por lo que este Pleno:</w:t>
      </w:r>
    </w:p>
    <w:p w14:paraId="6384CF5F" w14:textId="77777777" w:rsidR="00CD098C" w:rsidRDefault="00CD098C" w:rsidP="00CD09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9146AB1" w14:textId="77777777" w:rsidR="00CD098C" w:rsidRPr="005C6947" w:rsidRDefault="00CD098C" w:rsidP="00CD098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1F4DF9D2" w14:textId="77777777" w:rsidR="00CD098C" w:rsidRDefault="00CD098C" w:rsidP="00CD098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0D75A7F6" w14:textId="760915D5" w:rsidR="00CD098C" w:rsidRDefault="00CD098C" w:rsidP="00CD09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Pr="00CD098C">
        <w:rPr>
          <w:rFonts w:ascii="Palatino Linotype" w:eastAsia="Palatino Linotype" w:hAnsi="Palatino Linotype" w:cs="Palatino Linotype"/>
          <w:b/>
          <w:bCs/>
          <w:color w:val="000000"/>
          <w:sz w:val="24"/>
          <w:szCs w:val="24"/>
        </w:rPr>
        <w:t>00021/NICOROM/IP/2022</w:t>
      </w:r>
      <w:r>
        <w:rPr>
          <w:rFonts w:ascii="Palatino Linotype" w:eastAsia="Palatino Linotype" w:hAnsi="Palatino Linotype" w:cs="Palatino Linotype"/>
          <w:color w:val="000000"/>
          <w:sz w:val="24"/>
          <w:szCs w:val="24"/>
        </w:rPr>
        <w:t xml:space="preserve"> por resultar infundadas las razones o motivos de i</w:t>
      </w:r>
      <w:r w:rsidR="00C2205B">
        <w:rPr>
          <w:rFonts w:ascii="Palatino Linotype" w:eastAsia="Palatino Linotype" w:hAnsi="Palatino Linotype" w:cs="Palatino Linotype"/>
          <w:color w:val="000000"/>
          <w:sz w:val="24"/>
          <w:szCs w:val="24"/>
        </w:rPr>
        <w:t>nconformidad hechos valer por la</w:t>
      </w:r>
      <w:r>
        <w:rPr>
          <w:rFonts w:ascii="Palatino Linotype" w:eastAsia="Palatino Linotype" w:hAnsi="Palatino Linotype" w:cs="Palatino Linotype"/>
          <w:color w:val="000000"/>
          <w:sz w:val="24"/>
          <w:szCs w:val="24"/>
        </w:rPr>
        <w:t xml:space="preserve">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75B94475" w14:textId="77777777" w:rsidR="00CD098C" w:rsidRDefault="00CD098C" w:rsidP="00CD098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F843044" w14:textId="77777777" w:rsidR="00CD098C" w:rsidRDefault="00CD098C" w:rsidP="00CD09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6D3C92F7" w14:textId="77777777" w:rsidR="00CD098C" w:rsidRDefault="00CD098C" w:rsidP="00CD098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DF0E02" w14:textId="31CDE3BE" w:rsidR="00CD098C" w:rsidRDefault="00CD098C" w:rsidP="00CD098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C2205B">
        <w:rPr>
          <w:rFonts w:ascii="Palatino Linotype" w:eastAsia="Palatino Linotype" w:hAnsi="Palatino Linotype" w:cs="Palatino Linotype"/>
          <w:color w:val="000000"/>
          <w:sz w:val="24"/>
          <w:szCs w:val="24"/>
        </w:rPr>
        <w:t xml:space="preserve"> la</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6799F64B"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 LUIS </w:t>
      </w:r>
      <w:r>
        <w:rPr>
          <w:rFonts w:ascii="Palatino Linotype" w:eastAsia="Palatino Linotype" w:hAnsi="Palatino Linotype" w:cs="Palatino Linotype"/>
          <w:color w:val="000000"/>
          <w:sz w:val="24"/>
          <w:szCs w:val="24"/>
        </w:rPr>
        <w:lastRenderedPageBreak/>
        <w:t>GUSTAVO PARRA NORIEGA Y GUADALU</w:t>
      </w:r>
      <w:r w:rsidR="00C57E04">
        <w:rPr>
          <w:rFonts w:ascii="Palatino Linotype" w:eastAsia="Palatino Linotype" w:hAnsi="Palatino Linotype" w:cs="Palatino Linotype"/>
          <w:color w:val="000000"/>
          <w:sz w:val="24"/>
          <w:szCs w:val="24"/>
        </w:rPr>
        <w:t>PE RAMÍREZ PEÑA, EN LA</w:t>
      </w:r>
      <w:r w:rsidR="00801A67">
        <w:rPr>
          <w:rFonts w:ascii="Palatino Linotype" w:eastAsia="Palatino Linotype" w:hAnsi="Palatino Linotype" w:cs="Palatino Linotype"/>
          <w:color w:val="000000"/>
          <w:sz w:val="24"/>
          <w:szCs w:val="24"/>
        </w:rPr>
        <w:t xml:space="preserve"> DÉCIMA</w:t>
      </w:r>
      <w:r>
        <w:rPr>
          <w:rFonts w:ascii="Palatino Linotype" w:eastAsia="Palatino Linotype" w:hAnsi="Palatino Linotype" w:cs="Palatino Linotype"/>
          <w:color w:val="000000"/>
          <w:sz w:val="24"/>
          <w:szCs w:val="24"/>
        </w:rPr>
        <w:t xml:space="preserve"> </w:t>
      </w:r>
      <w:r w:rsidR="00CD098C">
        <w:rPr>
          <w:rFonts w:ascii="Palatino Linotype" w:eastAsia="Palatino Linotype" w:hAnsi="Palatino Linotype" w:cs="Palatino Linotype"/>
          <w:color w:val="000000"/>
          <w:sz w:val="24"/>
          <w:szCs w:val="24"/>
        </w:rPr>
        <w:t xml:space="preserve">CUARTA </w:t>
      </w:r>
      <w:r>
        <w:rPr>
          <w:rFonts w:ascii="Palatino Linotype" w:eastAsia="Palatino Linotype" w:hAnsi="Palatino Linotype" w:cs="Palatino Linotype"/>
          <w:color w:val="000000"/>
          <w:sz w:val="24"/>
          <w:szCs w:val="24"/>
        </w:rPr>
        <w:t xml:space="preserve">SESIÓN ORDINARIA CELEBRADA EL </w:t>
      </w:r>
      <w:r w:rsidR="00CD098C">
        <w:rPr>
          <w:rFonts w:ascii="Palatino Linotype" w:eastAsia="Palatino Linotype" w:hAnsi="Palatino Linotype" w:cs="Palatino Linotype"/>
          <w:color w:val="000000"/>
          <w:sz w:val="24"/>
          <w:szCs w:val="24"/>
        </w:rPr>
        <w:t xml:space="preserve">VEINTE DE ABRIL </w:t>
      </w:r>
      <w:r w:rsidR="00285F02">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01A67">
        <w:rPr>
          <w:rFonts w:ascii="Palatino Linotype" w:eastAsia="Palatino Linotype" w:hAnsi="Palatino Linotype" w:cs="Palatino Linotype"/>
          <w:color w:val="000000"/>
          <w:sz w:val="24"/>
          <w:szCs w:val="24"/>
        </w:rPr>
        <w:t>-</w:t>
      </w:r>
      <w:r w:rsidR="00777806">
        <w:rPr>
          <w:rFonts w:ascii="Palatino Linotype" w:eastAsia="Palatino Linotype" w:hAnsi="Palatino Linotype" w:cs="Palatino Linotype"/>
          <w:color w:val="000000"/>
          <w:sz w:val="24"/>
          <w:szCs w:val="24"/>
        </w:rPr>
        <w:t>------------------------------------------------------------------------------------------------------------------------------------------------------------------------------------------------------------------------------------------------------------------------------------------------------------------------------------------------------</w:t>
      </w:r>
      <w:r w:rsidR="00801A67">
        <w:rPr>
          <w:rFonts w:ascii="Palatino Linotype" w:eastAsia="Palatino Linotype" w:hAnsi="Palatino Linotype" w:cs="Palatino Linotype"/>
          <w:color w:val="000000"/>
          <w:sz w:val="24"/>
          <w:szCs w:val="24"/>
        </w:rPr>
        <w:t>--------------------------------</w:t>
      </w:r>
      <w:r w:rsidR="00CA2F50">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EF94D" w14:textId="77777777" w:rsidR="009312D4" w:rsidRDefault="009312D4" w:rsidP="00F2498E">
      <w:pPr>
        <w:spacing w:after="0" w:line="240" w:lineRule="auto"/>
      </w:pPr>
      <w:r>
        <w:separator/>
      </w:r>
    </w:p>
  </w:endnote>
  <w:endnote w:type="continuationSeparator" w:id="0">
    <w:p w14:paraId="5E68C84D" w14:textId="77777777" w:rsidR="009312D4" w:rsidRDefault="009312D4" w:rsidP="00F2498E">
      <w:pPr>
        <w:spacing w:after="0" w:line="240" w:lineRule="auto"/>
      </w:pPr>
      <w:r>
        <w:continuationSeparator/>
      </w:r>
    </w:p>
  </w:endnote>
  <w:endnote w:type="continuationNotice" w:id="1">
    <w:p w14:paraId="4A3047FD" w14:textId="77777777" w:rsidR="009312D4" w:rsidRDefault="00931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3A13EE" w:rsidRDefault="003A13EE"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71A4E">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71A4E">
      <w:rPr>
        <w:rFonts w:ascii="Palatino Linotype" w:hAnsi="Palatino Linotype"/>
        <w:b/>
        <w:bCs/>
        <w:noProof/>
        <w:sz w:val="20"/>
      </w:rPr>
      <w:t>26</w:t>
    </w:r>
    <w:r w:rsidRPr="00713DD5">
      <w:rPr>
        <w:rFonts w:ascii="Palatino Linotype" w:hAnsi="Palatino Linotype"/>
        <w:b/>
        <w:bCs/>
        <w:sz w:val="20"/>
      </w:rPr>
      <w:fldChar w:fldCharType="end"/>
    </w:r>
  </w:p>
  <w:p w14:paraId="0DA4C4E6" w14:textId="77777777" w:rsidR="003A13EE" w:rsidRPr="000B69FA" w:rsidRDefault="003A13EE"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3A13EE" w:rsidRDefault="003A13EE"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71A4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71A4E">
      <w:rPr>
        <w:rFonts w:ascii="Palatino Linotype" w:hAnsi="Palatino Linotype"/>
        <w:b/>
        <w:bCs/>
        <w:noProof/>
        <w:sz w:val="20"/>
      </w:rPr>
      <w:t>26</w:t>
    </w:r>
    <w:r w:rsidRPr="00713DD5">
      <w:rPr>
        <w:rFonts w:ascii="Palatino Linotype" w:hAnsi="Palatino Linotype"/>
        <w:b/>
        <w:bCs/>
        <w:sz w:val="20"/>
      </w:rPr>
      <w:fldChar w:fldCharType="end"/>
    </w:r>
  </w:p>
  <w:p w14:paraId="58082FE6" w14:textId="77777777" w:rsidR="003A13EE" w:rsidRPr="000B69FA" w:rsidRDefault="003A13EE"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60BF2" w14:textId="77777777" w:rsidR="009312D4" w:rsidRDefault="009312D4" w:rsidP="00F2498E">
      <w:pPr>
        <w:spacing w:after="0" w:line="240" w:lineRule="auto"/>
      </w:pPr>
      <w:r>
        <w:separator/>
      </w:r>
    </w:p>
  </w:footnote>
  <w:footnote w:type="continuationSeparator" w:id="0">
    <w:p w14:paraId="53C1557F" w14:textId="77777777" w:rsidR="009312D4" w:rsidRDefault="009312D4" w:rsidP="00F2498E">
      <w:pPr>
        <w:spacing w:after="0" w:line="240" w:lineRule="auto"/>
      </w:pPr>
      <w:r>
        <w:continuationSeparator/>
      </w:r>
    </w:p>
  </w:footnote>
  <w:footnote w:type="continuationNotice" w:id="1">
    <w:p w14:paraId="1C6EAED6" w14:textId="77777777" w:rsidR="009312D4" w:rsidRDefault="009312D4">
      <w:pPr>
        <w:spacing w:after="0" w:line="240" w:lineRule="auto"/>
      </w:pPr>
    </w:p>
  </w:footnote>
  <w:footnote w:id="2">
    <w:p w14:paraId="1CB03AFA" w14:textId="77777777" w:rsidR="003A13EE" w:rsidRDefault="003A13EE"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3A13EE" w:rsidRDefault="003A13EE"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3A13EE" w:rsidRDefault="003A13EE"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3A13EE" w:rsidRDefault="003A13EE" w:rsidP="00663A37">
      <w:pPr>
        <w:spacing w:after="0" w:line="240" w:lineRule="auto"/>
        <w:jc w:val="both"/>
        <w:rPr>
          <w:rFonts w:ascii="Palatino Linotype" w:eastAsia="Palatino Linotype" w:hAnsi="Palatino Linotype" w:cs="Palatino Linotype"/>
          <w:b/>
          <w:i/>
          <w:sz w:val="20"/>
          <w:szCs w:val="20"/>
        </w:rPr>
      </w:pPr>
    </w:p>
    <w:p w14:paraId="67229553" w14:textId="77777777" w:rsidR="003A13EE" w:rsidRDefault="003A13EE"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w:t>
      </w:r>
      <w:bookmarkStart w:id="0" w:name="_GoBack"/>
      <w:bookmarkEnd w:id="0"/>
      <w:r>
        <w:rPr>
          <w:rFonts w:ascii="Palatino Linotype" w:eastAsia="Palatino Linotype" w:hAnsi="Palatino Linotype" w:cs="Palatino Linotype"/>
          <w:i/>
          <w:sz w:val="20"/>
          <w:szCs w:val="20"/>
        </w:rPr>
        <w:t>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3A13EE" w:rsidRDefault="00671A4E">
    <w:pPr>
      <w:pStyle w:val="Encabezado"/>
    </w:pPr>
    <w:r>
      <w:rPr>
        <w:noProof/>
        <w:lang w:val="es-MX" w:eastAsia="es-MX"/>
      </w:rPr>
      <w:pict w14:anchorId="16F4B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3A13EE" w:rsidRPr="00B17577" w14:paraId="37B9EBDE" w14:textId="77777777" w:rsidTr="00713DD5">
      <w:trPr>
        <w:trHeight w:val="227"/>
      </w:trPr>
      <w:tc>
        <w:tcPr>
          <w:tcW w:w="5103" w:type="dxa"/>
          <w:hideMark/>
        </w:tcPr>
        <w:p w14:paraId="4964FBC5" w14:textId="54CDA645" w:rsidR="003A13EE" w:rsidRPr="00096248" w:rsidRDefault="003A13EE"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7467C22" w:rsidR="003A13EE" w:rsidRPr="00096248" w:rsidRDefault="003A13EE"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1745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3A13EE" w14:paraId="7591D3C9" w14:textId="77777777" w:rsidTr="00713DD5">
      <w:trPr>
        <w:trHeight w:val="242"/>
      </w:trPr>
      <w:tc>
        <w:tcPr>
          <w:tcW w:w="5103" w:type="dxa"/>
          <w:hideMark/>
        </w:tcPr>
        <w:p w14:paraId="729A65A8" w14:textId="77777777" w:rsidR="003A13EE" w:rsidRPr="00096248" w:rsidRDefault="003A13EE"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3633061" w:rsidR="003A13EE" w:rsidRPr="00096248" w:rsidRDefault="003A13EE"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Nicolás Romero</w:t>
          </w:r>
        </w:p>
      </w:tc>
    </w:tr>
    <w:tr w:rsidR="003A13EE" w:rsidRPr="00F63239" w14:paraId="037E914D" w14:textId="77777777" w:rsidTr="00713DD5">
      <w:trPr>
        <w:trHeight w:val="342"/>
      </w:trPr>
      <w:tc>
        <w:tcPr>
          <w:tcW w:w="5103" w:type="dxa"/>
          <w:hideMark/>
        </w:tcPr>
        <w:p w14:paraId="7676B68F" w14:textId="64D69EAF" w:rsidR="003A13EE" w:rsidRPr="00096248" w:rsidRDefault="003A13EE"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3A13EE" w:rsidRPr="00096248" w:rsidRDefault="003A13EE"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3A13EE" w:rsidRDefault="00671A4E">
    <w:pPr>
      <w:pStyle w:val="Encabezado"/>
    </w:pPr>
    <w:r>
      <w:rPr>
        <w:noProof/>
        <w:lang w:val="es-MX" w:eastAsia="es-MX"/>
      </w:rPr>
      <w:pict w14:anchorId="7E03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79.25pt;margin-top:-142.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3A13EE" w14:paraId="0F9FE9B6" w14:textId="77777777" w:rsidTr="00096248">
      <w:trPr>
        <w:trHeight w:val="227"/>
      </w:trPr>
      <w:tc>
        <w:tcPr>
          <w:tcW w:w="5245" w:type="dxa"/>
          <w:hideMark/>
        </w:tcPr>
        <w:p w14:paraId="6D1D9D71" w14:textId="11150E5A" w:rsidR="003A13EE" w:rsidRPr="00663A37" w:rsidRDefault="003A13EE"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82CD97B" w:rsidR="003A13EE" w:rsidRPr="00096248" w:rsidRDefault="003A13EE"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1745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3A13EE" w:rsidRPr="001F57CD" w14:paraId="1377D264" w14:textId="77777777" w:rsidTr="00096248">
      <w:trPr>
        <w:trHeight w:val="196"/>
      </w:trPr>
      <w:tc>
        <w:tcPr>
          <w:tcW w:w="5245" w:type="dxa"/>
          <w:hideMark/>
        </w:tcPr>
        <w:p w14:paraId="04D597A1" w14:textId="77777777" w:rsidR="003A13EE" w:rsidRPr="00663A37" w:rsidRDefault="003A13EE"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84AD302" w:rsidR="003A13EE" w:rsidRPr="00663A37" w:rsidRDefault="00F316D2" w:rsidP="002F6EB1">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w:t>
          </w:r>
        </w:p>
      </w:tc>
    </w:tr>
    <w:tr w:rsidR="003A13EE" w14:paraId="4DC11993" w14:textId="77777777" w:rsidTr="00096248">
      <w:trPr>
        <w:trHeight w:val="242"/>
      </w:trPr>
      <w:tc>
        <w:tcPr>
          <w:tcW w:w="5245" w:type="dxa"/>
          <w:hideMark/>
        </w:tcPr>
        <w:p w14:paraId="76CEF1B5" w14:textId="77777777" w:rsidR="003A13EE" w:rsidRPr="00663A37" w:rsidRDefault="003A13EE"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1701612" w:rsidR="003A13EE" w:rsidRPr="00663A37" w:rsidRDefault="003A13EE"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Nicolás Romero</w:t>
          </w:r>
        </w:p>
      </w:tc>
    </w:tr>
    <w:tr w:rsidR="003A13EE" w14:paraId="5C2B511D" w14:textId="77777777" w:rsidTr="00096248">
      <w:trPr>
        <w:trHeight w:val="342"/>
      </w:trPr>
      <w:tc>
        <w:tcPr>
          <w:tcW w:w="5245" w:type="dxa"/>
          <w:hideMark/>
        </w:tcPr>
        <w:p w14:paraId="03FEF68C" w14:textId="45E91CF4" w:rsidR="003A13EE" w:rsidRPr="00663A37" w:rsidRDefault="003A13EE"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3A13EE" w:rsidRPr="00663A37" w:rsidRDefault="003A13EE"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3A13EE" w:rsidRDefault="00671A4E">
    <w:pPr>
      <w:pStyle w:val="Encabezado"/>
    </w:pPr>
    <w:r>
      <w:rPr>
        <w:noProof/>
        <w:lang w:val="es-MX" w:eastAsia="es-MX"/>
      </w:rPr>
      <w:pict w14:anchorId="2EF7A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9.3pt;margin-top:-142.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1"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2"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5"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5487"/>
    <w:rsid w:val="000171BE"/>
    <w:rsid w:val="00021122"/>
    <w:rsid w:val="00021165"/>
    <w:rsid w:val="00024A6D"/>
    <w:rsid w:val="00025450"/>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107B"/>
    <w:rsid w:val="000739AF"/>
    <w:rsid w:val="00075586"/>
    <w:rsid w:val="00075D5E"/>
    <w:rsid w:val="00076332"/>
    <w:rsid w:val="00077A55"/>
    <w:rsid w:val="000802BA"/>
    <w:rsid w:val="00082E5D"/>
    <w:rsid w:val="00083498"/>
    <w:rsid w:val="0008424E"/>
    <w:rsid w:val="0008496A"/>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316F"/>
    <w:rsid w:val="001A3C5F"/>
    <w:rsid w:val="001A3F8D"/>
    <w:rsid w:val="001A4BDF"/>
    <w:rsid w:val="001A6849"/>
    <w:rsid w:val="001A773B"/>
    <w:rsid w:val="001B28D1"/>
    <w:rsid w:val="001B3646"/>
    <w:rsid w:val="001B3FD2"/>
    <w:rsid w:val="001B6C2D"/>
    <w:rsid w:val="001C0533"/>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797"/>
    <w:rsid w:val="002A452D"/>
    <w:rsid w:val="002A51B8"/>
    <w:rsid w:val="002A5ADD"/>
    <w:rsid w:val="002A5FDF"/>
    <w:rsid w:val="002A6FCE"/>
    <w:rsid w:val="002A7501"/>
    <w:rsid w:val="002B0EA1"/>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2B60"/>
    <w:rsid w:val="002D2F05"/>
    <w:rsid w:val="002D4953"/>
    <w:rsid w:val="002D5CCE"/>
    <w:rsid w:val="002E0521"/>
    <w:rsid w:val="002E1484"/>
    <w:rsid w:val="002E37DA"/>
    <w:rsid w:val="002E40AD"/>
    <w:rsid w:val="002E72F0"/>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3070B"/>
    <w:rsid w:val="00331513"/>
    <w:rsid w:val="00331F19"/>
    <w:rsid w:val="00334475"/>
    <w:rsid w:val="0033491A"/>
    <w:rsid w:val="00337088"/>
    <w:rsid w:val="00337638"/>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6A48"/>
    <w:rsid w:val="00387CF3"/>
    <w:rsid w:val="00387FC1"/>
    <w:rsid w:val="00392022"/>
    <w:rsid w:val="00392070"/>
    <w:rsid w:val="0039214E"/>
    <w:rsid w:val="0039256B"/>
    <w:rsid w:val="0039393F"/>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5D64"/>
    <w:rsid w:val="00406793"/>
    <w:rsid w:val="00410B35"/>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A3F"/>
    <w:rsid w:val="004E7F01"/>
    <w:rsid w:val="004F0AB7"/>
    <w:rsid w:val="004F3291"/>
    <w:rsid w:val="004F32D0"/>
    <w:rsid w:val="004F483D"/>
    <w:rsid w:val="004F6671"/>
    <w:rsid w:val="004F78C4"/>
    <w:rsid w:val="00500E29"/>
    <w:rsid w:val="005025C7"/>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A0521"/>
    <w:rsid w:val="005A192F"/>
    <w:rsid w:val="005A2F92"/>
    <w:rsid w:val="005A43E7"/>
    <w:rsid w:val="005A4480"/>
    <w:rsid w:val="005A60E9"/>
    <w:rsid w:val="005A7E33"/>
    <w:rsid w:val="005B0D38"/>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1A4E"/>
    <w:rsid w:val="00675D66"/>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712"/>
    <w:rsid w:val="007D5D30"/>
    <w:rsid w:val="007D63AA"/>
    <w:rsid w:val="007E18F8"/>
    <w:rsid w:val="007E38F1"/>
    <w:rsid w:val="007E3C2E"/>
    <w:rsid w:val="007E3F8B"/>
    <w:rsid w:val="007E781F"/>
    <w:rsid w:val="007F1538"/>
    <w:rsid w:val="007F3D8B"/>
    <w:rsid w:val="007F5BB9"/>
    <w:rsid w:val="007F5C41"/>
    <w:rsid w:val="007F5E4F"/>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2F6C"/>
    <w:rsid w:val="008341ED"/>
    <w:rsid w:val="00837584"/>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E89"/>
    <w:rsid w:val="008A7EF2"/>
    <w:rsid w:val="008B0DFB"/>
    <w:rsid w:val="008B1FF6"/>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131F"/>
    <w:rsid w:val="00925D59"/>
    <w:rsid w:val="00926716"/>
    <w:rsid w:val="009312D4"/>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2581"/>
    <w:rsid w:val="009A35C9"/>
    <w:rsid w:val="009A3604"/>
    <w:rsid w:val="009A473C"/>
    <w:rsid w:val="009A57EE"/>
    <w:rsid w:val="009A640D"/>
    <w:rsid w:val="009A779E"/>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2981"/>
    <w:rsid w:val="00A14320"/>
    <w:rsid w:val="00A151A5"/>
    <w:rsid w:val="00A15263"/>
    <w:rsid w:val="00A15E74"/>
    <w:rsid w:val="00A164FB"/>
    <w:rsid w:val="00A16BEA"/>
    <w:rsid w:val="00A175E5"/>
    <w:rsid w:val="00A17CB9"/>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C36"/>
    <w:rsid w:val="00AD124D"/>
    <w:rsid w:val="00AD1EAE"/>
    <w:rsid w:val="00AD2280"/>
    <w:rsid w:val="00AD4839"/>
    <w:rsid w:val="00AD76EF"/>
    <w:rsid w:val="00AE19D1"/>
    <w:rsid w:val="00AE2666"/>
    <w:rsid w:val="00AE500E"/>
    <w:rsid w:val="00AE5D09"/>
    <w:rsid w:val="00AF4EE4"/>
    <w:rsid w:val="00AF5FEB"/>
    <w:rsid w:val="00B0036F"/>
    <w:rsid w:val="00B00C8E"/>
    <w:rsid w:val="00B02564"/>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2D2B"/>
    <w:rsid w:val="00B63807"/>
    <w:rsid w:val="00B65D4D"/>
    <w:rsid w:val="00B66649"/>
    <w:rsid w:val="00B67741"/>
    <w:rsid w:val="00B72ADE"/>
    <w:rsid w:val="00B73202"/>
    <w:rsid w:val="00B75683"/>
    <w:rsid w:val="00B7667D"/>
    <w:rsid w:val="00B8179C"/>
    <w:rsid w:val="00B822DB"/>
    <w:rsid w:val="00B84A8A"/>
    <w:rsid w:val="00B9279C"/>
    <w:rsid w:val="00B934BE"/>
    <w:rsid w:val="00B94785"/>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205B"/>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6F2"/>
    <w:rsid w:val="00D36BE0"/>
    <w:rsid w:val="00D36DB6"/>
    <w:rsid w:val="00D3752B"/>
    <w:rsid w:val="00D40470"/>
    <w:rsid w:val="00D41147"/>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C56"/>
    <w:rsid w:val="00D66CBB"/>
    <w:rsid w:val="00D70514"/>
    <w:rsid w:val="00D71305"/>
    <w:rsid w:val="00D718B8"/>
    <w:rsid w:val="00D71BF7"/>
    <w:rsid w:val="00D72F75"/>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77352"/>
    <w:rsid w:val="00E807E8"/>
    <w:rsid w:val="00E80AD6"/>
    <w:rsid w:val="00E8267D"/>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06C06"/>
    <w:rsid w:val="00F10690"/>
    <w:rsid w:val="00F11F01"/>
    <w:rsid w:val="00F11FF3"/>
    <w:rsid w:val="00F12F4D"/>
    <w:rsid w:val="00F12FB0"/>
    <w:rsid w:val="00F16039"/>
    <w:rsid w:val="00F20DCF"/>
    <w:rsid w:val="00F2205D"/>
    <w:rsid w:val="00F2498E"/>
    <w:rsid w:val="00F255BF"/>
    <w:rsid w:val="00F316D2"/>
    <w:rsid w:val="00F3332A"/>
    <w:rsid w:val="00F34068"/>
    <w:rsid w:val="00F3421F"/>
    <w:rsid w:val="00F35ED7"/>
    <w:rsid w:val="00F43916"/>
    <w:rsid w:val="00F44F84"/>
    <w:rsid w:val="00F466E6"/>
    <w:rsid w:val="00F508F3"/>
    <w:rsid w:val="00F51165"/>
    <w:rsid w:val="00F51C42"/>
    <w:rsid w:val="00F51CC4"/>
    <w:rsid w:val="00F51EAB"/>
    <w:rsid w:val="00F53538"/>
    <w:rsid w:val="00F53747"/>
    <w:rsid w:val="00F54AF1"/>
    <w:rsid w:val="00F55B3B"/>
    <w:rsid w:val="00F56426"/>
    <w:rsid w:val="00F5643F"/>
    <w:rsid w:val="00F5681E"/>
    <w:rsid w:val="00F62371"/>
    <w:rsid w:val="00F63239"/>
    <w:rsid w:val="00F656E5"/>
    <w:rsid w:val="00F70B12"/>
    <w:rsid w:val="00F74A3D"/>
    <w:rsid w:val="00F74FB9"/>
    <w:rsid w:val="00F77CF5"/>
    <w:rsid w:val="00F77D38"/>
    <w:rsid w:val="00F86131"/>
    <w:rsid w:val="00F86C5F"/>
    <w:rsid w:val="00F86D62"/>
    <w:rsid w:val="00F874BB"/>
    <w:rsid w:val="00F90DA5"/>
    <w:rsid w:val="00F9118F"/>
    <w:rsid w:val="00F914C6"/>
    <w:rsid w:val="00F92B59"/>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F1F9-F1D7-47F9-AD43-F2F92946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6383</Words>
  <Characters>35108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2022-04-28T17:56:00Z</dcterms:created>
  <dcterms:modified xsi:type="dcterms:W3CDTF">2022-05-13T17:23:00Z</dcterms:modified>
</cp:coreProperties>
</file>