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519EB31" w:rsidR="00662C69" w:rsidRPr="00424261" w:rsidRDefault="009B11D6" w:rsidP="00B31E90">
      <w:pPr>
        <w:tabs>
          <w:tab w:val="left" w:pos="3465"/>
        </w:tabs>
        <w:spacing w:line="360" w:lineRule="auto"/>
        <w:jc w:val="both"/>
        <w:rPr>
          <w:rFonts w:ascii="Palatino Linotype" w:hAnsi="Palatino Linotype"/>
          <w:color w:val="000000" w:themeColor="text1"/>
        </w:rPr>
      </w:pPr>
      <w:r w:rsidRPr="00424261">
        <w:rPr>
          <w:rFonts w:ascii="Palatino Linotype" w:hAnsi="Palatino Linotype"/>
          <w:color w:val="000000" w:themeColor="text1"/>
        </w:rPr>
        <w:t>R</w:t>
      </w:r>
      <w:r w:rsidR="00662C69" w:rsidRPr="0042426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24261">
        <w:rPr>
          <w:rFonts w:ascii="Palatino Linotype" w:hAnsi="Palatino Linotype"/>
          <w:color w:val="000000" w:themeColor="text1"/>
        </w:rPr>
        <w:t>icipios, con</w:t>
      </w:r>
      <w:r w:rsidR="00662C69" w:rsidRPr="00424261">
        <w:rPr>
          <w:rFonts w:ascii="Palatino Linotype" w:hAnsi="Palatino Linotype"/>
          <w:color w:val="000000" w:themeColor="text1"/>
        </w:rPr>
        <w:t xml:space="preserve"> </w:t>
      </w:r>
      <w:r w:rsidR="00485DB6" w:rsidRPr="00424261">
        <w:rPr>
          <w:rFonts w:ascii="Palatino Linotype" w:hAnsi="Palatino Linotype"/>
          <w:color w:val="000000" w:themeColor="text1"/>
        </w:rPr>
        <w:t xml:space="preserve">domicilio </w:t>
      </w:r>
      <w:r w:rsidR="00662C69" w:rsidRPr="00424261">
        <w:rPr>
          <w:rFonts w:ascii="Palatino Linotype" w:hAnsi="Palatino Linotype"/>
          <w:color w:val="000000" w:themeColor="text1"/>
        </w:rPr>
        <w:t xml:space="preserve">en Metepec, Estado de México; de </w:t>
      </w:r>
      <w:r w:rsidR="00D21CC1" w:rsidRPr="00424261">
        <w:rPr>
          <w:rFonts w:ascii="Palatino Linotype" w:hAnsi="Palatino Linotype"/>
          <w:color w:val="000000" w:themeColor="text1"/>
        </w:rPr>
        <w:t>veintisiete (27) de abril</w:t>
      </w:r>
      <w:r w:rsidR="009E63B2" w:rsidRPr="00424261">
        <w:rPr>
          <w:rFonts w:ascii="Palatino Linotype" w:hAnsi="Palatino Linotype"/>
          <w:color w:val="000000" w:themeColor="text1"/>
        </w:rPr>
        <w:t xml:space="preserve"> de dos mil veintidós</w:t>
      </w:r>
      <w:r w:rsidR="00662C69" w:rsidRPr="00424261">
        <w:rPr>
          <w:rFonts w:ascii="Palatino Linotype" w:hAnsi="Palatino Linotype"/>
          <w:color w:val="000000" w:themeColor="text1"/>
        </w:rPr>
        <w:t>.</w:t>
      </w:r>
    </w:p>
    <w:p w14:paraId="1181C59D" w14:textId="5B08C173" w:rsidR="00B31E90" w:rsidRPr="00424261" w:rsidRDefault="00B31E90" w:rsidP="00B31E90">
      <w:pPr>
        <w:tabs>
          <w:tab w:val="left" w:pos="3465"/>
        </w:tabs>
        <w:spacing w:line="360" w:lineRule="auto"/>
        <w:jc w:val="both"/>
        <w:rPr>
          <w:rFonts w:ascii="Palatino Linotype" w:hAnsi="Palatino Linotype"/>
          <w:color w:val="000000" w:themeColor="text1"/>
        </w:rPr>
      </w:pPr>
    </w:p>
    <w:p w14:paraId="04F87235" w14:textId="1DDF9A97" w:rsidR="005F0007" w:rsidRPr="00424261" w:rsidRDefault="00662C69" w:rsidP="00B31E90">
      <w:pPr>
        <w:spacing w:line="360" w:lineRule="auto"/>
        <w:jc w:val="both"/>
        <w:rPr>
          <w:rFonts w:ascii="Palatino Linotype" w:eastAsia="Times New Roman" w:hAnsi="Palatino Linotype" w:cs="Times New Roman"/>
          <w:color w:val="000000" w:themeColor="text1"/>
        </w:rPr>
      </w:pPr>
      <w:r w:rsidRPr="00424261">
        <w:rPr>
          <w:rFonts w:ascii="Palatino Linotype" w:hAnsi="Palatino Linotype"/>
          <w:b/>
          <w:color w:val="000000" w:themeColor="text1"/>
        </w:rPr>
        <w:t>VISTO</w:t>
      </w:r>
      <w:r w:rsidR="00390383" w:rsidRPr="00424261">
        <w:rPr>
          <w:rFonts w:ascii="Palatino Linotype" w:hAnsi="Palatino Linotype"/>
          <w:b/>
          <w:color w:val="000000" w:themeColor="text1"/>
        </w:rPr>
        <w:t>S</w:t>
      </w:r>
      <w:r w:rsidRPr="00424261">
        <w:rPr>
          <w:rFonts w:ascii="Palatino Linotype" w:hAnsi="Palatino Linotype"/>
          <w:color w:val="000000" w:themeColor="text1"/>
        </w:rPr>
        <w:t xml:space="preserve"> </w:t>
      </w:r>
      <w:r w:rsidR="00390383" w:rsidRPr="00424261">
        <w:rPr>
          <w:rFonts w:ascii="Palatino Linotype" w:hAnsi="Palatino Linotype"/>
          <w:color w:val="000000" w:themeColor="text1"/>
        </w:rPr>
        <w:t>los</w:t>
      </w:r>
      <w:r w:rsidRPr="00424261">
        <w:rPr>
          <w:rFonts w:ascii="Palatino Linotype" w:hAnsi="Palatino Linotype"/>
          <w:color w:val="000000" w:themeColor="text1"/>
        </w:rPr>
        <w:t xml:space="preserve"> expediente</w:t>
      </w:r>
      <w:r w:rsidR="00390383" w:rsidRPr="00424261">
        <w:rPr>
          <w:rFonts w:ascii="Palatino Linotype" w:hAnsi="Palatino Linotype"/>
          <w:color w:val="000000" w:themeColor="text1"/>
        </w:rPr>
        <w:t>s</w:t>
      </w:r>
      <w:r w:rsidRPr="00424261">
        <w:rPr>
          <w:rFonts w:ascii="Palatino Linotype" w:hAnsi="Palatino Linotype"/>
          <w:color w:val="000000" w:themeColor="text1"/>
        </w:rPr>
        <w:t xml:space="preserve"> electrónico</w:t>
      </w:r>
      <w:r w:rsidR="00390383" w:rsidRPr="00424261">
        <w:rPr>
          <w:rFonts w:ascii="Palatino Linotype" w:hAnsi="Palatino Linotype"/>
          <w:color w:val="000000" w:themeColor="text1"/>
        </w:rPr>
        <w:t>s</w:t>
      </w:r>
      <w:r w:rsidRPr="00424261">
        <w:rPr>
          <w:rFonts w:ascii="Palatino Linotype" w:hAnsi="Palatino Linotype"/>
          <w:color w:val="000000" w:themeColor="text1"/>
        </w:rPr>
        <w:t xml:space="preserve"> for</w:t>
      </w:r>
      <w:r w:rsidR="00D37494" w:rsidRPr="00424261">
        <w:rPr>
          <w:rFonts w:ascii="Palatino Linotype" w:hAnsi="Palatino Linotype"/>
          <w:color w:val="000000" w:themeColor="text1"/>
        </w:rPr>
        <w:t>mado</w:t>
      </w:r>
      <w:r w:rsidR="00390383" w:rsidRPr="00424261">
        <w:rPr>
          <w:rFonts w:ascii="Palatino Linotype" w:hAnsi="Palatino Linotype"/>
          <w:color w:val="000000" w:themeColor="text1"/>
        </w:rPr>
        <w:t>s</w:t>
      </w:r>
      <w:r w:rsidR="00D37494" w:rsidRPr="00424261">
        <w:rPr>
          <w:rFonts w:ascii="Palatino Linotype" w:hAnsi="Palatino Linotype"/>
          <w:color w:val="000000" w:themeColor="text1"/>
        </w:rPr>
        <w:t xml:space="preserve"> con motivo de</w:t>
      </w:r>
      <w:r w:rsidR="00390383" w:rsidRPr="00424261">
        <w:rPr>
          <w:rFonts w:ascii="Palatino Linotype" w:hAnsi="Palatino Linotype"/>
          <w:color w:val="000000" w:themeColor="text1"/>
        </w:rPr>
        <w:t xml:space="preserve"> </w:t>
      </w:r>
      <w:r w:rsidR="00D37494" w:rsidRPr="00424261">
        <w:rPr>
          <w:rFonts w:ascii="Palatino Linotype" w:hAnsi="Palatino Linotype"/>
          <w:color w:val="000000" w:themeColor="text1"/>
        </w:rPr>
        <w:t>l</w:t>
      </w:r>
      <w:r w:rsidR="00390383" w:rsidRPr="00424261">
        <w:rPr>
          <w:rFonts w:ascii="Palatino Linotype" w:hAnsi="Palatino Linotype"/>
          <w:color w:val="000000" w:themeColor="text1"/>
        </w:rPr>
        <w:t>os</w:t>
      </w:r>
      <w:r w:rsidRPr="00424261">
        <w:rPr>
          <w:rFonts w:ascii="Palatino Linotype" w:hAnsi="Palatino Linotype"/>
          <w:color w:val="000000" w:themeColor="text1"/>
        </w:rPr>
        <w:t xml:space="preserve"> recurso</w:t>
      </w:r>
      <w:r w:rsidR="00390383" w:rsidRPr="00424261">
        <w:rPr>
          <w:rFonts w:ascii="Palatino Linotype" w:hAnsi="Palatino Linotype"/>
          <w:color w:val="000000" w:themeColor="text1"/>
        </w:rPr>
        <w:t>s</w:t>
      </w:r>
      <w:r w:rsidRPr="00424261">
        <w:rPr>
          <w:rFonts w:ascii="Palatino Linotype" w:hAnsi="Palatino Linotype"/>
          <w:color w:val="000000" w:themeColor="text1"/>
        </w:rPr>
        <w:t xml:space="preserve"> de revisión </w:t>
      </w:r>
      <w:r w:rsidR="00D21CC1" w:rsidRPr="00424261">
        <w:rPr>
          <w:rFonts w:ascii="Palatino Linotype" w:hAnsi="Palatino Linotype"/>
          <w:b/>
          <w:bCs/>
          <w:color w:val="000000" w:themeColor="text1"/>
        </w:rPr>
        <w:t>05918/INFOEM/IP/RR/2021</w:t>
      </w:r>
      <w:r w:rsidR="00390383" w:rsidRPr="00424261">
        <w:rPr>
          <w:rFonts w:ascii="Palatino Linotype" w:hAnsi="Palatino Linotype"/>
          <w:color w:val="000000" w:themeColor="text1"/>
        </w:rPr>
        <w:t xml:space="preserve"> y </w:t>
      </w:r>
      <w:r w:rsidR="00D21CC1" w:rsidRPr="00424261">
        <w:rPr>
          <w:rFonts w:ascii="Palatino Linotype" w:hAnsi="Palatino Linotype"/>
          <w:b/>
          <w:bCs/>
          <w:color w:val="000000" w:themeColor="text1"/>
        </w:rPr>
        <w:t>05919/INFOEM/IP/RR/2021</w:t>
      </w:r>
      <w:r w:rsidR="005F1362" w:rsidRPr="00424261">
        <w:rPr>
          <w:rFonts w:ascii="Palatino Linotype" w:eastAsia="Times New Roman" w:hAnsi="Palatino Linotype" w:cs="Arial"/>
          <w:bCs/>
          <w:color w:val="000000" w:themeColor="text1"/>
        </w:rPr>
        <w:t xml:space="preserve">, </w:t>
      </w:r>
      <w:r w:rsidR="006B31E7" w:rsidRPr="00424261">
        <w:rPr>
          <w:rFonts w:ascii="Palatino Linotype" w:eastAsia="Times New Roman" w:hAnsi="Palatino Linotype" w:cs="Times New Roman"/>
          <w:color w:val="000000" w:themeColor="text1"/>
        </w:rPr>
        <w:t>interpuesto</w:t>
      </w:r>
      <w:r w:rsidR="00390383" w:rsidRPr="00424261">
        <w:rPr>
          <w:rFonts w:ascii="Palatino Linotype" w:eastAsia="Times New Roman" w:hAnsi="Palatino Linotype" w:cs="Times New Roman"/>
          <w:color w:val="000000" w:themeColor="text1"/>
        </w:rPr>
        <w:t>s</w:t>
      </w:r>
      <w:r w:rsidR="006B31E7" w:rsidRPr="00424261">
        <w:rPr>
          <w:rFonts w:ascii="Palatino Linotype" w:eastAsia="Times New Roman" w:hAnsi="Palatino Linotype" w:cs="Times New Roman"/>
          <w:color w:val="000000" w:themeColor="text1"/>
        </w:rPr>
        <w:t xml:space="preserve"> por</w:t>
      </w:r>
      <w:r w:rsidR="0078249C" w:rsidRPr="00424261">
        <w:rPr>
          <w:rFonts w:ascii="Palatino Linotype" w:eastAsia="Times New Roman" w:hAnsi="Palatino Linotype" w:cs="Times New Roman"/>
          <w:color w:val="000000" w:themeColor="text1"/>
        </w:rPr>
        <w:t xml:space="preserve"> </w:t>
      </w:r>
      <w:r w:rsidR="007138C9" w:rsidRPr="00424261">
        <w:rPr>
          <w:rFonts w:ascii="Palatino Linotype" w:eastAsia="Times New Roman" w:hAnsi="Palatino Linotype" w:cs="Times New Roman"/>
          <w:b/>
          <w:color w:val="000000" w:themeColor="text1"/>
        </w:rPr>
        <w:t>XXXX XXXXX XXXX</w:t>
      </w:r>
      <w:r w:rsidR="009E63B2" w:rsidRPr="00424261">
        <w:rPr>
          <w:rFonts w:ascii="Palatino Linotype" w:eastAsia="Times New Roman" w:hAnsi="Palatino Linotype" w:cs="Times New Roman"/>
          <w:color w:val="000000" w:themeColor="text1"/>
        </w:rPr>
        <w:t xml:space="preserve">, </w:t>
      </w:r>
      <w:r w:rsidR="0078249C" w:rsidRPr="00424261">
        <w:rPr>
          <w:rFonts w:ascii="Palatino Linotype" w:eastAsia="Times New Roman" w:hAnsi="Palatino Linotype" w:cs="Times New Roman"/>
          <w:color w:val="000000" w:themeColor="text1"/>
        </w:rPr>
        <w:t xml:space="preserve">en </w:t>
      </w:r>
      <w:r w:rsidR="00E647FF" w:rsidRPr="00424261">
        <w:rPr>
          <w:rFonts w:ascii="Palatino Linotype" w:eastAsia="Times New Roman" w:hAnsi="Palatino Linotype" w:cs="Times New Roman"/>
          <w:color w:val="000000" w:themeColor="text1"/>
        </w:rPr>
        <w:t>lo</w:t>
      </w:r>
      <w:r w:rsidR="0078249C" w:rsidRPr="00424261">
        <w:rPr>
          <w:rFonts w:ascii="Palatino Linotype" w:eastAsia="Times New Roman" w:hAnsi="Palatino Linotype" w:cs="Times New Roman"/>
          <w:color w:val="000000" w:themeColor="text1"/>
        </w:rPr>
        <w:t xml:space="preserve"> </w:t>
      </w:r>
      <w:r w:rsidR="00E647FF" w:rsidRPr="00424261">
        <w:rPr>
          <w:rFonts w:ascii="Palatino Linotype" w:eastAsia="Times New Roman" w:hAnsi="Palatino Linotype" w:cs="Times New Roman"/>
          <w:color w:val="000000" w:themeColor="text1"/>
        </w:rPr>
        <w:t>sucesivo</w:t>
      </w:r>
      <w:r w:rsidR="00D21CC1" w:rsidRPr="00424261">
        <w:rPr>
          <w:rFonts w:ascii="Palatino Linotype" w:eastAsia="Times New Roman" w:hAnsi="Palatino Linotype" w:cs="Times New Roman"/>
          <w:color w:val="000000" w:themeColor="text1"/>
        </w:rPr>
        <w:t>,</w:t>
      </w:r>
      <w:r w:rsidR="00794F7E" w:rsidRPr="00424261">
        <w:rPr>
          <w:rFonts w:ascii="Palatino Linotype" w:eastAsia="Times New Roman" w:hAnsi="Palatino Linotype" w:cs="Times New Roman"/>
          <w:color w:val="000000" w:themeColor="text1"/>
        </w:rPr>
        <w:t xml:space="preserve"> </w:t>
      </w:r>
      <w:r w:rsidR="00E647FF" w:rsidRPr="00424261">
        <w:rPr>
          <w:rFonts w:ascii="Palatino Linotype" w:eastAsia="Times New Roman" w:hAnsi="Palatino Linotype" w:cs="Times New Roman"/>
          <w:color w:val="000000" w:themeColor="text1"/>
        </w:rPr>
        <w:t>el</w:t>
      </w:r>
      <w:r w:rsidR="006B31E7" w:rsidRPr="00424261">
        <w:rPr>
          <w:rFonts w:ascii="Palatino Linotype" w:eastAsia="Times New Roman" w:hAnsi="Palatino Linotype" w:cs="Times New Roman"/>
          <w:color w:val="000000" w:themeColor="text1"/>
        </w:rPr>
        <w:t xml:space="preserve"> </w:t>
      </w:r>
      <w:r w:rsidR="006B31E7" w:rsidRPr="00424261">
        <w:rPr>
          <w:rFonts w:ascii="Palatino Linotype" w:eastAsia="Times New Roman" w:hAnsi="Palatino Linotype" w:cs="Times New Roman"/>
          <w:b/>
          <w:bCs/>
          <w:color w:val="000000" w:themeColor="text1"/>
        </w:rPr>
        <w:t>RECURRENTE</w:t>
      </w:r>
      <w:r w:rsidR="00E647FF" w:rsidRPr="00424261">
        <w:rPr>
          <w:rFonts w:ascii="Palatino Linotype" w:eastAsia="Times New Roman" w:hAnsi="Palatino Linotype" w:cs="Arial"/>
          <w:color w:val="000000" w:themeColor="text1"/>
        </w:rPr>
        <w:t>;</w:t>
      </w:r>
      <w:r w:rsidR="005F1362" w:rsidRPr="00424261">
        <w:rPr>
          <w:rFonts w:ascii="Palatino Linotype" w:eastAsia="Times New Roman" w:hAnsi="Palatino Linotype" w:cs="Arial"/>
          <w:color w:val="000000" w:themeColor="text1"/>
        </w:rPr>
        <w:t xml:space="preserve"> en contra de la</w:t>
      </w:r>
      <w:r w:rsidR="00390383" w:rsidRPr="00424261">
        <w:rPr>
          <w:rFonts w:ascii="Palatino Linotype" w:eastAsia="Times New Roman" w:hAnsi="Palatino Linotype" w:cs="Arial"/>
          <w:color w:val="000000" w:themeColor="text1"/>
        </w:rPr>
        <w:t>s</w:t>
      </w:r>
      <w:r w:rsidR="005F1362" w:rsidRPr="00424261">
        <w:rPr>
          <w:rFonts w:ascii="Palatino Linotype" w:eastAsia="Times New Roman" w:hAnsi="Palatino Linotype" w:cs="Arial"/>
          <w:color w:val="000000" w:themeColor="text1"/>
        </w:rPr>
        <w:t xml:space="preserve"> respuesta</w:t>
      </w:r>
      <w:r w:rsidR="00390383" w:rsidRPr="00424261">
        <w:rPr>
          <w:rFonts w:ascii="Palatino Linotype" w:eastAsia="Times New Roman" w:hAnsi="Palatino Linotype" w:cs="Arial"/>
          <w:color w:val="000000" w:themeColor="text1"/>
        </w:rPr>
        <w:t>s</w:t>
      </w:r>
      <w:r w:rsidR="005F1362" w:rsidRPr="00424261">
        <w:rPr>
          <w:rFonts w:ascii="Palatino Linotype" w:eastAsia="Times New Roman" w:hAnsi="Palatino Linotype" w:cs="Arial"/>
          <w:color w:val="000000" w:themeColor="text1"/>
        </w:rPr>
        <w:t xml:space="preserve"> del</w:t>
      </w:r>
      <w:r w:rsidR="00CE1B8A" w:rsidRPr="00424261">
        <w:rPr>
          <w:rFonts w:ascii="Palatino Linotype" w:eastAsia="Times New Roman" w:hAnsi="Palatino Linotype" w:cs="Arial"/>
          <w:color w:val="000000" w:themeColor="text1"/>
        </w:rPr>
        <w:t xml:space="preserve"> </w:t>
      </w:r>
      <w:r w:rsidR="00D21CC1" w:rsidRPr="00424261">
        <w:rPr>
          <w:rFonts w:ascii="Palatino Linotype" w:eastAsia="Times New Roman" w:hAnsi="Palatino Linotype" w:cs="Arial"/>
          <w:b/>
          <w:color w:val="000000" w:themeColor="text1"/>
        </w:rPr>
        <w:t>Ayuntamiento de Cuautitlán Izcalli</w:t>
      </w:r>
      <w:r w:rsidR="009572EE" w:rsidRPr="00424261">
        <w:rPr>
          <w:rFonts w:ascii="Palatino Linotype" w:eastAsia="Calibri" w:hAnsi="Palatino Linotype" w:cs="Arial"/>
          <w:color w:val="000000" w:themeColor="text1"/>
          <w:lang w:val="es-ES"/>
        </w:rPr>
        <w:t>,</w:t>
      </w:r>
      <w:r w:rsidR="005F1362" w:rsidRPr="00424261">
        <w:rPr>
          <w:rFonts w:ascii="Palatino Linotype" w:eastAsia="Calibri" w:hAnsi="Palatino Linotype" w:cs="Arial"/>
          <w:color w:val="000000" w:themeColor="text1"/>
          <w:lang w:val="es-ES"/>
        </w:rPr>
        <w:t xml:space="preserve"> </w:t>
      </w:r>
      <w:r w:rsidR="009E63B2" w:rsidRPr="00424261">
        <w:rPr>
          <w:rFonts w:ascii="Palatino Linotype" w:eastAsia="Calibri" w:hAnsi="Palatino Linotype" w:cs="Arial"/>
          <w:color w:val="000000" w:themeColor="text1"/>
          <w:lang w:val="es-ES"/>
        </w:rPr>
        <w:t>en adelante</w:t>
      </w:r>
      <w:r w:rsidR="00D21CC1" w:rsidRPr="00424261">
        <w:rPr>
          <w:rFonts w:ascii="Palatino Linotype" w:eastAsia="Calibri" w:hAnsi="Palatino Linotype" w:cs="Arial"/>
          <w:color w:val="000000" w:themeColor="text1"/>
          <w:lang w:val="es-ES"/>
        </w:rPr>
        <w:t>,</w:t>
      </w:r>
      <w:r w:rsidR="009E63B2" w:rsidRPr="00424261">
        <w:rPr>
          <w:rFonts w:ascii="Palatino Linotype" w:eastAsia="Calibri" w:hAnsi="Palatino Linotype" w:cs="Arial"/>
          <w:color w:val="000000" w:themeColor="text1"/>
          <w:lang w:val="es-ES"/>
        </w:rPr>
        <w:t xml:space="preserve"> </w:t>
      </w:r>
      <w:r w:rsidR="005F1362" w:rsidRPr="00424261">
        <w:rPr>
          <w:rFonts w:ascii="Palatino Linotype" w:eastAsia="Times New Roman" w:hAnsi="Palatino Linotype" w:cs="Times New Roman"/>
          <w:color w:val="000000" w:themeColor="text1"/>
        </w:rPr>
        <w:t>el</w:t>
      </w:r>
      <w:r w:rsidR="005F1362" w:rsidRPr="00424261">
        <w:rPr>
          <w:rFonts w:ascii="Palatino Linotype" w:eastAsia="Times New Roman" w:hAnsi="Palatino Linotype" w:cs="Times New Roman"/>
          <w:b/>
          <w:color w:val="000000" w:themeColor="text1"/>
        </w:rPr>
        <w:t xml:space="preserve"> SUJETO OBLIGADO</w:t>
      </w:r>
      <w:r w:rsidR="005F1362" w:rsidRPr="00424261">
        <w:rPr>
          <w:rFonts w:ascii="Palatino Linotype" w:eastAsia="Times New Roman" w:hAnsi="Palatino Linotype" w:cs="Times New Roman"/>
          <w:bCs/>
          <w:color w:val="000000" w:themeColor="text1"/>
        </w:rPr>
        <w:t xml:space="preserve">, </w:t>
      </w:r>
      <w:r w:rsidR="005F1362" w:rsidRPr="00424261">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424261" w:rsidRDefault="009A593A" w:rsidP="00B31E90">
      <w:pPr>
        <w:spacing w:line="360" w:lineRule="auto"/>
        <w:jc w:val="both"/>
        <w:rPr>
          <w:rFonts w:ascii="Palatino Linotype" w:hAnsi="Palatino Linotype"/>
          <w:b/>
          <w:color w:val="000000" w:themeColor="text1"/>
        </w:rPr>
      </w:pPr>
    </w:p>
    <w:p w14:paraId="769E1410" w14:textId="5740327F" w:rsidR="00587366" w:rsidRPr="00424261" w:rsidRDefault="00662C69" w:rsidP="00B31E90">
      <w:pPr>
        <w:pStyle w:val="Ttulo1"/>
        <w:spacing w:before="0" w:line="360" w:lineRule="auto"/>
        <w:jc w:val="center"/>
        <w:rPr>
          <w:b/>
          <w:color w:val="000000" w:themeColor="text1"/>
        </w:rPr>
      </w:pPr>
      <w:bookmarkStart w:id="0" w:name="_Toc461555884"/>
      <w:bookmarkStart w:id="1" w:name="_Toc466371847"/>
      <w:bookmarkStart w:id="2" w:name="_Toc89350454"/>
      <w:bookmarkStart w:id="3" w:name="_Toc101963383"/>
      <w:r w:rsidRPr="00424261">
        <w:rPr>
          <w:b/>
          <w:color w:val="000000" w:themeColor="text1"/>
        </w:rPr>
        <w:t>ANTECEDENTES</w:t>
      </w:r>
      <w:bookmarkEnd w:id="0"/>
      <w:bookmarkEnd w:id="1"/>
      <w:bookmarkEnd w:id="2"/>
      <w:bookmarkEnd w:id="3"/>
    </w:p>
    <w:p w14:paraId="5672105D" w14:textId="77777777" w:rsidR="00B31E90" w:rsidRPr="00424261"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316F7A6" w:rsidR="00D9392E" w:rsidRPr="00424261"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24261">
        <w:rPr>
          <w:rFonts w:ascii="Palatino Linotype" w:eastAsia="Calibri" w:hAnsi="Palatino Linotype" w:cs="Arial"/>
          <w:color w:val="000000" w:themeColor="text1"/>
          <w:lang w:val="es-ES"/>
        </w:rPr>
        <w:t>El</w:t>
      </w:r>
      <w:r w:rsidR="00D9392E" w:rsidRPr="00424261">
        <w:rPr>
          <w:rFonts w:ascii="Palatino Linotype" w:eastAsia="Calibri" w:hAnsi="Palatino Linotype" w:cs="Arial"/>
          <w:color w:val="000000" w:themeColor="text1"/>
          <w:lang w:val="es-ES"/>
        </w:rPr>
        <w:t xml:space="preserve"> </w:t>
      </w:r>
      <w:r w:rsidR="00D21CC1" w:rsidRPr="00424261">
        <w:rPr>
          <w:rFonts w:ascii="Palatino Linotype" w:eastAsia="Calibri" w:hAnsi="Palatino Linotype" w:cs="Arial"/>
          <w:color w:val="000000" w:themeColor="text1"/>
          <w:lang w:val="es-ES"/>
        </w:rPr>
        <w:t>tres (03) de noviembre</w:t>
      </w:r>
      <w:r w:rsidR="00B31E90" w:rsidRPr="00424261">
        <w:rPr>
          <w:rFonts w:ascii="Palatino Linotype" w:eastAsia="Calibri" w:hAnsi="Palatino Linotype" w:cs="Arial"/>
          <w:color w:val="000000" w:themeColor="text1"/>
          <w:lang w:val="es-ES"/>
        </w:rPr>
        <w:t xml:space="preserve"> de dos mil veintiuno</w:t>
      </w:r>
      <w:r w:rsidR="005F1362" w:rsidRPr="00424261">
        <w:rPr>
          <w:rFonts w:ascii="Palatino Linotype" w:eastAsia="Calibri" w:hAnsi="Palatino Linotype" w:cs="Arial"/>
          <w:color w:val="000000" w:themeColor="text1"/>
          <w:lang w:val="es-ES"/>
        </w:rPr>
        <w:t xml:space="preserve">, </w:t>
      </w:r>
      <w:r w:rsidR="00B31E90" w:rsidRPr="00424261">
        <w:rPr>
          <w:rFonts w:ascii="Palatino Linotype" w:hAnsi="Palatino Linotype"/>
          <w:color w:val="000000" w:themeColor="text1"/>
        </w:rPr>
        <w:t>el particular</w:t>
      </w:r>
      <w:r w:rsidR="005F1362" w:rsidRPr="00424261">
        <w:rPr>
          <w:rFonts w:ascii="Palatino Linotype" w:hAnsi="Palatino Linotype"/>
          <w:color w:val="000000" w:themeColor="text1"/>
        </w:rPr>
        <w:t xml:space="preserve"> presentó</w:t>
      </w:r>
      <w:r w:rsidR="00794F7E" w:rsidRPr="00424261">
        <w:rPr>
          <w:rFonts w:ascii="Palatino Linotype" w:hAnsi="Palatino Linotype"/>
          <w:color w:val="000000" w:themeColor="text1"/>
        </w:rPr>
        <w:t>,</w:t>
      </w:r>
      <w:r w:rsidR="005F1362" w:rsidRPr="00424261">
        <w:rPr>
          <w:rFonts w:ascii="Palatino Linotype" w:hAnsi="Palatino Linotype"/>
          <w:b/>
          <w:color w:val="000000" w:themeColor="text1"/>
        </w:rPr>
        <w:t xml:space="preserve"> </w:t>
      </w:r>
      <w:r w:rsidR="00127E68" w:rsidRPr="00424261">
        <w:rPr>
          <w:rFonts w:ascii="Palatino Linotype" w:hAnsi="Palatino Linotype"/>
          <w:bCs/>
          <w:color w:val="000000" w:themeColor="text1"/>
        </w:rPr>
        <w:t xml:space="preserve">a través </w:t>
      </w:r>
      <w:r w:rsidR="00D21CC1" w:rsidRPr="00424261">
        <w:rPr>
          <w:rFonts w:ascii="Palatino Linotype" w:hAnsi="Palatino Linotype"/>
          <w:bCs/>
          <w:color w:val="000000" w:themeColor="text1"/>
        </w:rPr>
        <w:t>del</w:t>
      </w:r>
      <w:r w:rsidR="00794F7E" w:rsidRPr="00424261">
        <w:rPr>
          <w:rFonts w:ascii="Palatino Linotype" w:hAnsi="Palatino Linotype"/>
          <w:bCs/>
          <w:color w:val="000000" w:themeColor="text1"/>
        </w:rPr>
        <w:t xml:space="preserve"> </w:t>
      </w:r>
      <w:r w:rsidR="009E63B2" w:rsidRPr="00424261">
        <w:rPr>
          <w:rFonts w:ascii="Palatino Linotype" w:hAnsi="Palatino Linotype"/>
          <w:bCs/>
          <w:color w:val="000000" w:themeColor="text1"/>
        </w:rPr>
        <w:t>Sistema de Acceso a la Información Mexiquense (SAIMEX)</w:t>
      </w:r>
      <w:r w:rsidR="00794F7E" w:rsidRPr="00424261">
        <w:rPr>
          <w:rFonts w:ascii="Palatino Linotype" w:hAnsi="Palatino Linotype"/>
          <w:bCs/>
          <w:color w:val="000000" w:themeColor="text1"/>
        </w:rPr>
        <w:t>,</w:t>
      </w:r>
      <w:r w:rsidR="005F1362" w:rsidRPr="00424261">
        <w:rPr>
          <w:rFonts w:ascii="Palatino Linotype" w:eastAsia="Calibri" w:hAnsi="Palatino Linotype" w:cs="Arial"/>
          <w:color w:val="000000" w:themeColor="text1"/>
          <w:lang w:val="es-ES"/>
        </w:rPr>
        <w:t xml:space="preserve"> la</w:t>
      </w:r>
      <w:r w:rsidR="00390383" w:rsidRPr="00424261">
        <w:rPr>
          <w:rFonts w:ascii="Palatino Linotype" w:eastAsia="Calibri" w:hAnsi="Palatino Linotype" w:cs="Arial"/>
          <w:color w:val="000000" w:themeColor="text1"/>
          <w:lang w:val="es-ES"/>
        </w:rPr>
        <w:t>s</w:t>
      </w:r>
      <w:r w:rsidR="005F1362" w:rsidRPr="00424261">
        <w:rPr>
          <w:rFonts w:ascii="Palatino Linotype" w:eastAsia="Calibri" w:hAnsi="Palatino Linotype" w:cs="Arial"/>
          <w:color w:val="000000" w:themeColor="text1"/>
          <w:lang w:val="es-ES"/>
        </w:rPr>
        <w:t xml:space="preserve"> solicitud</w:t>
      </w:r>
      <w:r w:rsidR="00390383" w:rsidRPr="00424261">
        <w:rPr>
          <w:rFonts w:ascii="Palatino Linotype" w:eastAsia="Calibri" w:hAnsi="Palatino Linotype" w:cs="Arial"/>
          <w:color w:val="000000" w:themeColor="text1"/>
          <w:lang w:val="es-ES"/>
        </w:rPr>
        <w:t>es</w:t>
      </w:r>
      <w:r w:rsidR="005F1362" w:rsidRPr="00424261">
        <w:rPr>
          <w:rFonts w:ascii="Palatino Linotype" w:eastAsia="Calibri" w:hAnsi="Palatino Linotype" w:cs="Arial"/>
          <w:color w:val="000000" w:themeColor="text1"/>
          <w:lang w:val="es-ES"/>
        </w:rPr>
        <w:t xml:space="preserve"> de información pública registrada</w:t>
      </w:r>
      <w:r w:rsidR="00390383" w:rsidRPr="00424261">
        <w:rPr>
          <w:rFonts w:ascii="Palatino Linotype" w:eastAsia="Calibri" w:hAnsi="Palatino Linotype" w:cs="Arial"/>
          <w:color w:val="000000" w:themeColor="text1"/>
          <w:lang w:val="es-ES"/>
        </w:rPr>
        <w:t>s</w:t>
      </w:r>
      <w:r w:rsidR="005F1362" w:rsidRPr="00424261">
        <w:rPr>
          <w:rFonts w:ascii="Palatino Linotype" w:eastAsia="Calibri" w:hAnsi="Palatino Linotype" w:cs="Arial"/>
          <w:color w:val="000000" w:themeColor="text1"/>
          <w:lang w:val="es-ES"/>
        </w:rPr>
        <w:t xml:space="preserve"> con </w:t>
      </w:r>
      <w:r w:rsidR="00390383" w:rsidRPr="00424261">
        <w:rPr>
          <w:rFonts w:ascii="Palatino Linotype" w:eastAsia="Calibri" w:hAnsi="Palatino Linotype" w:cs="Arial"/>
          <w:color w:val="000000" w:themeColor="text1"/>
          <w:lang w:val="es-ES"/>
        </w:rPr>
        <w:t>los</w:t>
      </w:r>
      <w:r w:rsidR="005F1362" w:rsidRPr="00424261">
        <w:rPr>
          <w:rFonts w:ascii="Palatino Linotype" w:eastAsia="Calibri" w:hAnsi="Palatino Linotype" w:cs="Arial"/>
          <w:color w:val="000000" w:themeColor="text1"/>
          <w:lang w:val="es-ES"/>
        </w:rPr>
        <w:t xml:space="preserve"> número</w:t>
      </w:r>
      <w:r w:rsidR="00390383" w:rsidRPr="00424261">
        <w:rPr>
          <w:rFonts w:ascii="Palatino Linotype" w:eastAsia="Calibri" w:hAnsi="Palatino Linotype" w:cs="Arial"/>
          <w:color w:val="000000" w:themeColor="text1"/>
          <w:lang w:val="es-ES"/>
        </w:rPr>
        <w:t>s</w:t>
      </w:r>
      <w:r w:rsidR="005F1362" w:rsidRPr="00424261">
        <w:rPr>
          <w:rFonts w:ascii="Palatino Linotype" w:hAnsi="Palatino Linotype"/>
          <w:b/>
          <w:bCs/>
          <w:color w:val="000000" w:themeColor="text1"/>
        </w:rPr>
        <w:t xml:space="preserve"> </w:t>
      </w:r>
      <w:r w:rsidR="00D21CC1" w:rsidRPr="00424261">
        <w:rPr>
          <w:rFonts w:ascii="Palatino Linotype" w:hAnsi="Palatino Linotype"/>
          <w:b/>
          <w:bCs/>
          <w:color w:val="000000" w:themeColor="text1"/>
        </w:rPr>
        <w:t>00505/CUAUTIZC/IP/2021</w:t>
      </w:r>
      <w:r w:rsidR="00390383" w:rsidRPr="00424261">
        <w:rPr>
          <w:rFonts w:ascii="Palatino Linotype" w:hAnsi="Palatino Linotype"/>
          <w:color w:val="000000" w:themeColor="text1"/>
        </w:rPr>
        <w:t xml:space="preserve"> y </w:t>
      </w:r>
      <w:r w:rsidR="00D21CC1" w:rsidRPr="00424261">
        <w:rPr>
          <w:rFonts w:ascii="Palatino Linotype" w:hAnsi="Palatino Linotype"/>
          <w:b/>
          <w:bCs/>
          <w:color w:val="000000" w:themeColor="text1"/>
        </w:rPr>
        <w:t>00506/CUAUTIZC/IP/2021</w:t>
      </w:r>
      <w:r w:rsidR="005F1362" w:rsidRPr="00424261">
        <w:rPr>
          <w:rFonts w:ascii="Palatino Linotype" w:hAnsi="Palatino Linotype"/>
          <w:color w:val="000000" w:themeColor="text1"/>
        </w:rPr>
        <w:t>,</w:t>
      </w:r>
      <w:r w:rsidR="005F1362" w:rsidRPr="00424261">
        <w:rPr>
          <w:rFonts w:ascii="Palatino Linotype" w:eastAsia="Calibri" w:hAnsi="Palatino Linotype" w:cs="Arial"/>
          <w:color w:val="000000" w:themeColor="text1"/>
          <w:lang w:val="es-ES"/>
        </w:rPr>
        <w:t xml:space="preserve"> mediante la cual</w:t>
      </w:r>
      <w:r w:rsidR="00390383" w:rsidRPr="00424261">
        <w:rPr>
          <w:rFonts w:ascii="Palatino Linotype" w:eastAsia="Calibri" w:hAnsi="Palatino Linotype" w:cs="Arial"/>
          <w:color w:val="000000" w:themeColor="text1"/>
          <w:lang w:val="es-ES"/>
        </w:rPr>
        <w:t>es</w:t>
      </w:r>
      <w:r w:rsidR="005F1362" w:rsidRPr="00424261">
        <w:rPr>
          <w:rFonts w:ascii="Palatino Linotype" w:eastAsia="Calibri" w:hAnsi="Palatino Linotype" w:cs="Arial"/>
          <w:color w:val="000000" w:themeColor="text1"/>
          <w:lang w:val="es-ES"/>
        </w:rPr>
        <w:t xml:space="preserve"> requirió</w:t>
      </w:r>
      <w:r w:rsidR="00022D89" w:rsidRPr="00424261">
        <w:rPr>
          <w:rFonts w:ascii="Palatino Linotype" w:eastAsia="Calibri" w:hAnsi="Palatino Linotype" w:cs="Arial"/>
          <w:color w:val="000000" w:themeColor="text1"/>
          <w:lang w:val="es-ES"/>
        </w:rPr>
        <w:t xml:space="preserve"> </w:t>
      </w:r>
      <w:r w:rsidR="00D21CC1" w:rsidRPr="00424261">
        <w:rPr>
          <w:rFonts w:ascii="Palatino Linotype" w:eastAsia="Calibri" w:hAnsi="Palatino Linotype" w:cs="Arial"/>
          <w:color w:val="000000" w:themeColor="text1"/>
          <w:lang w:val="es-ES"/>
        </w:rPr>
        <w:t>la siguiente información</w:t>
      </w:r>
      <w:r w:rsidR="005F1362" w:rsidRPr="00424261">
        <w:rPr>
          <w:rFonts w:ascii="Palatino Linotype" w:eastAsia="Calibri" w:hAnsi="Palatino Linotype" w:cs="Arial"/>
          <w:color w:val="000000" w:themeColor="text1"/>
          <w:lang w:val="es-ES"/>
        </w:rPr>
        <w:t>:</w:t>
      </w:r>
    </w:p>
    <w:p w14:paraId="76EB7490" w14:textId="77777777" w:rsidR="00B31E90" w:rsidRPr="00424261"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7595111" w14:textId="0CBA7C31" w:rsidR="00D21CC1" w:rsidRPr="00424261" w:rsidRDefault="00D21CC1" w:rsidP="00B31E90">
      <w:pPr>
        <w:pStyle w:val="Prrafodelista"/>
        <w:spacing w:line="276" w:lineRule="auto"/>
        <w:ind w:left="567" w:right="567"/>
        <w:jc w:val="both"/>
        <w:rPr>
          <w:rFonts w:ascii="Palatino Linotype" w:hAnsi="Palatino Linotype"/>
          <w:iCs/>
          <w:color w:val="000000" w:themeColor="text1"/>
          <w:sz w:val="22"/>
          <w:szCs w:val="22"/>
        </w:rPr>
      </w:pPr>
      <w:r w:rsidRPr="00424261">
        <w:rPr>
          <w:rFonts w:ascii="Palatino Linotype" w:hAnsi="Palatino Linotype"/>
          <w:b/>
          <w:bCs/>
          <w:iCs/>
          <w:color w:val="000000" w:themeColor="text1"/>
          <w:sz w:val="22"/>
          <w:szCs w:val="22"/>
        </w:rPr>
        <w:t>Solicitud de información 00505/CUAUTIZC/IP/2021:</w:t>
      </w:r>
    </w:p>
    <w:p w14:paraId="605C5067" w14:textId="5B5FF95E" w:rsidR="0097210F" w:rsidRPr="00424261"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424261">
        <w:rPr>
          <w:rFonts w:ascii="Palatino Linotype" w:hAnsi="Palatino Linotype"/>
          <w:i/>
          <w:color w:val="000000" w:themeColor="text1"/>
          <w:sz w:val="22"/>
          <w:szCs w:val="22"/>
        </w:rPr>
        <w:t>“</w:t>
      </w:r>
      <w:r w:rsidR="00D21CC1" w:rsidRPr="00424261">
        <w:rPr>
          <w:rFonts w:ascii="Palatino Linotype" w:hAnsi="Palatino Linotype"/>
          <w:i/>
          <w:iCs/>
          <w:color w:val="000000" w:themeColor="text1"/>
          <w:sz w:val="22"/>
          <w:szCs w:val="22"/>
        </w:rPr>
        <w:t xml:space="preserve">SOLICITO POR ESTE MEDIO LOS NOMBRES COMPLETOS DE LOS POLICIAS MUNICIPALES QUE ASESINARON AL ACTOR OCTAVIO OCAÑA, ASI COMO EL NUMERO DE PATRULLA QUE TRAIAN, ASI COMO SUS CREDENCIALES QUE LOS ACREDITAN COMO POLICIAS, NECESITO EL PARTE DE NOVEDADES DE LOS DIAS 14,15 Y 16 DE OCTUBRE DEL PRESENTE AÑO. SOLICITO TAMBIEN SUS DIRECCIONES PERSONALES EN QUE HORARIO TRABAJAN EN QUE SERVICIO SE ENCUENTRAN TRABAJANDO QUE NUMERO DE UNIDAD MANEJAN SUS EXAMENES DE CONTROL DE CONFIANZA SU CREDENCIAL PARA LA PORTACION DE </w:t>
      </w:r>
      <w:r w:rsidR="00D21CC1" w:rsidRPr="00424261">
        <w:rPr>
          <w:rFonts w:ascii="Palatino Linotype" w:hAnsi="Palatino Linotype"/>
          <w:i/>
          <w:iCs/>
          <w:color w:val="000000" w:themeColor="text1"/>
          <w:sz w:val="22"/>
          <w:szCs w:val="22"/>
        </w:rPr>
        <w:lastRenderedPageBreak/>
        <w:t>ARMA SUS RECIBOS DE NOMINA DESDE QUE TRABAJAN COMO POLICIAS MUNICIPALES SI LA POLICIA QUE SE ROBO LA EXCLAVA DEL ACTOR TIENE ALGUNA SITUACION JURIDICA CON ELCONSEJO DE HONOR Y JUSTICIA POR ENDE LA INFORMACION QUE ESTOY SOLICITANDO NO ES NINGUNA INFORMACION CONFIDENCIAL O RESERVADA POR LO QUE EVITEN HACER ALGUN ACUERDO DE CLASIFICACION DE INFORMACION</w:t>
      </w:r>
      <w:r w:rsidRPr="00424261">
        <w:rPr>
          <w:rFonts w:ascii="Palatino Linotype" w:hAnsi="Palatino Linotype"/>
          <w:i/>
          <w:color w:val="000000" w:themeColor="text1"/>
          <w:sz w:val="22"/>
          <w:szCs w:val="22"/>
        </w:rPr>
        <w:t xml:space="preserve">” </w:t>
      </w:r>
      <w:r w:rsidRPr="00424261">
        <w:rPr>
          <w:rFonts w:ascii="Palatino Linotype" w:hAnsi="Palatino Linotype"/>
          <w:color w:val="000000" w:themeColor="text1"/>
          <w:sz w:val="22"/>
          <w:szCs w:val="22"/>
        </w:rPr>
        <w:t>(Sic).</w:t>
      </w:r>
    </w:p>
    <w:p w14:paraId="0BEE7480" w14:textId="55F814CF" w:rsidR="00D21CC1" w:rsidRPr="00424261" w:rsidRDefault="00D21CC1" w:rsidP="00B31E90">
      <w:pPr>
        <w:pStyle w:val="Prrafodelista"/>
        <w:spacing w:line="276" w:lineRule="auto"/>
        <w:ind w:left="567" w:right="567"/>
        <w:jc w:val="both"/>
        <w:rPr>
          <w:rFonts w:ascii="Palatino Linotype" w:hAnsi="Palatino Linotype"/>
          <w:color w:val="000000" w:themeColor="text1"/>
          <w:sz w:val="22"/>
          <w:szCs w:val="22"/>
        </w:rPr>
      </w:pPr>
    </w:p>
    <w:p w14:paraId="13F6B684" w14:textId="433C771C" w:rsidR="00D21CC1" w:rsidRPr="00424261" w:rsidRDefault="00D21CC1" w:rsidP="00D21CC1">
      <w:pPr>
        <w:pStyle w:val="Prrafodelista"/>
        <w:spacing w:line="276" w:lineRule="auto"/>
        <w:ind w:left="567" w:right="567"/>
        <w:jc w:val="both"/>
        <w:rPr>
          <w:rFonts w:ascii="Palatino Linotype" w:hAnsi="Palatino Linotype"/>
          <w:iCs/>
          <w:color w:val="000000" w:themeColor="text1"/>
          <w:sz w:val="22"/>
          <w:szCs w:val="22"/>
        </w:rPr>
      </w:pPr>
      <w:r w:rsidRPr="00424261">
        <w:rPr>
          <w:rFonts w:ascii="Palatino Linotype" w:hAnsi="Palatino Linotype"/>
          <w:b/>
          <w:bCs/>
          <w:iCs/>
          <w:color w:val="000000" w:themeColor="text1"/>
          <w:sz w:val="22"/>
          <w:szCs w:val="22"/>
        </w:rPr>
        <w:t>Solicitud de información 0050</w:t>
      </w:r>
      <w:r w:rsidR="002015A4" w:rsidRPr="00424261">
        <w:rPr>
          <w:rFonts w:ascii="Palatino Linotype" w:hAnsi="Palatino Linotype"/>
          <w:b/>
          <w:bCs/>
          <w:iCs/>
          <w:color w:val="000000" w:themeColor="text1"/>
          <w:sz w:val="22"/>
          <w:szCs w:val="22"/>
        </w:rPr>
        <w:t>6</w:t>
      </w:r>
      <w:r w:rsidRPr="00424261">
        <w:rPr>
          <w:rFonts w:ascii="Palatino Linotype" w:hAnsi="Palatino Linotype"/>
          <w:b/>
          <w:bCs/>
          <w:iCs/>
          <w:color w:val="000000" w:themeColor="text1"/>
          <w:sz w:val="22"/>
          <w:szCs w:val="22"/>
        </w:rPr>
        <w:t>/CUAUTIZC/IP/2021:</w:t>
      </w:r>
    </w:p>
    <w:p w14:paraId="7AC4B1A1" w14:textId="589B8AC1" w:rsidR="00D21CC1" w:rsidRPr="00424261" w:rsidRDefault="00D21CC1" w:rsidP="00D21CC1">
      <w:pPr>
        <w:pStyle w:val="Prrafodelista"/>
        <w:spacing w:line="276" w:lineRule="auto"/>
        <w:ind w:left="567" w:right="567"/>
        <w:jc w:val="both"/>
        <w:rPr>
          <w:rFonts w:ascii="Palatino Linotype" w:hAnsi="Palatino Linotype"/>
          <w:i/>
          <w:color w:val="000000" w:themeColor="text1"/>
          <w:szCs w:val="22"/>
        </w:rPr>
      </w:pPr>
      <w:r w:rsidRPr="00424261">
        <w:rPr>
          <w:rFonts w:ascii="Palatino Linotype" w:hAnsi="Palatino Linotype"/>
          <w:i/>
          <w:color w:val="000000" w:themeColor="text1"/>
          <w:sz w:val="22"/>
          <w:szCs w:val="22"/>
        </w:rPr>
        <w:t>“</w:t>
      </w:r>
      <w:r w:rsidR="002015A4" w:rsidRPr="00424261">
        <w:rPr>
          <w:rFonts w:ascii="Palatino Linotype" w:hAnsi="Palatino Linotype"/>
          <w:i/>
          <w:iCs/>
          <w:color w:val="000000" w:themeColor="text1"/>
          <w:sz w:val="22"/>
          <w:szCs w:val="22"/>
        </w:rPr>
        <w:t>SOLICITO EL INFORME QUE REALIZA EL COMISARIO DE SEGURIDAD PUBLICA, QUE ACCIONES A ECHO EL PRESIDENTE MUNICIPAL ANTE ESTE LAMENTABLE ECHO, DEL ASESINATO DEL ACTOR,</w:t>
      </w:r>
      <w:r w:rsidRPr="00424261">
        <w:rPr>
          <w:rFonts w:ascii="Palatino Linotype" w:hAnsi="Palatino Linotype"/>
          <w:i/>
          <w:color w:val="000000" w:themeColor="text1"/>
          <w:sz w:val="22"/>
          <w:szCs w:val="22"/>
        </w:rPr>
        <w:t xml:space="preserve">” </w:t>
      </w:r>
      <w:r w:rsidRPr="00424261">
        <w:rPr>
          <w:rFonts w:ascii="Palatino Linotype" w:hAnsi="Palatino Linotype"/>
          <w:color w:val="000000" w:themeColor="text1"/>
          <w:sz w:val="22"/>
          <w:szCs w:val="22"/>
        </w:rPr>
        <w:t>(Sic).</w:t>
      </w:r>
    </w:p>
    <w:p w14:paraId="65A03C8D" w14:textId="77777777" w:rsidR="005F1362" w:rsidRPr="00424261" w:rsidRDefault="005F1362" w:rsidP="00B31E90">
      <w:pPr>
        <w:spacing w:line="360" w:lineRule="auto"/>
        <w:ind w:right="333"/>
        <w:jc w:val="both"/>
        <w:rPr>
          <w:rFonts w:ascii="Palatino Linotype" w:hAnsi="Palatino Linotype"/>
          <w:color w:val="000000" w:themeColor="text1"/>
        </w:rPr>
      </w:pPr>
    </w:p>
    <w:p w14:paraId="49C21E77" w14:textId="059A356F" w:rsidR="0039142B" w:rsidRPr="00424261"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24261">
        <w:rPr>
          <w:rFonts w:ascii="Palatino Linotype" w:hAnsi="Palatino Linotype" w:cs="Arial"/>
          <w:color w:val="000000" w:themeColor="text1"/>
        </w:rPr>
        <w:t xml:space="preserve">Se hace constar que </w:t>
      </w:r>
      <w:r w:rsidR="00025127" w:rsidRPr="00424261">
        <w:rPr>
          <w:rFonts w:ascii="Palatino Linotype" w:eastAsia="Times New Roman" w:hAnsi="Palatino Linotype" w:cs="Arial"/>
          <w:color w:val="000000" w:themeColor="text1"/>
          <w:lang w:val="es-ES"/>
        </w:rPr>
        <w:t>el entonces</w:t>
      </w:r>
      <w:r w:rsidR="00FD7996" w:rsidRPr="00424261">
        <w:rPr>
          <w:rFonts w:ascii="Palatino Linotype" w:eastAsia="Times New Roman" w:hAnsi="Palatino Linotype" w:cs="Arial"/>
          <w:color w:val="000000" w:themeColor="text1"/>
          <w:lang w:val="es-ES"/>
        </w:rPr>
        <w:t xml:space="preserve"> </w:t>
      </w:r>
      <w:r w:rsidR="00FD7996" w:rsidRPr="00424261">
        <w:rPr>
          <w:rFonts w:ascii="Palatino Linotype" w:eastAsia="Times New Roman" w:hAnsi="Palatino Linotype" w:cs="Arial"/>
          <w:b/>
          <w:color w:val="000000" w:themeColor="text1"/>
          <w:lang w:val="es-ES"/>
        </w:rPr>
        <w:t>SOLICITANTE</w:t>
      </w:r>
      <w:r w:rsidRPr="00424261">
        <w:rPr>
          <w:rFonts w:ascii="Palatino Linotype" w:eastAsia="Times New Roman" w:hAnsi="Palatino Linotype" w:cs="Arial"/>
          <w:color w:val="000000" w:themeColor="text1"/>
          <w:lang w:val="es-ES"/>
        </w:rPr>
        <w:t xml:space="preserve"> señaló como modalidad de entrega de la información</w:t>
      </w:r>
      <w:r w:rsidR="0058352F" w:rsidRPr="00424261">
        <w:rPr>
          <w:rFonts w:ascii="Palatino Linotype" w:eastAsia="Times New Roman" w:hAnsi="Palatino Linotype" w:cs="Arial"/>
          <w:color w:val="000000" w:themeColor="text1"/>
          <w:lang w:val="es-ES"/>
        </w:rPr>
        <w:t>, para ambas solicitudes</w:t>
      </w:r>
      <w:r w:rsidRPr="00424261">
        <w:rPr>
          <w:rFonts w:ascii="Palatino Linotype" w:eastAsia="Times New Roman" w:hAnsi="Palatino Linotype" w:cs="Arial"/>
          <w:b/>
          <w:color w:val="000000" w:themeColor="text1"/>
          <w:lang w:val="es-ES"/>
        </w:rPr>
        <w:t>:</w:t>
      </w:r>
      <w:r w:rsidR="001E4152" w:rsidRPr="00424261">
        <w:rPr>
          <w:rFonts w:ascii="Palatino Linotype" w:eastAsia="Times New Roman" w:hAnsi="Palatino Linotype" w:cs="Arial"/>
          <w:b/>
          <w:color w:val="000000" w:themeColor="text1"/>
          <w:lang w:val="es-ES"/>
        </w:rPr>
        <w:t xml:space="preserve"> </w:t>
      </w:r>
      <w:r w:rsidR="001E4152" w:rsidRPr="00424261">
        <w:rPr>
          <w:rFonts w:ascii="Palatino Linotype" w:eastAsia="Times New Roman" w:hAnsi="Palatino Linotype" w:cs="Arial"/>
          <w:b/>
          <w:i/>
          <w:iCs/>
          <w:color w:val="000000" w:themeColor="text1"/>
          <w:lang w:val="es-ES"/>
        </w:rPr>
        <w:t>A través del SAIMEX</w:t>
      </w:r>
      <w:r w:rsidR="00B869B5" w:rsidRPr="00424261">
        <w:rPr>
          <w:rFonts w:ascii="Palatino Linotype" w:eastAsia="Calibri" w:hAnsi="Palatino Linotype" w:cs="Arial"/>
          <w:i/>
          <w:color w:val="000000" w:themeColor="text1"/>
          <w:lang w:val="es-AR"/>
        </w:rPr>
        <w:t>.</w:t>
      </w:r>
    </w:p>
    <w:p w14:paraId="35BA18A9" w14:textId="77777777" w:rsidR="0039142B" w:rsidRPr="0042426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1C9DE248" w:rsidR="0022448D" w:rsidRPr="00424261" w:rsidRDefault="0058352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24261">
        <w:rPr>
          <w:rFonts w:ascii="Palatino Linotype" w:eastAsia="MS Mincho" w:hAnsi="Palatino Linotype" w:cs="Times New Roman"/>
          <w:color w:val="000000" w:themeColor="text1"/>
        </w:rPr>
        <w:t xml:space="preserve">El </w:t>
      </w:r>
      <w:r w:rsidR="002015A4" w:rsidRPr="00424261">
        <w:rPr>
          <w:rFonts w:ascii="Palatino Linotype" w:eastAsia="MS Mincho" w:hAnsi="Palatino Linotype" w:cs="Times New Roman"/>
          <w:color w:val="000000" w:themeColor="text1"/>
        </w:rPr>
        <w:t>veinticinco (25) de noviembre</w:t>
      </w:r>
      <w:r w:rsidR="00762697" w:rsidRPr="00424261">
        <w:rPr>
          <w:rFonts w:ascii="Palatino Linotype" w:eastAsia="MS Mincho" w:hAnsi="Palatino Linotype" w:cs="Times New Roman"/>
          <w:color w:val="000000" w:themeColor="text1"/>
        </w:rPr>
        <w:t xml:space="preserve"> de dos mil veintiuno, </w:t>
      </w:r>
      <w:r w:rsidR="005F1362" w:rsidRPr="00424261">
        <w:rPr>
          <w:rFonts w:ascii="Palatino Linotype" w:hAnsi="Palatino Linotype"/>
          <w:color w:val="000000" w:themeColor="text1"/>
          <w:szCs w:val="14"/>
        </w:rPr>
        <w:t xml:space="preserve">el </w:t>
      </w:r>
      <w:r w:rsidR="005F1362" w:rsidRPr="00424261">
        <w:rPr>
          <w:rFonts w:ascii="Palatino Linotype" w:hAnsi="Palatino Linotype"/>
          <w:b/>
          <w:color w:val="000000" w:themeColor="text1"/>
          <w:szCs w:val="14"/>
        </w:rPr>
        <w:t>SUJETO OBLIGADO</w:t>
      </w:r>
      <w:r w:rsidR="005F1362" w:rsidRPr="00424261">
        <w:rPr>
          <w:rFonts w:ascii="Palatino Linotype" w:hAnsi="Palatino Linotype"/>
          <w:color w:val="000000" w:themeColor="text1"/>
          <w:szCs w:val="14"/>
        </w:rPr>
        <w:t xml:space="preserve"> dio respuesta a </w:t>
      </w:r>
      <w:r w:rsidR="002015A4" w:rsidRPr="00424261">
        <w:rPr>
          <w:rFonts w:ascii="Palatino Linotype" w:hAnsi="Palatino Linotype"/>
          <w:color w:val="000000" w:themeColor="text1"/>
          <w:szCs w:val="14"/>
        </w:rPr>
        <w:t>las</w:t>
      </w:r>
      <w:r w:rsidR="005F1362" w:rsidRPr="00424261">
        <w:rPr>
          <w:rFonts w:ascii="Palatino Linotype" w:hAnsi="Palatino Linotype"/>
          <w:color w:val="000000" w:themeColor="text1"/>
          <w:szCs w:val="14"/>
        </w:rPr>
        <w:t xml:space="preserve"> solicitud</w:t>
      </w:r>
      <w:r w:rsidR="000F5D89" w:rsidRPr="00424261">
        <w:rPr>
          <w:rFonts w:ascii="Palatino Linotype" w:hAnsi="Palatino Linotype"/>
          <w:color w:val="000000" w:themeColor="text1"/>
          <w:szCs w:val="14"/>
        </w:rPr>
        <w:t>es</w:t>
      </w:r>
      <w:r w:rsidR="005F1362" w:rsidRPr="00424261">
        <w:rPr>
          <w:rFonts w:ascii="Palatino Linotype" w:hAnsi="Palatino Linotype"/>
          <w:color w:val="000000" w:themeColor="text1"/>
          <w:szCs w:val="14"/>
        </w:rPr>
        <w:t xml:space="preserve"> de información en los siguientes términos:</w:t>
      </w:r>
    </w:p>
    <w:p w14:paraId="0E759FD5" w14:textId="77777777" w:rsidR="009A593A" w:rsidRPr="00424261" w:rsidRDefault="009A593A" w:rsidP="00B31E90">
      <w:pPr>
        <w:pStyle w:val="Sinespaciado"/>
        <w:ind w:left="567" w:right="567"/>
        <w:jc w:val="right"/>
        <w:rPr>
          <w:rFonts w:ascii="Palatino Linotype" w:hAnsi="Palatino Linotype"/>
          <w:i/>
          <w:noProof/>
          <w:color w:val="000000" w:themeColor="text1"/>
          <w:lang w:eastAsia="es-MX"/>
        </w:rPr>
      </w:pPr>
    </w:p>
    <w:p w14:paraId="19A67E81" w14:textId="4D509FDF" w:rsidR="002015A4" w:rsidRPr="00424261" w:rsidRDefault="002015A4" w:rsidP="000F5D89">
      <w:pPr>
        <w:pStyle w:val="Sinespaciado"/>
        <w:spacing w:line="276" w:lineRule="auto"/>
        <w:ind w:left="567" w:right="567"/>
        <w:jc w:val="both"/>
        <w:rPr>
          <w:rFonts w:ascii="Palatino Linotype" w:hAnsi="Palatino Linotype"/>
          <w:b/>
          <w:bCs/>
          <w:iCs/>
          <w:noProof/>
          <w:color w:val="000000" w:themeColor="text1"/>
          <w:sz w:val="22"/>
          <w:szCs w:val="22"/>
          <w:lang w:val="es-MX" w:eastAsia="es-MX"/>
        </w:rPr>
      </w:pPr>
      <w:r w:rsidRPr="00424261">
        <w:rPr>
          <w:rFonts w:ascii="Palatino Linotype" w:hAnsi="Palatino Linotype"/>
          <w:b/>
          <w:bCs/>
          <w:iCs/>
          <w:noProof/>
          <w:color w:val="000000" w:themeColor="text1"/>
          <w:sz w:val="22"/>
          <w:szCs w:val="22"/>
          <w:lang w:val="es-MX" w:eastAsia="es-MX"/>
        </w:rPr>
        <w:t>Respuesta a la solicitud de información 00505/CUAUTIZC/IP/2021:</w:t>
      </w:r>
    </w:p>
    <w:p w14:paraId="7C9D2118" w14:textId="77777777" w:rsidR="002015A4" w:rsidRPr="00424261" w:rsidRDefault="005F1362" w:rsidP="002015A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24261">
        <w:rPr>
          <w:rFonts w:ascii="Palatino Linotype" w:hAnsi="Palatino Linotype"/>
          <w:i/>
          <w:noProof/>
          <w:color w:val="000000" w:themeColor="text1"/>
          <w:sz w:val="22"/>
          <w:szCs w:val="22"/>
          <w:lang w:val="es-MX" w:eastAsia="es-MX"/>
        </w:rPr>
        <w:t>“</w:t>
      </w:r>
      <w:r w:rsidR="002015A4" w:rsidRPr="00424261">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0B928D" w14:textId="77777777" w:rsidR="002015A4" w:rsidRPr="00424261" w:rsidRDefault="002015A4" w:rsidP="002015A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24261">
        <w:rPr>
          <w:rFonts w:ascii="Palatino Linotype" w:hAnsi="Palatino Linotype"/>
          <w:i/>
          <w:noProof/>
          <w:color w:val="000000" w:themeColor="text1"/>
          <w:sz w:val="22"/>
          <w:szCs w:val="22"/>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(1)Dirección General de Administración y (2)Comisaria General de Seguridad Pública y Tránsito. 1.- “Con fundamento en el artículo 6° de la Constitución </w:t>
      </w:r>
      <w:r w:rsidRPr="00424261">
        <w:rPr>
          <w:rFonts w:ascii="Palatino Linotype" w:hAnsi="Palatino Linotype"/>
          <w:i/>
          <w:noProof/>
          <w:color w:val="000000" w:themeColor="text1"/>
          <w:sz w:val="22"/>
          <w:szCs w:val="22"/>
          <w:lang w:val="es-MX" w:eastAsia="es-MX"/>
        </w:rPr>
        <w:lastRenderedPageBreak/>
        <w:t xml:space="preserve">Política de los Estados Unidos Mexicanos; 5° de la Constitución Política del Estado Libre y Soberano de México; 3 fracciones XX y XXIV, 12, 20, 23 fracción IV, 24 fracción XI y XXV, 25 y 52 de la Ley de Transparencia y Acceso a la Información Pública del Estado de México y Municipios; y en atención a la Solicitud de Información Pública marcada con el número de folio 00505/CUAUTIZC/IP/2021 turnada a través del Sistema SAIMEX a esta Unidad Administrativa, en la cual se requiere lo siguiente: DESCRIPCIÓN DE LA INFORMACIÓN SOLICITADA: “SOLICITO POR ESTE MEDIO LOS NOMBRES COMPLETOS DE LOS POLICIAS MUNICIPALES QUE ASESINARON AL ACTOR OCTAVIO OCAÑA, ASI COMO EL NUMERO DE PATRULLA QUE TRAIAN, ASI COMO SUS CREDENCIALES QUE LOS ACREDITAN COMO POLICIAS, NECESITO EL PARTE DE NOVEDADES DE LOS DIAS 14,15 Y 16 DE OCTUBRE DEL PRESENTE AÑO. SOLICITO TAMBIEN SUS DIRECCIONES PERSONALES EN QUE HORARIO TRABAJAN EN QUE SERVICIO SE ENCUENTRAN TRABAJANDO QUE NUMERO DE UNIDAD MANEJAN SUS EXAMENES DE CONTROL DE CONFIANZA SU CREDENCIAL PARA LA PORTACION DE ARMA SUS RECIBOS DE NOMINA DESDE QUE TRABAJAN COMO POLICIAS MUNICIPALES SI LA POLICIA QUE SE ROBO LA EXCLAVA DEL ACTOR TIENE ALGUNA SITUACION JURIDICA CON ELCONSEJO DE HONOR Y JUSTICIA POR ENDE LA INFORMACION QUE ESTOY SOLICITANDO NO ES NINGUNA INFORMACION CONFIDENCIAL O RESERVADA POR LO QUE EVITEN HACER ALGUN ACUERDO DE CLASIFICACION DE INFORMACION” (Sic) Al respecto le comento que, en atención al artículo 12 de la Ley de Transparencia y Acceso a la Información Pública del Estado de México y Municipios, que establece que los sujetos obligados tienen el deber de entregar la información pública solicitada en la forma en que la generaron, poseen o administran; por otro lado, el artículo 24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esta. Así, queda de manifiesto que se considera información pública al conjunto de datos de autoridades o particulares que posee cualquier autoridad, obtenidos en virtud del ejercicio de sus funciones de derecho público; no obstante, el acceso a la información pública no es ilimitado, es decir, existen reglas para su ejercicio, dentro de las cuales se determina que excepcionalmente, la información pública, podrá ser clasificada como reservada temporalmente por razones </w:t>
      </w:r>
      <w:r w:rsidRPr="00424261">
        <w:rPr>
          <w:rFonts w:ascii="Palatino Linotype" w:hAnsi="Palatino Linotype"/>
          <w:i/>
          <w:noProof/>
          <w:color w:val="000000" w:themeColor="text1"/>
          <w:sz w:val="22"/>
          <w:szCs w:val="22"/>
          <w:lang w:val="es-MX" w:eastAsia="es-MX"/>
        </w:rPr>
        <w:lastRenderedPageBreak/>
        <w:t xml:space="preserve">de interés público, en los términos de las causas legítimas y estrictamente necesarias previstas por la Ley de la materia; así como confidencial, tratándose principalmente de aquella que refiera a la información privada y datos personales concernientes a una persona física; misma que es definida en el artículo 3 fracciones XXI y XXIV de la Ley en cita. Luego entonces, tenemos que del análisis minucioso de la información requerida en su solicitud y la relación que esta tiene con los sucesos ocurridos en torno al personaje antes mencionado, se determinó, a petición del Servidor Público Habilitado de la Comisaría General de Seguridad Pública y Tránsito Municipal, en la Sexagésima Cuarta Sesión del Comité de Transparencia de este Sujeto Obligado con carácter de Extraordinaria de fecha veinticinco de noviembre del presente año, clasificar la información con el carácter de “Reservada”, emitiendo el Acuerdo de Clasificación número 058/CUAUTIZC/CT/CGSPYT/2021, en la que de manera fundada y motivada expone las razones por las cuales no es posible hacer entrega de lo solicitado. Sin otro en particular, quedo de Usted. ”SIC 2.- “Por este medio, me permito enviarle un cordial saludo y atento a lo dispuesto por artículos 6 de la Constitución Política de los Estados Unidos Mexicanos; 5 párrafo décimo séptimo, décimo octavo y décimo noveno de la Constitución Política del Estado Libre y Soberano de México; así como los artículos 1, 4,12 segundo párrafo, 23 fracción IV, 24 tercer párrafo, 53, 59, 88 y 173 todos de la Ley de Transparencia y Acceso a la Información Pública del Estado de México y Municipios; me refiero al diverso de fecha 03 de noviembre del año dos mil veintiuno, relativo al número de folio 00505/CUAUTIZC/IP/2021, la cual fue turnada a esta Comisaría General de Seguridad Pública y Tránsito de Cuautitlán Izcalli, Estado de México, a través del Sistema SAIMEX, mediante la cual se requiere la siguiente información: DESCRIPCIÓN DE LA INFORMACIÓN SOLICITADA: SOLICITO POR ESTE MEDIO LOS NOMBRES COMPLETOS DE LOS POLICIAS MUNICIPALES QUE ASESINARON AL ACTOR OCTAVIO OCAÑA, ASI COMO EL NUMERO DE PATRULLA QUE TRAIAN, ASI COMO SUS CREDENCIALES QUE LOS ACREDITAN COMO POLICIAS, NECESITO EL PARTE DE NOVEDADES DE LOS DIAS 14,15 Y 16 DE OCTUBRE DEL PRESENTE AÑO. SOLICITO TAMBIEN SUS DIRECCIONES PERSONALES EN QUE HORARIO TRABAJAN EN QUE SERVICIO SE ENCUENTRAN TRABAJANDO QUE NUMERO DE UNIDAD MANEJAN SUS EXAMENES DE CONTROL DE CONFIANZA SU CREDENCIAL PARA LA PORTACION DE ARMA SUS RECIBOS DE NOMINA DESDE QUE TRABAJAN COMO POLICIAS MUNICIPALES SI LA POLICIA QUE SE ROBO LA EXCLAVA DEL ACTOR TIENE ALGUNA SITUACION </w:t>
      </w:r>
      <w:r w:rsidRPr="00424261">
        <w:rPr>
          <w:rFonts w:ascii="Palatino Linotype" w:hAnsi="Palatino Linotype"/>
          <w:i/>
          <w:noProof/>
          <w:color w:val="000000" w:themeColor="text1"/>
          <w:sz w:val="22"/>
          <w:szCs w:val="22"/>
          <w:lang w:val="es-MX" w:eastAsia="es-MX"/>
        </w:rPr>
        <w:lastRenderedPageBreak/>
        <w:t>JURIDICA CON ELCONSEJO DE HONOR Y JUSTICIA POR ENDE LA INFORMACION QUE ESTOY SOLICITANDO NO ES NINGUNA INFORMACION CONFIDENCIAL O RESERVADA POR LO QUE EVITEN HACER ALGUN ACUERDO DE CLASIFICACION DE INFORMACION “SIC Al respecto y encontrándome dentro del término concedido para ello, me permito desahogar en la forma y términos siguientes: Me permito informarle que lo requerido en la solicitud antes descrita, es de carácter Reservado de conformidad con base en el Acuerdo 058/CUAUTIZC/CT/CGSPT/2021, de fecha 25 de noviembre de 2021, obedece a que si se da a conocer la información, comprometería la efectividad de las estrategias en materia de seguridad y su divulgación permitiría que miembros de la delincuencia los conozcan, pudiendo con ello anticiparse a las acciones que realizan los elementos, pondría en grave Riesgo la Seguridad Municipal y causaría un daño sustancial a las estrategias en cuanto a combate a la delincuencia, a la ciudadanía y a los mismos elementos que constituyen la Seguridad Pública de Cuautitlán Izcalli, Estado de México, con base en lo dispuesto en los artículos 140, fracciones I,IV,VI,VIII,IX,X,XI, y 141 de la Ley de Transparencia y Acceso a la Información Pública del Estado de México y Municipios. Es por las razones antes esgrimidas, que es de vital importancia mantener como confidencial y reservada la información que solicita. Se anexa el acuerdo antes mencionado en versión y formato PDF al presente ocurso.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25EE6D2C" w14:textId="77777777" w:rsidR="002015A4" w:rsidRPr="00424261" w:rsidRDefault="002015A4" w:rsidP="002015A4">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E01F660" w14:textId="4C2E43DE" w:rsidR="002015A4" w:rsidRPr="00424261" w:rsidRDefault="002015A4" w:rsidP="002015A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24261">
        <w:rPr>
          <w:rFonts w:ascii="Palatino Linotype" w:hAnsi="Palatino Linotype"/>
          <w:i/>
          <w:noProof/>
          <w:color w:val="000000" w:themeColor="text1"/>
          <w:sz w:val="22"/>
          <w:szCs w:val="22"/>
          <w:lang w:val="es-MX" w:eastAsia="es-MX"/>
        </w:rPr>
        <w:t>ATENTAMENTE</w:t>
      </w:r>
    </w:p>
    <w:p w14:paraId="35A36DE0" w14:textId="0C55A1D6" w:rsidR="0039142B" w:rsidRPr="00424261" w:rsidRDefault="002015A4" w:rsidP="002015A4">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424261">
        <w:rPr>
          <w:rFonts w:ascii="Palatino Linotype" w:hAnsi="Palatino Linotype"/>
          <w:i/>
          <w:noProof/>
          <w:color w:val="000000" w:themeColor="text1"/>
          <w:sz w:val="22"/>
          <w:szCs w:val="22"/>
          <w:lang w:val="es-MX" w:eastAsia="es-MX"/>
        </w:rPr>
        <w:t>LIC. HUGO INFANTE LLERENAS</w:t>
      </w:r>
      <w:r w:rsidR="005F1362" w:rsidRPr="00424261">
        <w:rPr>
          <w:rFonts w:ascii="Palatino Linotype" w:hAnsi="Palatino Linotype"/>
          <w:i/>
          <w:noProof/>
          <w:color w:val="000000" w:themeColor="text1"/>
          <w:sz w:val="22"/>
          <w:szCs w:val="22"/>
          <w:lang w:val="es-MX" w:eastAsia="es-MX"/>
        </w:rPr>
        <w:t>”</w:t>
      </w:r>
      <w:r w:rsidR="00EB3DF7" w:rsidRPr="00424261">
        <w:rPr>
          <w:rFonts w:ascii="Palatino Linotype" w:hAnsi="Palatino Linotype"/>
          <w:noProof/>
          <w:color w:val="000000" w:themeColor="text1"/>
          <w:sz w:val="22"/>
          <w:szCs w:val="22"/>
          <w:lang w:val="es-MX" w:eastAsia="es-MX"/>
        </w:rPr>
        <w:t xml:space="preserve"> (Sic.)</w:t>
      </w:r>
    </w:p>
    <w:p w14:paraId="499BC2B4" w14:textId="778943A3" w:rsidR="002015A4" w:rsidRPr="00424261" w:rsidRDefault="002015A4" w:rsidP="000F5D89">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3176CD58" w14:textId="5664619E" w:rsidR="002015A4" w:rsidRPr="00424261" w:rsidRDefault="002015A4" w:rsidP="002015A4">
      <w:pPr>
        <w:pStyle w:val="Sinespaciado"/>
        <w:spacing w:line="276" w:lineRule="auto"/>
        <w:ind w:left="567" w:right="567"/>
        <w:jc w:val="both"/>
        <w:rPr>
          <w:rFonts w:ascii="Palatino Linotype" w:hAnsi="Palatino Linotype"/>
          <w:b/>
          <w:bCs/>
          <w:iCs/>
          <w:noProof/>
          <w:color w:val="000000" w:themeColor="text1"/>
          <w:sz w:val="22"/>
          <w:szCs w:val="22"/>
          <w:lang w:val="es-MX" w:eastAsia="es-MX"/>
        </w:rPr>
      </w:pPr>
      <w:r w:rsidRPr="00424261">
        <w:rPr>
          <w:rFonts w:ascii="Palatino Linotype" w:hAnsi="Palatino Linotype"/>
          <w:b/>
          <w:bCs/>
          <w:iCs/>
          <w:noProof/>
          <w:color w:val="000000" w:themeColor="text1"/>
          <w:sz w:val="22"/>
          <w:szCs w:val="22"/>
          <w:lang w:val="es-MX" w:eastAsia="es-MX"/>
        </w:rPr>
        <w:t>Respuesta a la solicitud de información 00506/CUAUTIZC/IP/2021:</w:t>
      </w:r>
    </w:p>
    <w:p w14:paraId="47EC9F58" w14:textId="77777777" w:rsidR="002015A4" w:rsidRPr="00424261" w:rsidRDefault="002015A4" w:rsidP="002015A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24261">
        <w:rPr>
          <w:rFonts w:ascii="Palatino Linotype" w:hAnsi="Palatino Linotype"/>
          <w:i/>
          <w:noProof/>
          <w:color w:val="000000" w:themeColor="text1"/>
          <w:sz w:val="22"/>
          <w:szCs w:val="22"/>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w:t>
      </w:r>
      <w:r w:rsidRPr="00424261">
        <w:rPr>
          <w:rFonts w:ascii="Palatino Linotype" w:hAnsi="Palatino Linotype"/>
          <w:i/>
          <w:noProof/>
          <w:color w:val="000000" w:themeColor="text1"/>
          <w:sz w:val="22"/>
          <w:szCs w:val="22"/>
          <w:lang w:val="es-MX" w:eastAsia="es-MX"/>
        </w:rPr>
        <w:lastRenderedPageBreak/>
        <w:t xml:space="preserve">Pública del Estado de México y Municipios; le informo la contestación que a su solicitud la efectuó, (1)Comisaria General de Seguridad Pública y Tránsito y (2)Oficina de Presidencia 1.- “Por este medio, me permito enviarle un cordial saludo y atento a lo dispuesto por artículos 6 de la Constitución Política de los Estados Unidos Mexicanos; 5 párrafo décimo séptimo, décimo octavo y décimo noveno de la Constitución Política del Estado Libre y Soberano de México; así como los artículos 1, 4,12 segundo párrafo, 23 fracción IV, 24 tercer párrafo, 53, 59, 88 y 173 todos de la Ley de Transparencia y Acceso a la Información Pública del Estado de México y Municipios; me refiero al diverso de fecha 03 de noviembre del año dos mil veintiuno, relativo al número de folio 00506/CUAUTIZC/IP/2021, la cual fue turnada a esta Comisaría General de Seguridad Pública y Tránsito de Cuautitlán Izcalli, Estado de México, a través del Sistema SAIMEX, mediante la cual se requiere la siguiente información: DESCRIPCIÓN DE LA INFORMACIÓN SOLICITADA: “SOLICITO EL INFORME QUE REALIZA EL COMISARIO DE SEGURIDAD PUBLICA, QUE ACCIONES A ECHO EL PRESIDENTE MUNICIPAL ANTE ESTE LAMENTABLE ECHO, DEL ASESINATO DEL ACTOR, “SIC Al respecto y encontrándome dentro del término concedido para ello, me permito desahogar en la forma y términos siguientes: Me permito informarle que lo requerido en la solicitud antes descrita, es de carácter Reservado de conformidad con base en el Acuerdo 058/CUAUTIZC/CT/CGSPT/2021, de fecha 25 de noviembre de 2021, obedece a que si se da a conocer la información, comprometería la efectividad de las estrategias en materia de seguridad y su divulgación permitiría que miembros de la delincuencia los conozcan, pudiendo con ello anticiparse a las acciones que realizan los elementos, pondría en grave Riesgo la Seguridad Municipal y causaría un daño sustancial a las estrategias en cuanto a combate a la delincuencia, a la ciudadanía y a los mismos elementos que constituyen la Seguridad Pública de Cuautitlán Izcalli, Estado de México, con base en lo dispuesto en los artículos 140, fracciones I,IV,VI,VIII,IX,X,XI, y 141 de la Ley de Transparencia y Acceso a la Información Pública del Estado de México y Municipios. . Es por las razones antes esgrimidas, que es de vital importancia mantener como confidencial y reservada la información que solicita. Se anexa el acuerdo antes mencionado en versión y formato PDF al presente ocurso. ”SIC 2.- “Área: Oficina de Presidencia. Oficio: PM-OP/00460 /2021 Asunto: El que se indica Cuautitlán Izcalli, Estado de México, 23 de noviembre del 2021 LIC. HUGO INFANTE LLENERAS TITULAR DE LA UNIDAD DE TRANSPARENCIA P R E S E N T E Por medio del presente, en atención y seguimiento a la solicitud N° 00506 /CUATIZC/IP/2021 de fecha 03 de noviembre de 2021 recibido </w:t>
      </w:r>
      <w:r w:rsidRPr="00424261">
        <w:rPr>
          <w:rFonts w:ascii="Palatino Linotype" w:hAnsi="Palatino Linotype"/>
          <w:i/>
          <w:noProof/>
          <w:color w:val="000000" w:themeColor="text1"/>
          <w:sz w:val="22"/>
          <w:szCs w:val="22"/>
          <w:lang w:val="es-MX" w:eastAsia="es-MX"/>
        </w:rPr>
        <w:lastRenderedPageBreak/>
        <w:t xml:space="preserve">a través de la plataforma electrónica SAIMEX en la Oficina de Presidencia, mediante el cual “SOLICITO EL INFORME QUE REALIZA EL COMISARIO DE SEGURIDAD PUBLICA, QUE ACCIONES A ECHO EL PRESIDENTE MUNICIPAL ANTE ESTE LAMENTABLE ECHO, DEL ASESINATO DEL ACTOR, “SIC , al respecto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todos de la Ley de Transparencia y Acceso a la Información Pública del Estado de México y Municipios, expongo: El gobierno Municipal a través de la Comisaría de Seguridad Pública y Tránsito, informa que de acuerdo al proceso de investigación que realiza la Fiscalía General de Justicia del Estado de México (FGJEM) en torno al fallecimiento del actor mexicano Octavio “N”, es respetuoso y seguirá colaborando con las autoridades competentes. El lamentable suceso acontecido en el territorio Municipal ha generado diversas reacciones en las redes sociales, por tal motivo el comisario de Seguridad Pública y Tránsito Municipal, Rodrigo Hernández García, hace del conocimiento público que los dos policías pertenecientes a la corporación y que participaron en la persecución del vehículo del ahora occiso, actuaron de acuerdo a los protocolos establecidos, tal y como ha quedado asentado en la carpeta de investigación que realiza la Fiscalía mexiquense. De igual manera, manifiesta que los oficiales fueron llamados para rendir su declaración como testigos y a las armas se les realizaron las pruebas periciales pertinentes, asimismo la unidad en la que viajaban quedó a disposición de la autoridad para determinar si el vehículo del hoy fallecido fue impactado por la unidad oficial, datos que están asentados en el cuerpo de la investigación. Conforme a los artículos 27 fracción I y 28 fracción I del Reglamento Interior de la Administración Pública Municipal le pido atentamente gire sus apreciables instrucciones a quien corresponda para que se tenga por cumplimentado en tiempo y forma el requerimiento de mérito a esta oficina de presidencia. Sin más por el momento, reciba un cordial saludo. A T E N T A M E N T E ______________________________________ LIC. DELIA MARIANA RODRIGUEZ OROZCO JEFA DE LA OFICINA DE PRESIDENCIA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w:t>
      </w:r>
      <w:r w:rsidRPr="00424261">
        <w:rPr>
          <w:rFonts w:ascii="Palatino Linotype" w:hAnsi="Palatino Linotype"/>
          <w:i/>
          <w:noProof/>
          <w:color w:val="000000" w:themeColor="text1"/>
          <w:sz w:val="22"/>
          <w:szCs w:val="22"/>
          <w:lang w:val="es-MX" w:eastAsia="es-MX"/>
        </w:rPr>
        <w:lastRenderedPageBreak/>
        <w:t>la información para los efectos legales correspondientes, a través del sistema denominado SAIMEX.</w:t>
      </w:r>
    </w:p>
    <w:p w14:paraId="26354982" w14:textId="77777777" w:rsidR="002015A4" w:rsidRPr="00424261" w:rsidRDefault="002015A4" w:rsidP="002015A4">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BA9C90F" w14:textId="7A0B7FDD" w:rsidR="002015A4" w:rsidRPr="00424261" w:rsidRDefault="002015A4" w:rsidP="002015A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24261">
        <w:rPr>
          <w:rFonts w:ascii="Palatino Linotype" w:hAnsi="Palatino Linotype"/>
          <w:i/>
          <w:noProof/>
          <w:color w:val="000000" w:themeColor="text1"/>
          <w:sz w:val="22"/>
          <w:szCs w:val="22"/>
          <w:lang w:val="es-MX" w:eastAsia="es-MX"/>
        </w:rPr>
        <w:t>ATENTAMENTE</w:t>
      </w:r>
    </w:p>
    <w:p w14:paraId="0D841DFA" w14:textId="1B933957" w:rsidR="002015A4" w:rsidRPr="00424261" w:rsidRDefault="002015A4" w:rsidP="002015A4">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424261">
        <w:rPr>
          <w:rFonts w:ascii="Palatino Linotype" w:hAnsi="Palatino Linotype"/>
          <w:i/>
          <w:noProof/>
          <w:color w:val="000000" w:themeColor="text1"/>
          <w:sz w:val="22"/>
          <w:szCs w:val="22"/>
          <w:lang w:val="es-MX" w:eastAsia="es-MX"/>
        </w:rPr>
        <w:t>LIC. HUGO INFANTE LLERENAS”</w:t>
      </w:r>
      <w:r w:rsidRPr="00424261">
        <w:rPr>
          <w:rFonts w:ascii="Palatino Linotype" w:hAnsi="Palatino Linotype"/>
          <w:noProof/>
          <w:color w:val="000000" w:themeColor="text1"/>
          <w:sz w:val="22"/>
          <w:szCs w:val="22"/>
          <w:lang w:val="es-MX" w:eastAsia="es-MX"/>
        </w:rPr>
        <w:t xml:space="preserve"> (Sic.)</w:t>
      </w:r>
    </w:p>
    <w:p w14:paraId="2D68519B" w14:textId="77777777" w:rsidR="0097210F" w:rsidRPr="00424261" w:rsidRDefault="0097210F" w:rsidP="009A593A">
      <w:pPr>
        <w:pStyle w:val="Sinespaciado"/>
        <w:ind w:right="567"/>
        <w:jc w:val="both"/>
        <w:rPr>
          <w:rFonts w:ascii="Palatino Linotype" w:hAnsi="Palatino Linotype"/>
          <w:noProof/>
          <w:color w:val="000000" w:themeColor="text1"/>
          <w:lang w:val="es-MX" w:eastAsia="es-MX"/>
        </w:rPr>
      </w:pPr>
    </w:p>
    <w:p w14:paraId="170BD45E" w14:textId="6DC2780B" w:rsidR="00022D89" w:rsidRPr="00424261" w:rsidRDefault="00AC0F85"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24261">
        <w:rPr>
          <w:rFonts w:ascii="Palatino Linotype" w:hAnsi="Palatino Linotype"/>
          <w:color w:val="000000" w:themeColor="text1"/>
          <w:szCs w:val="22"/>
        </w:rPr>
        <w:t>Acompañando</w:t>
      </w:r>
      <w:r w:rsidR="00022D89" w:rsidRPr="00424261">
        <w:rPr>
          <w:rFonts w:ascii="Palatino Linotype" w:hAnsi="Palatino Linotype"/>
          <w:color w:val="000000" w:themeColor="text1"/>
          <w:szCs w:val="22"/>
        </w:rPr>
        <w:t xml:space="preserve"> </w:t>
      </w:r>
      <w:r w:rsidRPr="00424261">
        <w:rPr>
          <w:rFonts w:ascii="Palatino Linotype" w:hAnsi="Palatino Linotype"/>
          <w:color w:val="000000" w:themeColor="text1"/>
          <w:szCs w:val="22"/>
        </w:rPr>
        <w:t xml:space="preserve">al acuse de respuesta a la solicitud de información </w:t>
      </w:r>
      <w:r w:rsidR="00D21CC1" w:rsidRPr="00424261">
        <w:rPr>
          <w:rFonts w:ascii="Palatino Linotype" w:hAnsi="Palatino Linotype"/>
          <w:b/>
          <w:bCs/>
          <w:color w:val="000000" w:themeColor="text1"/>
          <w:szCs w:val="22"/>
        </w:rPr>
        <w:t>00505/CUAUTIZC/IP/2021</w:t>
      </w:r>
      <w:r w:rsidRPr="00424261">
        <w:rPr>
          <w:rFonts w:ascii="Palatino Linotype" w:hAnsi="Palatino Linotype"/>
          <w:color w:val="000000" w:themeColor="text1"/>
          <w:szCs w:val="22"/>
        </w:rPr>
        <w:t xml:space="preserve">, el </w:t>
      </w:r>
      <w:r w:rsidRPr="00424261">
        <w:rPr>
          <w:rFonts w:ascii="Palatino Linotype" w:hAnsi="Palatino Linotype"/>
          <w:b/>
          <w:bCs/>
          <w:color w:val="000000" w:themeColor="text1"/>
          <w:szCs w:val="22"/>
        </w:rPr>
        <w:t>SUJETO OBLIGADO</w:t>
      </w:r>
      <w:r w:rsidR="002015A4" w:rsidRPr="00424261">
        <w:rPr>
          <w:rFonts w:ascii="Palatino Linotype" w:hAnsi="Palatino Linotype"/>
          <w:color w:val="000000" w:themeColor="text1"/>
          <w:szCs w:val="22"/>
        </w:rPr>
        <w:t xml:space="preserve"> hizo entrega de los siguientes archivos electrónicos</w:t>
      </w:r>
      <w:r w:rsidR="00022D89" w:rsidRPr="00424261">
        <w:rPr>
          <w:rFonts w:ascii="Palatino Linotype" w:hAnsi="Palatino Linotype"/>
          <w:color w:val="000000" w:themeColor="text1"/>
          <w:szCs w:val="22"/>
        </w:rPr>
        <w:t>:</w:t>
      </w:r>
    </w:p>
    <w:p w14:paraId="2830739B" w14:textId="21551D29" w:rsidR="00D70F86" w:rsidRPr="00424261" w:rsidRDefault="006B31E7" w:rsidP="0092310A">
      <w:pPr>
        <w:pStyle w:val="Prrafodelista"/>
        <w:numPr>
          <w:ilvl w:val="0"/>
          <w:numId w:val="4"/>
        </w:numPr>
        <w:spacing w:line="360" w:lineRule="auto"/>
        <w:ind w:left="1134"/>
        <w:contextualSpacing w:val="0"/>
        <w:jc w:val="both"/>
        <w:rPr>
          <w:rFonts w:ascii="Palatino Linotype" w:hAnsi="Palatino Linotype"/>
          <w:color w:val="000000" w:themeColor="text1"/>
          <w:szCs w:val="22"/>
        </w:rPr>
      </w:pPr>
      <w:bookmarkStart w:id="4" w:name="_Hlk92971607"/>
      <w:r w:rsidRPr="00424261">
        <w:rPr>
          <w:rFonts w:ascii="Palatino Linotype" w:hAnsi="Palatino Linotype" w:cs="Arial"/>
          <w:b/>
          <w:i/>
        </w:rPr>
        <w:t>“</w:t>
      </w:r>
      <w:r w:rsidR="0000001E" w:rsidRPr="00424261">
        <w:rPr>
          <w:rFonts w:ascii="Palatino Linotype" w:hAnsi="Palatino Linotype" w:cs="Arial"/>
          <w:b/>
          <w:i/>
        </w:rPr>
        <w:t>DGA_OF_2242_2021</w:t>
      </w:r>
      <w:r w:rsidR="00794F7E" w:rsidRPr="00424261">
        <w:rPr>
          <w:rFonts w:ascii="Palatino Linotype" w:hAnsi="Palatino Linotype" w:cs="Arial"/>
          <w:b/>
          <w:i/>
        </w:rPr>
        <w:t>.pdf</w:t>
      </w:r>
      <w:r w:rsidRPr="00424261">
        <w:rPr>
          <w:rFonts w:ascii="Palatino Linotype" w:hAnsi="Palatino Linotype" w:cs="Arial"/>
          <w:b/>
          <w:i/>
        </w:rPr>
        <w:t>”</w:t>
      </w:r>
      <w:r w:rsidRPr="00424261">
        <w:rPr>
          <w:rFonts w:ascii="Palatino Linotype" w:hAnsi="Palatino Linotype" w:cs="Arial"/>
        </w:rPr>
        <w:t xml:space="preserve">: Documento </w:t>
      </w:r>
      <w:bookmarkEnd w:id="4"/>
      <w:r w:rsidR="0000001E" w:rsidRPr="00424261">
        <w:rPr>
          <w:rFonts w:ascii="Palatino Linotype" w:hAnsi="Palatino Linotype" w:cs="Arial"/>
        </w:rPr>
        <w:t xml:space="preserve">de dos fojas consistente en la copia digitalizada del oficio DGA/OF/2242/2021, de veinticinco (25) de noviembre de dos mil veintiuno, emitido por el Director General de Administración, y dirigido al Titular de la Unidad de Transparencia del </w:t>
      </w:r>
      <w:r w:rsidR="0000001E" w:rsidRPr="00424261">
        <w:rPr>
          <w:rFonts w:ascii="Palatino Linotype" w:hAnsi="Palatino Linotype" w:cs="Arial"/>
          <w:b/>
          <w:bCs/>
        </w:rPr>
        <w:t>SUJETO OBLIGADO</w:t>
      </w:r>
      <w:r w:rsidR="0000001E" w:rsidRPr="00424261">
        <w:rPr>
          <w:rFonts w:ascii="Palatino Linotype" w:hAnsi="Palatino Linotype" w:cs="Arial"/>
        </w:rPr>
        <w:t xml:space="preserve">, mediante el cual, </w:t>
      </w:r>
      <w:r w:rsidR="00EA5211" w:rsidRPr="00424261">
        <w:rPr>
          <w:rFonts w:ascii="Palatino Linotype" w:hAnsi="Palatino Linotype" w:cs="Arial"/>
        </w:rPr>
        <w:t>informa que el Comité de Transparencia determinó la reserva de la información solicitada, en su Sexagésima Cuarta Sesión , celebrada el veinticinco (25) de noviembre de dos mil veintiuno.</w:t>
      </w:r>
    </w:p>
    <w:p w14:paraId="594C7526" w14:textId="7B6564CF" w:rsidR="00EA5211" w:rsidRPr="00424261" w:rsidRDefault="00EA5211" w:rsidP="0092310A">
      <w:pPr>
        <w:pStyle w:val="Prrafodelista"/>
        <w:numPr>
          <w:ilvl w:val="0"/>
          <w:numId w:val="4"/>
        </w:numPr>
        <w:spacing w:line="360" w:lineRule="auto"/>
        <w:ind w:left="1134"/>
        <w:contextualSpacing w:val="0"/>
        <w:jc w:val="both"/>
        <w:rPr>
          <w:rFonts w:ascii="Palatino Linotype" w:hAnsi="Palatino Linotype"/>
          <w:color w:val="000000" w:themeColor="text1"/>
          <w:szCs w:val="22"/>
        </w:rPr>
      </w:pPr>
      <w:r w:rsidRPr="00424261">
        <w:rPr>
          <w:rFonts w:ascii="Palatino Linotype" w:hAnsi="Palatino Linotype" w:cs="Arial"/>
          <w:b/>
          <w:bCs/>
          <w:i/>
          <w:iCs/>
        </w:rPr>
        <w:t>“DESAHOGO 505.pdf”</w:t>
      </w:r>
      <w:r w:rsidRPr="00424261">
        <w:rPr>
          <w:rFonts w:ascii="Palatino Linotype" w:hAnsi="Palatino Linotype" w:cs="Arial"/>
        </w:rPr>
        <w:t xml:space="preserve">: Documento de una foja consistente en la copia digitalizada del oficio número DGSPYT/783/2021, de veinticinco (25) de noviembre de dos mil veintiuno, emitido por el Comisario General de Seguridad Pública y Tránsito, y dirigido al Titular de la Unidad de Transparencia del </w:t>
      </w:r>
      <w:r w:rsidRPr="00424261">
        <w:rPr>
          <w:rFonts w:ascii="Palatino Linotype" w:hAnsi="Palatino Linotype" w:cs="Arial"/>
          <w:b/>
          <w:bCs/>
        </w:rPr>
        <w:t>SUJETO OBLIGADO</w:t>
      </w:r>
      <w:r w:rsidRPr="00424261">
        <w:rPr>
          <w:rFonts w:ascii="Palatino Linotype" w:hAnsi="Palatino Linotype" w:cs="Arial"/>
        </w:rPr>
        <w:t>, mediante el cual, informa de igual manera que la información solicitada fue reservada mediante acuerdo de veinticinco (25) de noviembre de dos mil veintiuno.</w:t>
      </w:r>
    </w:p>
    <w:p w14:paraId="7BD95C3F" w14:textId="362E7624" w:rsidR="00EA5211" w:rsidRPr="00424261" w:rsidRDefault="00EA5211" w:rsidP="0092310A">
      <w:pPr>
        <w:pStyle w:val="Prrafodelista"/>
        <w:numPr>
          <w:ilvl w:val="0"/>
          <w:numId w:val="4"/>
        </w:numPr>
        <w:spacing w:line="360" w:lineRule="auto"/>
        <w:ind w:left="1134"/>
        <w:contextualSpacing w:val="0"/>
        <w:jc w:val="both"/>
        <w:rPr>
          <w:rFonts w:ascii="Palatino Linotype" w:hAnsi="Palatino Linotype"/>
          <w:color w:val="000000" w:themeColor="text1"/>
          <w:szCs w:val="22"/>
        </w:rPr>
      </w:pPr>
      <w:r w:rsidRPr="00424261">
        <w:rPr>
          <w:rFonts w:ascii="Palatino Linotype" w:hAnsi="Palatino Linotype" w:cs="Arial"/>
          <w:b/>
          <w:bCs/>
          <w:i/>
          <w:iCs/>
        </w:rPr>
        <w:t>“ACUERDO RESERVA 058 -.pdf”</w:t>
      </w:r>
      <w:r w:rsidRPr="00424261">
        <w:rPr>
          <w:rFonts w:ascii="Palatino Linotype" w:hAnsi="Palatino Linotype" w:cs="Arial"/>
        </w:rPr>
        <w:t xml:space="preserve">: Documento de ocho fojas consistente en la copia digitalizada del </w:t>
      </w:r>
      <w:r w:rsidR="00E5237C" w:rsidRPr="00424261">
        <w:rPr>
          <w:rFonts w:ascii="Palatino Linotype" w:hAnsi="Palatino Linotype" w:cs="Arial"/>
        </w:rPr>
        <w:t xml:space="preserve">Acuerdo número </w:t>
      </w:r>
      <w:r w:rsidR="00E5237C" w:rsidRPr="00424261">
        <w:rPr>
          <w:rFonts w:ascii="Palatino Linotype" w:hAnsi="Palatino Linotype" w:cs="Arial"/>
        </w:rPr>
        <w:lastRenderedPageBreak/>
        <w:t xml:space="preserve">058/CUAUTIZC/CT/CGSPYT/2021, emitido por el Comité de Transparencia del </w:t>
      </w:r>
      <w:r w:rsidR="00E5237C" w:rsidRPr="00424261">
        <w:rPr>
          <w:rFonts w:ascii="Palatino Linotype" w:hAnsi="Palatino Linotype" w:cs="Arial"/>
          <w:b/>
          <w:bCs/>
        </w:rPr>
        <w:t>SUJETO OBLIGADO</w:t>
      </w:r>
      <w:r w:rsidR="00E5237C" w:rsidRPr="00424261">
        <w:rPr>
          <w:rFonts w:ascii="Palatino Linotype" w:hAnsi="Palatino Linotype" w:cs="Arial"/>
        </w:rPr>
        <w:t>, y mediante el cual, se determina clasificar como reservada</w:t>
      </w:r>
      <w:r w:rsidR="002D38C3" w:rsidRPr="00424261">
        <w:rPr>
          <w:rFonts w:ascii="Palatino Linotype" w:hAnsi="Palatino Linotype" w:cs="Arial"/>
        </w:rPr>
        <w:t xml:space="preserve"> toda</w:t>
      </w:r>
      <w:r w:rsidR="00E5237C" w:rsidRPr="00424261">
        <w:rPr>
          <w:rFonts w:ascii="Palatino Linotype" w:hAnsi="Palatino Linotype" w:cs="Arial"/>
        </w:rPr>
        <w:t xml:space="preserve"> la información relacionada con </w:t>
      </w:r>
      <w:r w:rsidR="002D38C3" w:rsidRPr="00424261">
        <w:rPr>
          <w:rFonts w:ascii="Palatino Linotype" w:hAnsi="Palatino Linotype" w:cs="Arial"/>
        </w:rPr>
        <w:t xml:space="preserve">el incidente ocurrido con el actor </w:t>
      </w:r>
      <w:r w:rsidR="002D38C3" w:rsidRPr="00424261">
        <w:rPr>
          <w:rFonts w:ascii="Palatino Linotype" w:hAnsi="Palatino Linotype" w:cs="Arial"/>
          <w:i/>
          <w:iCs/>
        </w:rPr>
        <w:t>Octavio Augusto Pérez Ocaña</w:t>
      </w:r>
      <w:r w:rsidR="00E5237C" w:rsidRPr="00424261">
        <w:rPr>
          <w:rFonts w:ascii="Palatino Linotype" w:hAnsi="Palatino Linotype" w:cs="Arial"/>
        </w:rPr>
        <w:t>.</w:t>
      </w:r>
    </w:p>
    <w:p w14:paraId="71C8B926" w14:textId="189FC19E" w:rsidR="00E5237C" w:rsidRPr="00424261" w:rsidRDefault="00E5237C" w:rsidP="0092310A">
      <w:pPr>
        <w:pStyle w:val="Prrafodelista"/>
        <w:numPr>
          <w:ilvl w:val="0"/>
          <w:numId w:val="4"/>
        </w:numPr>
        <w:spacing w:line="360" w:lineRule="auto"/>
        <w:ind w:left="1134"/>
        <w:contextualSpacing w:val="0"/>
        <w:jc w:val="both"/>
        <w:rPr>
          <w:rFonts w:ascii="Palatino Linotype" w:hAnsi="Palatino Linotype"/>
          <w:color w:val="000000" w:themeColor="text1"/>
          <w:szCs w:val="22"/>
        </w:rPr>
      </w:pPr>
      <w:r w:rsidRPr="00424261">
        <w:rPr>
          <w:rFonts w:ascii="Palatino Linotype" w:hAnsi="Palatino Linotype" w:cs="Arial"/>
          <w:b/>
          <w:bCs/>
          <w:i/>
          <w:iCs/>
        </w:rPr>
        <w:t>“ACUERDO RESERVA 058 COMISARÍA.pdf”</w:t>
      </w:r>
      <w:r w:rsidRPr="00424261">
        <w:rPr>
          <w:rFonts w:ascii="Palatino Linotype" w:hAnsi="Palatino Linotype" w:cs="Arial"/>
        </w:rPr>
        <w:t>: Documento de ocho fojas consistente en la copia del Acuerdo número 058/CUAUTIZC/CT/CGSPYT/2021, descrito anteriormente.</w:t>
      </w:r>
    </w:p>
    <w:p w14:paraId="134F3970" w14:textId="77777777" w:rsidR="002015A4" w:rsidRPr="00424261" w:rsidRDefault="002015A4" w:rsidP="002015A4">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48920AC" w14:textId="531ABDA9" w:rsidR="001D7B6D" w:rsidRPr="00424261" w:rsidRDefault="001D7B6D"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24261">
        <w:rPr>
          <w:rFonts w:ascii="Palatino Linotype" w:eastAsia="Times New Roman" w:hAnsi="Palatino Linotype" w:cs="Arial"/>
          <w:color w:val="000000" w:themeColor="text1"/>
          <w:lang w:val="es-ES"/>
        </w:rPr>
        <w:t xml:space="preserve">Por otro lado, </w:t>
      </w:r>
      <w:r w:rsidRPr="00424261">
        <w:rPr>
          <w:rFonts w:ascii="Palatino Linotype" w:hAnsi="Palatino Linotype"/>
          <w:color w:val="000000" w:themeColor="text1"/>
          <w:szCs w:val="22"/>
        </w:rPr>
        <w:t xml:space="preserve">por cuanto hace al acuse de respuesta a la solicitud de información </w:t>
      </w:r>
      <w:r w:rsidR="00D21CC1" w:rsidRPr="00424261">
        <w:rPr>
          <w:rFonts w:ascii="Palatino Linotype" w:hAnsi="Palatino Linotype"/>
          <w:b/>
          <w:bCs/>
          <w:color w:val="000000" w:themeColor="text1"/>
          <w:szCs w:val="22"/>
        </w:rPr>
        <w:t>00506/CUAUTIZC/IP/2021</w:t>
      </w:r>
      <w:r w:rsidRPr="00424261">
        <w:rPr>
          <w:rFonts w:ascii="Palatino Linotype" w:hAnsi="Palatino Linotype"/>
          <w:color w:val="000000" w:themeColor="text1"/>
          <w:szCs w:val="22"/>
        </w:rPr>
        <w:t xml:space="preserve">, el </w:t>
      </w:r>
      <w:r w:rsidRPr="00424261">
        <w:rPr>
          <w:rFonts w:ascii="Palatino Linotype" w:hAnsi="Palatino Linotype"/>
          <w:b/>
          <w:bCs/>
          <w:color w:val="000000" w:themeColor="text1"/>
          <w:szCs w:val="22"/>
        </w:rPr>
        <w:t>SUJETO OBLIGADO</w:t>
      </w:r>
      <w:r w:rsidRPr="00424261">
        <w:rPr>
          <w:rFonts w:ascii="Palatino Linotype" w:hAnsi="Palatino Linotype"/>
          <w:color w:val="000000" w:themeColor="text1"/>
          <w:szCs w:val="22"/>
        </w:rPr>
        <w:t xml:space="preserve"> </w:t>
      </w:r>
      <w:r w:rsidR="00E5237C" w:rsidRPr="00424261">
        <w:rPr>
          <w:rFonts w:ascii="Palatino Linotype" w:hAnsi="Palatino Linotype"/>
          <w:color w:val="000000" w:themeColor="text1"/>
          <w:szCs w:val="22"/>
        </w:rPr>
        <w:t xml:space="preserve">presentó al entonces </w:t>
      </w:r>
      <w:r w:rsidR="00E5237C" w:rsidRPr="00424261">
        <w:rPr>
          <w:rFonts w:ascii="Palatino Linotype" w:hAnsi="Palatino Linotype"/>
          <w:b/>
          <w:bCs/>
          <w:color w:val="000000" w:themeColor="text1"/>
          <w:szCs w:val="22"/>
        </w:rPr>
        <w:t>SOLICITANTE</w:t>
      </w:r>
      <w:r w:rsidR="00E5237C" w:rsidRPr="00424261">
        <w:rPr>
          <w:rFonts w:ascii="Palatino Linotype" w:hAnsi="Palatino Linotype"/>
          <w:color w:val="000000" w:themeColor="text1"/>
          <w:szCs w:val="22"/>
        </w:rPr>
        <w:t>,</w:t>
      </w:r>
      <w:r w:rsidRPr="00424261">
        <w:rPr>
          <w:rFonts w:ascii="Palatino Linotype" w:hAnsi="Palatino Linotype"/>
          <w:color w:val="000000" w:themeColor="text1"/>
          <w:szCs w:val="22"/>
        </w:rPr>
        <w:t xml:space="preserve"> los </w:t>
      </w:r>
      <w:r w:rsidR="00E5237C" w:rsidRPr="00424261">
        <w:rPr>
          <w:rFonts w:ascii="Palatino Linotype" w:hAnsi="Palatino Linotype"/>
          <w:color w:val="000000" w:themeColor="text1"/>
          <w:szCs w:val="22"/>
        </w:rPr>
        <w:t>siguientes a</w:t>
      </w:r>
      <w:r w:rsidRPr="00424261">
        <w:rPr>
          <w:rFonts w:ascii="Palatino Linotype" w:hAnsi="Palatino Linotype"/>
          <w:color w:val="000000" w:themeColor="text1"/>
          <w:szCs w:val="22"/>
        </w:rPr>
        <w:t>rchivos</w:t>
      </w:r>
      <w:r w:rsidR="00E5237C" w:rsidRPr="00424261">
        <w:rPr>
          <w:rFonts w:ascii="Palatino Linotype" w:hAnsi="Palatino Linotype"/>
          <w:color w:val="000000" w:themeColor="text1"/>
          <w:szCs w:val="22"/>
        </w:rPr>
        <w:t xml:space="preserve"> cuyo contenido se describe a continuación:</w:t>
      </w:r>
    </w:p>
    <w:p w14:paraId="53A7DDF4" w14:textId="2F94A08A" w:rsidR="001D7B6D" w:rsidRPr="00424261" w:rsidRDefault="001D7B6D" w:rsidP="001D7B6D">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424261">
        <w:rPr>
          <w:rFonts w:ascii="Palatino Linotype" w:hAnsi="Palatino Linotype"/>
          <w:b/>
          <w:bCs/>
          <w:i/>
          <w:iCs/>
          <w:color w:val="000000" w:themeColor="text1"/>
          <w:szCs w:val="22"/>
        </w:rPr>
        <w:t>“</w:t>
      </w:r>
      <w:r w:rsidR="00956DD6" w:rsidRPr="00424261">
        <w:rPr>
          <w:rFonts w:ascii="Palatino Linotype" w:hAnsi="Palatino Linotype"/>
          <w:b/>
          <w:bCs/>
          <w:i/>
          <w:iCs/>
          <w:color w:val="000000" w:themeColor="text1"/>
          <w:szCs w:val="22"/>
        </w:rPr>
        <w:t>460</w:t>
      </w:r>
      <w:r w:rsidRPr="00424261">
        <w:rPr>
          <w:rFonts w:ascii="Palatino Linotype" w:hAnsi="Palatino Linotype"/>
          <w:b/>
          <w:bCs/>
          <w:i/>
          <w:iCs/>
          <w:color w:val="000000" w:themeColor="text1"/>
          <w:szCs w:val="22"/>
        </w:rPr>
        <w:t xml:space="preserve">.pdf”: </w:t>
      </w:r>
      <w:r w:rsidRPr="00424261">
        <w:rPr>
          <w:rFonts w:ascii="Palatino Linotype" w:hAnsi="Palatino Linotype"/>
          <w:color w:val="000000" w:themeColor="text1"/>
          <w:szCs w:val="22"/>
        </w:rPr>
        <w:t>Documento</w:t>
      </w:r>
      <w:r w:rsidR="00956DD6" w:rsidRPr="00424261">
        <w:rPr>
          <w:rFonts w:ascii="Palatino Linotype" w:hAnsi="Palatino Linotype"/>
          <w:color w:val="000000" w:themeColor="text1"/>
          <w:szCs w:val="22"/>
        </w:rPr>
        <w:t xml:space="preserve"> de una foja consistente en el oficio PM-OP/00460/2021, de veintitrés (23) de noviembre de dos mil veintiuno, signado por la Jefa de la Oficina de Presidencia, y dirigido al Titular de la Unidad de Transparencia, por medio del cual, </w:t>
      </w:r>
      <w:r w:rsidR="00253622" w:rsidRPr="00424261">
        <w:rPr>
          <w:rFonts w:ascii="Palatino Linotype" w:hAnsi="Palatino Linotype"/>
          <w:color w:val="000000" w:themeColor="text1"/>
          <w:szCs w:val="22"/>
        </w:rPr>
        <w:t>informa que el Comisario de Seguridad Pública y Tránsito Municipal manifestó que los policías que participaron en la persecución de la persona, referida en la solicitud primigenia, actuaron dentro de los protocolos establecidos y que ya fueron llamados a rendir su declaración como testigos.</w:t>
      </w:r>
    </w:p>
    <w:p w14:paraId="6FB5718B" w14:textId="1265B9B7" w:rsidR="00956DD6" w:rsidRPr="00424261" w:rsidRDefault="00956DD6" w:rsidP="001D7B6D">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424261">
        <w:rPr>
          <w:rFonts w:ascii="Palatino Linotype" w:hAnsi="Palatino Linotype"/>
          <w:b/>
          <w:bCs/>
          <w:i/>
          <w:iCs/>
          <w:color w:val="000000" w:themeColor="text1"/>
          <w:szCs w:val="22"/>
        </w:rPr>
        <w:t>“DESAHOGO506.pdf”</w:t>
      </w:r>
      <w:r w:rsidRPr="00424261">
        <w:rPr>
          <w:rFonts w:ascii="Palatino Linotype" w:hAnsi="Palatino Linotype"/>
          <w:color w:val="000000" w:themeColor="text1"/>
          <w:szCs w:val="22"/>
        </w:rPr>
        <w:t xml:space="preserve">: Documento </w:t>
      </w:r>
      <w:r w:rsidR="00253622" w:rsidRPr="00424261">
        <w:rPr>
          <w:rFonts w:ascii="Palatino Linotype" w:hAnsi="Palatino Linotype"/>
          <w:color w:val="000000" w:themeColor="text1"/>
          <w:szCs w:val="22"/>
        </w:rPr>
        <w:t>de una foja consistente en la copia digitalizada del oficio DGSPYT/784/2021, de veinticinco (25) de noviembre de dos mil veintiuno, emitido por el Comisario General de Seguridad Pública y Tránsito, y dirigido al Titular de la Unidad de Transparencia, por el que manifiesta que</w:t>
      </w:r>
      <w:r w:rsidR="00253622" w:rsidRPr="00424261">
        <w:rPr>
          <w:rFonts w:ascii="Palatino Linotype" w:hAnsi="Palatino Linotype" w:cs="Arial"/>
        </w:rPr>
        <w:t xml:space="preserve"> la información solicitada fue </w:t>
      </w:r>
      <w:r w:rsidR="00253622" w:rsidRPr="00424261">
        <w:rPr>
          <w:rFonts w:ascii="Palatino Linotype" w:hAnsi="Palatino Linotype" w:cs="Arial"/>
        </w:rPr>
        <w:lastRenderedPageBreak/>
        <w:t>reservada mediante acuerdo de veinticinco (25) de noviembre de dos mil veintiuno.</w:t>
      </w:r>
    </w:p>
    <w:p w14:paraId="4A4DF113" w14:textId="2CFBACE1" w:rsidR="00956DD6" w:rsidRPr="00424261" w:rsidRDefault="00956DD6" w:rsidP="001D7B6D">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424261">
        <w:rPr>
          <w:rFonts w:ascii="Palatino Linotype" w:hAnsi="Palatino Linotype"/>
          <w:b/>
          <w:bCs/>
          <w:i/>
          <w:iCs/>
          <w:color w:val="000000" w:themeColor="text1"/>
          <w:szCs w:val="22"/>
        </w:rPr>
        <w:t>“ACUERDO RESERVA 058 -.pdf”</w:t>
      </w:r>
      <w:r w:rsidRPr="00424261">
        <w:rPr>
          <w:rFonts w:ascii="Palatino Linotype" w:hAnsi="Palatino Linotype"/>
          <w:color w:val="000000" w:themeColor="text1"/>
          <w:szCs w:val="22"/>
        </w:rPr>
        <w:t xml:space="preserve">: Documento </w:t>
      </w:r>
      <w:r w:rsidR="002D38C3" w:rsidRPr="00424261">
        <w:rPr>
          <w:rFonts w:ascii="Palatino Linotype" w:hAnsi="Palatino Linotype" w:cs="Arial"/>
        </w:rPr>
        <w:t xml:space="preserve">de ocho fojas consistente en la copia del Acuerdo número 058/CUAUTIZC/CT/CGSPYT/2021, previamente entregado en respuesta a la solicitud de información </w:t>
      </w:r>
      <w:r w:rsidR="002D38C3" w:rsidRPr="00424261">
        <w:rPr>
          <w:rFonts w:ascii="Palatino Linotype" w:hAnsi="Palatino Linotype" w:cs="Arial"/>
          <w:b/>
          <w:bCs/>
        </w:rPr>
        <w:t>00505/CUAUTIZC/IP/2021</w:t>
      </w:r>
      <w:r w:rsidR="002D38C3" w:rsidRPr="00424261">
        <w:rPr>
          <w:rFonts w:ascii="Palatino Linotype" w:hAnsi="Palatino Linotype" w:cs="Arial"/>
        </w:rPr>
        <w:t xml:space="preserve">, y descrito en el párrafo </w:t>
      </w:r>
      <w:r w:rsidR="002D38C3" w:rsidRPr="00424261">
        <w:rPr>
          <w:rFonts w:ascii="Palatino Linotype" w:hAnsi="Palatino Linotype" w:cs="Arial"/>
          <w:b/>
          <w:bCs/>
        </w:rPr>
        <w:t>04</w:t>
      </w:r>
      <w:r w:rsidR="002D38C3" w:rsidRPr="00424261">
        <w:rPr>
          <w:rFonts w:ascii="Palatino Linotype" w:hAnsi="Palatino Linotype" w:cs="Arial"/>
        </w:rPr>
        <w:t xml:space="preserve"> de esta resolución.</w:t>
      </w:r>
    </w:p>
    <w:p w14:paraId="7A3B9F7B" w14:textId="77777777" w:rsidR="001D7B6D" w:rsidRPr="00424261" w:rsidRDefault="001D7B6D" w:rsidP="001D7B6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2CF18318" w:rsidR="000D5A1D" w:rsidRPr="00424261" w:rsidRDefault="00091D8D"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24261">
        <w:rPr>
          <w:rFonts w:ascii="Palatino Linotype" w:eastAsia="Times New Roman" w:hAnsi="Palatino Linotype" w:cs="Arial"/>
          <w:color w:val="000000" w:themeColor="text1"/>
          <w:lang w:val="es-ES"/>
        </w:rPr>
        <w:t>Derivado</w:t>
      </w:r>
      <w:r w:rsidR="00561ED1" w:rsidRPr="00424261">
        <w:rPr>
          <w:rFonts w:ascii="Palatino Linotype" w:eastAsia="Times New Roman" w:hAnsi="Palatino Linotype" w:cs="Arial"/>
          <w:color w:val="000000" w:themeColor="text1"/>
          <w:lang w:val="es-ES"/>
        </w:rPr>
        <w:t xml:space="preserve"> de la</w:t>
      </w:r>
      <w:r w:rsidRPr="00424261">
        <w:rPr>
          <w:rFonts w:ascii="Palatino Linotype" w:eastAsia="Times New Roman" w:hAnsi="Palatino Linotype" w:cs="Arial"/>
          <w:color w:val="000000" w:themeColor="text1"/>
          <w:lang w:val="es-ES"/>
        </w:rPr>
        <w:t>s</w:t>
      </w:r>
      <w:r w:rsidR="00561ED1" w:rsidRPr="00424261">
        <w:rPr>
          <w:rFonts w:ascii="Palatino Linotype" w:eastAsia="Times New Roman" w:hAnsi="Palatino Linotype" w:cs="Arial"/>
          <w:color w:val="000000" w:themeColor="text1"/>
          <w:lang w:val="es-ES"/>
        </w:rPr>
        <w:t xml:space="preserve"> respuesta emitida</w:t>
      </w:r>
      <w:r w:rsidRPr="00424261">
        <w:rPr>
          <w:rFonts w:ascii="Palatino Linotype" w:eastAsia="Times New Roman" w:hAnsi="Palatino Linotype" w:cs="Arial"/>
          <w:color w:val="000000" w:themeColor="text1"/>
          <w:lang w:val="es-ES"/>
        </w:rPr>
        <w:t>s</w:t>
      </w:r>
      <w:r w:rsidR="00561ED1" w:rsidRPr="00424261">
        <w:rPr>
          <w:rFonts w:ascii="Palatino Linotype" w:eastAsia="Times New Roman" w:hAnsi="Palatino Linotype" w:cs="Arial"/>
          <w:color w:val="000000" w:themeColor="text1"/>
          <w:lang w:val="es-ES"/>
        </w:rPr>
        <w:t xml:space="preserve"> por el </w:t>
      </w:r>
      <w:r w:rsidR="00561ED1" w:rsidRPr="00424261">
        <w:rPr>
          <w:rFonts w:ascii="Palatino Linotype" w:eastAsia="Times New Roman" w:hAnsi="Palatino Linotype" w:cs="Arial"/>
          <w:b/>
          <w:color w:val="000000" w:themeColor="text1"/>
          <w:lang w:val="es-ES"/>
        </w:rPr>
        <w:t>SUJETO OBLIGADO</w:t>
      </w:r>
      <w:r w:rsidR="00561ED1" w:rsidRPr="00424261">
        <w:rPr>
          <w:rFonts w:ascii="Palatino Linotype" w:eastAsia="Times New Roman" w:hAnsi="Palatino Linotype" w:cs="Arial"/>
          <w:color w:val="000000" w:themeColor="text1"/>
          <w:lang w:val="es-ES"/>
        </w:rPr>
        <w:t>, e</w:t>
      </w:r>
      <w:r w:rsidR="00DB4BEF" w:rsidRPr="00424261">
        <w:rPr>
          <w:rFonts w:ascii="Palatino Linotype" w:eastAsia="Times New Roman" w:hAnsi="Palatino Linotype" w:cs="Arial"/>
          <w:color w:val="000000" w:themeColor="text1"/>
          <w:lang w:val="es-ES"/>
        </w:rPr>
        <w:t xml:space="preserve">l </w:t>
      </w:r>
      <w:r w:rsidR="002D38C3" w:rsidRPr="00424261">
        <w:rPr>
          <w:rFonts w:ascii="Palatino Linotype" w:eastAsia="Times New Roman" w:hAnsi="Palatino Linotype" w:cs="Arial"/>
          <w:color w:val="000000" w:themeColor="text1"/>
          <w:lang w:val="es-ES"/>
        </w:rPr>
        <w:t>veintiséis (26) de noviembre</w:t>
      </w:r>
      <w:r w:rsidR="008965EF" w:rsidRPr="00424261">
        <w:rPr>
          <w:rFonts w:ascii="Palatino Linotype" w:eastAsia="Times New Roman" w:hAnsi="Palatino Linotype" w:cs="Arial"/>
          <w:color w:val="000000" w:themeColor="text1"/>
          <w:lang w:val="es-ES"/>
        </w:rPr>
        <w:t xml:space="preserve"> </w:t>
      </w:r>
      <w:r w:rsidR="00613655" w:rsidRPr="00424261">
        <w:rPr>
          <w:rFonts w:ascii="Palatino Linotype" w:eastAsia="Times New Roman" w:hAnsi="Palatino Linotype" w:cs="Arial"/>
          <w:color w:val="000000" w:themeColor="text1"/>
          <w:lang w:val="es-ES"/>
        </w:rPr>
        <w:t>de dos mil veintiuno</w:t>
      </w:r>
      <w:r w:rsidR="00FE49E3" w:rsidRPr="00424261">
        <w:rPr>
          <w:rFonts w:ascii="Palatino Linotype" w:eastAsia="Times New Roman" w:hAnsi="Palatino Linotype" w:cs="Arial"/>
          <w:color w:val="000000" w:themeColor="text1"/>
          <w:lang w:val="es-ES"/>
        </w:rPr>
        <w:t xml:space="preserve">, </w:t>
      </w:r>
      <w:r w:rsidR="001468E9" w:rsidRPr="00424261">
        <w:rPr>
          <w:rFonts w:ascii="Palatino Linotype" w:eastAsia="Times New Roman" w:hAnsi="Palatino Linotype" w:cs="Arial"/>
          <w:color w:val="000000" w:themeColor="text1"/>
          <w:lang w:val="es-ES"/>
        </w:rPr>
        <w:t>el</w:t>
      </w:r>
      <w:r w:rsidR="005F1362" w:rsidRPr="00424261">
        <w:rPr>
          <w:rFonts w:ascii="Palatino Linotype" w:eastAsia="Times New Roman" w:hAnsi="Palatino Linotype" w:cs="Arial"/>
          <w:color w:val="000000" w:themeColor="text1"/>
          <w:lang w:val="es-ES"/>
        </w:rPr>
        <w:t xml:space="preserve"> particular</w:t>
      </w:r>
      <w:r w:rsidR="00DB4BEF" w:rsidRPr="00424261">
        <w:rPr>
          <w:rFonts w:ascii="Palatino Linotype" w:eastAsia="Times New Roman" w:hAnsi="Palatino Linotype" w:cs="Arial"/>
          <w:color w:val="000000" w:themeColor="text1"/>
          <w:lang w:val="es-ES"/>
        </w:rPr>
        <w:t xml:space="preserve"> interpuso</w:t>
      </w:r>
      <w:r w:rsidR="009316E9" w:rsidRPr="00424261">
        <w:rPr>
          <w:rFonts w:ascii="Palatino Linotype" w:eastAsia="Times New Roman" w:hAnsi="Palatino Linotype" w:cs="Arial"/>
          <w:color w:val="000000" w:themeColor="text1"/>
          <w:lang w:val="es-ES"/>
        </w:rPr>
        <w:t xml:space="preserve"> </w:t>
      </w:r>
      <w:r w:rsidRPr="00424261">
        <w:rPr>
          <w:rFonts w:ascii="Palatino Linotype" w:eastAsia="Times New Roman" w:hAnsi="Palatino Linotype" w:cs="Arial"/>
          <w:color w:val="000000" w:themeColor="text1"/>
          <w:lang w:val="es-ES"/>
        </w:rPr>
        <w:t>los</w:t>
      </w:r>
      <w:r w:rsidR="004D68F8" w:rsidRPr="00424261">
        <w:rPr>
          <w:rFonts w:ascii="Palatino Linotype" w:eastAsia="Times New Roman" w:hAnsi="Palatino Linotype" w:cs="Arial"/>
          <w:color w:val="000000" w:themeColor="text1"/>
          <w:lang w:val="es-ES"/>
        </w:rPr>
        <w:t xml:space="preserve"> recurso</w:t>
      </w:r>
      <w:r w:rsidRPr="00424261">
        <w:rPr>
          <w:rFonts w:ascii="Palatino Linotype" w:eastAsia="Times New Roman" w:hAnsi="Palatino Linotype" w:cs="Arial"/>
          <w:color w:val="000000" w:themeColor="text1"/>
          <w:lang w:val="es-ES"/>
        </w:rPr>
        <w:t>s</w:t>
      </w:r>
      <w:r w:rsidR="004D68F8" w:rsidRPr="00424261">
        <w:rPr>
          <w:rFonts w:ascii="Palatino Linotype" w:eastAsia="Times New Roman" w:hAnsi="Palatino Linotype" w:cs="Arial"/>
          <w:color w:val="000000" w:themeColor="text1"/>
          <w:lang w:val="es-ES"/>
        </w:rPr>
        <w:t xml:space="preserve"> de revisión </w:t>
      </w:r>
      <w:r w:rsidR="00D21CC1" w:rsidRPr="00424261">
        <w:rPr>
          <w:rFonts w:ascii="Palatino Linotype" w:eastAsia="Calibri" w:hAnsi="Palatino Linotype" w:cs="Arial"/>
          <w:b/>
          <w:color w:val="000000" w:themeColor="text1"/>
          <w:lang w:val="es-ES"/>
        </w:rPr>
        <w:t>05918/INFOEM/IP/RR/2021</w:t>
      </w:r>
      <w:r w:rsidRPr="00424261">
        <w:rPr>
          <w:rFonts w:ascii="Palatino Linotype" w:eastAsia="Calibri" w:hAnsi="Palatino Linotype" w:cs="Arial"/>
          <w:bCs/>
          <w:color w:val="000000" w:themeColor="text1"/>
          <w:lang w:val="es-ES"/>
        </w:rPr>
        <w:t xml:space="preserve"> y </w:t>
      </w:r>
      <w:r w:rsidR="00D21CC1" w:rsidRPr="00424261">
        <w:rPr>
          <w:rFonts w:ascii="Palatino Linotype" w:eastAsia="Calibri" w:hAnsi="Palatino Linotype" w:cs="Arial"/>
          <w:b/>
          <w:color w:val="000000" w:themeColor="text1"/>
          <w:lang w:val="es-ES"/>
        </w:rPr>
        <w:t>05919/INFOEM/IP/RR/2021</w:t>
      </w:r>
      <w:r w:rsidRPr="00424261">
        <w:rPr>
          <w:rFonts w:ascii="Palatino Linotype" w:eastAsia="Calibri" w:hAnsi="Palatino Linotype" w:cs="Arial"/>
          <w:b/>
          <w:color w:val="000000" w:themeColor="text1"/>
          <w:lang w:val="es-ES"/>
        </w:rPr>
        <w:t>;</w:t>
      </w:r>
      <w:r w:rsidR="00102D65" w:rsidRPr="00424261">
        <w:rPr>
          <w:rFonts w:ascii="Palatino Linotype" w:eastAsia="Times New Roman" w:hAnsi="Palatino Linotype" w:cs="Arial"/>
          <w:color w:val="000000" w:themeColor="text1"/>
          <w:lang w:val="es-ES"/>
        </w:rPr>
        <w:t xml:space="preserve"> </w:t>
      </w:r>
      <w:r w:rsidRPr="00424261">
        <w:rPr>
          <w:rFonts w:ascii="Palatino Linotype" w:eastAsia="Times New Roman" w:hAnsi="Palatino Linotype" w:cs="Arial"/>
          <w:color w:val="000000" w:themeColor="text1"/>
          <w:lang w:val="es-ES"/>
        </w:rPr>
        <w:t>impugnaciones</w:t>
      </w:r>
      <w:r w:rsidR="004D68F8" w:rsidRPr="00424261">
        <w:rPr>
          <w:rFonts w:ascii="Palatino Linotype" w:eastAsia="Times New Roman" w:hAnsi="Palatino Linotype" w:cs="Arial"/>
          <w:color w:val="000000" w:themeColor="text1"/>
          <w:lang w:val="es-ES"/>
        </w:rPr>
        <w:t xml:space="preserve"> </w:t>
      </w:r>
      <w:r w:rsidR="00A45546" w:rsidRPr="00424261">
        <w:rPr>
          <w:rFonts w:ascii="Palatino Linotype" w:eastAsia="Times New Roman" w:hAnsi="Palatino Linotype" w:cs="Arial"/>
          <w:color w:val="000000" w:themeColor="text1"/>
          <w:lang w:val="es-ES"/>
        </w:rPr>
        <w:t xml:space="preserve">en </w:t>
      </w:r>
      <w:r w:rsidR="00977D37" w:rsidRPr="00424261">
        <w:rPr>
          <w:rFonts w:ascii="Palatino Linotype" w:eastAsia="Times New Roman" w:hAnsi="Palatino Linotype" w:cs="Arial"/>
          <w:color w:val="000000" w:themeColor="text1"/>
          <w:lang w:val="es-ES"/>
        </w:rPr>
        <w:t>la</w:t>
      </w:r>
      <w:r w:rsidRPr="00424261">
        <w:rPr>
          <w:rFonts w:ascii="Palatino Linotype" w:eastAsia="Times New Roman" w:hAnsi="Palatino Linotype" w:cs="Arial"/>
          <w:color w:val="000000" w:themeColor="text1"/>
          <w:lang w:val="es-ES"/>
        </w:rPr>
        <w:t>s</w:t>
      </w:r>
      <w:r w:rsidR="00A45546" w:rsidRPr="00424261">
        <w:rPr>
          <w:rFonts w:ascii="Palatino Linotype" w:eastAsia="Times New Roman" w:hAnsi="Palatino Linotype" w:cs="Arial"/>
          <w:color w:val="000000" w:themeColor="text1"/>
          <w:lang w:val="es-ES"/>
        </w:rPr>
        <w:t xml:space="preserve"> que refirió </w:t>
      </w:r>
      <w:r w:rsidR="004D68F8" w:rsidRPr="00424261">
        <w:rPr>
          <w:rFonts w:ascii="Palatino Linotype" w:eastAsia="Times New Roman" w:hAnsi="Palatino Linotype" w:cs="Arial"/>
          <w:color w:val="000000" w:themeColor="text1"/>
          <w:lang w:val="es-ES"/>
        </w:rPr>
        <w:t>lo siguiente:</w:t>
      </w:r>
    </w:p>
    <w:p w14:paraId="4D16C3B0" w14:textId="0803D213" w:rsidR="00E34622" w:rsidRPr="00424261" w:rsidRDefault="00E34622" w:rsidP="0079670F">
      <w:pPr>
        <w:tabs>
          <w:tab w:val="left" w:pos="426"/>
        </w:tabs>
        <w:spacing w:line="360" w:lineRule="auto"/>
        <w:jc w:val="both"/>
        <w:rPr>
          <w:rFonts w:ascii="Palatino Linotype" w:hAnsi="Palatino Linotype"/>
          <w:color w:val="000000" w:themeColor="text1"/>
          <w:szCs w:val="22"/>
        </w:rPr>
      </w:pPr>
    </w:p>
    <w:p w14:paraId="0426C281" w14:textId="11BC91DC" w:rsidR="0079670F" w:rsidRPr="00424261" w:rsidRDefault="0079670F" w:rsidP="0079670F">
      <w:pPr>
        <w:tabs>
          <w:tab w:val="left" w:pos="426"/>
        </w:tabs>
        <w:spacing w:line="276" w:lineRule="auto"/>
        <w:ind w:left="567" w:right="567"/>
        <w:jc w:val="both"/>
        <w:rPr>
          <w:rFonts w:ascii="Palatino Linotype" w:hAnsi="Palatino Linotype"/>
          <w:b/>
          <w:bCs/>
          <w:color w:val="000000" w:themeColor="text1"/>
          <w:sz w:val="22"/>
          <w:szCs w:val="20"/>
        </w:rPr>
      </w:pPr>
      <w:r w:rsidRPr="00424261">
        <w:rPr>
          <w:rFonts w:ascii="Palatino Linotype" w:hAnsi="Palatino Linotype"/>
          <w:b/>
          <w:bCs/>
          <w:color w:val="000000" w:themeColor="text1"/>
          <w:sz w:val="22"/>
          <w:szCs w:val="20"/>
        </w:rPr>
        <w:t xml:space="preserve">Recurso de revisión </w:t>
      </w:r>
      <w:r w:rsidR="00D21CC1" w:rsidRPr="00424261">
        <w:rPr>
          <w:rFonts w:ascii="Palatino Linotype" w:hAnsi="Palatino Linotype"/>
          <w:b/>
          <w:bCs/>
          <w:color w:val="000000" w:themeColor="text1"/>
          <w:sz w:val="22"/>
          <w:szCs w:val="20"/>
        </w:rPr>
        <w:t>05918/INFOEM/IP/RR/2021</w:t>
      </w:r>
      <w:r w:rsidRPr="00424261">
        <w:rPr>
          <w:rFonts w:ascii="Palatino Linotype" w:hAnsi="Palatino Linotype"/>
          <w:b/>
          <w:bCs/>
          <w:color w:val="000000" w:themeColor="text1"/>
          <w:sz w:val="22"/>
          <w:szCs w:val="20"/>
        </w:rPr>
        <w:t>:</w:t>
      </w:r>
    </w:p>
    <w:p w14:paraId="5E0091EC" w14:textId="2E36B754" w:rsidR="0079670F" w:rsidRPr="00424261"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424261">
        <w:rPr>
          <w:rFonts w:ascii="Palatino Linotype" w:hAnsi="Palatino Linotype"/>
          <w:b/>
          <w:bCs/>
          <w:color w:val="000000" w:themeColor="text1"/>
          <w:sz w:val="22"/>
          <w:szCs w:val="20"/>
        </w:rPr>
        <w:t>Acto impugnado:</w:t>
      </w:r>
      <w:r w:rsidRPr="00424261">
        <w:rPr>
          <w:rFonts w:ascii="Palatino Linotype" w:hAnsi="Palatino Linotype"/>
          <w:color w:val="000000" w:themeColor="text1"/>
          <w:sz w:val="22"/>
          <w:szCs w:val="20"/>
        </w:rPr>
        <w:t xml:space="preserve"> “</w:t>
      </w:r>
      <w:r w:rsidR="002D38C3" w:rsidRPr="00424261">
        <w:rPr>
          <w:rFonts w:ascii="Palatino Linotype" w:hAnsi="Palatino Linotype"/>
          <w:i/>
          <w:iCs/>
          <w:color w:val="000000" w:themeColor="text1"/>
          <w:sz w:val="22"/>
          <w:szCs w:val="20"/>
        </w:rPr>
        <w:t>SON OMISOS EN DAR LA INFORMACIÓN Y LOS COPIAS NO SON MUY LEGIBLES</w:t>
      </w:r>
      <w:r w:rsidRPr="00424261">
        <w:rPr>
          <w:rFonts w:ascii="Palatino Linotype" w:hAnsi="Palatino Linotype"/>
          <w:color w:val="000000" w:themeColor="text1"/>
          <w:sz w:val="22"/>
          <w:szCs w:val="20"/>
        </w:rPr>
        <w:t>” (Sic).</w:t>
      </w:r>
    </w:p>
    <w:p w14:paraId="159EDB54" w14:textId="0A4AB4FC" w:rsidR="0079670F" w:rsidRPr="00424261"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424261">
        <w:rPr>
          <w:rFonts w:ascii="Palatino Linotype" w:hAnsi="Palatino Linotype"/>
          <w:b/>
          <w:bCs/>
          <w:color w:val="000000" w:themeColor="text1"/>
          <w:sz w:val="22"/>
          <w:szCs w:val="20"/>
        </w:rPr>
        <w:t>Razones o motivos de inconformidad:</w:t>
      </w:r>
      <w:r w:rsidRPr="00424261">
        <w:rPr>
          <w:rFonts w:ascii="Palatino Linotype" w:hAnsi="Palatino Linotype"/>
          <w:color w:val="000000" w:themeColor="text1"/>
          <w:sz w:val="22"/>
          <w:szCs w:val="20"/>
        </w:rPr>
        <w:t xml:space="preserve"> “</w:t>
      </w:r>
      <w:r w:rsidR="002D38C3" w:rsidRPr="00424261">
        <w:rPr>
          <w:rFonts w:ascii="Palatino Linotype" w:hAnsi="Palatino Linotype"/>
          <w:i/>
          <w:iCs/>
          <w:color w:val="000000" w:themeColor="text1"/>
          <w:sz w:val="22"/>
          <w:szCs w:val="20"/>
        </w:rPr>
        <w:t>LA RESERVACION DE INFORMACION ESTA MAL ASI COMO LA PRUEBA DE DAÑO</w:t>
      </w:r>
      <w:r w:rsidRPr="00424261">
        <w:rPr>
          <w:rFonts w:ascii="Palatino Linotype" w:hAnsi="Palatino Linotype"/>
          <w:i/>
          <w:iCs/>
          <w:color w:val="000000" w:themeColor="text1"/>
          <w:sz w:val="22"/>
          <w:szCs w:val="20"/>
        </w:rPr>
        <w:t>”</w:t>
      </w:r>
      <w:r w:rsidRPr="00424261">
        <w:rPr>
          <w:rFonts w:ascii="Palatino Linotype" w:hAnsi="Palatino Linotype"/>
          <w:color w:val="000000" w:themeColor="text1"/>
          <w:sz w:val="22"/>
          <w:szCs w:val="20"/>
        </w:rPr>
        <w:t xml:space="preserve"> (Sic)</w:t>
      </w:r>
    </w:p>
    <w:p w14:paraId="56E86B7F" w14:textId="2D70D834" w:rsidR="0079670F" w:rsidRPr="00424261" w:rsidRDefault="0079670F" w:rsidP="0079670F">
      <w:pPr>
        <w:tabs>
          <w:tab w:val="left" w:pos="426"/>
        </w:tabs>
        <w:spacing w:line="276" w:lineRule="auto"/>
        <w:ind w:left="567" w:right="567"/>
        <w:jc w:val="both"/>
        <w:rPr>
          <w:rFonts w:ascii="Palatino Linotype" w:hAnsi="Palatino Linotype"/>
          <w:color w:val="000000" w:themeColor="text1"/>
          <w:sz w:val="22"/>
          <w:szCs w:val="20"/>
        </w:rPr>
      </w:pPr>
    </w:p>
    <w:p w14:paraId="3DA3B08B" w14:textId="1C4D6C6F" w:rsidR="0079670F" w:rsidRPr="00424261" w:rsidRDefault="0079670F" w:rsidP="0079670F">
      <w:pPr>
        <w:tabs>
          <w:tab w:val="left" w:pos="426"/>
        </w:tabs>
        <w:spacing w:line="276" w:lineRule="auto"/>
        <w:ind w:left="567" w:right="567"/>
        <w:jc w:val="both"/>
        <w:rPr>
          <w:rFonts w:ascii="Palatino Linotype" w:hAnsi="Palatino Linotype"/>
          <w:b/>
          <w:bCs/>
          <w:color w:val="000000" w:themeColor="text1"/>
          <w:sz w:val="22"/>
          <w:szCs w:val="20"/>
        </w:rPr>
      </w:pPr>
      <w:r w:rsidRPr="00424261">
        <w:rPr>
          <w:rFonts w:ascii="Palatino Linotype" w:hAnsi="Palatino Linotype"/>
          <w:b/>
          <w:bCs/>
          <w:color w:val="000000" w:themeColor="text1"/>
          <w:sz w:val="22"/>
          <w:szCs w:val="20"/>
        </w:rPr>
        <w:t xml:space="preserve">Recurso de revisión </w:t>
      </w:r>
      <w:r w:rsidR="00D21CC1" w:rsidRPr="00424261">
        <w:rPr>
          <w:rFonts w:ascii="Palatino Linotype" w:hAnsi="Palatino Linotype"/>
          <w:b/>
          <w:bCs/>
          <w:color w:val="000000" w:themeColor="text1"/>
          <w:sz w:val="22"/>
          <w:szCs w:val="20"/>
        </w:rPr>
        <w:t>05919/INFOEM/IP/RR/2021</w:t>
      </w:r>
      <w:r w:rsidRPr="00424261">
        <w:rPr>
          <w:rFonts w:ascii="Palatino Linotype" w:hAnsi="Palatino Linotype"/>
          <w:b/>
          <w:bCs/>
          <w:color w:val="000000" w:themeColor="text1"/>
          <w:sz w:val="22"/>
          <w:szCs w:val="20"/>
        </w:rPr>
        <w:t>:</w:t>
      </w:r>
    </w:p>
    <w:p w14:paraId="4BB88E13" w14:textId="34705CE6" w:rsidR="0079670F" w:rsidRPr="00424261"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424261">
        <w:rPr>
          <w:rFonts w:ascii="Palatino Linotype" w:hAnsi="Palatino Linotype"/>
          <w:b/>
          <w:bCs/>
          <w:color w:val="000000" w:themeColor="text1"/>
          <w:sz w:val="22"/>
          <w:szCs w:val="20"/>
        </w:rPr>
        <w:t>Acto impugnado:</w:t>
      </w:r>
      <w:r w:rsidRPr="00424261">
        <w:rPr>
          <w:rFonts w:ascii="Palatino Linotype" w:hAnsi="Palatino Linotype"/>
          <w:color w:val="000000" w:themeColor="text1"/>
          <w:sz w:val="22"/>
          <w:szCs w:val="20"/>
        </w:rPr>
        <w:t xml:space="preserve"> “</w:t>
      </w:r>
      <w:r w:rsidR="002D38C3" w:rsidRPr="00424261">
        <w:rPr>
          <w:rFonts w:ascii="Palatino Linotype" w:hAnsi="Palatino Linotype"/>
          <w:i/>
          <w:iCs/>
          <w:color w:val="000000" w:themeColor="text1"/>
          <w:sz w:val="22"/>
          <w:szCs w:val="20"/>
        </w:rPr>
        <w:t>NO DAN NINGUNA INFORMACION MAS QUE PAJA POR LO TANTO SOLICITO AL (INFOEM) QUE MEDIANTE UNA RESOLUCION LOS OBLIGUE A DAR LA INFORMACION DERIVADO QUE ES DE SU IMPORTANCIA Y DE CARACTER SOCIAL</w:t>
      </w:r>
      <w:r w:rsidRPr="00424261">
        <w:rPr>
          <w:rFonts w:ascii="Palatino Linotype" w:hAnsi="Palatino Linotype"/>
          <w:color w:val="000000" w:themeColor="text1"/>
          <w:sz w:val="22"/>
          <w:szCs w:val="20"/>
        </w:rPr>
        <w:t>” (Sic).</w:t>
      </w:r>
    </w:p>
    <w:p w14:paraId="022F56FB" w14:textId="3CA7F1EE" w:rsidR="0079670F" w:rsidRPr="00424261"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424261">
        <w:rPr>
          <w:rFonts w:ascii="Palatino Linotype" w:hAnsi="Palatino Linotype"/>
          <w:b/>
          <w:bCs/>
          <w:color w:val="000000" w:themeColor="text1"/>
          <w:sz w:val="22"/>
          <w:szCs w:val="20"/>
        </w:rPr>
        <w:t>Razones o motivos de inconformidad:</w:t>
      </w:r>
      <w:r w:rsidRPr="00424261">
        <w:rPr>
          <w:rFonts w:ascii="Palatino Linotype" w:hAnsi="Palatino Linotype"/>
          <w:color w:val="000000" w:themeColor="text1"/>
          <w:sz w:val="22"/>
          <w:szCs w:val="20"/>
        </w:rPr>
        <w:t xml:space="preserve"> “</w:t>
      </w:r>
      <w:r w:rsidR="00BC03A7" w:rsidRPr="00424261">
        <w:rPr>
          <w:rFonts w:ascii="Palatino Linotype" w:hAnsi="Palatino Linotype"/>
          <w:i/>
          <w:iCs/>
          <w:color w:val="000000" w:themeColor="text1"/>
          <w:sz w:val="22"/>
          <w:szCs w:val="20"/>
        </w:rPr>
        <w:t>NO DAN NINGUNA INFORMACION MAS QUE PAJA POR LO TANTO SOLICITO AL (INFOEM) QUE MEDIANTE UNA RESOLUCION LOS OBLIGUE A DAR LA INFORMACION DERIVADO QUE ES DE SU IMPORTANCIA Y DE CARACTER SOCIAL</w:t>
      </w:r>
      <w:r w:rsidRPr="00424261">
        <w:rPr>
          <w:rFonts w:ascii="Palatino Linotype" w:hAnsi="Palatino Linotype"/>
          <w:i/>
          <w:iCs/>
          <w:color w:val="000000" w:themeColor="text1"/>
          <w:sz w:val="22"/>
          <w:szCs w:val="20"/>
        </w:rPr>
        <w:t>”</w:t>
      </w:r>
      <w:r w:rsidRPr="00424261">
        <w:rPr>
          <w:rFonts w:ascii="Palatino Linotype" w:hAnsi="Palatino Linotype"/>
          <w:color w:val="000000" w:themeColor="text1"/>
          <w:sz w:val="22"/>
          <w:szCs w:val="20"/>
        </w:rPr>
        <w:t xml:space="preserve"> (Sic)</w:t>
      </w:r>
    </w:p>
    <w:p w14:paraId="5956C8D1" w14:textId="77777777" w:rsidR="0079670F" w:rsidRPr="00424261" w:rsidRDefault="0079670F" w:rsidP="0079670F">
      <w:pPr>
        <w:tabs>
          <w:tab w:val="left" w:pos="426"/>
        </w:tabs>
        <w:spacing w:line="360" w:lineRule="auto"/>
        <w:jc w:val="both"/>
        <w:rPr>
          <w:rFonts w:ascii="Palatino Linotype" w:hAnsi="Palatino Linotype"/>
          <w:color w:val="000000" w:themeColor="text1"/>
          <w:szCs w:val="22"/>
        </w:rPr>
      </w:pPr>
    </w:p>
    <w:p w14:paraId="65CB77BE" w14:textId="3A017A08" w:rsidR="005F1362" w:rsidRPr="00424261" w:rsidRDefault="00D70F86"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24261">
        <w:rPr>
          <w:rFonts w:ascii="Palatino Linotype" w:eastAsia="Times New Roman" w:hAnsi="Palatino Linotype" w:cs="Arial"/>
          <w:color w:val="000000" w:themeColor="text1"/>
          <w:lang w:val="es-ES"/>
        </w:rPr>
        <w:lastRenderedPageBreak/>
        <w:t>S</w:t>
      </w:r>
      <w:r w:rsidR="005F1362" w:rsidRPr="00424261">
        <w:rPr>
          <w:rFonts w:ascii="Palatino Linotype" w:eastAsia="Times New Roman" w:hAnsi="Palatino Linotype" w:cs="Arial"/>
          <w:color w:val="000000" w:themeColor="text1"/>
          <w:lang w:val="es-ES"/>
        </w:rPr>
        <w:t xml:space="preserve">e </w:t>
      </w:r>
      <w:r w:rsidR="00FD4A54" w:rsidRPr="00424261">
        <w:rPr>
          <w:rFonts w:ascii="Palatino Linotype" w:eastAsia="Times New Roman" w:hAnsi="Palatino Linotype" w:cs="Arial"/>
          <w:color w:val="000000" w:themeColor="text1"/>
          <w:lang w:val="es-ES"/>
        </w:rPr>
        <w:t xml:space="preserve">registraron los recursos de revisión bajo los números de expediente </w:t>
      </w:r>
      <w:r w:rsidR="00D21CC1" w:rsidRPr="00424261">
        <w:rPr>
          <w:rFonts w:ascii="Palatino Linotype" w:eastAsia="Times New Roman" w:hAnsi="Palatino Linotype" w:cs="Arial"/>
          <w:b/>
          <w:color w:val="000000" w:themeColor="text1"/>
          <w:lang w:val="es-ES"/>
        </w:rPr>
        <w:t>05918/INFOEM/IP/RR/2021</w:t>
      </w:r>
      <w:r w:rsidR="00FD4A54" w:rsidRPr="00424261">
        <w:rPr>
          <w:rFonts w:ascii="Palatino Linotype" w:eastAsia="Times New Roman" w:hAnsi="Palatino Linotype" w:cs="Arial"/>
          <w:color w:val="000000" w:themeColor="text1"/>
          <w:lang w:val="es-ES"/>
        </w:rPr>
        <w:t xml:space="preserve"> y </w:t>
      </w:r>
      <w:r w:rsidR="00D21CC1" w:rsidRPr="00424261">
        <w:rPr>
          <w:rFonts w:ascii="Palatino Linotype" w:eastAsia="Times New Roman" w:hAnsi="Palatino Linotype" w:cs="Arial"/>
          <w:b/>
          <w:color w:val="000000" w:themeColor="text1"/>
          <w:lang w:val="es-ES"/>
        </w:rPr>
        <w:t>05919/INFOEM/IP/RR/2021</w:t>
      </w:r>
      <w:r w:rsidR="00FD4A54" w:rsidRPr="00424261">
        <w:rPr>
          <w:rFonts w:ascii="Palatino Linotype" w:hAnsi="Palatino Linotype" w:cs="Arial"/>
          <w:bCs/>
          <w:color w:val="000000" w:themeColor="text1"/>
        </w:rPr>
        <w:t xml:space="preserve">; asimismo, con fundamento en lo dispuesto por el </w:t>
      </w:r>
      <w:r w:rsidR="00FD4A54" w:rsidRPr="00424261">
        <w:rPr>
          <w:rFonts w:ascii="Palatino Linotype" w:eastAsia="Calibri" w:hAnsi="Palatino Linotype" w:cs="Arial"/>
          <w:bCs/>
          <w:color w:val="000000" w:themeColor="text1"/>
          <w:lang w:val="es-ES"/>
        </w:rPr>
        <w:t>artículo 185</w:t>
      </w:r>
      <w:r w:rsidR="00BC03A7" w:rsidRPr="00424261">
        <w:rPr>
          <w:rFonts w:ascii="Palatino Linotype" w:eastAsia="Calibri" w:hAnsi="Palatino Linotype" w:cs="Arial"/>
          <w:bCs/>
          <w:color w:val="000000" w:themeColor="text1"/>
          <w:lang w:val="es-ES"/>
        </w:rPr>
        <w:t>,</w:t>
      </w:r>
      <w:r w:rsidR="00FD4A54" w:rsidRPr="00424261">
        <w:rPr>
          <w:rFonts w:ascii="Palatino Linotype" w:eastAsia="Calibri" w:hAnsi="Palatino Linotype" w:cs="Arial"/>
          <w:bCs/>
          <w:color w:val="000000" w:themeColor="text1"/>
          <w:lang w:val="es-ES"/>
        </w:rPr>
        <w:t xml:space="preserve"> fracción I</w:t>
      </w:r>
      <w:r w:rsidR="00BC03A7" w:rsidRPr="00424261">
        <w:rPr>
          <w:rFonts w:ascii="Palatino Linotype" w:eastAsia="Calibri" w:hAnsi="Palatino Linotype" w:cs="Arial"/>
          <w:bCs/>
          <w:color w:val="000000" w:themeColor="text1"/>
          <w:lang w:val="es-ES"/>
        </w:rPr>
        <w:t>,</w:t>
      </w:r>
      <w:r w:rsidR="00FD4A54" w:rsidRPr="00424261">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FD4A54" w:rsidRPr="00424261">
        <w:rPr>
          <w:rFonts w:ascii="Palatino Linotype" w:eastAsia="Times New Roman" w:hAnsi="Palatino Linotype" w:cs="Arial"/>
          <w:bCs/>
          <w:color w:val="000000" w:themeColor="text1"/>
          <w:lang w:val="es-ES"/>
        </w:rPr>
        <w:t xml:space="preserve">se turnaron a los </w:t>
      </w:r>
      <w:r w:rsidR="00FD4A54" w:rsidRPr="00424261">
        <w:rPr>
          <w:rFonts w:ascii="Palatino Linotype" w:eastAsia="Times New Roman" w:hAnsi="Palatino Linotype" w:cs="Arial"/>
          <w:b/>
          <w:bCs/>
          <w:color w:val="000000" w:themeColor="text1"/>
          <w:lang w:val="es-ES"/>
        </w:rPr>
        <w:t>Comisionadas María del Rosario Mejía Ayala</w:t>
      </w:r>
      <w:r w:rsidR="00FD4A54" w:rsidRPr="00424261">
        <w:rPr>
          <w:rFonts w:ascii="Palatino Linotype" w:eastAsia="Times New Roman" w:hAnsi="Palatino Linotype" w:cs="Arial"/>
          <w:bCs/>
          <w:color w:val="000000" w:themeColor="text1"/>
          <w:lang w:val="es-ES"/>
        </w:rPr>
        <w:t xml:space="preserve"> y </w:t>
      </w:r>
      <w:r w:rsidR="00BC03A7" w:rsidRPr="00424261">
        <w:rPr>
          <w:rFonts w:ascii="Palatino Linotype" w:eastAsia="Times New Roman" w:hAnsi="Palatino Linotype" w:cs="Arial"/>
          <w:b/>
          <w:bCs/>
          <w:color w:val="000000" w:themeColor="text1"/>
          <w:lang w:val="es-ES"/>
        </w:rPr>
        <w:t>Guadalupe Ramírez Peña</w:t>
      </w:r>
      <w:r w:rsidR="00FD4A54" w:rsidRPr="00424261">
        <w:rPr>
          <w:rFonts w:ascii="Palatino Linotype" w:eastAsia="Times New Roman" w:hAnsi="Palatino Linotype" w:cs="Arial"/>
          <w:bCs/>
          <w:color w:val="000000" w:themeColor="text1"/>
          <w:lang w:val="es-ES"/>
        </w:rPr>
        <w:t xml:space="preserve"> respectivamente, con el objeto de </w:t>
      </w:r>
      <w:r w:rsidR="00FD4A54" w:rsidRPr="00424261">
        <w:rPr>
          <w:rFonts w:ascii="Palatino Linotype" w:eastAsia="Times New Roman" w:hAnsi="Palatino Linotype" w:cs="Arial"/>
          <w:bCs/>
          <w:color w:val="000000" w:themeColor="text1"/>
        </w:rPr>
        <w:t>su análisis.</w:t>
      </w:r>
    </w:p>
    <w:p w14:paraId="2BDE682E" w14:textId="77777777" w:rsidR="005F1362" w:rsidRPr="00424261"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5C196B" w14:textId="5E0EEADF" w:rsidR="003F0DDA" w:rsidRPr="00424261" w:rsidRDefault="0096234B" w:rsidP="009E1F1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24261">
        <w:rPr>
          <w:rFonts w:ascii="Palatino Linotype" w:eastAsia="Times New Roman" w:hAnsi="Palatino Linotype" w:cs="Arial"/>
          <w:color w:val="000000" w:themeColor="text1"/>
          <w:lang w:val="es-ES"/>
        </w:rPr>
        <w:t>L</w:t>
      </w:r>
      <w:r w:rsidR="00BC03A7" w:rsidRPr="00424261">
        <w:rPr>
          <w:rFonts w:ascii="Palatino Linotype" w:eastAsia="Times New Roman" w:hAnsi="Palatino Linotype" w:cs="Arial"/>
          <w:color w:val="000000" w:themeColor="text1"/>
          <w:lang w:val="es-ES"/>
        </w:rPr>
        <w:t>a</w:t>
      </w:r>
      <w:r w:rsidR="00FD4A54" w:rsidRPr="00424261">
        <w:rPr>
          <w:rFonts w:ascii="Palatino Linotype" w:eastAsia="Times New Roman" w:hAnsi="Palatino Linotype" w:cs="Arial"/>
          <w:color w:val="000000" w:themeColor="text1"/>
          <w:lang w:val="es-ES"/>
        </w:rPr>
        <w:t xml:space="preserve">s </w:t>
      </w:r>
      <w:bookmarkStart w:id="5" w:name="_Hlk74251533"/>
      <w:r w:rsidR="00FD4A54" w:rsidRPr="00424261">
        <w:rPr>
          <w:rFonts w:ascii="Palatino Linotype" w:eastAsia="Calibri" w:hAnsi="Palatino Linotype" w:cs="Arial"/>
          <w:color w:val="000000" w:themeColor="text1"/>
          <w:lang w:val="es-ES"/>
        </w:rPr>
        <w:t>Comisionados Ponentes, con fundamento en lo dispuesto por el artículo 185</w:t>
      </w:r>
      <w:r w:rsidR="00BC03A7" w:rsidRPr="00424261">
        <w:rPr>
          <w:rFonts w:ascii="Palatino Linotype" w:eastAsia="Calibri" w:hAnsi="Palatino Linotype" w:cs="Arial"/>
          <w:color w:val="000000" w:themeColor="text1"/>
          <w:lang w:val="es-ES"/>
        </w:rPr>
        <w:t>,</w:t>
      </w:r>
      <w:r w:rsidR="00FD4A54" w:rsidRPr="00424261">
        <w:rPr>
          <w:rFonts w:ascii="Palatino Linotype" w:eastAsia="Calibri" w:hAnsi="Palatino Linotype" w:cs="Arial"/>
          <w:color w:val="000000" w:themeColor="text1"/>
          <w:lang w:val="es-ES"/>
        </w:rPr>
        <w:t xml:space="preserve"> fracción II</w:t>
      </w:r>
      <w:r w:rsidR="00BC03A7" w:rsidRPr="00424261">
        <w:rPr>
          <w:rFonts w:ascii="Palatino Linotype" w:eastAsia="Calibri" w:hAnsi="Palatino Linotype" w:cs="Arial"/>
          <w:color w:val="000000" w:themeColor="text1"/>
          <w:lang w:val="es-ES"/>
        </w:rPr>
        <w:t>,</w:t>
      </w:r>
      <w:r w:rsidR="00FD4A54" w:rsidRPr="00424261">
        <w:rPr>
          <w:rFonts w:ascii="Palatino Linotype" w:eastAsia="Calibri" w:hAnsi="Palatino Linotype" w:cs="Arial"/>
          <w:color w:val="000000" w:themeColor="text1"/>
          <w:lang w:val="es-ES"/>
        </w:rPr>
        <w:t xml:space="preserve"> de la </w:t>
      </w:r>
      <w:r w:rsidR="00BC03A7" w:rsidRPr="00424261">
        <w:rPr>
          <w:rFonts w:ascii="Palatino Linotype" w:eastAsia="Calibri" w:hAnsi="Palatino Linotype" w:cs="Arial"/>
          <w:color w:val="000000" w:themeColor="text1"/>
          <w:lang w:val="es-ES"/>
        </w:rPr>
        <w:t xml:space="preserve">Ley </w:t>
      </w:r>
      <w:r w:rsidR="00FD4A54" w:rsidRPr="00424261">
        <w:rPr>
          <w:rFonts w:ascii="Palatino Linotype" w:eastAsia="Calibri" w:hAnsi="Palatino Linotype" w:cs="Arial"/>
          <w:color w:val="000000" w:themeColor="text1"/>
          <w:lang w:val="es-ES"/>
        </w:rPr>
        <w:t xml:space="preserve">de la materia, a través de los acuerdos de admisión de </w:t>
      </w:r>
      <w:r w:rsidR="00BC03A7" w:rsidRPr="00424261">
        <w:rPr>
          <w:rFonts w:ascii="Palatino Linotype" w:eastAsia="Calibri" w:hAnsi="Palatino Linotype" w:cs="Arial"/>
          <w:color w:val="000000" w:themeColor="text1"/>
          <w:lang w:val="es-ES"/>
        </w:rPr>
        <w:t>dos (02) y tres (03) de diciembre</w:t>
      </w:r>
      <w:r w:rsidR="00FD4A54" w:rsidRPr="00424261">
        <w:rPr>
          <w:rFonts w:ascii="Palatino Linotype" w:eastAsia="Calibri" w:hAnsi="Palatino Linotype" w:cs="Arial"/>
          <w:color w:val="000000" w:themeColor="text1"/>
          <w:lang w:val="es-ES"/>
        </w:rPr>
        <w:t xml:space="preserve"> de dos mil veintiuno, pusieron a disposición de las partes los expedientes electrónicos </w:t>
      </w:r>
      <w:r w:rsidR="00FD4A54" w:rsidRPr="00424261">
        <w:rPr>
          <w:rFonts w:ascii="Palatino Linotype" w:eastAsia="Calibri" w:hAnsi="Palatino Linotype" w:cs="Arial"/>
          <w:color w:val="000000" w:themeColor="text1"/>
        </w:rPr>
        <w:t xml:space="preserve">vía </w:t>
      </w:r>
      <w:r w:rsidR="00BC03A7" w:rsidRPr="00424261">
        <w:rPr>
          <w:rFonts w:ascii="Palatino Linotype" w:eastAsia="Calibri" w:hAnsi="Palatino Linotype" w:cs="Arial"/>
          <w:color w:val="000000" w:themeColor="text1"/>
          <w:lang w:val="es-ES"/>
        </w:rPr>
        <w:t>SAIMEX</w:t>
      </w:r>
      <w:r w:rsidR="00FD4A54" w:rsidRPr="00424261">
        <w:rPr>
          <w:rFonts w:ascii="Palatino Linotype" w:eastAsia="Calibri" w:hAnsi="Palatino Linotype" w:cs="Arial"/>
          <w:b/>
          <w:color w:val="000000" w:themeColor="text1"/>
          <w:lang w:val="es-ES"/>
        </w:rPr>
        <w:t xml:space="preserve"> </w:t>
      </w:r>
      <w:r w:rsidR="00FD4A54" w:rsidRPr="00424261">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FD4A54" w:rsidRPr="00424261">
        <w:rPr>
          <w:rFonts w:ascii="Palatino Linotype" w:eastAsia="Calibri" w:hAnsi="Palatino Linotype" w:cs="Arial"/>
          <w:b/>
          <w:color w:val="000000" w:themeColor="text1"/>
          <w:lang w:val="es-ES"/>
        </w:rPr>
        <w:t>SUJETO OBLIGADO</w:t>
      </w:r>
      <w:r w:rsidR="00FD4A54" w:rsidRPr="00424261">
        <w:rPr>
          <w:rFonts w:ascii="Palatino Linotype" w:eastAsia="Calibri" w:hAnsi="Palatino Linotype" w:cs="Arial"/>
          <w:color w:val="000000" w:themeColor="text1"/>
          <w:lang w:val="es-ES"/>
        </w:rPr>
        <w:t xml:space="preserve"> presentara los Informes Justificados procedentes.</w:t>
      </w:r>
      <w:bookmarkEnd w:id="5"/>
    </w:p>
    <w:p w14:paraId="4D8F1F4A" w14:textId="77777777" w:rsidR="00FD4A54" w:rsidRPr="00424261" w:rsidRDefault="00FD4A54"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AE94AAD" w14:textId="44B64A63" w:rsidR="00FD4A54" w:rsidRPr="00424261" w:rsidRDefault="005328F6" w:rsidP="009205E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24261">
        <w:rPr>
          <w:rFonts w:ascii="Palatino Linotype" w:eastAsia="Calibri" w:hAnsi="Palatino Linotype" w:cs="Arial"/>
          <w:color w:val="000000" w:themeColor="text1"/>
          <w:lang w:val="es-ES"/>
        </w:rPr>
        <w:t>En</w:t>
      </w:r>
      <w:r w:rsidR="009205EE" w:rsidRPr="00424261">
        <w:rPr>
          <w:rFonts w:ascii="Palatino Linotype" w:eastAsia="Calibri" w:hAnsi="Palatino Linotype" w:cs="Arial"/>
          <w:color w:val="000000" w:themeColor="text1"/>
          <w:lang w:val="es-ES"/>
        </w:rPr>
        <w:t xml:space="preserve"> la </w:t>
      </w:r>
      <w:r w:rsidR="003A76C7" w:rsidRPr="00424261">
        <w:rPr>
          <w:rFonts w:ascii="Palatino Linotype" w:eastAsia="Calibri" w:hAnsi="Palatino Linotype" w:cs="Arial"/>
          <w:color w:val="000000" w:themeColor="text1"/>
          <w:lang w:val="es-ES"/>
        </w:rPr>
        <w:t>Cuadragésima Cuarta</w:t>
      </w:r>
      <w:r w:rsidR="009205EE" w:rsidRPr="00424261">
        <w:rPr>
          <w:rFonts w:ascii="Palatino Linotype" w:eastAsia="Calibri" w:hAnsi="Palatino Linotype" w:cs="Arial"/>
          <w:color w:val="000000" w:themeColor="text1"/>
          <w:lang w:val="es-ES"/>
        </w:rPr>
        <w:t xml:space="preserve"> Sesión Ordinaria del Pleno de este Órgano Autónomo, celebrada el </w:t>
      </w:r>
      <w:r w:rsidR="003A76C7" w:rsidRPr="00424261">
        <w:rPr>
          <w:rFonts w:ascii="Palatino Linotype" w:eastAsia="Calibri" w:hAnsi="Palatino Linotype" w:cs="Arial"/>
          <w:color w:val="000000" w:themeColor="text1"/>
          <w:lang w:val="es-ES"/>
        </w:rPr>
        <w:t>ocho (08) de diciembre</w:t>
      </w:r>
      <w:r w:rsidR="009205EE" w:rsidRPr="00424261">
        <w:rPr>
          <w:rFonts w:ascii="Palatino Linotype" w:eastAsia="Calibri" w:hAnsi="Palatino Linotype" w:cs="Arial"/>
          <w:color w:val="000000" w:themeColor="text1"/>
          <w:lang w:val="es-ES"/>
        </w:rPr>
        <w:t xml:space="preserve"> de dos mil veintiuno, se </w:t>
      </w:r>
      <w:r w:rsidR="009205EE" w:rsidRPr="00424261">
        <w:rPr>
          <w:rFonts w:ascii="Palatino Linotype" w:eastAsia="Times New Roman" w:hAnsi="Palatino Linotype" w:cs="Arial"/>
          <w:color w:val="000000" w:themeColor="text1"/>
        </w:rPr>
        <w:t xml:space="preserve">ordenó la acumulación del recurso de revisión </w:t>
      </w:r>
      <w:r w:rsidR="00D21CC1" w:rsidRPr="00424261">
        <w:rPr>
          <w:rFonts w:ascii="Palatino Linotype" w:eastAsia="Times New Roman" w:hAnsi="Palatino Linotype" w:cs="Arial"/>
          <w:b/>
          <w:color w:val="000000" w:themeColor="text1"/>
        </w:rPr>
        <w:t>05919/INFOEM/IP/RR/2021</w:t>
      </w:r>
      <w:r w:rsidR="009205EE" w:rsidRPr="00424261">
        <w:rPr>
          <w:rFonts w:ascii="Palatino Linotype" w:eastAsia="Times New Roman" w:hAnsi="Palatino Linotype" w:cs="Arial"/>
          <w:color w:val="000000" w:themeColor="text1"/>
        </w:rPr>
        <w:t>, turnado</w:t>
      </w:r>
      <w:r w:rsidR="009205EE" w:rsidRPr="00424261">
        <w:rPr>
          <w:rFonts w:ascii="Palatino Linotype" w:eastAsia="Times New Roman" w:hAnsi="Palatino Linotype" w:cs="Arial"/>
          <w:b/>
          <w:bCs/>
          <w:color w:val="000000" w:themeColor="text1"/>
        </w:rPr>
        <w:t xml:space="preserve"> </w:t>
      </w:r>
      <w:r w:rsidR="009205EE" w:rsidRPr="00424261">
        <w:rPr>
          <w:rFonts w:ascii="Palatino Linotype" w:eastAsia="Times New Roman" w:hAnsi="Palatino Linotype" w:cs="Arial"/>
          <w:bCs/>
          <w:color w:val="000000" w:themeColor="text1"/>
        </w:rPr>
        <w:t>originalmente a</w:t>
      </w:r>
      <w:r w:rsidR="003A76C7" w:rsidRPr="00424261">
        <w:rPr>
          <w:rFonts w:ascii="Palatino Linotype" w:eastAsia="Times New Roman" w:hAnsi="Palatino Linotype" w:cs="Arial"/>
          <w:bCs/>
          <w:color w:val="000000" w:themeColor="text1"/>
        </w:rPr>
        <w:t xml:space="preserve"> </w:t>
      </w:r>
      <w:r w:rsidR="009205EE" w:rsidRPr="00424261">
        <w:rPr>
          <w:rFonts w:ascii="Palatino Linotype" w:eastAsia="Times New Roman" w:hAnsi="Palatino Linotype" w:cs="Arial"/>
          <w:bCs/>
          <w:color w:val="000000" w:themeColor="text1"/>
        </w:rPr>
        <w:t>l</w:t>
      </w:r>
      <w:r w:rsidR="003A76C7" w:rsidRPr="00424261">
        <w:rPr>
          <w:rFonts w:ascii="Palatino Linotype" w:eastAsia="Times New Roman" w:hAnsi="Palatino Linotype" w:cs="Arial"/>
          <w:bCs/>
          <w:color w:val="000000" w:themeColor="text1"/>
        </w:rPr>
        <w:t>a</w:t>
      </w:r>
      <w:r w:rsidR="009205EE" w:rsidRPr="00424261">
        <w:rPr>
          <w:rFonts w:ascii="Palatino Linotype" w:eastAsia="Times New Roman" w:hAnsi="Palatino Linotype" w:cs="Arial"/>
          <w:bCs/>
          <w:color w:val="000000" w:themeColor="text1"/>
        </w:rPr>
        <w:t xml:space="preserve"> </w:t>
      </w:r>
      <w:r w:rsidR="003A76C7" w:rsidRPr="00424261">
        <w:rPr>
          <w:rFonts w:ascii="Palatino Linotype" w:eastAsia="Times New Roman" w:hAnsi="Palatino Linotype" w:cs="Arial"/>
          <w:b/>
          <w:bCs/>
          <w:color w:val="000000" w:themeColor="text1"/>
        </w:rPr>
        <w:t>Comisionada Guadalupe Ramírez Peña</w:t>
      </w:r>
      <w:r w:rsidR="009205EE" w:rsidRPr="00424261">
        <w:rPr>
          <w:rFonts w:ascii="Palatino Linotype" w:eastAsia="Times New Roman" w:hAnsi="Palatino Linotype" w:cs="Arial"/>
          <w:bCs/>
          <w:color w:val="000000" w:themeColor="text1"/>
        </w:rPr>
        <w:t>,</w:t>
      </w:r>
      <w:r w:rsidR="009205EE" w:rsidRPr="00424261">
        <w:rPr>
          <w:rFonts w:ascii="Palatino Linotype" w:eastAsia="Times New Roman" w:hAnsi="Palatino Linotype" w:cs="Arial"/>
          <w:b/>
          <w:bCs/>
          <w:color w:val="000000" w:themeColor="text1"/>
        </w:rPr>
        <w:t xml:space="preserve"> </w:t>
      </w:r>
      <w:r w:rsidR="009205EE" w:rsidRPr="00424261">
        <w:rPr>
          <w:rFonts w:ascii="Palatino Linotype" w:eastAsia="Times New Roman" w:hAnsi="Palatino Linotype" w:cs="Arial"/>
          <w:b/>
          <w:color w:val="000000" w:themeColor="text1"/>
        </w:rPr>
        <w:t xml:space="preserve"> </w:t>
      </w:r>
      <w:r w:rsidR="009205EE" w:rsidRPr="00424261">
        <w:rPr>
          <w:rFonts w:ascii="Palatino Linotype" w:eastAsia="Times New Roman" w:hAnsi="Palatino Linotype" w:cs="Arial"/>
          <w:color w:val="000000" w:themeColor="text1"/>
        </w:rPr>
        <w:t xml:space="preserve">al diverso </w:t>
      </w:r>
      <w:r w:rsidR="00D21CC1" w:rsidRPr="00424261">
        <w:rPr>
          <w:rFonts w:ascii="Palatino Linotype" w:eastAsia="Times New Roman" w:hAnsi="Palatino Linotype" w:cs="Arial"/>
          <w:b/>
          <w:color w:val="000000" w:themeColor="text1"/>
        </w:rPr>
        <w:t>05918/INFOEM/IP/RR/2021</w:t>
      </w:r>
      <w:r w:rsidR="009205EE" w:rsidRPr="00424261">
        <w:rPr>
          <w:rFonts w:ascii="Palatino Linotype" w:eastAsia="Times New Roman" w:hAnsi="Palatino Linotype" w:cs="Arial"/>
          <w:color w:val="000000" w:themeColor="text1"/>
        </w:rPr>
        <w:t xml:space="preserve">, a efecto de que </w:t>
      </w:r>
      <w:r w:rsidR="00520E25" w:rsidRPr="00424261">
        <w:rPr>
          <w:rFonts w:ascii="Palatino Linotype" w:eastAsia="Times New Roman" w:hAnsi="Palatino Linotype" w:cs="Arial"/>
          <w:color w:val="000000" w:themeColor="text1"/>
        </w:rPr>
        <w:t>esta Ponencia</w:t>
      </w:r>
      <w:r w:rsidR="009205EE" w:rsidRPr="00424261">
        <w:rPr>
          <w:rFonts w:ascii="Palatino Linotype" w:eastAsia="Times New Roman" w:hAnsi="Palatino Linotype" w:cs="Arial"/>
          <w:color w:val="000000" w:themeColor="text1"/>
        </w:rPr>
        <w:t xml:space="preserve"> formulara y presentara el proyecto de resolución correspondiente, de conformidad con el numeral ONCE</w:t>
      </w:r>
      <w:r w:rsidR="003A76C7" w:rsidRPr="00424261">
        <w:rPr>
          <w:rFonts w:ascii="Palatino Linotype" w:eastAsia="Times New Roman" w:hAnsi="Palatino Linotype" w:cs="Arial"/>
          <w:color w:val="000000" w:themeColor="text1"/>
        </w:rPr>
        <w:t>,</w:t>
      </w:r>
      <w:r w:rsidR="009205EE" w:rsidRPr="00424261">
        <w:rPr>
          <w:rFonts w:ascii="Palatino Linotype" w:eastAsia="Times New Roman" w:hAnsi="Palatino Linotype" w:cs="Arial"/>
          <w:color w:val="000000" w:themeColor="text1"/>
        </w:rPr>
        <w:t xml:space="preserve"> incisos b) y c)</w:t>
      </w:r>
      <w:r w:rsidR="003A76C7" w:rsidRPr="00424261">
        <w:rPr>
          <w:rFonts w:ascii="Palatino Linotype" w:eastAsia="Times New Roman" w:hAnsi="Palatino Linotype" w:cs="Arial"/>
          <w:color w:val="000000" w:themeColor="text1"/>
        </w:rPr>
        <w:t>,</w:t>
      </w:r>
      <w:r w:rsidR="009205EE" w:rsidRPr="00424261">
        <w:rPr>
          <w:rFonts w:ascii="Palatino Linotype" w:eastAsia="Times New Roman" w:hAnsi="Palatino Linotype" w:cs="Arial"/>
          <w:color w:val="000000" w:themeColor="text1"/>
        </w:rPr>
        <w:t xml:space="preserve"> de los Lineamientos para la Recepción, Trámite y Resolución de las Solicitudes de Acceso a la Información Pública, así como de los Recursos de Revisión </w:t>
      </w:r>
      <w:r w:rsidR="009205EE" w:rsidRPr="00424261">
        <w:rPr>
          <w:rFonts w:ascii="Palatino Linotype" w:eastAsia="Times New Roman" w:hAnsi="Palatino Linotype" w:cs="Arial"/>
          <w:color w:val="000000" w:themeColor="text1"/>
        </w:rPr>
        <w:lastRenderedPageBreak/>
        <w:t>que deberán observar los Sujetos Obligados por la Ley de Transparencia Estatal</w:t>
      </w:r>
      <w:r w:rsidR="009205EE" w:rsidRPr="00424261">
        <w:rPr>
          <w:rFonts w:ascii="Palatino Linotype" w:eastAsia="Times New Roman" w:hAnsi="Palatino Linotype" w:cs="Arial"/>
          <w:i/>
          <w:color w:val="000000" w:themeColor="text1"/>
          <w:vertAlign w:val="superscript"/>
        </w:rPr>
        <w:footnoteReference w:id="1"/>
      </w:r>
      <w:r w:rsidR="009205EE" w:rsidRPr="00424261">
        <w:rPr>
          <w:rFonts w:ascii="Palatino Linotype" w:eastAsia="Times New Roman" w:hAnsi="Palatino Linotype" w:cs="Arial"/>
          <w:color w:val="000000" w:themeColor="text1"/>
        </w:rPr>
        <w:t>, que señala:</w:t>
      </w:r>
    </w:p>
    <w:p w14:paraId="72AAC2BD" w14:textId="6B4ABC64" w:rsidR="009205EE" w:rsidRPr="00424261" w:rsidRDefault="009205EE" w:rsidP="009205E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4EF62A7" w14:textId="77777777" w:rsidR="00520E25" w:rsidRPr="00424261"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6" w:name="_Hlk74251499"/>
      <w:r w:rsidRPr="00424261">
        <w:rPr>
          <w:rFonts w:ascii="Palatino Linotype" w:eastAsia="Times New Roman" w:hAnsi="Palatino Linotype" w:cs="Arial"/>
          <w:b/>
          <w:i/>
          <w:sz w:val="22"/>
          <w:szCs w:val="22"/>
        </w:rPr>
        <w:t>“ONCE.</w:t>
      </w:r>
      <w:r w:rsidRPr="00424261">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EA862FA" w14:textId="77777777" w:rsidR="00520E25" w:rsidRPr="00424261"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24261">
        <w:rPr>
          <w:rFonts w:ascii="Palatino Linotype" w:eastAsia="Times New Roman" w:hAnsi="Palatino Linotype" w:cs="Arial"/>
          <w:i/>
          <w:sz w:val="22"/>
          <w:szCs w:val="22"/>
        </w:rPr>
        <w:t>(…)</w:t>
      </w:r>
    </w:p>
    <w:p w14:paraId="4CEA0782" w14:textId="77777777" w:rsidR="00520E25" w:rsidRPr="00424261" w:rsidRDefault="00520E25" w:rsidP="00520E25">
      <w:pPr>
        <w:spacing w:line="276" w:lineRule="auto"/>
        <w:ind w:left="567" w:right="567"/>
        <w:jc w:val="both"/>
        <w:rPr>
          <w:rFonts w:ascii="Palatino Linotype" w:eastAsia="Times New Roman" w:hAnsi="Palatino Linotype" w:cs="Times New Roman"/>
          <w:i/>
          <w:color w:val="000000"/>
          <w:sz w:val="22"/>
          <w:szCs w:val="22"/>
        </w:rPr>
      </w:pPr>
      <w:r w:rsidRPr="00424261">
        <w:rPr>
          <w:rFonts w:ascii="Palatino Linotype" w:eastAsia="Times New Roman" w:hAnsi="Palatino Linotype" w:cs="Times New Roman"/>
          <w:b/>
          <w:i/>
          <w:color w:val="000000"/>
          <w:sz w:val="22"/>
          <w:szCs w:val="22"/>
        </w:rPr>
        <w:t>b)</w:t>
      </w:r>
      <w:r w:rsidRPr="00424261">
        <w:rPr>
          <w:rFonts w:ascii="Palatino Linotype" w:eastAsia="Times New Roman" w:hAnsi="Palatino Linotype" w:cs="Times New Roman"/>
          <w:i/>
          <w:color w:val="000000"/>
          <w:sz w:val="22"/>
          <w:szCs w:val="22"/>
        </w:rPr>
        <w:t xml:space="preserve"> Las partes o los actos impugnados sean iguales</w:t>
      </w:r>
    </w:p>
    <w:p w14:paraId="492ED547" w14:textId="77777777" w:rsidR="00520E25" w:rsidRPr="00424261"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24261">
        <w:rPr>
          <w:rFonts w:ascii="Palatino Linotype" w:eastAsia="Times New Roman" w:hAnsi="Palatino Linotype" w:cs="Arial"/>
          <w:b/>
          <w:i/>
          <w:sz w:val="22"/>
          <w:szCs w:val="22"/>
        </w:rPr>
        <w:t>c)</w:t>
      </w:r>
      <w:r w:rsidRPr="00424261">
        <w:rPr>
          <w:rFonts w:ascii="Palatino Linotype" w:eastAsia="Times New Roman" w:hAnsi="Palatino Linotype" w:cs="Arial"/>
          <w:i/>
          <w:sz w:val="22"/>
          <w:szCs w:val="22"/>
        </w:rPr>
        <w:t xml:space="preserve"> Cuando se trate del mismo solicitante, el mismo SUJETO OBLIGADO, aunque se trate de solicitudes diversas;</w:t>
      </w:r>
    </w:p>
    <w:p w14:paraId="24B8D079" w14:textId="77777777" w:rsidR="00520E25" w:rsidRPr="00424261"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24261">
        <w:rPr>
          <w:rFonts w:ascii="Palatino Linotype" w:eastAsia="Times New Roman" w:hAnsi="Palatino Linotype" w:cs="Arial"/>
          <w:i/>
          <w:sz w:val="22"/>
          <w:szCs w:val="22"/>
        </w:rPr>
        <w:t>(…)”</w:t>
      </w:r>
    </w:p>
    <w:bookmarkEnd w:id="6"/>
    <w:p w14:paraId="259B9B4F" w14:textId="77777777" w:rsidR="00520E25" w:rsidRPr="00424261" w:rsidRDefault="00520E25" w:rsidP="009205E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B73C82D" w14:textId="5D7BB960" w:rsidR="00FD4A54" w:rsidRPr="00424261" w:rsidRDefault="00520E25" w:rsidP="009E1F1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24261">
        <w:rPr>
          <w:rFonts w:ascii="Palatino Linotype" w:eastAsia="Calibri" w:hAnsi="Palatino Linotype" w:cs="Arial"/>
          <w:color w:val="000000" w:themeColor="text1"/>
          <w:lang w:val="es-ES"/>
        </w:rPr>
        <w:t xml:space="preserve">En </w:t>
      </w:r>
      <w:bookmarkStart w:id="7" w:name="_Hlk74251510"/>
      <w:r w:rsidRPr="00424261">
        <w:rPr>
          <w:rFonts w:ascii="Palatino Linotype" w:eastAsia="Times New Roman" w:hAnsi="Palatino Linotype" w:cs="Arial"/>
          <w:color w:val="000000" w:themeColor="text1"/>
        </w:rPr>
        <w:t>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7"/>
    </w:p>
    <w:p w14:paraId="7B828436" w14:textId="05EB765B" w:rsidR="00FD4A54" w:rsidRPr="00424261" w:rsidRDefault="00FD4A54"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87B4112" w14:textId="77777777" w:rsidR="00520E25" w:rsidRPr="00424261" w:rsidRDefault="00520E25" w:rsidP="00520E25">
      <w:pPr>
        <w:spacing w:line="276" w:lineRule="auto"/>
        <w:ind w:left="567" w:right="567"/>
        <w:contextualSpacing/>
        <w:jc w:val="center"/>
        <w:rPr>
          <w:rFonts w:ascii="Palatino Linotype" w:hAnsi="Palatino Linotype"/>
          <w:b/>
          <w:i/>
          <w:sz w:val="22"/>
          <w:szCs w:val="22"/>
        </w:rPr>
      </w:pPr>
      <w:bookmarkStart w:id="8" w:name="_Hlk74251520"/>
      <w:r w:rsidRPr="00424261">
        <w:rPr>
          <w:rFonts w:ascii="Palatino Linotype" w:hAnsi="Palatino Linotype"/>
          <w:b/>
          <w:i/>
          <w:sz w:val="22"/>
          <w:szCs w:val="22"/>
        </w:rPr>
        <w:t>Código de Procedimientos Administrativos del Estado de México.</w:t>
      </w:r>
    </w:p>
    <w:p w14:paraId="7B7BFF0A" w14:textId="77777777" w:rsidR="00520E25" w:rsidRPr="00424261" w:rsidRDefault="00520E25" w:rsidP="00520E25">
      <w:pPr>
        <w:spacing w:line="276" w:lineRule="auto"/>
        <w:ind w:left="567" w:right="567"/>
        <w:contextualSpacing/>
        <w:jc w:val="center"/>
        <w:rPr>
          <w:rFonts w:ascii="Palatino Linotype" w:hAnsi="Palatino Linotype"/>
          <w:b/>
          <w:i/>
          <w:sz w:val="22"/>
          <w:szCs w:val="22"/>
        </w:rPr>
      </w:pPr>
    </w:p>
    <w:p w14:paraId="5EF428FA" w14:textId="77777777" w:rsidR="00520E25" w:rsidRPr="00424261" w:rsidRDefault="00520E25" w:rsidP="00520E25">
      <w:pPr>
        <w:spacing w:line="276" w:lineRule="auto"/>
        <w:ind w:left="567" w:right="567"/>
        <w:contextualSpacing/>
        <w:jc w:val="both"/>
        <w:rPr>
          <w:rFonts w:ascii="Palatino Linotype" w:hAnsi="Palatino Linotype"/>
          <w:i/>
          <w:sz w:val="22"/>
          <w:szCs w:val="22"/>
        </w:rPr>
      </w:pPr>
      <w:r w:rsidRPr="00424261">
        <w:rPr>
          <w:rFonts w:ascii="Palatino Linotype" w:hAnsi="Palatino Linotype"/>
          <w:b/>
          <w:i/>
          <w:sz w:val="22"/>
          <w:szCs w:val="22"/>
        </w:rPr>
        <w:t>“Artículo 18.-</w:t>
      </w:r>
      <w:r w:rsidRPr="00424261">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w:t>
      </w:r>
      <w:r w:rsidRPr="00424261">
        <w:rPr>
          <w:rFonts w:ascii="Palatino Linotype" w:hAnsi="Palatino Linotype"/>
          <w:i/>
          <w:sz w:val="22"/>
          <w:szCs w:val="22"/>
        </w:rPr>
        <w:lastRenderedPageBreak/>
        <w:t>evitar la emisión de resoluciones contradictorias. La misma regla se aplicará, en lo conducente, para la separación de los expedientes.”</w:t>
      </w:r>
    </w:p>
    <w:p w14:paraId="57D4F2E2" w14:textId="77777777" w:rsidR="00520E25" w:rsidRPr="00424261" w:rsidRDefault="00520E25" w:rsidP="00520E25">
      <w:pPr>
        <w:spacing w:line="276" w:lineRule="auto"/>
        <w:ind w:left="567" w:right="567"/>
        <w:contextualSpacing/>
        <w:jc w:val="both"/>
        <w:rPr>
          <w:rFonts w:ascii="Palatino Linotype" w:hAnsi="Palatino Linotype"/>
          <w:i/>
          <w:sz w:val="22"/>
          <w:szCs w:val="22"/>
        </w:rPr>
      </w:pPr>
    </w:p>
    <w:p w14:paraId="1F76AFCE" w14:textId="77777777" w:rsidR="00520E25" w:rsidRPr="00424261" w:rsidRDefault="00520E25" w:rsidP="00520E25">
      <w:pPr>
        <w:spacing w:line="276" w:lineRule="auto"/>
        <w:ind w:left="567" w:right="567"/>
        <w:contextualSpacing/>
        <w:jc w:val="center"/>
        <w:rPr>
          <w:rFonts w:ascii="Palatino Linotype" w:hAnsi="Palatino Linotype"/>
          <w:b/>
          <w:i/>
          <w:sz w:val="22"/>
          <w:szCs w:val="22"/>
        </w:rPr>
      </w:pPr>
      <w:r w:rsidRPr="00424261">
        <w:rPr>
          <w:rFonts w:ascii="Palatino Linotype" w:hAnsi="Palatino Linotype"/>
          <w:b/>
          <w:i/>
          <w:sz w:val="22"/>
          <w:szCs w:val="22"/>
        </w:rPr>
        <w:t>Ley de Transparencia y Acceso a la Información Pública del Estado de México y Municipios</w:t>
      </w:r>
    </w:p>
    <w:p w14:paraId="2743344D" w14:textId="77777777" w:rsidR="00520E25" w:rsidRPr="00424261" w:rsidRDefault="00520E25" w:rsidP="00520E25">
      <w:pPr>
        <w:spacing w:line="276" w:lineRule="auto"/>
        <w:ind w:left="567" w:right="567"/>
        <w:contextualSpacing/>
        <w:jc w:val="center"/>
        <w:rPr>
          <w:rFonts w:ascii="Palatino Linotype" w:hAnsi="Palatino Linotype"/>
          <w:b/>
          <w:i/>
          <w:sz w:val="22"/>
          <w:szCs w:val="22"/>
        </w:rPr>
      </w:pPr>
    </w:p>
    <w:p w14:paraId="583A25DE" w14:textId="77777777" w:rsidR="00520E25" w:rsidRPr="00424261" w:rsidRDefault="00520E25" w:rsidP="00520E25">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424261">
        <w:rPr>
          <w:rFonts w:ascii="Palatino Linotype" w:hAnsi="Palatino Linotype"/>
          <w:b/>
          <w:i/>
          <w:sz w:val="22"/>
          <w:szCs w:val="22"/>
        </w:rPr>
        <w:t>“Artículo 195.</w:t>
      </w:r>
      <w:r w:rsidRPr="00424261">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8"/>
    <w:p w14:paraId="0304C8BD" w14:textId="77777777" w:rsidR="00520E25" w:rsidRPr="00424261" w:rsidRDefault="00520E25"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34CD202" w14:textId="163A074F" w:rsidR="005328F6" w:rsidRPr="00424261" w:rsidRDefault="005328F6" w:rsidP="005328F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24261">
        <w:rPr>
          <w:rFonts w:ascii="Palatino Linotype" w:eastAsia="Calibri" w:hAnsi="Palatino Linotype" w:cs="Arial"/>
          <w:color w:val="000000" w:themeColor="text1"/>
          <w:lang w:val="es-ES"/>
        </w:rPr>
        <w:t xml:space="preserve">El diez (10) de diciembre de dos mil veintiuno, el </w:t>
      </w:r>
      <w:r w:rsidRPr="00424261">
        <w:rPr>
          <w:rFonts w:ascii="Palatino Linotype" w:eastAsia="Calibri" w:hAnsi="Palatino Linotype" w:cs="Arial"/>
          <w:b/>
          <w:bCs/>
          <w:color w:val="000000" w:themeColor="text1"/>
          <w:lang w:val="es-ES"/>
        </w:rPr>
        <w:t>SUJETO OBLIGADO</w:t>
      </w:r>
      <w:r w:rsidRPr="00424261">
        <w:rPr>
          <w:rFonts w:ascii="Palatino Linotype" w:eastAsia="Calibri" w:hAnsi="Palatino Linotype" w:cs="Arial"/>
          <w:color w:val="000000" w:themeColor="text1"/>
          <w:lang w:val="es-ES"/>
        </w:rPr>
        <w:t xml:space="preserve"> presentó sus informes justificados a través de los archivos electrónicos descritos a continuación:</w:t>
      </w:r>
    </w:p>
    <w:p w14:paraId="0521415D" w14:textId="77777777" w:rsidR="005328F6" w:rsidRPr="00424261" w:rsidRDefault="005328F6" w:rsidP="005328F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D54DD2" w14:textId="77777777" w:rsidR="005328F6" w:rsidRPr="00424261" w:rsidRDefault="005328F6" w:rsidP="005328F6">
      <w:pPr>
        <w:pStyle w:val="Prrafodelista"/>
        <w:tabs>
          <w:tab w:val="left" w:pos="426"/>
        </w:tabs>
        <w:spacing w:line="360" w:lineRule="auto"/>
        <w:ind w:left="567" w:right="567"/>
        <w:jc w:val="both"/>
        <w:rPr>
          <w:rFonts w:ascii="Palatino Linotype" w:eastAsia="Calibri" w:hAnsi="Palatino Linotype" w:cs="Arial"/>
          <w:b/>
          <w:bCs/>
          <w:color w:val="000000" w:themeColor="text1"/>
          <w:sz w:val="22"/>
          <w:szCs w:val="22"/>
          <w:lang w:val="es-ES"/>
        </w:rPr>
      </w:pPr>
      <w:r w:rsidRPr="00424261">
        <w:rPr>
          <w:rFonts w:ascii="Palatino Linotype" w:eastAsia="Calibri" w:hAnsi="Palatino Linotype" w:cs="Arial"/>
          <w:b/>
          <w:bCs/>
          <w:color w:val="000000" w:themeColor="text1"/>
          <w:sz w:val="22"/>
          <w:szCs w:val="22"/>
          <w:lang w:val="es-ES"/>
        </w:rPr>
        <w:t>Informe justificado sobre el recurso de revisión 05918/INFOEM/IP/RR/2021:</w:t>
      </w:r>
    </w:p>
    <w:p w14:paraId="7D17649A" w14:textId="77777777" w:rsidR="005328F6" w:rsidRPr="00424261" w:rsidRDefault="005328F6" w:rsidP="005328F6">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b/>
          <w:bCs/>
          <w:i/>
          <w:iCs/>
          <w:color w:val="000000" w:themeColor="text1"/>
          <w:sz w:val="22"/>
          <w:szCs w:val="22"/>
          <w:lang w:val="es-ES"/>
        </w:rPr>
        <w:t>“5918 informe justificado.pdf”</w:t>
      </w:r>
      <w:r w:rsidRPr="00424261">
        <w:rPr>
          <w:rFonts w:ascii="Palatino Linotype" w:eastAsia="Calibri" w:hAnsi="Palatino Linotype" w:cs="Arial"/>
          <w:color w:val="000000" w:themeColor="text1"/>
          <w:sz w:val="22"/>
          <w:szCs w:val="22"/>
          <w:lang w:val="es-ES"/>
        </w:rPr>
        <w:t>: Archivo de cinco fojas consistente en la copia digitalizada de los siguientes instrumentos:</w:t>
      </w:r>
    </w:p>
    <w:p w14:paraId="057B56B1" w14:textId="77777777" w:rsidR="005328F6" w:rsidRPr="00424261" w:rsidRDefault="005328F6" w:rsidP="0092310A">
      <w:pPr>
        <w:pStyle w:val="Prrafodelista"/>
        <w:numPr>
          <w:ilvl w:val="0"/>
          <w:numId w:val="5"/>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t xml:space="preserve">Oficio número SA-UT/884/2021, de dos (02) de diciembre de dos mil veintiuno, emitido por el Titular de la Unidad de Transparencia, y dirigido al Comisario General de Seguridad Pública y Tránsito, por medio del cual, informa sobre la interposición del recurso de revisión </w:t>
      </w:r>
      <w:r w:rsidRPr="00424261">
        <w:rPr>
          <w:rFonts w:ascii="Palatino Linotype" w:eastAsia="Calibri" w:hAnsi="Palatino Linotype" w:cs="Arial"/>
          <w:b/>
          <w:bCs/>
          <w:color w:val="000000" w:themeColor="text1"/>
          <w:sz w:val="22"/>
          <w:szCs w:val="22"/>
          <w:lang w:val="es-ES"/>
        </w:rPr>
        <w:t>05918/INFOEM/IP/RR/2021</w:t>
      </w:r>
      <w:r w:rsidRPr="00424261">
        <w:rPr>
          <w:rFonts w:ascii="Palatino Linotype" w:eastAsia="Calibri" w:hAnsi="Palatino Linotype" w:cs="Arial"/>
          <w:color w:val="000000" w:themeColor="text1"/>
          <w:sz w:val="22"/>
          <w:szCs w:val="22"/>
          <w:lang w:val="es-ES"/>
        </w:rPr>
        <w:t xml:space="preserve"> y requiere conformar sus alegatos o manifestaciones al respecto.</w:t>
      </w:r>
    </w:p>
    <w:p w14:paraId="67B989C2" w14:textId="77777777" w:rsidR="005328F6" w:rsidRPr="00424261" w:rsidRDefault="005328F6" w:rsidP="0092310A">
      <w:pPr>
        <w:pStyle w:val="Prrafodelista"/>
        <w:numPr>
          <w:ilvl w:val="0"/>
          <w:numId w:val="5"/>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t>Oficio DGSPYT/835/2021, de nueve (09) de diciembre de dos mil veintiuno, emitido por el Comisario General de Seguridad Pública y Tránsito, y dirigido al Titular de la Unidad de Transparencia, por medio del cual, ratifica esencialmente la reserva de la información solicitada.</w:t>
      </w:r>
    </w:p>
    <w:p w14:paraId="53E6BFED" w14:textId="77777777" w:rsidR="005328F6" w:rsidRPr="00424261" w:rsidRDefault="005328F6" w:rsidP="0092310A">
      <w:pPr>
        <w:pStyle w:val="Prrafodelista"/>
        <w:numPr>
          <w:ilvl w:val="0"/>
          <w:numId w:val="5"/>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lastRenderedPageBreak/>
        <w:t xml:space="preserve">Oficio número SA-UT/885/2021, de dos (02) de diciembre de dos mil veintiuno, emitido por el Titular de la Unidad de Transparencia, y dirigido al Presidente Municipal, por medio del cual, informa sobre la interposición del recurso de revisión </w:t>
      </w:r>
      <w:r w:rsidRPr="00424261">
        <w:rPr>
          <w:rFonts w:ascii="Palatino Linotype" w:eastAsia="Calibri" w:hAnsi="Palatino Linotype" w:cs="Arial"/>
          <w:b/>
          <w:bCs/>
          <w:color w:val="000000" w:themeColor="text1"/>
          <w:sz w:val="22"/>
          <w:szCs w:val="22"/>
          <w:lang w:val="es-ES"/>
        </w:rPr>
        <w:t>05918/INFOEM/IP/RR/2021</w:t>
      </w:r>
      <w:r w:rsidRPr="00424261">
        <w:rPr>
          <w:rFonts w:ascii="Palatino Linotype" w:eastAsia="Calibri" w:hAnsi="Palatino Linotype" w:cs="Arial"/>
          <w:color w:val="000000" w:themeColor="text1"/>
          <w:sz w:val="22"/>
          <w:szCs w:val="22"/>
          <w:lang w:val="es-ES"/>
        </w:rPr>
        <w:t xml:space="preserve"> y requiere conformar sus alegatos o manifestaciones al respecto.</w:t>
      </w:r>
    </w:p>
    <w:p w14:paraId="565DC8E1" w14:textId="77777777" w:rsidR="005328F6" w:rsidRPr="00424261" w:rsidRDefault="005328F6" w:rsidP="0092310A">
      <w:pPr>
        <w:pStyle w:val="Prrafodelista"/>
        <w:numPr>
          <w:ilvl w:val="0"/>
          <w:numId w:val="5"/>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t>Oficio número PM-OP/00501/2021, de diez (10) de diciembre de dos mil veintiuno, emitido por la Jefa de la Oficina de Presidencia, y dirigido al Titular de la Unidad de Transparencia, por medio del cual, reitera su respuesta inicial.</w:t>
      </w:r>
    </w:p>
    <w:p w14:paraId="66F03B26" w14:textId="77777777" w:rsidR="005328F6" w:rsidRPr="00424261" w:rsidRDefault="005328F6" w:rsidP="005328F6">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p>
    <w:p w14:paraId="291A11B9" w14:textId="77777777" w:rsidR="005328F6" w:rsidRPr="00424261" w:rsidRDefault="005328F6" w:rsidP="005328F6">
      <w:pPr>
        <w:pStyle w:val="Prrafodelista"/>
        <w:tabs>
          <w:tab w:val="left" w:pos="426"/>
        </w:tabs>
        <w:spacing w:line="360" w:lineRule="auto"/>
        <w:ind w:left="567" w:right="567"/>
        <w:jc w:val="both"/>
        <w:rPr>
          <w:rFonts w:ascii="Palatino Linotype" w:eastAsia="Calibri" w:hAnsi="Palatino Linotype" w:cs="Arial"/>
          <w:b/>
          <w:bCs/>
          <w:color w:val="000000" w:themeColor="text1"/>
          <w:sz w:val="22"/>
          <w:szCs w:val="22"/>
          <w:lang w:val="es-ES"/>
        </w:rPr>
      </w:pPr>
      <w:r w:rsidRPr="00424261">
        <w:rPr>
          <w:rFonts w:ascii="Palatino Linotype" w:eastAsia="Calibri" w:hAnsi="Palatino Linotype" w:cs="Arial"/>
          <w:b/>
          <w:bCs/>
          <w:color w:val="000000" w:themeColor="text1"/>
          <w:sz w:val="22"/>
          <w:szCs w:val="22"/>
          <w:lang w:val="es-ES"/>
        </w:rPr>
        <w:t>Informe justificado sobre el recurso de revisión 05919/INFOEM/IP/RR/2021:</w:t>
      </w:r>
    </w:p>
    <w:p w14:paraId="6826B5C7" w14:textId="77777777" w:rsidR="005328F6" w:rsidRPr="00424261" w:rsidRDefault="005328F6" w:rsidP="005328F6">
      <w:pPr>
        <w:pStyle w:val="Prrafodelista"/>
        <w:tabs>
          <w:tab w:val="left" w:pos="426"/>
        </w:tabs>
        <w:spacing w:line="360" w:lineRule="auto"/>
        <w:ind w:left="567"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b/>
          <w:bCs/>
          <w:i/>
          <w:iCs/>
          <w:color w:val="000000" w:themeColor="text1"/>
          <w:sz w:val="22"/>
          <w:szCs w:val="22"/>
          <w:lang w:val="es-ES"/>
        </w:rPr>
        <w:t>“5919 informe justificado.pdf”</w:t>
      </w:r>
      <w:r w:rsidRPr="00424261">
        <w:rPr>
          <w:rFonts w:ascii="Palatino Linotype" w:eastAsia="Calibri" w:hAnsi="Palatino Linotype" w:cs="Arial"/>
          <w:color w:val="000000" w:themeColor="text1"/>
          <w:sz w:val="22"/>
          <w:szCs w:val="22"/>
          <w:lang w:val="es-ES"/>
        </w:rPr>
        <w:t>: Archivo de seis fojas consistente en la copia digitalizada de los siguientes instrumentos:</w:t>
      </w:r>
    </w:p>
    <w:p w14:paraId="30188FC0" w14:textId="77777777" w:rsidR="005328F6" w:rsidRPr="00424261" w:rsidRDefault="005328F6" w:rsidP="0092310A">
      <w:pPr>
        <w:pStyle w:val="Prrafodelista"/>
        <w:numPr>
          <w:ilvl w:val="0"/>
          <w:numId w:val="6"/>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t xml:space="preserve">Oficio número SA-UT/887/2021, de dos (02) de diciembre de dos mil veintiuno, emitido por el Titular de la Unidad de Transparencia, y dirigido al Comisario General de Seguridad Pública y Tránsito, por medio del cual, informa sobre la interposición del recurso de revisión </w:t>
      </w:r>
      <w:r w:rsidRPr="00424261">
        <w:rPr>
          <w:rFonts w:ascii="Palatino Linotype" w:eastAsia="Calibri" w:hAnsi="Palatino Linotype" w:cs="Arial"/>
          <w:b/>
          <w:bCs/>
          <w:color w:val="000000" w:themeColor="text1"/>
          <w:sz w:val="22"/>
          <w:szCs w:val="22"/>
          <w:lang w:val="es-ES"/>
        </w:rPr>
        <w:t>05919/INFOEM/IP/RR/2021</w:t>
      </w:r>
      <w:r w:rsidRPr="00424261">
        <w:rPr>
          <w:rFonts w:ascii="Palatino Linotype" w:eastAsia="Calibri" w:hAnsi="Palatino Linotype" w:cs="Arial"/>
          <w:color w:val="000000" w:themeColor="text1"/>
          <w:sz w:val="22"/>
          <w:szCs w:val="22"/>
          <w:lang w:val="es-ES"/>
        </w:rPr>
        <w:t xml:space="preserve"> y requiere conformar sus alegatos o manifestaciones al respecto.</w:t>
      </w:r>
    </w:p>
    <w:p w14:paraId="394F8747" w14:textId="77777777" w:rsidR="005328F6" w:rsidRPr="00424261" w:rsidRDefault="005328F6" w:rsidP="0092310A">
      <w:pPr>
        <w:pStyle w:val="Prrafodelista"/>
        <w:numPr>
          <w:ilvl w:val="0"/>
          <w:numId w:val="6"/>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t>Oficio DGSPYT/836/2021, de nueve (09) de diciembre de dos mil veintiuno, emitido por el Comisario General de Seguridad Pública y Tránsito, y dirigido al Titular de la Unidad de Transparencia, por medio del cual, ratifica esencialmente la reserva de la información solicitada.</w:t>
      </w:r>
    </w:p>
    <w:p w14:paraId="3B05700E" w14:textId="77777777" w:rsidR="005328F6" w:rsidRPr="00424261" w:rsidRDefault="005328F6" w:rsidP="0092310A">
      <w:pPr>
        <w:pStyle w:val="Prrafodelista"/>
        <w:numPr>
          <w:ilvl w:val="0"/>
          <w:numId w:val="6"/>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t xml:space="preserve">Oficio número SA-UT/888/2021, de dos (02) de diciembre de dos mil veintiuno, emitido por el Titular de la Unidad de Transparencia, y dirigido al Director General de Administración, por medio del cual, informa sobre la interposición del recurso de revisión </w:t>
      </w:r>
      <w:r w:rsidRPr="00424261">
        <w:rPr>
          <w:rFonts w:ascii="Palatino Linotype" w:eastAsia="Calibri" w:hAnsi="Palatino Linotype" w:cs="Arial"/>
          <w:b/>
          <w:bCs/>
          <w:color w:val="000000" w:themeColor="text1"/>
          <w:sz w:val="22"/>
          <w:szCs w:val="22"/>
          <w:lang w:val="es-ES"/>
        </w:rPr>
        <w:lastRenderedPageBreak/>
        <w:t>05919/INFOEM/IP/RR/2021</w:t>
      </w:r>
      <w:r w:rsidRPr="00424261">
        <w:rPr>
          <w:rFonts w:ascii="Palatino Linotype" w:eastAsia="Calibri" w:hAnsi="Palatino Linotype" w:cs="Arial"/>
          <w:color w:val="000000" w:themeColor="text1"/>
          <w:sz w:val="22"/>
          <w:szCs w:val="22"/>
          <w:lang w:val="es-ES"/>
        </w:rPr>
        <w:t xml:space="preserve"> y requiere conformar sus alegatos o manifestaciones al respecto.</w:t>
      </w:r>
    </w:p>
    <w:p w14:paraId="5AA8AAF1" w14:textId="77777777" w:rsidR="005328F6" w:rsidRPr="00424261" w:rsidRDefault="005328F6" w:rsidP="0092310A">
      <w:pPr>
        <w:pStyle w:val="Prrafodelista"/>
        <w:numPr>
          <w:ilvl w:val="0"/>
          <w:numId w:val="6"/>
        </w:numPr>
        <w:tabs>
          <w:tab w:val="left" w:pos="426"/>
        </w:tabs>
        <w:spacing w:line="360" w:lineRule="auto"/>
        <w:ind w:right="567"/>
        <w:jc w:val="both"/>
        <w:rPr>
          <w:rFonts w:ascii="Palatino Linotype" w:eastAsia="Calibri" w:hAnsi="Palatino Linotype" w:cs="Arial"/>
          <w:color w:val="000000" w:themeColor="text1"/>
          <w:sz w:val="22"/>
          <w:szCs w:val="22"/>
          <w:lang w:val="es-ES"/>
        </w:rPr>
      </w:pPr>
      <w:r w:rsidRPr="00424261">
        <w:rPr>
          <w:rFonts w:ascii="Palatino Linotype" w:eastAsia="Calibri" w:hAnsi="Palatino Linotype" w:cs="Arial"/>
          <w:color w:val="000000" w:themeColor="text1"/>
          <w:sz w:val="22"/>
          <w:szCs w:val="22"/>
          <w:lang w:val="es-ES"/>
        </w:rPr>
        <w:t>Oficio número DGA/OF/2626/2021, de diez (10) de diciembre de dos mil veintiuno, emitido por el Director General de Administración, y dirigido al Titular de la Unidad de Transparencia, por medio del cual, informa que la determinación de clasificar la información se realizó a petición de la Dirección General de Seguridad Pública y, por otro lado, refirió que a ésta le corresponde, también, el control de la relación del personal de cada turno.</w:t>
      </w:r>
    </w:p>
    <w:p w14:paraId="13B2C1EF" w14:textId="77777777" w:rsidR="005328F6" w:rsidRPr="00424261" w:rsidRDefault="005328F6" w:rsidP="005328F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BC6B442" w14:textId="77777777" w:rsidR="005328F6" w:rsidRPr="00424261" w:rsidRDefault="005328F6" w:rsidP="005328F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24261">
        <w:rPr>
          <w:rFonts w:ascii="Palatino Linotype" w:eastAsia="Calibri" w:hAnsi="Palatino Linotype" w:cs="Arial"/>
          <w:color w:val="000000" w:themeColor="text1"/>
          <w:lang w:val="es-ES"/>
        </w:rPr>
        <w:t xml:space="preserve">Del  análisis realizado a los archivos presentados por el </w:t>
      </w:r>
      <w:r w:rsidRPr="00424261">
        <w:rPr>
          <w:rFonts w:ascii="Palatino Linotype" w:eastAsia="Calibri" w:hAnsi="Palatino Linotype" w:cs="Arial"/>
          <w:b/>
          <w:bCs/>
          <w:color w:val="000000" w:themeColor="text1"/>
          <w:lang w:val="es-ES"/>
        </w:rPr>
        <w:t>SUJETO OBLIGADO</w:t>
      </w:r>
      <w:r w:rsidRPr="00424261">
        <w:rPr>
          <w:rFonts w:ascii="Palatino Linotype" w:eastAsia="Calibri" w:hAnsi="Palatino Linotype" w:cs="Arial"/>
          <w:color w:val="000000" w:themeColor="text1"/>
          <w:lang w:val="es-ES"/>
        </w:rPr>
        <w:t xml:space="preserve"> en el apartado de </w:t>
      </w:r>
      <w:r w:rsidRPr="00424261">
        <w:rPr>
          <w:rFonts w:ascii="Palatino Linotype" w:eastAsia="Calibri" w:hAnsi="Palatino Linotype" w:cs="Arial"/>
          <w:i/>
          <w:iCs/>
          <w:color w:val="000000" w:themeColor="text1"/>
          <w:lang w:val="es-ES"/>
        </w:rPr>
        <w:t>Manifestaciones</w:t>
      </w:r>
      <w:r w:rsidRPr="00424261">
        <w:rPr>
          <w:rFonts w:ascii="Palatino Linotype" w:eastAsia="Calibri" w:hAnsi="Palatino Linotype" w:cs="Arial"/>
          <w:color w:val="000000" w:themeColor="text1"/>
          <w:lang w:val="es-ES"/>
        </w:rPr>
        <w:t xml:space="preserve"> del SAIMEX, este Organismo Garante concluyó que contenían información novedosa y de probable interés para el </w:t>
      </w:r>
      <w:r w:rsidRPr="00424261">
        <w:rPr>
          <w:rFonts w:ascii="Palatino Linotype" w:eastAsia="Calibri" w:hAnsi="Palatino Linotype" w:cs="Arial"/>
          <w:b/>
          <w:bCs/>
          <w:color w:val="000000" w:themeColor="text1"/>
          <w:lang w:val="es-ES"/>
        </w:rPr>
        <w:t>RECURRENTE</w:t>
      </w:r>
      <w:r w:rsidRPr="00424261">
        <w:rPr>
          <w:rFonts w:ascii="Palatino Linotype" w:eastAsia="Calibri" w:hAnsi="Palatino Linotype" w:cs="Arial"/>
          <w:color w:val="000000" w:themeColor="text1"/>
          <w:lang w:val="es-ES"/>
        </w:rPr>
        <w:t>, por lo que se pusieron a la vista del particular el diecisiete (17) y  veinticuatro (24) de febrero de dos mil veintidós, concediéndole un plazo de tres (03)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4CE549CB" w14:textId="77777777" w:rsidR="005328F6" w:rsidRPr="00424261" w:rsidRDefault="005328F6" w:rsidP="005328F6">
      <w:pPr>
        <w:pStyle w:val="Prrafodelista"/>
        <w:tabs>
          <w:tab w:val="left" w:pos="426"/>
        </w:tabs>
        <w:spacing w:line="360" w:lineRule="auto"/>
        <w:ind w:left="0"/>
        <w:jc w:val="both"/>
        <w:rPr>
          <w:rFonts w:ascii="Palatino Linotype" w:hAnsi="Palatino Linotype"/>
          <w:color w:val="000000" w:themeColor="text1"/>
        </w:rPr>
      </w:pPr>
    </w:p>
    <w:p w14:paraId="45AE211E" w14:textId="1C702B4E" w:rsidR="0015704D" w:rsidRPr="00424261" w:rsidRDefault="005328F6" w:rsidP="0015704D">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hAnsi="Palatino Linotype" w:cs="Arial"/>
          <w:color w:val="000000" w:themeColor="text1"/>
        </w:rPr>
        <w:t>E</w:t>
      </w:r>
      <w:r w:rsidR="00520E25" w:rsidRPr="00424261">
        <w:rPr>
          <w:rFonts w:ascii="Palatino Linotype" w:hAnsi="Palatino Linotype" w:cs="Arial"/>
          <w:color w:val="000000" w:themeColor="text1"/>
        </w:rPr>
        <w:t xml:space="preserve">l </w:t>
      </w:r>
      <w:r w:rsidR="003A76C7" w:rsidRPr="00424261">
        <w:rPr>
          <w:rFonts w:ascii="Palatino Linotype" w:hAnsi="Palatino Linotype" w:cs="Arial"/>
          <w:color w:val="000000" w:themeColor="text1"/>
        </w:rPr>
        <w:t>veinticuatro (24) de febrero de dos mil veintidós</w:t>
      </w:r>
      <w:r w:rsidR="00520E25" w:rsidRPr="00424261">
        <w:rPr>
          <w:rFonts w:ascii="Palatino Linotype" w:hAnsi="Palatino Linotype" w:cs="Arial"/>
          <w:color w:val="000000" w:themeColor="text1"/>
        </w:rPr>
        <w:t xml:space="preserve">, se notificó en el SAIMEX la acumulación del recurso de revisión </w:t>
      </w:r>
      <w:r w:rsidR="00D21CC1" w:rsidRPr="00424261">
        <w:rPr>
          <w:rFonts w:ascii="Palatino Linotype" w:eastAsia="Times New Roman" w:hAnsi="Palatino Linotype" w:cs="Arial"/>
          <w:b/>
          <w:color w:val="000000" w:themeColor="text1"/>
        </w:rPr>
        <w:t>05919/INFOEM/IP/RR/2021</w:t>
      </w:r>
      <w:r w:rsidR="00520E25" w:rsidRPr="00424261">
        <w:rPr>
          <w:rFonts w:ascii="Palatino Linotype" w:eastAsia="Times New Roman" w:hAnsi="Palatino Linotype" w:cs="Arial"/>
          <w:color w:val="000000" w:themeColor="text1"/>
        </w:rPr>
        <w:t xml:space="preserve">, al diverso </w:t>
      </w:r>
      <w:r w:rsidR="00D21CC1" w:rsidRPr="00424261">
        <w:rPr>
          <w:rFonts w:ascii="Palatino Linotype" w:eastAsia="Times New Roman" w:hAnsi="Palatino Linotype" w:cs="Arial"/>
          <w:b/>
          <w:color w:val="000000" w:themeColor="text1"/>
        </w:rPr>
        <w:t>05918/INFOEM/IP/RR/2021</w:t>
      </w:r>
      <w:bookmarkStart w:id="9" w:name="_Toc461555889"/>
      <w:bookmarkStart w:id="10" w:name="_Toc466371858"/>
      <w:r w:rsidR="003A76C7" w:rsidRPr="00424261">
        <w:rPr>
          <w:rFonts w:ascii="Palatino Linotype" w:eastAsia="Times New Roman" w:hAnsi="Palatino Linotype" w:cs="Arial"/>
          <w:bCs/>
          <w:color w:val="000000" w:themeColor="text1"/>
        </w:rPr>
        <w:t>.</w:t>
      </w:r>
    </w:p>
    <w:p w14:paraId="04755B16" w14:textId="77777777" w:rsidR="003A76C7" w:rsidRPr="00424261" w:rsidRDefault="003A76C7" w:rsidP="003A76C7">
      <w:pPr>
        <w:pStyle w:val="Prrafodelista"/>
        <w:tabs>
          <w:tab w:val="left" w:pos="426"/>
        </w:tabs>
        <w:spacing w:line="360" w:lineRule="auto"/>
        <w:ind w:left="0"/>
        <w:jc w:val="both"/>
        <w:rPr>
          <w:rFonts w:ascii="Palatino Linotype" w:hAnsi="Palatino Linotype"/>
          <w:color w:val="000000" w:themeColor="text1"/>
        </w:rPr>
      </w:pPr>
    </w:p>
    <w:p w14:paraId="1BF60DCA" w14:textId="76639A00" w:rsidR="003A76C7" w:rsidRPr="00424261" w:rsidRDefault="003A76C7" w:rsidP="0015704D">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eastAsia="Times New Roman" w:hAnsi="Palatino Linotype" w:cs="Arial"/>
          <w:bCs/>
          <w:color w:val="000000" w:themeColor="text1"/>
        </w:rPr>
        <w:lastRenderedPageBreak/>
        <w:t xml:space="preserve">El dieciocho (18) de marzo de dos mil veintidós, la Comisionada Ponente </w:t>
      </w:r>
      <w:r w:rsidRPr="00424261">
        <w:rPr>
          <w:rFonts w:ascii="Palatino Linotype" w:eastAsia="Times New Roman" w:hAnsi="Palatino Linotype" w:cs="Arial"/>
          <w:bCs/>
          <w:color w:val="000000" w:themeColor="text1"/>
          <w:lang w:val="es-ES_tradnl"/>
        </w:rPr>
        <w:t xml:space="preserve">decretó el cierre del periodo de instrucción de los recursos de revisión, por lo que ordenó turnar </w:t>
      </w:r>
      <w:r w:rsidR="005328F6" w:rsidRPr="00424261">
        <w:rPr>
          <w:rFonts w:ascii="Palatino Linotype" w:eastAsia="Times New Roman" w:hAnsi="Palatino Linotype" w:cs="Arial"/>
          <w:bCs/>
          <w:color w:val="000000" w:themeColor="text1"/>
          <w:lang w:val="es-ES_tradnl"/>
        </w:rPr>
        <w:t>los</w:t>
      </w:r>
      <w:r w:rsidRPr="00424261">
        <w:rPr>
          <w:rFonts w:ascii="Palatino Linotype" w:eastAsia="Times New Roman" w:hAnsi="Palatino Linotype" w:cs="Arial"/>
          <w:bCs/>
          <w:color w:val="000000" w:themeColor="text1"/>
          <w:lang w:val="es-ES_tradnl"/>
        </w:rPr>
        <w:t xml:space="preserve"> expediente</w:t>
      </w:r>
      <w:r w:rsidR="005328F6" w:rsidRPr="00424261">
        <w:rPr>
          <w:rFonts w:ascii="Palatino Linotype" w:eastAsia="Times New Roman" w:hAnsi="Palatino Linotype" w:cs="Arial"/>
          <w:bCs/>
          <w:color w:val="000000" w:themeColor="text1"/>
          <w:lang w:val="es-ES_tradnl"/>
        </w:rPr>
        <w:t xml:space="preserve">s acumulados </w:t>
      </w:r>
      <w:r w:rsidRPr="00424261">
        <w:rPr>
          <w:rFonts w:ascii="Palatino Linotype" w:eastAsia="Times New Roman" w:hAnsi="Palatino Linotype" w:cs="Arial"/>
          <w:bCs/>
          <w:color w:val="000000" w:themeColor="text1"/>
          <w:lang w:val="es-ES_tradnl"/>
        </w:rPr>
        <w:t>para su resolución, misma que ahora se pronuncia.</w:t>
      </w:r>
    </w:p>
    <w:p w14:paraId="4AE99BB6" w14:textId="77777777" w:rsidR="008965EF" w:rsidRPr="00424261" w:rsidRDefault="008965EF" w:rsidP="008965EF">
      <w:pPr>
        <w:pStyle w:val="Prrafodelista"/>
        <w:tabs>
          <w:tab w:val="left" w:pos="426"/>
        </w:tabs>
        <w:spacing w:line="360" w:lineRule="auto"/>
        <w:ind w:left="0"/>
        <w:jc w:val="both"/>
        <w:rPr>
          <w:rFonts w:ascii="Palatino Linotype" w:hAnsi="Palatino Linotype"/>
          <w:color w:val="000000" w:themeColor="text1"/>
        </w:rPr>
      </w:pPr>
    </w:p>
    <w:p w14:paraId="3001AA57" w14:textId="70D8D611" w:rsidR="008965EF" w:rsidRPr="00424261" w:rsidRDefault="003F0DD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hAnsi="Palatino Linotype" w:cs="Arial"/>
          <w:color w:val="000000" w:themeColor="text1"/>
        </w:rPr>
        <w:t>Luego</w:t>
      </w:r>
      <w:r w:rsidR="003522BF" w:rsidRPr="00424261">
        <w:rPr>
          <w:rFonts w:ascii="Palatino Linotype" w:hAnsi="Palatino Linotype" w:cs="Arial"/>
          <w:color w:val="000000" w:themeColor="text1"/>
        </w:rPr>
        <w:t xml:space="preserve">, el </w:t>
      </w:r>
      <w:r w:rsidR="00321FCC" w:rsidRPr="00424261">
        <w:rPr>
          <w:rFonts w:ascii="Palatino Linotype" w:hAnsi="Palatino Linotype" w:cs="Arial"/>
          <w:color w:val="000000" w:themeColor="text1"/>
        </w:rPr>
        <w:t>veintiuno (21</w:t>
      </w:r>
      <w:r w:rsidR="005328F6" w:rsidRPr="00424261">
        <w:rPr>
          <w:rFonts w:ascii="Palatino Linotype" w:hAnsi="Palatino Linotype" w:cs="Arial"/>
          <w:color w:val="000000" w:themeColor="text1"/>
        </w:rPr>
        <w:t>) de abril de dos mil veintidós</w:t>
      </w:r>
      <w:r w:rsidR="003522BF" w:rsidRPr="00424261">
        <w:rPr>
          <w:rFonts w:ascii="Palatino Linotype" w:hAnsi="Palatino Linotype" w:cs="Arial"/>
          <w:color w:val="000000" w:themeColor="text1"/>
        </w:rPr>
        <w:t xml:space="preserve">, </w:t>
      </w:r>
      <w:r w:rsidR="003522BF" w:rsidRPr="00424261">
        <w:rPr>
          <w:rFonts w:ascii="Palatino Linotype" w:hAnsi="Palatino Linotype" w:cs="Arial"/>
          <w:color w:val="000000" w:themeColor="text1"/>
          <w:lang w:val="es-ES"/>
        </w:rPr>
        <w:t>con fundamento en el artículo 181</w:t>
      </w:r>
      <w:r w:rsidR="005328F6" w:rsidRPr="00424261">
        <w:rPr>
          <w:rFonts w:ascii="Palatino Linotype" w:hAnsi="Palatino Linotype" w:cs="Arial"/>
          <w:color w:val="000000" w:themeColor="text1"/>
          <w:lang w:val="es-ES"/>
        </w:rPr>
        <w:t>,</w:t>
      </w:r>
      <w:r w:rsidR="003522BF" w:rsidRPr="00424261">
        <w:rPr>
          <w:rFonts w:ascii="Palatino Linotype" w:hAnsi="Palatino Linotype" w:cs="Arial"/>
          <w:color w:val="000000" w:themeColor="text1"/>
          <w:lang w:val="es-ES"/>
        </w:rPr>
        <w:t xml:space="preserve"> tercer párrafo</w:t>
      </w:r>
      <w:r w:rsidR="005328F6" w:rsidRPr="00424261">
        <w:rPr>
          <w:rFonts w:ascii="Palatino Linotype" w:hAnsi="Palatino Linotype" w:cs="Arial"/>
          <w:color w:val="000000" w:themeColor="text1"/>
          <w:lang w:val="es-ES"/>
        </w:rPr>
        <w:t>,</w:t>
      </w:r>
      <w:r w:rsidR="003522BF" w:rsidRPr="00424261">
        <w:rPr>
          <w:rFonts w:ascii="Palatino Linotype" w:hAnsi="Palatino Linotype" w:cs="Arial"/>
          <w:color w:val="000000" w:themeColor="text1"/>
          <w:lang w:val="es-ES"/>
        </w:rPr>
        <w:t xml:space="preserve"> de la Ley de Transparencia y Acceso a la Información Pública del Estado de México y Municipios</w:t>
      </w:r>
      <w:r w:rsidR="005328F6" w:rsidRPr="00424261">
        <w:rPr>
          <w:rFonts w:ascii="Palatino Linotype" w:hAnsi="Palatino Linotype" w:cs="Arial"/>
          <w:color w:val="000000" w:themeColor="text1"/>
          <w:lang w:val="es-ES"/>
        </w:rPr>
        <w:t>,</w:t>
      </w:r>
      <w:r w:rsidR="003522BF" w:rsidRPr="00424261">
        <w:rPr>
          <w:rFonts w:ascii="Palatino Linotype" w:hAnsi="Palatino Linotype" w:cs="Arial"/>
          <w:bCs/>
          <w:color w:val="000000" w:themeColor="text1"/>
          <w:lang w:val="es-ES"/>
        </w:rPr>
        <w:t xml:space="preserve"> </w:t>
      </w:r>
      <w:r w:rsidR="003522BF" w:rsidRPr="00424261">
        <w:rPr>
          <w:rFonts w:ascii="Palatino Linotype" w:hAnsi="Palatino Linotype" w:cs="Arial"/>
          <w:color w:val="000000" w:themeColor="text1"/>
          <w:lang w:val="es-ES"/>
        </w:rPr>
        <w:t xml:space="preserve">se notificó que el plazo de treinta (30) días para resolver </w:t>
      </w:r>
      <w:r w:rsidR="005328F6" w:rsidRPr="00424261">
        <w:rPr>
          <w:rFonts w:ascii="Palatino Linotype" w:hAnsi="Palatino Linotype" w:cs="Arial"/>
          <w:color w:val="000000" w:themeColor="text1"/>
          <w:lang w:val="es-ES"/>
        </w:rPr>
        <w:t>los</w:t>
      </w:r>
      <w:r w:rsidR="003522BF" w:rsidRPr="00424261">
        <w:rPr>
          <w:rFonts w:ascii="Palatino Linotype" w:hAnsi="Palatino Linotype" w:cs="Arial"/>
          <w:color w:val="000000" w:themeColor="text1"/>
          <w:lang w:val="es-ES"/>
        </w:rPr>
        <w:t xml:space="preserve"> recurso</w:t>
      </w:r>
      <w:r w:rsidR="005328F6" w:rsidRPr="00424261">
        <w:rPr>
          <w:rFonts w:ascii="Palatino Linotype" w:hAnsi="Palatino Linotype" w:cs="Arial"/>
          <w:color w:val="000000" w:themeColor="text1"/>
          <w:lang w:val="es-ES"/>
        </w:rPr>
        <w:t>s</w:t>
      </w:r>
      <w:r w:rsidR="003522BF" w:rsidRPr="00424261">
        <w:rPr>
          <w:rFonts w:ascii="Palatino Linotype" w:hAnsi="Palatino Linotype" w:cs="Arial"/>
          <w:color w:val="000000" w:themeColor="text1"/>
          <w:lang w:val="es-ES"/>
        </w:rPr>
        <w:t xml:space="preserve"> de revisión</w:t>
      </w:r>
      <w:r w:rsidR="005328F6" w:rsidRPr="00424261">
        <w:rPr>
          <w:rFonts w:ascii="Palatino Linotype" w:hAnsi="Palatino Linotype" w:cs="Arial"/>
          <w:color w:val="000000" w:themeColor="text1"/>
          <w:lang w:val="es-ES"/>
        </w:rPr>
        <w:t xml:space="preserve"> acumulados</w:t>
      </w:r>
      <w:r w:rsidR="003522BF" w:rsidRPr="00424261">
        <w:rPr>
          <w:rFonts w:ascii="Palatino Linotype" w:hAnsi="Palatino Linotype" w:cs="Arial"/>
          <w:color w:val="000000" w:themeColor="text1"/>
          <w:lang w:val="es-ES"/>
        </w:rPr>
        <w:t xml:space="preserve"> sería ampliado por un periodo de quince (15) días hábiles adicionales</w:t>
      </w:r>
      <w:r w:rsidR="00630B0D" w:rsidRPr="00424261">
        <w:rPr>
          <w:rFonts w:ascii="Palatino Linotype" w:hAnsi="Palatino Linotype" w:cs="Arial"/>
          <w:color w:val="000000" w:themeColor="text1"/>
          <w:lang w:val="es-ES"/>
        </w:rPr>
        <w:t>; y ---------------------------------------------</w:t>
      </w:r>
    </w:p>
    <w:p w14:paraId="76723CF0" w14:textId="1E451BB4" w:rsidR="009917E9" w:rsidRPr="00424261"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72E1A8D6" w14:textId="77777777" w:rsidR="00520E25" w:rsidRPr="00424261" w:rsidRDefault="00520E25"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424261" w:rsidRDefault="007C0013" w:rsidP="00B31E90">
      <w:pPr>
        <w:pStyle w:val="Ttulo1"/>
        <w:spacing w:before="0"/>
        <w:jc w:val="center"/>
        <w:rPr>
          <w:b/>
          <w:color w:val="000000" w:themeColor="text1"/>
        </w:rPr>
      </w:pPr>
      <w:bookmarkStart w:id="11" w:name="_Toc89350455"/>
      <w:bookmarkStart w:id="12" w:name="_Toc101963384"/>
      <w:r w:rsidRPr="00424261">
        <w:rPr>
          <w:b/>
          <w:color w:val="000000" w:themeColor="text1"/>
        </w:rPr>
        <w:t>CONSIDERANDO</w:t>
      </w:r>
      <w:bookmarkEnd w:id="9"/>
      <w:bookmarkEnd w:id="10"/>
      <w:bookmarkEnd w:id="11"/>
      <w:bookmarkEnd w:id="12"/>
    </w:p>
    <w:p w14:paraId="435CF9A4" w14:textId="77777777" w:rsidR="00FC1DA7" w:rsidRPr="00424261" w:rsidRDefault="00FC1DA7" w:rsidP="00B31E90">
      <w:pPr>
        <w:rPr>
          <w:color w:val="000000" w:themeColor="text1"/>
          <w:lang w:eastAsia="en-US"/>
        </w:rPr>
      </w:pPr>
    </w:p>
    <w:p w14:paraId="629A5BE2" w14:textId="56C3E7D5" w:rsidR="007C0013" w:rsidRPr="00424261" w:rsidRDefault="007C0013" w:rsidP="00B31E90">
      <w:pPr>
        <w:pStyle w:val="Ttulo2"/>
        <w:spacing w:before="0"/>
        <w:rPr>
          <w:rFonts w:ascii="Palatino Linotype" w:hAnsi="Palatino Linotype"/>
          <w:b/>
          <w:color w:val="000000" w:themeColor="text1"/>
          <w:sz w:val="24"/>
        </w:rPr>
      </w:pPr>
      <w:bookmarkStart w:id="13" w:name="_Toc461555890"/>
      <w:bookmarkStart w:id="14" w:name="_Toc466371859"/>
      <w:bookmarkStart w:id="15" w:name="_Toc89350456"/>
      <w:bookmarkStart w:id="16" w:name="_Toc101963385"/>
      <w:r w:rsidRPr="00424261">
        <w:rPr>
          <w:rFonts w:ascii="Palatino Linotype" w:hAnsi="Palatino Linotype"/>
          <w:b/>
          <w:color w:val="000000" w:themeColor="text1"/>
          <w:sz w:val="24"/>
        </w:rPr>
        <w:t>PRIMERO. De la competencia</w:t>
      </w:r>
      <w:bookmarkEnd w:id="13"/>
      <w:bookmarkEnd w:id="14"/>
      <w:bookmarkEnd w:id="15"/>
      <w:bookmarkEnd w:id="16"/>
    </w:p>
    <w:p w14:paraId="60FBD8C7" w14:textId="77777777" w:rsidR="00FC1DA7" w:rsidRPr="00424261" w:rsidRDefault="00FC1DA7" w:rsidP="00B31E90">
      <w:pPr>
        <w:rPr>
          <w:rFonts w:ascii="Palatino Linotype" w:hAnsi="Palatino Linotype"/>
          <w:color w:val="000000" w:themeColor="text1"/>
          <w:lang w:eastAsia="en-US"/>
        </w:rPr>
      </w:pPr>
    </w:p>
    <w:p w14:paraId="0BF52B18" w14:textId="515C3AEB" w:rsidR="005A228F" w:rsidRPr="004242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42426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24261">
        <w:rPr>
          <w:rFonts w:ascii="Palatino Linotype" w:eastAsia="Calibri" w:hAnsi="Palatino Linotype" w:cs="Times New Roman"/>
          <w:color w:val="000000" w:themeColor="text1"/>
          <w:lang w:val="es-ES"/>
        </w:rPr>
        <w:t xml:space="preserve">etente para conocer y resolver </w:t>
      </w:r>
      <w:r w:rsidRPr="00424261">
        <w:rPr>
          <w:rFonts w:ascii="Palatino Linotype" w:eastAsia="Calibri" w:hAnsi="Palatino Linotype" w:cs="Times New Roman"/>
          <w:color w:val="000000" w:themeColor="text1"/>
          <w:lang w:val="es-ES"/>
        </w:rPr>
        <w:t xml:space="preserve">el presente recurso de conformidad con el artículo: 6, apartado A, fracción IV de la </w:t>
      </w:r>
      <w:r w:rsidRPr="00424261">
        <w:rPr>
          <w:rFonts w:ascii="Palatino Linotype" w:eastAsia="Calibri" w:hAnsi="Palatino Linotype" w:cs="Times New Roman"/>
          <w:b/>
          <w:color w:val="000000" w:themeColor="text1"/>
          <w:lang w:val="es-ES"/>
        </w:rPr>
        <w:t>Constitución Política de los Estados Unidos Mexicanos</w:t>
      </w:r>
      <w:r w:rsidRPr="00424261">
        <w:rPr>
          <w:rFonts w:ascii="Palatino Linotype" w:eastAsia="Calibri" w:hAnsi="Palatino Linotype" w:cs="Times New Roman"/>
          <w:color w:val="000000" w:themeColor="text1"/>
          <w:lang w:val="es-ES"/>
        </w:rPr>
        <w:t xml:space="preserve">; 5, párrafos </w:t>
      </w:r>
      <w:r w:rsidR="000B7C4F" w:rsidRPr="00424261">
        <w:rPr>
          <w:rFonts w:ascii="Palatino Linotype" w:eastAsia="Calibri" w:hAnsi="Palatino Linotype" w:cs="Times New Roman"/>
          <w:color w:val="000000" w:themeColor="text1"/>
          <w:lang w:val="es-ES"/>
        </w:rPr>
        <w:t>trigésimo, trigésimo primero y trigésimo segundo</w:t>
      </w:r>
      <w:r w:rsidR="004F785F" w:rsidRPr="00424261">
        <w:rPr>
          <w:rFonts w:ascii="Palatino Linotype" w:eastAsia="Calibri" w:hAnsi="Palatino Linotype" w:cs="Times New Roman"/>
          <w:color w:val="000000" w:themeColor="text1"/>
          <w:lang w:val="es-ES"/>
        </w:rPr>
        <w:t>,</w:t>
      </w:r>
      <w:r w:rsidRPr="00424261">
        <w:rPr>
          <w:rFonts w:ascii="Palatino Linotype" w:eastAsia="Calibri" w:hAnsi="Palatino Linotype" w:cs="Times New Roman"/>
          <w:color w:val="000000" w:themeColor="text1"/>
          <w:lang w:val="es-ES"/>
        </w:rPr>
        <w:t xml:space="preserve"> fracciones IV y V</w:t>
      </w:r>
      <w:r w:rsidR="004F785F" w:rsidRPr="00424261">
        <w:rPr>
          <w:rFonts w:ascii="Palatino Linotype" w:eastAsia="Calibri" w:hAnsi="Palatino Linotype" w:cs="Times New Roman"/>
          <w:color w:val="000000" w:themeColor="text1"/>
          <w:lang w:val="es-ES"/>
        </w:rPr>
        <w:t>,</w:t>
      </w:r>
      <w:r w:rsidRPr="00424261">
        <w:rPr>
          <w:rFonts w:ascii="Palatino Linotype" w:eastAsia="Calibri" w:hAnsi="Palatino Linotype" w:cs="Times New Roman"/>
          <w:color w:val="000000" w:themeColor="text1"/>
          <w:lang w:val="es-ES"/>
        </w:rPr>
        <w:t xml:space="preserve"> de la </w:t>
      </w:r>
      <w:r w:rsidRPr="00424261">
        <w:rPr>
          <w:rFonts w:ascii="Palatino Linotype" w:eastAsia="Calibri" w:hAnsi="Palatino Linotype" w:cs="Times New Roman"/>
          <w:b/>
          <w:color w:val="000000" w:themeColor="text1"/>
          <w:lang w:val="es-ES"/>
        </w:rPr>
        <w:t>Constitución Política del Estado Libre y Soberano de México</w:t>
      </w:r>
      <w:r w:rsidRPr="0042426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24261">
        <w:rPr>
          <w:rFonts w:ascii="Palatino Linotype" w:eastAsia="Calibri" w:hAnsi="Palatino Linotype" w:cs="Arial"/>
          <w:color w:val="000000" w:themeColor="text1"/>
          <w:lang w:val="es-ES"/>
        </w:rPr>
        <w:t xml:space="preserve">de la </w:t>
      </w:r>
      <w:r w:rsidRPr="00424261">
        <w:rPr>
          <w:rFonts w:ascii="Palatino Linotype" w:eastAsia="Calibri" w:hAnsi="Palatino Linotype" w:cs="Arial"/>
          <w:b/>
          <w:color w:val="000000" w:themeColor="text1"/>
          <w:lang w:val="es-ES"/>
        </w:rPr>
        <w:t>Ley de Transparencia y Acceso a la Información Pública del Estado de México y Municipios</w:t>
      </w:r>
      <w:r w:rsidRPr="00424261">
        <w:rPr>
          <w:rFonts w:ascii="Palatino Linotype" w:eastAsia="Calibri" w:hAnsi="Palatino Linotype" w:cs="Arial"/>
          <w:color w:val="000000" w:themeColor="text1"/>
          <w:lang w:val="es-ES"/>
        </w:rPr>
        <w:t xml:space="preserve">; y 10, 7, 9 fracciones I y XXIV, y 11 del </w:t>
      </w:r>
      <w:r w:rsidRPr="00424261">
        <w:rPr>
          <w:rFonts w:ascii="Palatino Linotype" w:eastAsia="Calibri" w:hAnsi="Palatino Linotype" w:cs="Arial"/>
          <w:b/>
          <w:color w:val="000000" w:themeColor="text1"/>
          <w:lang w:val="es-ES"/>
        </w:rPr>
        <w:t xml:space="preserve">Reglamento Interior del Instituto </w:t>
      </w:r>
      <w:r w:rsidRPr="00424261">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6F56872D" w14:textId="77777777" w:rsidR="00751061" w:rsidRPr="004242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86A3753" w14:textId="77777777" w:rsidR="001F0A72" w:rsidRPr="00424261" w:rsidRDefault="001F0A72"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24261" w:rsidRDefault="007C0013" w:rsidP="00B31E90">
      <w:pPr>
        <w:pStyle w:val="Ttulo2"/>
        <w:tabs>
          <w:tab w:val="left" w:pos="426"/>
        </w:tabs>
        <w:spacing w:before="0"/>
        <w:rPr>
          <w:rFonts w:ascii="Palatino Linotype" w:hAnsi="Palatino Linotype"/>
          <w:b/>
          <w:color w:val="000000" w:themeColor="text1"/>
          <w:sz w:val="24"/>
        </w:rPr>
      </w:pPr>
      <w:bookmarkStart w:id="17" w:name="_Toc461555891"/>
      <w:bookmarkStart w:id="18" w:name="_Toc466371860"/>
      <w:bookmarkStart w:id="19" w:name="_Toc89350457"/>
      <w:bookmarkStart w:id="20" w:name="_Toc101963386"/>
      <w:r w:rsidRPr="00424261">
        <w:rPr>
          <w:rFonts w:ascii="Palatino Linotype" w:hAnsi="Palatino Linotype"/>
          <w:b/>
          <w:color w:val="000000" w:themeColor="text1"/>
          <w:sz w:val="24"/>
        </w:rPr>
        <w:t>SEGUNDO. De la oportunidad y proced</w:t>
      </w:r>
      <w:r w:rsidR="00F35C44" w:rsidRPr="00424261">
        <w:rPr>
          <w:rFonts w:ascii="Palatino Linotype" w:hAnsi="Palatino Linotype"/>
          <w:b/>
          <w:color w:val="000000" w:themeColor="text1"/>
          <w:sz w:val="24"/>
        </w:rPr>
        <w:t>encia</w:t>
      </w:r>
      <w:r w:rsidRPr="00424261">
        <w:rPr>
          <w:rFonts w:ascii="Palatino Linotype" w:hAnsi="Palatino Linotype"/>
          <w:b/>
          <w:color w:val="000000" w:themeColor="text1"/>
          <w:sz w:val="24"/>
        </w:rPr>
        <w:t>.</w:t>
      </w:r>
      <w:bookmarkEnd w:id="17"/>
      <w:bookmarkEnd w:id="18"/>
      <w:bookmarkEnd w:id="19"/>
      <w:bookmarkEnd w:id="20"/>
    </w:p>
    <w:p w14:paraId="18E22450" w14:textId="77777777" w:rsidR="00C6440A" w:rsidRPr="00424261" w:rsidRDefault="00C6440A" w:rsidP="00B31E90">
      <w:pPr>
        <w:rPr>
          <w:color w:val="000000" w:themeColor="text1"/>
          <w:lang w:eastAsia="en-US"/>
        </w:rPr>
      </w:pPr>
    </w:p>
    <w:p w14:paraId="63E5A495" w14:textId="2FD64237" w:rsidR="009E360A" w:rsidRPr="00424261" w:rsidRDefault="00520E2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24261">
        <w:rPr>
          <w:rFonts w:ascii="Palatino Linotype" w:eastAsia="Calibri" w:hAnsi="Palatino Linotype" w:cs="Arial"/>
          <w:color w:val="000000" w:themeColor="text1"/>
        </w:rPr>
        <w:t>Los</w:t>
      </w:r>
      <w:r w:rsidR="003E6D0F" w:rsidRPr="00424261">
        <w:rPr>
          <w:rFonts w:ascii="Palatino Linotype" w:eastAsia="Calibri" w:hAnsi="Palatino Linotype" w:cs="Arial"/>
          <w:color w:val="000000" w:themeColor="text1"/>
        </w:rPr>
        <w:t xml:space="preserve"> </w:t>
      </w:r>
      <w:r w:rsidR="00740BA4" w:rsidRPr="00424261">
        <w:rPr>
          <w:rFonts w:ascii="Palatino Linotype" w:eastAsia="Calibri" w:hAnsi="Palatino Linotype" w:cs="Arial"/>
          <w:color w:val="000000" w:themeColor="text1"/>
        </w:rPr>
        <w:t>medio</w:t>
      </w:r>
      <w:r w:rsidRPr="00424261">
        <w:rPr>
          <w:rFonts w:ascii="Palatino Linotype" w:eastAsia="Calibri" w:hAnsi="Palatino Linotype" w:cs="Arial"/>
          <w:color w:val="000000" w:themeColor="text1"/>
        </w:rPr>
        <w:t>s</w:t>
      </w:r>
      <w:r w:rsidR="00740BA4" w:rsidRPr="00424261">
        <w:rPr>
          <w:rFonts w:ascii="Palatino Linotype" w:eastAsia="Calibri" w:hAnsi="Palatino Linotype" w:cs="Arial"/>
          <w:color w:val="000000" w:themeColor="text1"/>
        </w:rPr>
        <w:t xml:space="preserve"> de impugnación fue</w:t>
      </w:r>
      <w:r w:rsidRPr="00424261">
        <w:rPr>
          <w:rFonts w:ascii="Palatino Linotype" w:eastAsia="Calibri" w:hAnsi="Palatino Linotype" w:cs="Arial"/>
          <w:color w:val="000000" w:themeColor="text1"/>
        </w:rPr>
        <w:t>ron</w:t>
      </w:r>
      <w:r w:rsidR="00740BA4" w:rsidRPr="00424261">
        <w:rPr>
          <w:rFonts w:ascii="Palatino Linotype" w:eastAsia="Calibri" w:hAnsi="Palatino Linotype" w:cs="Arial"/>
          <w:color w:val="000000" w:themeColor="text1"/>
        </w:rPr>
        <w:t xml:space="preserve"> presentado</w:t>
      </w:r>
      <w:r w:rsidRPr="00424261">
        <w:rPr>
          <w:rFonts w:ascii="Palatino Linotype" w:eastAsia="Calibri" w:hAnsi="Palatino Linotype" w:cs="Arial"/>
          <w:color w:val="000000" w:themeColor="text1"/>
        </w:rPr>
        <w:t>s</w:t>
      </w:r>
      <w:r w:rsidR="00740BA4" w:rsidRPr="00424261">
        <w:rPr>
          <w:rFonts w:ascii="Palatino Linotype" w:eastAsia="Calibri" w:hAnsi="Palatino Linotype" w:cs="Arial"/>
          <w:color w:val="000000" w:themeColor="text1"/>
        </w:rPr>
        <w:t xml:space="preserve"> a través del </w:t>
      </w:r>
      <w:r w:rsidR="00740BA4" w:rsidRPr="00424261">
        <w:rPr>
          <w:rFonts w:ascii="Palatino Linotype" w:eastAsia="Calibri" w:hAnsi="Palatino Linotype" w:cs="Arial"/>
          <w:bCs/>
          <w:iCs/>
          <w:color w:val="000000" w:themeColor="text1"/>
        </w:rPr>
        <w:t>SAIMEX</w:t>
      </w:r>
      <w:r w:rsidR="00740BA4" w:rsidRPr="00424261">
        <w:rPr>
          <w:rFonts w:ascii="Palatino Linotype" w:eastAsia="Calibri" w:hAnsi="Palatino Linotype" w:cs="Arial"/>
          <w:color w:val="000000" w:themeColor="text1"/>
        </w:rPr>
        <w:t xml:space="preserve"> en el formato previamente aprobado para tal efecto y dentro del plazo legal de quince días hábiles otorgados; siendo así que</w:t>
      </w:r>
      <w:r w:rsidRPr="00424261">
        <w:rPr>
          <w:rFonts w:ascii="Palatino Linotype" w:eastAsia="Calibri" w:hAnsi="Palatino Linotype" w:cs="Arial"/>
          <w:color w:val="000000" w:themeColor="text1"/>
        </w:rPr>
        <w:t xml:space="preserve">, </w:t>
      </w:r>
      <w:r w:rsidR="005328F6" w:rsidRPr="00424261">
        <w:rPr>
          <w:rFonts w:ascii="Palatino Linotype" w:eastAsia="Calibri" w:hAnsi="Palatino Linotype" w:cs="Arial"/>
          <w:color w:val="000000" w:themeColor="text1"/>
        </w:rPr>
        <w:t>para ambas solicitudes de información -</w:t>
      </w:r>
      <w:r w:rsidR="005328F6" w:rsidRPr="00424261">
        <w:rPr>
          <w:rFonts w:ascii="Palatino Linotype" w:eastAsia="Calibri" w:hAnsi="Palatino Linotype" w:cs="Arial"/>
          <w:b/>
          <w:bCs/>
          <w:color w:val="000000" w:themeColor="text1"/>
        </w:rPr>
        <w:t xml:space="preserve">00505/CUAUTIZC/IP/2021 </w:t>
      </w:r>
      <w:r w:rsidR="005328F6" w:rsidRPr="00424261">
        <w:rPr>
          <w:rFonts w:ascii="Palatino Linotype" w:eastAsia="Calibri" w:hAnsi="Palatino Linotype" w:cs="Arial"/>
          <w:color w:val="000000" w:themeColor="text1"/>
        </w:rPr>
        <w:t xml:space="preserve">y </w:t>
      </w:r>
      <w:r w:rsidR="005328F6" w:rsidRPr="00424261">
        <w:rPr>
          <w:rFonts w:ascii="Palatino Linotype" w:eastAsia="Calibri" w:hAnsi="Palatino Linotype" w:cs="Arial"/>
          <w:b/>
          <w:bCs/>
          <w:color w:val="000000" w:themeColor="text1"/>
        </w:rPr>
        <w:t>00506/CUAUTIZC/IP/2021</w:t>
      </w:r>
      <w:r w:rsidR="005328F6" w:rsidRPr="00424261">
        <w:rPr>
          <w:rFonts w:ascii="Palatino Linotype" w:eastAsia="Calibri" w:hAnsi="Palatino Linotype" w:cs="Arial"/>
          <w:color w:val="000000" w:themeColor="text1"/>
        </w:rPr>
        <w:t>-</w:t>
      </w:r>
      <w:r w:rsidRPr="00424261">
        <w:rPr>
          <w:rFonts w:ascii="Palatino Linotype" w:eastAsia="Calibri" w:hAnsi="Palatino Linotype" w:cs="Arial"/>
          <w:color w:val="000000" w:themeColor="text1"/>
        </w:rPr>
        <w:t>,</w:t>
      </w:r>
      <w:r w:rsidR="00740BA4" w:rsidRPr="00424261">
        <w:rPr>
          <w:rFonts w:ascii="Palatino Linotype" w:eastAsia="Calibri" w:hAnsi="Palatino Linotype" w:cs="Arial"/>
          <w:color w:val="000000" w:themeColor="text1"/>
        </w:rPr>
        <w:t xml:space="preserve"> el </w:t>
      </w:r>
      <w:r w:rsidR="00740BA4" w:rsidRPr="00424261">
        <w:rPr>
          <w:rFonts w:ascii="Palatino Linotype" w:eastAsia="Calibri" w:hAnsi="Palatino Linotype" w:cs="Arial"/>
          <w:b/>
          <w:color w:val="000000" w:themeColor="text1"/>
        </w:rPr>
        <w:t>SUJETO OBLIGADO</w:t>
      </w:r>
      <w:r w:rsidR="00740BA4" w:rsidRPr="00424261">
        <w:rPr>
          <w:rFonts w:ascii="Palatino Linotype" w:eastAsia="Calibri" w:hAnsi="Palatino Linotype" w:cs="Arial"/>
          <w:color w:val="000000" w:themeColor="text1"/>
        </w:rPr>
        <w:t xml:space="preserve"> entregó respuesta</w:t>
      </w:r>
      <w:r w:rsidR="00342A44" w:rsidRPr="00424261">
        <w:rPr>
          <w:rFonts w:ascii="Palatino Linotype" w:eastAsia="Calibri" w:hAnsi="Palatino Linotype" w:cs="Arial"/>
          <w:color w:val="000000" w:themeColor="text1"/>
        </w:rPr>
        <w:t>s</w:t>
      </w:r>
      <w:r w:rsidR="00740BA4" w:rsidRPr="00424261">
        <w:rPr>
          <w:rFonts w:ascii="Palatino Linotype" w:eastAsia="Calibri" w:hAnsi="Palatino Linotype" w:cs="Arial"/>
          <w:color w:val="000000" w:themeColor="text1"/>
        </w:rPr>
        <w:t xml:space="preserve"> el </w:t>
      </w:r>
      <w:r w:rsidR="005328F6" w:rsidRPr="00424261">
        <w:rPr>
          <w:rFonts w:ascii="Palatino Linotype" w:eastAsia="Calibri" w:hAnsi="Palatino Linotype" w:cs="Arial"/>
          <w:color w:val="000000" w:themeColor="text1"/>
        </w:rPr>
        <w:t>veinticinco (25) de noviembre</w:t>
      </w:r>
      <w:r w:rsidR="007F372C" w:rsidRPr="00424261">
        <w:rPr>
          <w:rFonts w:ascii="Palatino Linotype" w:eastAsia="Calibri" w:hAnsi="Palatino Linotype" w:cs="Arial"/>
          <w:color w:val="000000" w:themeColor="text1"/>
        </w:rPr>
        <w:t xml:space="preserve"> </w:t>
      </w:r>
      <w:r w:rsidR="00740BA4" w:rsidRPr="00424261">
        <w:rPr>
          <w:rFonts w:ascii="Palatino Linotype" w:eastAsia="Calibri" w:hAnsi="Palatino Linotype" w:cs="Arial"/>
          <w:color w:val="000000" w:themeColor="text1"/>
        </w:rPr>
        <w:t xml:space="preserve">de dos mil veintiuno, de tal forma que el plazo para interponer </w:t>
      </w:r>
      <w:r w:rsidR="005328F6" w:rsidRPr="00424261">
        <w:rPr>
          <w:rFonts w:ascii="Palatino Linotype" w:eastAsia="Calibri" w:hAnsi="Palatino Linotype" w:cs="Arial"/>
          <w:color w:val="000000" w:themeColor="text1"/>
        </w:rPr>
        <w:t>los</w:t>
      </w:r>
      <w:r w:rsidR="00740BA4" w:rsidRPr="00424261">
        <w:rPr>
          <w:rFonts w:ascii="Palatino Linotype" w:eastAsia="Calibri" w:hAnsi="Palatino Linotype" w:cs="Arial"/>
          <w:color w:val="000000" w:themeColor="text1"/>
        </w:rPr>
        <w:t xml:space="preserve"> recurso</w:t>
      </w:r>
      <w:r w:rsidR="005328F6" w:rsidRPr="00424261">
        <w:rPr>
          <w:rFonts w:ascii="Palatino Linotype" w:eastAsia="Calibri" w:hAnsi="Palatino Linotype" w:cs="Arial"/>
          <w:color w:val="000000" w:themeColor="text1"/>
        </w:rPr>
        <w:t>s</w:t>
      </w:r>
      <w:r w:rsidR="00740BA4" w:rsidRPr="00424261">
        <w:rPr>
          <w:rFonts w:ascii="Palatino Linotype" w:eastAsia="Calibri" w:hAnsi="Palatino Linotype" w:cs="Arial"/>
          <w:color w:val="000000" w:themeColor="text1"/>
        </w:rPr>
        <w:t xml:space="preserve"> de revisión transcurrió del </w:t>
      </w:r>
      <w:r w:rsidR="005328F6" w:rsidRPr="00424261">
        <w:rPr>
          <w:rFonts w:ascii="Palatino Linotype" w:eastAsia="Calibri" w:hAnsi="Palatino Linotype" w:cs="Arial"/>
          <w:color w:val="000000" w:themeColor="text1"/>
        </w:rPr>
        <w:t xml:space="preserve">veintiséis (26) de noviembre al </w:t>
      </w:r>
      <w:r w:rsidR="00D936CA" w:rsidRPr="00424261">
        <w:rPr>
          <w:rFonts w:ascii="Palatino Linotype" w:eastAsia="Calibri" w:hAnsi="Palatino Linotype" w:cs="Arial"/>
          <w:color w:val="000000" w:themeColor="text1"/>
        </w:rPr>
        <w:t>dieciséis (16) de diciembre</w:t>
      </w:r>
      <w:r w:rsidR="002D5464" w:rsidRPr="00424261">
        <w:rPr>
          <w:rFonts w:ascii="Palatino Linotype" w:eastAsia="Calibri" w:hAnsi="Palatino Linotype" w:cs="Arial"/>
          <w:color w:val="000000" w:themeColor="text1"/>
        </w:rPr>
        <w:t xml:space="preserve"> </w:t>
      </w:r>
      <w:r w:rsidR="00630B0D" w:rsidRPr="00424261">
        <w:rPr>
          <w:rFonts w:ascii="Palatino Linotype" w:eastAsia="Calibri" w:hAnsi="Palatino Linotype" w:cs="Arial"/>
          <w:color w:val="000000" w:themeColor="text1"/>
        </w:rPr>
        <w:t>de dos mil veintiuno</w:t>
      </w:r>
      <w:r w:rsidR="00740BA4" w:rsidRPr="00424261">
        <w:rPr>
          <w:rFonts w:ascii="Palatino Linotype" w:eastAsia="Calibri" w:hAnsi="Palatino Linotype" w:cs="Arial"/>
          <w:color w:val="000000" w:themeColor="text1"/>
        </w:rPr>
        <w:t>, sin contemplar en el cómputo los sábados</w:t>
      </w:r>
      <w:r w:rsidR="001246CE" w:rsidRPr="00424261">
        <w:rPr>
          <w:rFonts w:ascii="Palatino Linotype" w:eastAsia="Calibri" w:hAnsi="Palatino Linotype" w:cs="Arial"/>
          <w:color w:val="000000" w:themeColor="text1"/>
        </w:rPr>
        <w:t xml:space="preserve"> y </w:t>
      </w:r>
      <w:r w:rsidR="00740BA4" w:rsidRPr="00424261">
        <w:rPr>
          <w:rFonts w:ascii="Palatino Linotype" w:eastAsia="Calibri" w:hAnsi="Palatino Linotype" w:cs="Arial"/>
          <w:color w:val="000000" w:themeColor="text1"/>
        </w:rPr>
        <w:t>domingos</w:t>
      </w:r>
      <w:r w:rsidR="001F0A72" w:rsidRPr="00424261">
        <w:rPr>
          <w:rFonts w:ascii="Palatino Linotype" w:eastAsia="Calibri" w:hAnsi="Palatino Linotype" w:cs="Arial"/>
          <w:color w:val="000000" w:themeColor="text1"/>
        </w:rPr>
        <w:t>,</w:t>
      </w:r>
      <w:r w:rsidR="00630B0D" w:rsidRPr="00424261">
        <w:rPr>
          <w:rFonts w:ascii="Palatino Linotype" w:eastAsia="Calibri" w:hAnsi="Palatino Linotype" w:cs="Arial"/>
          <w:color w:val="000000" w:themeColor="text1"/>
        </w:rPr>
        <w:t xml:space="preserve"> </w:t>
      </w:r>
      <w:r w:rsidR="00740BA4" w:rsidRPr="00424261">
        <w:rPr>
          <w:rFonts w:ascii="Palatino Linotype" w:eastAsia="Calibri" w:hAnsi="Palatino Linotype" w:cs="Arial"/>
          <w:color w:val="000000" w:themeColor="text1"/>
        </w:rPr>
        <w:t>en términos del artículo 3</w:t>
      </w:r>
      <w:r w:rsidR="00630B0D" w:rsidRPr="00424261">
        <w:rPr>
          <w:rFonts w:ascii="Palatino Linotype" w:eastAsia="Calibri" w:hAnsi="Palatino Linotype" w:cs="Arial"/>
          <w:color w:val="000000" w:themeColor="text1"/>
        </w:rPr>
        <w:t>,</w:t>
      </w:r>
      <w:r w:rsidR="00740BA4" w:rsidRPr="00424261">
        <w:rPr>
          <w:rFonts w:ascii="Palatino Linotype" w:eastAsia="Calibri" w:hAnsi="Palatino Linotype" w:cs="Arial"/>
          <w:color w:val="000000" w:themeColor="text1"/>
        </w:rPr>
        <w:t xml:space="preserve"> fracción X</w:t>
      </w:r>
      <w:r w:rsidR="00630B0D" w:rsidRPr="00424261">
        <w:rPr>
          <w:rFonts w:ascii="Palatino Linotype" w:eastAsia="Calibri" w:hAnsi="Palatino Linotype" w:cs="Arial"/>
          <w:color w:val="000000" w:themeColor="text1"/>
        </w:rPr>
        <w:t>,</w:t>
      </w:r>
      <w:r w:rsidR="00740BA4" w:rsidRPr="00424261">
        <w:rPr>
          <w:rFonts w:ascii="Palatino Linotype" w:eastAsia="Calibri" w:hAnsi="Palatino Linotype" w:cs="Arial"/>
          <w:color w:val="000000" w:themeColor="text1"/>
        </w:rPr>
        <w:t xml:space="preserve"> de la Ley de Transparencia y Acceso a la Información Pública del Estado de México y Municipios.</w:t>
      </w:r>
    </w:p>
    <w:p w14:paraId="636AB35B" w14:textId="77777777" w:rsidR="001246CE" w:rsidRPr="00424261" w:rsidRDefault="001246CE" w:rsidP="001246C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1903286" w14:textId="3EEC916B" w:rsidR="00740BA4" w:rsidRPr="00424261" w:rsidRDefault="001246CE" w:rsidP="001246C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24261">
        <w:rPr>
          <w:rFonts w:ascii="Palatino Linotype" w:eastAsia="Calibri" w:hAnsi="Palatino Linotype" w:cs="Arial"/>
          <w:color w:val="000000" w:themeColor="text1"/>
        </w:rPr>
        <w:t xml:space="preserve">Luego entonces, si los recursos de revisión acumulados que hoy se resuelven fueron interpuestos el </w:t>
      </w:r>
      <w:r w:rsidR="00D936CA" w:rsidRPr="00424261">
        <w:rPr>
          <w:rFonts w:ascii="Palatino Linotype" w:eastAsia="Calibri" w:hAnsi="Palatino Linotype" w:cs="Arial"/>
          <w:color w:val="000000" w:themeColor="text1"/>
        </w:rPr>
        <w:t>veintiséis (26) de noviembre</w:t>
      </w:r>
      <w:r w:rsidRPr="00424261">
        <w:rPr>
          <w:rFonts w:ascii="Palatino Linotype" w:eastAsia="Calibri" w:hAnsi="Palatino Linotype" w:cs="Arial"/>
          <w:color w:val="000000" w:themeColor="text1"/>
        </w:rPr>
        <w:t xml:space="preserve"> de dos mil veintiuno, éstos </w:t>
      </w:r>
      <w:r w:rsidRPr="00424261">
        <w:rPr>
          <w:rFonts w:ascii="Palatino Linotype" w:hAnsi="Palatino Linotype" w:cs="Arial"/>
          <w:color w:val="000000" w:themeColor="text1"/>
        </w:rPr>
        <w:t>se encuentran dentro de los márgenes temporales previstos en el artículo 178 de la Ley de Transparencia y Acceso a la Información Pública del Estado de México y Municipios</w:t>
      </w:r>
      <w:r w:rsidRPr="00424261">
        <w:rPr>
          <w:rFonts w:ascii="Palatino Linotype" w:hAnsi="Palatino Linotype" w:cs="Arial"/>
          <w:b/>
          <w:color w:val="000000" w:themeColor="text1"/>
        </w:rPr>
        <w:t xml:space="preserve"> </w:t>
      </w:r>
      <w:r w:rsidRPr="00424261">
        <w:rPr>
          <w:rFonts w:ascii="Palatino Linotype" w:hAnsi="Palatino Linotype" w:cs="Arial"/>
          <w:color w:val="000000" w:themeColor="text1"/>
        </w:rPr>
        <w:t>vigente.</w:t>
      </w:r>
    </w:p>
    <w:p w14:paraId="2AB4C284" w14:textId="77777777" w:rsidR="001246CE" w:rsidRPr="00424261" w:rsidRDefault="001246CE" w:rsidP="001246C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423FA3" w14:textId="73C26969" w:rsidR="001F0A72" w:rsidRPr="0042426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hAnsi="Palatino Linotype"/>
          <w:color w:val="000000" w:themeColor="text1"/>
        </w:rPr>
        <w:t xml:space="preserve">Por </w:t>
      </w:r>
      <w:r w:rsidRPr="00424261">
        <w:rPr>
          <w:rFonts w:ascii="Palatino Linotype" w:hAnsi="Palatino Linotype"/>
          <w:color w:val="000000" w:themeColor="text1"/>
          <w:lang w:val="es-ES"/>
        </w:rPr>
        <w:t>otro lado, de la revisión a</w:t>
      </w:r>
      <w:r w:rsidR="001246CE" w:rsidRPr="00424261">
        <w:rPr>
          <w:rFonts w:ascii="Palatino Linotype" w:hAnsi="Palatino Linotype"/>
          <w:color w:val="000000" w:themeColor="text1"/>
          <w:lang w:val="es-ES"/>
        </w:rPr>
        <w:t xml:space="preserve"> </w:t>
      </w:r>
      <w:r w:rsidRPr="00424261">
        <w:rPr>
          <w:rFonts w:ascii="Palatino Linotype" w:hAnsi="Palatino Linotype"/>
          <w:color w:val="000000" w:themeColor="text1"/>
          <w:lang w:val="es-ES"/>
        </w:rPr>
        <w:t>l</w:t>
      </w:r>
      <w:r w:rsidR="001246CE" w:rsidRPr="00424261">
        <w:rPr>
          <w:rFonts w:ascii="Palatino Linotype" w:hAnsi="Palatino Linotype"/>
          <w:color w:val="000000" w:themeColor="text1"/>
          <w:lang w:val="es-ES"/>
        </w:rPr>
        <w:t>os</w:t>
      </w:r>
      <w:r w:rsidRPr="00424261">
        <w:rPr>
          <w:rFonts w:ascii="Palatino Linotype" w:hAnsi="Palatino Linotype"/>
          <w:color w:val="000000" w:themeColor="text1"/>
          <w:lang w:val="es-ES"/>
        </w:rPr>
        <w:t xml:space="preserve"> expediente</w:t>
      </w:r>
      <w:r w:rsidR="001246CE" w:rsidRPr="00424261">
        <w:rPr>
          <w:rFonts w:ascii="Palatino Linotype" w:hAnsi="Palatino Linotype"/>
          <w:color w:val="000000" w:themeColor="text1"/>
          <w:lang w:val="es-ES"/>
        </w:rPr>
        <w:t>s</w:t>
      </w:r>
      <w:r w:rsidRPr="00424261">
        <w:rPr>
          <w:rFonts w:ascii="Palatino Linotype" w:hAnsi="Palatino Linotype"/>
          <w:color w:val="000000" w:themeColor="text1"/>
          <w:lang w:val="es-ES"/>
        </w:rPr>
        <w:t xml:space="preserve"> electrónico</w:t>
      </w:r>
      <w:r w:rsidR="001246CE" w:rsidRPr="00424261">
        <w:rPr>
          <w:rFonts w:ascii="Palatino Linotype" w:hAnsi="Palatino Linotype"/>
          <w:color w:val="000000" w:themeColor="text1"/>
          <w:lang w:val="es-ES"/>
        </w:rPr>
        <w:t>s</w:t>
      </w:r>
      <w:r w:rsidRPr="00424261">
        <w:rPr>
          <w:rFonts w:ascii="Palatino Linotype" w:hAnsi="Palatino Linotype"/>
          <w:color w:val="000000" w:themeColor="text1"/>
          <w:lang w:val="es-ES"/>
        </w:rPr>
        <w:t xml:space="preserve"> contenido</w:t>
      </w:r>
      <w:r w:rsidR="001246CE" w:rsidRPr="00424261">
        <w:rPr>
          <w:rFonts w:ascii="Palatino Linotype" w:hAnsi="Palatino Linotype"/>
          <w:color w:val="000000" w:themeColor="text1"/>
          <w:lang w:val="es-ES"/>
        </w:rPr>
        <w:t>s</w:t>
      </w:r>
      <w:r w:rsidRPr="00424261">
        <w:rPr>
          <w:rFonts w:ascii="Palatino Linotype" w:hAnsi="Palatino Linotype"/>
          <w:color w:val="000000" w:themeColor="text1"/>
          <w:lang w:val="es-ES"/>
        </w:rPr>
        <w:t xml:space="preserve"> en el SAIMEX, se desprende que la parte solicitante, en ejercicio de su derecho de acceso </w:t>
      </w:r>
      <w:r w:rsidRPr="00424261">
        <w:rPr>
          <w:rFonts w:ascii="Palatino Linotype" w:hAnsi="Palatino Linotype"/>
          <w:color w:val="000000" w:themeColor="text1"/>
          <w:lang w:val="es-ES"/>
        </w:rPr>
        <w:lastRenderedPageBreak/>
        <w:t>a la información pública en el expediente que se revisa, tanto en la</w:t>
      </w:r>
      <w:r w:rsidR="00F2695F" w:rsidRPr="00424261">
        <w:rPr>
          <w:rFonts w:ascii="Palatino Linotype" w:hAnsi="Palatino Linotype"/>
          <w:color w:val="000000" w:themeColor="text1"/>
          <w:lang w:val="es-ES"/>
        </w:rPr>
        <w:t>s</w:t>
      </w:r>
      <w:r w:rsidRPr="00424261">
        <w:rPr>
          <w:rFonts w:ascii="Palatino Linotype" w:hAnsi="Palatino Linotype"/>
          <w:color w:val="000000" w:themeColor="text1"/>
          <w:lang w:val="es-ES"/>
        </w:rPr>
        <w:t xml:space="preserve"> solicitud</w:t>
      </w:r>
      <w:r w:rsidR="00F2695F" w:rsidRPr="00424261">
        <w:rPr>
          <w:rFonts w:ascii="Palatino Linotype" w:hAnsi="Palatino Linotype"/>
          <w:color w:val="000000" w:themeColor="text1"/>
          <w:lang w:val="es-ES"/>
        </w:rPr>
        <w:t>es</w:t>
      </w:r>
      <w:r w:rsidRPr="00424261">
        <w:rPr>
          <w:rFonts w:ascii="Palatino Linotype" w:hAnsi="Palatino Linotype"/>
          <w:color w:val="000000" w:themeColor="text1"/>
          <w:lang w:val="es-ES"/>
        </w:rPr>
        <w:t xml:space="preserve"> de información como en </w:t>
      </w:r>
      <w:r w:rsidR="00F2695F" w:rsidRPr="00424261">
        <w:rPr>
          <w:rFonts w:ascii="Palatino Linotype" w:hAnsi="Palatino Linotype"/>
          <w:color w:val="000000" w:themeColor="text1"/>
          <w:lang w:val="es-ES"/>
        </w:rPr>
        <w:t>los</w:t>
      </w:r>
      <w:r w:rsidRPr="00424261">
        <w:rPr>
          <w:rFonts w:ascii="Palatino Linotype" w:hAnsi="Palatino Linotype"/>
          <w:color w:val="000000" w:themeColor="text1"/>
          <w:lang w:val="es-ES"/>
        </w:rPr>
        <w:t xml:space="preserve"> </w:t>
      </w:r>
      <w:r w:rsidR="00F2695F" w:rsidRPr="00424261">
        <w:rPr>
          <w:rFonts w:ascii="Palatino Linotype" w:hAnsi="Palatino Linotype"/>
          <w:color w:val="000000" w:themeColor="text1"/>
          <w:lang w:val="es-ES"/>
        </w:rPr>
        <w:t xml:space="preserve">posteriores </w:t>
      </w:r>
      <w:r w:rsidRPr="00424261">
        <w:rPr>
          <w:rFonts w:ascii="Palatino Linotype" w:hAnsi="Palatino Linotype"/>
          <w:color w:val="000000" w:themeColor="text1"/>
          <w:lang w:val="es-ES"/>
        </w:rPr>
        <w:t>recurso</w:t>
      </w:r>
      <w:r w:rsidR="00F2695F" w:rsidRPr="00424261">
        <w:rPr>
          <w:rFonts w:ascii="Palatino Linotype" w:hAnsi="Palatino Linotype"/>
          <w:color w:val="000000" w:themeColor="text1"/>
          <w:lang w:val="es-ES"/>
        </w:rPr>
        <w:t>s</w:t>
      </w:r>
      <w:r w:rsidRPr="00424261">
        <w:rPr>
          <w:rFonts w:ascii="Palatino Linotype" w:hAnsi="Palatino Linotype"/>
          <w:color w:val="000000" w:themeColor="text1"/>
          <w:lang w:val="es-ES"/>
        </w:rPr>
        <w:t xml:space="preserve"> de revisión, </w:t>
      </w:r>
      <w:r w:rsidRPr="00424261">
        <w:rPr>
          <w:rFonts w:ascii="Palatino Linotype" w:hAnsi="Palatino Linotype"/>
          <w:b/>
          <w:color w:val="000000" w:themeColor="text1"/>
          <w:lang w:val="es-ES"/>
        </w:rPr>
        <w:t xml:space="preserve">no señaló </w:t>
      </w:r>
      <w:r w:rsidR="002D5464" w:rsidRPr="00424261">
        <w:rPr>
          <w:rFonts w:ascii="Palatino Linotype" w:hAnsi="Palatino Linotype"/>
          <w:b/>
          <w:color w:val="000000" w:themeColor="text1"/>
          <w:lang w:val="es-ES"/>
        </w:rPr>
        <w:t>su nombre</w:t>
      </w:r>
      <w:r w:rsidRPr="00424261">
        <w:rPr>
          <w:rFonts w:ascii="Palatino Linotype" w:hAnsi="Palatino Linotype"/>
          <w:b/>
          <w:color w:val="000000" w:themeColor="text1"/>
          <w:lang w:val="es-ES"/>
        </w:rPr>
        <w:t xml:space="preserve"> </w:t>
      </w:r>
      <w:r w:rsidR="00D936CA" w:rsidRPr="00424261">
        <w:rPr>
          <w:rFonts w:ascii="Palatino Linotype" w:hAnsi="Palatino Linotype"/>
          <w:b/>
          <w:color w:val="000000" w:themeColor="text1"/>
          <w:lang w:val="es-ES"/>
        </w:rPr>
        <w:t xml:space="preserve">completo </w:t>
      </w:r>
      <w:r w:rsidRPr="00424261">
        <w:rPr>
          <w:rFonts w:ascii="Palatino Linotype" w:hAnsi="Palatino Linotype"/>
          <w:b/>
          <w:color w:val="000000" w:themeColor="text1"/>
          <w:lang w:val="es-ES"/>
        </w:rPr>
        <w:t>para ser identificado, ni se tiene certeza sobre su identidad.</w:t>
      </w:r>
      <w:r w:rsidRPr="00424261">
        <w:rPr>
          <w:rFonts w:ascii="Palatino Linotype" w:hAnsi="Palatino Linotype"/>
          <w:color w:val="000000" w:themeColor="text1"/>
          <w:lang w:val="es-ES"/>
        </w:rPr>
        <w:t xml:space="preserve"> Sin embargo, es importante señalar que </w:t>
      </w:r>
      <w:r w:rsidRPr="00424261">
        <w:rPr>
          <w:rFonts w:ascii="Palatino Linotype" w:hAnsi="Palatino Linotype"/>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9902269" w14:textId="77777777" w:rsidR="001F0A72" w:rsidRPr="0042426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984F9F3" w14:textId="44323B80" w:rsidR="001F0A72" w:rsidRPr="0042426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eastAsia="Calibri" w:hAnsi="Palatino Linotype" w:cs="Arial"/>
          <w:color w:val="000000" w:themeColor="text1"/>
        </w:rPr>
        <w:t xml:space="preserve">Esto </w:t>
      </w:r>
      <w:r w:rsidRPr="00424261">
        <w:rPr>
          <w:rFonts w:ascii="Palatino Linotype" w:hAnsi="Palatino Linotype" w:cs="Arial"/>
          <w:color w:val="000000" w:themeColor="text1"/>
          <w:lang w:val="es-ES"/>
        </w:rPr>
        <w:t xml:space="preserve">es así, ya que de conformidad con los artículos 6, apartado A, fracciones III y IV de la </w:t>
      </w:r>
      <w:r w:rsidRPr="00424261">
        <w:rPr>
          <w:rFonts w:ascii="Palatino Linotype" w:hAnsi="Palatino Linotype" w:cs="Arial"/>
          <w:b/>
          <w:color w:val="000000" w:themeColor="text1"/>
          <w:lang w:val="es-ES"/>
        </w:rPr>
        <w:t>Constitución Política de los Estados Unidos Mexicanos</w:t>
      </w:r>
      <w:r w:rsidRPr="00424261">
        <w:rPr>
          <w:rFonts w:ascii="Palatino Linotype" w:hAnsi="Palatino Linotype" w:cs="Arial"/>
          <w:color w:val="000000" w:themeColor="text1"/>
          <w:lang w:val="es-ES"/>
        </w:rPr>
        <w:t xml:space="preserve">; 5, párrafos </w:t>
      </w:r>
      <w:r w:rsidR="003D1C2D" w:rsidRPr="00424261">
        <w:rPr>
          <w:rFonts w:ascii="Palatino Linotype" w:hAnsi="Palatino Linotype" w:cs="Arial"/>
          <w:color w:val="000000" w:themeColor="text1"/>
          <w:lang w:val="es-ES"/>
        </w:rPr>
        <w:t>trigésimo, trigésimo primero y trigésimo segundo</w:t>
      </w:r>
      <w:r w:rsidRPr="00424261">
        <w:rPr>
          <w:rFonts w:ascii="Palatino Linotype" w:hAnsi="Palatino Linotype" w:cs="Arial"/>
          <w:color w:val="000000" w:themeColor="text1"/>
          <w:lang w:val="es-ES"/>
        </w:rPr>
        <w:t xml:space="preserve">, fracciones III, IV y V, de la </w:t>
      </w:r>
      <w:r w:rsidRPr="00424261">
        <w:rPr>
          <w:rFonts w:ascii="Palatino Linotype" w:hAnsi="Palatino Linotype" w:cs="Arial"/>
          <w:b/>
          <w:color w:val="000000" w:themeColor="text1"/>
          <w:lang w:val="es-ES"/>
        </w:rPr>
        <w:t>Constitución Política del Estado Libre y Soberano de México</w:t>
      </w:r>
      <w:r w:rsidRPr="00424261">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D75B705" w14:textId="77777777" w:rsidR="001F0A72" w:rsidRPr="0042426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67FB0930" w14:textId="77777777" w:rsidR="001F0A72" w:rsidRPr="0042426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eastAsia="Calibri" w:hAnsi="Palatino Linotype" w:cs="Arial"/>
          <w:color w:val="000000" w:themeColor="text1"/>
        </w:rPr>
        <w:t xml:space="preserve">Por </w:t>
      </w:r>
      <w:r w:rsidRPr="00424261">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424261">
        <w:rPr>
          <w:rFonts w:ascii="Palatino Linotype" w:eastAsia="Times New Roman" w:hAnsi="Palatino Linotype" w:cs="Arial"/>
          <w:color w:val="000000" w:themeColor="text1"/>
          <w:lang w:val="es-ES" w:eastAsia="es-MX"/>
        </w:rPr>
        <w:lastRenderedPageBreak/>
        <w:t>permite la posibilidad de que inclusive, la solicitud de acceso a la información pueda ser anónima o no contener un nombre que identifique al Solicitante o que permita tener certeza sobre su identidad.</w:t>
      </w:r>
    </w:p>
    <w:p w14:paraId="249C767E" w14:textId="77777777" w:rsidR="001F0A72" w:rsidRPr="0042426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217A8383" w14:textId="77777777" w:rsidR="001F0A72" w:rsidRPr="0042426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eastAsia="Calibri" w:hAnsi="Palatino Linotype" w:cs="Arial"/>
          <w:color w:val="000000" w:themeColor="text1"/>
        </w:rPr>
        <w:t xml:space="preserve">Asimismo, </w:t>
      </w:r>
      <w:r w:rsidRPr="00424261">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7413F3DB" w14:textId="77777777" w:rsidR="001F0A72" w:rsidRPr="0042426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C7F0C66" w14:textId="77777777" w:rsidR="001F0A72" w:rsidRPr="0042426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eastAsia="Calibri" w:hAnsi="Palatino Linotype" w:cs="Arial"/>
          <w:color w:val="000000" w:themeColor="text1"/>
        </w:rPr>
        <w:t xml:space="preserve">De </w:t>
      </w:r>
      <w:r w:rsidRPr="00424261">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10B77FF" w14:textId="77777777" w:rsidR="001F0A72" w:rsidRPr="0042426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061076E5" w14:textId="106C0D98" w:rsidR="001F0A72" w:rsidRPr="0042426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eastAsia="Calibri" w:hAnsi="Palatino Linotype" w:cs="Arial"/>
          <w:color w:val="000000" w:themeColor="text1"/>
        </w:rPr>
        <w:t xml:space="preserve">Por </w:t>
      </w:r>
      <w:r w:rsidRPr="00424261">
        <w:rPr>
          <w:rFonts w:ascii="Palatino Linotype" w:eastAsia="Calibri" w:hAnsi="Palatino Linotype" w:cs="Arial"/>
        </w:rPr>
        <w:t xml:space="preserve">lo tanto, </w:t>
      </w:r>
      <w:r w:rsidRPr="00424261">
        <w:rPr>
          <w:rFonts w:ascii="Palatino Linotype" w:eastAsia="Times New Roman" w:hAnsi="Palatino Linotype" w:cs="Arial"/>
          <w:color w:val="000000" w:themeColor="text1"/>
          <w:lang w:val="es-ES" w:eastAsia="es-MX"/>
        </w:rPr>
        <w:t xml:space="preserve">el nombre del </w:t>
      </w:r>
      <w:r w:rsidRPr="00424261">
        <w:rPr>
          <w:rFonts w:ascii="Palatino Linotype" w:eastAsia="Times New Roman" w:hAnsi="Palatino Linotype" w:cs="Arial"/>
          <w:b/>
          <w:color w:val="000000" w:themeColor="text1"/>
          <w:lang w:val="es-ES" w:eastAsia="es-MX"/>
        </w:rPr>
        <w:t>SOLICITANTE</w:t>
      </w:r>
      <w:r w:rsidRPr="00424261">
        <w:rPr>
          <w:rFonts w:ascii="Palatino Linotype" w:eastAsia="Times New Roman" w:hAnsi="Palatino Linotype" w:cs="Arial"/>
          <w:color w:val="000000" w:themeColor="text1"/>
          <w:lang w:val="es-ES" w:eastAsia="es-MX"/>
        </w:rPr>
        <w:t xml:space="preserve"> y subsecuente </w:t>
      </w:r>
      <w:r w:rsidRPr="00424261">
        <w:rPr>
          <w:rFonts w:ascii="Palatino Linotype" w:eastAsia="Times New Roman" w:hAnsi="Palatino Linotype" w:cs="Arial"/>
          <w:b/>
          <w:color w:val="000000" w:themeColor="text1"/>
          <w:lang w:val="es-ES" w:eastAsia="es-MX"/>
        </w:rPr>
        <w:t>RECURRENTE</w:t>
      </w:r>
      <w:r w:rsidRPr="00424261">
        <w:rPr>
          <w:rFonts w:ascii="Palatino Linotype" w:eastAsia="Times New Roman" w:hAnsi="Palatino Linotype" w:cs="Arial"/>
          <w:color w:val="000000" w:themeColor="text1"/>
          <w:lang w:val="es-ES" w:eastAsia="es-MX"/>
        </w:rPr>
        <w:t xml:space="preserve"> no puede ser considerado como un requisito indispensable de procedencia de</w:t>
      </w:r>
      <w:r w:rsidR="00F2695F" w:rsidRPr="00424261">
        <w:rPr>
          <w:rFonts w:ascii="Palatino Linotype" w:eastAsia="Times New Roman" w:hAnsi="Palatino Linotype" w:cs="Arial"/>
          <w:color w:val="000000" w:themeColor="text1"/>
          <w:lang w:val="es-ES" w:eastAsia="es-MX"/>
        </w:rPr>
        <w:t xml:space="preserve"> </w:t>
      </w:r>
      <w:r w:rsidRPr="00424261">
        <w:rPr>
          <w:rFonts w:ascii="Palatino Linotype" w:eastAsia="Times New Roman" w:hAnsi="Palatino Linotype" w:cs="Arial"/>
          <w:color w:val="000000" w:themeColor="text1"/>
          <w:lang w:val="es-ES" w:eastAsia="es-MX"/>
        </w:rPr>
        <w:t>l</w:t>
      </w:r>
      <w:r w:rsidR="00F2695F" w:rsidRPr="00424261">
        <w:rPr>
          <w:rFonts w:ascii="Palatino Linotype" w:eastAsia="Times New Roman" w:hAnsi="Palatino Linotype" w:cs="Arial"/>
          <w:color w:val="000000" w:themeColor="text1"/>
          <w:lang w:val="es-ES" w:eastAsia="es-MX"/>
        </w:rPr>
        <w:t>os</w:t>
      </w:r>
      <w:r w:rsidRPr="00424261">
        <w:rPr>
          <w:rFonts w:ascii="Palatino Linotype" w:eastAsia="Times New Roman" w:hAnsi="Palatino Linotype" w:cs="Arial"/>
          <w:color w:val="000000" w:themeColor="text1"/>
          <w:lang w:val="es-ES" w:eastAsia="es-MX"/>
        </w:rPr>
        <w:t xml:space="preserve"> recurso</w:t>
      </w:r>
      <w:r w:rsidR="00F2695F" w:rsidRPr="00424261">
        <w:rPr>
          <w:rFonts w:ascii="Palatino Linotype" w:eastAsia="Times New Roman" w:hAnsi="Palatino Linotype" w:cs="Arial"/>
          <w:color w:val="000000" w:themeColor="text1"/>
          <w:lang w:val="es-ES" w:eastAsia="es-MX"/>
        </w:rPr>
        <w:t>s</w:t>
      </w:r>
      <w:r w:rsidRPr="00424261">
        <w:rPr>
          <w:rFonts w:ascii="Palatino Linotype" w:eastAsia="Times New Roman" w:hAnsi="Palatino Linotype" w:cs="Arial"/>
          <w:color w:val="000000" w:themeColor="text1"/>
          <w:lang w:val="es-ES" w:eastAsia="es-MX"/>
        </w:rPr>
        <w:t xml:space="preserve"> de revisión</w:t>
      </w:r>
      <w:r w:rsidR="00F2695F" w:rsidRPr="00424261">
        <w:rPr>
          <w:rFonts w:ascii="Palatino Linotype" w:eastAsia="Times New Roman" w:hAnsi="Palatino Linotype" w:cs="Arial"/>
          <w:color w:val="000000" w:themeColor="text1"/>
          <w:lang w:val="es-ES" w:eastAsia="es-MX"/>
        </w:rPr>
        <w:t xml:space="preserve"> acumulados</w:t>
      </w:r>
      <w:r w:rsidRPr="00424261">
        <w:rPr>
          <w:rFonts w:ascii="Palatino Linotype" w:eastAsia="Times New Roman" w:hAnsi="Palatino Linotype" w:cs="Arial"/>
          <w:color w:val="000000" w:themeColor="text1"/>
          <w:lang w:val="es-ES" w:eastAsia="es-MX"/>
        </w:rPr>
        <w:t xml:space="preserve"> que nos ocupa, ya que el acceso a la información no está condicionado a acreditar algún interés ya sea jurídico o legítimo, máxime que es un elemento subsanable por este Órgano Resolutor.</w:t>
      </w:r>
    </w:p>
    <w:p w14:paraId="5380D0C2" w14:textId="77777777" w:rsidR="001F0A72" w:rsidRPr="0042426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52DD5993" w14:textId="573CBBF6" w:rsidR="005F1362" w:rsidRPr="004242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424261">
        <w:rPr>
          <w:rFonts w:ascii="Palatino Linotype" w:eastAsia="Calibri" w:hAnsi="Palatino Linotype" w:cs="Arial"/>
          <w:color w:val="000000" w:themeColor="text1"/>
        </w:rPr>
        <w:t xml:space="preserve">Consecuencia de lo anterior, esta Ponencia Resolutora advierte que </w:t>
      </w:r>
      <w:r w:rsidR="00F2695F" w:rsidRPr="00424261">
        <w:rPr>
          <w:rFonts w:ascii="Palatino Linotype" w:eastAsia="Calibri" w:hAnsi="Palatino Linotype" w:cs="Arial"/>
          <w:color w:val="000000" w:themeColor="text1"/>
        </w:rPr>
        <w:t>los</w:t>
      </w:r>
      <w:r w:rsidR="00540208" w:rsidRPr="00424261">
        <w:rPr>
          <w:rFonts w:ascii="Palatino Linotype" w:eastAsia="Calibri" w:hAnsi="Palatino Linotype" w:cs="Arial"/>
          <w:color w:val="000000" w:themeColor="text1"/>
        </w:rPr>
        <w:t xml:space="preserve"> escrit</w:t>
      </w:r>
      <w:r w:rsidR="00F2695F" w:rsidRPr="00424261">
        <w:rPr>
          <w:rFonts w:ascii="Palatino Linotype" w:eastAsia="Calibri" w:hAnsi="Palatino Linotype" w:cs="Arial"/>
          <w:color w:val="000000" w:themeColor="text1"/>
        </w:rPr>
        <w:t>os</w:t>
      </w:r>
      <w:r w:rsidR="00540208" w:rsidRPr="00424261">
        <w:rPr>
          <w:rFonts w:ascii="Palatino Linotype" w:eastAsia="Calibri" w:hAnsi="Palatino Linotype" w:cs="Arial"/>
          <w:color w:val="000000" w:themeColor="text1"/>
        </w:rPr>
        <w:t xml:space="preserve"> contiene</w:t>
      </w:r>
      <w:r w:rsidR="00F2695F" w:rsidRPr="00424261">
        <w:rPr>
          <w:rFonts w:ascii="Palatino Linotype" w:eastAsia="Calibri" w:hAnsi="Palatino Linotype" w:cs="Arial"/>
          <w:color w:val="000000" w:themeColor="text1"/>
        </w:rPr>
        <w:t>n</w:t>
      </w:r>
      <w:r w:rsidR="00540208" w:rsidRPr="00424261">
        <w:rPr>
          <w:rFonts w:ascii="Palatino Linotype" w:eastAsia="Calibri" w:hAnsi="Palatino Linotype" w:cs="Arial"/>
          <w:color w:val="000000" w:themeColor="text1"/>
        </w:rPr>
        <w:t xml:space="preserve"> las formalidades previstas por el artículo 180</w:t>
      </w:r>
      <w:r w:rsidR="00F2695F" w:rsidRPr="00424261">
        <w:rPr>
          <w:rFonts w:ascii="Palatino Linotype" w:eastAsia="Calibri" w:hAnsi="Palatino Linotype" w:cs="Arial"/>
          <w:color w:val="000000" w:themeColor="text1"/>
        </w:rPr>
        <w:t>,</w:t>
      </w:r>
      <w:r w:rsidR="00540208" w:rsidRPr="00424261">
        <w:rPr>
          <w:rFonts w:ascii="Palatino Linotype" w:eastAsia="Calibri" w:hAnsi="Palatino Linotype" w:cs="Arial"/>
          <w:color w:val="000000" w:themeColor="text1"/>
        </w:rPr>
        <w:t xml:space="preserve"> último párrafo</w:t>
      </w:r>
      <w:r w:rsidR="00F2695F" w:rsidRPr="00424261">
        <w:rPr>
          <w:rFonts w:ascii="Palatino Linotype" w:eastAsia="Calibri" w:hAnsi="Palatino Linotype" w:cs="Arial"/>
          <w:color w:val="000000" w:themeColor="text1"/>
        </w:rPr>
        <w:t>,</w:t>
      </w:r>
      <w:r w:rsidR="00540208" w:rsidRPr="00424261">
        <w:rPr>
          <w:rFonts w:ascii="Palatino Linotype" w:eastAsia="Calibri" w:hAnsi="Palatino Linotype" w:cs="Arial"/>
          <w:color w:val="000000" w:themeColor="text1"/>
        </w:rPr>
        <w:t xml:space="preserve"> de la Ley </w:t>
      </w:r>
      <w:r w:rsidR="004911B6" w:rsidRPr="00424261">
        <w:rPr>
          <w:rFonts w:ascii="Palatino Linotype" w:eastAsia="Calibri" w:hAnsi="Palatino Linotype" w:cs="Arial"/>
          <w:color w:val="000000" w:themeColor="text1"/>
        </w:rPr>
        <w:t>de Transparencia y Acceso a la Información Pública del Estado de México y Municipios</w:t>
      </w:r>
      <w:r w:rsidR="00540208" w:rsidRPr="00424261">
        <w:rPr>
          <w:rFonts w:ascii="Palatino Linotype" w:eastAsia="Calibri" w:hAnsi="Palatino Linotype" w:cs="Arial"/>
          <w:color w:val="000000" w:themeColor="text1"/>
        </w:rPr>
        <w:t xml:space="preserve">, por lo que es procedente que </w:t>
      </w:r>
      <w:r w:rsidR="004911B6" w:rsidRPr="00424261">
        <w:rPr>
          <w:rFonts w:ascii="Palatino Linotype" w:eastAsia="Calibri" w:hAnsi="Palatino Linotype" w:cs="Arial"/>
          <w:color w:val="000000" w:themeColor="text1"/>
        </w:rPr>
        <w:t>e</w:t>
      </w:r>
      <w:r w:rsidR="00540208" w:rsidRPr="00424261">
        <w:rPr>
          <w:rFonts w:ascii="Palatino Linotype" w:eastAsia="Calibri" w:hAnsi="Palatino Linotype" w:cs="Arial"/>
          <w:color w:val="000000" w:themeColor="text1"/>
        </w:rPr>
        <w:t xml:space="preserve">ste Instituto de Transparencia, Acceso a la </w:t>
      </w:r>
      <w:r w:rsidR="00540208" w:rsidRPr="00424261">
        <w:rPr>
          <w:rFonts w:ascii="Palatino Linotype" w:eastAsia="Calibri" w:hAnsi="Palatino Linotype" w:cs="Arial"/>
          <w:color w:val="000000" w:themeColor="text1"/>
        </w:rPr>
        <w:lastRenderedPageBreak/>
        <w:t>Información Pública y Protección de Datos Personales del Estado de México y Municipios, conozca y resuelva el presente recurso.</w:t>
      </w:r>
    </w:p>
    <w:p w14:paraId="46BAB55A" w14:textId="77777777" w:rsidR="001F0A72" w:rsidRPr="00424261"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03CC209B" w14:textId="77777777" w:rsidR="001F0A72" w:rsidRPr="00424261"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424261" w:rsidRDefault="00751061" w:rsidP="00B31E90">
      <w:pPr>
        <w:pStyle w:val="Ttulo2"/>
        <w:spacing w:before="0"/>
        <w:rPr>
          <w:rFonts w:ascii="Palatino Linotype" w:hAnsi="Palatino Linotype"/>
          <w:b/>
          <w:color w:val="000000" w:themeColor="text1"/>
          <w:sz w:val="24"/>
          <w:szCs w:val="24"/>
        </w:rPr>
      </w:pPr>
      <w:bookmarkStart w:id="21" w:name="_Toc500360400"/>
      <w:bookmarkStart w:id="22" w:name="_Toc500786931"/>
      <w:bookmarkStart w:id="23" w:name="_Toc89350458"/>
      <w:bookmarkStart w:id="24" w:name="_Toc101963387"/>
      <w:bookmarkStart w:id="25" w:name="_Toc495427545"/>
      <w:bookmarkStart w:id="26" w:name="_Toc499296549"/>
      <w:bookmarkStart w:id="27" w:name="_Toc459174366"/>
      <w:bookmarkStart w:id="28" w:name="_Toc459659884"/>
      <w:bookmarkStart w:id="29" w:name="_Toc461687280"/>
      <w:bookmarkStart w:id="30" w:name="_Toc462771051"/>
      <w:bookmarkStart w:id="31" w:name="_Toc464139201"/>
      <w:r w:rsidRPr="00424261">
        <w:rPr>
          <w:rFonts w:ascii="Palatino Linotype" w:hAnsi="Palatino Linotype"/>
          <w:b/>
          <w:color w:val="000000" w:themeColor="text1"/>
          <w:sz w:val="24"/>
          <w:szCs w:val="24"/>
        </w:rPr>
        <w:t>TERCERO</w:t>
      </w:r>
      <w:r w:rsidR="00C50A2B" w:rsidRPr="00424261">
        <w:rPr>
          <w:rFonts w:ascii="Palatino Linotype" w:hAnsi="Palatino Linotype"/>
          <w:b/>
          <w:color w:val="000000" w:themeColor="text1"/>
          <w:sz w:val="24"/>
          <w:szCs w:val="24"/>
        </w:rPr>
        <w:t>. De</w:t>
      </w:r>
      <w:r w:rsidR="00AD76A1" w:rsidRPr="00424261">
        <w:rPr>
          <w:rFonts w:ascii="Palatino Linotype" w:hAnsi="Palatino Linotype"/>
          <w:b/>
          <w:color w:val="000000" w:themeColor="text1"/>
          <w:sz w:val="24"/>
          <w:szCs w:val="24"/>
        </w:rPr>
        <w:t xml:space="preserve">l planteamiento de la </w:t>
      </w:r>
      <w:r w:rsidR="00AD76A1" w:rsidRPr="00424261">
        <w:rPr>
          <w:rFonts w:ascii="Palatino Linotype" w:hAnsi="Palatino Linotype"/>
          <w:b/>
          <w:i/>
          <w:color w:val="000000" w:themeColor="text1"/>
          <w:sz w:val="24"/>
          <w:szCs w:val="24"/>
        </w:rPr>
        <w:t>Litis</w:t>
      </w:r>
      <w:r w:rsidR="00C50A2B" w:rsidRPr="00424261">
        <w:rPr>
          <w:rFonts w:ascii="Palatino Linotype" w:hAnsi="Palatino Linotype"/>
          <w:b/>
          <w:color w:val="000000" w:themeColor="text1"/>
          <w:sz w:val="24"/>
          <w:szCs w:val="24"/>
        </w:rPr>
        <w:t>.</w:t>
      </w:r>
      <w:bookmarkEnd w:id="21"/>
      <w:bookmarkEnd w:id="22"/>
      <w:bookmarkEnd w:id="23"/>
      <w:bookmarkEnd w:id="24"/>
    </w:p>
    <w:p w14:paraId="4231B8D5" w14:textId="77777777" w:rsidR="00540208" w:rsidRPr="00424261" w:rsidRDefault="00540208" w:rsidP="00B31E90">
      <w:pPr>
        <w:rPr>
          <w:rFonts w:ascii="Palatino Linotype" w:hAnsi="Palatino Linotype"/>
          <w:color w:val="000000" w:themeColor="text1"/>
          <w:lang w:eastAsia="en-US"/>
        </w:rPr>
      </w:pPr>
    </w:p>
    <w:bookmarkEnd w:id="25"/>
    <w:bookmarkEnd w:id="26"/>
    <w:p w14:paraId="146BEF2B" w14:textId="0BC2F255" w:rsidR="00321FCC" w:rsidRPr="00424261" w:rsidRDefault="00F2695F"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24261">
        <w:rPr>
          <w:rFonts w:ascii="Palatino Linotype" w:hAnsi="Palatino Linotype" w:cs="Arial"/>
          <w:color w:val="000000" w:themeColor="text1"/>
        </w:rPr>
        <w:t>A través de dos solicitudes de información,</w:t>
      </w:r>
      <w:r w:rsidR="009D653A" w:rsidRPr="00424261">
        <w:rPr>
          <w:rFonts w:ascii="Palatino Linotype" w:hAnsi="Palatino Linotype" w:cs="Arial"/>
          <w:color w:val="000000" w:themeColor="text1"/>
        </w:rPr>
        <w:t xml:space="preserve"> </w:t>
      </w:r>
      <w:r w:rsidR="00342A44" w:rsidRPr="00424261">
        <w:rPr>
          <w:rFonts w:ascii="Palatino Linotype" w:hAnsi="Palatino Linotype" w:cs="Arial"/>
          <w:color w:val="000000" w:themeColor="text1"/>
        </w:rPr>
        <w:t xml:space="preserve">se requirió la siguiente información relacionada con el siniestro automovilístico que cobró la vida del actor Octavio Augusto Pérez Ocaña: </w:t>
      </w:r>
      <w:r w:rsidR="00342A44" w:rsidRPr="00424261">
        <w:rPr>
          <w:rFonts w:ascii="Palatino Linotype" w:hAnsi="Palatino Linotype" w:cs="Arial"/>
          <w:b/>
          <w:color w:val="000000" w:themeColor="text1"/>
        </w:rPr>
        <w:t>a)</w:t>
      </w:r>
      <w:r w:rsidR="00342A44" w:rsidRPr="00424261">
        <w:rPr>
          <w:rFonts w:ascii="Palatino Linotype" w:hAnsi="Palatino Linotype" w:cs="Arial"/>
          <w:color w:val="000000" w:themeColor="text1"/>
        </w:rPr>
        <w:t xml:space="preserve"> Informe realizado por el Comisario de Seguridad Pública; </w:t>
      </w:r>
      <w:r w:rsidR="00342A44" w:rsidRPr="00424261">
        <w:rPr>
          <w:rFonts w:ascii="Palatino Linotype" w:hAnsi="Palatino Linotype" w:cs="Arial"/>
          <w:b/>
          <w:color w:val="000000" w:themeColor="text1"/>
        </w:rPr>
        <w:t>b)</w:t>
      </w:r>
      <w:r w:rsidR="00342A44" w:rsidRPr="00424261">
        <w:rPr>
          <w:rFonts w:ascii="Palatino Linotype" w:hAnsi="Palatino Linotype" w:cs="Arial"/>
          <w:color w:val="000000" w:themeColor="text1"/>
        </w:rPr>
        <w:t xml:space="preserve"> Acciones tomadas por el Presidente Municipal ante el suceso; </w:t>
      </w:r>
      <w:r w:rsidR="00342A44" w:rsidRPr="00424261">
        <w:rPr>
          <w:rFonts w:ascii="Palatino Linotype" w:hAnsi="Palatino Linotype" w:cs="Arial"/>
          <w:b/>
          <w:color w:val="000000" w:themeColor="text1"/>
        </w:rPr>
        <w:t>c)</w:t>
      </w:r>
      <w:r w:rsidR="00342A44" w:rsidRPr="00424261">
        <w:rPr>
          <w:rFonts w:ascii="Palatino Linotype" w:hAnsi="Palatino Linotype" w:cs="Arial"/>
          <w:color w:val="000000" w:themeColor="text1"/>
        </w:rPr>
        <w:t xml:space="preserve"> Nombres, credenciales, direcciones personales, horarios de labores, número de unidad que manejan, exámenes de control de confianza y recibos de nómina de los policías municipales que intervinieron en la persecución; </w:t>
      </w:r>
      <w:r w:rsidR="00342A44" w:rsidRPr="00424261">
        <w:rPr>
          <w:rFonts w:ascii="Palatino Linotype" w:hAnsi="Palatino Linotype" w:cs="Arial"/>
          <w:b/>
          <w:color w:val="000000" w:themeColor="text1"/>
        </w:rPr>
        <w:t>d)</w:t>
      </w:r>
      <w:r w:rsidR="00342A44" w:rsidRPr="00424261">
        <w:rPr>
          <w:rFonts w:ascii="Palatino Linotype" w:hAnsi="Palatino Linotype" w:cs="Arial"/>
          <w:color w:val="000000" w:themeColor="text1"/>
        </w:rPr>
        <w:t xml:space="preserve"> Número de identificación de las patrullas utilizadas en la persecución; </w:t>
      </w:r>
      <w:r w:rsidR="00342A44" w:rsidRPr="00424261">
        <w:rPr>
          <w:rFonts w:ascii="Palatino Linotype" w:hAnsi="Palatino Linotype" w:cs="Arial"/>
          <w:b/>
          <w:color w:val="000000" w:themeColor="text1"/>
        </w:rPr>
        <w:t>e)</w:t>
      </w:r>
      <w:r w:rsidR="00342A44" w:rsidRPr="00424261">
        <w:rPr>
          <w:rFonts w:ascii="Palatino Linotype" w:hAnsi="Palatino Linotype" w:cs="Arial"/>
          <w:color w:val="000000" w:themeColor="text1"/>
        </w:rPr>
        <w:t xml:space="preserve"> Parte de novedades generado del catorce (14) al dieciséis (16) de octubre de dos mil veintiuno;</w:t>
      </w:r>
      <w:r w:rsidR="00AC2C9D" w:rsidRPr="00424261">
        <w:rPr>
          <w:rFonts w:ascii="Palatino Linotype" w:hAnsi="Palatino Linotype" w:cs="Arial"/>
          <w:color w:val="000000" w:themeColor="text1"/>
        </w:rPr>
        <w:t xml:space="preserve"> y,</w:t>
      </w:r>
      <w:r w:rsidR="00342A44" w:rsidRPr="00424261">
        <w:rPr>
          <w:rFonts w:ascii="Palatino Linotype" w:hAnsi="Palatino Linotype" w:cs="Arial"/>
          <w:color w:val="000000" w:themeColor="text1"/>
        </w:rPr>
        <w:t xml:space="preserve"> </w:t>
      </w:r>
      <w:r w:rsidR="00342A44" w:rsidRPr="00424261">
        <w:rPr>
          <w:rFonts w:ascii="Palatino Linotype" w:hAnsi="Palatino Linotype" w:cs="Arial"/>
          <w:b/>
          <w:color w:val="000000" w:themeColor="text1"/>
        </w:rPr>
        <w:t>f)</w:t>
      </w:r>
      <w:r w:rsidR="00342A44" w:rsidRPr="00424261">
        <w:rPr>
          <w:rFonts w:ascii="Palatino Linotype" w:hAnsi="Palatino Linotype" w:cs="Arial"/>
          <w:color w:val="000000" w:themeColor="text1"/>
        </w:rPr>
        <w:t xml:space="preserve"> </w:t>
      </w:r>
      <w:r w:rsidR="00AC2C9D" w:rsidRPr="00424261">
        <w:rPr>
          <w:rFonts w:ascii="Palatino Linotype" w:hAnsi="Palatino Linotype" w:cs="Arial"/>
          <w:color w:val="000000" w:themeColor="text1"/>
        </w:rPr>
        <w:t>Informe si la agente de policía que sustrajo la esclava de oro del actor tiene alguna situación jurídica con el Consejo de Honor y Justicia</w:t>
      </w:r>
      <w:r w:rsidR="007E64B6" w:rsidRPr="00424261">
        <w:rPr>
          <w:rFonts w:ascii="Palatino Linotype" w:hAnsi="Palatino Linotype" w:cs="Arial"/>
          <w:color w:val="000000" w:themeColor="text1"/>
        </w:rPr>
        <w:t>.</w:t>
      </w:r>
      <w:r w:rsidR="00910076" w:rsidRPr="00424261">
        <w:rPr>
          <w:rFonts w:ascii="Palatino Linotype" w:hAnsi="Palatino Linotype" w:cs="Arial"/>
          <w:color w:val="000000" w:themeColor="text1"/>
        </w:rPr>
        <w:t xml:space="preserve"> </w:t>
      </w:r>
    </w:p>
    <w:p w14:paraId="50D752B6" w14:textId="77777777" w:rsidR="00321FCC" w:rsidRPr="00424261" w:rsidRDefault="00321FCC" w:rsidP="00321FCC">
      <w:pPr>
        <w:pStyle w:val="Prrafodelista"/>
        <w:tabs>
          <w:tab w:val="left" w:pos="426"/>
        </w:tabs>
        <w:spacing w:line="360" w:lineRule="auto"/>
        <w:ind w:left="0" w:right="49"/>
        <w:jc w:val="both"/>
        <w:rPr>
          <w:rFonts w:ascii="Palatino Linotype" w:hAnsi="Palatino Linotype" w:cs="Arial"/>
          <w:color w:val="000000" w:themeColor="text1"/>
        </w:rPr>
      </w:pPr>
    </w:p>
    <w:p w14:paraId="573B17A6" w14:textId="49992D4E" w:rsidR="00024BCC" w:rsidRPr="00424261" w:rsidRDefault="00AC2C9D"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24261">
        <w:rPr>
          <w:rFonts w:ascii="Palatino Linotype" w:hAnsi="Palatino Linotype" w:cs="Arial"/>
          <w:color w:val="000000" w:themeColor="text1"/>
        </w:rPr>
        <w:t>En sus repuestas, el</w:t>
      </w:r>
      <w:r w:rsidR="00910076" w:rsidRPr="00424261">
        <w:rPr>
          <w:rFonts w:ascii="Palatino Linotype" w:hAnsi="Palatino Linotype" w:cs="Arial"/>
          <w:color w:val="000000" w:themeColor="text1"/>
        </w:rPr>
        <w:t xml:space="preserve"> </w:t>
      </w:r>
      <w:r w:rsidR="00910076" w:rsidRPr="00424261">
        <w:rPr>
          <w:rFonts w:ascii="Palatino Linotype" w:hAnsi="Palatino Linotype" w:cs="Arial"/>
          <w:b/>
          <w:bCs/>
          <w:color w:val="000000" w:themeColor="text1"/>
        </w:rPr>
        <w:t>SUJETO OBLIGADO</w:t>
      </w:r>
      <w:r w:rsidR="00B91CB8" w:rsidRPr="00424261">
        <w:rPr>
          <w:rFonts w:ascii="Palatino Linotype" w:hAnsi="Palatino Linotype" w:cs="Arial"/>
          <w:color w:val="000000" w:themeColor="text1"/>
        </w:rPr>
        <w:t xml:space="preserve"> </w:t>
      </w:r>
      <w:r w:rsidRPr="00424261">
        <w:rPr>
          <w:rFonts w:ascii="Palatino Linotype" w:hAnsi="Palatino Linotype" w:cs="Arial"/>
          <w:color w:val="000000" w:themeColor="text1"/>
        </w:rPr>
        <w:t>determinó clasificar con el carácter de reservada a toda la información relativa a los policías municipales que participaron en la persecución del vehículo del actor</w:t>
      </w:r>
      <w:r w:rsidR="00B91CB8" w:rsidRPr="00424261">
        <w:rPr>
          <w:rFonts w:ascii="Palatino Linotype" w:hAnsi="Palatino Linotype" w:cs="Arial"/>
          <w:color w:val="000000" w:themeColor="text1"/>
        </w:rPr>
        <w:t>, así como el informe emitido por el Comisario General de Seguridad Pública</w:t>
      </w:r>
      <w:r w:rsidR="00630B0D" w:rsidRPr="00424261">
        <w:rPr>
          <w:rFonts w:ascii="Palatino Linotype" w:hAnsi="Palatino Linotype" w:cs="Arial"/>
          <w:color w:val="000000" w:themeColor="text1"/>
        </w:rPr>
        <w:t>.</w:t>
      </w:r>
      <w:r w:rsidR="00024BCC" w:rsidRPr="00424261">
        <w:rPr>
          <w:rFonts w:ascii="Palatino Linotype" w:hAnsi="Palatino Linotype" w:cs="Arial"/>
          <w:color w:val="000000" w:themeColor="text1"/>
        </w:rPr>
        <w:t xml:space="preserve"> </w:t>
      </w:r>
      <w:r w:rsidR="00826F38" w:rsidRPr="00424261">
        <w:rPr>
          <w:rFonts w:ascii="Palatino Linotype" w:hAnsi="Palatino Linotype" w:cs="Arial"/>
          <w:color w:val="000000" w:themeColor="text1"/>
        </w:rPr>
        <w:t xml:space="preserve">El particular impugnó </w:t>
      </w:r>
      <w:r w:rsidR="006A2EFB" w:rsidRPr="00424261">
        <w:rPr>
          <w:rFonts w:ascii="Palatino Linotype" w:hAnsi="Palatino Linotype" w:cs="Arial"/>
          <w:color w:val="000000" w:themeColor="text1"/>
        </w:rPr>
        <w:t>la</w:t>
      </w:r>
      <w:r w:rsidR="00F2695F" w:rsidRPr="00424261">
        <w:rPr>
          <w:rFonts w:ascii="Palatino Linotype" w:hAnsi="Palatino Linotype" w:cs="Arial"/>
          <w:color w:val="000000" w:themeColor="text1"/>
        </w:rPr>
        <w:t>s</w:t>
      </w:r>
      <w:r w:rsidR="006A2EFB" w:rsidRPr="00424261">
        <w:rPr>
          <w:rFonts w:ascii="Palatino Linotype" w:hAnsi="Palatino Linotype" w:cs="Arial"/>
          <w:color w:val="000000" w:themeColor="text1"/>
        </w:rPr>
        <w:t xml:space="preserve"> respuesta</w:t>
      </w:r>
      <w:r w:rsidR="00F2695F" w:rsidRPr="00424261">
        <w:rPr>
          <w:rFonts w:ascii="Palatino Linotype" w:hAnsi="Palatino Linotype" w:cs="Arial"/>
          <w:color w:val="000000" w:themeColor="text1"/>
        </w:rPr>
        <w:t>s</w:t>
      </w:r>
      <w:r w:rsidR="00826F38" w:rsidRPr="00424261">
        <w:rPr>
          <w:rFonts w:ascii="Palatino Linotype" w:hAnsi="Palatino Linotype" w:cs="Arial"/>
          <w:color w:val="000000" w:themeColor="text1"/>
        </w:rPr>
        <w:t xml:space="preserve"> mediante recurso</w:t>
      </w:r>
      <w:r w:rsidR="00F2695F" w:rsidRPr="00424261">
        <w:rPr>
          <w:rFonts w:ascii="Palatino Linotype" w:hAnsi="Palatino Linotype" w:cs="Arial"/>
          <w:color w:val="000000" w:themeColor="text1"/>
        </w:rPr>
        <w:t>s</w:t>
      </w:r>
      <w:r w:rsidR="00826F38" w:rsidRPr="00424261">
        <w:rPr>
          <w:rFonts w:ascii="Palatino Linotype" w:hAnsi="Palatino Linotype" w:cs="Arial"/>
          <w:color w:val="000000" w:themeColor="text1"/>
        </w:rPr>
        <w:t xml:space="preserve"> de revisión, </w:t>
      </w:r>
      <w:r w:rsidR="006A2EFB" w:rsidRPr="00424261">
        <w:rPr>
          <w:rFonts w:ascii="Palatino Linotype" w:hAnsi="Palatino Linotype" w:cs="Arial"/>
          <w:color w:val="000000" w:themeColor="text1"/>
        </w:rPr>
        <w:t xml:space="preserve">en </w:t>
      </w:r>
      <w:r w:rsidR="00F2695F" w:rsidRPr="00424261">
        <w:rPr>
          <w:rFonts w:ascii="Palatino Linotype" w:hAnsi="Palatino Linotype" w:cs="Arial"/>
          <w:color w:val="000000" w:themeColor="text1"/>
        </w:rPr>
        <w:t>los</w:t>
      </w:r>
      <w:r w:rsidR="006A2EFB" w:rsidRPr="00424261">
        <w:rPr>
          <w:rFonts w:ascii="Palatino Linotype" w:hAnsi="Palatino Linotype" w:cs="Arial"/>
          <w:color w:val="000000" w:themeColor="text1"/>
        </w:rPr>
        <w:t xml:space="preserve"> que señaló</w:t>
      </w:r>
      <w:r w:rsidR="00826F38" w:rsidRPr="00424261">
        <w:rPr>
          <w:rFonts w:ascii="Palatino Linotype" w:hAnsi="Palatino Linotype" w:cs="Arial"/>
          <w:color w:val="000000" w:themeColor="text1"/>
        </w:rPr>
        <w:t xml:space="preserve"> por agravios</w:t>
      </w:r>
      <w:r w:rsidR="00C11788" w:rsidRPr="00424261">
        <w:rPr>
          <w:rFonts w:ascii="Palatino Linotype" w:hAnsi="Palatino Linotype" w:cs="Arial"/>
          <w:color w:val="000000" w:themeColor="text1"/>
        </w:rPr>
        <w:t xml:space="preserve">, por un lado, la clasificación de la información; y por otro, </w:t>
      </w:r>
      <w:r w:rsidR="00B91CB8" w:rsidRPr="00424261">
        <w:rPr>
          <w:rFonts w:ascii="Palatino Linotype" w:hAnsi="Palatino Linotype" w:cs="Arial"/>
          <w:color w:val="000000" w:themeColor="text1"/>
        </w:rPr>
        <w:t>que no se había entregado ninguna información</w:t>
      </w:r>
      <w:r w:rsidR="00C11788" w:rsidRPr="00424261">
        <w:rPr>
          <w:rFonts w:ascii="Palatino Linotype" w:hAnsi="Palatino Linotype" w:cs="Arial"/>
          <w:color w:val="000000" w:themeColor="text1"/>
        </w:rPr>
        <w:t>.</w:t>
      </w:r>
    </w:p>
    <w:p w14:paraId="5A9A3D64" w14:textId="77777777" w:rsidR="00024BCC" w:rsidRPr="00424261" w:rsidRDefault="00024BCC" w:rsidP="00024BC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1A2C1AC1" w:rsidR="001A032D" w:rsidRPr="00424261" w:rsidRDefault="001A032D"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24261">
        <w:rPr>
          <w:rFonts w:ascii="Palatino Linotype" w:hAnsi="Palatino Linotype" w:cs="Arial"/>
          <w:color w:val="000000" w:themeColor="text1"/>
        </w:rPr>
        <w:t xml:space="preserve">En ese sentido, </w:t>
      </w:r>
      <w:r w:rsidR="002E160F" w:rsidRPr="00424261">
        <w:rPr>
          <w:rFonts w:ascii="Palatino Linotype" w:hAnsi="Palatino Linotype" w:cs="Arial"/>
          <w:color w:val="000000" w:themeColor="text1"/>
        </w:rPr>
        <w:t xml:space="preserve">esta Ponencia Resolutora advierte que las razones o motivos de inconformidad manifestados por el </w:t>
      </w:r>
      <w:r w:rsidRPr="00424261">
        <w:rPr>
          <w:rFonts w:ascii="Palatino Linotype" w:hAnsi="Palatino Linotype" w:cs="Arial"/>
          <w:b/>
          <w:bCs/>
          <w:color w:val="000000" w:themeColor="text1"/>
        </w:rPr>
        <w:t>RECURRENTE</w:t>
      </w:r>
      <w:r w:rsidRPr="00424261">
        <w:rPr>
          <w:rFonts w:ascii="Palatino Linotype" w:hAnsi="Palatino Linotype" w:cs="Arial"/>
          <w:color w:val="000000" w:themeColor="text1"/>
        </w:rPr>
        <w:t xml:space="preserve"> </w:t>
      </w:r>
      <w:r w:rsidR="002E160F" w:rsidRPr="00424261">
        <w:rPr>
          <w:rFonts w:ascii="Palatino Linotype" w:hAnsi="Palatino Linotype" w:cs="Arial"/>
          <w:color w:val="000000" w:themeColor="text1"/>
        </w:rPr>
        <w:t>sugieren que la respuesta proporcionada</w:t>
      </w:r>
      <w:r w:rsidR="00B855AA" w:rsidRPr="00424261">
        <w:rPr>
          <w:rFonts w:ascii="Palatino Linotype" w:hAnsi="Palatino Linotype" w:cs="Arial"/>
          <w:color w:val="000000" w:themeColor="text1"/>
        </w:rPr>
        <w:t xml:space="preserve"> por el </w:t>
      </w:r>
      <w:r w:rsidR="00B855AA" w:rsidRPr="00424261">
        <w:rPr>
          <w:rFonts w:ascii="Palatino Linotype" w:hAnsi="Palatino Linotype" w:cs="Arial"/>
          <w:b/>
          <w:bCs/>
          <w:color w:val="000000" w:themeColor="text1"/>
        </w:rPr>
        <w:t>SUJETO OBLIGADO</w:t>
      </w:r>
      <w:r w:rsidR="00B855AA" w:rsidRPr="00424261">
        <w:rPr>
          <w:rFonts w:ascii="Palatino Linotype" w:hAnsi="Palatino Linotype" w:cs="Arial"/>
          <w:color w:val="000000" w:themeColor="text1"/>
        </w:rPr>
        <w:t xml:space="preserve"> no cumplió con </w:t>
      </w:r>
      <w:r w:rsidR="008F7752" w:rsidRPr="00424261">
        <w:rPr>
          <w:rFonts w:ascii="Palatino Linotype" w:hAnsi="Palatino Linotype" w:cs="Arial"/>
          <w:color w:val="000000" w:themeColor="text1"/>
        </w:rPr>
        <w:t>los</w:t>
      </w:r>
      <w:r w:rsidR="00B855AA" w:rsidRPr="00424261">
        <w:rPr>
          <w:rFonts w:ascii="Palatino Linotype" w:hAnsi="Palatino Linotype" w:cs="Arial"/>
          <w:color w:val="000000" w:themeColor="text1"/>
        </w:rPr>
        <w:t xml:space="preserve"> principio</w:t>
      </w:r>
      <w:r w:rsidR="008F7752" w:rsidRPr="00424261">
        <w:rPr>
          <w:rFonts w:ascii="Palatino Linotype" w:hAnsi="Palatino Linotype" w:cs="Arial"/>
          <w:color w:val="000000" w:themeColor="text1"/>
        </w:rPr>
        <w:t>s</w:t>
      </w:r>
      <w:r w:rsidR="00B855AA" w:rsidRPr="00424261">
        <w:rPr>
          <w:rFonts w:ascii="Palatino Linotype" w:hAnsi="Palatino Linotype" w:cs="Arial"/>
          <w:color w:val="000000" w:themeColor="text1"/>
        </w:rPr>
        <w:t xml:space="preserve"> contendido</w:t>
      </w:r>
      <w:r w:rsidR="008F7752" w:rsidRPr="00424261">
        <w:rPr>
          <w:rFonts w:ascii="Palatino Linotype" w:hAnsi="Palatino Linotype" w:cs="Arial"/>
          <w:color w:val="000000" w:themeColor="text1"/>
        </w:rPr>
        <w:t>s</w:t>
      </w:r>
      <w:r w:rsidR="00B855AA" w:rsidRPr="00424261">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424261">
        <w:rPr>
          <w:rFonts w:ascii="Palatino Linotype" w:hAnsi="Palatino Linotype" w:cs="Arial"/>
          <w:color w:val="000000" w:themeColor="text1"/>
        </w:rPr>
        <w:t>os</w:t>
      </w:r>
      <w:r w:rsidR="00B855AA" w:rsidRPr="00424261">
        <w:rPr>
          <w:rFonts w:ascii="Palatino Linotype" w:hAnsi="Palatino Linotype" w:cs="Arial"/>
          <w:color w:val="000000" w:themeColor="text1"/>
        </w:rPr>
        <w:t xml:space="preserve"> cual</w:t>
      </w:r>
      <w:r w:rsidR="008F7752" w:rsidRPr="00424261">
        <w:rPr>
          <w:rFonts w:ascii="Palatino Linotype" w:hAnsi="Palatino Linotype" w:cs="Arial"/>
          <w:color w:val="000000" w:themeColor="text1"/>
        </w:rPr>
        <w:t>es</w:t>
      </w:r>
      <w:r w:rsidR="00B855AA" w:rsidRPr="00424261">
        <w:rPr>
          <w:rFonts w:ascii="Palatino Linotype" w:hAnsi="Palatino Linotype" w:cs="Arial"/>
          <w:color w:val="000000" w:themeColor="text1"/>
        </w:rPr>
        <w:t xml:space="preserve"> señala</w:t>
      </w:r>
      <w:r w:rsidR="008F7752" w:rsidRPr="00424261">
        <w:rPr>
          <w:rFonts w:ascii="Palatino Linotype" w:hAnsi="Palatino Linotype" w:cs="Arial"/>
          <w:color w:val="000000" w:themeColor="text1"/>
        </w:rPr>
        <w:t>n</w:t>
      </w:r>
      <w:r w:rsidR="00B855AA" w:rsidRPr="00424261">
        <w:rPr>
          <w:rFonts w:ascii="Palatino Linotype" w:hAnsi="Palatino Linotype" w:cs="Arial"/>
          <w:color w:val="000000" w:themeColor="text1"/>
        </w:rPr>
        <w:t xml:space="preserve"> que en la generación, publicación y entrega de información se deberá garantizar que ésta </w:t>
      </w:r>
      <w:r w:rsidR="00C51671" w:rsidRPr="00424261">
        <w:rPr>
          <w:rFonts w:ascii="Palatino Linotype" w:hAnsi="Palatino Linotype" w:cs="Arial"/>
          <w:color w:val="000000" w:themeColor="text1"/>
        </w:rPr>
        <w:t>sea</w:t>
      </w:r>
      <w:r w:rsidR="00B855AA" w:rsidRPr="00424261">
        <w:rPr>
          <w:rFonts w:ascii="Palatino Linotype" w:hAnsi="Palatino Linotype" w:cs="Arial"/>
          <w:color w:val="000000" w:themeColor="text1"/>
        </w:rPr>
        <w:t xml:space="preserve"> </w:t>
      </w:r>
      <w:r w:rsidR="00B91CB8" w:rsidRPr="00424261">
        <w:rPr>
          <w:rFonts w:ascii="Palatino Linotype" w:hAnsi="Palatino Linotype" w:cs="Arial"/>
          <w:b/>
          <w:bCs/>
          <w:color w:val="000000" w:themeColor="text1"/>
        </w:rPr>
        <w:t>accesible</w:t>
      </w:r>
      <w:r w:rsidR="00C11788" w:rsidRPr="00424261">
        <w:rPr>
          <w:rFonts w:ascii="Palatino Linotype" w:hAnsi="Palatino Linotype" w:cs="Arial"/>
          <w:color w:val="000000" w:themeColor="text1"/>
        </w:rPr>
        <w:t xml:space="preserve"> y </w:t>
      </w:r>
      <w:r w:rsidR="00C11788" w:rsidRPr="00424261">
        <w:rPr>
          <w:rFonts w:ascii="Palatino Linotype" w:hAnsi="Palatino Linotype" w:cs="Arial"/>
          <w:b/>
          <w:bCs/>
          <w:color w:val="000000" w:themeColor="text1"/>
        </w:rPr>
        <w:t>sujeta a un régimen limitado de excepciones</w:t>
      </w:r>
      <w:r w:rsidR="00B855AA" w:rsidRPr="00424261">
        <w:rPr>
          <w:rFonts w:ascii="Palatino Linotype" w:hAnsi="Palatino Linotype" w:cs="Arial"/>
          <w:color w:val="000000" w:themeColor="text1"/>
        </w:rPr>
        <w:t>.</w:t>
      </w:r>
    </w:p>
    <w:p w14:paraId="026A3A70" w14:textId="77777777" w:rsidR="00197091" w:rsidRPr="00424261"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0DEC7EB" w:rsidR="00AD76A1" w:rsidRPr="00424261"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24261">
        <w:rPr>
          <w:rFonts w:ascii="Palatino Linotype" w:hAnsi="Palatino Linotype" w:cs="Arial"/>
          <w:color w:val="000000" w:themeColor="text1"/>
          <w:szCs w:val="23"/>
        </w:rPr>
        <w:t xml:space="preserve">Por lo anterior, la </w:t>
      </w:r>
      <w:r w:rsidRPr="00424261">
        <w:rPr>
          <w:rFonts w:ascii="Palatino Linotype" w:hAnsi="Palatino Linotype" w:cs="Arial"/>
          <w:i/>
          <w:color w:val="000000" w:themeColor="text1"/>
          <w:szCs w:val="23"/>
        </w:rPr>
        <w:t>Litis</w:t>
      </w:r>
      <w:r w:rsidRPr="00424261">
        <w:rPr>
          <w:rFonts w:ascii="Palatino Linotype" w:hAnsi="Palatino Linotype" w:cs="Arial"/>
          <w:color w:val="000000" w:themeColor="text1"/>
          <w:szCs w:val="23"/>
        </w:rPr>
        <w:t xml:space="preserve"> a resolver en el presente recurso se circunscribe en determinar si</w:t>
      </w:r>
      <w:r w:rsidR="002C6561" w:rsidRPr="00424261">
        <w:rPr>
          <w:rFonts w:ascii="Palatino Linotype" w:hAnsi="Palatino Linotype" w:cs="Arial"/>
          <w:color w:val="000000" w:themeColor="text1"/>
          <w:szCs w:val="23"/>
        </w:rPr>
        <w:t xml:space="preserve"> </w:t>
      </w:r>
      <w:r w:rsidR="004B0EB6" w:rsidRPr="00424261">
        <w:rPr>
          <w:rFonts w:ascii="Palatino Linotype" w:hAnsi="Palatino Linotype" w:cs="Arial"/>
          <w:color w:val="000000" w:themeColor="text1"/>
          <w:szCs w:val="23"/>
        </w:rPr>
        <w:t>la respuesta del</w:t>
      </w:r>
      <w:r w:rsidR="002C6561" w:rsidRPr="00424261">
        <w:rPr>
          <w:rFonts w:ascii="Palatino Linotype" w:hAnsi="Palatino Linotype" w:cs="Arial"/>
          <w:color w:val="000000" w:themeColor="text1"/>
          <w:szCs w:val="23"/>
        </w:rPr>
        <w:t xml:space="preserve"> </w:t>
      </w:r>
      <w:r w:rsidR="002C6561" w:rsidRPr="00424261">
        <w:rPr>
          <w:rFonts w:ascii="Palatino Linotype" w:hAnsi="Palatino Linotype" w:cs="Arial"/>
          <w:b/>
          <w:bCs/>
          <w:color w:val="000000" w:themeColor="text1"/>
          <w:szCs w:val="23"/>
        </w:rPr>
        <w:t>SUJETO OBLIGADO</w:t>
      </w:r>
      <w:r w:rsidR="002C6561" w:rsidRPr="00424261">
        <w:rPr>
          <w:rFonts w:ascii="Palatino Linotype" w:hAnsi="Palatino Linotype" w:cs="Arial"/>
          <w:color w:val="000000" w:themeColor="text1"/>
          <w:szCs w:val="23"/>
        </w:rPr>
        <w:t xml:space="preserve"> </w:t>
      </w:r>
      <w:r w:rsidR="00D90022" w:rsidRPr="00424261">
        <w:rPr>
          <w:rFonts w:ascii="Palatino Linotype" w:hAnsi="Palatino Linotype" w:cs="Arial"/>
          <w:color w:val="000000" w:themeColor="text1"/>
          <w:szCs w:val="23"/>
        </w:rPr>
        <w:t>colmó</w:t>
      </w:r>
      <w:r w:rsidR="004B0EB6" w:rsidRPr="00424261">
        <w:rPr>
          <w:rFonts w:ascii="Palatino Linotype" w:hAnsi="Palatino Linotype" w:cs="Arial"/>
          <w:color w:val="000000" w:themeColor="text1"/>
          <w:szCs w:val="23"/>
        </w:rPr>
        <w:t xml:space="preserve"> el derecho de acceso a la información ejercido por el </w:t>
      </w:r>
      <w:r w:rsidR="004B0EB6" w:rsidRPr="00424261">
        <w:rPr>
          <w:rFonts w:ascii="Palatino Linotype" w:hAnsi="Palatino Linotype" w:cs="Arial"/>
          <w:b/>
          <w:bCs/>
          <w:color w:val="000000" w:themeColor="text1"/>
          <w:szCs w:val="23"/>
        </w:rPr>
        <w:t>RECURRENTE</w:t>
      </w:r>
      <w:r w:rsidR="002C6561" w:rsidRPr="00424261">
        <w:rPr>
          <w:rFonts w:ascii="Palatino Linotype" w:hAnsi="Palatino Linotype" w:cs="Arial"/>
          <w:color w:val="000000" w:themeColor="text1"/>
          <w:szCs w:val="23"/>
        </w:rPr>
        <w:t>; o si, por el contrario, se</w:t>
      </w:r>
      <w:r w:rsidR="00E32652" w:rsidRPr="00424261">
        <w:rPr>
          <w:rFonts w:ascii="Palatino Linotype" w:hAnsi="Palatino Linotype" w:cs="Arial"/>
          <w:color w:val="000000" w:themeColor="text1"/>
          <w:szCs w:val="23"/>
        </w:rPr>
        <w:t xml:space="preserve"> </w:t>
      </w:r>
      <w:r w:rsidR="0028248C" w:rsidRPr="00424261">
        <w:rPr>
          <w:rFonts w:ascii="Palatino Linotype" w:hAnsi="Palatino Linotype"/>
          <w:color w:val="000000" w:themeColor="text1"/>
        </w:rPr>
        <w:t>actualiza</w:t>
      </w:r>
      <w:r w:rsidR="00C51671" w:rsidRPr="00424261">
        <w:rPr>
          <w:rFonts w:ascii="Palatino Linotype" w:hAnsi="Palatino Linotype"/>
          <w:color w:val="000000" w:themeColor="text1"/>
        </w:rPr>
        <w:t>n</w:t>
      </w:r>
      <w:r w:rsidR="0028248C" w:rsidRPr="00424261">
        <w:rPr>
          <w:rFonts w:ascii="Palatino Linotype" w:hAnsi="Palatino Linotype"/>
          <w:color w:val="000000" w:themeColor="text1"/>
        </w:rPr>
        <w:t xml:space="preserve"> la</w:t>
      </w:r>
      <w:r w:rsidR="00C51671" w:rsidRPr="00424261">
        <w:rPr>
          <w:rFonts w:ascii="Palatino Linotype" w:hAnsi="Palatino Linotype"/>
          <w:color w:val="000000" w:themeColor="text1"/>
        </w:rPr>
        <w:t>s</w:t>
      </w:r>
      <w:r w:rsidR="0028248C" w:rsidRPr="00424261">
        <w:rPr>
          <w:rFonts w:ascii="Palatino Linotype" w:hAnsi="Palatino Linotype"/>
          <w:color w:val="000000" w:themeColor="text1"/>
        </w:rPr>
        <w:t xml:space="preserve"> causal</w:t>
      </w:r>
      <w:r w:rsidR="00C51671" w:rsidRPr="00424261">
        <w:rPr>
          <w:rFonts w:ascii="Palatino Linotype" w:hAnsi="Palatino Linotype"/>
          <w:color w:val="000000" w:themeColor="text1"/>
        </w:rPr>
        <w:t>es</w:t>
      </w:r>
      <w:r w:rsidR="0028248C" w:rsidRPr="00424261">
        <w:rPr>
          <w:rFonts w:ascii="Palatino Linotype" w:hAnsi="Palatino Linotype"/>
          <w:color w:val="000000" w:themeColor="text1"/>
        </w:rPr>
        <w:t xml:space="preserve"> de procedencia</w:t>
      </w:r>
      <w:r w:rsidR="00E66A80" w:rsidRPr="00424261">
        <w:rPr>
          <w:rFonts w:ascii="Palatino Linotype" w:hAnsi="Palatino Linotype" w:cs="Arial"/>
          <w:color w:val="000000" w:themeColor="text1"/>
          <w:szCs w:val="23"/>
        </w:rPr>
        <w:t xml:space="preserve"> del recurso de revisión establecida</w:t>
      </w:r>
      <w:r w:rsidR="00C51671" w:rsidRPr="00424261">
        <w:rPr>
          <w:rFonts w:ascii="Palatino Linotype" w:hAnsi="Palatino Linotype" w:cs="Arial"/>
          <w:color w:val="000000" w:themeColor="text1"/>
          <w:szCs w:val="23"/>
        </w:rPr>
        <w:t>s</w:t>
      </w:r>
      <w:r w:rsidR="00E66A80" w:rsidRPr="00424261">
        <w:rPr>
          <w:rFonts w:ascii="Palatino Linotype" w:hAnsi="Palatino Linotype" w:cs="Arial"/>
          <w:color w:val="000000" w:themeColor="text1"/>
          <w:szCs w:val="23"/>
        </w:rPr>
        <w:t xml:space="preserve"> en el artículo 179</w:t>
      </w:r>
      <w:r w:rsidR="00B91CB8" w:rsidRPr="00424261">
        <w:rPr>
          <w:rFonts w:ascii="Palatino Linotype" w:hAnsi="Palatino Linotype" w:cs="Arial"/>
          <w:color w:val="000000" w:themeColor="text1"/>
          <w:szCs w:val="23"/>
        </w:rPr>
        <w:t>,</w:t>
      </w:r>
      <w:r w:rsidR="00E66A80" w:rsidRPr="00424261">
        <w:rPr>
          <w:rFonts w:ascii="Palatino Linotype" w:hAnsi="Palatino Linotype" w:cs="Arial"/>
          <w:color w:val="000000" w:themeColor="text1"/>
          <w:szCs w:val="23"/>
        </w:rPr>
        <w:t xml:space="preserve"> </w:t>
      </w:r>
      <w:r w:rsidR="00C51671" w:rsidRPr="00424261">
        <w:rPr>
          <w:rFonts w:ascii="Palatino Linotype" w:hAnsi="Palatino Linotype" w:cs="Arial"/>
          <w:color w:val="000000" w:themeColor="text1"/>
          <w:szCs w:val="23"/>
        </w:rPr>
        <w:t>fracciones</w:t>
      </w:r>
      <w:r w:rsidR="00E66A80" w:rsidRPr="00424261">
        <w:rPr>
          <w:rFonts w:ascii="Palatino Linotype" w:hAnsi="Palatino Linotype" w:cs="Arial"/>
          <w:color w:val="000000" w:themeColor="text1"/>
          <w:szCs w:val="23"/>
        </w:rPr>
        <w:t xml:space="preserve"> </w:t>
      </w:r>
      <w:r w:rsidR="00B91CB8" w:rsidRPr="00424261">
        <w:rPr>
          <w:rFonts w:ascii="Palatino Linotype" w:hAnsi="Palatino Linotype" w:cs="Arial"/>
          <w:color w:val="000000" w:themeColor="text1"/>
          <w:szCs w:val="23"/>
        </w:rPr>
        <w:t>I y II,</w:t>
      </w:r>
      <w:r w:rsidR="00C15F97" w:rsidRPr="00424261">
        <w:rPr>
          <w:rFonts w:ascii="Palatino Linotype" w:hAnsi="Palatino Linotype" w:cs="Arial"/>
          <w:color w:val="000000" w:themeColor="text1"/>
          <w:szCs w:val="23"/>
        </w:rPr>
        <w:t xml:space="preserve"> </w:t>
      </w:r>
      <w:r w:rsidR="00E66A80" w:rsidRPr="00424261">
        <w:rPr>
          <w:rFonts w:ascii="Palatino Linotype" w:hAnsi="Palatino Linotype" w:cs="Arial"/>
          <w:color w:val="000000" w:themeColor="text1"/>
          <w:szCs w:val="23"/>
        </w:rPr>
        <w:t xml:space="preserve">de la Ley de Transparencia y Acceso a la Información Pública del Estado de México y Municipios, </w:t>
      </w:r>
      <w:r w:rsidR="00C51671" w:rsidRPr="00424261">
        <w:rPr>
          <w:rFonts w:ascii="Palatino Linotype" w:hAnsi="Palatino Linotype" w:cs="Arial"/>
          <w:color w:val="000000" w:themeColor="text1"/>
          <w:szCs w:val="23"/>
        </w:rPr>
        <w:t xml:space="preserve">y </w:t>
      </w:r>
      <w:r w:rsidR="00E66A80" w:rsidRPr="00424261">
        <w:rPr>
          <w:rFonts w:ascii="Palatino Linotype" w:hAnsi="Palatino Linotype" w:cs="Arial"/>
          <w:color w:val="000000" w:themeColor="text1"/>
          <w:szCs w:val="23"/>
        </w:rPr>
        <w:t>que se transcribe</w:t>
      </w:r>
      <w:r w:rsidR="00C51671" w:rsidRPr="00424261">
        <w:rPr>
          <w:rFonts w:ascii="Palatino Linotype" w:hAnsi="Palatino Linotype" w:cs="Arial"/>
          <w:color w:val="000000" w:themeColor="text1"/>
          <w:szCs w:val="23"/>
        </w:rPr>
        <w:t>n</w:t>
      </w:r>
      <w:r w:rsidR="00E66A80" w:rsidRPr="00424261">
        <w:rPr>
          <w:rFonts w:ascii="Palatino Linotype" w:hAnsi="Palatino Linotype" w:cs="Arial"/>
          <w:color w:val="000000" w:themeColor="text1"/>
          <w:szCs w:val="23"/>
        </w:rPr>
        <w:t xml:space="preserve"> a continuación:</w:t>
      </w:r>
    </w:p>
    <w:p w14:paraId="694942AF" w14:textId="62D2F7A9" w:rsidR="00AD76A1" w:rsidRPr="00424261" w:rsidRDefault="00E66A80" w:rsidP="00B31E90">
      <w:pPr>
        <w:pStyle w:val="Sinespaciado"/>
        <w:tabs>
          <w:tab w:val="left" w:pos="426"/>
        </w:tabs>
        <w:ind w:left="851"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w:t>
      </w:r>
      <w:r w:rsidRPr="00424261">
        <w:rPr>
          <w:rFonts w:ascii="Palatino Linotype" w:hAnsi="Palatino Linotype"/>
          <w:b/>
          <w:i/>
          <w:color w:val="000000" w:themeColor="text1"/>
          <w:sz w:val="22"/>
        </w:rPr>
        <w:t>Artículo 179.</w:t>
      </w:r>
      <w:r w:rsidRPr="00424261">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79600060" w:rsidR="00C51671" w:rsidRPr="00424261" w:rsidRDefault="00B91CB8" w:rsidP="00B31E90">
      <w:pPr>
        <w:pStyle w:val="Sinespaciado"/>
        <w:tabs>
          <w:tab w:val="left" w:pos="426"/>
        </w:tabs>
        <w:ind w:left="851" w:right="567"/>
        <w:jc w:val="both"/>
        <w:rPr>
          <w:rFonts w:ascii="Palatino Linotype" w:hAnsi="Palatino Linotype"/>
          <w:i/>
          <w:color w:val="000000" w:themeColor="text1"/>
          <w:sz w:val="22"/>
        </w:rPr>
      </w:pPr>
      <w:r w:rsidRPr="00424261">
        <w:rPr>
          <w:rFonts w:ascii="Palatino Linotype" w:hAnsi="Palatino Linotype"/>
          <w:b/>
          <w:i/>
          <w:color w:val="000000" w:themeColor="text1"/>
          <w:sz w:val="22"/>
        </w:rPr>
        <w:t>I.</w:t>
      </w:r>
      <w:r w:rsidRPr="00424261">
        <w:rPr>
          <w:rFonts w:ascii="Palatino Linotype" w:hAnsi="Palatino Linotype"/>
          <w:i/>
          <w:color w:val="000000" w:themeColor="text1"/>
          <w:sz w:val="22"/>
        </w:rPr>
        <w:t xml:space="preserve"> La negativa a la información solicitada;</w:t>
      </w:r>
    </w:p>
    <w:p w14:paraId="2F87BB88" w14:textId="64E715B1" w:rsidR="00C11788" w:rsidRPr="00424261" w:rsidRDefault="00C11788" w:rsidP="008F7752">
      <w:pPr>
        <w:pStyle w:val="Sinespaciado"/>
        <w:tabs>
          <w:tab w:val="left" w:pos="426"/>
        </w:tabs>
        <w:ind w:left="851" w:right="567"/>
        <w:jc w:val="both"/>
        <w:rPr>
          <w:rFonts w:ascii="Palatino Linotype" w:hAnsi="Palatino Linotype"/>
          <w:i/>
          <w:color w:val="000000" w:themeColor="text1"/>
          <w:sz w:val="22"/>
        </w:rPr>
      </w:pPr>
      <w:r w:rsidRPr="00424261">
        <w:rPr>
          <w:rFonts w:ascii="Palatino Linotype" w:hAnsi="Palatino Linotype"/>
          <w:b/>
          <w:bCs/>
          <w:i/>
          <w:color w:val="000000" w:themeColor="text1"/>
          <w:sz w:val="22"/>
        </w:rPr>
        <w:t xml:space="preserve">II. </w:t>
      </w:r>
      <w:r w:rsidRPr="00424261">
        <w:rPr>
          <w:rFonts w:ascii="Palatino Linotype" w:hAnsi="Palatino Linotype"/>
          <w:i/>
          <w:color w:val="000000" w:themeColor="text1"/>
          <w:sz w:val="22"/>
        </w:rPr>
        <w:t>La clasificación de la información;</w:t>
      </w:r>
    </w:p>
    <w:p w14:paraId="1C5AB6B5" w14:textId="73556118" w:rsidR="009F1566" w:rsidRPr="00424261" w:rsidRDefault="00515DEC" w:rsidP="00B91CB8">
      <w:pPr>
        <w:pStyle w:val="Sinespaciado"/>
        <w:tabs>
          <w:tab w:val="left" w:pos="426"/>
        </w:tabs>
        <w:ind w:left="851"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w:t>
      </w:r>
      <w:r w:rsidR="00B91CB8" w:rsidRPr="00424261">
        <w:rPr>
          <w:rFonts w:ascii="Palatino Linotype" w:hAnsi="Palatino Linotype"/>
          <w:i/>
          <w:color w:val="000000" w:themeColor="text1"/>
          <w:sz w:val="22"/>
        </w:rPr>
        <w:t>”</w:t>
      </w:r>
    </w:p>
    <w:p w14:paraId="39915D71" w14:textId="77777777" w:rsidR="00340445" w:rsidRPr="00424261" w:rsidRDefault="00340445" w:rsidP="00340445">
      <w:pPr>
        <w:rPr>
          <w:lang w:eastAsia="en-US"/>
        </w:rPr>
      </w:pPr>
    </w:p>
    <w:p w14:paraId="5CEC2F48" w14:textId="21F2B653" w:rsidR="00EF014A" w:rsidRPr="00424261" w:rsidRDefault="00751061" w:rsidP="00F96156">
      <w:pPr>
        <w:pStyle w:val="Ttulo2"/>
        <w:tabs>
          <w:tab w:val="left" w:pos="426"/>
        </w:tabs>
        <w:rPr>
          <w:rFonts w:ascii="Palatino Linotype" w:hAnsi="Palatino Linotype" w:cs="Arial"/>
          <w:b/>
          <w:color w:val="000000" w:themeColor="text1"/>
          <w:sz w:val="24"/>
        </w:rPr>
      </w:pPr>
      <w:bookmarkStart w:id="32" w:name="_Toc89350459"/>
      <w:bookmarkStart w:id="33" w:name="_Toc101963388"/>
      <w:r w:rsidRPr="00424261">
        <w:rPr>
          <w:rFonts w:ascii="Palatino Linotype" w:hAnsi="Palatino Linotype" w:cs="Arial"/>
          <w:b/>
          <w:color w:val="000000" w:themeColor="text1"/>
          <w:sz w:val="24"/>
        </w:rPr>
        <w:t>CUARTO</w:t>
      </w:r>
      <w:r w:rsidR="00EF014A" w:rsidRPr="00424261">
        <w:rPr>
          <w:rFonts w:ascii="Palatino Linotype" w:hAnsi="Palatino Linotype" w:cs="Arial"/>
          <w:b/>
          <w:color w:val="000000" w:themeColor="text1"/>
          <w:sz w:val="24"/>
        </w:rPr>
        <w:t>. Estudio y Resolución del asunto.</w:t>
      </w:r>
      <w:bookmarkEnd w:id="32"/>
      <w:bookmarkEnd w:id="33"/>
    </w:p>
    <w:p w14:paraId="481D9FB1" w14:textId="20B011C8" w:rsidR="00A55D2B" w:rsidRPr="00424261"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4" w:name="_Toc89350460"/>
      <w:bookmarkStart w:id="35" w:name="_Toc101963389"/>
      <w:bookmarkStart w:id="36" w:name="_Toc466371865"/>
      <w:bookmarkStart w:id="37" w:name="_Toc466377653"/>
      <w:bookmarkEnd w:id="27"/>
      <w:bookmarkEnd w:id="28"/>
      <w:bookmarkEnd w:id="29"/>
      <w:bookmarkEnd w:id="30"/>
      <w:bookmarkEnd w:id="31"/>
      <w:r w:rsidRPr="00424261">
        <w:rPr>
          <w:rFonts w:ascii="Palatino Linotype" w:hAnsi="Palatino Linotype"/>
          <w:b/>
          <w:bCs/>
          <w:color w:val="000000" w:themeColor="text1"/>
        </w:rPr>
        <w:t xml:space="preserve">I. Del </w:t>
      </w:r>
      <w:bookmarkEnd w:id="34"/>
      <w:r w:rsidR="005C518A" w:rsidRPr="00424261">
        <w:rPr>
          <w:rFonts w:ascii="Palatino Linotype" w:hAnsi="Palatino Linotype"/>
          <w:b/>
          <w:bCs/>
          <w:color w:val="000000" w:themeColor="text1"/>
        </w:rPr>
        <w:t>deber de las autoridades de promover, respetar, proteger y garantizar el derecho de acceso a la información pública.</w:t>
      </w:r>
      <w:bookmarkEnd w:id="35"/>
    </w:p>
    <w:p w14:paraId="6E5EF818" w14:textId="77777777" w:rsidR="00A55D2B" w:rsidRPr="00424261"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9C22EF5" w14:textId="66E1EA7B" w:rsidR="00C11C60" w:rsidRPr="00424261" w:rsidRDefault="00DA2D95"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Es</w:t>
      </w:r>
      <w:r w:rsidR="005C518A" w:rsidRPr="00424261">
        <w:rPr>
          <w:rFonts w:ascii="Palatino Linotype" w:hAnsi="Palatino Linotype"/>
          <w:color w:val="000000" w:themeColor="text1"/>
        </w:rPr>
        <w:t xml:space="preserve"> menester precisar</w:t>
      </w:r>
      <w:r w:rsidR="005C518A" w:rsidRPr="00424261">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5C518A" w:rsidRPr="00424261">
        <w:rPr>
          <w:rFonts w:ascii="Palatino Linotype" w:hAnsi="Palatino Linotype"/>
          <w:b/>
          <w:bCs/>
          <w:color w:val="000000" w:themeColor="text1"/>
        </w:rPr>
        <w:t>SUJETO OBLIGADO</w:t>
      </w:r>
      <w:r w:rsidR="005C518A" w:rsidRPr="00424261">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5C518A" w:rsidRPr="00424261">
        <w:rPr>
          <w:rFonts w:ascii="Palatino Linotype" w:hAnsi="Palatino Linotype"/>
          <w:b/>
          <w:bCs/>
          <w:color w:val="000000" w:themeColor="text1"/>
        </w:rPr>
        <w:t>Constitución Política de los Estados Unidos Mexicanos</w:t>
      </w:r>
      <w:r w:rsidR="005C518A" w:rsidRPr="00424261">
        <w:rPr>
          <w:rFonts w:ascii="Palatino Linotype" w:hAnsi="Palatino Linotype"/>
          <w:bCs/>
          <w:color w:val="000000" w:themeColor="text1"/>
        </w:rPr>
        <w:t>, tienen</w:t>
      </w:r>
      <w:r w:rsidR="005C518A" w:rsidRPr="00424261">
        <w:rPr>
          <w:rFonts w:ascii="Palatino Linotype" w:hAnsi="Palatino Linotype"/>
          <w:b/>
          <w:bCs/>
          <w:color w:val="000000" w:themeColor="text1"/>
        </w:rPr>
        <w:t xml:space="preserve"> </w:t>
      </w:r>
      <w:r w:rsidR="005C518A" w:rsidRPr="00424261">
        <w:rPr>
          <w:rFonts w:ascii="Palatino Linotype" w:hAnsi="Palatino Linotype"/>
          <w:bCs/>
          <w:color w:val="000000" w:themeColor="text1"/>
        </w:rPr>
        <w:t xml:space="preserve">la obligación de “promover, </w:t>
      </w:r>
      <w:r w:rsidR="005C518A" w:rsidRPr="00424261">
        <w:rPr>
          <w:rFonts w:ascii="Palatino Linotype" w:hAnsi="Palatino Linotype"/>
          <w:b/>
          <w:bCs/>
          <w:color w:val="000000" w:themeColor="text1"/>
        </w:rPr>
        <w:t>respetar</w:t>
      </w:r>
      <w:r w:rsidR="005C518A" w:rsidRPr="00424261">
        <w:rPr>
          <w:rFonts w:ascii="Palatino Linotype" w:hAnsi="Palatino Linotype"/>
          <w:bCs/>
          <w:color w:val="000000" w:themeColor="text1"/>
        </w:rPr>
        <w:t xml:space="preserve">, proteger y </w:t>
      </w:r>
      <w:r w:rsidR="005C518A" w:rsidRPr="00424261">
        <w:rPr>
          <w:rFonts w:ascii="Palatino Linotype" w:hAnsi="Palatino Linotype"/>
          <w:b/>
          <w:bCs/>
          <w:color w:val="000000" w:themeColor="text1"/>
        </w:rPr>
        <w:t>garantizar</w:t>
      </w:r>
      <w:r w:rsidR="005C518A" w:rsidRPr="00424261">
        <w:rPr>
          <w:rFonts w:ascii="Palatino Linotype" w:hAnsi="Palatino Linotype"/>
          <w:bCs/>
          <w:color w:val="000000" w:themeColor="text1"/>
        </w:rPr>
        <w:t xml:space="preserve"> los derechos humanos”, entre los cuales se encuentra dicho derecho.</w:t>
      </w:r>
    </w:p>
    <w:p w14:paraId="0C204A57" w14:textId="3990577A" w:rsidR="00A55D2B" w:rsidRPr="00424261" w:rsidRDefault="00DA2D95" w:rsidP="00C11C60">
      <w:pPr>
        <w:pStyle w:val="Prrafodelista"/>
        <w:tabs>
          <w:tab w:val="left" w:pos="426"/>
        </w:tabs>
        <w:spacing w:before="240" w:after="240" w:line="360" w:lineRule="auto"/>
        <w:ind w:left="0" w:right="51"/>
        <w:jc w:val="both"/>
        <w:rPr>
          <w:rFonts w:ascii="Palatino Linotype" w:hAnsi="Palatino Linotype"/>
          <w:color w:val="000000" w:themeColor="text1"/>
        </w:rPr>
      </w:pPr>
      <w:r w:rsidRPr="00424261">
        <w:rPr>
          <w:rFonts w:ascii="Palatino Linotype" w:hAnsi="Palatino Linotype"/>
          <w:color w:val="000000" w:themeColor="text1"/>
        </w:rPr>
        <w:t xml:space="preserve"> </w:t>
      </w:r>
    </w:p>
    <w:p w14:paraId="702A48EA" w14:textId="509F5521" w:rsidR="00C11C60" w:rsidRPr="00424261"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178C16D" w14:textId="77777777" w:rsidR="00C11C60" w:rsidRPr="00424261"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35E341DA" w14:textId="4368740A" w:rsidR="00C11C60" w:rsidRPr="00424261"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podemos definir el Derecho de Acceso a la Información Pública como: </w:t>
      </w:r>
      <w:r w:rsidRPr="00424261">
        <w:rPr>
          <w:rFonts w:ascii="Palatino Linotype" w:hAnsi="Palatino Linotype"/>
          <w:i/>
          <w:color w:val="000000" w:themeColor="text1"/>
        </w:rPr>
        <w:t>La igualdad de oportunidades para recibir, buscar e impartir información</w:t>
      </w:r>
      <w:r w:rsidRPr="00424261">
        <w:rPr>
          <w:rFonts w:ascii="Palatino Linotype" w:hAnsi="Palatino Linotype"/>
          <w:i/>
          <w:color w:val="000000" w:themeColor="text1"/>
          <w:vertAlign w:val="superscript"/>
        </w:rPr>
        <w:footnoteReference w:id="2"/>
      </w:r>
      <w:r w:rsidRPr="00424261">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424261">
        <w:rPr>
          <w:rFonts w:ascii="Palatino Linotype" w:hAnsi="Palatino Linotype"/>
          <w:i/>
          <w:color w:val="000000" w:themeColor="text1"/>
        </w:rPr>
        <w:lastRenderedPageBreak/>
        <w:t>actos de autoridad en el ámbito federal, estatal y municipal,</w:t>
      </w:r>
      <w:r w:rsidRPr="00424261">
        <w:rPr>
          <w:rFonts w:ascii="Palatino Linotype" w:hAnsi="Palatino Linotype"/>
          <w:i/>
          <w:color w:val="000000" w:themeColor="text1"/>
          <w:vertAlign w:val="superscript"/>
        </w:rPr>
        <w:footnoteReference w:id="3"/>
      </w:r>
      <w:r w:rsidRPr="00424261">
        <w:rPr>
          <w:rFonts w:ascii="Palatino Linotype" w:hAnsi="Palatino Linotype"/>
          <w:color w:val="000000" w:themeColor="text1"/>
        </w:rPr>
        <w:t>que se constituye como una herramienta fundamental para ejercer</w:t>
      </w:r>
      <w:r w:rsidRPr="00424261">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424261">
        <w:rPr>
          <w:rFonts w:ascii="Palatino Linotype" w:hAnsi="Palatino Linotype"/>
          <w:i/>
          <w:color w:val="000000" w:themeColor="text1"/>
          <w:vertAlign w:val="superscript"/>
        </w:rPr>
        <w:footnoteReference w:id="4"/>
      </w:r>
      <w:r w:rsidRPr="00424261">
        <w:rPr>
          <w:rFonts w:ascii="Palatino Linotype" w:hAnsi="Palatino Linotype"/>
          <w:i/>
          <w:color w:val="000000" w:themeColor="text1"/>
        </w:rPr>
        <w:t xml:space="preserve"> </w:t>
      </w:r>
      <w:r w:rsidRPr="00424261">
        <w:rPr>
          <w:rFonts w:ascii="Palatino Linotype" w:hAnsi="Palatino Linotype"/>
          <w:color w:val="000000" w:themeColor="text1"/>
        </w:rPr>
        <w:t>fomentando</w:t>
      </w:r>
      <w:r w:rsidRPr="00424261">
        <w:rPr>
          <w:rFonts w:ascii="Palatino Linotype" w:hAnsi="Palatino Linotype"/>
          <w:i/>
          <w:color w:val="000000" w:themeColor="text1"/>
        </w:rPr>
        <w:t xml:space="preserve"> la transparencia de las actividades estatales y </w:t>
      </w:r>
      <w:r w:rsidRPr="00424261">
        <w:rPr>
          <w:rFonts w:ascii="Palatino Linotype" w:hAnsi="Palatino Linotype"/>
          <w:color w:val="000000" w:themeColor="text1"/>
        </w:rPr>
        <w:t>promoviendo</w:t>
      </w:r>
      <w:r w:rsidRPr="00424261">
        <w:rPr>
          <w:rFonts w:ascii="Palatino Linotype" w:hAnsi="Palatino Linotype"/>
          <w:i/>
          <w:color w:val="000000" w:themeColor="text1"/>
        </w:rPr>
        <w:t xml:space="preserve"> la responsabilidad de los funcionarios sobre su gestión pública,</w:t>
      </w:r>
      <w:r w:rsidRPr="00424261">
        <w:rPr>
          <w:rFonts w:ascii="Palatino Linotype" w:hAnsi="Palatino Linotype"/>
          <w:i/>
          <w:color w:val="000000" w:themeColor="text1"/>
          <w:vertAlign w:val="superscript"/>
        </w:rPr>
        <w:footnoteReference w:id="5"/>
      </w:r>
      <w:r w:rsidRPr="00424261">
        <w:rPr>
          <w:rFonts w:ascii="Palatino Linotype" w:hAnsi="Palatino Linotype"/>
          <w:color w:val="000000" w:themeColor="text1"/>
        </w:rPr>
        <w:t>que permite</w:t>
      </w:r>
      <w:r w:rsidRPr="00424261">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40A17832" w14:textId="77777777" w:rsidR="00C11C60" w:rsidRPr="00424261"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07B277D9" w14:textId="02AA4A39" w:rsidR="00C11C60" w:rsidRPr="00424261"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D8CEAE9" w14:textId="77777777" w:rsidR="00C11C60" w:rsidRPr="00424261"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52208872" w:rsidR="00DA2D95" w:rsidRPr="00424261" w:rsidRDefault="00FC03FD"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8" w:name="_Toc89350461"/>
      <w:bookmarkStart w:id="39" w:name="_Toc101963390"/>
      <w:r w:rsidRPr="00424261">
        <w:rPr>
          <w:rFonts w:ascii="Palatino Linotype" w:hAnsi="Palatino Linotype"/>
          <w:b/>
          <w:bCs/>
          <w:color w:val="000000" w:themeColor="text1"/>
        </w:rPr>
        <w:t xml:space="preserve">II. </w:t>
      </w:r>
      <w:r w:rsidR="000C6780" w:rsidRPr="00424261">
        <w:rPr>
          <w:rFonts w:ascii="Palatino Linotype" w:hAnsi="Palatino Linotype"/>
          <w:b/>
          <w:bCs/>
          <w:color w:val="000000" w:themeColor="text1"/>
        </w:rPr>
        <w:t>De la atención a la solicitud de información</w:t>
      </w:r>
      <w:r w:rsidR="00DA2D95" w:rsidRPr="00424261">
        <w:rPr>
          <w:rFonts w:ascii="Palatino Linotype" w:hAnsi="Palatino Linotype"/>
          <w:b/>
          <w:bCs/>
          <w:color w:val="000000" w:themeColor="text1"/>
        </w:rPr>
        <w:t>.</w:t>
      </w:r>
      <w:bookmarkEnd w:id="38"/>
      <w:bookmarkEnd w:id="39"/>
    </w:p>
    <w:p w14:paraId="47DD46B3" w14:textId="77777777" w:rsidR="00DA2D95" w:rsidRPr="00424261"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F50FDA3" w14:textId="77777777" w:rsidR="000C6780" w:rsidRPr="00424261" w:rsidRDefault="000C6780" w:rsidP="000C67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Una </w:t>
      </w:r>
      <w:r w:rsidRPr="00424261">
        <w:rPr>
          <w:rFonts w:ascii="Palatino Linotype" w:hAnsi="Palatino Linotype"/>
          <w:color w:val="000000" w:themeColor="text1"/>
          <w:lang w:val="es-ES"/>
        </w:rPr>
        <w:t xml:space="preserve">vez expuesto lo anterior, en el presente asunto y, como fuera señalado en el apartado de </w:t>
      </w:r>
      <w:r w:rsidRPr="00424261">
        <w:rPr>
          <w:rFonts w:ascii="Palatino Linotype" w:hAnsi="Palatino Linotype"/>
          <w:i/>
          <w:color w:val="000000" w:themeColor="text1"/>
          <w:lang w:val="es-ES"/>
        </w:rPr>
        <w:t>Antecedentes</w:t>
      </w:r>
      <w:r w:rsidRPr="00424261">
        <w:rPr>
          <w:rFonts w:ascii="Palatino Linotype" w:hAnsi="Palatino Linotype"/>
          <w:color w:val="000000" w:themeColor="text1"/>
          <w:lang w:val="es-ES"/>
        </w:rPr>
        <w:t xml:space="preserve"> de la presente resolución, se tiene que el tres (03) de noviembre de dos mil veintiuno, el particular presentó las solicitudes de información </w:t>
      </w:r>
      <w:r w:rsidRPr="00424261">
        <w:rPr>
          <w:rFonts w:ascii="Palatino Linotype" w:hAnsi="Palatino Linotype"/>
          <w:b/>
          <w:color w:val="000000" w:themeColor="text1"/>
          <w:lang w:val="es-ES"/>
        </w:rPr>
        <w:t xml:space="preserve">00505/CUAUTIZC/IP/2021 </w:t>
      </w:r>
      <w:r w:rsidRPr="00424261">
        <w:rPr>
          <w:rFonts w:ascii="Palatino Linotype" w:hAnsi="Palatino Linotype"/>
          <w:color w:val="000000" w:themeColor="text1"/>
          <w:lang w:val="es-ES"/>
        </w:rPr>
        <w:t xml:space="preserve">y </w:t>
      </w:r>
      <w:r w:rsidRPr="00424261">
        <w:rPr>
          <w:rFonts w:ascii="Palatino Linotype" w:hAnsi="Palatino Linotype"/>
          <w:b/>
          <w:color w:val="000000" w:themeColor="text1"/>
          <w:lang w:val="es-ES"/>
        </w:rPr>
        <w:t>00506/CUAUTIZC/IP/2021</w:t>
      </w:r>
      <w:r w:rsidRPr="00424261">
        <w:rPr>
          <w:rFonts w:ascii="Palatino Linotype" w:hAnsi="Palatino Linotype"/>
          <w:color w:val="000000" w:themeColor="text1"/>
          <w:lang w:val="es-ES"/>
        </w:rPr>
        <w:t xml:space="preserve">, mediante las que solicitó acceder a la siguiente información relacionada con el siniestro que </w:t>
      </w:r>
      <w:r w:rsidRPr="00424261">
        <w:rPr>
          <w:rFonts w:ascii="Palatino Linotype" w:hAnsi="Palatino Linotype" w:cs="Arial"/>
          <w:color w:val="000000" w:themeColor="text1"/>
        </w:rPr>
        <w:t xml:space="preserve">automovilístico que cobró la vida del actor Octavio Augusto Pérez Ocaña: </w:t>
      </w:r>
    </w:p>
    <w:p w14:paraId="7A4B17F0" w14:textId="77777777" w:rsidR="000C6780" w:rsidRPr="00424261" w:rsidRDefault="000C6780" w:rsidP="000C678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 xml:space="preserve">Informe realizado por el Comisario de Seguridad Pública; </w:t>
      </w:r>
    </w:p>
    <w:p w14:paraId="521A5B26" w14:textId="77777777" w:rsidR="000C6780" w:rsidRPr="00424261" w:rsidRDefault="000C6780" w:rsidP="000C678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 xml:space="preserve">Acciones tomadas por el Presidente Municipal ante el suceso; </w:t>
      </w:r>
    </w:p>
    <w:p w14:paraId="578A6F9A" w14:textId="77777777" w:rsidR="000C6780" w:rsidRPr="00424261" w:rsidRDefault="000C6780" w:rsidP="000C678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 xml:space="preserve">Número de identificación de las patrullas utilizadas en la persecución; </w:t>
      </w:r>
    </w:p>
    <w:p w14:paraId="1974D592" w14:textId="77777777" w:rsidR="000C6780" w:rsidRPr="00424261" w:rsidRDefault="000C6780" w:rsidP="000C678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De los policías municipales que intervinieron en la persecución:</w:t>
      </w:r>
    </w:p>
    <w:p w14:paraId="14CD21FE" w14:textId="0BA89F75" w:rsidR="000C6780" w:rsidRPr="00424261" w:rsidRDefault="000C6780" w:rsidP="0092310A">
      <w:pPr>
        <w:pStyle w:val="Prrafodelista"/>
        <w:numPr>
          <w:ilvl w:val="2"/>
          <w:numId w:val="7"/>
        </w:numPr>
        <w:tabs>
          <w:tab w:val="left" w:pos="426"/>
        </w:tabs>
        <w:spacing w:before="240" w:after="240" w:line="360" w:lineRule="auto"/>
        <w:ind w:left="1701" w:right="51"/>
        <w:jc w:val="both"/>
        <w:rPr>
          <w:rFonts w:ascii="Palatino Linotype" w:hAnsi="Palatino Linotype"/>
          <w:color w:val="000000" w:themeColor="text1"/>
        </w:rPr>
      </w:pPr>
      <w:r w:rsidRPr="00424261">
        <w:rPr>
          <w:rFonts w:ascii="Palatino Linotype" w:hAnsi="Palatino Linotype" w:cs="Arial"/>
          <w:color w:val="000000" w:themeColor="text1"/>
        </w:rPr>
        <w:t>Nombres;</w:t>
      </w:r>
    </w:p>
    <w:p w14:paraId="6999A733" w14:textId="27C07787" w:rsidR="000C6780" w:rsidRPr="00424261" w:rsidRDefault="000C6780" w:rsidP="0092310A">
      <w:pPr>
        <w:pStyle w:val="Prrafodelista"/>
        <w:numPr>
          <w:ilvl w:val="2"/>
          <w:numId w:val="7"/>
        </w:numPr>
        <w:tabs>
          <w:tab w:val="left" w:pos="426"/>
        </w:tabs>
        <w:spacing w:before="240" w:after="240" w:line="360" w:lineRule="auto"/>
        <w:ind w:left="1701" w:right="51"/>
        <w:jc w:val="both"/>
        <w:rPr>
          <w:rFonts w:ascii="Palatino Linotype" w:hAnsi="Palatino Linotype"/>
          <w:color w:val="000000" w:themeColor="text1"/>
        </w:rPr>
      </w:pPr>
      <w:r w:rsidRPr="00424261">
        <w:rPr>
          <w:rFonts w:ascii="Palatino Linotype" w:hAnsi="Palatino Linotype" w:cs="Arial"/>
          <w:color w:val="000000" w:themeColor="text1"/>
        </w:rPr>
        <w:t>Credenciales</w:t>
      </w:r>
      <w:r w:rsidR="00F663BE" w:rsidRPr="00424261">
        <w:rPr>
          <w:rFonts w:ascii="Palatino Linotype" w:hAnsi="Palatino Linotype" w:cs="Arial"/>
          <w:color w:val="000000" w:themeColor="text1"/>
        </w:rPr>
        <w:t xml:space="preserve"> para portación de arma</w:t>
      </w:r>
      <w:r w:rsidRPr="00424261">
        <w:rPr>
          <w:rFonts w:ascii="Palatino Linotype" w:hAnsi="Palatino Linotype" w:cs="Arial"/>
          <w:color w:val="000000" w:themeColor="text1"/>
        </w:rPr>
        <w:t>;</w:t>
      </w:r>
    </w:p>
    <w:p w14:paraId="6FB9C69C" w14:textId="2B22DB85" w:rsidR="000C6780" w:rsidRPr="00424261" w:rsidRDefault="000C6780" w:rsidP="0092310A">
      <w:pPr>
        <w:pStyle w:val="Prrafodelista"/>
        <w:numPr>
          <w:ilvl w:val="2"/>
          <w:numId w:val="7"/>
        </w:numPr>
        <w:tabs>
          <w:tab w:val="left" w:pos="426"/>
        </w:tabs>
        <w:spacing w:before="240" w:after="240" w:line="360" w:lineRule="auto"/>
        <w:ind w:left="1701" w:right="51"/>
        <w:jc w:val="both"/>
        <w:rPr>
          <w:rFonts w:ascii="Palatino Linotype" w:hAnsi="Palatino Linotype"/>
          <w:color w:val="000000" w:themeColor="text1"/>
        </w:rPr>
      </w:pPr>
      <w:r w:rsidRPr="00424261">
        <w:rPr>
          <w:rFonts w:ascii="Palatino Linotype" w:hAnsi="Palatino Linotype" w:cs="Arial"/>
          <w:color w:val="000000" w:themeColor="text1"/>
        </w:rPr>
        <w:t>Direcciones personales;</w:t>
      </w:r>
    </w:p>
    <w:p w14:paraId="76B8843E" w14:textId="52B86B34" w:rsidR="000C6780" w:rsidRPr="00424261" w:rsidRDefault="000C6780" w:rsidP="0092310A">
      <w:pPr>
        <w:pStyle w:val="Prrafodelista"/>
        <w:numPr>
          <w:ilvl w:val="2"/>
          <w:numId w:val="7"/>
        </w:numPr>
        <w:tabs>
          <w:tab w:val="left" w:pos="426"/>
        </w:tabs>
        <w:spacing w:before="240" w:after="240" w:line="360" w:lineRule="auto"/>
        <w:ind w:left="1701" w:right="51"/>
        <w:jc w:val="both"/>
        <w:rPr>
          <w:rFonts w:ascii="Palatino Linotype" w:hAnsi="Palatino Linotype"/>
          <w:color w:val="000000" w:themeColor="text1"/>
        </w:rPr>
      </w:pPr>
      <w:r w:rsidRPr="00424261">
        <w:rPr>
          <w:rFonts w:ascii="Palatino Linotype" w:hAnsi="Palatino Linotype" w:cs="Arial"/>
          <w:color w:val="000000" w:themeColor="text1"/>
        </w:rPr>
        <w:t>Horarios de labores;</w:t>
      </w:r>
    </w:p>
    <w:p w14:paraId="2A2A3E6E" w14:textId="16D2A585" w:rsidR="000C6780" w:rsidRPr="00424261" w:rsidRDefault="000C6780" w:rsidP="0092310A">
      <w:pPr>
        <w:pStyle w:val="Prrafodelista"/>
        <w:numPr>
          <w:ilvl w:val="2"/>
          <w:numId w:val="7"/>
        </w:numPr>
        <w:tabs>
          <w:tab w:val="left" w:pos="426"/>
        </w:tabs>
        <w:spacing w:before="240" w:after="240" w:line="360" w:lineRule="auto"/>
        <w:ind w:left="1701" w:right="51"/>
        <w:jc w:val="both"/>
        <w:rPr>
          <w:rFonts w:ascii="Palatino Linotype" w:hAnsi="Palatino Linotype"/>
          <w:color w:val="000000" w:themeColor="text1"/>
        </w:rPr>
      </w:pPr>
      <w:r w:rsidRPr="00424261">
        <w:rPr>
          <w:rFonts w:ascii="Palatino Linotype" w:hAnsi="Palatino Linotype" w:cs="Arial"/>
          <w:color w:val="000000" w:themeColor="text1"/>
        </w:rPr>
        <w:t>Número de unidad que manejan;</w:t>
      </w:r>
    </w:p>
    <w:p w14:paraId="59B8D7CB" w14:textId="6F9CD46B" w:rsidR="000C6780" w:rsidRPr="00424261" w:rsidRDefault="000C6780" w:rsidP="0092310A">
      <w:pPr>
        <w:pStyle w:val="Prrafodelista"/>
        <w:numPr>
          <w:ilvl w:val="2"/>
          <w:numId w:val="7"/>
        </w:numPr>
        <w:tabs>
          <w:tab w:val="left" w:pos="426"/>
        </w:tabs>
        <w:spacing w:before="240" w:after="240" w:line="360" w:lineRule="auto"/>
        <w:ind w:left="1701" w:right="51"/>
        <w:jc w:val="both"/>
        <w:rPr>
          <w:rFonts w:ascii="Palatino Linotype" w:hAnsi="Palatino Linotype"/>
          <w:color w:val="000000" w:themeColor="text1"/>
        </w:rPr>
      </w:pPr>
      <w:r w:rsidRPr="00424261">
        <w:rPr>
          <w:rFonts w:ascii="Palatino Linotype" w:hAnsi="Palatino Linotype" w:cs="Arial"/>
          <w:color w:val="000000" w:themeColor="text1"/>
        </w:rPr>
        <w:t xml:space="preserve">Exámenes de control de confianza; y </w:t>
      </w:r>
    </w:p>
    <w:p w14:paraId="28306B0E" w14:textId="5B281D2E" w:rsidR="000C6780" w:rsidRPr="00424261" w:rsidRDefault="000C6780" w:rsidP="0092310A">
      <w:pPr>
        <w:pStyle w:val="Prrafodelista"/>
        <w:numPr>
          <w:ilvl w:val="2"/>
          <w:numId w:val="7"/>
        </w:numPr>
        <w:tabs>
          <w:tab w:val="left" w:pos="426"/>
        </w:tabs>
        <w:spacing w:before="240" w:after="240" w:line="360" w:lineRule="auto"/>
        <w:ind w:left="1701" w:right="51"/>
        <w:jc w:val="both"/>
        <w:rPr>
          <w:rFonts w:ascii="Palatino Linotype" w:hAnsi="Palatino Linotype"/>
          <w:color w:val="000000" w:themeColor="text1"/>
        </w:rPr>
      </w:pPr>
      <w:r w:rsidRPr="00424261">
        <w:rPr>
          <w:rFonts w:ascii="Palatino Linotype" w:hAnsi="Palatino Linotype" w:cs="Arial"/>
          <w:color w:val="000000" w:themeColor="text1"/>
        </w:rPr>
        <w:t>Recibos de nómina.</w:t>
      </w:r>
    </w:p>
    <w:p w14:paraId="71419722" w14:textId="4E520226" w:rsidR="000C6780" w:rsidRPr="00424261" w:rsidRDefault="000C6780" w:rsidP="000C678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 xml:space="preserve">Parte de novedades generado del catorce (14) al dieciséis (16) de octubre de dos mil veintiuno; e, </w:t>
      </w:r>
    </w:p>
    <w:p w14:paraId="08217515" w14:textId="13AF67BA" w:rsidR="00B91CB8" w:rsidRPr="00424261" w:rsidRDefault="000C6780" w:rsidP="000C678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Informe si la agente de policía que sustrajo la esclava de oro del actor tiene alguna situación jurídica con el Consejo de Honor y Justicia.</w:t>
      </w:r>
    </w:p>
    <w:p w14:paraId="6134A9D3" w14:textId="77777777" w:rsidR="000C6780" w:rsidRPr="00424261" w:rsidRDefault="000C6780" w:rsidP="000C6780">
      <w:pPr>
        <w:pStyle w:val="Prrafodelista"/>
        <w:tabs>
          <w:tab w:val="left" w:pos="426"/>
        </w:tabs>
        <w:spacing w:before="240" w:after="240" w:line="360" w:lineRule="auto"/>
        <w:ind w:left="0" w:right="51"/>
        <w:jc w:val="both"/>
        <w:rPr>
          <w:rFonts w:ascii="Palatino Linotype" w:hAnsi="Palatino Linotype"/>
          <w:color w:val="000000" w:themeColor="text1"/>
        </w:rPr>
      </w:pPr>
    </w:p>
    <w:p w14:paraId="26DBAA5B" w14:textId="034290E8"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El </w:t>
      </w:r>
      <w:r w:rsidR="00A86DC6" w:rsidRPr="00424261">
        <w:rPr>
          <w:rFonts w:ascii="Palatino Linotype" w:hAnsi="Palatino Linotype"/>
          <w:color w:val="000000" w:themeColor="text1"/>
          <w:lang w:val="es-ES_tradnl"/>
        </w:rPr>
        <w:t>veinticinco (25) de noviembre</w:t>
      </w:r>
      <w:r w:rsidRPr="00424261">
        <w:rPr>
          <w:rFonts w:ascii="Palatino Linotype" w:hAnsi="Palatino Linotype"/>
          <w:color w:val="000000" w:themeColor="text1"/>
          <w:lang w:val="es-ES_tradnl"/>
        </w:rPr>
        <w:t xml:space="preserve"> de dos mil veintiuno, el </w:t>
      </w:r>
      <w:r w:rsidRPr="00424261">
        <w:rPr>
          <w:rFonts w:ascii="Palatino Linotype" w:hAnsi="Palatino Linotype"/>
          <w:b/>
          <w:color w:val="000000" w:themeColor="text1"/>
          <w:lang w:val="es-ES_tradnl"/>
        </w:rPr>
        <w:t>SUJETO OBLIGADO</w:t>
      </w:r>
      <w:r w:rsidRPr="00424261">
        <w:rPr>
          <w:rFonts w:ascii="Palatino Linotype" w:hAnsi="Palatino Linotype"/>
          <w:color w:val="000000" w:themeColor="text1"/>
          <w:lang w:val="es-ES_tradnl"/>
        </w:rPr>
        <w:t xml:space="preserve"> respondió a la</w:t>
      </w:r>
      <w:r w:rsidR="00A86DC6" w:rsidRPr="00424261">
        <w:rPr>
          <w:rFonts w:ascii="Palatino Linotype" w:hAnsi="Palatino Linotype"/>
          <w:color w:val="000000" w:themeColor="text1"/>
          <w:lang w:val="es-ES_tradnl"/>
        </w:rPr>
        <w:t>s</w:t>
      </w:r>
      <w:r w:rsidRPr="00424261">
        <w:rPr>
          <w:rFonts w:ascii="Palatino Linotype" w:hAnsi="Palatino Linotype"/>
          <w:color w:val="000000" w:themeColor="text1"/>
          <w:lang w:val="es-ES_tradnl"/>
        </w:rPr>
        <w:t xml:space="preserve"> solicitud</w:t>
      </w:r>
      <w:r w:rsidR="00A86DC6" w:rsidRPr="00424261">
        <w:rPr>
          <w:rFonts w:ascii="Palatino Linotype" w:hAnsi="Palatino Linotype"/>
          <w:color w:val="000000" w:themeColor="text1"/>
          <w:lang w:val="es-ES_tradnl"/>
        </w:rPr>
        <w:t>es</w:t>
      </w:r>
      <w:r w:rsidRPr="00424261">
        <w:rPr>
          <w:rFonts w:ascii="Palatino Linotype" w:hAnsi="Palatino Linotype"/>
          <w:color w:val="000000" w:themeColor="text1"/>
          <w:lang w:val="es-ES_tradnl"/>
        </w:rPr>
        <w:t xml:space="preserve"> de información a través de</w:t>
      </w:r>
      <w:r w:rsidR="00A86DC6" w:rsidRPr="00424261">
        <w:rPr>
          <w:rFonts w:ascii="Palatino Linotype" w:hAnsi="Palatino Linotype"/>
          <w:color w:val="000000" w:themeColor="text1"/>
          <w:lang w:val="es-ES_tradnl"/>
        </w:rPr>
        <w:t xml:space="preserve"> diversos archivos </w:t>
      </w:r>
      <w:r w:rsidR="00A86DC6" w:rsidRPr="00424261">
        <w:rPr>
          <w:rFonts w:ascii="Palatino Linotype" w:hAnsi="Palatino Linotype"/>
          <w:color w:val="000000" w:themeColor="text1"/>
          <w:lang w:val="es-ES_tradnl"/>
        </w:rPr>
        <w:lastRenderedPageBreak/>
        <w:t xml:space="preserve">electrónicos; así, por cuanto hace a la solicitud de información </w:t>
      </w:r>
      <w:r w:rsidR="00A86DC6" w:rsidRPr="00424261">
        <w:rPr>
          <w:rFonts w:ascii="Palatino Linotype" w:hAnsi="Palatino Linotype"/>
          <w:b/>
          <w:color w:val="000000" w:themeColor="text1"/>
          <w:lang w:val="es-ES_tradnl"/>
        </w:rPr>
        <w:t>00506/CUAUTIZC/IP/2021</w:t>
      </w:r>
      <w:r w:rsidR="00A86DC6" w:rsidRPr="00424261">
        <w:rPr>
          <w:rFonts w:ascii="Palatino Linotype" w:hAnsi="Palatino Linotype"/>
          <w:color w:val="000000" w:themeColor="text1"/>
          <w:lang w:val="es-ES_tradnl"/>
        </w:rPr>
        <w:t xml:space="preserve">, el </w:t>
      </w:r>
      <w:r w:rsidR="00A86DC6" w:rsidRPr="00424261">
        <w:rPr>
          <w:rFonts w:ascii="Palatino Linotype" w:hAnsi="Palatino Linotype"/>
          <w:b/>
          <w:color w:val="000000" w:themeColor="text1"/>
          <w:lang w:val="es-ES_tradnl"/>
        </w:rPr>
        <w:t>SUJETO OBLIGADO</w:t>
      </w:r>
      <w:r w:rsidR="00A86DC6" w:rsidRPr="00424261">
        <w:rPr>
          <w:rFonts w:ascii="Palatino Linotype" w:hAnsi="Palatino Linotype"/>
          <w:color w:val="000000" w:themeColor="text1"/>
          <w:lang w:val="es-ES_tradnl"/>
        </w:rPr>
        <w:t xml:space="preserve"> hizo entrega, primeramente, del oficio número PM-OP/00460/2021, de veintitrés (23) de noviembre de dos mil veintiuno, emitido por la </w:t>
      </w:r>
      <w:r w:rsidR="00A86DC6" w:rsidRPr="00424261">
        <w:rPr>
          <w:rFonts w:ascii="Palatino Linotype" w:hAnsi="Palatino Linotype"/>
          <w:b/>
          <w:color w:val="000000" w:themeColor="text1"/>
          <w:lang w:val="es-ES_tradnl"/>
        </w:rPr>
        <w:t>Jefa de la Oficina de Presidencia</w:t>
      </w:r>
      <w:r w:rsidR="00A86DC6" w:rsidRPr="00424261">
        <w:rPr>
          <w:rFonts w:ascii="Palatino Linotype" w:hAnsi="Palatino Linotype"/>
          <w:color w:val="000000" w:themeColor="text1"/>
          <w:lang w:val="es-ES_tradnl"/>
        </w:rPr>
        <w:t>, mediante la cual, realizó las siguientes manifestaciones</w:t>
      </w:r>
      <w:r w:rsidRPr="00424261">
        <w:rPr>
          <w:rFonts w:ascii="Palatino Linotype" w:hAnsi="Palatino Linotype"/>
          <w:color w:val="000000" w:themeColor="text1"/>
          <w:lang w:val="es-ES_tradnl"/>
        </w:rPr>
        <w:t>:</w:t>
      </w:r>
    </w:p>
    <w:p w14:paraId="069549B3"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2BBDB6FA" w14:textId="45930772" w:rsidR="00A86DC6" w:rsidRPr="00424261" w:rsidRDefault="00A86DC6" w:rsidP="00A86D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“El gobierno Municipal a través de la Comisaría de Seguridad Pública y Tránsito, informa que de acuerdo al proceso de investigación que realiza la Fiscalía General de Justicia del Estado de México (FGJEM) en torno al fallecimiento del actor mexicano Octavio “N”, es respetuoso y seguirá colaborando con las autoridades competentes.</w:t>
      </w:r>
    </w:p>
    <w:p w14:paraId="28970B23" w14:textId="77777777" w:rsidR="00A86DC6" w:rsidRPr="00424261" w:rsidRDefault="00A86DC6" w:rsidP="00A86DC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4917010" w14:textId="76E2B9D3" w:rsidR="00A86DC6" w:rsidRPr="00424261" w:rsidRDefault="00A86DC6" w:rsidP="00A86D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El lamentable suceso acontecido en el territorio Municipal ha generado diversas reacciones en las redes sociales, por tal motivo el comisario de Seguridad Pública y Tránsito Municipal, Rodrigo Hernández García, hace del conocimiento público que los dos policías pertenecientes a la corporación y que participaron en la persecución del vehículo del ahora occiso, actuaron de acuerdo a los protocolos establecidos, tal y como ha quedado asentado en la carpeta de investigación que realiza la Fiscalía mexiquense.</w:t>
      </w:r>
    </w:p>
    <w:p w14:paraId="5B235E3A" w14:textId="77777777" w:rsidR="00A86DC6" w:rsidRPr="00424261" w:rsidRDefault="00A86DC6" w:rsidP="00A86DC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2FFBCEC" w14:textId="347A1620" w:rsidR="00A86DC6" w:rsidRPr="00424261" w:rsidRDefault="00A86DC6" w:rsidP="00A86DC6">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424261">
        <w:rPr>
          <w:rFonts w:ascii="Palatino Linotype" w:hAnsi="Palatino Linotype"/>
          <w:i/>
          <w:color w:val="000000" w:themeColor="text1"/>
          <w:sz w:val="22"/>
        </w:rPr>
        <w:t xml:space="preserve">De igual manera, manifiesta que los oficiales fueron llamados para rendir su declaración como testigos y a las armas se les realizaron las pruebas periciales pertinentes, asimismo la unidad en la que viajaban quedó a disposición de la autoridad para determinar su el vehículo del hoy fallecido fue impactado por la unidad oficial, datos que están asentados en el cuerpo de la investigación.” </w:t>
      </w:r>
      <w:r w:rsidRPr="00424261">
        <w:rPr>
          <w:rFonts w:ascii="Palatino Linotype" w:hAnsi="Palatino Linotype"/>
          <w:color w:val="000000" w:themeColor="text1"/>
          <w:sz w:val="22"/>
        </w:rPr>
        <w:t>(Sic)</w:t>
      </w:r>
    </w:p>
    <w:p w14:paraId="28214C1F" w14:textId="77777777" w:rsidR="00A86DC6" w:rsidRPr="00424261" w:rsidRDefault="00A86DC6"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AF4171F" w14:textId="4C40D442"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w:t>
      </w:r>
      <w:r w:rsidRPr="00424261">
        <w:rPr>
          <w:rFonts w:ascii="Palatino Linotype" w:hAnsi="Palatino Linotype"/>
          <w:color w:val="000000" w:themeColor="text1"/>
          <w:lang w:val="es-ES_tradnl"/>
        </w:rPr>
        <w:t xml:space="preserve">otro lado, también se hizo entrega del oficio número </w:t>
      </w:r>
      <w:r w:rsidR="00A86DC6" w:rsidRPr="00424261">
        <w:rPr>
          <w:rFonts w:ascii="Palatino Linotype" w:hAnsi="Palatino Linotype"/>
          <w:color w:val="000000" w:themeColor="text1"/>
          <w:lang w:val="es-ES_tradnl"/>
        </w:rPr>
        <w:t>DGSPYT/784/2021, de veinticinco (25) de noviembre de dos mil veintiuno</w:t>
      </w:r>
      <w:r w:rsidRPr="00424261">
        <w:rPr>
          <w:rFonts w:ascii="Palatino Linotype" w:hAnsi="Palatino Linotype"/>
          <w:color w:val="000000" w:themeColor="text1"/>
          <w:lang w:val="es-ES_tradnl"/>
        </w:rPr>
        <w:t xml:space="preserve">, signado por </w:t>
      </w:r>
      <w:r w:rsidR="00A86DC6" w:rsidRPr="00424261">
        <w:rPr>
          <w:rFonts w:ascii="Palatino Linotype" w:hAnsi="Palatino Linotype"/>
          <w:color w:val="000000" w:themeColor="text1"/>
          <w:lang w:val="es-ES_tradnl"/>
        </w:rPr>
        <w:t>el Comisario General de Seguridad Pública y Tránsito</w:t>
      </w:r>
      <w:r w:rsidRPr="00424261">
        <w:rPr>
          <w:rFonts w:ascii="Palatino Linotype" w:hAnsi="Palatino Linotype"/>
          <w:color w:val="000000" w:themeColor="text1"/>
          <w:lang w:val="es-ES_tradnl"/>
        </w:rPr>
        <w:t>, y mediante el cual, informó lo siguiente:</w:t>
      </w:r>
    </w:p>
    <w:p w14:paraId="28390BCE"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E1BB380" w14:textId="09945E8D" w:rsidR="00A86DC6" w:rsidRPr="00424261" w:rsidRDefault="00A86DC6" w:rsidP="00A86DC6">
      <w:pPr>
        <w:pStyle w:val="Prrafodelista"/>
        <w:tabs>
          <w:tab w:val="left" w:pos="426"/>
        </w:tabs>
        <w:spacing w:before="240" w:line="360" w:lineRule="auto"/>
        <w:ind w:left="567" w:right="567"/>
        <w:jc w:val="both"/>
      </w:pPr>
      <w:r w:rsidRPr="00424261">
        <w:rPr>
          <w:rFonts w:ascii="Palatino Linotype" w:hAnsi="Palatino Linotype"/>
          <w:i/>
          <w:color w:val="000000" w:themeColor="text1"/>
          <w:sz w:val="22"/>
        </w:rPr>
        <w:t>“Me permito informarle q</w:t>
      </w:r>
      <w:r w:rsidR="00D336A1" w:rsidRPr="00424261">
        <w:rPr>
          <w:rFonts w:ascii="Palatino Linotype" w:hAnsi="Palatino Linotype"/>
          <w:i/>
          <w:color w:val="000000" w:themeColor="text1"/>
          <w:sz w:val="22"/>
        </w:rPr>
        <w:t>ue lo requerido en la solicitud antes descrita,</w:t>
      </w:r>
      <w:r w:rsidRPr="00424261">
        <w:rPr>
          <w:rFonts w:ascii="Palatino Linotype" w:hAnsi="Palatino Linotype"/>
          <w:i/>
          <w:color w:val="000000" w:themeColor="text1"/>
          <w:sz w:val="22"/>
        </w:rPr>
        <w:t xml:space="preserve"> es de carácter </w:t>
      </w:r>
      <w:r w:rsidRPr="00424261">
        <w:rPr>
          <w:rFonts w:ascii="Palatino Linotype" w:hAnsi="Palatino Linotype"/>
          <w:b/>
          <w:i/>
          <w:color w:val="000000" w:themeColor="text1"/>
          <w:sz w:val="22"/>
        </w:rPr>
        <w:t>Reservado</w:t>
      </w:r>
      <w:r w:rsidRPr="00424261">
        <w:rPr>
          <w:rFonts w:ascii="Palatino Linotype" w:hAnsi="Palatino Linotype"/>
          <w:i/>
          <w:color w:val="000000" w:themeColor="text1"/>
          <w:sz w:val="22"/>
        </w:rPr>
        <w:t xml:space="preserve"> de conformidad con base en el </w:t>
      </w:r>
      <w:r w:rsidRPr="00424261">
        <w:rPr>
          <w:rFonts w:ascii="Palatino Linotype" w:hAnsi="Palatino Linotype"/>
          <w:b/>
          <w:i/>
          <w:color w:val="000000" w:themeColor="text1"/>
          <w:sz w:val="22"/>
        </w:rPr>
        <w:t xml:space="preserve">Acuerdo </w:t>
      </w:r>
      <w:r w:rsidRPr="00424261">
        <w:rPr>
          <w:rFonts w:ascii="Palatino Linotype" w:hAnsi="Palatino Linotype"/>
          <w:b/>
          <w:i/>
          <w:color w:val="000000" w:themeColor="text1"/>
          <w:sz w:val="22"/>
        </w:rPr>
        <w:lastRenderedPageBreak/>
        <w:t>058/CUAUTIZC/CT/CGSPT/2021</w:t>
      </w:r>
      <w:r w:rsidRPr="00424261">
        <w:rPr>
          <w:rFonts w:ascii="Palatino Linotype" w:hAnsi="Palatino Linotype"/>
          <w:i/>
          <w:color w:val="000000" w:themeColor="text1"/>
          <w:sz w:val="22"/>
        </w:rPr>
        <w:t xml:space="preserve"> de fecha 2</w:t>
      </w:r>
      <w:r w:rsidR="00D336A1" w:rsidRPr="00424261">
        <w:rPr>
          <w:rFonts w:ascii="Palatino Linotype" w:hAnsi="Palatino Linotype"/>
          <w:i/>
          <w:color w:val="000000" w:themeColor="text1"/>
          <w:sz w:val="22"/>
        </w:rPr>
        <w:t xml:space="preserve">5 de noviembre de 2021 obedece </w:t>
      </w:r>
      <w:r w:rsidRPr="00424261">
        <w:rPr>
          <w:rFonts w:ascii="Palatino Linotype" w:hAnsi="Palatino Linotype"/>
          <w:i/>
          <w:color w:val="000000" w:themeColor="text1"/>
          <w:sz w:val="22"/>
        </w:rPr>
        <w:t xml:space="preserve">a </w:t>
      </w:r>
      <w:r w:rsidR="00D336A1" w:rsidRPr="00424261">
        <w:rPr>
          <w:rFonts w:ascii="Palatino Linotype" w:hAnsi="Palatino Linotype"/>
          <w:i/>
          <w:color w:val="000000" w:themeColor="text1"/>
          <w:sz w:val="22"/>
        </w:rPr>
        <w:t>que</w:t>
      </w:r>
      <w:r w:rsidRPr="00424261">
        <w:rPr>
          <w:rFonts w:ascii="Palatino Linotype" w:hAnsi="Palatino Linotype"/>
          <w:i/>
          <w:color w:val="000000" w:themeColor="text1"/>
          <w:sz w:val="22"/>
        </w:rPr>
        <w:t xml:space="preserve"> si se da a conocer al información, comprometería la efectividad de las estrategias en materia de seguridad y su divulgación permitiría que miembros de la delincuencia los conozcan pudiendo con ello anticiparse a las acciones que realizan los elementos pondría en grave </w:t>
      </w:r>
      <w:r w:rsidRPr="00424261">
        <w:rPr>
          <w:rFonts w:ascii="Palatino Linotype" w:hAnsi="Palatino Linotype"/>
          <w:b/>
          <w:i/>
          <w:color w:val="000000" w:themeColor="text1"/>
          <w:sz w:val="22"/>
        </w:rPr>
        <w:t>Riesgo la Seguridad Municipal</w:t>
      </w:r>
      <w:r w:rsidRPr="00424261">
        <w:rPr>
          <w:rFonts w:ascii="Palatino Linotype" w:hAnsi="Palatino Linotype"/>
          <w:i/>
          <w:color w:val="000000" w:themeColor="text1"/>
          <w:sz w:val="22"/>
        </w:rPr>
        <w:t xml:space="preserve"> y causaría un daño sustancial a las estrategias en cuanto a combate a la delincuencia  a la ciudadanía y a los mismos elementos que constituyen Seguridad Pública de Cuautitlán Izcalli, Estado de México</w:t>
      </w:r>
      <w:r w:rsidR="00D336A1" w:rsidRPr="00424261">
        <w:rPr>
          <w:rFonts w:ascii="Palatino Linotype" w:hAnsi="Palatino Linotype"/>
          <w:i/>
          <w:color w:val="000000" w:themeColor="text1"/>
          <w:sz w:val="22"/>
        </w:rPr>
        <w:t xml:space="preserve"> (…)” </w:t>
      </w:r>
      <w:r w:rsidR="00D336A1" w:rsidRPr="00424261">
        <w:rPr>
          <w:rFonts w:ascii="Palatino Linotype" w:hAnsi="Palatino Linotype"/>
          <w:color w:val="000000" w:themeColor="text1"/>
          <w:sz w:val="22"/>
        </w:rPr>
        <w:t>(Sic)</w:t>
      </w:r>
    </w:p>
    <w:p w14:paraId="37C2394D" w14:textId="77777777" w:rsidR="00A86DC6" w:rsidRPr="00424261" w:rsidRDefault="00A86DC6"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85B25A1" w14:textId="304401ED" w:rsidR="00B91CB8" w:rsidRPr="00424261" w:rsidRDefault="00D336A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otro lado, en lo que corresponde a los documentos entregados en respuesta a la solicitud de información </w:t>
      </w:r>
      <w:r w:rsidRPr="00424261">
        <w:rPr>
          <w:rFonts w:ascii="Palatino Linotype" w:hAnsi="Palatino Linotype"/>
          <w:b/>
          <w:color w:val="000000" w:themeColor="text1"/>
        </w:rPr>
        <w:t>00505/CUAUTIZC/IP/2021</w:t>
      </w:r>
      <w:r w:rsidRPr="00424261">
        <w:rPr>
          <w:rFonts w:ascii="Palatino Linotype" w:hAnsi="Palatino Linotype"/>
          <w:color w:val="000000" w:themeColor="text1"/>
        </w:rPr>
        <w:t xml:space="preserve">, el </w:t>
      </w:r>
      <w:r w:rsidRPr="00424261">
        <w:rPr>
          <w:rFonts w:ascii="Palatino Linotype" w:hAnsi="Palatino Linotype"/>
          <w:b/>
          <w:color w:val="000000" w:themeColor="text1"/>
        </w:rPr>
        <w:t>SUJETO OBLIGADO</w:t>
      </w:r>
      <w:r w:rsidRPr="00424261">
        <w:rPr>
          <w:rFonts w:ascii="Palatino Linotype" w:hAnsi="Palatino Linotype"/>
          <w:color w:val="000000" w:themeColor="text1"/>
        </w:rPr>
        <w:t xml:space="preserve"> presentó, primeramente, el oficio número DGSPYT/783/2021, de veinticinco (25) de noviembre de dos mil veintiuno, emitido por el </w:t>
      </w:r>
      <w:r w:rsidRPr="00424261">
        <w:rPr>
          <w:rFonts w:ascii="Palatino Linotype" w:hAnsi="Palatino Linotype"/>
          <w:color w:val="000000" w:themeColor="text1"/>
          <w:lang w:val="es-ES_tradnl"/>
        </w:rPr>
        <w:t xml:space="preserve">Comisario General de Seguridad Pública y Tránsito, y que transcribe la justificación de negar el acceso a la información plasmada en el oficio número DGSPYT/784/2021 señalado </w:t>
      </w:r>
      <w:r w:rsidRPr="00424261">
        <w:rPr>
          <w:rFonts w:ascii="Palatino Linotype" w:hAnsi="Palatino Linotype"/>
          <w:i/>
          <w:color w:val="000000" w:themeColor="text1"/>
          <w:lang w:val="es-ES_tradnl"/>
        </w:rPr>
        <w:t>supra</w:t>
      </w:r>
      <w:r w:rsidRPr="00424261">
        <w:rPr>
          <w:rFonts w:ascii="Palatino Linotype" w:hAnsi="Palatino Linotype"/>
          <w:color w:val="000000" w:themeColor="text1"/>
          <w:lang w:val="es-ES_tradnl"/>
        </w:rPr>
        <w:t>.</w:t>
      </w:r>
    </w:p>
    <w:p w14:paraId="462A1164" w14:textId="77777777" w:rsidR="00D336A1" w:rsidRPr="00424261" w:rsidRDefault="00D336A1" w:rsidP="00D336A1">
      <w:pPr>
        <w:pStyle w:val="Prrafodelista"/>
        <w:tabs>
          <w:tab w:val="left" w:pos="426"/>
        </w:tabs>
        <w:spacing w:before="240" w:after="240" w:line="360" w:lineRule="auto"/>
        <w:ind w:left="0" w:right="51"/>
        <w:jc w:val="both"/>
        <w:rPr>
          <w:rFonts w:ascii="Palatino Linotype" w:hAnsi="Palatino Linotype"/>
          <w:color w:val="000000" w:themeColor="text1"/>
        </w:rPr>
      </w:pPr>
    </w:p>
    <w:p w14:paraId="1BFBF7DB" w14:textId="786EA5C5" w:rsidR="00D336A1" w:rsidRPr="00424261" w:rsidRDefault="00D336A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lang w:val="es-ES_tradnl"/>
        </w:rPr>
        <w:t xml:space="preserve">Asimismo, el </w:t>
      </w:r>
      <w:r w:rsidRPr="00424261">
        <w:rPr>
          <w:rFonts w:ascii="Palatino Linotype" w:hAnsi="Palatino Linotype"/>
          <w:b/>
          <w:color w:val="000000" w:themeColor="text1"/>
          <w:lang w:val="es-ES_tradnl"/>
        </w:rPr>
        <w:t>SUJETO OBLIGADO</w:t>
      </w:r>
      <w:r w:rsidRPr="00424261">
        <w:rPr>
          <w:rFonts w:ascii="Palatino Linotype" w:hAnsi="Palatino Linotype"/>
          <w:color w:val="000000" w:themeColor="text1"/>
          <w:lang w:val="es-ES_tradnl"/>
        </w:rPr>
        <w:t xml:space="preserve"> presentó, también, el oficio número DGA/OF/2242/2021, de veinticinco (25) de noviembre de dos mil veintiuno, emitido por el Director General de Administración, y mediante el cual, vertió los siguientes pronunciamientos:</w:t>
      </w:r>
    </w:p>
    <w:p w14:paraId="2F86A505" w14:textId="77777777" w:rsidR="00B91CB8" w:rsidRPr="00424261" w:rsidRDefault="00B91CB8" w:rsidP="00321FCC">
      <w:pPr>
        <w:pStyle w:val="Prrafodelista"/>
        <w:tabs>
          <w:tab w:val="left" w:pos="426"/>
        </w:tabs>
        <w:spacing w:before="240" w:line="360" w:lineRule="auto"/>
        <w:ind w:left="0" w:right="51"/>
        <w:jc w:val="both"/>
        <w:rPr>
          <w:rFonts w:ascii="Palatino Linotype" w:hAnsi="Palatino Linotype"/>
          <w:color w:val="000000" w:themeColor="text1"/>
        </w:rPr>
      </w:pPr>
    </w:p>
    <w:p w14:paraId="47DA6948" w14:textId="5DF12699" w:rsidR="00D336A1" w:rsidRPr="00424261" w:rsidRDefault="00D336A1" w:rsidP="00D336A1">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424261">
        <w:rPr>
          <w:rFonts w:ascii="Palatino Linotype" w:hAnsi="Palatino Linotype"/>
          <w:i/>
          <w:color w:val="000000" w:themeColor="text1"/>
          <w:sz w:val="22"/>
        </w:rPr>
        <w:t xml:space="preserve">“(…) del análisis minucioso de la información requerida en su solicitud y la relación que esta tiene con los sucesos ocurridos en torno al personal antes mencionado, se determinó, a petición del Servidor Público Habilitado de la Comisaría General de Seguridad Pública y Tránsito Municipal, en la Sexagésima Cuarta Sesión del Comité de Transparencia de ese Sujeto Obligado con carácter de Extraordinaria de </w:t>
      </w:r>
      <w:r w:rsidR="00F751EE" w:rsidRPr="00424261">
        <w:rPr>
          <w:rFonts w:ascii="Palatino Linotype" w:hAnsi="Palatino Linotype"/>
          <w:i/>
          <w:color w:val="000000" w:themeColor="text1"/>
          <w:sz w:val="22"/>
        </w:rPr>
        <w:t xml:space="preserve">fecha veinticinco de noviembre del presente año, clasificar la información con el carácter de “Reservada”, emitiendo el Acuerdo de clasificación número 058/CUAUTIZC/CT/CGSPYT/2021, en la que de </w:t>
      </w:r>
      <w:r w:rsidR="00F751EE" w:rsidRPr="00424261">
        <w:rPr>
          <w:rFonts w:ascii="Palatino Linotype" w:hAnsi="Palatino Linotype"/>
          <w:i/>
          <w:color w:val="000000" w:themeColor="text1"/>
          <w:sz w:val="22"/>
        </w:rPr>
        <w:lastRenderedPageBreak/>
        <w:t xml:space="preserve">manera fundada y motivada expone las razones por las cuales no es posible hacer entrega de lo solicitado.” </w:t>
      </w:r>
      <w:r w:rsidR="00F751EE" w:rsidRPr="00424261">
        <w:rPr>
          <w:rFonts w:ascii="Palatino Linotype" w:hAnsi="Palatino Linotype"/>
          <w:color w:val="000000" w:themeColor="text1"/>
          <w:sz w:val="22"/>
        </w:rPr>
        <w:t>(Sic)</w:t>
      </w:r>
    </w:p>
    <w:p w14:paraId="2105CC98" w14:textId="77777777" w:rsidR="00D336A1" w:rsidRPr="00424261" w:rsidRDefault="00D336A1"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89D729E" w14:textId="488956B6"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Aunado </w:t>
      </w:r>
      <w:r w:rsidRPr="00424261">
        <w:rPr>
          <w:rFonts w:ascii="Palatino Linotype" w:hAnsi="Palatino Linotype"/>
          <w:color w:val="000000" w:themeColor="text1"/>
          <w:lang w:val="es-ES_tradnl"/>
        </w:rPr>
        <w:t xml:space="preserve">a lo anterior, se hace constar que el </w:t>
      </w:r>
      <w:r w:rsidRPr="00424261">
        <w:rPr>
          <w:rFonts w:ascii="Palatino Linotype" w:hAnsi="Palatino Linotype"/>
          <w:b/>
          <w:color w:val="000000" w:themeColor="text1"/>
          <w:lang w:val="es-ES_tradnl"/>
        </w:rPr>
        <w:t>SUJETO OBLIGADO</w:t>
      </w:r>
      <w:r w:rsidR="00F751EE" w:rsidRPr="00424261">
        <w:rPr>
          <w:rFonts w:ascii="Palatino Linotype" w:hAnsi="Palatino Linotype"/>
          <w:color w:val="000000" w:themeColor="text1"/>
          <w:lang w:val="es-ES_tradnl"/>
        </w:rPr>
        <w:t xml:space="preserve"> presentó en respuesta a ambas solicitudes de información -</w:t>
      </w:r>
      <w:r w:rsidR="00F751EE" w:rsidRPr="00424261">
        <w:rPr>
          <w:rFonts w:ascii="Palatino Linotype" w:hAnsi="Palatino Linotype"/>
          <w:b/>
          <w:color w:val="000000" w:themeColor="text1"/>
          <w:lang w:val="es-ES_tradnl"/>
        </w:rPr>
        <w:t>00505/CUAUTIZC/IP/2021</w:t>
      </w:r>
      <w:r w:rsidR="00F751EE" w:rsidRPr="00424261">
        <w:rPr>
          <w:rFonts w:ascii="Palatino Linotype" w:hAnsi="Palatino Linotype"/>
          <w:color w:val="000000" w:themeColor="text1"/>
          <w:lang w:val="es-ES_tradnl"/>
        </w:rPr>
        <w:t xml:space="preserve"> y </w:t>
      </w:r>
      <w:r w:rsidR="00F751EE" w:rsidRPr="00424261">
        <w:rPr>
          <w:rFonts w:ascii="Palatino Linotype" w:hAnsi="Palatino Linotype"/>
          <w:b/>
          <w:color w:val="000000" w:themeColor="text1"/>
          <w:lang w:val="es-ES_tradnl"/>
        </w:rPr>
        <w:t>00506/CUAUTIZC/IP/2021</w:t>
      </w:r>
      <w:r w:rsidR="00F751EE" w:rsidRPr="00424261">
        <w:rPr>
          <w:rFonts w:ascii="Palatino Linotype" w:hAnsi="Palatino Linotype"/>
          <w:color w:val="000000" w:themeColor="text1"/>
          <w:lang w:val="es-ES_tradnl"/>
        </w:rPr>
        <w:t>-</w:t>
      </w:r>
      <w:r w:rsidRPr="00424261">
        <w:rPr>
          <w:rFonts w:ascii="Palatino Linotype" w:hAnsi="Palatino Linotype"/>
          <w:color w:val="000000" w:themeColor="text1"/>
          <w:lang w:val="es-ES_tradnl"/>
        </w:rPr>
        <w:t xml:space="preserve">, </w:t>
      </w:r>
      <w:r w:rsidR="00F751EE" w:rsidRPr="00424261">
        <w:rPr>
          <w:rFonts w:ascii="Palatino Linotype" w:hAnsi="Palatino Linotype"/>
          <w:color w:val="000000" w:themeColor="text1"/>
          <w:lang w:val="es-ES_tradnl"/>
        </w:rPr>
        <w:t>la copia digitalizada d</w:t>
      </w:r>
      <w:r w:rsidRPr="00424261">
        <w:rPr>
          <w:rFonts w:ascii="Palatino Linotype" w:hAnsi="Palatino Linotype"/>
          <w:color w:val="000000" w:themeColor="text1"/>
          <w:lang w:val="es-ES_tradnl"/>
        </w:rPr>
        <w:t xml:space="preserve">el </w:t>
      </w:r>
      <w:r w:rsidR="00F751EE" w:rsidRPr="00424261">
        <w:rPr>
          <w:rFonts w:ascii="Palatino Linotype" w:hAnsi="Palatino Linotype"/>
          <w:color w:val="000000" w:themeColor="text1"/>
          <w:lang w:val="es-ES_tradnl"/>
        </w:rPr>
        <w:t>Acuerdo número 058/CUAUTIZC/IP/2021, emitido por el Comité de Transparencia el veinticinco (25) de noviembre de dos mil veintiuno</w:t>
      </w:r>
      <w:r w:rsidRPr="00424261">
        <w:rPr>
          <w:rFonts w:ascii="Palatino Linotype" w:hAnsi="Palatino Linotype"/>
          <w:color w:val="000000" w:themeColor="text1"/>
          <w:lang w:val="es-ES_tradnl"/>
        </w:rPr>
        <w:t xml:space="preserve">, </w:t>
      </w:r>
      <w:r w:rsidR="00F751EE" w:rsidRPr="00424261">
        <w:rPr>
          <w:rFonts w:ascii="Palatino Linotype" w:hAnsi="Palatino Linotype"/>
          <w:color w:val="000000" w:themeColor="text1"/>
          <w:lang w:val="es-ES_tradnl"/>
        </w:rPr>
        <w:t xml:space="preserve">y </w:t>
      </w:r>
      <w:r w:rsidRPr="00424261">
        <w:rPr>
          <w:rFonts w:ascii="Palatino Linotype" w:hAnsi="Palatino Linotype"/>
          <w:color w:val="000000" w:themeColor="text1"/>
          <w:lang w:val="es-ES_tradnl"/>
        </w:rPr>
        <w:t>cuyo contenido será analizado más adelante.</w:t>
      </w:r>
    </w:p>
    <w:p w14:paraId="5B7579B8"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18457FEA" w14:textId="2AB1EF10"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w:t>
      </w:r>
      <w:r w:rsidRPr="00424261">
        <w:rPr>
          <w:rFonts w:ascii="Palatino Linotype" w:hAnsi="Palatino Linotype"/>
          <w:color w:val="000000" w:themeColor="text1"/>
          <w:lang w:val="es-ES_tradnl"/>
        </w:rPr>
        <w:t xml:space="preserve">del análisis realizado al contenido de los documentos presentados por el </w:t>
      </w:r>
      <w:r w:rsidRPr="00424261">
        <w:rPr>
          <w:rFonts w:ascii="Palatino Linotype" w:hAnsi="Palatino Linotype"/>
          <w:b/>
          <w:color w:val="000000" w:themeColor="text1"/>
          <w:lang w:val="es-ES_tradnl"/>
        </w:rPr>
        <w:t>SUJETO OBLIGADO</w:t>
      </w:r>
      <w:r w:rsidRPr="00424261">
        <w:rPr>
          <w:rFonts w:ascii="Palatino Linotype" w:hAnsi="Palatino Linotype"/>
          <w:color w:val="000000" w:themeColor="text1"/>
          <w:lang w:val="es-ES_tradnl"/>
        </w:rPr>
        <w:t xml:space="preserve"> en respuesta a la</w:t>
      </w:r>
      <w:r w:rsidR="00A30FAB" w:rsidRPr="00424261">
        <w:rPr>
          <w:rFonts w:ascii="Palatino Linotype" w:hAnsi="Palatino Linotype"/>
          <w:color w:val="000000" w:themeColor="text1"/>
          <w:lang w:val="es-ES_tradnl"/>
        </w:rPr>
        <w:t>s</w:t>
      </w:r>
      <w:r w:rsidRPr="00424261">
        <w:rPr>
          <w:rFonts w:ascii="Palatino Linotype" w:hAnsi="Palatino Linotype"/>
          <w:color w:val="000000" w:themeColor="text1"/>
          <w:lang w:val="es-ES_tradnl"/>
        </w:rPr>
        <w:t xml:space="preserve"> solicitud</w:t>
      </w:r>
      <w:r w:rsidR="00A30FAB" w:rsidRPr="00424261">
        <w:rPr>
          <w:rFonts w:ascii="Palatino Linotype" w:hAnsi="Palatino Linotype"/>
          <w:color w:val="000000" w:themeColor="text1"/>
          <w:lang w:val="es-ES_tradnl"/>
        </w:rPr>
        <w:t>es</w:t>
      </w:r>
      <w:r w:rsidRPr="00424261">
        <w:rPr>
          <w:rFonts w:ascii="Palatino Linotype" w:hAnsi="Palatino Linotype"/>
          <w:color w:val="000000" w:themeColor="text1"/>
          <w:lang w:val="es-ES_tradnl"/>
        </w:rPr>
        <w:t xml:space="preserve"> de información </w:t>
      </w:r>
      <w:r w:rsidR="00A30FAB" w:rsidRPr="00424261">
        <w:rPr>
          <w:rFonts w:ascii="Palatino Linotype" w:hAnsi="Palatino Linotype"/>
          <w:b/>
          <w:color w:val="000000" w:themeColor="text1"/>
          <w:lang w:val="es-ES_tradnl"/>
        </w:rPr>
        <w:t>00505</w:t>
      </w:r>
      <w:r w:rsidRPr="00424261">
        <w:rPr>
          <w:rFonts w:ascii="Palatino Linotype" w:hAnsi="Palatino Linotype"/>
          <w:b/>
          <w:color w:val="000000" w:themeColor="text1"/>
          <w:lang w:val="es-ES_tradnl"/>
        </w:rPr>
        <w:t>/</w:t>
      </w:r>
      <w:r w:rsidR="00A30FAB" w:rsidRPr="00424261">
        <w:rPr>
          <w:rFonts w:ascii="Palatino Linotype" w:hAnsi="Palatino Linotype"/>
          <w:b/>
          <w:color w:val="000000" w:themeColor="text1"/>
          <w:lang w:val="es-ES_tradnl"/>
        </w:rPr>
        <w:t>CUAUTIZC</w:t>
      </w:r>
      <w:r w:rsidRPr="00424261">
        <w:rPr>
          <w:rFonts w:ascii="Palatino Linotype" w:hAnsi="Palatino Linotype"/>
          <w:b/>
          <w:color w:val="000000" w:themeColor="text1"/>
          <w:lang w:val="es-ES_tradnl"/>
        </w:rPr>
        <w:t>/IP/2021</w:t>
      </w:r>
      <w:r w:rsidR="00A30FAB" w:rsidRPr="00424261">
        <w:rPr>
          <w:rFonts w:ascii="Palatino Linotype" w:hAnsi="Palatino Linotype"/>
          <w:b/>
          <w:color w:val="000000" w:themeColor="text1"/>
          <w:lang w:val="es-ES_tradnl"/>
        </w:rPr>
        <w:t xml:space="preserve"> </w:t>
      </w:r>
      <w:r w:rsidR="00A30FAB" w:rsidRPr="00424261">
        <w:rPr>
          <w:rFonts w:ascii="Palatino Linotype" w:hAnsi="Palatino Linotype"/>
          <w:color w:val="000000" w:themeColor="text1"/>
          <w:lang w:val="es-ES_tradnl"/>
        </w:rPr>
        <w:t xml:space="preserve">y </w:t>
      </w:r>
      <w:r w:rsidR="00A30FAB" w:rsidRPr="00424261">
        <w:rPr>
          <w:rFonts w:ascii="Palatino Linotype" w:hAnsi="Palatino Linotype"/>
          <w:b/>
          <w:color w:val="000000" w:themeColor="text1"/>
          <w:lang w:val="es-ES_tradnl"/>
        </w:rPr>
        <w:t>00506/CUAUTIZC/IP/2021</w:t>
      </w:r>
      <w:r w:rsidRPr="00424261">
        <w:rPr>
          <w:rFonts w:ascii="Palatino Linotype" w:hAnsi="Palatino Linotype"/>
          <w:color w:val="000000" w:themeColor="text1"/>
          <w:lang w:val="es-ES_tradnl"/>
        </w:rPr>
        <w:t xml:space="preserve">, podemos </w:t>
      </w:r>
      <w:r w:rsidR="00A30FAB" w:rsidRPr="00424261">
        <w:rPr>
          <w:rFonts w:ascii="Palatino Linotype" w:hAnsi="Palatino Linotype"/>
          <w:color w:val="000000" w:themeColor="text1"/>
          <w:lang w:val="es-ES_tradnl"/>
        </w:rPr>
        <w:t>recuperar</w:t>
      </w:r>
      <w:r w:rsidRPr="00424261">
        <w:rPr>
          <w:rFonts w:ascii="Palatino Linotype" w:hAnsi="Palatino Linotype"/>
          <w:color w:val="000000" w:themeColor="text1"/>
          <w:lang w:val="es-ES_tradnl"/>
        </w:rPr>
        <w:t xml:space="preserve"> los siguientes elementos:</w:t>
      </w:r>
    </w:p>
    <w:p w14:paraId="072CF7D5" w14:textId="56768D85" w:rsidR="00A30FAB" w:rsidRPr="00424261" w:rsidRDefault="00EC0F5A" w:rsidP="00A30F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La Jefa de la Oficina de Presidencia informó que dos policías que participaron en la persecución actuaron de acuerdo a los protocolos establecidos; asimismo, refirió que los oficiales rindieron su declaración como testigos y se realizaron pruebas a sus armas y a la unidad en la que viajaban;</w:t>
      </w:r>
    </w:p>
    <w:p w14:paraId="1D1FFED6" w14:textId="732F6DF9" w:rsidR="00EC0F5A" w:rsidRPr="00424261" w:rsidRDefault="00EC0F5A" w:rsidP="00A30F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Por su parte, el Comisario General de Seguridad Ciudadana</w:t>
      </w:r>
      <w:r w:rsidR="00B70790" w:rsidRPr="00424261">
        <w:rPr>
          <w:rFonts w:ascii="Palatino Linotype" w:hAnsi="Palatino Linotype"/>
          <w:color w:val="000000" w:themeColor="text1"/>
        </w:rPr>
        <w:t>, al igual que el Director General de Administración,</w:t>
      </w:r>
      <w:r w:rsidRPr="00424261">
        <w:rPr>
          <w:rFonts w:ascii="Palatino Linotype" w:hAnsi="Palatino Linotype"/>
          <w:color w:val="000000" w:themeColor="text1"/>
        </w:rPr>
        <w:t xml:space="preserve"> </w:t>
      </w:r>
      <w:r w:rsidR="00B70790" w:rsidRPr="00424261">
        <w:rPr>
          <w:rFonts w:ascii="Palatino Linotype" w:hAnsi="Palatino Linotype"/>
          <w:color w:val="000000" w:themeColor="text1"/>
        </w:rPr>
        <w:t>se remitieron únicamente a señalar que la información solicitada se había reservado a través del acuerdo número 058/CUAUTIZC/CT/CGSPT/2021 del Comité de Transparencia.</w:t>
      </w:r>
    </w:p>
    <w:p w14:paraId="44CB7DEE"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11E2C7F5" w14:textId="115A8DAA"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En consecuencia, toda vez que el </w:t>
      </w:r>
      <w:r w:rsidRPr="00424261">
        <w:rPr>
          <w:rFonts w:ascii="Palatino Linotype" w:hAnsi="Palatino Linotype"/>
          <w:b/>
          <w:color w:val="000000" w:themeColor="text1"/>
        </w:rPr>
        <w:t>SUJETO OBLIGADO</w:t>
      </w:r>
      <w:r w:rsidRPr="00424261">
        <w:rPr>
          <w:rFonts w:ascii="Palatino Linotype" w:hAnsi="Palatino Linotype"/>
          <w:color w:val="000000" w:themeColor="text1"/>
        </w:rPr>
        <w:t xml:space="preserve"> se pronunció respecto de la información solicitada, resultaría conveniente obviar el análisis de competencia </w:t>
      </w:r>
      <w:r w:rsidR="00B70790" w:rsidRPr="00424261">
        <w:rPr>
          <w:rFonts w:ascii="Palatino Linotype" w:hAnsi="Palatino Linotype"/>
          <w:color w:val="000000" w:themeColor="text1"/>
        </w:rPr>
        <w:t>del Ayuntamiento de Cuautitlán Izcalli</w:t>
      </w:r>
      <w:r w:rsidRPr="00424261">
        <w:rPr>
          <w:rFonts w:ascii="Palatino Linotype" w:hAnsi="Palatino Linotype"/>
          <w:color w:val="000000" w:themeColor="text1"/>
        </w:rPr>
        <w:t xml:space="preserve"> para generar, administrar o poseer la misma, dado que éste asumió la competencia mediante su respuesta a la</w:t>
      </w:r>
      <w:r w:rsidR="00B70790" w:rsidRPr="00424261">
        <w:rPr>
          <w:rFonts w:ascii="Palatino Linotype" w:hAnsi="Palatino Linotype"/>
          <w:color w:val="000000" w:themeColor="text1"/>
        </w:rPr>
        <w:t>s</w:t>
      </w:r>
      <w:r w:rsidRPr="00424261">
        <w:rPr>
          <w:rFonts w:ascii="Palatino Linotype" w:hAnsi="Palatino Linotype"/>
          <w:color w:val="000000" w:themeColor="text1"/>
        </w:rPr>
        <w:t xml:space="preserve"> solicitud</w:t>
      </w:r>
      <w:r w:rsidR="00B70790" w:rsidRPr="00424261">
        <w:rPr>
          <w:rFonts w:ascii="Palatino Linotype" w:hAnsi="Palatino Linotype"/>
          <w:color w:val="000000" w:themeColor="text1"/>
        </w:rPr>
        <w:t>es</w:t>
      </w:r>
      <w:r w:rsidRPr="00424261">
        <w:rPr>
          <w:rFonts w:ascii="Palatino Linotype" w:hAnsi="Palatino Linotype"/>
          <w:color w:val="000000" w:themeColor="text1"/>
        </w:rPr>
        <w:t xml:space="preserve"> de información.</w:t>
      </w:r>
    </w:p>
    <w:p w14:paraId="4DAAF77D"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461C1FD0" w14:textId="25FCC962"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o administra el </w:t>
      </w:r>
      <w:r w:rsidRPr="00424261">
        <w:rPr>
          <w:rFonts w:ascii="Palatino Linotype" w:hAnsi="Palatino Linotype"/>
          <w:b/>
          <w:color w:val="000000" w:themeColor="text1"/>
        </w:rPr>
        <w:t>SUJETO OBLIGADO</w:t>
      </w:r>
      <w:r w:rsidRPr="00424261">
        <w:rPr>
          <w:rFonts w:ascii="Palatino Linotype" w:hAnsi="Palatino Linotype"/>
          <w:color w:val="000000" w:themeColor="text1"/>
        </w:rPr>
        <w:t xml:space="preserve">; empero, en aquellos casos en que éste la asume, implica </w:t>
      </w:r>
      <w:r w:rsidRPr="00424261">
        <w:rPr>
          <w:rFonts w:ascii="Palatino Linotype" w:hAnsi="Palatino Linotype"/>
          <w:i/>
          <w:color w:val="000000" w:themeColor="text1"/>
        </w:rPr>
        <w:t>de facto</w:t>
      </w:r>
      <w:r w:rsidRPr="00424261">
        <w:rPr>
          <w:rFonts w:ascii="Palatino Linotype" w:hAnsi="Palatino Linotype"/>
          <w:color w:val="000000" w:themeColor="text1"/>
        </w:rPr>
        <w:t xml:space="preserve"> que la genera, posee o administra. Por consiguiente, a nada práctico nos conduciría su estudio, ya que, se insiste, la información pública solicitada, ha sido asumida por el </w:t>
      </w:r>
      <w:r w:rsidRPr="00424261">
        <w:rPr>
          <w:rFonts w:ascii="Palatino Linotype" w:hAnsi="Palatino Linotype"/>
          <w:b/>
          <w:color w:val="000000" w:themeColor="text1"/>
        </w:rPr>
        <w:t>SUJETO OBLIGADO</w:t>
      </w:r>
      <w:r w:rsidRPr="00424261">
        <w:rPr>
          <w:rFonts w:ascii="Palatino Linotype" w:hAnsi="Palatino Linotype"/>
          <w:color w:val="000000" w:themeColor="text1"/>
        </w:rPr>
        <w:t>.</w:t>
      </w:r>
    </w:p>
    <w:p w14:paraId="32E5630F"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381FB944" w14:textId="24092C3B"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w:t>
      </w:r>
      <w:r w:rsidRPr="00424261">
        <w:rPr>
          <w:rFonts w:ascii="Palatino Linotype" w:hAnsi="Palatino Linotype" w:cs="Arial"/>
        </w:rPr>
        <w:t xml:space="preserve">ese sentido, al existir un pronunciamiento directo por parte del </w:t>
      </w:r>
      <w:r w:rsidRPr="00424261">
        <w:rPr>
          <w:rFonts w:ascii="Palatino Linotype" w:hAnsi="Palatino Linotype" w:cs="Arial"/>
          <w:b/>
        </w:rPr>
        <w:t>SUJETO OBLIGADO</w:t>
      </w:r>
      <w:r w:rsidRPr="00424261">
        <w:rPr>
          <w:rFonts w:ascii="Palatino Linotype" w:hAnsi="Palatino Linotype" w:cs="Arial"/>
        </w:rPr>
        <w:t xml:space="preserve">, a fin de atender la solicitud planteada por el hoy </w:t>
      </w:r>
      <w:r w:rsidRPr="00424261">
        <w:rPr>
          <w:rFonts w:ascii="Palatino Linotype" w:hAnsi="Palatino Linotype" w:cs="Arial"/>
          <w:b/>
        </w:rPr>
        <w:t>RECURRENTE</w:t>
      </w:r>
      <w:r w:rsidRPr="00424261">
        <w:rPr>
          <w:rFonts w:ascii="Palatino Linotype" w:hAnsi="Palatino Linotype" w:cs="Aria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424261">
        <w:rPr>
          <w:rFonts w:ascii="Palatino Linotype" w:hAnsi="Palatino Linotype" w:cs="Arial"/>
          <w:bCs/>
          <w:iCs/>
        </w:rPr>
        <w:t>SAIMEX</w:t>
      </w:r>
      <w:r w:rsidRPr="00424261">
        <w:rPr>
          <w:rFonts w:ascii="Palatino Linotype" w:hAnsi="Palatino Linotype" w:cs="Arial"/>
        </w:rPr>
        <w:t>.</w:t>
      </w:r>
    </w:p>
    <w:p w14:paraId="2515F877"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C839BC4" w14:textId="191350A4"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Sirve </w:t>
      </w:r>
      <w:r w:rsidRPr="00424261">
        <w:rPr>
          <w:rFonts w:ascii="Palatino Linotype" w:hAnsi="Palatino Linotype" w:cs="Arial"/>
        </w:rPr>
        <w:t>de apoyo a lo anterior por analogía, el Criterio 31-10 emitido por el ahora Instituto Nacional de Transparencia, Acceso a la Información y Protección de Datos Personales, que a la letra dice:</w:t>
      </w:r>
    </w:p>
    <w:p w14:paraId="56E9A1AE" w14:textId="77777777" w:rsidR="00B91CB8" w:rsidRPr="00424261" w:rsidRDefault="00B91CB8" w:rsidP="000C6780">
      <w:pPr>
        <w:pStyle w:val="Prrafodelista"/>
        <w:tabs>
          <w:tab w:val="left" w:pos="426"/>
        </w:tabs>
        <w:spacing w:before="240" w:line="360" w:lineRule="auto"/>
        <w:ind w:left="0" w:right="51"/>
        <w:jc w:val="both"/>
        <w:rPr>
          <w:rFonts w:ascii="Palatino Linotype" w:hAnsi="Palatino Linotype"/>
          <w:color w:val="000000" w:themeColor="text1"/>
        </w:rPr>
      </w:pPr>
    </w:p>
    <w:p w14:paraId="37F88500" w14:textId="77777777" w:rsidR="000C6780" w:rsidRPr="00424261" w:rsidRDefault="000C6780" w:rsidP="000C6780">
      <w:pPr>
        <w:pStyle w:val="Default"/>
        <w:spacing w:line="276" w:lineRule="auto"/>
        <w:ind w:left="567" w:right="567"/>
        <w:jc w:val="both"/>
        <w:rPr>
          <w:rFonts w:ascii="Palatino Linotype" w:hAnsi="Palatino Linotype"/>
          <w:sz w:val="22"/>
          <w:szCs w:val="20"/>
        </w:rPr>
      </w:pPr>
      <w:r w:rsidRPr="00424261">
        <w:rPr>
          <w:rFonts w:ascii="Palatino Linotype" w:hAnsi="Palatino Linotype"/>
          <w:b/>
          <w:i/>
          <w:sz w:val="22"/>
          <w:szCs w:val="20"/>
        </w:rPr>
        <w:t>EL INSTITUTO FEDERAL DE ACCESO A LA INFORMACIÓN Y PROTECCIÓN DE DATOS</w:t>
      </w:r>
      <w:r w:rsidRPr="00424261">
        <w:rPr>
          <w:rFonts w:ascii="Palatino Linotype" w:hAnsi="Palatino Linotype"/>
          <w:i/>
          <w:sz w:val="22"/>
          <w:szCs w:val="20"/>
        </w:rPr>
        <w:t xml:space="preserve"> </w:t>
      </w:r>
      <w:r w:rsidRPr="00424261">
        <w:rPr>
          <w:rFonts w:ascii="Palatino Linotype" w:hAnsi="Palatino Linotype"/>
          <w:b/>
          <w:i/>
          <w:sz w:val="22"/>
          <w:szCs w:val="20"/>
        </w:rPr>
        <w:t>NO CUENTA CON FACULTADES PARA PRONUNCIARSE RESPECTO DE LA VERACIDAD DE LOS DOCUMENTOS PROPORCIONADOS POR LOS SUJETOS OBLIGADOS.</w:t>
      </w:r>
      <w:r w:rsidRPr="00424261">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24261">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424261">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24261">
        <w:rPr>
          <w:rFonts w:ascii="Palatino Linotype" w:hAnsi="Palatino Linotype"/>
          <w:i/>
          <w:sz w:val="22"/>
          <w:szCs w:val="20"/>
        </w:rPr>
        <w:br/>
      </w:r>
      <w:r w:rsidRPr="00424261">
        <w:rPr>
          <w:rFonts w:ascii="Palatino Linotype" w:hAnsi="Palatino Linotype"/>
          <w:sz w:val="22"/>
          <w:szCs w:val="20"/>
        </w:rPr>
        <w:t>(Énfasis añadido)</w:t>
      </w:r>
    </w:p>
    <w:p w14:paraId="21E7AB10" w14:textId="77777777" w:rsidR="000C6780" w:rsidRPr="00424261" w:rsidRDefault="000C6780"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069F9830" w14:textId="0126E213"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w:t>
      </w:r>
      <w:r w:rsidRPr="00424261">
        <w:rPr>
          <w:rFonts w:ascii="Palatino Linotype"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5BEC6FBE" w14:textId="77777777" w:rsidR="00B91CB8" w:rsidRPr="00424261" w:rsidRDefault="00B91CB8" w:rsidP="000C6780">
      <w:pPr>
        <w:pStyle w:val="Prrafodelista"/>
        <w:tabs>
          <w:tab w:val="left" w:pos="426"/>
        </w:tabs>
        <w:spacing w:before="240" w:line="360" w:lineRule="auto"/>
        <w:ind w:left="0" w:right="51"/>
        <w:jc w:val="both"/>
        <w:rPr>
          <w:rFonts w:ascii="Palatino Linotype" w:hAnsi="Palatino Linotype"/>
          <w:color w:val="000000" w:themeColor="text1"/>
        </w:rPr>
      </w:pPr>
    </w:p>
    <w:p w14:paraId="7AB412A0" w14:textId="77777777" w:rsidR="000C6780" w:rsidRPr="00424261" w:rsidRDefault="000C6780" w:rsidP="000C6780">
      <w:pPr>
        <w:pStyle w:val="Prrafodelista"/>
        <w:spacing w:line="276" w:lineRule="auto"/>
        <w:ind w:left="567" w:right="567"/>
        <w:jc w:val="both"/>
        <w:rPr>
          <w:rFonts w:ascii="Palatino Linotype" w:hAnsi="Palatino Linotype" w:cs="Arial"/>
          <w:b/>
          <w:i/>
          <w:sz w:val="22"/>
          <w:szCs w:val="22"/>
        </w:rPr>
      </w:pPr>
      <w:r w:rsidRPr="00424261">
        <w:rPr>
          <w:rFonts w:ascii="Palatino Linotype" w:hAnsi="Palatino Linotype" w:cs="Arial"/>
          <w:b/>
          <w:i/>
          <w:sz w:val="22"/>
          <w:szCs w:val="22"/>
        </w:rPr>
        <w:t>Artículo 3.-</w:t>
      </w:r>
      <w:r w:rsidRPr="00424261">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424261">
        <w:rPr>
          <w:rFonts w:ascii="Palatino Linotype" w:hAnsi="Palatino Linotype" w:cs="Arial"/>
          <w:b/>
          <w:i/>
          <w:sz w:val="22"/>
          <w:szCs w:val="22"/>
        </w:rPr>
        <w:t xml:space="preserve">Los Sujetos Obligados deben poner en práctica, políticas y programas de acceso </w:t>
      </w:r>
      <w:r w:rsidRPr="00424261">
        <w:rPr>
          <w:rFonts w:ascii="Palatino Linotype" w:hAnsi="Palatino Linotype" w:cs="Arial"/>
          <w:b/>
          <w:i/>
          <w:sz w:val="22"/>
          <w:szCs w:val="22"/>
        </w:rPr>
        <w:lastRenderedPageBreak/>
        <w:t>a la información que se apeguen a criterios de publicidad, veracidad, oportunidad, precisión y suficiencia en beneficio de los solicitantes.</w:t>
      </w:r>
    </w:p>
    <w:p w14:paraId="693B7E7B" w14:textId="77777777" w:rsidR="000C6780" w:rsidRPr="00424261" w:rsidRDefault="000C6780" w:rsidP="000C6780">
      <w:pPr>
        <w:pStyle w:val="Prrafodelista"/>
        <w:spacing w:line="276" w:lineRule="auto"/>
        <w:ind w:left="567" w:right="567"/>
        <w:jc w:val="both"/>
        <w:rPr>
          <w:rFonts w:ascii="Palatino Linotype" w:hAnsi="Palatino Linotype" w:cs="Arial"/>
          <w:iCs/>
          <w:sz w:val="22"/>
          <w:szCs w:val="22"/>
        </w:rPr>
      </w:pPr>
      <w:r w:rsidRPr="00424261">
        <w:rPr>
          <w:rFonts w:ascii="Palatino Linotype" w:hAnsi="Palatino Linotype" w:cs="Arial"/>
          <w:iCs/>
          <w:sz w:val="22"/>
          <w:szCs w:val="22"/>
        </w:rPr>
        <w:t>(Énfasis añadido)</w:t>
      </w:r>
    </w:p>
    <w:p w14:paraId="79FE9C7E" w14:textId="77777777" w:rsidR="000C6780" w:rsidRPr="00424261" w:rsidRDefault="000C6780"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3C9EF9E" w14:textId="49A07939"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Disposiciones que compelen al </w:t>
      </w:r>
      <w:r w:rsidRPr="00424261">
        <w:rPr>
          <w:rFonts w:ascii="Palatino Linotype" w:hAnsi="Palatino Linotype"/>
          <w:b/>
          <w:color w:val="000000" w:themeColor="text1"/>
        </w:rPr>
        <w:t>SUJETO OBLIGADO</w:t>
      </w:r>
      <w:r w:rsidRPr="00424261">
        <w:rPr>
          <w:rFonts w:ascii="Palatino Linotype" w:hAnsi="Palatino Linotype"/>
          <w:color w:val="000000" w:themeColor="text1"/>
        </w:rPr>
        <w:t xml:space="preserve"> a apegarse en todo momento a los criterios ya expuestos, impidiendo a este Órgano Colegiado cuestionar la veracidad de la información.</w:t>
      </w:r>
    </w:p>
    <w:p w14:paraId="1887BC92"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4BDF3E4B" w14:textId="4172C225"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w:t>
      </w:r>
      <w:r w:rsidRPr="00424261">
        <w:rPr>
          <w:rFonts w:ascii="Palatino Linotype" w:hAnsi="Palatino Linotype"/>
          <w:color w:val="000000" w:themeColor="text1"/>
          <w:lang w:val="es-ES_tradnl"/>
        </w:rPr>
        <w:t xml:space="preserve">otro lado, </w:t>
      </w:r>
      <w:r w:rsidRPr="00424261">
        <w:rPr>
          <w:rFonts w:ascii="Palatino Linotype" w:hAnsi="Palatino Linotype" w:cs="Arial"/>
        </w:rPr>
        <w:t xml:space="preserve">como fuera expuesto en el apartado de </w:t>
      </w:r>
      <w:r w:rsidRPr="00424261">
        <w:rPr>
          <w:rFonts w:ascii="Palatino Linotype" w:hAnsi="Palatino Linotype" w:cs="Arial"/>
          <w:i/>
          <w:iCs/>
        </w:rPr>
        <w:t>Antecedentes</w:t>
      </w:r>
      <w:r w:rsidRPr="00424261">
        <w:rPr>
          <w:rFonts w:ascii="Palatino Linotype" w:hAnsi="Palatino Linotype" w:cs="Arial"/>
        </w:rPr>
        <w:t xml:space="preserve"> del presente escrito, el </w:t>
      </w:r>
      <w:r w:rsidR="00B70790" w:rsidRPr="00424261">
        <w:rPr>
          <w:rFonts w:ascii="Palatino Linotype" w:hAnsi="Palatino Linotype" w:cs="Arial"/>
        </w:rPr>
        <w:t>veintiséis (26) de noviembre</w:t>
      </w:r>
      <w:r w:rsidRPr="00424261">
        <w:rPr>
          <w:rFonts w:ascii="Palatino Linotype" w:hAnsi="Palatino Linotype" w:cs="Arial"/>
        </w:rPr>
        <w:t xml:space="preserve"> de dos mil veintiuno, el particular presentó </w:t>
      </w:r>
      <w:r w:rsidR="00B70790" w:rsidRPr="00424261">
        <w:rPr>
          <w:rFonts w:ascii="Palatino Linotype" w:hAnsi="Palatino Linotype" w:cs="Arial"/>
        </w:rPr>
        <w:t>los</w:t>
      </w:r>
      <w:r w:rsidRPr="00424261">
        <w:rPr>
          <w:rFonts w:ascii="Palatino Linotype" w:hAnsi="Palatino Linotype" w:cs="Arial"/>
        </w:rPr>
        <w:t xml:space="preserve"> recurso</w:t>
      </w:r>
      <w:r w:rsidR="00B70790" w:rsidRPr="00424261">
        <w:rPr>
          <w:rFonts w:ascii="Palatino Linotype" w:hAnsi="Palatino Linotype" w:cs="Arial"/>
        </w:rPr>
        <w:t>s</w:t>
      </w:r>
      <w:r w:rsidRPr="00424261">
        <w:rPr>
          <w:rFonts w:ascii="Palatino Linotype" w:hAnsi="Palatino Linotype" w:cs="Arial"/>
        </w:rPr>
        <w:t xml:space="preserve"> de revisión con número</w:t>
      </w:r>
      <w:r w:rsidR="00B70790" w:rsidRPr="00424261">
        <w:rPr>
          <w:rFonts w:ascii="Palatino Linotype" w:hAnsi="Palatino Linotype" w:cs="Arial"/>
        </w:rPr>
        <w:t>s</w:t>
      </w:r>
      <w:r w:rsidRPr="00424261">
        <w:rPr>
          <w:rFonts w:ascii="Palatino Linotype" w:hAnsi="Palatino Linotype" w:cs="Arial"/>
        </w:rPr>
        <w:t xml:space="preserve"> indicado</w:t>
      </w:r>
      <w:r w:rsidR="00B70790" w:rsidRPr="00424261">
        <w:rPr>
          <w:rFonts w:ascii="Palatino Linotype" w:hAnsi="Palatino Linotype" w:cs="Arial"/>
        </w:rPr>
        <w:t xml:space="preserve">s al rubro, mediante los cuales, impugnó las respuestas proveídas por el </w:t>
      </w:r>
      <w:r w:rsidR="00B70790" w:rsidRPr="00424261">
        <w:rPr>
          <w:rFonts w:ascii="Palatino Linotype" w:hAnsi="Palatino Linotype" w:cs="Arial"/>
          <w:b/>
        </w:rPr>
        <w:t>SUJETO OBLIGADO</w:t>
      </w:r>
      <w:r w:rsidR="00B70790" w:rsidRPr="00424261">
        <w:rPr>
          <w:rFonts w:ascii="Palatino Linotype" w:hAnsi="Palatino Linotype" w:cs="Arial"/>
        </w:rPr>
        <w:t xml:space="preserve"> en razón de los siguientes agravios:</w:t>
      </w:r>
    </w:p>
    <w:p w14:paraId="6A8ED576" w14:textId="3B1D69E0" w:rsidR="00B70790" w:rsidRPr="00424261" w:rsidRDefault="00B70790" w:rsidP="00B7079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rPr>
        <w:t xml:space="preserve">Que el </w:t>
      </w:r>
      <w:r w:rsidRPr="00424261">
        <w:rPr>
          <w:rFonts w:ascii="Palatino Linotype" w:hAnsi="Palatino Linotype" w:cs="Arial"/>
          <w:b/>
        </w:rPr>
        <w:t>SUJETO OBLIGADO</w:t>
      </w:r>
      <w:r w:rsidRPr="00424261">
        <w:rPr>
          <w:rFonts w:ascii="Palatino Linotype" w:hAnsi="Palatino Linotype" w:cs="Arial"/>
        </w:rPr>
        <w:t xml:space="preserve"> no le entregó ninguna información relacionada con los requerimientos relacionados con los policías municipales, el parte de novedades generado del catorce (14) al dieciséis (16) de octubre de dos mil veintiuno, o la situación jurídica de la oficial que sustrajo la esclava de oro del actor; y </w:t>
      </w:r>
    </w:p>
    <w:p w14:paraId="2A59D9C6" w14:textId="62DF6182" w:rsidR="00B91CB8" w:rsidRPr="00424261" w:rsidRDefault="00B70790" w:rsidP="00B7079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rPr>
        <w:t>Que la reserva de la información, así como la prueba de daño, empleadas para limitar el acceso al informe del Comisario General de Seguridad Pública y Tránsito, así como las acciones realizadas por el Presidente Municipal derivadas del incidente, están mal.</w:t>
      </w:r>
    </w:p>
    <w:p w14:paraId="6E7EEE3A" w14:textId="77777777" w:rsidR="00B70790" w:rsidRPr="00424261" w:rsidRDefault="00B70790" w:rsidP="00B70790">
      <w:pPr>
        <w:pStyle w:val="Prrafodelista"/>
        <w:tabs>
          <w:tab w:val="left" w:pos="426"/>
        </w:tabs>
        <w:spacing w:before="240" w:after="240" w:line="360" w:lineRule="auto"/>
        <w:ind w:left="0" w:right="51"/>
        <w:jc w:val="both"/>
        <w:rPr>
          <w:rFonts w:ascii="Palatino Linotype" w:hAnsi="Palatino Linotype"/>
          <w:color w:val="000000" w:themeColor="text1"/>
        </w:rPr>
      </w:pPr>
    </w:p>
    <w:p w14:paraId="51166590" w14:textId="04E46FAF" w:rsidR="00B91CB8" w:rsidRPr="00424261" w:rsidRDefault="000C678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Posteriormente, </w:t>
      </w:r>
      <w:r w:rsidRPr="00424261">
        <w:rPr>
          <w:rFonts w:ascii="Palatino Linotype" w:hAnsi="Palatino Linotype"/>
          <w:color w:val="000000" w:themeColor="text1"/>
          <w:lang w:val="es-ES_tradnl"/>
        </w:rPr>
        <w:t xml:space="preserve">el </w:t>
      </w:r>
      <w:r w:rsidRPr="00424261">
        <w:rPr>
          <w:rFonts w:ascii="Palatino Linotype" w:hAnsi="Palatino Linotype"/>
          <w:b/>
          <w:color w:val="000000" w:themeColor="text1"/>
          <w:lang w:val="es-ES_tradnl"/>
        </w:rPr>
        <w:t>SUJETO OBLIGADO</w:t>
      </w:r>
      <w:r w:rsidRPr="00424261">
        <w:rPr>
          <w:rFonts w:ascii="Palatino Linotype" w:hAnsi="Palatino Linotype"/>
          <w:color w:val="000000" w:themeColor="text1"/>
          <w:lang w:val="es-ES_tradnl"/>
        </w:rPr>
        <w:t xml:space="preserve"> presentó </w:t>
      </w:r>
      <w:r w:rsidR="00853424" w:rsidRPr="00424261">
        <w:rPr>
          <w:rFonts w:ascii="Palatino Linotype" w:hAnsi="Palatino Linotype"/>
          <w:color w:val="000000" w:themeColor="text1"/>
          <w:lang w:val="es-ES_tradnl"/>
        </w:rPr>
        <w:t xml:space="preserve">sus informes justificados mediante los archivos titulados </w:t>
      </w:r>
      <w:r w:rsidR="00853424" w:rsidRPr="00424261">
        <w:rPr>
          <w:rFonts w:ascii="Palatino Linotype" w:hAnsi="Palatino Linotype"/>
          <w:b/>
          <w:i/>
          <w:color w:val="000000" w:themeColor="text1"/>
          <w:lang w:val="es-ES_tradnl"/>
        </w:rPr>
        <w:t>“5918 informe justificado.pdf”</w:t>
      </w:r>
      <w:r w:rsidR="00853424" w:rsidRPr="00424261">
        <w:rPr>
          <w:rFonts w:ascii="Palatino Linotype" w:hAnsi="Palatino Linotype"/>
          <w:color w:val="000000" w:themeColor="text1"/>
          <w:lang w:val="es-ES_tradnl"/>
        </w:rPr>
        <w:t xml:space="preserve"> y </w:t>
      </w:r>
      <w:r w:rsidR="00853424" w:rsidRPr="00424261">
        <w:rPr>
          <w:rFonts w:ascii="Palatino Linotype" w:hAnsi="Palatino Linotype"/>
          <w:b/>
          <w:i/>
          <w:color w:val="000000" w:themeColor="text1"/>
          <w:lang w:val="es-ES_tradnl"/>
        </w:rPr>
        <w:t xml:space="preserve">“5919 informe </w:t>
      </w:r>
      <w:r w:rsidR="00853424" w:rsidRPr="00424261">
        <w:rPr>
          <w:rFonts w:ascii="Palatino Linotype" w:hAnsi="Palatino Linotype"/>
          <w:b/>
          <w:i/>
          <w:color w:val="000000" w:themeColor="text1"/>
          <w:lang w:val="es-ES_tradnl"/>
        </w:rPr>
        <w:lastRenderedPageBreak/>
        <w:t>justificado.pdf”</w:t>
      </w:r>
      <w:r w:rsidR="00853424" w:rsidRPr="00424261">
        <w:rPr>
          <w:rFonts w:ascii="Palatino Linotype" w:hAnsi="Palatino Linotype"/>
          <w:color w:val="000000" w:themeColor="text1"/>
          <w:lang w:val="es-ES_tradnl"/>
        </w:rPr>
        <w:t xml:space="preserve">, dentro de los cuales, se advierten los oficios con números DGSPYT/835/2021 y DGSPYT/836/2021, ambos de nueve (09) de diciembre de dos mil veintiuno, emitidos por el Comisario General de Seguridad Ciudadana, y por los que esencialmente ratifica sus respuestas a las solicitudes </w:t>
      </w:r>
      <w:r w:rsidR="00853424" w:rsidRPr="00424261">
        <w:rPr>
          <w:rFonts w:ascii="Palatino Linotype" w:hAnsi="Palatino Linotype"/>
          <w:b/>
          <w:color w:val="000000" w:themeColor="text1"/>
          <w:lang w:val="es-ES_tradnl"/>
        </w:rPr>
        <w:t xml:space="preserve">00505/CUAUTIZC/IP/2021 </w:t>
      </w:r>
      <w:r w:rsidR="00853424" w:rsidRPr="00424261">
        <w:rPr>
          <w:rFonts w:ascii="Palatino Linotype" w:hAnsi="Palatino Linotype"/>
          <w:color w:val="000000" w:themeColor="text1"/>
          <w:lang w:val="es-ES_tradnl"/>
        </w:rPr>
        <w:t xml:space="preserve">y </w:t>
      </w:r>
      <w:r w:rsidR="00853424" w:rsidRPr="00424261">
        <w:rPr>
          <w:rFonts w:ascii="Palatino Linotype" w:hAnsi="Palatino Linotype"/>
          <w:b/>
          <w:color w:val="000000" w:themeColor="text1"/>
          <w:lang w:val="es-ES_tradnl"/>
        </w:rPr>
        <w:t>00506/CUAUTIZC/IP/2021</w:t>
      </w:r>
      <w:r w:rsidR="00853424" w:rsidRPr="00424261">
        <w:rPr>
          <w:rFonts w:ascii="Palatino Linotype" w:hAnsi="Palatino Linotype"/>
          <w:color w:val="000000" w:themeColor="text1"/>
          <w:lang w:val="es-ES_tradnl"/>
        </w:rPr>
        <w:t>.</w:t>
      </w:r>
    </w:p>
    <w:p w14:paraId="3F4A12F6" w14:textId="77777777" w:rsidR="00853424" w:rsidRPr="00424261" w:rsidRDefault="00853424" w:rsidP="00853424">
      <w:pPr>
        <w:pStyle w:val="Prrafodelista"/>
        <w:tabs>
          <w:tab w:val="left" w:pos="426"/>
        </w:tabs>
        <w:spacing w:before="240" w:after="240" w:line="360" w:lineRule="auto"/>
        <w:ind w:left="0" w:right="51"/>
        <w:jc w:val="both"/>
        <w:rPr>
          <w:rFonts w:ascii="Palatino Linotype" w:hAnsi="Palatino Linotype"/>
          <w:color w:val="000000" w:themeColor="text1"/>
        </w:rPr>
      </w:pPr>
    </w:p>
    <w:p w14:paraId="4A9D490B" w14:textId="4B7C1189" w:rsidR="00853424" w:rsidRPr="00424261" w:rsidRDefault="0092310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lang w:val="es-ES_tradnl"/>
        </w:rPr>
        <w:t xml:space="preserve">Asimismo, inmerso en el archivo denominado </w:t>
      </w:r>
      <w:r w:rsidRPr="00424261">
        <w:rPr>
          <w:rFonts w:ascii="Palatino Linotype" w:hAnsi="Palatino Linotype"/>
          <w:b/>
          <w:i/>
          <w:color w:val="000000" w:themeColor="text1"/>
          <w:lang w:val="es-ES_tradnl"/>
        </w:rPr>
        <w:t xml:space="preserve"> “5918 informe justificado.pdf”</w:t>
      </w:r>
      <w:r w:rsidRPr="00424261">
        <w:rPr>
          <w:rFonts w:ascii="Palatino Linotype" w:hAnsi="Palatino Linotype"/>
          <w:color w:val="000000" w:themeColor="text1"/>
          <w:lang w:val="es-ES_tradnl"/>
        </w:rPr>
        <w:t xml:space="preserve">, se aprecia también el oficio número PM-OP/00501/2021, de diez (10) de diciembre de dos mil veintiuno, emitido por la Jefa de la Oficina de Presidencia, a través del cual, reitera los pronunciamientos vertidos en respuesta a la solicitud de información </w:t>
      </w:r>
      <w:r w:rsidRPr="00424261">
        <w:rPr>
          <w:rFonts w:ascii="Palatino Linotype" w:hAnsi="Palatino Linotype"/>
          <w:b/>
          <w:color w:val="000000" w:themeColor="text1"/>
          <w:lang w:val="es-ES_tradnl"/>
        </w:rPr>
        <w:t>00506/CUAUTIZC/IP/2021</w:t>
      </w:r>
      <w:r w:rsidRPr="00424261">
        <w:rPr>
          <w:rFonts w:ascii="Palatino Linotype" w:hAnsi="Palatino Linotype"/>
          <w:color w:val="000000" w:themeColor="text1"/>
          <w:lang w:val="es-ES_tradnl"/>
        </w:rPr>
        <w:t>, a través del instrumento PM-OP/00460/2021.</w:t>
      </w:r>
    </w:p>
    <w:p w14:paraId="08CD0F9C" w14:textId="77777777" w:rsidR="0092310A" w:rsidRPr="00424261" w:rsidRDefault="0092310A" w:rsidP="0092310A">
      <w:pPr>
        <w:pStyle w:val="Prrafodelista"/>
        <w:tabs>
          <w:tab w:val="left" w:pos="426"/>
        </w:tabs>
        <w:spacing w:before="240" w:after="240" w:line="360" w:lineRule="auto"/>
        <w:ind w:left="0" w:right="51"/>
        <w:jc w:val="both"/>
        <w:rPr>
          <w:rFonts w:ascii="Palatino Linotype" w:hAnsi="Palatino Linotype"/>
          <w:color w:val="000000" w:themeColor="text1"/>
        </w:rPr>
      </w:pPr>
    </w:p>
    <w:p w14:paraId="100CAB47" w14:textId="39424112" w:rsidR="0092310A" w:rsidRPr="00424261" w:rsidRDefault="0092310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lang w:val="es-ES_tradnl"/>
        </w:rPr>
        <w:t xml:space="preserve">Por otro lado, dentro del archivo </w:t>
      </w:r>
      <w:r w:rsidRPr="00424261">
        <w:rPr>
          <w:rFonts w:ascii="Palatino Linotype" w:hAnsi="Palatino Linotype"/>
          <w:b/>
          <w:i/>
          <w:color w:val="000000" w:themeColor="text1"/>
          <w:lang w:val="es-ES_tradnl"/>
        </w:rPr>
        <w:t>“5919 informe justificado.pdf”</w:t>
      </w:r>
      <w:r w:rsidRPr="00424261">
        <w:rPr>
          <w:rFonts w:ascii="Palatino Linotype" w:hAnsi="Palatino Linotype"/>
          <w:color w:val="000000" w:themeColor="text1"/>
          <w:lang w:val="es-ES_tradnl"/>
        </w:rPr>
        <w:t xml:space="preserve">, se advierte el instrumento número DGA/OF/2626/2021, de diez (10) de diciembre de dos mil veintiuno, emitido por el Director General de Administración, a través del cual, </w:t>
      </w:r>
      <w:r w:rsidR="0024437C" w:rsidRPr="00424261">
        <w:rPr>
          <w:rFonts w:ascii="Palatino Linotype" w:hAnsi="Palatino Linotype"/>
          <w:color w:val="000000" w:themeColor="text1"/>
          <w:lang w:val="es-ES_tradnl"/>
        </w:rPr>
        <w:t>profundizó</w:t>
      </w:r>
      <w:r w:rsidRPr="00424261">
        <w:rPr>
          <w:rFonts w:ascii="Palatino Linotype" w:hAnsi="Palatino Linotype"/>
          <w:color w:val="000000" w:themeColor="text1"/>
          <w:lang w:val="es-ES_tradnl"/>
        </w:rPr>
        <w:t xml:space="preserve"> su respuesta inicial en razón de lo siguiente:</w:t>
      </w:r>
    </w:p>
    <w:p w14:paraId="54044543"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5ABAED3" w14:textId="14117078" w:rsidR="0092310A" w:rsidRPr="00424261" w:rsidRDefault="007E6DB5" w:rsidP="0092310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 me permito informar a Usted, primeramente, que la determinación de clasificar la información requerida no fue tomada por esta Dependencia, pues, como se señaló en la respuesta dada en un primer momento, fue a petición del Servidor Público Habilitado de la Comisaría General de Seguridad Pública y Tránsito Municipal quien, posterior al análisis minucioso del tema, fue puesto a consideración del Comité de Transparencia de este Sujeto Obligado (…).</w:t>
      </w:r>
    </w:p>
    <w:p w14:paraId="0CAAEB4C" w14:textId="77777777" w:rsidR="007E6DB5" w:rsidRPr="00424261" w:rsidRDefault="007E6DB5" w:rsidP="0092310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03ADFC5" w14:textId="09E6DAE8" w:rsidR="0024437C" w:rsidRPr="00424261" w:rsidRDefault="007E6DB5" w:rsidP="0024437C">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424261">
        <w:rPr>
          <w:rFonts w:ascii="Palatino Linotype" w:hAnsi="Palatino Linotype"/>
          <w:i/>
          <w:color w:val="000000" w:themeColor="text1"/>
          <w:sz w:val="22"/>
        </w:rPr>
        <w:t xml:space="preserve">Por otro lado, le comento que si bien parte de la información puede ser proporcionada por esta Dependencia, esto con independencia de su clasificación, lo es también que </w:t>
      </w:r>
      <w:r w:rsidRPr="00424261">
        <w:rPr>
          <w:rFonts w:ascii="Palatino Linotype" w:hAnsi="Palatino Linotype"/>
          <w:i/>
          <w:color w:val="000000" w:themeColor="text1"/>
          <w:sz w:val="22"/>
        </w:rPr>
        <w:lastRenderedPageBreak/>
        <w:t xml:space="preserve">corresponde a la Comisaría General de Seguridad Pública y Tránsito Municipal, la organización, estrategia, turnos, roles y demás actividades propias de sus funciones y atribuciones, pues en términos del artículo 123 apartado B fracción XIII de la Constitución Política de los Estados Unidos Mexicanos; 16 de la Ley del Trabajo de los Servidores Públicos del Estado y Municipios, “los integrantes de los cuerpos de seguridad pública y de tránsito estatales y municipales, se regirán en el desarrollo de sus actividades por sus propios ordenamientos”, por lo que la relación del personal de cada turno, así como demás información requerida corresponde a información </w:t>
      </w:r>
      <w:r w:rsidR="0024437C" w:rsidRPr="00424261">
        <w:rPr>
          <w:rFonts w:ascii="Palatino Linotype" w:hAnsi="Palatino Linotype"/>
          <w:i/>
          <w:color w:val="000000" w:themeColor="text1"/>
          <w:sz w:val="22"/>
        </w:rPr>
        <w:t xml:space="preserve">que Genera, Administra y Resguarda la Comisaría en ejercicio de sus facultades y atribuciones, por ende esta Dirección General no cuenta con los elementos necesarios para conocer a detalle del tema.” </w:t>
      </w:r>
      <w:r w:rsidR="0024437C" w:rsidRPr="00424261">
        <w:rPr>
          <w:rFonts w:ascii="Palatino Linotype" w:hAnsi="Palatino Linotype"/>
          <w:color w:val="000000" w:themeColor="text1"/>
          <w:sz w:val="22"/>
        </w:rPr>
        <w:t>(Sic)</w:t>
      </w:r>
    </w:p>
    <w:p w14:paraId="365EACD8" w14:textId="77777777" w:rsidR="0092310A" w:rsidRPr="00424261" w:rsidRDefault="0092310A"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2F2895E8" w14:textId="0F24556F" w:rsidR="00B91CB8" w:rsidRPr="00424261" w:rsidRDefault="0024437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Derivado de lo anterior</w:t>
      </w:r>
      <w:r w:rsidR="000C6780" w:rsidRPr="00424261">
        <w:rPr>
          <w:rFonts w:ascii="Palatino Linotype" w:hAnsi="Palatino Linotype"/>
          <w:color w:val="000000" w:themeColor="text1"/>
        </w:rPr>
        <w:t>, se procede a analizar la legalidad de la clasificación de la información en relación con el</w:t>
      </w:r>
      <w:r w:rsidR="007D299B" w:rsidRPr="00424261">
        <w:rPr>
          <w:rFonts w:ascii="Palatino Linotype" w:hAnsi="Palatino Linotype"/>
          <w:color w:val="000000" w:themeColor="text1"/>
        </w:rPr>
        <w:t xml:space="preserve"> Acuerdo de Clasificación emitido por el Comité de Transparencia, número 058/CUAUTIZC/CT/CGSPYT/2021, de veinticinco (25) de noviembre de dos mil veintiuno.</w:t>
      </w:r>
    </w:p>
    <w:p w14:paraId="42E20E5B"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7FEE4389" w14:textId="75ED9B84" w:rsidR="007D299B" w:rsidRPr="00424261" w:rsidRDefault="007D299B" w:rsidP="007D299B">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40" w:name="_Toc101963391"/>
      <w:r w:rsidRPr="00424261">
        <w:rPr>
          <w:rFonts w:ascii="Palatino Linotype" w:hAnsi="Palatino Linotype"/>
          <w:b/>
          <w:color w:val="000000" w:themeColor="text1"/>
        </w:rPr>
        <w:t>III. De la clasificación de la información.</w:t>
      </w:r>
      <w:bookmarkEnd w:id="40"/>
    </w:p>
    <w:p w14:paraId="72A1D228" w14:textId="77777777" w:rsidR="007D299B" w:rsidRPr="00424261" w:rsidRDefault="007D299B"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70778EB" w14:textId="727AF586"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54D8BED"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CC7CB88" w14:textId="69DCC4E9"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Para </w:t>
      </w:r>
      <w:r w:rsidRPr="00424261">
        <w:rPr>
          <w:rFonts w:ascii="Palatino Linotype" w:hAnsi="Palatino Linotype" w:cs="Arial"/>
        </w:rPr>
        <w:t xml:space="preserve">atender las solicitudes de información, los Sujetos Obligados contarán con un área denominada </w:t>
      </w:r>
      <w:r w:rsidRPr="00424261">
        <w:rPr>
          <w:rFonts w:ascii="Palatino Linotype" w:hAnsi="Palatino Linotype" w:cs="Arial"/>
          <w:b/>
          <w:bCs/>
        </w:rPr>
        <w:t>Unidad de Transparencia</w:t>
      </w:r>
      <w:r w:rsidRPr="00424261">
        <w:rPr>
          <w:rFonts w:ascii="Palatino Linotype" w:hAnsi="Palatino Linotype" w:cs="Arial"/>
          <w:vertAlign w:val="superscript"/>
        </w:rPr>
        <w:footnoteReference w:id="6"/>
      </w:r>
      <w:r w:rsidRPr="00424261">
        <w:rPr>
          <w:rFonts w:ascii="Palatino Linotype" w:hAnsi="Palatino Linotype" w:cs="Arial"/>
        </w:rPr>
        <w:t xml:space="preserve">, la cual será presidida por un Titular, quien fungirá como enlace entre éstos y los solicitantes. Dicha Unidad </w:t>
      </w:r>
      <w:r w:rsidRPr="00424261">
        <w:rPr>
          <w:rFonts w:ascii="Palatino Linotype" w:hAnsi="Palatino Linotype" w:cs="Arial"/>
          <w:b/>
          <w:bCs/>
        </w:rPr>
        <w:t>será la encargada de tramitar internamente la solicitud de información</w:t>
      </w:r>
      <w:r w:rsidRPr="00424261">
        <w:rPr>
          <w:rFonts w:ascii="Palatino Linotype" w:hAnsi="Palatino Linotype" w:cs="Arial"/>
        </w:rPr>
        <w:t xml:space="preserve"> y tendrá la responsabilidad de verificar en cada caso que la misma no sea confidencial o reservada. Asimismo, contará con las facultades internas necesarias para </w:t>
      </w:r>
      <w:r w:rsidRPr="00424261">
        <w:rPr>
          <w:rFonts w:ascii="Palatino Linotype" w:hAnsi="Palatino Linotype" w:cs="Arial"/>
          <w:b/>
          <w:bCs/>
        </w:rPr>
        <w:t xml:space="preserve">gestionar la atención a las solicitudes de información </w:t>
      </w:r>
      <w:r w:rsidRPr="00424261">
        <w:rPr>
          <w:rFonts w:ascii="Palatino Linotype" w:hAnsi="Palatino Linotype" w:cs="Arial"/>
        </w:rPr>
        <w:t>en los términos de la Ley General y la Ley de Transparencia y Acceso a la Información Pública del Estado de México y Municipios</w:t>
      </w:r>
      <w:r w:rsidRPr="00424261">
        <w:rPr>
          <w:rFonts w:ascii="Palatino Linotype" w:hAnsi="Palatino Linotype" w:cs="Arial"/>
          <w:vertAlign w:val="superscript"/>
        </w:rPr>
        <w:footnoteReference w:id="7"/>
      </w:r>
      <w:r w:rsidRPr="00424261">
        <w:rPr>
          <w:rFonts w:ascii="Palatino Linotype" w:hAnsi="Palatino Linotype" w:cs="Arial"/>
        </w:rPr>
        <w:t>.</w:t>
      </w:r>
    </w:p>
    <w:p w14:paraId="3AFDFF41"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0B7A4DD0" w14:textId="695FA2F0"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 </w:t>
      </w:r>
      <w:r w:rsidRPr="00424261">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516AAB8" w14:textId="77777777"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24261">
        <w:rPr>
          <w:rFonts w:ascii="Palatino Linotype" w:hAnsi="Palatino Linotype" w:cs="Arial"/>
          <w:color w:val="000000" w:themeColor="text1"/>
        </w:rPr>
        <w:t>Recibir, tramitar y dar respuesta a las solicitudes de acceso a la información;</w:t>
      </w:r>
    </w:p>
    <w:p w14:paraId="61A035CD" w14:textId="77777777"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24261">
        <w:rPr>
          <w:rFonts w:ascii="Palatino Linotype" w:hAnsi="Palatino Linotype" w:cs="Arial"/>
          <w:color w:val="000000" w:themeColor="text1"/>
        </w:rPr>
        <w:t xml:space="preserve">Realizar, con efectividad, los trámites internos necesarios para la atención de las solicitudes de acceso a la información; </w:t>
      </w:r>
    </w:p>
    <w:p w14:paraId="5A3CD4F5" w14:textId="77777777"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24261">
        <w:rPr>
          <w:rFonts w:ascii="Palatino Linotype" w:hAnsi="Palatino Linotype" w:cs="Arial"/>
          <w:color w:val="000000" w:themeColor="text1"/>
        </w:rPr>
        <w:t xml:space="preserve">Entregar, en su caso, a los particulares la información solicitada; y </w:t>
      </w:r>
    </w:p>
    <w:p w14:paraId="14FABE23" w14:textId="6AC2B2E3"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3D3639B4"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56A2E3A" w14:textId="2464CCF6"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Otros </w:t>
      </w:r>
      <w:r w:rsidRPr="00424261">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424261">
        <w:rPr>
          <w:rStyle w:val="Refdenotaalpie"/>
          <w:rFonts w:ascii="Palatino Linotype" w:hAnsi="Palatino Linotype" w:cs="Arial"/>
          <w:color w:val="000000" w:themeColor="text1"/>
        </w:rPr>
        <w:footnoteReference w:id="8"/>
      </w:r>
      <w:r w:rsidRPr="00424261">
        <w:rPr>
          <w:rFonts w:ascii="Palatino Linotype" w:hAnsi="Palatino Linotype" w:cs="Arial"/>
          <w:color w:val="000000" w:themeColor="text1"/>
        </w:rPr>
        <w:t xml:space="preserve"> y tendrán, entre sus atribuciones, las siguientes</w:t>
      </w:r>
      <w:r w:rsidRPr="00424261">
        <w:rPr>
          <w:rStyle w:val="Refdenotaalpie"/>
          <w:rFonts w:ascii="Palatino Linotype" w:hAnsi="Palatino Linotype" w:cs="Arial"/>
          <w:color w:val="000000" w:themeColor="text1"/>
        </w:rPr>
        <w:footnoteReference w:id="9"/>
      </w:r>
      <w:r w:rsidRPr="00424261">
        <w:rPr>
          <w:rFonts w:ascii="Palatino Linotype" w:hAnsi="Palatino Linotype" w:cs="Arial"/>
          <w:color w:val="000000" w:themeColor="text1"/>
        </w:rPr>
        <w:t>:</w:t>
      </w:r>
    </w:p>
    <w:p w14:paraId="30AB57FB" w14:textId="77777777"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424261">
        <w:rPr>
          <w:rFonts w:ascii="Palatino Linotype" w:hAnsi="Palatino Linotype" w:cs="Arial"/>
          <w:color w:val="000000" w:themeColor="text1"/>
        </w:rPr>
        <w:t>Localizar la información que le solicite la Unidad de Transparencia; y</w:t>
      </w:r>
    </w:p>
    <w:p w14:paraId="6CCAD659" w14:textId="385AF613"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s="Arial"/>
          <w:color w:val="000000" w:themeColor="text1"/>
        </w:rPr>
        <w:t>Proporcionar la información que obre en los archivos y que le sea solicitada por la Unidad de Transparencia.</w:t>
      </w:r>
    </w:p>
    <w:p w14:paraId="6450871B"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1CABBC23" w14:textId="07E886DA"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 </w:t>
      </w:r>
      <w:r w:rsidRPr="00424261">
        <w:rPr>
          <w:rFonts w:ascii="Palatino Linotype" w:hAnsi="Palatino Linotype" w:cs="Arial"/>
          <w:color w:val="000000" w:themeColor="text1"/>
        </w:rPr>
        <w:t xml:space="preserve">tal manera que cada una de las áreas administrativas del </w:t>
      </w:r>
      <w:r w:rsidRPr="00424261">
        <w:rPr>
          <w:rFonts w:ascii="Palatino Linotype" w:hAnsi="Palatino Linotype" w:cs="Arial"/>
          <w:b/>
          <w:bCs/>
          <w:color w:val="000000" w:themeColor="text1"/>
        </w:rPr>
        <w:t>SUJETO OBLIGADO</w:t>
      </w:r>
      <w:r w:rsidRPr="00424261">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05BF30D"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002FA96C" w14:textId="20CC1523"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Ahora </w:t>
      </w:r>
      <w:r w:rsidRPr="00424261">
        <w:rPr>
          <w:rFonts w:ascii="Palatino Linotype" w:hAnsi="Palatino Linotype"/>
          <w:color w:val="000000" w:themeColor="text1"/>
          <w:lang w:val="es-ES_tradnl"/>
        </w:rPr>
        <w:t xml:space="preserve">bien, el artículo 122 de la Ley de Transparencia y Acceso a la Información Pública del Estado de México y Municipios, </w:t>
      </w:r>
      <w:r w:rsidRPr="00424261">
        <w:rPr>
          <w:rFonts w:ascii="Palatino Linotype" w:hAnsi="Palatino Linotype"/>
          <w:color w:val="000000" w:themeColor="text1"/>
        </w:rPr>
        <w:t xml:space="preserve">establece que la </w:t>
      </w:r>
      <w:r w:rsidRPr="00424261">
        <w:rPr>
          <w:rFonts w:ascii="Palatino Linotype" w:hAnsi="Palatino Linotype"/>
          <w:b/>
          <w:color w:val="000000" w:themeColor="text1"/>
        </w:rPr>
        <w:t>clasificación</w:t>
      </w:r>
      <w:r w:rsidRPr="00424261">
        <w:rPr>
          <w:rFonts w:ascii="Palatino Linotype" w:hAnsi="Palatino Linotype"/>
          <w:color w:val="000000" w:themeColor="text1"/>
        </w:rPr>
        <w:t xml:space="preserve"> es el proceso mediante el cual el </w:t>
      </w:r>
      <w:r w:rsidRPr="00424261">
        <w:rPr>
          <w:rFonts w:ascii="Palatino Linotype" w:hAnsi="Palatino Linotype"/>
          <w:b/>
          <w:color w:val="000000" w:themeColor="text1"/>
        </w:rPr>
        <w:t>SUJETO OBLIGADO</w:t>
      </w:r>
      <w:r w:rsidRPr="00424261">
        <w:rPr>
          <w:rFonts w:ascii="Palatino Linotype" w:hAnsi="Palatino Linotype"/>
          <w:color w:val="000000" w:themeColor="text1"/>
        </w:rPr>
        <w:t xml:space="preserve"> determina que la información en su poder actualiza alguno de los supuestos de reserva o confidencialidad contenidos en los artículos 140 o 143 de la Ley de mérito.</w:t>
      </w:r>
    </w:p>
    <w:p w14:paraId="6287DDD6"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C3AD5FD" w14:textId="411C854E"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Aunado </w:t>
      </w:r>
      <w:r w:rsidRPr="00424261">
        <w:rPr>
          <w:rFonts w:ascii="Palatino Linotype" w:hAnsi="Palatino Linotype"/>
          <w:color w:val="000000" w:themeColor="text1"/>
          <w:lang w:val="es-ES_tradnl"/>
        </w:rPr>
        <w:t xml:space="preserve">a lo anterior, </w:t>
      </w:r>
      <w:r w:rsidRPr="00424261">
        <w:rPr>
          <w:rFonts w:ascii="Palatino Linotype" w:hAnsi="Palatino Linotype"/>
          <w:color w:val="000000" w:themeColor="text1"/>
        </w:rPr>
        <w:t>la Ley de la materia establece que la clasificación de la información se llevará a cabo en el momento en que</w:t>
      </w:r>
      <w:r w:rsidRPr="00424261">
        <w:rPr>
          <w:rStyle w:val="Refdenotaalpie"/>
          <w:rFonts w:ascii="Palatino Linotype" w:hAnsi="Palatino Linotype"/>
          <w:color w:val="000000" w:themeColor="text1"/>
        </w:rPr>
        <w:footnoteReference w:id="10"/>
      </w:r>
      <w:r w:rsidRPr="00424261">
        <w:rPr>
          <w:rFonts w:ascii="Palatino Linotype" w:hAnsi="Palatino Linotype"/>
          <w:color w:val="000000" w:themeColor="text1"/>
        </w:rPr>
        <w:t>:</w:t>
      </w:r>
    </w:p>
    <w:p w14:paraId="3363C534" w14:textId="77777777" w:rsidR="007D299B" w:rsidRPr="00424261" w:rsidRDefault="007D299B" w:rsidP="007D299B">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Se reciba una solicitud de acceso a la información; </w:t>
      </w:r>
    </w:p>
    <w:p w14:paraId="15913881" w14:textId="77777777" w:rsidR="007D299B" w:rsidRPr="00424261" w:rsidRDefault="007D299B" w:rsidP="007D299B">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Se determine mediante resolución de autoridad competente; o </w:t>
      </w:r>
    </w:p>
    <w:p w14:paraId="7E0116AF" w14:textId="7F3173D1" w:rsidR="007D299B" w:rsidRPr="00424261" w:rsidRDefault="007D299B" w:rsidP="007D299B">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Se generen versiones públicas para dar cumplimiento a las obligaciones de transparencia previstas en esta Ley.</w:t>
      </w:r>
    </w:p>
    <w:p w14:paraId="115649B7"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8E2B289" w14:textId="2C99B1D6"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su parte, el tercer párrafo del artículo 122 de la Ley de mérito establece que </w:t>
      </w:r>
      <w:r w:rsidRPr="00424261">
        <w:rPr>
          <w:rFonts w:ascii="Palatino Linotype" w:hAnsi="Palatino Linotype"/>
          <w:b/>
          <w:color w:val="000000" w:themeColor="text1"/>
        </w:rPr>
        <w:t>los titulares de las áreas de los sujetos obligados serán los responsables de clasificar la información</w:t>
      </w:r>
      <w:r w:rsidRPr="00424261">
        <w:rPr>
          <w:rFonts w:ascii="Palatino Linotype" w:hAnsi="Palatino Linotype"/>
          <w:color w:val="000000" w:themeColor="text1"/>
        </w:rPr>
        <w:t>.</w:t>
      </w:r>
    </w:p>
    <w:p w14:paraId="3656B3B8"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4FBBD89" w14:textId="597F232E"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ese tenor, conviene señalar que </w:t>
      </w:r>
      <w:r w:rsidRPr="00424261">
        <w:rPr>
          <w:rFonts w:ascii="Palatino Linotype" w:hAnsi="Palatino Linotype"/>
          <w:b/>
          <w:color w:val="000000" w:themeColor="text1"/>
        </w:rPr>
        <w:t>en los casos en que se niegue el acceso a la información, por actualizarse alguno de los supuestos de clasificación</w:t>
      </w:r>
      <w:r w:rsidRPr="00424261">
        <w:rPr>
          <w:rFonts w:ascii="Palatino Linotype" w:hAnsi="Palatino Linotype"/>
          <w:color w:val="000000" w:themeColor="text1"/>
        </w:rPr>
        <w:t xml:space="preserve">, </w:t>
      </w:r>
      <w:r w:rsidRPr="00424261">
        <w:rPr>
          <w:rFonts w:ascii="Palatino Linotype" w:hAnsi="Palatino Linotype"/>
          <w:b/>
          <w:color w:val="000000" w:themeColor="text1"/>
        </w:rPr>
        <w:t>el Comité de Transparencia deberá confirmar, modificar o revocar la decisión</w:t>
      </w:r>
      <w:r w:rsidRPr="00424261">
        <w:rPr>
          <w:rFonts w:ascii="Palatino Linotype" w:hAnsi="Palatino Linotype"/>
          <w:color w:val="000000" w:themeColor="text1"/>
        </w:rPr>
        <w:t xml:space="preserve">;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424261">
        <w:rPr>
          <w:rFonts w:ascii="Palatino Linotype" w:hAnsi="Palatino Linotype"/>
          <w:b/>
          <w:color w:val="000000" w:themeColor="text1"/>
        </w:rPr>
        <w:t>prueba de daño</w:t>
      </w:r>
      <w:r w:rsidRPr="00424261">
        <w:rPr>
          <w:rStyle w:val="Refdenotaalpie"/>
          <w:rFonts w:ascii="Palatino Linotype" w:hAnsi="Palatino Linotype"/>
          <w:b/>
          <w:color w:val="000000" w:themeColor="text1"/>
        </w:rPr>
        <w:footnoteReference w:id="11"/>
      </w:r>
      <w:r w:rsidRPr="00424261">
        <w:rPr>
          <w:rFonts w:ascii="Palatino Linotype" w:hAnsi="Palatino Linotype"/>
          <w:color w:val="000000" w:themeColor="text1"/>
        </w:rPr>
        <w:t>.</w:t>
      </w:r>
    </w:p>
    <w:p w14:paraId="37396333"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F88F533" w14:textId="6CBBAAC9"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Cabe destacar que, en la aplicación de la prueba de daño, el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deberá precisar las razones objetivas por las que la apertura de la información generaría una afectación, justificando que</w:t>
      </w:r>
      <w:r w:rsidRPr="00424261">
        <w:rPr>
          <w:rStyle w:val="Refdenotaalpie"/>
          <w:rFonts w:ascii="Palatino Linotype" w:hAnsi="Palatino Linotype"/>
          <w:color w:val="000000" w:themeColor="text1"/>
        </w:rPr>
        <w:footnoteReference w:id="12"/>
      </w:r>
      <w:r w:rsidRPr="00424261">
        <w:rPr>
          <w:rFonts w:ascii="Palatino Linotype" w:hAnsi="Palatino Linotype"/>
          <w:color w:val="000000" w:themeColor="text1"/>
        </w:rPr>
        <w:t>:</w:t>
      </w:r>
    </w:p>
    <w:p w14:paraId="4178CC34" w14:textId="77777777"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La divulgación de la información representa un riesgo real, demostrable e identificable del perjuicio significativo al interés público o a la seguridad pública; </w:t>
      </w:r>
    </w:p>
    <w:p w14:paraId="523EC753" w14:textId="77777777"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El riesgo de perjuicio que supondría la divulgación supera el interés público general de que se difunda; y </w:t>
      </w:r>
    </w:p>
    <w:p w14:paraId="216DC274" w14:textId="4D718C39" w:rsidR="007D299B" w:rsidRPr="00424261" w:rsidRDefault="007D299B" w:rsidP="007D299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La limitación se adecua al principio de proporcionalidad y representa el medio menos restrictivo disponible representa el medio menos restrictivo disponible para evitar el perjuicio.</w:t>
      </w:r>
    </w:p>
    <w:p w14:paraId="2F9F6EB3"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0E21BD16" w14:textId="594502F5"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su parte</w:t>
      </w:r>
      <w:r w:rsidRPr="00424261">
        <w:rPr>
          <w:rFonts w:ascii="Palatino Linotype" w:eastAsia="MS Mincho" w:hAnsi="Palatino Linotype"/>
        </w:rPr>
        <w:t xml:space="preserve">, el Lineamiento Trigésimo Tercero, fracción V, de los Lineamientos Generales en Materia de Clasificación y Desclasificación de la Información, así como para la Elaboración de Versiones Públicas, precisa que para motivar la clasificación también se deben acreditar las circunstancias de </w:t>
      </w:r>
      <w:r w:rsidRPr="00424261">
        <w:rPr>
          <w:rFonts w:ascii="Palatino Linotype" w:eastAsia="MS Mincho" w:hAnsi="Palatino Linotype"/>
          <w:b/>
        </w:rPr>
        <w:t>tiempo</w:t>
      </w:r>
      <w:r w:rsidRPr="00424261">
        <w:rPr>
          <w:rFonts w:ascii="Palatino Linotype" w:eastAsia="MS Mincho" w:hAnsi="Palatino Linotype"/>
        </w:rPr>
        <w:t xml:space="preserve">, </w:t>
      </w:r>
      <w:r w:rsidRPr="00424261">
        <w:rPr>
          <w:rFonts w:ascii="Palatino Linotype" w:eastAsia="MS Mincho" w:hAnsi="Palatino Linotype"/>
          <w:b/>
        </w:rPr>
        <w:t>modo</w:t>
      </w:r>
      <w:r w:rsidRPr="00424261">
        <w:rPr>
          <w:rFonts w:ascii="Palatino Linotype" w:eastAsia="MS Mincho" w:hAnsi="Palatino Linotype"/>
        </w:rPr>
        <w:t xml:space="preserve"> y </w:t>
      </w:r>
      <w:r w:rsidRPr="00424261">
        <w:rPr>
          <w:rFonts w:ascii="Palatino Linotype" w:eastAsia="MS Mincho" w:hAnsi="Palatino Linotype"/>
          <w:b/>
        </w:rPr>
        <w:t>lugar</w:t>
      </w:r>
      <w:r w:rsidRPr="00424261">
        <w:rPr>
          <w:rFonts w:ascii="Palatino Linotype" w:eastAsia="MS Mincho" w:hAnsi="Palatino Linotype"/>
        </w:rPr>
        <w:t>.</w:t>
      </w:r>
    </w:p>
    <w:p w14:paraId="12669455"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67E04FAD" w14:textId="56696AF2"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Consecuencia 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w:t>
      </w:r>
      <w:r w:rsidRPr="00424261">
        <w:rPr>
          <w:rFonts w:ascii="Palatino Linotype" w:hAnsi="Palatino Linotype"/>
          <w:color w:val="000000" w:themeColor="text1"/>
        </w:rPr>
        <w:lastRenderedPageBreak/>
        <w:t>Información Pública del Estado de México y Municipios, como información clasificada</w:t>
      </w:r>
      <w:r w:rsidRPr="00424261">
        <w:rPr>
          <w:rStyle w:val="Refdenotaalpie"/>
          <w:rFonts w:ascii="Palatino Linotype" w:hAnsi="Palatino Linotype"/>
          <w:color w:val="000000" w:themeColor="text1"/>
        </w:rPr>
        <w:footnoteReference w:id="13"/>
      </w:r>
      <w:r w:rsidRPr="00424261">
        <w:rPr>
          <w:rFonts w:ascii="Palatino Linotype" w:hAnsi="Palatino Linotype"/>
          <w:color w:val="000000" w:themeColor="text1"/>
        </w:rPr>
        <w:t>.</w:t>
      </w:r>
    </w:p>
    <w:p w14:paraId="0455496A"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18B67390" w14:textId="711A9CC1"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Al respecto, las </w:t>
      </w:r>
      <w:r w:rsidRPr="00424261">
        <w:rPr>
          <w:rFonts w:ascii="Palatino Linotype" w:eastAsia="MS Mincho" w:hAnsi="Palatino Linotype"/>
        </w:rPr>
        <w:t>disposiciones constitucionales y legales en la materia establecen los dos supuestos generales para clasificar la información: por reserva y por confidencialidad.</w:t>
      </w:r>
    </w:p>
    <w:p w14:paraId="56EE1464"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2442D400" w14:textId="61B16C08"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w:t>
      </w:r>
      <w:r w:rsidRPr="00424261">
        <w:rPr>
          <w:rFonts w:ascii="Palatino Linotype" w:hAnsi="Palatino Linotype"/>
          <w:color w:val="000000" w:themeColor="text1"/>
          <w:lang w:val="es-ES_tradnl"/>
        </w:rPr>
        <w:t xml:space="preserve">cuanto hace a la reserva de la información, el </w:t>
      </w:r>
      <w:r w:rsidRPr="00424261">
        <w:rPr>
          <w:rFonts w:ascii="Palatino Linotype" w:hAnsi="Palatino Linotype"/>
          <w:color w:val="000000" w:themeColor="text1"/>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424261">
        <w:rPr>
          <w:rFonts w:ascii="Palatino Linotype" w:hAnsi="Palatino Linotype"/>
          <w:b/>
          <w:color w:val="000000" w:themeColor="text1"/>
        </w:rPr>
        <w:t>reservada</w:t>
      </w:r>
      <w:r w:rsidRPr="00424261">
        <w:rPr>
          <w:rFonts w:ascii="Palatino Linotype" w:hAnsi="Palatino Linotype"/>
          <w:color w:val="000000" w:themeColor="text1"/>
        </w:rPr>
        <w:t>, conforme a los criterios siguientes:</w:t>
      </w:r>
    </w:p>
    <w:p w14:paraId="0691129A" w14:textId="77777777" w:rsidR="00B91CB8" w:rsidRPr="00424261" w:rsidRDefault="00B91CB8" w:rsidP="007D299B">
      <w:pPr>
        <w:pStyle w:val="Prrafodelista"/>
        <w:tabs>
          <w:tab w:val="left" w:pos="426"/>
        </w:tabs>
        <w:spacing w:before="240" w:line="360" w:lineRule="auto"/>
        <w:ind w:left="0" w:right="51"/>
        <w:jc w:val="both"/>
        <w:rPr>
          <w:rFonts w:ascii="Palatino Linotype" w:hAnsi="Palatino Linotype"/>
          <w:color w:val="000000" w:themeColor="text1"/>
        </w:rPr>
      </w:pPr>
    </w:p>
    <w:p w14:paraId="6A6591A8"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i/>
          <w:sz w:val="22"/>
        </w:rPr>
        <w:t>“</w:t>
      </w:r>
      <w:r w:rsidRPr="00424261">
        <w:rPr>
          <w:rFonts w:ascii="Palatino Linotype" w:hAnsi="Palatino Linotype"/>
          <w:b/>
          <w:i/>
          <w:sz w:val="22"/>
        </w:rPr>
        <w:t>I.</w:t>
      </w:r>
      <w:r w:rsidRPr="00424261">
        <w:rPr>
          <w:rFonts w:ascii="Palatino Linotype" w:hAnsi="Palatino Linotype"/>
          <w:i/>
          <w:sz w:val="22"/>
        </w:rPr>
        <w:t xml:space="preserve"> Comprometa la seguridad pública y cuente con un propósito genuino y un efecto demostrable; </w:t>
      </w:r>
    </w:p>
    <w:p w14:paraId="5591D7D6"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II.</w:t>
      </w:r>
      <w:r w:rsidRPr="00424261">
        <w:rPr>
          <w:rFonts w:ascii="Palatino Linotype" w:hAnsi="Palatino Linotype"/>
          <w:i/>
          <w:sz w:val="22"/>
        </w:rPr>
        <w:t xml:space="preserve"> Pueda menoscabar la conducción de las negociaciones y relaciones internacionales; </w:t>
      </w:r>
    </w:p>
    <w:p w14:paraId="5712059B"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III.</w:t>
      </w:r>
      <w:r w:rsidRPr="00424261">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96DF57B"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IV.</w:t>
      </w:r>
      <w:r w:rsidRPr="00424261">
        <w:rPr>
          <w:rFonts w:ascii="Palatino Linotype" w:hAnsi="Palatino Linotype"/>
          <w:i/>
          <w:sz w:val="22"/>
        </w:rPr>
        <w:t xml:space="preserve"> Ponga en riesgo la vida, la seguridad o la salud de una persona física; </w:t>
      </w:r>
    </w:p>
    <w:p w14:paraId="3A6F5849"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V.</w:t>
      </w:r>
      <w:r w:rsidRPr="00424261">
        <w:rPr>
          <w:rFonts w:ascii="Palatino Linotype" w:hAnsi="Palatino Linotype"/>
          <w:i/>
          <w:sz w:val="22"/>
        </w:rPr>
        <w:t xml:space="preserve"> Aquella cuya divulgación obstruya o pueda causar un serio perjuicio a: </w:t>
      </w:r>
    </w:p>
    <w:p w14:paraId="5C9AB1DF" w14:textId="77777777" w:rsidR="007D299B" w:rsidRPr="00424261" w:rsidRDefault="007D299B" w:rsidP="007D299B">
      <w:pPr>
        <w:pStyle w:val="Prrafodelista"/>
        <w:tabs>
          <w:tab w:val="left" w:pos="426"/>
        </w:tabs>
        <w:spacing w:line="276" w:lineRule="auto"/>
        <w:ind w:left="851" w:right="567"/>
        <w:jc w:val="both"/>
        <w:rPr>
          <w:rFonts w:ascii="Palatino Linotype" w:hAnsi="Palatino Linotype"/>
          <w:i/>
          <w:sz w:val="22"/>
        </w:rPr>
      </w:pPr>
      <w:r w:rsidRPr="00424261">
        <w:rPr>
          <w:rFonts w:ascii="Palatino Linotype" w:hAnsi="Palatino Linotype"/>
          <w:b/>
          <w:i/>
          <w:sz w:val="22"/>
        </w:rPr>
        <w:t>1.</w:t>
      </w:r>
      <w:r w:rsidRPr="00424261">
        <w:rPr>
          <w:rFonts w:ascii="Palatino Linotype" w:hAnsi="Palatino Linotype"/>
          <w:i/>
          <w:sz w:val="22"/>
        </w:rPr>
        <w:t xml:space="preserve"> Las actividades de fiscalización, verificación, inspección, comprobación y auditoría sobre el cumplimiento de las Leyes; o </w:t>
      </w:r>
    </w:p>
    <w:p w14:paraId="35A6B18C" w14:textId="77777777" w:rsidR="007D299B" w:rsidRPr="00424261" w:rsidRDefault="007D299B" w:rsidP="007D299B">
      <w:pPr>
        <w:pStyle w:val="Prrafodelista"/>
        <w:tabs>
          <w:tab w:val="left" w:pos="426"/>
        </w:tabs>
        <w:spacing w:line="276" w:lineRule="auto"/>
        <w:ind w:left="851" w:right="567"/>
        <w:jc w:val="both"/>
        <w:rPr>
          <w:rFonts w:ascii="Palatino Linotype" w:hAnsi="Palatino Linotype"/>
          <w:i/>
          <w:sz w:val="22"/>
        </w:rPr>
      </w:pPr>
      <w:r w:rsidRPr="00424261">
        <w:rPr>
          <w:rFonts w:ascii="Palatino Linotype" w:hAnsi="Palatino Linotype"/>
          <w:b/>
          <w:i/>
          <w:sz w:val="22"/>
        </w:rPr>
        <w:t>2.</w:t>
      </w:r>
      <w:r w:rsidRPr="00424261">
        <w:rPr>
          <w:rFonts w:ascii="Palatino Linotype" w:hAnsi="Palatino Linotype"/>
          <w:i/>
          <w:sz w:val="22"/>
        </w:rPr>
        <w:t xml:space="preserve"> La recaudación de las contribuciones. </w:t>
      </w:r>
    </w:p>
    <w:p w14:paraId="56F61329"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VI.</w:t>
      </w:r>
      <w:r w:rsidRPr="00424261">
        <w:rPr>
          <w:rFonts w:ascii="Palatino Linotype" w:hAnsi="Palatino Linotype"/>
          <w:i/>
          <w:sz w:val="22"/>
        </w:rPr>
        <w:t xml:space="preserve"> Pueda causar daño u obstruya la prevención o persecución de los delitos, altere el proceso de investigación de las carpetas de investigación, afecte o vulnere la conducción </w:t>
      </w:r>
      <w:r w:rsidRPr="00424261">
        <w:rPr>
          <w:rFonts w:ascii="Palatino Linotype" w:hAnsi="Palatino Linotype"/>
          <w:i/>
          <w:sz w:val="22"/>
        </w:rPr>
        <w:lastRenderedPageBreak/>
        <w:t xml:space="preserve">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3949FACA"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VII.</w:t>
      </w:r>
      <w:r w:rsidRPr="00424261">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6626EAA0"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VIII.</w:t>
      </w:r>
      <w:r w:rsidRPr="00424261">
        <w:rPr>
          <w:rFonts w:ascii="Palatino Linotype" w:hAnsi="Palatino Linotype"/>
          <w:i/>
          <w:sz w:val="22"/>
        </w:rPr>
        <w:t xml:space="preserve"> Vulnere la conducción de los expedientes judiciales o de los procedimientos administrativos seguidos en forma de juicio, en tanto no hayan quedado firmes; </w:t>
      </w:r>
    </w:p>
    <w:p w14:paraId="7E03F4C2"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IX.</w:t>
      </w:r>
      <w:r w:rsidRPr="00424261">
        <w:rPr>
          <w:rFonts w:ascii="Palatino Linotype" w:hAnsi="Palatino Linotype"/>
          <w:i/>
          <w:sz w:val="22"/>
        </w:rPr>
        <w:t xml:space="preserve"> Se encuentre contenida dentro de las investigaciones de hechos que la Ley señale como delitos y se tramiten ante el Ministerio Público; </w:t>
      </w:r>
    </w:p>
    <w:p w14:paraId="78D1A13F"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b/>
          <w:i/>
          <w:sz w:val="22"/>
        </w:rPr>
        <w:t>X.</w:t>
      </w:r>
      <w:r w:rsidRPr="00424261">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D23E7F3"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sz w:val="22"/>
        </w:rPr>
      </w:pPr>
      <w:r w:rsidRPr="00424261">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58604B6"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color w:val="000000" w:themeColor="text1"/>
          <w:sz w:val="22"/>
        </w:rPr>
      </w:pPr>
      <w:r w:rsidRPr="00424261">
        <w:rPr>
          <w:rFonts w:ascii="Palatino Linotype" w:hAnsi="Palatino Linotype"/>
          <w:b/>
          <w:i/>
          <w:sz w:val="22"/>
        </w:rPr>
        <w:t>XI.</w:t>
      </w:r>
      <w:r w:rsidRPr="00424261">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4D09970C" w14:textId="77777777" w:rsidR="007D299B" w:rsidRPr="00424261" w:rsidRDefault="007D299B"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0BD129F7" w14:textId="025F2C01"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Mientras que el artículo 143 de la Ley de mérito reconoce que se considerará a información </w:t>
      </w:r>
      <w:r w:rsidRPr="00424261">
        <w:rPr>
          <w:rFonts w:ascii="Palatino Linotype" w:hAnsi="Palatino Linotype"/>
          <w:b/>
          <w:color w:val="000000" w:themeColor="text1"/>
        </w:rPr>
        <w:t>confidencial</w:t>
      </w:r>
      <w:r w:rsidRPr="00424261">
        <w:rPr>
          <w:rFonts w:ascii="Palatino Linotype" w:hAnsi="Palatino Linotype"/>
          <w:color w:val="000000" w:themeColor="text1"/>
        </w:rPr>
        <w:t>, la clasificada como tal, de manera permanente, por su naturaleza, cuando:</w:t>
      </w:r>
    </w:p>
    <w:p w14:paraId="0683625C" w14:textId="77777777" w:rsidR="00B91CB8" w:rsidRPr="00424261" w:rsidRDefault="00B91CB8" w:rsidP="007D299B">
      <w:pPr>
        <w:pStyle w:val="Prrafodelista"/>
        <w:tabs>
          <w:tab w:val="left" w:pos="426"/>
        </w:tabs>
        <w:spacing w:before="240" w:line="360" w:lineRule="auto"/>
        <w:ind w:left="0" w:right="51"/>
        <w:jc w:val="both"/>
        <w:rPr>
          <w:rFonts w:ascii="Palatino Linotype" w:hAnsi="Palatino Linotype"/>
          <w:color w:val="000000" w:themeColor="text1"/>
        </w:rPr>
      </w:pPr>
    </w:p>
    <w:p w14:paraId="1319C609"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w:t>
      </w:r>
      <w:r w:rsidRPr="00424261">
        <w:rPr>
          <w:rFonts w:ascii="Palatino Linotype" w:hAnsi="Palatino Linotype"/>
          <w:b/>
          <w:i/>
          <w:color w:val="000000" w:themeColor="text1"/>
          <w:sz w:val="22"/>
        </w:rPr>
        <w:t>I.</w:t>
      </w:r>
      <w:r w:rsidRPr="00424261">
        <w:rPr>
          <w:rFonts w:ascii="Palatino Linotype" w:hAnsi="Palatino Linotype"/>
          <w:i/>
          <w:color w:val="000000" w:themeColor="text1"/>
          <w:sz w:val="22"/>
        </w:rPr>
        <w:t xml:space="preserve"> Se refiera a la información privada y los datos personales concernientes a una persona física o jurídico colectiva identificada o identificable; </w:t>
      </w:r>
    </w:p>
    <w:p w14:paraId="5ECEFE6A"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color w:val="000000" w:themeColor="text1"/>
          <w:sz w:val="22"/>
        </w:rPr>
      </w:pPr>
      <w:r w:rsidRPr="00424261">
        <w:rPr>
          <w:rFonts w:ascii="Palatino Linotype" w:hAnsi="Palatino Linotype"/>
          <w:b/>
          <w:i/>
          <w:color w:val="000000" w:themeColor="text1"/>
          <w:sz w:val="22"/>
        </w:rPr>
        <w:lastRenderedPageBreak/>
        <w:t>II.</w:t>
      </w:r>
      <w:r w:rsidRPr="00424261">
        <w:rPr>
          <w:rFonts w:ascii="Palatino Linotype" w:hAnsi="Palatino Linotype"/>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6031CB9" w14:textId="77777777" w:rsidR="007D299B" w:rsidRPr="00424261" w:rsidRDefault="007D299B" w:rsidP="007D299B">
      <w:pPr>
        <w:pStyle w:val="Prrafodelista"/>
        <w:tabs>
          <w:tab w:val="left" w:pos="426"/>
        </w:tabs>
        <w:spacing w:line="276" w:lineRule="auto"/>
        <w:ind w:left="567" w:right="567"/>
        <w:jc w:val="both"/>
        <w:rPr>
          <w:rFonts w:ascii="Palatino Linotype" w:hAnsi="Palatino Linotype"/>
          <w:i/>
          <w:color w:val="000000" w:themeColor="text1"/>
          <w:sz w:val="22"/>
        </w:rPr>
      </w:pPr>
      <w:r w:rsidRPr="00424261">
        <w:rPr>
          <w:rFonts w:ascii="Palatino Linotype" w:hAnsi="Palatino Linotype"/>
          <w:b/>
          <w:i/>
          <w:color w:val="000000" w:themeColor="text1"/>
          <w:sz w:val="22"/>
        </w:rPr>
        <w:t>III.</w:t>
      </w:r>
      <w:r w:rsidRPr="00424261">
        <w:rPr>
          <w:rFonts w:ascii="Palatino Linotype" w:hAnsi="Palatino Linotype"/>
          <w:i/>
          <w:color w:val="000000" w:themeColor="text1"/>
          <w:sz w:val="22"/>
        </w:rPr>
        <w:t xml:space="preserve"> La que presenten los particulares a los sujetos obligados, de conformidad con lo dispuesto por las leyes o los tratados internacionales.”</w:t>
      </w:r>
    </w:p>
    <w:p w14:paraId="49550106" w14:textId="77777777" w:rsidR="007D299B" w:rsidRPr="00424261" w:rsidRDefault="007D299B"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10C60003" w14:textId="6A16CC95"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424261">
        <w:rPr>
          <w:rFonts w:ascii="Palatino Linotype" w:hAnsi="Palatino Linotype"/>
          <w:b/>
          <w:color w:val="000000" w:themeColor="text1"/>
        </w:rPr>
        <w:t>reserva</w:t>
      </w:r>
      <w:r w:rsidRPr="00424261">
        <w:rPr>
          <w:rFonts w:ascii="Palatino Linotype" w:hAnsi="Palatino Linotype"/>
          <w:color w:val="000000" w:themeColor="text1"/>
        </w:rPr>
        <w:t xml:space="preserve"> o </w:t>
      </w:r>
      <w:r w:rsidRPr="00424261">
        <w:rPr>
          <w:rFonts w:ascii="Palatino Linotype" w:hAnsi="Palatino Linotype"/>
          <w:b/>
          <w:color w:val="000000" w:themeColor="text1"/>
        </w:rPr>
        <w:t>confidencialidad</w:t>
      </w:r>
      <w:r w:rsidRPr="00424261">
        <w:rPr>
          <w:rFonts w:ascii="Palatino Linotype" w:hAnsi="Palatino Linotype"/>
          <w:color w:val="000000" w:themeColor="text1"/>
        </w:rPr>
        <w:t xml:space="preserve"> previstos en la Ley General y la Ley de Transparencia y Acceso a la Información Pública del Estado de México y Municipios, aduciendo analogía o mayoría de razón</w:t>
      </w:r>
      <w:r w:rsidRPr="00424261">
        <w:rPr>
          <w:rStyle w:val="Refdenotaalpie"/>
          <w:rFonts w:ascii="Palatino Linotype" w:hAnsi="Palatino Linotype"/>
          <w:color w:val="000000" w:themeColor="text1"/>
        </w:rPr>
        <w:footnoteReference w:id="14"/>
      </w:r>
      <w:r w:rsidRPr="00424261">
        <w:rPr>
          <w:rFonts w:ascii="Palatino Linotype" w:hAnsi="Palatino Linotype"/>
          <w:color w:val="000000" w:themeColor="text1"/>
        </w:rPr>
        <w:t>.</w:t>
      </w:r>
    </w:p>
    <w:p w14:paraId="796110AD"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42081E56" w14:textId="203978E1" w:rsidR="00B91CB8" w:rsidRPr="00424261" w:rsidRDefault="007D299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Una vez establecido lo anterior, y como ha sido reiterado a lo largo del presente estudio, se advierte que el </w:t>
      </w:r>
      <w:r w:rsidRPr="00424261">
        <w:rPr>
          <w:rFonts w:ascii="Palatino Linotype" w:hAnsi="Palatino Linotype"/>
          <w:b/>
          <w:color w:val="000000" w:themeColor="text1"/>
        </w:rPr>
        <w:t>SUJETO OBLIGADO</w:t>
      </w:r>
      <w:r w:rsidRPr="00424261">
        <w:rPr>
          <w:rFonts w:ascii="Palatino Linotype" w:hAnsi="Palatino Linotype"/>
          <w:color w:val="000000" w:themeColor="text1"/>
        </w:rPr>
        <w:t xml:space="preserve"> presentó el Acuerdo de Clasificación número 058/CUAUTIZC/CT/CGSPYT/2021, de veinticinco (25) de noviembre de dos mil veintiuno, emitido por el Comité de Transparencia, a través del cual, se aprobó la reserva de la información requerida en las solicitudes </w:t>
      </w:r>
      <w:r w:rsidRPr="00424261">
        <w:rPr>
          <w:rFonts w:ascii="Palatino Linotype" w:hAnsi="Palatino Linotype"/>
          <w:b/>
          <w:color w:val="000000" w:themeColor="text1"/>
        </w:rPr>
        <w:t>00505/CUAUTIZC/IP/2021</w:t>
      </w:r>
      <w:r w:rsidRPr="00424261">
        <w:rPr>
          <w:rFonts w:ascii="Palatino Linotype" w:hAnsi="Palatino Linotype"/>
          <w:color w:val="000000" w:themeColor="text1"/>
        </w:rPr>
        <w:t xml:space="preserve"> y </w:t>
      </w:r>
      <w:r w:rsidRPr="00424261">
        <w:rPr>
          <w:rFonts w:ascii="Palatino Linotype" w:hAnsi="Palatino Linotype"/>
          <w:b/>
          <w:color w:val="000000" w:themeColor="text1"/>
        </w:rPr>
        <w:t>00506/CUAUTIZC/IP/2021</w:t>
      </w:r>
      <w:r w:rsidRPr="00424261">
        <w:rPr>
          <w:rFonts w:ascii="Palatino Linotype" w:hAnsi="Palatino Linotype"/>
          <w:color w:val="000000" w:themeColor="text1"/>
        </w:rPr>
        <w:t>, en razón de lo siguiente:</w:t>
      </w:r>
    </w:p>
    <w:p w14:paraId="1BC9B1F7" w14:textId="77777777"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57DF1DD0" w14:textId="010CBBD8" w:rsidR="007D299B" w:rsidRPr="00424261" w:rsidRDefault="007D299B"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w:t>
      </w:r>
      <w:r w:rsidR="00C373EF" w:rsidRPr="00424261">
        <w:rPr>
          <w:rFonts w:ascii="Palatino Linotype" w:hAnsi="Palatino Linotype"/>
          <w:i/>
          <w:color w:val="000000" w:themeColor="text1"/>
          <w:sz w:val="22"/>
        </w:rPr>
        <w:t>IV.- (…) es determinante que la naturaleza de información reservada atiende a dos puntos importantes y que se refieren a:</w:t>
      </w:r>
    </w:p>
    <w:p w14:paraId="608EF2C8" w14:textId="6704CE07" w:rsidR="00C373EF" w:rsidRPr="00424261" w:rsidRDefault="00C373EF"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E60D303" w14:textId="5BAA2521" w:rsidR="00C373EF" w:rsidRPr="00424261" w:rsidRDefault="00C373EF" w:rsidP="00C373EF">
      <w:pPr>
        <w:pStyle w:val="Prrafodelista"/>
        <w:numPr>
          <w:ilvl w:val="0"/>
          <w:numId w:val="9"/>
        </w:numPr>
        <w:tabs>
          <w:tab w:val="left" w:pos="426"/>
        </w:tabs>
        <w:spacing w:before="240" w:after="240" w:line="276" w:lineRule="auto"/>
        <w:ind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Atiende a que la publicidad de la información amenace el interés protegido por la ley;</w:t>
      </w:r>
    </w:p>
    <w:p w14:paraId="295F5435" w14:textId="64ED9F8E" w:rsidR="00C373EF" w:rsidRPr="00424261" w:rsidRDefault="00C373EF" w:rsidP="00C373EF">
      <w:pPr>
        <w:pStyle w:val="Prrafodelista"/>
        <w:numPr>
          <w:ilvl w:val="0"/>
          <w:numId w:val="9"/>
        </w:numPr>
        <w:tabs>
          <w:tab w:val="left" w:pos="426"/>
        </w:tabs>
        <w:spacing w:before="240" w:after="240" w:line="276" w:lineRule="auto"/>
        <w:ind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lastRenderedPageBreak/>
        <w:t>La existencia de elementos objetivos que permitan determinar que se causara un daño presente, probable y específico a los intereses jurídicos protegidos por la ley en el entendido que dichos extremos legales tienen el siguiente alcance:</w:t>
      </w:r>
    </w:p>
    <w:p w14:paraId="5DABBFE0" w14:textId="77777777" w:rsidR="00C373EF" w:rsidRPr="00424261" w:rsidRDefault="00C373EF"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90BBACD" w14:textId="60EDB9C0" w:rsidR="00C373EF" w:rsidRPr="00424261" w:rsidRDefault="00C373EF"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b/>
          <w:bCs/>
          <w:i/>
          <w:color w:val="000000" w:themeColor="text1"/>
          <w:sz w:val="22"/>
        </w:rPr>
        <w:t>Daño Presente:</w:t>
      </w:r>
      <w:r w:rsidRPr="00424261">
        <w:rPr>
          <w:rFonts w:ascii="Palatino Linotype" w:hAnsi="Palatino Linotype"/>
          <w:i/>
          <w:color w:val="000000" w:themeColor="text1"/>
          <w:sz w:val="22"/>
        </w:rPr>
        <w:t xml:space="preserve"> Obedece a que si se da a conocer la información materia de la clasificación, comprometería la efectividad de las estrategias en materia de seguridad pública, debido a que se trata de datos personales de los elementos adscritos a la Comisaría General de Seguridad Pública y Tránsito de Cuautitlán Izcalli, Estado de México; así mismo, de los bienes muebles y equipamiento patrimonio del H. Ayuntamiento y Seguridad Pública, utilizados por las instancias policiales, lo cual con su divulgación permitiría que miembros de la delincuencia los conozcan, pudiendo con ello anticiparse a las acciones que realizan, poniendo en peligro la vida de los elementos de dichas instancias policiales y de la ciudadanía en general. Además, pondría en riesgo inminente el correcto (desarrollo) estudio del procedimiento administrativo y judicial a través de un menoscabo de un interés particular. De la misma forma, los elementos que conforman el cuerpo policiaco se verían vulnerados en su vida e integridad.</w:t>
      </w:r>
    </w:p>
    <w:p w14:paraId="1AFBEB25" w14:textId="4D78AF9A" w:rsidR="00C373EF" w:rsidRPr="00424261" w:rsidRDefault="00C373EF"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9F57386" w14:textId="28308B3B" w:rsidR="00C373EF" w:rsidRPr="00424261" w:rsidRDefault="00C373EF"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b/>
          <w:bCs/>
          <w:i/>
          <w:color w:val="000000" w:themeColor="text1"/>
          <w:sz w:val="22"/>
        </w:rPr>
        <w:t>Daño Probable:</w:t>
      </w:r>
      <w:r w:rsidRPr="00424261">
        <w:rPr>
          <w:rFonts w:ascii="Palatino Linotype" w:hAnsi="Palatino Linotype"/>
          <w:i/>
          <w:color w:val="000000" w:themeColor="text1"/>
          <w:sz w:val="22"/>
        </w:rPr>
        <w:t xml:space="preserve"> Obedece a que la difusión de la información generaría una cuantificación de los bienes muebles en materia, así la exposición a la vista del público del Estado de Fuerza de la Comisaría General de Seguridad Pública y Tránsito de Cuautitlán Izcalli, Estado de México, de proporcionarse la información de referencia, grupos delic</w:t>
      </w:r>
      <w:r w:rsidR="00C87862" w:rsidRPr="00424261">
        <w:rPr>
          <w:rFonts w:ascii="Palatino Linotype" w:hAnsi="Palatino Linotype"/>
          <w:i/>
          <w:color w:val="000000" w:themeColor="text1"/>
          <w:sz w:val="22"/>
        </w:rPr>
        <w:t>tivos estarían en posibilidad de conocer información sensible de la Comisaría General de Seguridad Pública y Tránsito, al momento de ejecutar actividades de combate a la delincuencia; si podrían atentar contra la integridad y seguridad de los servidores públicos, pues la divulgación de esta información podrá propiciar que estos grupos estén interesados en promover algún tipo de acción en contra de la ciudadanía y los servidores públicos adscritos a la misma Comisaría. Ya que podría causar un perjuicio mayor al interés jurídico del procedimiento.</w:t>
      </w:r>
    </w:p>
    <w:p w14:paraId="695A0F87" w14:textId="3F12979E" w:rsidR="00C87862" w:rsidRPr="00424261" w:rsidRDefault="00C87862"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74F5F9D" w14:textId="2114CEAA" w:rsidR="00C87862" w:rsidRPr="00424261" w:rsidRDefault="00C87862"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b/>
          <w:bCs/>
          <w:i/>
          <w:color w:val="000000" w:themeColor="text1"/>
          <w:sz w:val="22"/>
        </w:rPr>
        <w:t>Daño Específico:</w:t>
      </w:r>
      <w:r w:rsidRPr="00424261">
        <w:rPr>
          <w:rFonts w:ascii="Palatino Linotype" w:hAnsi="Palatino Linotype"/>
          <w:i/>
          <w:color w:val="000000" w:themeColor="text1"/>
          <w:sz w:val="22"/>
        </w:rPr>
        <w:t xml:space="preserve"> Este se basa en el sentido de que se materialice el daño probable y se cause un daño al estado de derecho que tienen garantizados los procedimientos administrativos y judiciales en curso. Al darse a conocer la información se podría mermar la capacidad de reacción de las estrategias, que en materia de Seguridad Pública lleva acabo la Comisaría, trayendo con ello repercusiones a la vida o seguridad de los </w:t>
      </w:r>
      <w:r w:rsidRPr="00424261">
        <w:rPr>
          <w:rFonts w:ascii="Palatino Linotype" w:hAnsi="Palatino Linotype"/>
          <w:i/>
          <w:color w:val="000000" w:themeColor="text1"/>
          <w:sz w:val="22"/>
        </w:rPr>
        <w:lastRenderedPageBreak/>
        <w:t>elementos que laboran para la institución policial, así como la integridad de la población civil.</w:t>
      </w:r>
    </w:p>
    <w:p w14:paraId="36490BED" w14:textId="2B5B5778" w:rsidR="00C87862" w:rsidRPr="00424261" w:rsidRDefault="00C87862"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A375E4C" w14:textId="301CE823" w:rsidR="00C87862" w:rsidRPr="00424261" w:rsidRDefault="00C87862"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En este orden de ideas, por cuanto hace a la información cuya clasificación con el carácter de reservada será, en su caso, motivo de aprobación en este acuerdo es la información contenida en los documentos que obren en los archivos de la comisaría General de Seguridad Pública y Tránsito de Cuautitlán Izcalli, Estado de México, consistente en los expedientes que contienen la información en relación a los datos personales de los elementos que participaron en el caso del actor Octavio Augusto Pérez Ocaña, lamentablemente fallecido el día de los hechos, así mismo, de los bienes muebles, y de la investigación en curso</w:t>
      </w:r>
      <w:r w:rsidR="008E3B3C" w:rsidRPr="00424261">
        <w:rPr>
          <w:rFonts w:ascii="Palatino Linotype" w:hAnsi="Palatino Linotype"/>
          <w:i/>
          <w:color w:val="000000" w:themeColor="text1"/>
          <w:sz w:val="22"/>
        </w:rPr>
        <w:t>, en tanto no hayan quedado firmes o afecte la administración de justicia o la seguridad de los involucrados en el caso, de igual manera cuando el daño que pueda producirse con la publicación de la información sea mayor que el interés público de conocer la información de referencia.</w:t>
      </w:r>
    </w:p>
    <w:p w14:paraId="600250F8" w14:textId="53E91428" w:rsidR="008E3B3C" w:rsidRPr="00424261" w:rsidRDefault="008E3B3C"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FB7291C" w14:textId="57CCDB23" w:rsidR="008E3B3C" w:rsidRPr="00424261" w:rsidRDefault="00E44B6B"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 xml:space="preserve">Se estima que puede aplicarse los efectos de excepción a la regla respecto del acceso a la información de dichos documentos, en virtud de que se pueden llegar a actualizar las hipótesis previstas en la Ley de Transparencia y Acceso a la Información Pública del Estado de México y Municipios, toda vez que en el caso que nos ocupa se actualiza el supuesto previsto en el artículo 140 fracción I, IV, VI, VIII, IX, X y XI de la Ley de Transparencia y Acceso a la Información Pública del Estado de México y Municipios, toda vez que en los documentos que contienen la información en relación a los datos personales de los elementos que participaron en el caso del actor Octavio Augusto Pérez Ocaña, lamentablemente fallecido el día de los hechos, así mismo, de los bienes </w:t>
      </w:r>
      <w:r w:rsidR="00507D5D" w:rsidRPr="00424261">
        <w:rPr>
          <w:rFonts w:ascii="Palatino Linotype" w:hAnsi="Palatino Linotype"/>
          <w:i/>
          <w:color w:val="000000" w:themeColor="text1"/>
          <w:sz w:val="22"/>
        </w:rPr>
        <w:t>muebles, y de la investigación en curso, en tanto no hayan quedado firmes o afecte la administración de justicia o la seguridad de los involucrados en el caso, de igual manera cuando el daño que pueda producirse con la publicación de la información sea mayor que el interés público de conocer al información de referencia. Los cuales, de otorgarse, es decir que sean públicos producirían un daño en el curso de la investigación sobre el caso.</w:t>
      </w:r>
    </w:p>
    <w:p w14:paraId="68FFA9E0" w14:textId="3324E040" w:rsidR="00507D5D" w:rsidRPr="00424261" w:rsidRDefault="00507D5D"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8BBC3FA" w14:textId="465F55BD" w:rsidR="00507D5D" w:rsidRPr="00424261" w:rsidRDefault="00507D5D"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 xml:space="preserve">Siguiendo con esta Tesitura en el caso que nos ocupa se actualizan el supuestos previstos en el artículo 140 fracciones I, IV, VI, VIII, IX, X y XI de la Ley de Transparencia y Acceso a la Información Pública del Estado de México y Municipios, toda vez que documentos que contienen la información en relación a los datos personales de los elementos que participaron en el caso del actor Octavio Augusto Pérez Ocaña, </w:t>
      </w:r>
      <w:r w:rsidRPr="00424261">
        <w:rPr>
          <w:rFonts w:ascii="Palatino Linotype" w:hAnsi="Palatino Linotype"/>
          <w:i/>
          <w:color w:val="000000" w:themeColor="text1"/>
          <w:sz w:val="22"/>
        </w:rPr>
        <w:lastRenderedPageBreak/>
        <w:t>lamentablemente fallecido el día de los hechos, así mismo, de los bienes muebles, y de la investigación en curso, en tanto no hayan quedado firmes o afecte la administración de justicia o la seguridad de los involucrados en el caso, de igual manera cuando el daño que pueda producirse con la publicación de la información sea mayor que el interés público de conocer al información de referencia por lo que se provocaría un daño a la Seguridad municipal, ciudadana y de los mismos elementos adscritos a esta Comisaría de Seguridad Pública y Tránsito de Cuautitlán Izcalli, Estado de México, asimismo, esta información está relacionada con los procesos y procedimientos administrativos y judiciales que este municipio desarrolla para el debido cumplimiento y aplicación de la Ley adjetiva en la materia.</w:t>
      </w:r>
    </w:p>
    <w:p w14:paraId="52691DC2" w14:textId="25A77D1C" w:rsidR="00507D5D" w:rsidRPr="00424261" w:rsidRDefault="00507D5D"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57768A6" w14:textId="6A2D9664" w:rsidR="00507D5D" w:rsidRPr="00424261" w:rsidRDefault="00507D5D"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 xml:space="preserve">V.- Ahondando en el tema, la información cuya clasificación con el carácter </w:t>
      </w:r>
      <w:r w:rsidR="00EC473B" w:rsidRPr="00424261">
        <w:rPr>
          <w:rFonts w:ascii="Palatino Linotype" w:hAnsi="Palatino Linotype"/>
          <w:i/>
          <w:color w:val="000000" w:themeColor="text1"/>
          <w:sz w:val="22"/>
        </w:rPr>
        <w:t>de</w:t>
      </w:r>
      <w:r w:rsidRPr="00424261">
        <w:rPr>
          <w:rFonts w:ascii="Palatino Linotype" w:hAnsi="Palatino Linotype"/>
          <w:i/>
          <w:color w:val="000000" w:themeColor="text1"/>
          <w:sz w:val="22"/>
        </w:rPr>
        <w:t xml:space="preserve"> reservada será, en su caso, motivo de aprobación en este acuerdo, </w:t>
      </w:r>
      <w:r w:rsidR="00EC473B" w:rsidRPr="00424261">
        <w:rPr>
          <w:rFonts w:ascii="Palatino Linotype" w:hAnsi="Palatino Linotype"/>
          <w:i/>
          <w:color w:val="000000" w:themeColor="text1"/>
          <w:sz w:val="22"/>
        </w:rPr>
        <w:t>es la contenida en los documentos que obran en los archivos de la Comisaría de Seguridad Pública y Tránsito de Cuautitlán Izcalli, Estado de México, consistente y/o relacionado con : la información en relación a la cantidad de solicitudes de información referente al caso de actor fallecido de nombre Comisaría de Seguridad Pública y Tránsito de Cuautitlán Izcalli, Estado de México, los procedimientos que se han iniciado por el caso antes mencionado; en tanto no hayan quedado firmes o afecte la administración de justicia o la seguridad de todos los involucrados; de igual manera cuando el daño que pueda producirse con la publicación de la información sea mayor que el interés público de conocer la información de referencia</w:t>
      </w:r>
    </w:p>
    <w:p w14:paraId="087A1A12" w14:textId="71EF7A4E" w:rsidR="00EC473B" w:rsidRPr="00424261" w:rsidRDefault="00EC473B"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B33E578" w14:textId="4FD711C6" w:rsidR="00EC473B" w:rsidRPr="00424261" w:rsidRDefault="00EC473B"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Al respecto se reitera que en el caso que nos ocupa se actualizan el supuestos previstos en el artículo 140 fracciones I, IV, VI, VIII, IX, X y XI de la Ley de Transparencia y Acceso a la Información Pública del Estado de México y Municipios, toda vez que en el caso de entregar los documentos que contienen la información solicitada, mismos que contienen datos sensibles, esto alteraría el proceso de investigación, afectaría o vulneraría la conducción o los derechos del debido proceso en los procedimientos judiciales o administrativos, incluidos los de quejas, denuncias, inconformidades, responsabilidades administrativas y resarcitorias en tanto no hayan quedado firmes o afectaría la administración de justicia o la seguridad de un denunciante, querellante o testigo, así como sus familias, en los términos de las disposiciones jurídicas aplicables; ya que al hacerse pública se p</w:t>
      </w:r>
      <w:r w:rsidR="00B3153E" w:rsidRPr="00424261">
        <w:rPr>
          <w:rFonts w:ascii="Palatino Linotype" w:hAnsi="Palatino Linotype"/>
          <w:i/>
          <w:color w:val="000000" w:themeColor="text1"/>
          <w:sz w:val="22"/>
        </w:rPr>
        <w:t xml:space="preserve">odría causar una afectación de forma directa al procedimiento y desarrollo que se encuentre llevando y ejecutando por parte de la autoridad administrativa, ya que puede obstaculizar el desarrollo de las funciones con las que </w:t>
      </w:r>
      <w:r w:rsidR="00B3153E" w:rsidRPr="00424261">
        <w:rPr>
          <w:rFonts w:ascii="Palatino Linotype" w:hAnsi="Palatino Linotype"/>
          <w:i/>
          <w:color w:val="000000" w:themeColor="text1"/>
          <w:sz w:val="22"/>
        </w:rPr>
        <w:lastRenderedPageBreak/>
        <w:t>cuenta y sufrir modificación, alteración y retrasar la secuela procesal, cumplimiento y resolución la cual conforme al Código de Procedimientos Penales del Estado de México.</w:t>
      </w:r>
    </w:p>
    <w:p w14:paraId="08D1C3EE" w14:textId="7256439F" w:rsidR="00B3153E" w:rsidRPr="00424261" w:rsidRDefault="00B3153E"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26D1382" w14:textId="05B22C0F" w:rsidR="00B3153E" w:rsidRPr="00424261" w:rsidRDefault="00B3153E"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VI.- Como ya se ha dicho esta relación se encuentra inmersa dentro de la primera y es el caso que en la presente se actualizan de manera mucho más directa los supuestos ya mencionados en líneas anteriores.</w:t>
      </w:r>
    </w:p>
    <w:p w14:paraId="1F50DC92" w14:textId="7C2A8B73" w:rsidR="00B3153E" w:rsidRPr="00424261" w:rsidRDefault="00B3153E"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734C6BF" w14:textId="38A99F82" w:rsidR="00B3153E" w:rsidRPr="00424261" w:rsidRDefault="00B3153E"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Al respecto se reitera que en el caso que nos ocupa se actualizan el supuestos previstos en el artículo 140 fracciones I, IV, VI, VIII, IX, X y XI de la Ley de Transparencia y Acceso a la Información Pública del Estado de México y Municipios, toda vez que en la relación de solicitudes de responsabilidad penal se encuentra en la etapa de investigación, autoridades responsables, información que de otorgarse representa un daño probable e inmediato a la investigación, lo cual entorpecería la misma.</w:t>
      </w:r>
    </w:p>
    <w:p w14:paraId="5E5913A5" w14:textId="1A537D7B" w:rsidR="00B3153E" w:rsidRPr="00424261" w:rsidRDefault="00B3153E"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00197AD" w14:textId="4C308B5A" w:rsidR="00B3153E" w:rsidRPr="00424261" w:rsidRDefault="00B3153E"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 xml:space="preserve">VII.- De los motivos expuestos se desprende que la finalidad que cumple el presente acuerdo es el de clasificar como reservada la información contenida en los documentos que obran en los archivos de la Comisaría de Seguridad Pública y Tránsito de Cuautitlán Izcalli, Estado de México. Por tal razón </w:t>
      </w:r>
      <w:r w:rsidR="005B1070" w:rsidRPr="00424261">
        <w:rPr>
          <w:rFonts w:ascii="Palatino Linotype" w:hAnsi="Palatino Linotype"/>
          <w:i/>
          <w:color w:val="000000" w:themeColor="text1"/>
          <w:sz w:val="22"/>
        </w:rPr>
        <w:t>se considera , que darla a conocer, puede causar un daño, obstruir la prevención o persecución de los delitos o alteraría el proceso de investigación, afectaría o vulneraría la conducción o los derechos del debido proceso en los procedimientos judiciales o administrativos, incluidos los de quejas, denuncias, inconformidades, responsabilidades administrativas y resarcitorias en tanto no hayan quedado firmes o afectaría la administración de justicia o la seguridad de un denunciante, querellante o testigo, así como sus familias, en los términos de las disposiciones jurídicas aplicables por lo que es menester de éste comité de información, evitar que se generen vicios que puedan poner en peligro el buen desarrollo del procedimiento en cuestión, así como salvaguardar en todo momento el cumplimiento a la norma que regula el derecho de acceso a la información como garantía individual al ciudadano.</w:t>
      </w:r>
    </w:p>
    <w:p w14:paraId="7D5EE784" w14:textId="3CE49B67" w:rsidR="005B1070" w:rsidRPr="00424261" w:rsidRDefault="005B1070"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92AA05A" w14:textId="35759A23" w:rsidR="005B1070" w:rsidRPr="00424261" w:rsidRDefault="005B1070"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24261">
        <w:rPr>
          <w:rFonts w:ascii="Palatino Linotype" w:hAnsi="Palatino Linotype"/>
          <w:i/>
          <w:color w:val="000000" w:themeColor="text1"/>
          <w:sz w:val="22"/>
        </w:rPr>
        <w:t>VIII.- Por lo anteriormente fundado y motivado resulta necesario clasificar como reservada de la información materia del presente pues el daño o menoscabo que provocaría su publicación descrito en líneas anteriores sería de manera clara, el menoscabo o daño que puede producirse con la publicidad de la información es mayor que el interés de conocerla, y por consiguiente debe clasificarse como reservada.</w:t>
      </w:r>
    </w:p>
    <w:p w14:paraId="7BA6F4F9" w14:textId="4F10E081" w:rsidR="005B1070" w:rsidRPr="00424261" w:rsidRDefault="005B1070" w:rsidP="007D299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5818C01" w14:textId="463CDFC7" w:rsidR="005B1070" w:rsidRPr="00424261" w:rsidRDefault="005B1070" w:rsidP="007D299B">
      <w:pPr>
        <w:pStyle w:val="Prrafodelista"/>
        <w:tabs>
          <w:tab w:val="left" w:pos="426"/>
        </w:tabs>
        <w:spacing w:before="240" w:after="240" w:line="276" w:lineRule="auto"/>
        <w:ind w:left="567" w:right="567"/>
        <w:jc w:val="both"/>
        <w:rPr>
          <w:iCs/>
        </w:rPr>
      </w:pPr>
      <w:r w:rsidRPr="00424261">
        <w:rPr>
          <w:rFonts w:ascii="Palatino Linotype" w:hAnsi="Palatino Linotype"/>
          <w:i/>
          <w:color w:val="000000" w:themeColor="text1"/>
          <w:sz w:val="22"/>
        </w:rPr>
        <w:t>La citada información resulta menester clasificarla con carácter de reservada toda vez, que como se argumenta con antelación en caso de hacerla pública se corre el riesgo de alterar el proceso de investigación acotando las posibilidades de una justa y correcta aplicación de la normatividad y/o ley correspondiente; por lo que la información materia del presente acuerdo, deberá clasificarse como reservada hasta en tanto no se emita la resolución correspondiente y haya causado estado.”</w:t>
      </w:r>
      <w:r w:rsidRPr="00424261">
        <w:rPr>
          <w:rFonts w:ascii="Palatino Linotype" w:hAnsi="Palatino Linotype"/>
          <w:iCs/>
          <w:color w:val="000000" w:themeColor="text1"/>
          <w:sz w:val="22"/>
        </w:rPr>
        <w:t xml:space="preserve"> (Sic)</w:t>
      </w:r>
    </w:p>
    <w:p w14:paraId="258798BE" w14:textId="77777777" w:rsidR="007D299B" w:rsidRPr="00424261" w:rsidRDefault="007D299B"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70401212" w14:textId="66C6BD92" w:rsidR="00073326" w:rsidRPr="00424261" w:rsidRDefault="00073326" w:rsidP="000733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 lo anterior se coligue que el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fundó su pretensión de reservar la información solicitada con base en las fracciones </w:t>
      </w:r>
      <w:r w:rsidRPr="00424261">
        <w:rPr>
          <w:rFonts w:ascii="Palatino Linotype" w:hAnsi="Palatino Linotype"/>
          <w:iCs/>
          <w:color w:val="000000" w:themeColor="text1"/>
        </w:rPr>
        <w:t>I, IV, VI, VIII, IX, X y XI del artículo 140 de la Ley de Transparencia y Acceso a la Información Pública del Estado de México y Municipios, los cuales, como se ha referido anteriormente, consisten en:</w:t>
      </w:r>
    </w:p>
    <w:p w14:paraId="34469FFC" w14:textId="7163825F" w:rsidR="00073326" w:rsidRPr="00424261" w:rsidRDefault="00073326"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79FBA078" w14:textId="643E5C0D"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r w:rsidRPr="00424261">
        <w:rPr>
          <w:rFonts w:ascii="Palatino Linotype" w:hAnsi="Palatino Linotype"/>
          <w:b/>
          <w:bCs/>
          <w:i/>
          <w:iCs/>
          <w:sz w:val="22"/>
          <w:szCs w:val="22"/>
        </w:rPr>
        <w:t>Artículo 140.</w:t>
      </w:r>
      <w:r w:rsidRPr="00424261">
        <w:rPr>
          <w:rFonts w:ascii="Palatino Linotype" w:hAnsi="Palatino Linotype"/>
          <w:i/>
          <w:iCs/>
          <w:sz w:val="22"/>
          <w:szCs w:val="22"/>
        </w:rPr>
        <w:t xml:space="preserve"> El acceso a la información pública será restringido excepcionalmente, cuando por razones de interés público, ésta sea clasificada como reservada, conforme a los criterios siguientes: </w:t>
      </w:r>
    </w:p>
    <w:p w14:paraId="118D6BC7" w14:textId="454804F1"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w:t>
      </w:r>
      <w:r w:rsidRPr="00424261">
        <w:rPr>
          <w:rFonts w:ascii="Palatino Linotype" w:hAnsi="Palatino Linotype"/>
          <w:i/>
          <w:iCs/>
          <w:sz w:val="22"/>
          <w:szCs w:val="22"/>
        </w:rPr>
        <w:t xml:space="preserve"> </w:t>
      </w:r>
      <w:r w:rsidRPr="00424261">
        <w:rPr>
          <w:rFonts w:ascii="Palatino Linotype" w:hAnsi="Palatino Linotype"/>
          <w:b/>
          <w:bCs/>
          <w:i/>
          <w:iCs/>
          <w:sz w:val="22"/>
          <w:szCs w:val="22"/>
        </w:rPr>
        <w:t>Comprometa la seguridad pública</w:t>
      </w:r>
      <w:r w:rsidRPr="00424261">
        <w:rPr>
          <w:rFonts w:ascii="Palatino Linotype" w:hAnsi="Palatino Linotype"/>
          <w:i/>
          <w:iCs/>
          <w:sz w:val="22"/>
          <w:szCs w:val="22"/>
        </w:rPr>
        <w:t xml:space="preserve"> y cuente con un propósito genuino y un efecto demostrable;</w:t>
      </w:r>
    </w:p>
    <w:p w14:paraId="76F27A5F" w14:textId="44E244CC"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37762D23" w14:textId="4E258BBC"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IV.</w:t>
      </w:r>
      <w:r w:rsidRPr="00424261">
        <w:rPr>
          <w:rFonts w:ascii="Palatino Linotype" w:hAnsi="Palatino Linotype"/>
          <w:i/>
          <w:iCs/>
          <w:sz w:val="22"/>
          <w:szCs w:val="22"/>
        </w:rPr>
        <w:t xml:space="preserve"> </w:t>
      </w:r>
      <w:r w:rsidRPr="00424261">
        <w:rPr>
          <w:rFonts w:ascii="Palatino Linotype" w:hAnsi="Palatino Linotype"/>
          <w:b/>
          <w:bCs/>
          <w:i/>
          <w:iCs/>
          <w:sz w:val="22"/>
          <w:szCs w:val="22"/>
        </w:rPr>
        <w:t>Ponga en riesgo la vida</w:t>
      </w:r>
      <w:r w:rsidRPr="00424261">
        <w:rPr>
          <w:rFonts w:ascii="Palatino Linotype" w:hAnsi="Palatino Linotype"/>
          <w:i/>
          <w:iCs/>
          <w:sz w:val="22"/>
          <w:szCs w:val="22"/>
        </w:rPr>
        <w:t>, la seguridad o la salud de una persona física;</w:t>
      </w:r>
    </w:p>
    <w:p w14:paraId="116E9BB1" w14:textId="504738A8"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575569BC" w14:textId="30FD2384"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VI. Pueda causar daño u obstruya la prevención o persecución de los delitos, altere el proceso de investigación</w:t>
      </w:r>
      <w:r w:rsidRPr="00424261">
        <w:rPr>
          <w:rFonts w:ascii="Palatino Linotype" w:hAnsi="Palatino Linotype"/>
          <w:i/>
          <w:iCs/>
          <w:sz w:val="22"/>
          <w:szCs w:val="22"/>
        </w:rPr>
        <w:t xml:space="preserve"> de las carpetas de investigación, afecte </w:t>
      </w:r>
      <w:r w:rsidRPr="00424261">
        <w:rPr>
          <w:rFonts w:ascii="Palatino Linotype" w:hAnsi="Palatino Linotype"/>
          <w:b/>
          <w:bCs/>
          <w:i/>
          <w:iCs/>
          <w:sz w:val="22"/>
          <w:szCs w:val="22"/>
        </w:rPr>
        <w:t xml:space="preserve">o vulnere la conducción o los derechos del debido proceso </w:t>
      </w:r>
      <w:r w:rsidRPr="00424261">
        <w:rPr>
          <w:rFonts w:ascii="Palatino Linotype" w:hAnsi="Palatino Linotype"/>
          <w:i/>
          <w:iCs/>
          <w:sz w:val="22"/>
          <w:szCs w:val="22"/>
        </w:rPr>
        <w:t>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A484CCD" w14:textId="1022C4E7"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19A49FA5" w14:textId="77777777"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IX. Se encuentre contenida dentro de</w:t>
      </w:r>
      <w:r w:rsidRPr="00424261">
        <w:rPr>
          <w:rFonts w:ascii="Palatino Linotype" w:hAnsi="Palatino Linotype"/>
          <w:i/>
          <w:iCs/>
          <w:sz w:val="22"/>
          <w:szCs w:val="22"/>
        </w:rPr>
        <w:t xml:space="preserve"> las </w:t>
      </w:r>
      <w:r w:rsidRPr="00424261">
        <w:rPr>
          <w:rFonts w:ascii="Palatino Linotype" w:hAnsi="Palatino Linotype"/>
          <w:b/>
          <w:bCs/>
          <w:i/>
          <w:iCs/>
          <w:sz w:val="22"/>
          <w:szCs w:val="22"/>
        </w:rPr>
        <w:t>investigaciones</w:t>
      </w:r>
      <w:r w:rsidRPr="00424261">
        <w:rPr>
          <w:rFonts w:ascii="Palatino Linotype" w:hAnsi="Palatino Linotype"/>
          <w:i/>
          <w:iCs/>
          <w:sz w:val="22"/>
          <w:szCs w:val="22"/>
        </w:rPr>
        <w:t xml:space="preserve"> de hechos que la Ley señale como delitos </w:t>
      </w:r>
      <w:r w:rsidRPr="00424261">
        <w:rPr>
          <w:rFonts w:ascii="Palatino Linotype" w:hAnsi="Palatino Linotype"/>
          <w:b/>
          <w:bCs/>
          <w:i/>
          <w:iCs/>
          <w:sz w:val="22"/>
          <w:szCs w:val="22"/>
        </w:rPr>
        <w:t>y se tramiten ante el Ministerio Público</w:t>
      </w:r>
      <w:r w:rsidRPr="00424261">
        <w:rPr>
          <w:rFonts w:ascii="Palatino Linotype" w:hAnsi="Palatino Linotype"/>
          <w:i/>
          <w:iCs/>
          <w:sz w:val="22"/>
          <w:szCs w:val="22"/>
        </w:rPr>
        <w:t xml:space="preserve">; </w:t>
      </w:r>
    </w:p>
    <w:p w14:paraId="534AC1BF" w14:textId="77777777"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lastRenderedPageBreak/>
        <w:t>X. El daño que pueda producirse con la publicación de la información sea mayor que el interés público de conocer la información</w:t>
      </w:r>
      <w:r w:rsidRPr="00424261">
        <w:rPr>
          <w:rFonts w:ascii="Palatino Linotype" w:hAnsi="Palatino Linotype"/>
          <w:i/>
          <w:iCs/>
          <w:sz w:val="22"/>
          <w:szCs w:val="22"/>
        </w:rPr>
        <w:t xml:space="preserve">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0E88552" w14:textId="5B45EC4A" w:rsidR="00073326" w:rsidRPr="00424261" w:rsidRDefault="00073326" w:rsidP="00073326">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XI. Las que por disposición expresa de una ley tengan tal carácter</w:t>
      </w:r>
      <w:r w:rsidRPr="00424261">
        <w:rPr>
          <w:rFonts w:ascii="Palatino Linotype" w:hAnsi="Palatino Linotype"/>
          <w:i/>
          <w:iCs/>
          <w:sz w:val="22"/>
          <w:szCs w:val="22"/>
        </w:rPr>
        <w:t>, siempre que sean acordes con las bases, principios y disposiciones establecidos en esta Ley y no la contravengan; así como las previstas en tratados internacionales.</w:t>
      </w:r>
      <w:r w:rsidR="00636E0D" w:rsidRPr="00424261">
        <w:rPr>
          <w:rFonts w:ascii="Palatino Linotype" w:hAnsi="Palatino Linotype"/>
          <w:i/>
          <w:iCs/>
          <w:sz w:val="22"/>
          <w:szCs w:val="22"/>
        </w:rPr>
        <w:t>”</w:t>
      </w:r>
    </w:p>
    <w:p w14:paraId="2486ABD3" w14:textId="5D18233E" w:rsidR="00636E0D" w:rsidRPr="00424261" w:rsidRDefault="00636E0D" w:rsidP="0007332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sz w:val="22"/>
          <w:szCs w:val="22"/>
        </w:rPr>
        <w:t>(Énfasis añadido)</w:t>
      </w:r>
    </w:p>
    <w:p w14:paraId="4FEF5964" w14:textId="77777777" w:rsidR="00073326" w:rsidRPr="00424261" w:rsidRDefault="00073326"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1F9E45BB" w14:textId="7AC72EFF" w:rsidR="00B91CB8" w:rsidRPr="00424261" w:rsidRDefault="00636E0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Dicho lo anterior, resulta elemental referir que las causales de reserva contenidas en el dispositivo legal antes transcrito armonizan las causales de reserva establecidas en la Ley General de Transparencia y Acceso a la Información Pública, específicamente en su artículo 113, dentro de las que se encuentran las siguientes:</w:t>
      </w:r>
    </w:p>
    <w:p w14:paraId="24CD3D23" w14:textId="4662E5B9" w:rsidR="00B91CB8" w:rsidRPr="00424261" w:rsidRDefault="00B91CB8"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4B4961E9" w14:textId="7C7E68C3"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r w:rsidRPr="00424261">
        <w:rPr>
          <w:rFonts w:ascii="Palatino Linotype" w:hAnsi="Palatino Linotype"/>
          <w:b/>
          <w:bCs/>
          <w:i/>
          <w:iCs/>
          <w:sz w:val="22"/>
          <w:szCs w:val="22"/>
        </w:rPr>
        <w:t>Artículo 113.</w:t>
      </w:r>
      <w:r w:rsidRPr="00424261">
        <w:rPr>
          <w:rFonts w:ascii="Palatino Linotype" w:hAnsi="Palatino Linotype"/>
          <w:i/>
          <w:iCs/>
          <w:sz w:val="22"/>
          <w:szCs w:val="22"/>
        </w:rPr>
        <w:t xml:space="preserve"> Como información reservada podrá clasificarse aquella cuya publicación: </w:t>
      </w:r>
    </w:p>
    <w:p w14:paraId="5B13B210" w14:textId="593E181C"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w:t>
      </w:r>
      <w:r w:rsidRPr="00424261">
        <w:rPr>
          <w:rFonts w:ascii="Palatino Linotype" w:hAnsi="Palatino Linotype"/>
          <w:i/>
          <w:iCs/>
          <w:sz w:val="22"/>
          <w:szCs w:val="22"/>
        </w:rPr>
        <w:t xml:space="preserve"> </w:t>
      </w:r>
      <w:r w:rsidRPr="00424261">
        <w:rPr>
          <w:rFonts w:ascii="Palatino Linotype" w:hAnsi="Palatino Linotype"/>
          <w:b/>
          <w:bCs/>
          <w:i/>
          <w:iCs/>
          <w:sz w:val="22"/>
          <w:szCs w:val="22"/>
        </w:rPr>
        <w:t>Comprometa la seguridad</w:t>
      </w:r>
      <w:r w:rsidRPr="00424261">
        <w:rPr>
          <w:rFonts w:ascii="Palatino Linotype" w:hAnsi="Palatino Linotype"/>
          <w:i/>
          <w:iCs/>
          <w:sz w:val="22"/>
          <w:szCs w:val="22"/>
        </w:rPr>
        <w:t xml:space="preserve"> nacional, la seguridad </w:t>
      </w:r>
      <w:r w:rsidRPr="00424261">
        <w:rPr>
          <w:rFonts w:ascii="Palatino Linotype" w:hAnsi="Palatino Linotype"/>
          <w:b/>
          <w:bCs/>
          <w:i/>
          <w:iCs/>
          <w:sz w:val="22"/>
          <w:szCs w:val="22"/>
        </w:rPr>
        <w:t>pública</w:t>
      </w:r>
      <w:r w:rsidRPr="00424261">
        <w:rPr>
          <w:rFonts w:ascii="Palatino Linotype" w:hAnsi="Palatino Linotype"/>
          <w:i/>
          <w:iCs/>
          <w:sz w:val="22"/>
          <w:szCs w:val="22"/>
        </w:rPr>
        <w:t xml:space="preserve"> o la defensa nacional y cuente con un propósito genuino y un efecto demostrable;</w:t>
      </w:r>
    </w:p>
    <w:p w14:paraId="3E2FDCAA" w14:textId="2F86BD2B"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5F13DD75" w14:textId="628C8E81"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V. Pueda poner en riesgo la vida</w:t>
      </w:r>
      <w:r w:rsidRPr="00424261">
        <w:rPr>
          <w:rFonts w:ascii="Palatino Linotype" w:hAnsi="Palatino Linotype"/>
          <w:i/>
          <w:iCs/>
          <w:sz w:val="22"/>
          <w:szCs w:val="22"/>
        </w:rPr>
        <w:t>, seguridad o salud de una persona física;</w:t>
      </w:r>
    </w:p>
    <w:p w14:paraId="4543DA48" w14:textId="42B7DF67"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2302497D" w14:textId="432AAE6E"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VII. Obstruya la prevención o persecución de los delitos</w:t>
      </w:r>
      <w:r w:rsidRPr="00424261">
        <w:rPr>
          <w:rFonts w:ascii="Palatino Linotype" w:hAnsi="Palatino Linotype"/>
          <w:i/>
          <w:iCs/>
          <w:sz w:val="22"/>
          <w:szCs w:val="22"/>
        </w:rPr>
        <w:t>;</w:t>
      </w:r>
    </w:p>
    <w:p w14:paraId="57727E3D" w14:textId="46A02EF1"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0A35BDBA" w14:textId="7F40A9AF"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IX. Obstruya los procedimientos para fincar responsabilidad</w:t>
      </w:r>
      <w:r w:rsidRPr="00424261">
        <w:rPr>
          <w:rFonts w:ascii="Palatino Linotype" w:hAnsi="Palatino Linotype"/>
          <w:i/>
          <w:iCs/>
          <w:sz w:val="22"/>
          <w:szCs w:val="22"/>
        </w:rPr>
        <w:t xml:space="preserve"> a los Servidores Públicos, en tanto no se haya dictado la resolución administrativa;</w:t>
      </w:r>
    </w:p>
    <w:p w14:paraId="2A37990E" w14:textId="77777777"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X. Afecte los derechos del debido proceso</w:t>
      </w:r>
      <w:r w:rsidRPr="00424261">
        <w:rPr>
          <w:rFonts w:ascii="Palatino Linotype" w:hAnsi="Palatino Linotype"/>
          <w:i/>
          <w:iCs/>
          <w:sz w:val="22"/>
          <w:szCs w:val="22"/>
        </w:rPr>
        <w:t xml:space="preserve">; </w:t>
      </w:r>
    </w:p>
    <w:p w14:paraId="7EA2523A" w14:textId="77777777"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XI. Vulnere la conducción de los Expedientes judiciales o de los procedimientos administrativos</w:t>
      </w:r>
      <w:r w:rsidRPr="00424261">
        <w:rPr>
          <w:rFonts w:ascii="Palatino Linotype" w:hAnsi="Palatino Linotype"/>
          <w:i/>
          <w:iCs/>
          <w:sz w:val="22"/>
          <w:szCs w:val="22"/>
        </w:rPr>
        <w:t xml:space="preserve"> seguidos en forma de juicio, en tanto no hayan causado estado; </w:t>
      </w:r>
    </w:p>
    <w:p w14:paraId="194CC002" w14:textId="77777777"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XII. Se encuentre contenida dentro de las investigaciones</w:t>
      </w:r>
      <w:r w:rsidRPr="00424261">
        <w:rPr>
          <w:rFonts w:ascii="Palatino Linotype" w:hAnsi="Palatino Linotype"/>
          <w:i/>
          <w:iCs/>
          <w:sz w:val="22"/>
          <w:szCs w:val="22"/>
        </w:rPr>
        <w:t xml:space="preserve"> de hechos que la ley señale como delitos </w:t>
      </w:r>
      <w:r w:rsidRPr="00424261">
        <w:rPr>
          <w:rFonts w:ascii="Palatino Linotype" w:hAnsi="Palatino Linotype"/>
          <w:b/>
          <w:bCs/>
          <w:i/>
          <w:iCs/>
          <w:sz w:val="22"/>
          <w:szCs w:val="22"/>
        </w:rPr>
        <w:t>y se tramiten ante el Ministerio Público</w:t>
      </w:r>
      <w:r w:rsidRPr="00424261">
        <w:rPr>
          <w:rFonts w:ascii="Palatino Linotype" w:hAnsi="Palatino Linotype"/>
          <w:i/>
          <w:iCs/>
          <w:sz w:val="22"/>
          <w:szCs w:val="22"/>
        </w:rPr>
        <w:t xml:space="preserve">, y </w:t>
      </w:r>
    </w:p>
    <w:p w14:paraId="6EBA99D4" w14:textId="707B4F80" w:rsidR="00636E0D" w:rsidRPr="00424261" w:rsidRDefault="00636E0D" w:rsidP="00636E0D">
      <w:pPr>
        <w:pStyle w:val="Prrafodelista"/>
        <w:tabs>
          <w:tab w:val="left" w:pos="426"/>
        </w:tabs>
        <w:spacing w:before="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lastRenderedPageBreak/>
        <w:t>XIII. Las que por disposición expresa de una ley tengan tal carácter</w:t>
      </w:r>
      <w:r w:rsidRPr="00424261">
        <w:rPr>
          <w:rFonts w:ascii="Palatino Linotype" w:hAnsi="Palatino Linotype"/>
          <w:i/>
          <w:iCs/>
          <w:sz w:val="22"/>
          <w:szCs w:val="22"/>
        </w:rPr>
        <w:t>, siempre que sean acordes con las bases, principios y disposiciones establecidos en esta Ley y no la contravengan; así como las previstas en tratados internacionales.”</w:t>
      </w:r>
    </w:p>
    <w:p w14:paraId="45A5DF88" w14:textId="787A2CC7" w:rsidR="00636E0D" w:rsidRPr="00424261" w:rsidRDefault="00636E0D" w:rsidP="00636E0D">
      <w:pPr>
        <w:pStyle w:val="Prrafodelista"/>
        <w:tabs>
          <w:tab w:val="left" w:pos="426"/>
        </w:tabs>
        <w:spacing w:before="240" w:line="276" w:lineRule="auto"/>
        <w:ind w:left="567" w:right="567"/>
        <w:jc w:val="both"/>
        <w:rPr>
          <w:rFonts w:ascii="Palatino Linotype" w:hAnsi="Palatino Linotype"/>
          <w:color w:val="000000" w:themeColor="text1"/>
          <w:sz w:val="22"/>
          <w:szCs w:val="22"/>
        </w:rPr>
      </w:pPr>
      <w:r w:rsidRPr="00424261">
        <w:rPr>
          <w:rFonts w:ascii="Palatino Linotype" w:hAnsi="Palatino Linotype"/>
          <w:sz w:val="22"/>
          <w:szCs w:val="22"/>
        </w:rPr>
        <w:t>(Énfasis añadido)</w:t>
      </w:r>
    </w:p>
    <w:p w14:paraId="0F07108A" w14:textId="77777777" w:rsidR="00636E0D" w:rsidRPr="00424261" w:rsidRDefault="00636E0D" w:rsidP="00B91CB8">
      <w:pPr>
        <w:pStyle w:val="Prrafodelista"/>
        <w:tabs>
          <w:tab w:val="left" w:pos="426"/>
        </w:tabs>
        <w:spacing w:before="240" w:after="240" w:line="360" w:lineRule="auto"/>
        <w:ind w:left="0" w:right="51"/>
        <w:jc w:val="both"/>
        <w:rPr>
          <w:rFonts w:ascii="Palatino Linotype" w:hAnsi="Palatino Linotype"/>
          <w:color w:val="000000" w:themeColor="text1"/>
        </w:rPr>
      </w:pPr>
    </w:p>
    <w:p w14:paraId="13457F07" w14:textId="21FAB0C6" w:rsidR="00B91CB8" w:rsidRPr="00424261" w:rsidRDefault="000E68F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Dicho lo anterior, el Lineamiento Primero de los </w:t>
      </w:r>
      <w:r w:rsidRPr="00424261">
        <w:rPr>
          <w:rFonts w:ascii="Palatino Linotype" w:hAnsi="Palatino Linotype"/>
          <w:i/>
          <w:iCs/>
          <w:color w:val="000000" w:themeColor="text1"/>
        </w:rPr>
        <w:t>Lineamientos Generales en Materia de Clasificación y Desclasificación de la Información, así como para la Elaboración de la Versiones Públicas</w:t>
      </w:r>
      <w:r w:rsidRPr="00424261">
        <w:rPr>
          <w:rFonts w:ascii="Palatino Linotype" w:hAnsi="Palatino Linotype"/>
          <w:color w:val="000000" w:themeColor="text1"/>
        </w:rPr>
        <w:t xml:space="preserve">, establece que éstos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Asimismo, se establece que el cuerpo normativo de referencia será de observancia </w:t>
      </w:r>
      <w:r w:rsidRPr="00424261">
        <w:rPr>
          <w:rFonts w:ascii="Palatino Linotype" w:hAnsi="Palatino Linotype"/>
          <w:b/>
          <w:bCs/>
          <w:color w:val="000000" w:themeColor="text1"/>
        </w:rPr>
        <w:t>obligatoria</w:t>
      </w:r>
      <w:r w:rsidRPr="00424261">
        <w:rPr>
          <w:rFonts w:ascii="Palatino Linotype" w:hAnsi="Palatino Linotype"/>
          <w:color w:val="000000" w:themeColor="text1"/>
        </w:rPr>
        <w:t xml:space="preserve"> para todos los Sujetos Obligados, los cuales considerarán a </w:t>
      </w:r>
      <w:r w:rsidRPr="00424261">
        <w:rPr>
          <w:rFonts w:ascii="Palatino Linotype" w:hAnsi="Palatino Linotype"/>
          <w:b/>
          <w:bCs/>
          <w:color w:val="000000" w:themeColor="text1"/>
        </w:rPr>
        <w:t>cualquier autoridad</w:t>
      </w:r>
      <w:r w:rsidRPr="00424261">
        <w:rPr>
          <w:rFonts w:ascii="Palatino Linotype" w:hAnsi="Palatino Linotype"/>
          <w:color w:val="000000" w:themeColor="text1"/>
        </w:rPr>
        <w:t xml:space="preserve">, entidad, órgano y organismo de los poderes Ejecutivo, Legislativo y Judicial, órganos autónomos, partidos políticos, fideicomisos y fondos públicos, así como cualquier persona física, moral o sindicato </w:t>
      </w:r>
      <w:r w:rsidRPr="00424261">
        <w:rPr>
          <w:rFonts w:ascii="Palatino Linotype" w:hAnsi="Palatino Linotype"/>
          <w:b/>
          <w:bCs/>
          <w:color w:val="000000" w:themeColor="text1"/>
        </w:rPr>
        <w:t>que reciba y ejerza recursos públicos o realice actos de autoridad en los ámbitos</w:t>
      </w:r>
      <w:r w:rsidRPr="00424261">
        <w:rPr>
          <w:rFonts w:ascii="Palatino Linotype" w:hAnsi="Palatino Linotype"/>
          <w:color w:val="000000" w:themeColor="text1"/>
        </w:rPr>
        <w:t xml:space="preserve"> federal, de las entidades federativas y </w:t>
      </w:r>
      <w:r w:rsidRPr="00424261">
        <w:rPr>
          <w:rFonts w:ascii="Palatino Linotype" w:hAnsi="Palatino Linotype"/>
          <w:b/>
          <w:bCs/>
          <w:color w:val="000000" w:themeColor="text1"/>
        </w:rPr>
        <w:t>municipal</w:t>
      </w:r>
      <w:r w:rsidRPr="00424261">
        <w:rPr>
          <w:rStyle w:val="Refdenotaalpie"/>
          <w:rFonts w:ascii="Palatino Linotype" w:hAnsi="Palatino Linotype"/>
          <w:b/>
          <w:bCs/>
          <w:color w:val="000000" w:themeColor="text1"/>
        </w:rPr>
        <w:footnoteReference w:id="15"/>
      </w:r>
      <w:r w:rsidRPr="00424261">
        <w:rPr>
          <w:rFonts w:ascii="Palatino Linotype" w:hAnsi="Palatino Linotype"/>
          <w:color w:val="000000" w:themeColor="text1"/>
        </w:rPr>
        <w:t>.</w:t>
      </w:r>
    </w:p>
    <w:p w14:paraId="780DE2CF"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A4623FA" w14:textId="161697B2" w:rsidR="00073326" w:rsidRPr="00424261" w:rsidRDefault="000E68F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cuanto hace a las causales de reserva establecidas en las fracciones </w:t>
      </w:r>
      <w:r w:rsidR="00FA29FA" w:rsidRPr="00424261">
        <w:rPr>
          <w:rFonts w:ascii="Palatino Linotype" w:hAnsi="Palatino Linotype"/>
          <w:color w:val="000000" w:themeColor="text1"/>
        </w:rPr>
        <w:t xml:space="preserve">I, V, VII, IX, X, XI, XII y XIII del artículo 113 de la Ley General de Transparencia y Acceso a la Información Pública, los Lineamientos establecen de manera precisa los elementos que se deberán acreditar para demostrar, de manera fundada y </w:t>
      </w:r>
      <w:r w:rsidR="00FA29FA" w:rsidRPr="00424261">
        <w:rPr>
          <w:rFonts w:ascii="Palatino Linotype" w:hAnsi="Palatino Linotype"/>
          <w:color w:val="000000" w:themeColor="text1"/>
        </w:rPr>
        <w:lastRenderedPageBreak/>
        <w:t>motivada, que la información pública solicitada acredita la necesidad de limitar su acceso temporalmente:</w:t>
      </w:r>
    </w:p>
    <w:p w14:paraId="2150FE58" w14:textId="7BC644F4"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C2AABBF" w14:textId="77777777" w:rsidR="00FA29FA" w:rsidRPr="00424261" w:rsidRDefault="00FA29FA"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r w:rsidRPr="00424261">
        <w:rPr>
          <w:rFonts w:ascii="Palatino Linotype" w:hAnsi="Palatino Linotype"/>
          <w:b/>
          <w:bCs/>
          <w:i/>
          <w:iCs/>
          <w:color w:val="000000" w:themeColor="text1"/>
          <w:sz w:val="22"/>
          <w:szCs w:val="22"/>
        </w:rPr>
        <w:t>Décimo noveno. </w:t>
      </w:r>
      <w:r w:rsidRPr="00424261">
        <w:rPr>
          <w:rFonts w:ascii="Palatino Linotype" w:hAnsi="Palatino Linotype"/>
          <w:i/>
          <w:iCs/>
          <w:color w:val="000000" w:themeColor="text1"/>
          <w:sz w:val="22"/>
          <w:szCs w:val="22"/>
        </w:rPr>
        <w:t>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w:t>
      </w:r>
    </w:p>
    <w:p w14:paraId="5C0B6C04" w14:textId="77777777" w:rsidR="00FA29FA" w:rsidRPr="00424261" w:rsidRDefault="00FA29FA"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005034D0" w14:textId="28D3770E" w:rsidR="00FA29FA" w:rsidRPr="00424261" w:rsidRDefault="00FA29FA"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38B0D08" w14:textId="2C2E0EC3" w:rsidR="00FA29FA" w:rsidRPr="00424261" w:rsidRDefault="00FA29FA"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Vigésimo tercero.</w:t>
      </w:r>
      <w:r w:rsidRPr="00424261">
        <w:rPr>
          <w:rFonts w:ascii="Palatino Linotype" w:hAnsi="Palatino Linotype"/>
          <w:i/>
          <w:iCs/>
          <w:color w:val="000000" w:themeColor="text1"/>
          <w:sz w:val="22"/>
          <w:szCs w:val="22"/>
        </w:rPr>
        <w:t> Para clasificar la información como reservada, de conformidad con el artículo 113, fracción V de la Ley General, será necesario acreditar un vínculo, entre la persona física y la información que pueda poner en riesgo su vida, seguridad o salud.</w:t>
      </w:r>
    </w:p>
    <w:p w14:paraId="7DF91ABE" w14:textId="5883DBF0" w:rsidR="00FA29FA" w:rsidRPr="00424261" w:rsidRDefault="00FA29FA"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85A68E9"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Vigésimo sexto.</w:t>
      </w:r>
      <w:r w:rsidRPr="00424261">
        <w:rPr>
          <w:rFonts w:ascii="Palatino Linotype" w:hAnsi="Palatino Linotype"/>
          <w:i/>
          <w:iCs/>
          <w:color w:val="000000" w:themeColor="text1"/>
          <w:sz w:val="22"/>
          <w:szCs w:val="22"/>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4F778AD6"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Para que se verifique el supuesto de reserva, cuando se cause un perjuicio a las actividades de persecución de los delitos, deben de actualizarse los siguientes elementos:</w:t>
      </w:r>
    </w:p>
    <w:p w14:paraId="3FE04CA4" w14:textId="495E1C72" w:rsidR="000643A2" w:rsidRPr="00424261" w:rsidRDefault="000643A2" w:rsidP="000643A2">
      <w:pPr>
        <w:pStyle w:val="Prrafodelista"/>
        <w:tabs>
          <w:tab w:val="left" w:pos="127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w:t>
      </w:r>
      <w:r w:rsidRPr="00424261">
        <w:rPr>
          <w:rFonts w:ascii="Palatino Linotype" w:hAnsi="Palatino Linotype"/>
          <w:b/>
          <w:bCs/>
          <w:i/>
          <w:iCs/>
          <w:color w:val="000000" w:themeColor="text1"/>
          <w:sz w:val="22"/>
          <w:szCs w:val="22"/>
        </w:rPr>
        <w:t>I.</w:t>
      </w:r>
      <w:r w:rsidRPr="00424261">
        <w:rPr>
          <w:rFonts w:ascii="Palatino Linotype" w:hAnsi="Palatino Linotype"/>
          <w:i/>
          <w:iCs/>
          <w:color w:val="000000" w:themeColor="text1"/>
          <w:sz w:val="22"/>
          <w:szCs w:val="22"/>
        </w:rPr>
        <w:t> La existencia de un proceso penal en sustanciación o una carpeta de investigación en trámite;</w:t>
      </w:r>
    </w:p>
    <w:p w14:paraId="1AE8F590" w14:textId="40590C71" w:rsidR="000643A2" w:rsidRPr="00424261" w:rsidRDefault="000643A2" w:rsidP="000643A2">
      <w:pPr>
        <w:pStyle w:val="Prrafodelista"/>
        <w:tabs>
          <w:tab w:val="left" w:pos="127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w:t>
      </w:r>
      <w:r w:rsidRPr="00424261">
        <w:rPr>
          <w:rFonts w:ascii="Palatino Linotype" w:hAnsi="Palatino Linotype"/>
          <w:i/>
          <w:iCs/>
          <w:color w:val="000000" w:themeColor="text1"/>
          <w:sz w:val="22"/>
          <w:szCs w:val="22"/>
        </w:rPr>
        <w:t> Que se acredite el vínculo que existe entre la información solicitada y la carpeta de investigación, o el proceso penal, según sea el caso, y</w:t>
      </w:r>
    </w:p>
    <w:p w14:paraId="762161D0" w14:textId="76509741" w:rsidR="000643A2" w:rsidRPr="00424261" w:rsidRDefault="000643A2" w:rsidP="000643A2">
      <w:pPr>
        <w:pStyle w:val="Prrafodelista"/>
        <w:tabs>
          <w:tab w:val="left" w:pos="127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III.</w:t>
      </w:r>
      <w:r w:rsidRPr="00424261">
        <w:rPr>
          <w:rFonts w:ascii="Palatino Linotype" w:hAnsi="Palatino Linotype"/>
          <w:i/>
          <w:iCs/>
          <w:color w:val="000000" w:themeColor="text1"/>
          <w:sz w:val="22"/>
          <w:szCs w:val="22"/>
        </w:rPr>
        <w:t> Que la difusión de la información pueda impedir u obstruir las funciones que ejerce el Ministerio Público o su equivalente durante la etapa de investigación o ante los tribunales judiciales con motivo del ejercicio de la acción penal.</w:t>
      </w:r>
    </w:p>
    <w:p w14:paraId="4A0DBCB4" w14:textId="0C0D2D78"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DF9B9B7"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lastRenderedPageBreak/>
        <w:t>Vigésimo octavo.</w:t>
      </w:r>
      <w:r w:rsidRPr="00424261">
        <w:rPr>
          <w:rFonts w:ascii="Palatino Linotype" w:hAnsi="Palatino Linotype"/>
          <w:i/>
          <w:iCs/>
          <w:color w:val="000000" w:themeColor="text1"/>
          <w:sz w:val="22"/>
          <w:szCs w:val="22"/>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10567361" w14:textId="06996B07"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w:t>
      </w:r>
      <w:r w:rsidRPr="00424261">
        <w:rPr>
          <w:rFonts w:ascii="Palatino Linotype" w:hAnsi="Palatino Linotype"/>
          <w:i/>
          <w:iCs/>
          <w:color w:val="000000" w:themeColor="text1"/>
          <w:sz w:val="22"/>
          <w:szCs w:val="22"/>
        </w:rPr>
        <w:t> La existencia de un procedimiento de responsabilidad administrativa en trámite, y</w:t>
      </w:r>
    </w:p>
    <w:p w14:paraId="5F95182B" w14:textId="7025BCFA"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w:t>
      </w:r>
      <w:r w:rsidRPr="00424261">
        <w:rPr>
          <w:rFonts w:ascii="Palatino Linotype" w:hAnsi="Palatino Linotype"/>
          <w:i/>
          <w:iCs/>
          <w:color w:val="000000" w:themeColor="text1"/>
          <w:sz w:val="22"/>
          <w:szCs w:val="22"/>
        </w:rPr>
        <w:t> Que la información se refiera a actuaciones, diligencias y constancias propias del procedimiento de responsabilidad.</w:t>
      </w:r>
    </w:p>
    <w:p w14:paraId="72CFC81D"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5CD11D8"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Vigésimo noveno.</w:t>
      </w:r>
      <w:r w:rsidRPr="00424261">
        <w:rPr>
          <w:rFonts w:ascii="Palatino Linotype" w:hAnsi="Palatino Linotype"/>
          <w:i/>
          <w:iCs/>
          <w:color w:val="000000" w:themeColor="text1"/>
          <w:sz w:val="22"/>
          <w:szCs w:val="22"/>
        </w:rPr>
        <w:t> De conformidad con el artículo 113, fracción X de la Ley General, podrá considerarse como información reservada, aquella que de divulgarse afecte el debido proceso al actualizarse los siguientes elementos:</w:t>
      </w:r>
    </w:p>
    <w:p w14:paraId="57327EB5" w14:textId="313840E7"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w:t>
      </w:r>
      <w:r w:rsidRPr="00424261">
        <w:rPr>
          <w:rFonts w:ascii="Palatino Linotype" w:hAnsi="Palatino Linotype"/>
          <w:i/>
          <w:iCs/>
          <w:color w:val="000000" w:themeColor="text1"/>
          <w:sz w:val="22"/>
          <w:szCs w:val="22"/>
        </w:rPr>
        <w:t> La existencia de un procedimiento judicial, administrativo o arbitral en trámite;</w:t>
      </w:r>
    </w:p>
    <w:p w14:paraId="4733CDAE" w14:textId="0E7F8CDE"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w:t>
      </w:r>
      <w:r w:rsidRPr="00424261">
        <w:rPr>
          <w:rFonts w:ascii="Palatino Linotype" w:hAnsi="Palatino Linotype"/>
          <w:i/>
          <w:iCs/>
          <w:color w:val="000000" w:themeColor="text1"/>
          <w:sz w:val="22"/>
          <w:szCs w:val="22"/>
        </w:rPr>
        <w:t> Que el sujeto obligado sea parte en ese procedimiento;</w:t>
      </w:r>
    </w:p>
    <w:p w14:paraId="29666394" w14:textId="594821D0"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III.</w:t>
      </w:r>
      <w:r w:rsidRPr="00424261">
        <w:rPr>
          <w:rFonts w:ascii="Palatino Linotype" w:hAnsi="Palatino Linotype"/>
          <w:i/>
          <w:iCs/>
          <w:color w:val="000000" w:themeColor="text1"/>
          <w:sz w:val="22"/>
          <w:szCs w:val="22"/>
        </w:rPr>
        <w:t xml:space="preserve"> Que la información no sea conocida por la contraparte antes de la presentación de la misma en el proceso, y</w:t>
      </w:r>
    </w:p>
    <w:p w14:paraId="5806F6A9" w14:textId="57315199"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IV.</w:t>
      </w:r>
      <w:r w:rsidRPr="00424261">
        <w:rPr>
          <w:rFonts w:ascii="Palatino Linotype" w:hAnsi="Palatino Linotype"/>
          <w:i/>
          <w:iCs/>
          <w:color w:val="000000" w:themeColor="text1"/>
          <w:sz w:val="22"/>
          <w:szCs w:val="22"/>
        </w:rPr>
        <w:t> Que con su divulgación se afecte la oportunidad de llevar a cabo alguna de las garantías del debido proceso.</w:t>
      </w:r>
    </w:p>
    <w:p w14:paraId="1E319FB1"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w:t>
      </w:r>
    </w:p>
    <w:p w14:paraId="70C80B29"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Trigésimo.</w:t>
      </w:r>
      <w:r w:rsidRPr="00424261">
        <w:rPr>
          <w:rFonts w:ascii="Palatino Linotype" w:hAnsi="Palatino Linotype"/>
          <w:i/>
          <w:iCs/>
          <w:color w:val="000000" w:themeColor="text1"/>
          <w:sz w:val="22"/>
          <w:szCs w:val="22"/>
        </w:rPr>
        <w:t>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45611722" w14:textId="45AB5DD8"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w:t>
      </w:r>
      <w:r w:rsidRPr="00424261">
        <w:rPr>
          <w:rFonts w:ascii="Palatino Linotype" w:hAnsi="Palatino Linotype"/>
          <w:i/>
          <w:iCs/>
          <w:color w:val="000000" w:themeColor="text1"/>
          <w:sz w:val="22"/>
          <w:szCs w:val="22"/>
        </w:rPr>
        <w:t xml:space="preserve"> La existencia de un juicio o procedimiento administrativo materialmente jurisdiccional, que se encuentre en trámite, y</w:t>
      </w:r>
    </w:p>
    <w:p w14:paraId="38C15B47" w14:textId="7B6DEE64"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w:t>
      </w:r>
      <w:r w:rsidRPr="00424261">
        <w:rPr>
          <w:rFonts w:ascii="Palatino Linotype" w:hAnsi="Palatino Linotype"/>
          <w:i/>
          <w:iCs/>
          <w:color w:val="000000" w:themeColor="text1"/>
          <w:sz w:val="22"/>
          <w:szCs w:val="22"/>
        </w:rPr>
        <w:t xml:space="preserve"> Que la información solicitada se refiera a actuaciones, diligencias o constancias propias del procedimiento.</w:t>
      </w:r>
    </w:p>
    <w:p w14:paraId="6CD78A28"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Para los efectos del primer párrafo de este numeral, se considera procedimiento seguido en forma de juicio a aquel formalmente administrativo, pero materialmente jurisdiccional; esto es, en el que concurran los siguientes elementos:</w:t>
      </w:r>
    </w:p>
    <w:p w14:paraId="23DC18CB" w14:textId="77777777"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1.</w:t>
      </w:r>
      <w:r w:rsidRPr="00424261">
        <w:rPr>
          <w:rFonts w:ascii="Palatino Linotype" w:hAnsi="Palatino Linotype"/>
          <w:i/>
          <w:iCs/>
          <w:color w:val="000000" w:themeColor="text1"/>
          <w:sz w:val="22"/>
          <w:szCs w:val="22"/>
        </w:rPr>
        <w:t>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4DAFEBC0" w14:textId="77777777" w:rsidR="000643A2" w:rsidRPr="00424261" w:rsidRDefault="000643A2" w:rsidP="000643A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2.</w:t>
      </w:r>
      <w:r w:rsidRPr="00424261">
        <w:rPr>
          <w:rFonts w:ascii="Palatino Linotype" w:hAnsi="Palatino Linotype"/>
          <w:i/>
          <w:iCs/>
          <w:color w:val="000000" w:themeColor="text1"/>
          <w:sz w:val="22"/>
          <w:szCs w:val="22"/>
        </w:rPr>
        <w:t> Que se cumplan las formalidades esenciales del procedimiento.</w:t>
      </w:r>
    </w:p>
    <w:p w14:paraId="70F413F1" w14:textId="0DA3BE80"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lastRenderedPageBreak/>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5DCFD9BD"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EADF3AB" w14:textId="09E10C11"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Trigésimo primero.</w:t>
      </w:r>
      <w:r w:rsidRPr="00424261">
        <w:rPr>
          <w:rFonts w:ascii="Palatino Linotype" w:hAnsi="Palatino Linotype"/>
          <w:i/>
          <w:iCs/>
          <w:color w:val="000000" w:themeColor="text1"/>
          <w:sz w:val="22"/>
          <w:szCs w:val="22"/>
        </w:rPr>
        <w:t> 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14:paraId="1998AAF1"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269CF58" w14:textId="77777777"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Trigésimo segundo.</w:t>
      </w:r>
      <w:r w:rsidRPr="00424261">
        <w:rPr>
          <w:rFonts w:ascii="Palatino Linotype" w:hAnsi="Palatino Linotype"/>
          <w:i/>
          <w:iCs/>
          <w:color w:val="000000" w:themeColor="text1"/>
          <w:sz w:val="22"/>
          <w:szCs w:val="22"/>
        </w:rPr>
        <w:t> De conformidad con el artículo 113, fracción XIII de la Ley General, podrá considerarse como información reservada, aquella que por disposición expresa de una ley o de un Tratado Internacional del que el Estado mexicano sea parte, le otorgue tal carácter siempre que no se contravenga lo establecido en la Ley General.</w:t>
      </w:r>
    </w:p>
    <w:p w14:paraId="70961388" w14:textId="3CA96D7F" w:rsidR="000643A2" w:rsidRPr="00424261" w:rsidRDefault="000643A2" w:rsidP="000643A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Para que se actualice este supuesto de reserva, los sujetos obligados deberán fundar y motivar la clasificación de la información, señalando de manera específica el supuesto normativo que expresamente le otorga ese carácter.”</w:t>
      </w:r>
    </w:p>
    <w:p w14:paraId="3DFC6DBD" w14:textId="77777777" w:rsidR="00FA29FA" w:rsidRPr="00424261" w:rsidRDefault="00FA29FA"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1D664CF" w14:textId="4A09922A" w:rsidR="00073326" w:rsidRPr="00424261" w:rsidRDefault="000643A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Dentro del presente asunto, y como fuera demostrado a través de la transcripción del contenido del Acuerdo de Clasificación 058/CUAUTIZC/CT/CGSPYT/2021, de veinticinco (25) de noviembre de dos mil veintiuno, no se advierte que el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haya atendido ninguno de los criterios de fondo para demostrar que, en el caso específico, se actualizaba alguna de las causales de reserva de la información requerida a través de las solicitudes </w:t>
      </w:r>
      <w:r w:rsidR="00D806D1" w:rsidRPr="00424261">
        <w:rPr>
          <w:rFonts w:ascii="Palatino Linotype" w:hAnsi="Palatino Linotype"/>
          <w:b/>
          <w:bCs/>
          <w:color w:val="000000" w:themeColor="text1"/>
        </w:rPr>
        <w:t>00505/CUAUTIZC/IP/2021</w:t>
      </w:r>
      <w:r w:rsidR="00D806D1" w:rsidRPr="00424261">
        <w:rPr>
          <w:rFonts w:ascii="Palatino Linotype" w:hAnsi="Palatino Linotype"/>
          <w:color w:val="000000" w:themeColor="text1"/>
        </w:rPr>
        <w:t xml:space="preserve"> o </w:t>
      </w:r>
      <w:r w:rsidR="00D806D1" w:rsidRPr="00424261">
        <w:rPr>
          <w:rFonts w:ascii="Palatino Linotype" w:hAnsi="Palatino Linotype"/>
          <w:b/>
          <w:bCs/>
          <w:color w:val="000000" w:themeColor="text1"/>
        </w:rPr>
        <w:t>00506/CUAUTIZC/IP/2021</w:t>
      </w:r>
      <w:r w:rsidR="00D806D1" w:rsidRPr="00424261">
        <w:rPr>
          <w:rFonts w:ascii="Palatino Linotype" w:hAnsi="Palatino Linotype"/>
          <w:color w:val="000000" w:themeColor="text1"/>
        </w:rPr>
        <w:t xml:space="preserve">, pues </w:t>
      </w:r>
      <w:r w:rsidR="00D806D1" w:rsidRPr="00424261">
        <w:rPr>
          <w:rFonts w:ascii="Palatino Linotype" w:hAnsi="Palatino Linotype"/>
          <w:i/>
          <w:iCs/>
          <w:color w:val="000000" w:themeColor="text1"/>
        </w:rPr>
        <w:t>grosso modo</w:t>
      </w:r>
      <w:r w:rsidR="00D806D1" w:rsidRPr="00424261">
        <w:rPr>
          <w:rFonts w:ascii="Palatino Linotype" w:hAnsi="Palatino Linotype"/>
          <w:color w:val="000000" w:themeColor="text1"/>
        </w:rPr>
        <w:t xml:space="preserve"> </w:t>
      </w:r>
      <w:r w:rsidR="00D806D1" w:rsidRPr="00424261">
        <w:rPr>
          <w:rFonts w:ascii="Palatino Linotype" w:hAnsi="Palatino Linotype"/>
          <w:b/>
          <w:bCs/>
          <w:color w:val="000000" w:themeColor="text1"/>
        </w:rPr>
        <w:t xml:space="preserve">únicamente se limitó a referir que la difusión de la información “podría” permitir que miembros de la delincuencia conocieran datos personales del personal de la Comisión de Seguridad Pública y Tránsito, así como de sus bienes </w:t>
      </w:r>
      <w:r w:rsidR="00D806D1" w:rsidRPr="00424261">
        <w:rPr>
          <w:rFonts w:ascii="Palatino Linotype" w:hAnsi="Palatino Linotype"/>
          <w:b/>
          <w:bCs/>
          <w:color w:val="000000" w:themeColor="text1"/>
        </w:rPr>
        <w:lastRenderedPageBreak/>
        <w:t>muebles, pudiendo anticiparse a acciones que realicen, poniendo en peligro su vida; además, “podría” poner en riesgo el correcto desarrollo de los procedimientos administrativos y judiciales</w:t>
      </w:r>
      <w:r w:rsidR="00D806D1" w:rsidRPr="00424261">
        <w:rPr>
          <w:rFonts w:ascii="Palatino Linotype" w:hAnsi="Palatino Linotype"/>
          <w:color w:val="000000" w:themeColor="text1"/>
        </w:rPr>
        <w:t xml:space="preserve">, sin jamás establecer una teoría del caso en concreto o de la información o documentación específica que actualizara alguna de las diversas fracciones del artículo 140 de la Ley de </w:t>
      </w:r>
      <w:r w:rsidR="000A12B9" w:rsidRPr="00424261">
        <w:rPr>
          <w:rFonts w:ascii="Palatino Linotype" w:hAnsi="Palatino Linotype"/>
          <w:color w:val="000000" w:themeColor="text1"/>
        </w:rPr>
        <w:t>la materia</w:t>
      </w:r>
      <w:r w:rsidR="00D806D1" w:rsidRPr="00424261">
        <w:rPr>
          <w:rFonts w:ascii="Palatino Linotype" w:hAnsi="Palatino Linotype"/>
          <w:color w:val="000000" w:themeColor="text1"/>
        </w:rPr>
        <w:t xml:space="preserve">, dejando al particular en un total estado de </w:t>
      </w:r>
      <w:r w:rsidR="00D806D1" w:rsidRPr="00424261">
        <w:rPr>
          <w:rFonts w:ascii="Palatino Linotype" w:hAnsi="Palatino Linotype"/>
          <w:b/>
          <w:bCs/>
          <w:color w:val="000000" w:themeColor="text1"/>
        </w:rPr>
        <w:t>incertidumbre</w:t>
      </w:r>
      <w:r w:rsidR="00D806D1" w:rsidRPr="00424261">
        <w:rPr>
          <w:rFonts w:ascii="Palatino Linotype" w:hAnsi="Palatino Linotype"/>
          <w:color w:val="000000" w:themeColor="text1"/>
        </w:rPr>
        <w:t>.</w:t>
      </w:r>
    </w:p>
    <w:p w14:paraId="45E6B773"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44C5F640" w14:textId="19427309" w:rsidR="000A12B9" w:rsidRPr="00424261" w:rsidRDefault="000A12B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Aunado a lo anterior, el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omitió enteramente realizar la prueba de daño que mandata la Ley General y Local para determinar si ha lugar la reserva de la información. Por lo anterior, este Organismo Garante estima necesario referir que el Lineamiento Trigésimo Tercero de los </w:t>
      </w:r>
      <w:r w:rsidRPr="00424261">
        <w:rPr>
          <w:rFonts w:ascii="Palatino Linotype" w:hAnsi="Palatino Linotype"/>
          <w:i/>
          <w:iCs/>
          <w:color w:val="000000" w:themeColor="text1"/>
        </w:rPr>
        <w:t>Lineamientos Generales en Materia de Clasificación y Desclasificación de la Información, así como para la Elaboración de la Versiones Públicas</w:t>
      </w:r>
      <w:r w:rsidRPr="00424261">
        <w:rPr>
          <w:rFonts w:ascii="Palatino Linotype" w:hAnsi="Palatino Linotype"/>
          <w:color w:val="000000" w:themeColor="text1"/>
        </w:rPr>
        <w:t>, establece lo siguiente:</w:t>
      </w:r>
    </w:p>
    <w:p w14:paraId="3F413D05" w14:textId="2543CCDB" w:rsidR="000A12B9" w:rsidRPr="00424261" w:rsidRDefault="000A12B9" w:rsidP="000A12B9">
      <w:pPr>
        <w:pStyle w:val="Prrafodelista"/>
        <w:tabs>
          <w:tab w:val="left" w:pos="426"/>
        </w:tabs>
        <w:spacing w:before="240" w:after="240" w:line="360" w:lineRule="auto"/>
        <w:ind w:left="0" w:right="51"/>
        <w:jc w:val="both"/>
        <w:rPr>
          <w:rFonts w:ascii="Palatino Linotype" w:hAnsi="Palatino Linotype"/>
          <w:color w:val="000000" w:themeColor="text1"/>
        </w:rPr>
      </w:pPr>
    </w:p>
    <w:p w14:paraId="71BE7B14" w14:textId="0AB4944E" w:rsidR="000A12B9" w:rsidRPr="00424261" w:rsidRDefault="000A12B9" w:rsidP="000A12B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r w:rsidRPr="00424261">
        <w:rPr>
          <w:rFonts w:ascii="Palatino Linotype" w:hAnsi="Palatino Linotype"/>
          <w:b/>
          <w:bCs/>
          <w:i/>
          <w:iCs/>
          <w:color w:val="000000" w:themeColor="text1"/>
          <w:sz w:val="22"/>
          <w:szCs w:val="22"/>
        </w:rPr>
        <w:t>Trigésimo tercero. </w:t>
      </w:r>
      <w:r w:rsidRPr="00424261">
        <w:rPr>
          <w:rFonts w:ascii="Palatino Linotype" w:hAnsi="Palatino Linotype"/>
          <w:i/>
          <w:iCs/>
          <w:color w:val="000000" w:themeColor="text1"/>
          <w:sz w:val="22"/>
          <w:szCs w:val="22"/>
        </w:rPr>
        <w:t>Para la aplicación de la prueba de daño a la que hace referencia el artículo 104 de la Ley General, los sujetos obligados atenderán lo siguiente:</w:t>
      </w:r>
    </w:p>
    <w:p w14:paraId="3384A900" w14:textId="70E03AD9" w:rsidR="000A12B9" w:rsidRPr="00424261" w:rsidRDefault="000A12B9" w:rsidP="000A12B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w:t>
      </w:r>
      <w:r w:rsidRPr="00424261">
        <w:rPr>
          <w:rFonts w:ascii="Palatino Linotype" w:hAnsi="Palatino Linotype"/>
          <w:i/>
          <w:iCs/>
          <w:color w:val="000000" w:themeColor="text1"/>
          <w:sz w:val="22"/>
          <w:szCs w:val="22"/>
        </w:rPr>
        <w:t>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3542CDC" w14:textId="50B9DF66" w:rsidR="000A12B9" w:rsidRPr="00424261" w:rsidRDefault="000A12B9" w:rsidP="000A12B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w:t>
      </w:r>
      <w:r w:rsidRPr="00424261">
        <w:rPr>
          <w:rFonts w:ascii="Palatino Linotype" w:hAnsi="Palatino Linotype"/>
          <w:i/>
          <w:iCs/>
          <w:color w:val="000000" w:themeColor="text1"/>
          <w:sz w:val="22"/>
          <w:szCs w:val="22"/>
        </w:rPr>
        <w:t>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4F49AED1" w14:textId="3981AB30" w:rsidR="000A12B9" w:rsidRPr="00424261" w:rsidRDefault="000A12B9" w:rsidP="000A12B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III.</w:t>
      </w:r>
      <w:r w:rsidRPr="00424261">
        <w:rPr>
          <w:rFonts w:ascii="Palatino Linotype" w:hAnsi="Palatino Linotype"/>
          <w:i/>
          <w:iCs/>
          <w:color w:val="000000" w:themeColor="text1"/>
          <w:sz w:val="22"/>
          <w:szCs w:val="22"/>
        </w:rPr>
        <w:t> Se debe de acreditar el vínculo entre la difusión de la información y la afectación del interés jurídico tutelado de que se trate;</w:t>
      </w:r>
    </w:p>
    <w:p w14:paraId="58C458ED" w14:textId="1913E090" w:rsidR="000A12B9" w:rsidRPr="00424261" w:rsidRDefault="000A12B9" w:rsidP="000A12B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IV.</w:t>
      </w:r>
      <w:r w:rsidRPr="00424261">
        <w:rPr>
          <w:rFonts w:ascii="Palatino Linotype" w:hAnsi="Palatino Linotype"/>
          <w:i/>
          <w:iCs/>
          <w:color w:val="000000" w:themeColor="text1"/>
          <w:sz w:val="22"/>
          <w:szCs w:val="22"/>
        </w:rPr>
        <w:t> Precisar las razones objetivas por las que la apertura de la información generaría una afectación, a través de los elementos de un riesgo real, demostrable e identificable;</w:t>
      </w:r>
    </w:p>
    <w:p w14:paraId="7F945423" w14:textId="3784A339" w:rsidR="000A12B9" w:rsidRPr="00424261" w:rsidRDefault="000A12B9" w:rsidP="000A12B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lastRenderedPageBreak/>
        <w:t>V.</w:t>
      </w:r>
      <w:r w:rsidRPr="00424261">
        <w:rPr>
          <w:rFonts w:ascii="Palatino Linotype" w:hAnsi="Palatino Linotype"/>
          <w:i/>
          <w:iCs/>
          <w:color w:val="000000" w:themeColor="text1"/>
          <w:sz w:val="22"/>
          <w:szCs w:val="22"/>
        </w:rPr>
        <w:t> En la motivación de la clasificación, el sujeto obligado deberá acreditar las circunstancias de modo, tiempo y lugar del daño, y</w:t>
      </w:r>
    </w:p>
    <w:p w14:paraId="3516A3F5" w14:textId="27FC28D3" w:rsidR="000A12B9" w:rsidRPr="00424261" w:rsidRDefault="000A12B9" w:rsidP="000A12B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VI.</w:t>
      </w:r>
      <w:r w:rsidRPr="00424261">
        <w:rPr>
          <w:rFonts w:ascii="Palatino Linotype" w:hAnsi="Palatino Linotype"/>
          <w:i/>
          <w:iCs/>
          <w:color w:val="000000" w:themeColor="text1"/>
          <w:sz w:val="22"/>
          <w:szCs w:val="22"/>
        </w:rPr>
        <w:t xml:space="preserve"> Deberán elegir la opción de excepción al acceso a la información que menos lo restrinja, la cual será adecuada y proporcional para la protección del interés público, y deberá interferir lo menos</w:t>
      </w:r>
      <w:r w:rsidR="00F65708"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posible en el ejercicio efectivo del derecho de acceso a la información.</w:t>
      </w:r>
      <w:r w:rsidR="00F65708" w:rsidRPr="00424261">
        <w:rPr>
          <w:rFonts w:ascii="Palatino Linotype" w:hAnsi="Palatino Linotype"/>
          <w:i/>
          <w:iCs/>
          <w:color w:val="000000" w:themeColor="text1"/>
          <w:sz w:val="22"/>
          <w:szCs w:val="22"/>
        </w:rPr>
        <w:t>”</w:t>
      </w:r>
    </w:p>
    <w:p w14:paraId="58EDC3AD" w14:textId="77777777" w:rsidR="000A12B9" w:rsidRPr="00424261" w:rsidRDefault="000A12B9" w:rsidP="000A12B9">
      <w:pPr>
        <w:pStyle w:val="Prrafodelista"/>
        <w:tabs>
          <w:tab w:val="left" w:pos="426"/>
        </w:tabs>
        <w:spacing w:before="240" w:after="240" w:line="360" w:lineRule="auto"/>
        <w:ind w:left="0" w:right="51"/>
        <w:jc w:val="both"/>
        <w:rPr>
          <w:rFonts w:ascii="Palatino Linotype" w:hAnsi="Palatino Linotype"/>
          <w:color w:val="000000" w:themeColor="text1"/>
        </w:rPr>
      </w:pPr>
    </w:p>
    <w:p w14:paraId="76DA9EA3" w14:textId="10F6D0A8" w:rsidR="00F65708" w:rsidRPr="00424261" w:rsidRDefault="00F6570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Este Instituto de Transparencia, Acceso a la Información Pública y Protección de Datos Personales del Estado de México y Municipios hace un llamado enérgico al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para que, en adelante, elabore sus ejercicios de clasificación de la información, por reserva o confidencialidad, de manera fundada y motivada, apegándose a los criterios establecidos en las disposiciones jurídicas aplicables.</w:t>
      </w:r>
    </w:p>
    <w:p w14:paraId="0ED84A32" w14:textId="77777777" w:rsidR="00F65708" w:rsidRPr="00424261" w:rsidRDefault="00F65708" w:rsidP="00F65708">
      <w:pPr>
        <w:pStyle w:val="Prrafodelista"/>
        <w:tabs>
          <w:tab w:val="left" w:pos="426"/>
        </w:tabs>
        <w:spacing w:before="240" w:after="240" w:line="360" w:lineRule="auto"/>
        <w:ind w:left="0" w:right="51"/>
        <w:jc w:val="both"/>
        <w:rPr>
          <w:rFonts w:ascii="Palatino Linotype" w:hAnsi="Palatino Linotype"/>
          <w:color w:val="000000" w:themeColor="text1"/>
        </w:rPr>
      </w:pPr>
    </w:p>
    <w:p w14:paraId="23A24ED9" w14:textId="63BC37C7" w:rsidR="00391E45" w:rsidRPr="00424261" w:rsidRDefault="00F6570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w:t>
      </w:r>
      <w:r w:rsidR="000A12B9" w:rsidRPr="00424261">
        <w:rPr>
          <w:rFonts w:ascii="Palatino Linotype" w:hAnsi="Palatino Linotype"/>
          <w:color w:val="000000" w:themeColor="text1"/>
        </w:rPr>
        <w:t xml:space="preserve">or otro lado, es imperativo señalar que la Ley de Transparencia y Acceso a la Información Pública del Estado de México y Municipios, </w:t>
      </w:r>
      <w:r w:rsidR="00391E45" w:rsidRPr="00424261">
        <w:rPr>
          <w:rFonts w:ascii="Palatino Linotype" w:hAnsi="Palatino Linotype"/>
          <w:color w:val="000000" w:themeColor="text1"/>
        </w:rPr>
        <w:t xml:space="preserve">en su artículo 5, establece que </w:t>
      </w:r>
      <w:r w:rsidR="00391E45" w:rsidRPr="00424261">
        <w:rPr>
          <w:rFonts w:ascii="Palatino Linotype" w:hAnsi="Palatino Linotype"/>
          <w:b/>
          <w:bCs/>
          <w:color w:val="000000" w:themeColor="text1"/>
        </w:rPr>
        <w:t>no podrá clasificarse como reservada aquella información que esté relacionada con violaciones graves a derechos humanos o delitos de lesa humanidad</w:t>
      </w:r>
      <w:r w:rsidR="00391E45" w:rsidRPr="00424261">
        <w:rPr>
          <w:rFonts w:ascii="Palatino Linotype" w:hAnsi="Palatino Linotype"/>
          <w:color w:val="000000" w:themeColor="text1"/>
        </w:rPr>
        <w:t>, de conformidad con el derecho nacional o los tratados internacionales de los que el Estado mexicano sea parte.</w:t>
      </w:r>
    </w:p>
    <w:p w14:paraId="32314EFC" w14:textId="131D574A" w:rsidR="00391E45" w:rsidRPr="00424261" w:rsidRDefault="00391E45" w:rsidP="00391E45">
      <w:pPr>
        <w:pStyle w:val="Prrafodelista"/>
        <w:tabs>
          <w:tab w:val="left" w:pos="426"/>
        </w:tabs>
        <w:spacing w:before="240" w:after="240" w:line="360" w:lineRule="auto"/>
        <w:ind w:left="0" w:right="51"/>
        <w:jc w:val="both"/>
        <w:rPr>
          <w:rFonts w:ascii="Palatino Linotype" w:hAnsi="Palatino Linotype"/>
          <w:color w:val="000000" w:themeColor="text1"/>
        </w:rPr>
      </w:pPr>
    </w:p>
    <w:p w14:paraId="416C995A" w14:textId="11CA75AE" w:rsidR="00073326" w:rsidRPr="00424261" w:rsidRDefault="00391E45"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Lo anterior se ahonda más adelante </w:t>
      </w:r>
      <w:r w:rsidR="000A12B9" w:rsidRPr="00424261">
        <w:rPr>
          <w:rFonts w:ascii="Palatino Linotype" w:hAnsi="Palatino Linotype"/>
          <w:color w:val="000000" w:themeColor="text1"/>
        </w:rPr>
        <w:t xml:space="preserve">en </w:t>
      </w:r>
      <w:r w:rsidRPr="00424261">
        <w:rPr>
          <w:rFonts w:ascii="Palatino Linotype" w:hAnsi="Palatino Linotype"/>
          <w:color w:val="000000" w:themeColor="text1"/>
        </w:rPr>
        <w:t>el diverso dispositivo</w:t>
      </w:r>
      <w:r w:rsidR="00F65708" w:rsidRPr="00424261">
        <w:rPr>
          <w:rFonts w:ascii="Palatino Linotype" w:hAnsi="Palatino Linotype"/>
          <w:color w:val="000000" w:themeColor="text1"/>
        </w:rPr>
        <w:t xml:space="preserve"> 142,</w:t>
      </w:r>
      <w:r w:rsidR="00853F9E" w:rsidRPr="00424261">
        <w:rPr>
          <w:rFonts w:ascii="Palatino Linotype" w:hAnsi="Palatino Linotype"/>
          <w:color w:val="000000" w:themeColor="text1"/>
        </w:rPr>
        <w:t xml:space="preserve"> a través del cual, la Ley de la Materia</w:t>
      </w:r>
      <w:r w:rsidR="00F65708" w:rsidRPr="00424261">
        <w:rPr>
          <w:rFonts w:ascii="Palatino Linotype" w:hAnsi="Palatino Linotype"/>
          <w:color w:val="000000" w:themeColor="text1"/>
        </w:rPr>
        <w:t xml:space="preserve"> </w:t>
      </w:r>
      <w:r w:rsidR="00853F9E" w:rsidRPr="00424261">
        <w:rPr>
          <w:rFonts w:ascii="Palatino Linotype" w:hAnsi="Palatino Linotype"/>
          <w:color w:val="000000" w:themeColor="text1"/>
        </w:rPr>
        <w:t>enlista los escenarios bajo los que no se podrá invocar la reserva de información, a saber</w:t>
      </w:r>
      <w:r w:rsidR="00F65708" w:rsidRPr="00424261">
        <w:rPr>
          <w:rFonts w:ascii="Palatino Linotype" w:hAnsi="Palatino Linotype"/>
          <w:color w:val="000000" w:themeColor="text1"/>
        </w:rPr>
        <w:t>:</w:t>
      </w:r>
    </w:p>
    <w:p w14:paraId="2DFA9D5B" w14:textId="1DD254A2"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3D47CF0" w14:textId="77777777" w:rsidR="00F65708" w:rsidRPr="00424261" w:rsidRDefault="00F65708" w:rsidP="00F65708">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r w:rsidRPr="00424261">
        <w:rPr>
          <w:rFonts w:ascii="Palatino Linotype" w:hAnsi="Palatino Linotype"/>
          <w:b/>
          <w:bCs/>
          <w:i/>
          <w:iCs/>
          <w:sz w:val="22"/>
          <w:szCs w:val="22"/>
        </w:rPr>
        <w:t xml:space="preserve">Artículo 142. </w:t>
      </w:r>
      <w:r w:rsidRPr="00424261">
        <w:rPr>
          <w:rFonts w:ascii="Palatino Linotype" w:hAnsi="Palatino Linotype"/>
          <w:i/>
          <w:iCs/>
          <w:sz w:val="22"/>
          <w:szCs w:val="22"/>
        </w:rPr>
        <w:t xml:space="preserve">Bajo ninguna circunstancia podrá invocarse el carácter de reservado cuando: </w:t>
      </w:r>
    </w:p>
    <w:p w14:paraId="50D21FF9" w14:textId="77777777" w:rsidR="00F65708" w:rsidRPr="00424261" w:rsidRDefault="00F65708" w:rsidP="00F65708">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lastRenderedPageBreak/>
        <w:t>I.</w:t>
      </w:r>
      <w:r w:rsidRPr="00424261">
        <w:rPr>
          <w:rFonts w:ascii="Palatino Linotype" w:hAnsi="Palatino Linotype"/>
          <w:i/>
          <w:iCs/>
          <w:sz w:val="22"/>
          <w:szCs w:val="22"/>
        </w:rPr>
        <w:t xml:space="preserve"> Se trate de violaciones graves de derechos humanos, calificada así por autoridad competente; </w:t>
      </w:r>
    </w:p>
    <w:p w14:paraId="25484FD6" w14:textId="77777777" w:rsidR="00F65708" w:rsidRPr="00424261" w:rsidRDefault="00F65708" w:rsidP="00F65708">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424261">
        <w:rPr>
          <w:rFonts w:ascii="Palatino Linotype" w:hAnsi="Palatino Linotype"/>
          <w:b/>
          <w:bCs/>
          <w:i/>
          <w:iCs/>
          <w:sz w:val="22"/>
          <w:szCs w:val="22"/>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3A47FBA7" w14:textId="77777777" w:rsidR="00F65708" w:rsidRPr="00424261" w:rsidRDefault="00F65708" w:rsidP="00F65708">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III.</w:t>
      </w:r>
      <w:r w:rsidRPr="00424261">
        <w:rPr>
          <w:rFonts w:ascii="Palatino Linotype" w:hAnsi="Palatino Linotype"/>
          <w:i/>
          <w:iCs/>
          <w:sz w:val="22"/>
          <w:szCs w:val="22"/>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290589DE" w14:textId="768E0550" w:rsidR="00F65708" w:rsidRPr="00424261" w:rsidRDefault="00F65708" w:rsidP="00F65708">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IV.</w:t>
      </w:r>
      <w:r w:rsidRPr="00424261">
        <w:rPr>
          <w:rFonts w:ascii="Palatino Linotype" w:hAnsi="Palatino Linotype"/>
          <w:i/>
          <w:iCs/>
          <w:sz w:val="22"/>
          <w:szCs w:val="22"/>
        </w:rPr>
        <w:t xml:space="preserve"> Se trate de información relacionada con actos de corrupción de conformidad con las disposiciones jurídicas aplicables.”</w:t>
      </w:r>
    </w:p>
    <w:p w14:paraId="416ED17D" w14:textId="11FA1F94" w:rsidR="00F65708" w:rsidRPr="00424261" w:rsidRDefault="00F65708" w:rsidP="00F65708">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sz w:val="22"/>
          <w:szCs w:val="22"/>
        </w:rPr>
        <w:t>(Énfasis añadido)</w:t>
      </w:r>
    </w:p>
    <w:p w14:paraId="547073FD" w14:textId="77777777" w:rsidR="00F65708" w:rsidRPr="00424261" w:rsidRDefault="00F65708"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1340CFF0" w14:textId="784F5D19" w:rsidR="00073326" w:rsidRPr="00424261" w:rsidRDefault="00853F9E" w:rsidP="00E3142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Siendo de especial interés para el presente asunto la causal de difusión de información establecida en la fracción II del artículo normativo transcrito </w:t>
      </w:r>
      <w:r w:rsidRPr="00424261">
        <w:rPr>
          <w:rFonts w:ascii="Palatino Linotype" w:hAnsi="Palatino Linotype"/>
          <w:i/>
          <w:iCs/>
          <w:color w:val="000000" w:themeColor="text1"/>
        </w:rPr>
        <w:t>supra</w:t>
      </w:r>
      <w:r w:rsidR="00F65708" w:rsidRPr="00424261">
        <w:rPr>
          <w:rFonts w:ascii="Palatino Linotype" w:hAnsi="Palatino Linotype"/>
          <w:color w:val="000000" w:themeColor="text1"/>
        </w:rPr>
        <w:t>,</w:t>
      </w:r>
      <w:r w:rsidRPr="00424261">
        <w:rPr>
          <w:rFonts w:ascii="Palatino Linotype" w:hAnsi="Palatino Linotype"/>
          <w:color w:val="000000" w:themeColor="text1"/>
        </w:rPr>
        <w:t xml:space="preserve"> el cual señala que</w:t>
      </w:r>
      <w:r w:rsidR="00F65708" w:rsidRPr="00424261">
        <w:rPr>
          <w:rFonts w:ascii="Palatino Linotype" w:hAnsi="Palatino Linotype"/>
          <w:color w:val="000000" w:themeColor="text1"/>
        </w:rPr>
        <w:t xml:space="preserve"> cuando la información solicitada se relacione con </w:t>
      </w:r>
      <w:r w:rsidR="00A8209E" w:rsidRPr="00424261">
        <w:rPr>
          <w:rFonts w:ascii="Palatino Linotype" w:hAnsi="Palatino Linotype"/>
          <w:color w:val="000000" w:themeColor="text1"/>
        </w:rPr>
        <w:t xml:space="preserve">violaciones graves a derechos humanos, al ser calificada así por una autoridad competente, </w:t>
      </w:r>
      <w:r w:rsidR="00A8209E" w:rsidRPr="00424261">
        <w:rPr>
          <w:rFonts w:ascii="Palatino Linotype" w:hAnsi="Palatino Linotype"/>
          <w:b/>
          <w:bCs/>
          <w:color w:val="000000" w:themeColor="text1"/>
        </w:rPr>
        <w:t>no se podrá restringir su acceso</w:t>
      </w:r>
      <w:r w:rsidR="00A8209E" w:rsidRPr="00424261">
        <w:rPr>
          <w:rFonts w:ascii="Palatino Linotype" w:hAnsi="Palatino Linotype"/>
          <w:color w:val="000000" w:themeColor="text1"/>
        </w:rPr>
        <w:t>; inclusive, no será necesario el pronunciamiento de una autoridad competente cuando se demuestre su trascendencia social a partir de criterios cuantitativos y cualitativos.</w:t>
      </w:r>
    </w:p>
    <w:p w14:paraId="574F1953" w14:textId="77777777" w:rsidR="00391E45" w:rsidRPr="00424261" w:rsidRDefault="00391E45" w:rsidP="00391E45">
      <w:pPr>
        <w:pStyle w:val="Prrafodelista"/>
        <w:tabs>
          <w:tab w:val="left" w:pos="426"/>
        </w:tabs>
        <w:spacing w:before="240" w:after="240" w:line="360" w:lineRule="auto"/>
        <w:ind w:left="0" w:right="51"/>
        <w:jc w:val="both"/>
        <w:rPr>
          <w:rFonts w:ascii="Palatino Linotype" w:hAnsi="Palatino Linotype"/>
          <w:color w:val="000000" w:themeColor="text1"/>
        </w:rPr>
      </w:pPr>
    </w:p>
    <w:p w14:paraId="2F7DEDAE" w14:textId="6266C5AC" w:rsidR="00391E45" w:rsidRPr="00424261" w:rsidRDefault="00391E45" w:rsidP="00E3142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Robustece lo anterior, </w:t>
      </w:r>
      <w:r w:rsidR="00853F9E" w:rsidRPr="00424261">
        <w:rPr>
          <w:rFonts w:ascii="Palatino Linotype" w:hAnsi="Palatino Linotype"/>
          <w:color w:val="000000" w:themeColor="text1"/>
        </w:rPr>
        <w:t xml:space="preserve">la </w:t>
      </w:r>
      <w:r w:rsidR="00853F9E" w:rsidRPr="00424261">
        <w:rPr>
          <w:rFonts w:ascii="Palatino Linotype" w:hAnsi="Palatino Linotype"/>
          <w:color w:val="000000" w:themeColor="text1"/>
          <w:lang w:val="es-ES_tradnl"/>
        </w:rPr>
        <w:t>Tesis Aislada 1a. IX/2012 (10a.), de la Primera Sala de la Suprema Corte de Justicia de la Nación, cuyo rubro y texto se comparten a continuación:</w:t>
      </w:r>
    </w:p>
    <w:p w14:paraId="796BC476" w14:textId="1BBA3AB1" w:rsidR="00073326" w:rsidRPr="00424261" w:rsidRDefault="00073326" w:rsidP="00853F9E">
      <w:pPr>
        <w:pStyle w:val="Prrafodelista"/>
        <w:tabs>
          <w:tab w:val="left" w:pos="426"/>
        </w:tabs>
        <w:spacing w:before="240" w:line="360" w:lineRule="auto"/>
        <w:ind w:left="0" w:right="51"/>
        <w:jc w:val="both"/>
        <w:rPr>
          <w:rFonts w:ascii="Palatino Linotype" w:hAnsi="Palatino Linotype"/>
          <w:color w:val="000000" w:themeColor="text1"/>
        </w:rPr>
      </w:pPr>
    </w:p>
    <w:p w14:paraId="3096459B" w14:textId="77777777" w:rsidR="00853F9E" w:rsidRPr="00424261" w:rsidRDefault="00853F9E" w:rsidP="00853F9E">
      <w:pPr>
        <w:pStyle w:val="Sinespaciado"/>
        <w:ind w:left="567" w:right="567"/>
        <w:jc w:val="both"/>
        <w:rPr>
          <w:rFonts w:ascii="Palatino Linotype" w:hAnsi="Palatino Linotype"/>
          <w:sz w:val="22"/>
        </w:rPr>
      </w:pPr>
      <w:r w:rsidRPr="00424261">
        <w:rPr>
          <w:rFonts w:ascii="Palatino Linotype" w:hAnsi="Palatino Linotype"/>
          <w:b/>
          <w:i/>
          <w:sz w:val="22"/>
        </w:rPr>
        <w:t xml:space="preserve">DERECHO A LA INFORMACIÓN. ACCESO A LAS AVERIGUACIONES PREVIAS QUE INVESTIGUEN HECHOS QUE CONSTITUYAN GRAVES VIOLACIONES A DERECHOS HUMANOS O DELITOS DE LESA </w:t>
      </w:r>
      <w:r w:rsidRPr="00424261">
        <w:rPr>
          <w:rFonts w:ascii="Palatino Linotype" w:hAnsi="Palatino Linotype"/>
          <w:b/>
          <w:i/>
          <w:sz w:val="22"/>
        </w:rPr>
        <w:lastRenderedPageBreak/>
        <w:t>HUMANIDAD.</w:t>
      </w:r>
      <w:r w:rsidRPr="00424261">
        <w:rPr>
          <w:rFonts w:ascii="Palatino Linotype" w:hAnsi="Palatino Linotype"/>
          <w:i/>
          <w:sz w:val="22"/>
        </w:rPr>
        <w:t xml:space="preserve"> “En materia de derecho a la información pública, la regla general en un Estado democrático de derecho debe ser el acceso y máxima publicidad de la información. Sin embargo, la regla general presenta algunas excepciones, las cuales, por mandato constitucional, deben estar previstas en leyes en sentido formal y material. Una de estas excepciones es el caso de las averiguaciones previas, cuyo contenido debe considerarse como estrictamente reservado, en términos de lo dispuesto en el artículo 16 del Código Federal de Procedimientos Penales, y de los artículos 13, fracción V, y 14, fracción III, de la Ley Federal de Transparencia y Acceso a la Información Pública Gubernamental. Ahora bien, esta limitante tampoco puede considerarse como absoluta y presenta una excepción -de modo que estamos ante una excepción a la excepción- consistente en que, </w:t>
      </w:r>
      <w:r w:rsidRPr="00424261">
        <w:rPr>
          <w:rFonts w:ascii="Palatino Linotype" w:hAnsi="Palatino Linotype"/>
          <w:b/>
          <w:i/>
          <w:sz w:val="22"/>
        </w:rPr>
        <w:t>de conformidad con lo dispuesto en el último párrafo del artículo 14 de la Ley Federal de Transparencia y Acceso a la Información Pública Gubernamental, no puede alegarse el carácter de reservado cuando la averiguación previa investigue hechos constitutivos de graves violaciones a derechos humanos o delitos de lesa humanidad</w:t>
      </w:r>
      <w:r w:rsidRPr="00424261">
        <w:rPr>
          <w:rFonts w:ascii="Palatino Linotype" w:hAnsi="Palatino Linotype"/>
          <w:i/>
          <w:sz w:val="22"/>
        </w:rPr>
        <w:t xml:space="preserve">. Las averiguaciones previas se mantienen reservadas en atención a que la difusión de la información contenida en ellas podría afectar gravemente la persecución de delitos y, con ello, al sistema de impartición de justicia. A pesar de lo anterior, </w:t>
      </w:r>
      <w:r w:rsidRPr="00424261">
        <w:rPr>
          <w:rFonts w:ascii="Palatino Linotype" w:hAnsi="Palatino Linotype"/>
          <w:b/>
          <w:i/>
          <w:sz w:val="22"/>
        </w:rPr>
        <w:t>la ley previó como excepción a la reserva de las averiguaciones previas aquellos casos extremos en los cuales</w:t>
      </w:r>
      <w:r w:rsidRPr="00424261">
        <w:rPr>
          <w:rFonts w:ascii="Palatino Linotype" w:hAnsi="Palatino Linotype"/>
          <w:i/>
          <w:sz w:val="22"/>
        </w:rPr>
        <w:t xml:space="preserve"> </w:t>
      </w:r>
      <w:r w:rsidRPr="00424261">
        <w:rPr>
          <w:rFonts w:ascii="Palatino Linotype" w:hAnsi="Palatino Linotype"/>
          <w:b/>
          <w:i/>
          <w:sz w:val="22"/>
        </w:rPr>
        <w:t>el delito perseguido es de tal gravedad que el interés público en mantener la averiguación previa en reserva se ve superado por el interés de la sociedad en su conjunto de conocer todas las diligencias que se estén llevando a cabo para la oportuna investigación, detención, juicio y sanción de los responsables</w:t>
      </w:r>
      <w:r w:rsidRPr="00424261">
        <w:rPr>
          <w:rFonts w:ascii="Palatino Linotype" w:hAnsi="Palatino Linotype"/>
          <w:i/>
          <w:sz w:val="22"/>
        </w:rPr>
        <w:t xml:space="preserve">. Estos casos de excepción son las investigaciones sobre graves violaciones a derechos humanos y delitos o crímenes de lesa humanidad. Esta Primera Sala de la Suprema Corte de Justicia de la Nación recuerda que el Tribunal Pleno reconoció en la tesis jurisprudencial P./J. 54/2008, el doble carácter del derecho de acceso a la información, como un derecho en sí mismo, pero también como un medio o instrumento para el ejercicio de otros derechos. En este sentido, el Tribunal Pleno destacó que el derecho de acceso a la información es la base para que los gobernados ejerzan un control respecto del funcionamiento institucional de los poderes públicos, por lo cual se perfila como un límite a la exclusividad estatal en el manejo de la información y, por ende, como una exigencia social de todo Estado de Derecho. </w:t>
      </w:r>
      <w:r w:rsidRPr="00424261">
        <w:rPr>
          <w:rFonts w:ascii="Palatino Linotype" w:hAnsi="Palatino Linotype"/>
          <w:b/>
          <w:i/>
          <w:sz w:val="22"/>
        </w:rPr>
        <w:t>En virtud de lo anterior, cobra una especial relevancia la necesidad de permitir el acceso a la información que conste en averiguaciones previas que investiguen hechos que constituyan graves violaciones a derechos humanos o crímenes de lesa humanidad, pues estos supuestos no sólo afectan a las víctimas y ofendidos en forma directa por los hechos antijurídicos, sino que ofenden a toda la sociedad, precisamente por su gravedad y por las repercusiones que implican</w:t>
      </w:r>
      <w:r w:rsidRPr="00424261">
        <w:rPr>
          <w:rFonts w:ascii="Palatino Linotype" w:hAnsi="Palatino Linotype"/>
          <w:i/>
          <w:sz w:val="22"/>
        </w:rPr>
        <w:t>.”</w:t>
      </w:r>
    </w:p>
    <w:p w14:paraId="0FF9065B" w14:textId="77777777" w:rsidR="00853F9E" w:rsidRPr="00424261" w:rsidRDefault="00853F9E" w:rsidP="00853F9E">
      <w:pPr>
        <w:pStyle w:val="Sinespaciado"/>
        <w:ind w:left="567" w:right="567"/>
        <w:jc w:val="both"/>
        <w:rPr>
          <w:rFonts w:ascii="Palatino Linotype" w:hAnsi="Palatino Linotype"/>
          <w:sz w:val="22"/>
        </w:rPr>
      </w:pPr>
      <w:r w:rsidRPr="00424261">
        <w:rPr>
          <w:rFonts w:ascii="Palatino Linotype" w:hAnsi="Palatino Linotype"/>
          <w:sz w:val="22"/>
        </w:rPr>
        <w:t>(Énfasis añadido)</w:t>
      </w:r>
    </w:p>
    <w:p w14:paraId="7F053390" w14:textId="77777777" w:rsidR="00853F9E" w:rsidRPr="00424261" w:rsidRDefault="00853F9E"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1880CA24" w14:textId="1B2B3613" w:rsidR="00073326" w:rsidRPr="00424261" w:rsidRDefault="00853F9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R</w:t>
      </w:r>
      <w:r w:rsidR="0034137D" w:rsidRPr="00424261">
        <w:rPr>
          <w:rFonts w:ascii="Palatino Linotype" w:hAnsi="Palatino Linotype"/>
          <w:color w:val="000000" w:themeColor="text1"/>
        </w:rPr>
        <w:t>azón de lo anterior, y dada la semántica de la información solicitada, este Organismo Garante encuentra procedente realizar un estudio de las circunstancias del caso, a efecto de determinar si existen elementos que actualicen alguno de los escenarios establecidos en el numeral 142 de la Ley de Transparencia y Acceso a la Información Pública del Estado de México y Municipios.</w:t>
      </w:r>
    </w:p>
    <w:p w14:paraId="22695358" w14:textId="2182F95E"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8A54239" w14:textId="2820ABB1" w:rsidR="0034137D" w:rsidRPr="00424261" w:rsidRDefault="0034137D" w:rsidP="00A0560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1" w:name="_Toc101963392"/>
      <w:r w:rsidRPr="00424261">
        <w:rPr>
          <w:rFonts w:ascii="Palatino Linotype" w:hAnsi="Palatino Linotype"/>
          <w:b/>
          <w:bCs/>
          <w:color w:val="000000" w:themeColor="text1"/>
        </w:rPr>
        <w:t>IV. Antecedente histórico del caso</w:t>
      </w:r>
      <w:r w:rsidR="00056051" w:rsidRPr="00424261">
        <w:rPr>
          <w:rFonts w:ascii="Palatino Linotype" w:hAnsi="Palatino Linotype"/>
          <w:b/>
          <w:bCs/>
          <w:color w:val="000000" w:themeColor="text1"/>
        </w:rPr>
        <w:t>.</w:t>
      </w:r>
      <w:bookmarkEnd w:id="41"/>
    </w:p>
    <w:p w14:paraId="5562B340" w14:textId="77777777" w:rsidR="0034137D" w:rsidRPr="00424261" w:rsidRDefault="0034137D"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7F88831B" w14:textId="4D16485D" w:rsidR="00073326" w:rsidRPr="00424261" w:rsidRDefault="00E10667"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El doce (12) de noviembre de dos mil veintiuno, el periódico </w:t>
      </w:r>
      <w:r w:rsidRPr="00424261">
        <w:rPr>
          <w:rFonts w:ascii="Palatino Linotype" w:hAnsi="Palatino Linotype"/>
          <w:i/>
          <w:iCs/>
          <w:color w:val="000000" w:themeColor="text1"/>
        </w:rPr>
        <w:t>El Universal</w:t>
      </w:r>
      <w:r w:rsidRPr="00424261">
        <w:rPr>
          <w:rFonts w:ascii="Palatino Linotype" w:hAnsi="Palatino Linotype"/>
          <w:color w:val="000000" w:themeColor="text1"/>
        </w:rPr>
        <w:t xml:space="preserve"> publicó una nota titulada ‘Lo que sabemos de Octavio Ocaña a 15 días de su muerte’</w:t>
      </w:r>
      <w:r w:rsidR="009B42BD" w:rsidRPr="00424261">
        <w:rPr>
          <w:rStyle w:val="Refdenotaalpie"/>
          <w:rFonts w:ascii="Palatino Linotype" w:hAnsi="Palatino Linotype"/>
          <w:color w:val="000000" w:themeColor="text1"/>
        </w:rPr>
        <w:footnoteReference w:id="16"/>
      </w:r>
      <w:r w:rsidRPr="00424261">
        <w:rPr>
          <w:rFonts w:ascii="Palatino Linotype" w:hAnsi="Palatino Linotype"/>
          <w:color w:val="000000" w:themeColor="text1"/>
        </w:rPr>
        <w:t>, en la que expone la siguiente línea del tiempo:</w:t>
      </w:r>
    </w:p>
    <w:p w14:paraId="000DDF22" w14:textId="20738F39"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10DFACCB" w14:textId="2E7467E8"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ES"/>
        </w:rPr>
      </w:pPr>
      <w:r w:rsidRPr="00424261">
        <w:rPr>
          <w:rFonts w:ascii="Palatino Linotype" w:hAnsi="Palatino Linotype"/>
          <w:i/>
          <w:iCs/>
          <w:color w:val="000000" w:themeColor="text1"/>
        </w:rPr>
        <w:t>“</w:t>
      </w: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lang w:val="es-ES"/>
        </w:rPr>
        <w:t>La tarde del 29 de octubre, Octavio Ocaña y dos acompañantes viajaban abordo de la </w:t>
      </w:r>
      <w:r w:rsidRPr="00424261">
        <w:rPr>
          <w:rFonts w:ascii="Palatino Linotype" w:hAnsi="Palatino Linotype"/>
          <w:b/>
          <w:bCs/>
          <w:i/>
          <w:iCs/>
          <w:color w:val="000000" w:themeColor="text1"/>
          <w:sz w:val="22"/>
          <w:szCs w:val="22"/>
          <w:u w:val="double"/>
          <w:lang w:val="es-ES"/>
        </w:rPr>
        <w:t>camioneta gris Jeep </w:t>
      </w:r>
      <w:r w:rsidRPr="00424261">
        <w:rPr>
          <w:rFonts w:ascii="Palatino Linotype" w:hAnsi="Palatino Linotype"/>
          <w:i/>
          <w:iCs/>
          <w:color w:val="000000" w:themeColor="text1"/>
          <w:sz w:val="22"/>
          <w:szCs w:val="22"/>
          <w:u w:val="double"/>
          <w:lang w:val="es-ES"/>
        </w:rPr>
        <w:t>del actor en el municipio de </w:t>
      </w:r>
      <w:r w:rsidRPr="00424261">
        <w:rPr>
          <w:rFonts w:ascii="Palatino Linotype" w:hAnsi="Palatino Linotype"/>
          <w:b/>
          <w:bCs/>
          <w:i/>
          <w:iCs/>
          <w:color w:val="000000" w:themeColor="text1"/>
          <w:sz w:val="22"/>
          <w:szCs w:val="22"/>
          <w:u w:val="double"/>
          <w:lang w:val="es-ES"/>
        </w:rPr>
        <w:t>Cuautitlán Izcalli</w:t>
      </w:r>
      <w:r w:rsidRPr="00424261">
        <w:rPr>
          <w:rFonts w:ascii="Palatino Linotype" w:hAnsi="Palatino Linotype"/>
          <w:i/>
          <w:iCs/>
          <w:color w:val="000000" w:themeColor="text1"/>
          <w:sz w:val="22"/>
          <w:szCs w:val="22"/>
          <w:lang w:val="es-ES"/>
        </w:rPr>
        <w:t>.</w:t>
      </w:r>
    </w:p>
    <w:p w14:paraId="42C302FA"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ES"/>
        </w:rPr>
      </w:pPr>
    </w:p>
    <w:p w14:paraId="6FF4948D" w14:textId="4E56068A"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Según los acompañantes de Ocaña, policías municipales les marcaron el alto, pero el actor aceleró, lo que inició una </w:t>
      </w:r>
      <w:r w:rsidRPr="00424261">
        <w:rPr>
          <w:rFonts w:ascii="Palatino Linotype" w:hAnsi="Palatino Linotype"/>
          <w:b/>
          <w:bCs/>
          <w:i/>
          <w:iCs/>
          <w:color w:val="000000" w:themeColor="text1"/>
          <w:sz w:val="22"/>
          <w:szCs w:val="22"/>
          <w:u w:val="double"/>
        </w:rPr>
        <w:t>persecución</w:t>
      </w:r>
      <w:r w:rsidRPr="00424261">
        <w:rPr>
          <w:rFonts w:ascii="Palatino Linotype" w:hAnsi="Palatino Linotype"/>
          <w:i/>
          <w:iCs/>
          <w:color w:val="000000" w:themeColor="text1"/>
          <w:sz w:val="22"/>
          <w:szCs w:val="22"/>
        </w:rPr>
        <w:t>. </w:t>
      </w:r>
    </w:p>
    <w:p w14:paraId="5545AE2E"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4F3D6E4" w14:textId="6D37F094"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Testigos señalaron que les fue marcado el alto debido a que el conductor -Octavio Ocaña- conducía en</w:t>
      </w:r>
      <w:r w:rsidRPr="00424261">
        <w:rPr>
          <w:rFonts w:ascii="Palatino Linotype" w:hAnsi="Palatino Linotype"/>
          <w:b/>
          <w:bCs/>
          <w:i/>
          <w:iCs/>
          <w:color w:val="000000" w:themeColor="text1"/>
          <w:sz w:val="22"/>
          <w:szCs w:val="22"/>
          <w:u w:val="double"/>
        </w:rPr>
        <w:t> supuesto estado de ebriedad</w:t>
      </w:r>
      <w:r w:rsidRPr="00424261">
        <w:rPr>
          <w:rFonts w:ascii="Palatino Linotype" w:hAnsi="Palatino Linotype"/>
          <w:i/>
          <w:iCs/>
          <w:color w:val="000000" w:themeColor="text1"/>
          <w:sz w:val="22"/>
          <w:szCs w:val="22"/>
          <w:u w:val="double"/>
        </w:rPr>
        <w:t>, por lo que al iniciar la persecución policiaca el actor sacó un arma de fuego que portaba en su guantera, la cual se accionó de manera accidental durante la persecución, ocasionando que el impacto diera en la cabeza del joven de 22 años</w:t>
      </w:r>
      <w:r w:rsidRPr="00424261">
        <w:rPr>
          <w:rFonts w:ascii="Palatino Linotype" w:hAnsi="Palatino Linotype"/>
          <w:i/>
          <w:iCs/>
          <w:color w:val="000000" w:themeColor="text1"/>
          <w:sz w:val="22"/>
          <w:szCs w:val="22"/>
        </w:rPr>
        <w:t>. </w:t>
      </w:r>
    </w:p>
    <w:p w14:paraId="16153DC0"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987B16E" w14:textId="1CB75DB4"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Al recibir el disparo, el actor perdió el control de su vehículo, el cuál se impactó contra un montículo de tierra en la </w:t>
      </w:r>
      <w:r w:rsidRPr="00424261">
        <w:rPr>
          <w:rFonts w:ascii="Palatino Linotype" w:hAnsi="Palatino Linotype"/>
          <w:b/>
          <w:bCs/>
          <w:i/>
          <w:iCs/>
          <w:color w:val="000000" w:themeColor="text1"/>
          <w:sz w:val="22"/>
          <w:szCs w:val="22"/>
          <w:u w:val="double"/>
        </w:rPr>
        <w:t>autopista Lechería-Chamapa</w:t>
      </w:r>
      <w:r w:rsidRPr="00424261">
        <w:rPr>
          <w:rFonts w:ascii="Palatino Linotype" w:hAnsi="Palatino Linotype"/>
          <w:i/>
          <w:iCs/>
          <w:color w:val="000000" w:themeColor="text1"/>
          <w:sz w:val="22"/>
          <w:szCs w:val="22"/>
          <w:u w:val="double"/>
        </w:rPr>
        <w:t xml:space="preserve">. Al lugar llegaron los </w:t>
      </w:r>
      <w:r w:rsidRPr="00424261">
        <w:rPr>
          <w:rFonts w:ascii="Palatino Linotype" w:hAnsi="Palatino Linotype"/>
          <w:i/>
          <w:iCs/>
          <w:color w:val="000000" w:themeColor="text1"/>
          <w:sz w:val="22"/>
          <w:szCs w:val="22"/>
          <w:u w:val="double"/>
        </w:rPr>
        <w:lastRenderedPageBreak/>
        <w:t>policías municipales, quienes sometieron y detuvieron a sus acompañantes, mientras el actor agonizaba en su asiento</w:t>
      </w:r>
      <w:r w:rsidRPr="00424261">
        <w:rPr>
          <w:rFonts w:ascii="Palatino Linotype" w:hAnsi="Palatino Linotype"/>
          <w:i/>
          <w:iCs/>
          <w:color w:val="000000" w:themeColor="text1"/>
          <w:sz w:val="22"/>
          <w:szCs w:val="22"/>
        </w:rPr>
        <w:t>. </w:t>
      </w:r>
    </w:p>
    <w:p w14:paraId="41928959" w14:textId="2DABF5B2"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83C95A9" w14:textId="6B0F6360"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w:t>
      </w:r>
      <w:r w:rsidRPr="00424261">
        <w:rPr>
          <w:rFonts w:ascii="Palatino Linotype" w:hAnsi="Palatino Linotype"/>
          <w:b/>
          <w:bCs/>
          <w:i/>
          <w:iCs/>
          <w:color w:val="000000" w:themeColor="text1"/>
          <w:sz w:val="22"/>
          <w:szCs w:val="22"/>
        </w:rPr>
        <w:t>Actores y fans</w:t>
      </w:r>
      <w:r w:rsidRPr="00424261">
        <w:rPr>
          <w:rFonts w:ascii="Palatino Linotype" w:hAnsi="Palatino Linotype"/>
          <w:i/>
          <w:iCs/>
          <w:color w:val="000000" w:themeColor="text1"/>
          <w:sz w:val="22"/>
          <w:szCs w:val="22"/>
        </w:rPr>
        <w:t> de "Benito Rivers" expresaron sus condolencias tras el anuncio de la muerte del actor de 22 años.    </w:t>
      </w:r>
    </w:p>
    <w:p w14:paraId="48644B9E"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74671AC" w14:textId="4AB5BC0C"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La </w:t>
      </w:r>
      <w:r w:rsidRPr="00424261">
        <w:rPr>
          <w:rFonts w:ascii="Palatino Linotype" w:hAnsi="Palatino Linotype"/>
          <w:b/>
          <w:bCs/>
          <w:i/>
          <w:iCs/>
          <w:color w:val="000000" w:themeColor="text1"/>
          <w:sz w:val="22"/>
          <w:szCs w:val="22"/>
        </w:rPr>
        <w:t>Fiscalía General de Justicia del Estado de México </w:t>
      </w:r>
      <w:r w:rsidRPr="00424261">
        <w:rPr>
          <w:rFonts w:ascii="Palatino Linotype" w:hAnsi="Palatino Linotype"/>
          <w:i/>
          <w:iCs/>
          <w:color w:val="000000" w:themeColor="text1"/>
          <w:sz w:val="22"/>
          <w:szCs w:val="22"/>
        </w:rPr>
        <w:t>(FGJEM) dictaminó mediante sus peritajes que el actor murió por el impacto de bala, el cual fue localizado en el techo de la camioneta que conducía; también se determinó que el joven de 22 años conducía alcoholizado y durante la necropsia se encontraron rastros de consumo de </w:t>
      </w:r>
      <w:r w:rsidRPr="00424261">
        <w:rPr>
          <w:rFonts w:ascii="Palatino Linotype" w:hAnsi="Palatino Linotype"/>
          <w:b/>
          <w:bCs/>
          <w:i/>
          <w:iCs/>
          <w:color w:val="000000" w:themeColor="text1"/>
          <w:sz w:val="22"/>
          <w:szCs w:val="22"/>
        </w:rPr>
        <w:t>tetrahidrocannabinol</w:t>
      </w:r>
      <w:r w:rsidRPr="00424261">
        <w:rPr>
          <w:rFonts w:ascii="Palatino Linotype" w:hAnsi="Palatino Linotype"/>
          <w:i/>
          <w:iCs/>
          <w:color w:val="000000" w:themeColor="text1"/>
          <w:sz w:val="22"/>
          <w:szCs w:val="22"/>
        </w:rPr>
        <w:t> (THC), sustancia química derivada de la marihuana. </w:t>
      </w:r>
    </w:p>
    <w:p w14:paraId="38FBF56C"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483C84C" w14:textId="6E95ACCD"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 xml:space="preserve">Aunque durante el funeral de Octavio Ocaña su padre, </w:t>
      </w:r>
      <w:r w:rsidR="005F757D" w:rsidRPr="00424261">
        <w:rPr>
          <w:rFonts w:ascii="Palatino Linotype" w:hAnsi="Palatino Linotype"/>
          <w:i/>
          <w:iCs/>
          <w:color w:val="000000" w:themeColor="text1"/>
          <w:sz w:val="22"/>
          <w:szCs w:val="22"/>
          <w:u w:val="double"/>
        </w:rPr>
        <w:t>XXXXX</w:t>
      </w:r>
      <w:r w:rsidRPr="00424261">
        <w:rPr>
          <w:rFonts w:ascii="Palatino Linotype" w:hAnsi="Palatino Linotype"/>
          <w:i/>
          <w:iCs/>
          <w:color w:val="000000" w:themeColor="text1"/>
          <w:sz w:val="22"/>
          <w:szCs w:val="22"/>
          <w:u w:val="double"/>
        </w:rPr>
        <w:t>, afirmó que el arma le había sido sembrada, posteriormente reconoció que la</w:t>
      </w:r>
      <w:r w:rsidRPr="00424261">
        <w:rPr>
          <w:rFonts w:ascii="Palatino Linotype" w:hAnsi="Palatino Linotype"/>
          <w:b/>
          <w:bCs/>
          <w:i/>
          <w:iCs/>
          <w:color w:val="000000" w:themeColor="text1"/>
          <w:sz w:val="22"/>
          <w:szCs w:val="22"/>
          <w:u w:val="double"/>
        </w:rPr>
        <w:t> pistola era propiedad de su hijo</w:t>
      </w:r>
      <w:r w:rsidRPr="00424261">
        <w:rPr>
          <w:rFonts w:ascii="Palatino Linotype" w:hAnsi="Palatino Linotype"/>
          <w:i/>
          <w:iCs/>
          <w:color w:val="000000" w:themeColor="text1"/>
          <w:sz w:val="22"/>
          <w:szCs w:val="22"/>
          <w:u w:val="double"/>
        </w:rPr>
        <w:t>, pero que él sabía disparar, y que la bala que le habría quitado la vida no correspondía al calibre del arma, de la cual tenía permiso por parte de la Defensa Nacional</w:t>
      </w:r>
      <w:r w:rsidRPr="00424261">
        <w:rPr>
          <w:rFonts w:ascii="Palatino Linotype" w:hAnsi="Palatino Linotype"/>
          <w:i/>
          <w:iCs/>
          <w:color w:val="000000" w:themeColor="text1"/>
          <w:sz w:val="22"/>
          <w:szCs w:val="22"/>
        </w:rPr>
        <w:t>. </w:t>
      </w:r>
    </w:p>
    <w:p w14:paraId="4E562737"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2EA7EC58" w14:textId="5A2B4750"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Familiares del actor sepultaron al joven luego de que su papá pidiera le fuera entregado el cuerpo para llevarlo a </w:t>
      </w:r>
      <w:r w:rsidRPr="00424261">
        <w:rPr>
          <w:rFonts w:ascii="Palatino Linotype" w:hAnsi="Palatino Linotype"/>
          <w:b/>
          <w:bCs/>
          <w:i/>
          <w:iCs/>
          <w:color w:val="000000" w:themeColor="text1"/>
          <w:sz w:val="22"/>
          <w:szCs w:val="22"/>
        </w:rPr>
        <w:t>Villa Hermosa, Tabasco</w:t>
      </w:r>
      <w:r w:rsidRPr="00424261">
        <w:rPr>
          <w:rFonts w:ascii="Palatino Linotype" w:hAnsi="Palatino Linotype"/>
          <w:i/>
          <w:iCs/>
          <w:color w:val="000000" w:themeColor="text1"/>
          <w:sz w:val="22"/>
          <w:szCs w:val="22"/>
        </w:rPr>
        <w:t>, ciudad natal del actor.</w:t>
      </w:r>
    </w:p>
    <w:p w14:paraId="495BBC33" w14:textId="5F4FDF32"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7A92B01" w14:textId="74674999"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El presidente Andrés Manuel López Obrador aseguró que con respeto a la investigación que inició la Fiscalía de Justicia del Estado de México, su gobierno ayudará a esclarecer la muerte de Octavio Ocaña, como lo pidió el padre del actor</w:t>
      </w:r>
      <w:r w:rsidRPr="00424261">
        <w:rPr>
          <w:rFonts w:ascii="Palatino Linotype" w:hAnsi="Palatino Linotype"/>
          <w:i/>
          <w:iCs/>
          <w:color w:val="000000" w:themeColor="text1"/>
          <w:sz w:val="22"/>
          <w:szCs w:val="22"/>
        </w:rPr>
        <w:t>. </w:t>
      </w:r>
    </w:p>
    <w:p w14:paraId="397F5DA8"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FE3B48E" w14:textId="6638BF3C"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En redes sociales circularon diversos </w:t>
      </w:r>
      <w:r w:rsidRPr="00424261">
        <w:rPr>
          <w:rFonts w:ascii="Palatino Linotype" w:hAnsi="Palatino Linotype"/>
          <w:b/>
          <w:bCs/>
          <w:i/>
          <w:iCs/>
          <w:color w:val="000000" w:themeColor="text1"/>
          <w:sz w:val="22"/>
          <w:szCs w:val="22"/>
        </w:rPr>
        <w:t>videos</w:t>
      </w:r>
      <w:r w:rsidRPr="00424261">
        <w:rPr>
          <w:rFonts w:ascii="Palatino Linotype" w:hAnsi="Palatino Linotype"/>
          <w:i/>
          <w:iCs/>
          <w:color w:val="000000" w:themeColor="text1"/>
          <w:sz w:val="22"/>
          <w:szCs w:val="22"/>
        </w:rPr>
        <w:t> del accidente del actor, así como de él en situaciones de su vida -con su novia, familiares y amigos-, que desataron la opinión pública.  </w:t>
      </w:r>
    </w:p>
    <w:p w14:paraId="2A0D4C65"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3D929AB4" w14:textId="5B38923C"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La hermana y la novia de Octavio Ocaña denunciaron el </w:t>
      </w:r>
      <w:r w:rsidRPr="00424261">
        <w:rPr>
          <w:rFonts w:ascii="Palatino Linotype" w:hAnsi="Palatino Linotype"/>
          <w:b/>
          <w:bCs/>
          <w:i/>
          <w:iCs/>
          <w:color w:val="000000" w:themeColor="text1"/>
          <w:sz w:val="22"/>
          <w:szCs w:val="22"/>
          <w:u w:val="double"/>
        </w:rPr>
        <w:t>robo de una esclava de oro</w:t>
      </w:r>
      <w:r w:rsidRPr="00424261">
        <w:rPr>
          <w:rFonts w:ascii="Palatino Linotype" w:hAnsi="Palatino Linotype"/>
          <w:i/>
          <w:iCs/>
          <w:color w:val="000000" w:themeColor="text1"/>
          <w:sz w:val="22"/>
          <w:szCs w:val="22"/>
          <w:u w:val="double"/>
        </w:rPr>
        <w:t> y del celular del actor por parte de policías municipales; señalaron que le fueron quitados en el momento en que el actor se encontraba agonizando al interior de su auto, minutos después de que se impactara con el montículo de tierra</w:t>
      </w:r>
      <w:r w:rsidRPr="00424261">
        <w:rPr>
          <w:rFonts w:ascii="Palatino Linotype" w:hAnsi="Palatino Linotype"/>
          <w:i/>
          <w:iCs/>
          <w:color w:val="000000" w:themeColor="text1"/>
          <w:sz w:val="22"/>
          <w:szCs w:val="22"/>
        </w:rPr>
        <w:t>. </w:t>
      </w:r>
    </w:p>
    <w:p w14:paraId="244EF5F2"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3C45D38B" w14:textId="043DF8D8"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lastRenderedPageBreak/>
        <w:t>- </w:t>
      </w:r>
      <w:r w:rsidRPr="00424261">
        <w:rPr>
          <w:rFonts w:ascii="Palatino Linotype" w:hAnsi="Palatino Linotype"/>
          <w:i/>
          <w:iCs/>
          <w:color w:val="000000" w:themeColor="text1"/>
          <w:sz w:val="22"/>
          <w:szCs w:val="22"/>
          <w:u w:val="double"/>
        </w:rPr>
        <w:t>Octavio Pérez, padre del actor, afirmó que los</w:t>
      </w:r>
      <w:r w:rsidRPr="00424261">
        <w:rPr>
          <w:rFonts w:ascii="Palatino Linotype" w:hAnsi="Palatino Linotype"/>
          <w:b/>
          <w:bCs/>
          <w:i/>
          <w:iCs/>
          <w:color w:val="000000" w:themeColor="text1"/>
          <w:sz w:val="22"/>
          <w:szCs w:val="22"/>
          <w:u w:val="double"/>
        </w:rPr>
        <w:t> acompañantes</w:t>
      </w:r>
      <w:r w:rsidRPr="00424261">
        <w:rPr>
          <w:rFonts w:ascii="Palatino Linotype" w:hAnsi="Palatino Linotype"/>
          <w:i/>
          <w:iCs/>
          <w:color w:val="000000" w:themeColor="text1"/>
          <w:sz w:val="22"/>
          <w:szCs w:val="22"/>
          <w:u w:val="double"/>
        </w:rPr>
        <w:t> de "Benito Rivers" que viajaban con él al momento del accidente fueron </w:t>
      </w:r>
      <w:r w:rsidRPr="00424261">
        <w:rPr>
          <w:rFonts w:ascii="Palatino Linotype" w:hAnsi="Palatino Linotype"/>
          <w:b/>
          <w:bCs/>
          <w:i/>
          <w:iCs/>
          <w:color w:val="000000" w:themeColor="text1"/>
          <w:sz w:val="22"/>
          <w:szCs w:val="22"/>
          <w:u w:val="double"/>
        </w:rPr>
        <w:t>torturados </w:t>
      </w:r>
      <w:r w:rsidRPr="00424261">
        <w:rPr>
          <w:rFonts w:ascii="Palatino Linotype" w:hAnsi="Palatino Linotype"/>
          <w:i/>
          <w:iCs/>
          <w:color w:val="000000" w:themeColor="text1"/>
          <w:sz w:val="22"/>
          <w:szCs w:val="22"/>
          <w:u w:val="double"/>
        </w:rPr>
        <w:t>para declarar que Octavio Ocaña se disparó accidentalmente y así fuera firmada la declaración oficial de la FGJ-Edomex</w:t>
      </w:r>
      <w:r w:rsidRPr="00424261">
        <w:rPr>
          <w:rFonts w:ascii="Palatino Linotype" w:hAnsi="Palatino Linotype"/>
          <w:i/>
          <w:iCs/>
          <w:color w:val="000000" w:themeColor="text1"/>
          <w:sz w:val="22"/>
          <w:szCs w:val="22"/>
        </w:rPr>
        <w:t>. </w:t>
      </w:r>
    </w:p>
    <w:p w14:paraId="58802539" w14:textId="4720E2BC"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0A949DB9" w14:textId="0B7A0295"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En una reunión con el fiscal General de Justicia Mexiquense, Alejandro Gómez Sánchez, se analizó el</w:t>
      </w:r>
      <w:r w:rsidRPr="00424261">
        <w:rPr>
          <w:rFonts w:ascii="Palatino Linotype" w:hAnsi="Palatino Linotype"/>
          <w:b/>
          <w:bCs/>
          <w:i/>
          <w:iCs/>
          <w:color w:val="000000" w:themeColor="text1"/>
          <w:sz w:val="22"/>
          <w:szCs w:val="22"/>
          <w:u w:val="double"/>
        </w:rPr>
        <w:t> actuar de los policías </w:t>
      </w:r>
      <w:r w:rsidRPr="00424261">
        <w:rPr>
          <w:rFonts w:ascii="Palatino Linotype" w:hAnsi="Palatino Linotype"/>
          <w:i/>
          <w:iCs/>
          <w:color w:val="000000" w:themeColor="text1"/>
          <w:sz w:val="22"/>
          <w:szCs w:val="22"/>
          <w:u w:val="double"/>
        </w:rPr>
        <w:t>que participaron en el operativo y la persecución que derivó en la muerte del actor, de igual manera, anunciaron a los familiares del intérprete de "Benito Rivers" que la investigación del caso se encontraba abierta</w:t>
      </w:r>
      <w:r w:rsidRPr="00424261">
        <w:rPr>
          <w:rFonts w:ascii="Palatino Linotype" w:hAnsi="Palatino Linotype"/>
          <w:i/>
          <w:iCs/>
          <w:color w:val="000000" w:themeColor="text1"/>
          <w:sz w:val="22"/>
          <w:szCs w:val="22"/>
        </w:rPr>
        <w:t>. </w:t>
      </w:r>
    </w:p>
    <w:p w14:paraId="62C1BDB5"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02737251" w14:textId="3D97AFB5"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El domingo </w:t>
      </w:r>
      <w:r w:rsidRPr="00424261">
        <w:rPr>
          <w:rFonts w:ascii="Palatino Linotype" w:hAnsi="Palatino Linotype"/>
          <w:b/>
          <w:bCs/>
          <w:i/>
          <w:iCs/>
          <w:color w:val="000000" w:themeColor="text1"/>
          <w:sz w:val="22"/>
          <w:szCs w:val="22"/>
        </w:rPr>
        <w:t>7 de noviembre</w:t>
      </w:r>
      <w:r w:rsidRPr="00424261">
        <w:rPr>
          <w:rFonts w:ascii="Palatino Linotype" w:hAnsi="Palatino Linotype"/>
          <w:i/>
          <w:iCs/>
          <w:color w:val="000000" w:themeColor="text1"/>
          <w:sz w:val="22"/>
          <w:szCs w:val="22"/>
        </w:rPr>
        <w:t>, el actor cumpliría 23 años, por lo que sus familiares y su novia planearon una fiesta sorpresa para el joven; sin embargo, luego de su muerte, llevaron a cabo la celebración el sábado 6 del mismo mes en memoria del actor. </w:t>
      </w:r>
    </w:p>
    <w:p w14:paraId="7F3C7C41"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21F53211" w14:textId="695E1FF2"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El 7 de noviembre, familiares y seguidores de Octavio Ocaña se reunieron en la plancha del </w:t>
      </w:r>
      <w:r w:rsidRPr="00424261">
        <w:rPr>
          <w:rFonts w:ascii="Palatino Linotype" w:hAnsi="Palatino Linotype"/>
          <w:b/>
          <w:bCs/>
          <w:i/>
          <w:iCs/>
          <w:color w:val="000000" w:themeColor="text1"/>
          <w:sz w:val="22"/>
          <w:szCs w:val="22"/>
        </w:rPr>
        <w:t>Zócalo capitalino</w:t>
      </w:r>
      <w:r w:rsidRPr="00424261">
        <w:rPr>
          <w:rFonts w:ascii="Palatino Linotype" w:hAnsi="Palatino Linotype"/>
          <w:i/>
          <w:iCs/>
          <w:color w:val="000000" w:themeColor="text1"/>
          <w:sz w:val="22"/>
          <w:szCs w:val="22"/>
        </w:rPr>
        <w:t> para encabezar una </w:t>
      </w:r>
      <w:r w:rsidRPr="00424261">
        <w:rPr>
          <w:rFonts w:ascii="Palatino Linotype" w:hAnsi="Palatino Linotype"/>
          <w:b/>
          <w:bCs/>
          <w:i/>
          <w:iCs/>
          <w:color w:val="000000" w:themeColor="text1"/>
          <w:sz w:val="22"/>
          <w:szCs w:val="22"/>
        </w:rPr>
        <w:t>marcha</w:t>
      </w:r>
      <w:r w:rsidRPr="00424261">
        <w:rPr>
          <w:rFonts w:ascii="Palatino Linotype" w:hAnsi="Palatino Linotype"/>
          <w:i/>
          <w:iCs/>
          <w:color w:val="000000" w:themeColor="text1"/>
          <w:sz w:val="22"/>
          <w:szCs w:val="22"/>
        </w:rPr>
        <w:t xml:space="preserve"> en la que el objetivo era "llamar la atención de las autoridades”, dijo </w:t>
      </w:r>
      <w:r w:rsidR="005F757D" w:rsidRPr="00424261">
        <w:rPr>
          <w:rFonts w:ascii="Palatino Linotype" w:hAnsi="Palatino Linotype"/>
          <w:i/>
          <w:iCs/>
          <w:color w:val="000000" w:themeColor="text1"/>
          <w:sz w:val="22"/>
          <w:szCs w:val="22"/>
        </w:rPr>
        <w:t>XXXXXX</w:t>
      </w:r>
      <w:r w:rsidRPr="00424261">
        <w:rPr>
          <w:rFonts w:ascii="Palatino Linotype" w:hAnsi="Palatino Linotype"/>
          <w:i/>
          <w:iCs/>
          <w:color w:val="000000" w:themeColor="text1"/>
          <w:sz w:val="22"/>
          <w:szCs w:val="22"/>
        </w:rPr>
        <w:t>, papá del actor. </w:t>
      </w:r>
    </w:p>
    <w:p w14:paraId="659CFC0D" w14:textId="77777777"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68E8933" w14:textId="527E6E5D"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u w:val="double"/>
        </w:rPr>
        <w:t>El padre de Octavio Ocaña señaló que la </w:t>
      </w:r>
      <w:r w:rsidRPr="00424261">
        <w:rPr>
          <w:rFonts w:ascii="Palatino Linotype" w:hAnsi="Palatino Linotype"/>
          <w:b/>
          <w:bCs/>
          <w:i/>
          <w:iCs/>
          <w:color w:val="000000" w:themeColor="text1"/>
          <w:sz w:val="22"/>
          <w:szCs w:val="22"/>
          <w:u w:val="double"/>
        </w:rPr>
        <w:t>mujer policía</w:t>
      </w:r>
      <w:r w:rsidRPr="00424261">
        <w:rPr>
          <w:rFonts w:ascii="Palatino Linotype" w:hAnsi="Palatino Linotype"/>
          <w:i/>
          <w:iCs/>
          <w:color w:val="000000" w:themeColor="text1"/>
          <w:sz w:val="22"/>
          <w:szCs w:val="22"/>
          <w:u w:val="double"/>
        </w:rPr>
        <w:t> que le habría robado una esclava y el celular a su hijo, sería también la que le </w:t>
      </w:r>
      <w:r w:rsidRPr="00424261">
        <w:rPr>
          <w:rFonts w:ascii="Palatino Linotype" w:hAnsi="Palatino Linotype"/>
          <w:b/>
          <w:bCs/>
          <w:i/>
          <w:iCs/>
          <w:color w:val="000000" w:themeColor="text1"/>
          <w:sz w:val="22"/>
          <w:szCs w:val="22"/>
          <w:u w:val="double"/>
        </w:rPr>
        <w:t>disparó</w:t>
      </w:r>
      <w:r w:rsidRPr="00424261">
        <w:rPr>
          <w:rFonts w:ascii="Palatino Linotype" w:hAnsi="Palatino Linotype"/>
          <w:i/>
          <w:iCs/>
          <w:color w:val="000000" w:themeColor="text1"/>
          <w:sz w:val="22"/>
          <w:szCs w:val="22"/>
        </w:rPr>
        <w:t>. </w:t>
      </w:r>
    </w:p>
    <w:p w14:paraId="575CD859" w14:textId="1FE4C41F"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A2D3A4E" w14:textId="34F7240A"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- 10 días después de la muerte del actor, su padre, </w:t>
      </w:r>
      <w:r w:rsidR="005F757D" w:rsidRPr="00424261">
        <w:rPr>
          <w:rFonts w:ascii="Palatino Linotype" w:hAnsi="Palatino Linotype"/>
          <w:i/>
          <w:iCs/>
          <w:color w:val="000000" w:themeColor="text1"/>
          <w:sz w:val="22"/>
          <w:szCs w:val="22"/>
        </w:rPr>
        <w:t>XXXXXXX</w:t>
      </w:r>
      <w:r w:rsidRPr="00424261">
        <w:rPr>
          <w:rFonts w:ascii="Palatino Linotype" w:hAnsi="Palatino Linotype"/>
          <w:i/>
          <w:iCs/>
          <w:color w:val="000000" w:themeColor="text1"/>
          <w:sz w:val="22"/>
          <w:szCs w:val="22"/>
        </w:rPr>
        <w:t>, dijo que desconfía tanto de las autoridades mexiquenses, que solo si el </w:t>
      </w:r>
      <w:r w:rsidRPr="00424261">
        <w:rPr>
          <w:rFonts w:ascii="Palatino Linotype" w:hAnsi="Palatino Linotype"/>
          <w:b/>
          <w:bCs/>
          <w:i/>
          <w:iCs/>
          <w:color w:val="000000" w:themeColor="text1"/>
          <w:sz w:val="22"/>
          <w:szCs w:val="22"/>
        </w:rPr>
        <w:t>FBI </w:t>
      </w:r>
      <w:r w:rsidRPr="00424261">
        <w:rPr>
          <w:rFonts w:ascii="Palatino Linotype" w:hAnsi="Palatino Linotype"/>
          <w:i/>
          <w:iCs/>
          <w:color w:val="000000" w:themeColor="text1"/>
          <w:sz w:val="22"/>
          <w:szCs w:val="22"/>
        </w:rPr>
        <w:t>interviniera aceptaría la </w:t>
      </w:r>
      <w:r w:rsidRPr="00424261">
        <w:rPr>
          <w:rFonts w:ascii="Palatino Linotype" w:hAnsi="Palatino Linotype"/>
          <w:b/>
          <w:bCs/>
          <w:i/>
          <w:iCs/>
          <w:color w:val="000000" w:themeColor="text1"/>
          <w:sz w:val="22"/>
          <w:szCs w:val="22"/>
        </w:rPr>
        <w:t>exhumación</w:t>
      </w:r>
      <w:r w:rsidRPr="00424261">
        <w:rPr>
          <w:rFonts w:ascii="Palatino Linotype" w:hAnsi="Palatino Linotype"/>
          <w:i/>
          <w:iCs/>
          <w:color w:val="000000" w:themeColor="text1"/>
          <w:sz w:val="22"/>
          <w:szCs w:val="22"/>
        </w:rPr>
        <w:t> del cuerpo de su hijo para </w:t>
      </w:r>
      <w:r w:rsidRPr="00424261">
        <w:rPr>
          <w:rFonts w:ascii="Palatino Linotype" w:hAnsi="Palatino Linotype"/>
          <w:b/>
          <w:bCs/>
          <w:i/>
          <w:iCs/>
          <w:color w:val="000000" w:themeColor="text1"/>
          <w:sz w:val="22"/>
          <w:szCs w:val="22"/>
        </w:rPr>
        <w:t>esclarecer su muerte</w:t>
      </w:r>
      <w:r w:rsidRPr="00424261">
        <w:rPr>
          <w:rFonts w:ascii="Palatino Linotype" w:hAnsi="Palatino Linotype"/>
          <w:i/>
          <w:iCs/>
          <w:color w:val="000000" w:themeColor="text1"/>
          <w:sz w:val="22"/>
          <w:szCs w:val="22"/>
        </w:rPr>
        <w:t>.</w:t>
      </w:r>
    </w:p>
    <w:p w14:paraId="26623704" w14:textId="77777777" w:rsidR="009B42BD" w:rsidRPr="00424261" w:rsidRDefault="009B42BD"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422979B" w14:textId="20E54F46"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La Fiscalía General de Justicia del Estado de México </w:t>
      </w:r>
      <w:r w:rsidRPr="00424261">
        <w:rPr>
          <w:rFonts w:ascii="Palatino Linotype" w:hAnsi="Palatino Linotype"/>
          <w:b/>
          <w:bCs/>
          <w:i/>
          <w:iCs/>
          <w:color w:val="000000" w:themeColor="text1"/>
          <w:sz w:val="22"/>
          <w:szCs w:val="22"/>
        </w:rPr>
        <w:t>llamó a declarar a la mujer policía </w:t>
      </w:r>
      <w:r w:rsidRPr="00424261">
        <w:rPr>
          <w:rFonts w:ascii="Palatino Linotype" w:hAnsi="Palatino Linotype"/>
          <w:i/>
          <w:iCs/>
          <w:color w:val="000000" w:themeColor="text1"/>
          <w:sz w:val="22"/>
          <w:szCs w:val="22"/>
        </w:rPr>
        <w:t>que fue señalada por presuntamente sustraer “una cadena” propiedad del actor Octavio Ocaña, así como a los </w:t>
      </w:r>
      <w:r w:rsidRPr="00424261">
        <w:rPr>
          <w:rFonts w:ascii="Palatino Linotype" w:hAnsi="Palatino Linotype"/>
          <w:b/>
          <w:bCs/>
          <w:i/>
          <w:iCs/>
          <w:color w:val="000000" w:themeColor="text1"/>
          <w:sz w:val="22"/>
          <w:szCs w:val="22"/>
        </w:rPr>
        <w:t>dos policías </w:t>
      </w:r>
      <w:r w:rsidRPr="00424261">
        <w:rPr>
          <w:rFonts w:ascii="Palatino Linotype" w:hAnsi="Palatino Linotype"/>
          <w:i/>
          <w:iCs/>
          <w:color w:val="000000" w:themeColor="text1"/>
          <w:sz w:val="22"/>
          <w:szCs w:val="22"/>
        </w:rPr>
        <w:t>pertenecientes a la corporación que participaron en la </w:t>
      </w:r>
      <w:r w:rsidRPr="00424261">
        <w:rPr>
          <w:rFonts w:ascii="Palatino Linotype" w:hAnsi="Palatino Linotype"/>
          <w:b/>
          <w:bCs/>
          <w:i/>
          <w:iCs/>
          <w:color w:val="000000" w:themeColor="text1"/>
          <w:sz w:val="22"/>
          <w:szCs w:val="22"/>
        </w:rPr>
        <w:t>persecución</w:t>
      </w:r>
      <w:r w:rsidRPr="00424261">
        <w:rPr>
          <w:rFonts w:ascii="Palatino Linotype" w:hAnsi="Palatino Linotype"/>
          <w:i/>
          <w:iCs/>
          <w:color w:val="000000" w:themeColor="text1"/>
          <w:sz w:val="22"/>
          <w:szCs w:val="22"/>
        </w:rPr>
        <w:t> del vehículo, para rendir su declaración como testigos, así lo informó el comisario de Seguridad Pública y Tránsito Municipal, Rodrigo Hernández García.</w:t>
      </w:r>
    </w:p>
    <w:p w14:paraId="181EFA76" w14:textId="77777777" w:rsidR="009B42BD" w:rsidRPr="00424261" w:rsidRDefault="009B42BD"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E1EFAE8" w14:textId="777B4606"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r w:rsidRPr="00424261">
        <w:rPr>
          <w:rFonts w:ascii="Palatino Linotype" w:hAnsi="Palatino Linotype"/>
          <w:b/>
          <w:bCs/>
          <w:i/>
          <w:iCs/>
          <w:color w:val="000000" w:themeColor="text1"/>
          <w:sz w:val="22"/>
          <w:szCs w:val="22"/>
        </w:rPr>
        <w:t> </w:t>
      </w:r>
      <w:r w:rsidRPr="00424261">
        <w:rPr>
          <w:rFonts w:ascii="Palatino Linotype" w:hAnsi="Palatino Linotype"/>
          <w:b/>
          <w:bCs/>
          <w:i/>
          <w:iCs/>
          <w:color w:val="000000" w:themeColor="text1"/>
          <w:sz w:val="22"/>
          <w:szCs w:val="22"/>
          <w:u w:val="double"/>
        </w:rPr>
        <w:t>Tres policías</w:t>
      </w:r>
      <w:r w:rsidRPr="00424261">
        <w:rPr>
          <w:rFonts w:ascii="Palatino Linotype" w:hAnsi="Palatino Linotype"/>
          <w:i/>
          <w:iCs/>
          <w:color w:val="000000" w:themeColor="text1"/>
          <w:sz w:val="22"/>
          <w:szCs w:val="22"/>
          <w:u w:val="double"/>
        </w:rPr>
        <w:t> municipales de Cuautitlán Izcalli fueron </w:t>
      </w:r>
      <w:r w:rsidRPr="00424261">
        <w:rPr>
          <w:rFonts w:ascii="Palatino Linotype" w:hAnsi="Palatino Linotype"/>
          <w:b/>
          <w:bCs/>
          <w:i/>
          <w:iCs/>
          <w:color w:val="000000" w:themeColor="text1"/>
          <w:sz w:val="22"/>
          <w:szCs w:val="22"/>
          <w:u w:val="double"/>
        </w:rPr>
        <w:t>suspendidos </w:t>
      </w:r>
      <w:r w:rsidRPr="00424261">
        <w:rPr>
          <w:rFonts w:ascii="Palatino Linotype" w:hAnsi="Palatino Linotype"/>
          <w:i/>
          <w:iCs/>
          <w:color w:val="000000" w:themeColor="text1"/>
          <w:sz w:val="22"/>
          <w:szCs w:val="22"/>
          <w:u w:val="double"/>
        </w:rPr>
        <w:t>por el caso del actor Octavio Ocaña, confirmaron autoridades de este municipio</w:t>
      </w:r>
      <w:r w:rsidRPr="00424261">
        <w:rPr>
          <w:rFonts w:ascii="Palatino Linotype" w:hAnsi="Palatino Linotype"/>
          <w:i/>
          <w:iCs/>
          <w:color w:val="000000" w:themeColor="text1"/>
          <w:sz w:val="22"/>
          <w:szCs w:val="22"/>
        </w:rPr>
        <w:t>. </w:t>
      </w:r>
    </w:p>
    <w:p w14:paraId="4F3A471E" w14:textId="77777777" w:rsidR="009B42BD" w:rsidRPr="00424261" w:rsidRDefault="009B42BD" w:rsidP="00E106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0C4A40B2" w14:textId="6E0043C1" w:rsidR="00E10667" w:rsidRPr="00424261" w:rsidRDefault="00E10667" w:rsidP="00E1066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i/>
          <w:iCs/>
          <w:color w:val="000000" w:themeColor="text1"/>
          <w:sz w:val="22"/>
          <w:szCs w:val="22"/>
        </w:rPr>
        <w:t>- El centro comercial Galerías Plaza de las Estrellas otorgó una </w:t>
      </w:r>
      <w:r w:rsidRPr="00424261">
        <w:rPr>
          <w:rFonts w:ascii="Palatino Linotype" w:hAnsi="Palatino Linotype"/>
          <w:b/>
          <w:bCs/>
          <w:i/>
          <w:iCs/>
          <w:color w:val="000000" w:themeColor="text1"/>
          <w:sz w:val="22"/>
          <w:szCs w:val="22"/>
        </w:rPr>
        <w:t>Luminaria de Oro</w:t>
      </w:r>
      <w:r w:rsidRPr="00424261">
        <w:rPr>
          <w:rFonts w:ascii="Palatino Linotype" w:hAnsi="Palatino Linotype"/>
          <w:i/>
          <w:iCs/>
          <w:color w:val="000000" w:themeColor="text1"/>
          <w:sz w:val="22"/>
          <w:szCs w:val="22"/>
        </w:rPr>
        <w:t> y la </w:t>
      </w:r>
      <w:r w:rsidRPr="00424261">
        <w:rPr>
          <w:rFonts w:ascii="Palatino Linotype" w:hAnsi="Palatino Linotype"/>
          <w:b/>
          <w:bCs/>
          <w:i/>
          <w:iCs/>
          <w:color w:val="000000" w:themeColor="text1"/>
          <w:sz w:val="22"/>
          <w:szCs w:val="22"/>
        </w:rPr>
        <w:t>placa con sus huellas</w:t>
      </w:r>
      <w:r w:rsidRPr="00424261">
        <w:rPr>
          <w:rFonts w:ascii="Palatino Linotype" w:hAnsi="Palatino Linotype"/>
          <w:i/>
          <w:iCs/>
          <w:color w:val="000000" w:themeColor="text1"/>
          <w:sz w:val="22"/>
          <w:szCs w:val="22"/>
        </w:rPr>
        <w:t xml:space="preserve"> a Octavio Ocaña; </w:t>
      </w:r>
      <w:r w:rsidR="005F757D" w:rsidRPr="00424261">
        <w:rPr>
          <w:rFonts w:ascii="Palatino Linotype" w:hAnsi="Palatino Linotype"/>
          <w:i/>
          <w:iCs/>
          <w:color w:val="000000" w:themeColor="text1"/>
          <w:sz w:val="22"/>
          <w:szCs w:val="22"/>
        </w:rPr>
        <w:t>XXXXXX</w:t>
      </w:r>
      <w:r w:rsidRPr="00424261">
        <w:rPr>
          <w:rFonts w:ascii="Palatino Linotype" w:hAnsi="Palatino Linotype"/>
          <w:i/>
          <w:iCs/>
          <w:color w:val="000000" w:themeColor="text1"/>
          <w:sz w:val="22"/>
          <w:szCs w:val="22"/>
        </w:rPr>
        <w:t>, y su prometida, </w:t>
      </w:r>
      <w:r w:rsidR="005F757D" w:rsidRPr="00424261">
        <w:rPr>
          <w:rFonts w:ascii="Palatino Linotype" w:hAnsi="Palatino Linotype"/>
          <w:i/>
          <w:iCs/>
          <w:color w:val="000000" w:themeColor="text1"/>
          <w:sz w:val="22"/>
          <w:szCs w:val="22"/>
        </w:rPr>
        <w:t>XXXXXX</w:t>
      </w:r>
      <w:r w:rsidRPr="00424261">
        <w:rPr>
          <w:rFonts w:ascii="Palatino Linotype" w:hAnsi="Palatino Linotype"/>
          <w:i/>
          <w:iCs/>
          <w:color w:val="000000" w:themeColor="text1"/>
          <w:sz w:val="22"/>
          <w:szCs w:val="22"/>
        </w:rPr>
        <w:t>, estuvieron presentes en el evento de reconocimiento póstumo del actor.</w:t>
      </w:r>
      <w:r w:rsidR="009B42BD" w:rsidRPr="00424261">
        <w:rPr>
          <w:rFonts w:ascii="Palatino Linotype" w:hAnsi="Palatino Linotype"/>
          <w:i/>
          <w:iCs/>
          <w:color w:val="000000" w:themeColor="text1"/>
          <w:sz w:val="22"/>
          <w:szCs w:val="22"/>
        </w:rPr>
        <w:t>”</w:t>
      </w:r>
    </w:p>
    <w:p w14:paraId="5FB85899" w14:textId="6B921E48" w:rsidR="009B42BD" w:rsidRPr="00424261" w:rsidRDefault="009B42BD" w:rsidP="00E1066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color w:val="000000" w:themeColor="text1"/>
          <w:sz w:val="22"/>
          <w:szCs w:val="22"/>
        </w:rPr>
        <w:t>(Doble subrayado añadido)</w:t>
      </w:r>
    </w:p>
    <w:p w14:paraId="0A657D26" w14:textId="77777777" w:rsidR="00E10667" w:rsidRPr="00424261" w:rsidRDefault="00E10667"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77DE4315" w14:textId="5D1CE39A" w:rsidR="00073326" w:rsidRPr="00424261" w:rsidRDefault="00C6232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su parte, el diez (10) de noviembre de dos mil veintiuno, el periódico </w:t>
      </w:r>
      <w:r w:rsidRPr="00424261">
        <w:rPr>
          <w:rFonts w:ascii="Palatino Linotype" w:hAnsi="Palatino Linotype"/>
          <w:i/>
          <w:iCs/>
          <w:color w:val="000000" w:themeColor="text1"/>
        </w:rPr>
        <w:t>Excélsior</w:t>
      </w:r>
      <w:r w:rsidRPr="00424261">
        <w:rPr>
          <w:rFonts w:ascii="Palatino Linotype" w:hAnsi="Palatino Linotype"/>
          <w:color w:val="000000" w:themeColor="text1"/>
        </w:rPr>
        <w:t xml:space="preserve"> publicó la siguiente nota que lleva por título ‘Suspenden a tres policías de Cuautitlán por caso Octavio Ocaña’</w:t>
      </w:r>
      <w:r w:rsidRPr="00424261">
        <w:rPr>
          <w:rStyle w:val="Refdenotaalpie"/>
          <w:rFonts w:ascii="Palatino Linotype" w:hAnsi="Palatino Linotype"/>
          <w:color w:val="000000" w:themeColor="text1"/>
        </w:rPr>
        <w:footnoteReference w:id="17"/>
      </w:r>
      <w:r w:rsidRPr="00424261">
        <w:rPr>
          <w:rFonts w:ascii="Palatino Linotype" w:hAnsi="Palatino Linotype"/>
          <w:color w:val="000000" w:themeColor="text1"/>
        </w:rPr>
        <w:t>:</w:t>
      </w:r>
    </w:p>
    <w:p w14:paraId="3CAB9F71" w14:textId="66346614"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542B88DB" w14:textId="672EEE52"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“Han transcurrido 10 días desde que murió el actor Octavio Ocaña, y todavía hay muchas dudas e inquietudes por parte de su familia, quienes exigen castigo, pues aseguran hubo abuso de autoridad durante su intento de detención.</w:t>
      </w:r>
    </w:p>
    <w:p w14:paraId="252E1BDE" w14:textId="5FB14124"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Sin embargo, la Dirección de Seguridad Pública de Cuautitlán Izcalli asegura que se actuó de acuerdo al protocolo.</w:t>
      </w:r>
    </w:p>
    <w:p w14:paraId="2E1CE9B5" w14:textId="77777777"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4EFD31C" w14:textId="0F75BE05"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r w:rsidRPr="00424261">
        <w:rPr>
          <w:rFonts w:ascii="Palatino Linotype" w:hAnsi="Palatino Linotype"/>
          <w:b/>
          <w:bCs/>
          <w:i/>
          <w:iCs/>
          <w:color w:val="000000" w:themeColor="text1"/>
          <w:sz w:val="22"/>
          <w:szCs w:val="22"/>
        </w:rPr>
        <w:t>“Ese día a las 4.30 de la tarde la unidad estaba en el pueblo de Tepojaco que pertenece al municipio cuando veo pasar una unidad, la camioneta Cherokee va a exceso de velocidad y llevaba la música a todo volumen. Al momento que ellos se acercan al vehículo se dan cuenta que uno de ellos lleva una cerveza en la mano, iban tomando, le hacen el alto es cuando ellos emprenden la huida”, señaló Rodrigo Hernández, encargado de Despacho de Seguridad Pública municipal.</w:t>
      </w:r>
    </w:p>
    <w:p w14:paraId="46CAD344" w14:textId="77777777"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2F82D39B" w14:textId="263E8040"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Asegura que incluso en el video donde se observa todavía vivo al actor, y policías al interior buscando algo, no hubo omisión de ayuda.</w:t>
      </w:r>
    </w:p>
    <w:p w14:paraId="20DA3273" w14:textId="77777777"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p>
    <w:p w14:paraId="48FCB3A8" w14:textId="6E17C47F"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r w:rsidRPr="00424261">
        <w:rPr>
          <w:rFonts w:ascii="Palatino Linotype" w:hAnsi="Palatino Linotype"/>
          <w:b/>
          <w:bCs/>
          <w:i/>
          <w:iCs/>
          <w:color w:val="000000" w:themeColor="text1"/>
          <w:sz w:val="22"/>
          <w:szCs w:val="22"/>
        </w:rPr>
        <w:t xml:space="preserve">“Revisan la camioneta en busca de otra arma, se percatan que encuentran algunas cosas, algunas latas, una botella vacía de alcohol. Llegan </w:t>
      </w:r>
      <w:r w:rsidRPr="00424261">
        <w:rPr>
          <w:rFonts w:ascii="Palatino Linotype" w:hAnsi="Palatino Linotype"/>
          <w:b/>
          <w:bCs/>
          <w:i/>
          <w:iCs/>
          <w:color w:val="000000" w:themeColor="text1"/>
          <w:sz w:val="22"/>
          <w:szCs w:val="22"/>
        </w:rPr>
        <w:lastRenderedPageBreak/>
        <w:t>servicios de emergencia, atienden al operador, se lo llevan, lo trasladan al hospital de Lomas Verdes para esto ya había llegado apoyo a compañeros, una unidad de nosotros va en apoyo en custodia de la ambulancia, falleció antes de llegar al hospital”, detalló el encargado de Despacho de Seguridad Pública municipal.</w:t>
      </w:r>
    </w:p>
    <w:p w14:paraId="1B576E7D" w14:textId="77777777"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2184FF69" w14:textId="6DCE386C"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Otra de las molestias de la familia de “Benito Rivers”, conocido así por su personaje en la serie de televisión “Vecinos”, es que una oficial lo había despojado de sus pertenencias, pero aseguran que la policía que aparece en las fotografías, llegó al lugar y se comprobó que no portaba nada del actor.</w:t>
      </w:r>
    </w:p>
    <w:p w14:paraId="378995F6" w14:textId="77777777"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p>
    <w:p w14:paraId="06472EA6" w14:textId="04367094"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r w:rsidRPr="00424261">
        <w:rPr>
          <w:rFonts w:ascii="Palatino Linotype" w:hAnsi="Palatino Linotype"/>
          <w:b/>
          <w:bCs/>
          <w:i/>
          <w:iCs/>
          <w:color w:val="000000" w:themeColor="text1"/>
          <w:sz w:val="22"/>
          <w:szCs w:val="22"/>
        </w:rPr>
        <w:t>“Hablan de una mujer, pero en realidad son dos personas diferentes, hay una persona que sale en una fotografía, donde supuestamente trae la cadenita, esta compañera llegó al lugar. Incluso fue mandada a declarar en la fiscalía y se aclaró que el celular que llevaba era el de ella y llevaba su cubrebocas, no llevaba ninguna cadena”, explicó.</w:t>
      </w:r>
    </w:p>
    <w:p w14:paraId="37A86BAB" w14:textId="77777777"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3D53F10" w14:textId="344AE10C"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Sin embargo, en las redes sociales, se ha señalado a otra oficial de nombre Lesli como si fuera la responsable de sustraer los objetos, pero ella no estuvo en el lugar, aseguran, aunque sí subió videos del actor.</w:t>
      </w:r>
    </w:p>
    <w:p w14:paraId="0968D491" w14:textId="77777777"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p>
    <w:p w14:paraId="56E141D2" w14:textId="26B03A74"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r w:rsidRPr="00424261">
        <w:rPr>
          <w:rFonts w:ascii="Palatino Linotype" w:hAnsi="Palatino Linotype"/>
          <w:b/>
          <w:bCs/>
          <w:i/>
          <w:iCs/>
          <w:color w:val="000000" w:themeColor="text1"/>
          <w:sz w:val="22"/>
          <w:szCs w:val="22"/>
        </w:rPr>
        <w:t xml:space="preserve">“La otra persona de la que hablan es una compañera de nombre </w:t>
      </w:r>
      <w:r w:rsidR="005F757D" w:rsidRPr="00424261">
        <w:rPr>
          <w:rFonts w:ascii="Palatino Linotype" w:hAnsi="Palatino Linotype"/>
          <w:b/>
          <w:bCs/>
          <w:i/>
          <w:iCs/>
          <w:color w:val="000000" w:themeColor="text1"/>
          <w:sz w:val="22"/>
          <w:szCs w:val="22"/>
        </w:rPr>
        <w:t>XXXXX</w:t>
      </w:r>
      <w:r w:rsidRPr="00424261">
        <w:rPr>
          <w:rFonts w:ascii="Palatino Linotype" w:hAnsi="Palatino Linotype"/>
          <w:b/>
          <w:bCs/>
          <w:i/>
          <w:iCs/>
          <w:color w:val="000000" w:themeColor="text1"/>
          <w:sz w:val="22"/>
          <w:szCs w:val="22"/>
        </w:rPr>
        <w:t>, ella su error fue subir un video que ya era viral en su Facebook personal y engancharse en los comentarios con las personas, esta compañera nunca estuvo en el lugar”, explicó Rodrigo Hernández.</w:t>
      </w:r>
    </w:p>
    <w:p w14:paraId="0595E109" w14:textId="77777777"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AA6FC9E" w14:textId="11DDAC4C"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u w:val="double"/>
        </w:rPr>
        <w:t xml:space="preserve">Hoy los tres oficiales, los dos que participaron en la persecución con 17 y 18 años de labor y la oficial </w:t>
      </w:r>
      <w:r w:rsidR="005F757D" w:rsidRPr="00424261">
        <w:rPr>
          <w:rFonts w:ascii="Palatino Linotype" w:hAnsi="Palatino Linotype"/>
          <w:i/>
          <w:iCs/>
          <w:color w:val="000000" w:themeColor="text1"/>
          <w:sz w:val="22"/>
          <w:szCs w:val="22"/>
          <w:u w:val="double"/>
        </w:rPr>
        <w:t>XXXXXXX</w:t>
      </w:r>
      <w:r w:rsidRPr="00424261">
        <w:rPr>
          <w:rFonts w:ascii="Palatino Linotype" w:hAnsi="Palatino Linotype"/>
          <w:i/>
          <w:iCs/>
          <w:color w:val="000000" w:themeColor="text1"/>
          <w:sz w:val="22"/>
          <w:szCs w:val="22"/>
          <w:u w:val="double"/>
        </w:rPr>
        <w:t xml:space="preserve"> están suspendidos en tanto se lleva a cabo una investigación interna en la comisión de Honor y Justicia</w:t>
      </w:r>
      <w:r w:rsidRPr="00424261">
        <w:rPr>
          <w:rFonts w:ascii="Palatino Linotype" w:hAnsi="Palatino Linotype"/>
          <w:i/>
          <w:iCs/>
          <w:color w:val="000000" w:themeColor="text1"/>
          <w:sz w:val="22"/>
          <w:szCs w:val="22"/>
        </w:rPr>
        <w:t>.</w:t>
      </w:r>
    </w:p>
    <w:p w14:paraId="6D85F9AD" w14:textId="77777777"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p>
    <w:p w14:paraId="1335FF62" w14:textId="70A98162"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r w:rsidRPr="00424261">
        <w:rPr>
          <w:rFonts w:ascii="Palatino Linotype" w:hAnsi="Palatino Linotype"/>
          <w:b/>
          <w:bCs/>
          <w:i/>
          <w:iCs/>
          <w:color w:val="000000" w:themeColor="text1"/>
          <w:sz w:val="22"/>
          <w:szCs w:val="22"/>
        </w:rPr>
        <w:t>“</w:t>
      </w:r>
      <w:r w:rsidRPr="00424261">
        <w:rPr>
          <w:rFonts w:ascii="Palatino Linotype" w:hAnsi="Palatino Linotype"/>
          <w:b/>
          <w:bCs/>
          <w:i/>
          <w:iCs/>
          <w:color w:val="000000" w:themeColor="text1"/>
          <w:sz w:val="22"/>
          <w:szCs w:val="22"/>
          <w:u w:val="double"/>
        </w:rPr>
        <w:t xml:space="preserve">Hay un procedimiento ya radicado en esta Comisión para los elementos, para los dos elementos masculinos que participaron en la persecución, incluso para la compañera </w:t>
      </w:r>
      <w:r w:rsidR="005F757D" w:rsidRPr="00424261">
        <w:rPr>
          <w:rFonts w:ascii="Palatino Linotype" w:hAnsi="Palatino Linotype"/>
          <w:b/>
          <w:bCs/>
          <w:i/>
          <w:iCs/>
          <w:color w:val="000000" w:themeColor="text1"/>
          <w:sz w:val="22"/>
          <w:szCs w:val="22"/>
          <w:u w:val="double"/>
        </w:rPr>
        <w:t>XXXXXX</w:t>
      </w:r>
      <w:r w:rsidRPr="00424261">
        <w:rPr>
          <w:rFonts w:ascii="Palatino Linotype" w:hAnsi="Palatino Linotype"/>
          <w:b/>
          <w:bCs/>
          <w:i/>
          <w:iCs/>
          <w:color w:val="000000" w:themeColor="text1"/>
          <w:sz w:val="22"/>
          <w:szCs w:val="22"/>
          <w:u w:val="double"/>
        </w:rPr>
        <w:t xml:space="preserve"> como partícipe o miembro de una institución no puedes estar compartiendo imágenes, aunque sea </w:t>
      </w:r>
      <w:r w:rsidRPr="00424261">
        <w:rPr>
          <w:rFonts w:ascii="Palatino Linotype" w:hAnsi="Palatino Linotype"/>
          <w:b/>
          <w:bCs/>
          <w:i/>
          <w:iCs/>
          <w:color w:val="000000" w:themeColor="text1"/>
          <w:sz w:val="22"/>
          <w:szCs w:val="22"/>
          <w:u w:val="double"/>
        </w:rPr>
        <w:lastRenderedPageBreak/>
        <w:t>ciudadana, tú eres policía de 24 horas no puedes compartir cosas”, enfatizó</w:t>
      </w:r>
      <w:r w:rsidRPr="00424261">
        <w:rPr>
          <w:rFonts w:ascii="Palatino Linotype" w:hAnsi="Palatino Linotype"/>
          <w:b/>
          <w:bCs/>
          <w:i/>
          <w:iCs/>
          <w:color w:val="000000" w:themeColor="text1"/>
          <w:sz w:val="22"/>
          <w:szCs w:val="22"/>
        </w:rPr>
        <w:t>.</w:t>
      </w:r>
    </w:p>
    <w:p w14:paraId="6D609EBA" w14:textId="77777777"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9931F1B" w14:textId="47C861E6"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En tanto continúan las investigaciones de la Fiscalía y aseguran están colaborando en ello.</w:t>
      </w:r>
    </w:p>
    <w:p w14:paraId="1E161757" w14:textId="77777777"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p>
    <w:p w14:paraId="3C1D13BE" w14:textId="2EB62E2C"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r w:rsidRPr="00424261">
        <w:rPr>
          <w:rFonts w:ascii="Palatino Linotype" w:hAnsi="Palatino Linotype"/>
          <w:b/>
          <w:bCs/>
          <w:i/>
          <w:iCs/>
          <w:color w:val="000000" w:themeColor="text1"/>
          <w:sz w:val="22"/>
          <w:szCs w:val="22"/>
        </w:rPr>
        <w:t>Toda la información que nos ha sido solicitada por fiscalía la hemos entregado, hemos entregado el vehículo, las armas, los elementos cada que son citados a declarar incluso la compañera que estuvo en la fotografía de la cadena, todos se les ha entregado con la intención de que todo salga a la luz”.</w:t>
      </w:r>
    </w:p>
    <w:p w14:paraId="618A9898" w14:textId="77777777"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28B3E0F" w14:textId="508A37C6"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Aseguran que, si la familia del actor quiere entrevistarse con ellos, pueden recibirlos.</w:t>
      </w:r>
    </w:p>
    <w:p w14:paraId="1417A1C9" w14:textId="77777777"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b/>
          <w:bCs/>
          <w:i/>
          <w:iCs/>
          <w:color w:val="000000" w:themeColor="text1"/>
          <w:sz w:val="22"/>
          <w:szCs w:val="22"/>
        </w:rPr>
      </w:pPr>
    </w:p>
    <w:p w14:paraId="033CEFF3" w14:textId="2440CDB6" w:rsidR="008E3C82" w:rsidRPr="00424261" w:rsidRDefault="008E3C82" w:rsidP="008E3C82">
      <w:pPr>
        <w:pStyle w:val="Prrafodelista"/>
        <w:tabs>
          <w:tab w:val="left" w:pos="426"/>
        </w:tabs>
        <w:spacing w:before="240" w:after="240" w:line="276" w:lineRule="auto"/>
        <w:ind w:left="851" w:right="851"/>
        <w:jc w:val="both"/>
        <w:rPr>
          <w:rFonts w:ascii="Palatino Linotype" w:hAnsi="Palatino Linotype"/>
          <w:color w:val="000000" w:themeColor="text1"/>
          <w:sz w:val="22"/>
          <w:szCs w:val="22"/>
        </w:rPr>
      </w:pPr>
      <w:r w:rsidRPr="00424261">
        <w:rPr>
          <w:rFonts w:ascii="Palatino Linotype" w:hAnsi="Palatino Linotype"/>
          <w:b/>
          <w:bCs/>
          <w:i/>
          <w:iCs/>
          <w:color w:val="000000" w:themeColor="text1"/>
          <w:sz w:val="22"/>
          <w:szCs w:val="22"/>
        </w:rPr>
        <w:t xml:space="preserve">“Como padre como familia todos tenemos dudas e independientemente de lo que pasó, ellos necesitan saber qué ocurrió, qué pasó realmente, cuando él quiera venir”, invitó Rodrigo Hernández a los familiares de Octavio Ocaña.” </w:t>
      </w:r>
      <w:r w:rsidRPr="00424261">
        <w:rPr>
          <w:rFonts w:ascii="Palatino Linotype" w:hAnsi="Palatino Linotype"/>
          <w:color w:val="000000" w:themeColor="text1"/>
          <w:sz w:val="22"/>
          <w:szCs w:val="22"/>
        </w:rPr>
        <w:t>(Sic)</w:t>
      </w:r>
    </w:p>
    <w:p w14:paraId="6520876C" w14:textId="4D522C00" w:rsidR="008E3C82" w:rsidRPr="00424261" w:rsidRDefault="008E3C82" w:rsidP="008E3C82">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color w:val="000000" w:themeColor="text1"/>
          <w:sz w:val="22"/>
          <w:szCs w:val="22"/>
        </w:rPr>
        <w:t>(Doble subrayado añadido)</w:t>
      </w:r>
    </w:p>
    <w:p w14:paraId="1FDEBF2D" w14:textId="77777777" w:rsidR="008E3C82" w:rsidRPr="00424261" w:rsidRDefault="008E3C82"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8CA9C1B" w14:textId="209A148F" w:rsidR="00073326" w:rsidRPr="00424261" w:rsidRDefault="005329C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 l</w:t>
      </w:r>
      <w:r w:rsidR="00A05600" w:rsidRPr="00424261">
        <w:rPr>
          <w:rFonts w:ascii="Palatino Linotype" w:hAnsi="Palatino Linotype"/>
          <w:color w:val="000000" w:themeColor="text1"/>
        </w:rPr>
        <w:t xml:space="preserve">as notas periodísticas transcritas </w:t>
      </w:r>
      <w:r w:rsidR="00A05600" w:rsidRPr="00424261">
        <w:rPr>
          <w:rFonts w:ascii="Palatino Linotype" w:hAnsi="Palatino Linotype"/>
          <w:i/>
          <w:iCs/>
          <w:color w:val="000000" w:themeColor="text1"/>
        </w:rPr>
        <w:t>supra</w:t>
      </w:r>
      <w:r w:rsidR="00A05600" w:rsidRPr="00424261">
        <w:rPr>
          <w:rFonts w:ascii="Palatino Linotype" w:hAnsi="Palatino Linotype"/>
          <w:color w:val="000000" w:themeColor="text1"/>
        </w:rPr>
        <w:t xml:space="preserve"> podemos recuperar los siguientes elementos esenciales del caso:</w:t>
      </w:r>
    </w:p>
    <w:p w14:paraId="52137383" w14:textId="4A0AFC0A" w:rsidR="00A05600" w:rsidRPr="00424261" w:rsidRDefault="00A05600"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El veintinueve (29) de octubre de dos mil veintiuno, el actor Octavio Augusto Pérez Ocaña, junto con dos acompañantes, se encontraba viajando a bordo de una camioneta, en el Municipio de Cuautitlán Izcalli.</w:t>
      </w:r>
    </w:p>
    <w:p w14:paraId="2273E9E5" w14:textId="62D9FEF4" w:rsidR="00A05600" w:rsidRPr="00424261" w:rsidRDefault="00A05600"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De acuerdo con lo declarado por sus acompañantes, policías del municipio les marcaron el alto, por el actor aceleró; por lo que se inició una persecución.</w:t>
      </w:r>
    </w:p>
    <w:p w14:paraId="6016D2A5" w14:textId="58DC8898" w:rsidR="00A05600" w:rsidRPr="00424261" w:rsidRDefault="00A05600"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lastRenderedPageBreak/>
        <w:t>Supuestamente, durante la persecución, el actor sacó una arma de fuego</w:t>
      </w:r>
      <w:r w:rsidR="005E1B74" w:rsidRPr="00424261">
        <w:rPr>
          <w:rFonts w:ascii="Palatino Linotype" w:hAnsi="Palatino Linotype"/>
          <w:color w:val="000000" w:themeColor="text1"/>
        </w:rPr>
        <w:t>, la cual se accionó de manera accidental, ocasionando que una bala saliera disparada en su cabeza.</w:t>
      </w:r>
    </w:p>
    <w:p w14:paraId="1F710577" w14:textId="5070A836" w:rsidR="005E1B74" w:rsidRPr="00424261" w:rsidRDefault="005E1B74"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Supuestamente, al recibir el disparo, el actor perdió el control del vehículo y terminó impactándose en un montículo de tierra en la autopista Lechería-Chamapa.</w:t>
      </w:r>
    </w:p>
    <w:p w14:paraId="0CF1FC4F" w14:textId="5B6D47CB" w:rsidR="005E1B74" w:rsidRPr="00424261" w:rsidRDefault="005E1B74"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Al lugar llegaron los policías municipales, quienes supuestamente sometieron y detuvieron a los acompañantes mientras el actor, aún con vida, agonizaba dentro del vehículo.</w:t>
      </w:r>
    </w:p>
    <w:p w14:paraId="1A104EB0" w14:textId="0732A04A" w:rsidR="005E1B74" w:rsidRPr="00424261" w:rsidRDefault="005E1B74"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El padre del occiso </w:t>
      </w:r>
      <w:r w:rsidR="00922ADE" w:rsidRPr="00424261">
        <w:rPr>
          <w:rFonts w:ascii="Palatino Linotype" w:hAnsi="Palatino Linotype"/>
          <w:color w:val="000000" w:themeColor="text1"/>
        </w:rPr>
        <w:t>exclamó</w:t>
      </w:r>
      <w:r w:rsidRPr="00424261">
        <w:rPr>
          <w:rFonts w:ascii="Palatino Linotype" w:hAnsi="Palatino Linotype"/>
          <w:color w:val="000000" w:themeColor="text1"/>
        </w:rPr>
        <w:t>, posterior al incidente, que la bala que le había quitado la vida al actor no correspondía con el arma que ésta había sacado durante la persecución.</w:t>
      </w:r>
    </w:p>
    <w:p w14:paraId="6BEBBD08" w14:textId="4E8F077F" w:rsidR="005E1B74" w:rsidRPr="00424261" w:rsidRDefault="005E1B74"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El Presidente de la República se comprometió a que su Gobierno ayudaría a esclarecer la muerte del actor.</w:t>
      </w:r>
    </w:p>
    <w:p w14:paraId="601F797D" w14:textId="19A41733" w:rsidR="005E1B74" w:rsidRPr="00424261" w:rsidRDefault="005E1B74"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Posteriormente, familiares del actor denunciaron el robo de una esclava de oro, y el celular del actor, por parte de los </w:t>
      </w:r>
      <w:r w:rsidR="00922ADE" w:rsidRPr="00424261">
        <w:rPr>
          <w:rFonts w:ascii="Palatino Linotype" w:hAnsi="Palatino Linotype"/>
          <w:color w:val="000000" w:themeColor="text1"/>
        </w:rPr>
        <w:t>policías municipales.</w:t>
      </w:r>
    </w:p>
    <w:p w14:paraId="471AB939" w14:textId="1E83998F" w:rsidR="00922ADE" w:rsidRPr="00424261" w:rsidRDefault="00922ADE"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El padre del actor refirió que los acompañantes del actor habían sido torturados para declarar que éste se había disparado accidentalmente.</w:t>
      </w:r>
    </w:p>
    <w:p w14:paraId="39A6B886" w14:textId="15871CCC" w:rsidR="00922ADE" w:rsidRPr="00424261" w:rsidRDefault="00922ADE"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En una reunión con el Fiscal General de Justicia del Estado de México, se analizó el actuar de los policías que participaron en el operativo y la persecución, luego se informó que la investigación se encontraba abierta.</w:t>
      </w:r>
    </w:p>
    <w:p w14:paraId="7B686957" w14:textId="6F36A1DC" w:rsidR="00922ADE" w:rsidRPr="00424261" w:rsidRDefault="00922ADE"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El padre del actor refirió que la mujer policía que supuestamente robó la esclava y celular del occiso, había sido quien le disparó.</w:t>
      </w:r>
    </w:p>
    <w:p w14:paraId="1DEC7739" w14:textId="12EF9C22" w:rsidR="00922ADE" w:rsidRPr="00424261" w:rsidRDefault="00922ADE" w:rsidP="00A0560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Tres policías municipales fueron suspendidos hasta en tanto se lleve a cabo una investigación interna en la Comisión de Honor y Justicia, </w:t>
      </w:r>
      <w:r w:rsidR="00EA48B1" w:rsidRPr="00424261">
        <w:rPr>
          <w:rFonts w:ascii="Palatino Linotype" w:hAnsi="Palatino Linotype"/>
          <w:color w:val="000000" w:themeColor="text1"/>
        </w:rPr>
        <w:t xml:space="preserve">aparentemente </w:t>
      </w:r>
      <w:r w:rsidRPr="00424261">
        <w:rPr>
          <w:rFonts w:ascii="Palatino Linotype" w:hAnsi="Palatino Linotype"/>
          <w:color w:val="000000" w:themeColor="text1"/>
        </w:rPr>
        <w:t>relacionada con la toma de fotografía</w:t>
      </w:r>
      <w:r w:rsidR="00EA48B1" w:rsidRPr="00424261">
        <w:rPr>
          <w:rFonts w:ascii="Palatino Linotype" w:hAnsi="Palatino Linotype"/>
          <w:color w:val="000000" w:themeColor="text1"/>
        </w:rPr>
        <w:t>s.</w:t>
      </w:r>
    </w:p>
    <w:p w14:paraId="585DA0CD"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22F2BDF" w14:textId="0578B95C" w:rsidR="00073326" w:rsidRPr="00424261" w:rsidRDefault="00EA48B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Dicho lo anterior, es necesario mencionar que una nota periodística no puede ser considerada, bajo ninguna circunstancia, como un hecho probatorio pleno, sin embargo, puede ser considerada </w:t>
      </w:r>
      <w:r w:rsidR="003243FB" w:rsidRPr="00424261">
        <w:rPr>
          <w:rFonts w:ascii="Palatino Linotype" w:hAnsi="Palatino Linotype"/>
          <w:color w:val="000000" w:themeColor="text1"/>
        </w:rPr>
        <w:t>como un antecedente que relate la forma que posiblemente ocurrieron los hechos de un evento determinado. Lo anterior se sustenta conforme a lo establecido por la Tesis I.4o.T.4 K, con registro digital número 203622, emitida por el Máximo Juzgador del país, cuyo rubro y texto establece lo siguiente:</w:t>
      </w:r>
    </w:p>
    <w:p w14:paraId="547D3EBD" w14:textId="036BA337" w:rsidR="00073326" w:rsidRPr="00424261" w:rsidRDefault="00073326" w:rsidP="003243FB">
      <w:pPr>
        <w:pStyle w:val="Prrafodelista"/>
        <w:tabs>
          <w:tab w:val="left" w:pos="426"/>
        </w:tabs>
        <w:spacing w:before="240" w:line="360" w:lineRule="auto"/>
        <w:ind w:left="0" w:right="51"/>
        <w:jc w:val="both"/>
        <w:rPr>
          <w:rFonts w:ascii="Palatino Linotype" w:hAnsi="Palatino Linotype"/>
          <w:color w:val="000000" w:themeColor="text1"/>
        </w:rPr>
      </w:pPr>
    </w:p>
    <w:p w14:paraId="53612F93" w14:textId="2494D199" w:rsidR="003243FB" w:rsidRPr="00424261" w:rsidRDefault="003243FB" w:rsidP="003243FB">
      <w:pPr>
        <w:shd w:val="clear" w:color="auto" w:fill="FFFFFF"/>
        <w:spacing w:line="276" w:lineRule="auto"/>
        <w:ind w:left="567" w:right="567"/>
        <w:jc w:val="both"/>
        <w:rPr>
          <w:rFonts w:ascii="Palatino Linotype" w:eastAsia="Times New Roman" w:hAnsi="Palatino Linotype" w:cs="Calibri"/>
          <w:i/>
          <w:iCs/>
          <w:color w:val="212529"/>
          <w:sz w:val="22"/>
          <w:szCs w:val="22"/>
          <w:lang w:eastAsia="es-MX"/>
        </w:rPr>
      </w:pPr>
      <w:r w:rsidRPr="00424261">
        <w:rPr>
          <w:rFonts w:ascii="Palatino Linotype" w:eastAsia="Times New Roman" w:hAnsi="Palatino Linotype" w:cs="Calibri"/>
          <w:b/>
          <w:bCs/>
          <w:i/>
          <w:iCs/>
          <w:color w:val="212529"/>
          <w:sz w:val="22"/>
          <w:szCs w:val="22"/>
          <w:lang w:eastAsia="es-MX"/>
        </w:rPr>
        <w:t>NOTAS PERIODISTICAS, EL CONOCIMIENTO QUE DE ELLAS SE OBTIENE NO CONSTITUYE "UN HECHO PUBLICO Y NOTORIO.</w:t>
      </w:r>
      <w:r w:rsidRPr="00424261">
        <w:rPr>
          <w:rFonts w:ascii="Palatino Linotype" w:eastAsia="Times New Roman" w:hAnsi="Palatino Linotype" w:cs="Calibri"/>
          <w:i/>
          <w:iCs/>
          <w:color w:val="212529"/>
          <w:sz w:val="22"/>
          <w:szCs w:val="22"/>
          <w:lang w:eastAsia="es-MX"/>
        </w:rPr>
        <w:t xml:space="preserve"> “La circunstancia de que el público lector adquiera conocimiento de algún hecho consignado en periódicos o revistas, no convierte por esa sola circunstancia en "hecho público y notorio" la noticia consiguiente, toda vez que es notorio lo que es público y sabido de todos, o el hecho cuyo conocimiento forma parte de la cultura normal propia de un determinado círculo social en el tiempo de su realización.”</w:t>
      </w:r>
    </w:p>
    <w:p w14:paraId="6C67FD59" w14:textId="77777777" w:rsidR="003243FB" w:rsidRPr="00424261" w:rsidRDefault="003243FB"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641655EB" w14:textId="758164A4" w:rsidR="00073326" w:rsidRPr="00424261" w:rsidRDefault="003243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Razón de lo anterior, si bien es cierto que dentro de las notas periodísticas se mencionaron hechos que </w:t>
      </w:r>
      <w:r w:rsidR="008A6A4E" w:rsidRPr="00424261">
        <w:rPr>
          <w:rFonts w:ascii="Palatino Linotype" w:hAnsi="Palatino Linotype"/>
          <w:color w:val="000000" w:themeColor="text1"/>
        </w:rPr>
        <w:t>podrían relacionarse con violaciones graves a los derechos humanos, y actos de corrupción, éstas no resultarían suficientes para poder determinar la actualización de alguna de las excepciones que establece el artículo 143 de la Ley de Transparencia y Acceso a la Información Pública del Estado de México y Municipios.</w:t>
      </w:r>
    </w:p>
    <w:p w14:paraId="27002FEC"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FD28AB4" w14:textId="29605B38" w:rsidR="00073326" w:rsidRPr="00424261" w:rsidRDefault="0016021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Sin embargo, el treinta y uno (31) de octubre de dos mil veintiuno, la Comisión de Derechos Humanos del Estado de México, publicó una Tarjeta Informativa, mediante la cual, hizo del conocimiento de la sociedad sobre el inicio de la queja de oficio con número de expediente CODHEM/TLAL/627/2021, por la violación al derecho humano a la integridad y seguridad personal y, en su caso, al derecho a no ser sometido al uso desproporcionado o indebido de la fuerza, derivado de los hechos acontecidos en la autopista Chamapa-Lechería, en los que perdió la vida el actor Octavio Augusto Pérez Ocaña. Se comparte a continuación la Tarjeta publicada por el organismo:</w:t>
      </w:r>
    </w:p>
    <w:p w14:paraId="71F45142" w14:textId="388193C5"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1C41F3D5" w14:textId="273A5A77" w:rsidR="0016021F" w:rsidRPr="00424261" w:rsidRDefault="0016021F" w:rsidP="0016021F">
      <w:pPr>
        <w:pStyle w:val="Prrafodelista"/>
        <w:tabs>
          <w:tab w:val="left" w:pos="426"/>
        </w:tabs>
        <w:spacing w:before="240" w:after="240" w:line="360" w:lineRule="auto"/>
        <w:ind w:left="0" w:right="51"/>
        <w:jc w:val="center"/>
        <w:rPr>
          <w:rFonts w:ascii="Palatino Linotype" w:hAnsi="Palatino Linotype"/>
          <w:color w:val="000000" w:themeColor="text1"/>
        </w:rPr>
      </w:pPr>
      <w:r w:rsidRPr="00424261">
        <w:object w:dxaOrig="16590" w:dyaOrig="12720" w14:anchorId="3BDD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291.7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7410141" r:id="rId9"/>
        </w:object>
      </w:r>
    </w:p>
    <w:p w14:paraId="48676453" w14:textId="77777777" w:rsidR="0016021F" w:rsidRPr="00424261" w:rsidRDefault="0016021F"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7B13FA95" w14:textId="0BC30F45" w:rsidR="00073326" w:rsidRPr="00424261" w:rsidRDefault="0099323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Así las cosas, se advierte que el ente competente protector de los derechos humanos en el Estado de México ha advertido que durante el proceso de persecución y detención del vehículo del occiso pudieron haberse cometido violaciones a los derechos humanos, razón por la cual inició una queja de oficio con la finalidad de desarrollar las investigaciones correspondientes y dar seguimiento a las que realice la instancia en la materia.</w:t>
      </w:r>
    </w:p>
    <w:p w14:paraId="552D7BAB" w14:textId="77777777" w:rsidR="009F76ED" w:rsidRPr="00424261" w:rsidRDefault="009F76ED" w:rsidP="009F76ED">
      <w:pPr>
        <w:pStyle w:val="Prrafodelista"/>
        <w:tabs>
          <w:tab w:val="left" w:pos="426"/>
        </w:tabs>
        <w:spacing w:before="240" w:after="240" w:line="360" w:lineRule="auto"/>
        <w:ind w:left="0" w:right="51"/>
        <w:jc w:val="both"/>
        <w:rPr>
          <w:rFonts w:ascii="Palatino Linotype" w:hAnsi="Palatino Linotype"/>
          <w:color w:val="000000" w:themeColor="text1"/>
        </w:rPr>
      </w:pPr>
    </w:p>
    <w:p w14:paraId="0550D1BE" w14:textId="6135FFAD" w:rsidR="007B2497" w:rsidRPr="00424261" w:rsidRDefault="007B2497" w:rsidP="007B24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No es ocioso mencionar que los entes encargados de tutelar y proteger los derechos humanos -la Comisión de Derechos Humanos del Estado de México para el caso específico- serán los primeros responsables en determinar si la información de que se trate se relaciones con violaciones a derechos humanos; y, de acreditarse, bajo ninguna circunstancia se podrá invocar el carácter de reserva de la investigación que se realice.</w:t>
      </w:r>
    </w:p>
    <w:p w14:paraId="6F9E80C3" w14:textId="77777777" w:rsidR="007B2497" w:rsidRPr="00424261" w:rsidRDefault="007B2497" w:rsidP="007B2497">
      <w:pPr>
        <w:pStyle w:val="Prrafodelista"/>
        <w:tabs>
          <w:tab w:val="left" w:pos="426"/>
        </w:tabs>
        <w:spacing w:before="240" w:after="240" w:line="360" w:lineRule="auto"/>
        <w:ind w:left="0" w:right="51"/>
        <w:jc w:val="both"/>
        <w:rPr>
          <w:rFonts w:ascii="Palatino Linotype" w:hAnsi="Palatino Linotype"/>
          <w:color w:val="000000" w:themeColor="text1"/>
        </w:rPr>
      </w:pPr>
    </w:p>
    <w:p w14:paraId="034D28E2" w14:textId="2DD6EB17" w:rsidR="007B2497" w:rsidRPr="00424261" w:rsidRDefault="00AD6A6E" w:rsidP="007B24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Sustenta lo anterior</w:t>
      </w:r>
      <w:r w:rsidR="007B2497" w:rsidRPr="00424261">
        <w:rPr>
          <w:rFonts w:ascii="Palatino Linotype" w:hAnsi="Palatino Linotype"/>
          <w:color w:val="000000" w:themeColor="text1"/>
        </w:rPr>
        <w:t xml:space="preserve"> la Tesis Aislada </w:t>
      </w:r>
      <w:r w:rsidRPr="00424261">
        <w:rPr>
          <w:rFonts w:ascii="Palatino Linotype" w:hAnsi="Palatino Linotype"/>
          <w:color w:val="000000" w:themeColor="text1"/>
        </w:rPr>
        <w:t>de la Segunda Sala, número 2a.CX111/2017 (10a.), la cual establece lo siguiente:</w:t>
      </w:r>
    </w:p>
    <w:p w14:paraId="3C833714" w14:textId="64290D6C" w:rsidR="007B2497" w:rsidRPr="00424261" w:rsidRDefault="007B2497" w:rsidP="007B2497">
      <w:pPr>
        <w:pStyle w:val="Prrafodelista"/>
        <w:tabs>
          <w:tab w:val="left" w:pos="426"/>
        </w:tabs>
        <w:spacing w:before="240" w:after="240" w:line="360" w:lineRule="auto"/>
        <w:ind w:left="0" w:right="51"/>
        <w:jc w:val="both"/>
        <w:rPr>
          <w:rFonts w:ascii="Palatino Linotype" w:hAnsi="Palatino Linotype"/>
          <w:color w:val="000000" w:themeColor="text1"/>
        </w:rPr>
      </w:pPr>
    </w:p>
    <w:p w14:paraId="15F4CE4A" w14:textId="2CF6F9F2" w:rsidR="00AD6A6E" w:rsidRPr="00424261" w:rsidRDefault="00AD6A6E" w:rsidP="00AD6A6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COMISIÓN NACIONAL DE LOS DERECHOS HUMANOS. TIENE PLENA APTITUD JURÍDICA Y TÉCNICA PARA DETERMINAR SI LA INFORMACIÓN QUE LE ES SOLICITADA EN LOS ASUNTOS DE SU COMPETENCIA ENCUADRA EN LA HIPÓTESIS PREVISTA EN EL ÚLTIMO PÁRRAFO DEL ARTÍCULO 14 DE LA LEY FEDERAL DE TRANSPARENCIA Y ACCESO A LA INFORMACIÓN PÚBLICA GUBERNAMENTAL ABROGADA</w:t>
      </w:r>
      <w:r w:rsidRPr="00424261">
        <w:rPr>
          <w:rFonts w:ascii="Palatino Linotype" w:hAnsi="Palatino Linotype"/>
          <w:i/>
          <w:iCs/>
          <w:color w:val="000000" w:themeColor="text1"/>
          <w:sz w:val="22"/>
          <w:szCs w:val="22"/>
        </w:rPr>
        <w:t xml:space="preserve">.” Conforme al precepto citado, respecto de la información gubernamental no podrá invocarse el carácter de reservada cuando se trate de la investigación de "violaciones graves de derechos fundamentales". Por otra parte, la naturaleza funcional de la Comisión Nacional de los Derechos Humanos la ubica como el órgano estatal que </w:t>
      </w:r>
      <w:r w:rsidRPr="00424261">
        <w:rPr>
          <w:rFonts w:ascii="Palatino Linotype" w:hAnsi="Palatino Linotype"/>
          <w:i/>
          <w:iCs/>
          <w:color w:val="000000" w:themeColor="text1"/>
          <w:sz w:val="22"/>
          <w:szCs w:val="22"/>
        </w:rPr>
        <w:lastRenderedPageBreak/>
        <w:t>debe velar por la protección, observancia, promoción, estudio y divulgación de los derechos humanos que ampara el orden jurídico mexicano, lo que permite colegir, indubitablemente, que cuenta con plena aptitud jurídica y técnica para determinar si la información solicitada por los particulares en los asuntos de su competencia se relaciona con violaciones graves a los derechos fundamentales y, en esa medida, si esos datos se encuentran regidos por el principio de máxima publicidad en términos del artículo 14, último párrafo, de la Ley Federal de Transparencia y Acceso a la Información Pública Gubernamental, vigente hasta el 9 de mayo de 2016.”</w:t>
      </w:r>
    </w:p>
    <w:p w14:paraId="284B60F9" w14:textId="77777777" w:rsidR="00AD6A6E" w:rsidRPr="00424261" w:rsidRDefault="00AD6A6E" w:rsidP="007B2497">
      <w:pPr>
        <w:pStyle w:val="Prrafodelista"/>
        <w:tabs>
          <w:tab w:val="left" w:pos="426"/>
        </w:tabs>
        <w:spacing w:before="240" w:after="240" w:line="360" w:lineRule="auto"/>
        <w:ind w:left="0" w:right="51"/>
        <w:jc w:val="both"/>
        <w:rPr>
          <w:rFonts w:ascii="Palatino Linotype" w:hAnsi="Palatino Linotype"/>
          <w:color w:val="000000" w:themeColor="text1"/>
        </w:rPr>
      </w:pPr>
    </w:p>
    <w:p w14:paraId="1C597355" w14:textId="278252BA" w:rsidR="009F76ED" w:rsidRPr="00424261" w:rsidRDefault="00AD6A6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rPr>
        <w:t>Por su parte, la</w:t>
      </w:r>
      <w:r w:rsidR="009F76ED" w:rsidRPr="00424261">
        <w:rPr>
          <w:rFonts w:ascii="Palatino Linotype" w:hAnsi="Palatino Linotype"/>
        </w:rPr>
        <w:t xml:space="preserve"> Corte Interamericana de Derechos Humanos ha establecido la obligación que tiene los Estado parte de la Convención para proporcionar cualquier información relacionada con graves violaciones a derechos humanos:</w:t>
      </w:r>
    </w:p>
    <w:p w14:paraId="6B1C4727" w14:textId="33AC4CD4" w:rsidR="009F76ED" w:rsidRPr="00424261" w:rsidRDefault="009F76ED" w:rsidP="009F76ED">
      <w:pPr>
        <w:pStyle w:val="Prrafodelista"/>
        <w:tabs>
          <w:tab w:val="left" w:pos="426"/>
        </w:tabs>
        <w:spacing w:before="240" w:line="360" w:lineRule="auto"/>
        <w:ind w:left="0" w:right="51"/>
        <w:jc w:val="both"/>
        <w:rPr>
          <w:rFonts w:ascii="Palatino Linotype" w:hAnsi="Palatino Linotype"/>
          <w:color w:val="000000" w:themeColor="text1"/>
        </w:rPr>
      </w:pPr>
    </w:p>
    <w:p w14:paraId="039ED3F1" w14:textId="08264A91" w:rsidR="009F76ED" w:rsidRPr="00424261" w:rsidRDefault="009F76ED" w:rsidP="009F76ED">
      <w:pPr>
        <w:spacing w:line="276" w:lineRule="auto"/>
        <w:ind w:left="567" w:right="567"/>
        <w:contextualSpacing/>
        <w:jc w:val="both"/>
        <w:rPr>
          <w:rFonts w:ascii="Palatino Linotype" w:hAnsi="Palatino Linotype"/>
          <w:i/>
          <w:sz w:val="22"/>
          <w:szCs w:val="22"/>
        </w:rPr>
      </w:pPr>
      <w:r w:rsidRPr="00424261">
        <w:rPr>
          <w:rFonts w:ascii="Palatino Linotype" w:hAnsi="Palatino Linotype" w:cs="Arial"/>
          <w:i/>
          <w:sz w:val="22"/>
          <w:szCs w:val="22"/>
          <w:shd w:val="clear" w:color="auto" w:fill="FFFFFF"/>
        </w:rPr>
        <w:t>“que toda persona, incluyendo los familiares de las víctimas de graves violaciones a derechos humanos, tiene el derecho a conocer la verdad. En consecuencia, los familiares de las víctimas, y la sociedad, deben ser informados de todo lo sucedido con relación a dichas violaciones. (…)”</w:t>
      </w:r>
    </w:p>
    <w:p w14:paraId="1049A1B0" w14:textId="77777777" w:rsidR="009F76ED" w:rsidRPr="00424261" w:rsidRDefault="009F76ED" w:rsidP="009F76ED">
      <w:pPr>
        <w:pStyle w:val="Prrafodelista"/>
        <w:tabs>
          <w:tab w:val="left" w:pos="426"/>
        </w:tabs>
        <w:spacing w:before="240" w:after="240" w:line="360" w:lineRule="auto"/>
        <w:ind w:left="0" w:right="51"/>
        <w:jc w:val="both"/>
        <w:rPr>
          <w:rFonts w:ascii="Palatino Linotype" w:hAnsi="Palatino Linotype"/>
          <w:color w:val="000000" w:themeColor="text1"/>
        </w:rPr>
      </w:pPr>
    </w:p>
    <w:p w14:paraId="70C125A3" w14:textId="4FFD5C9F" w:rsidR="00AD6A6E" w:rsidRPr="00424261" w:rsidRDefault="00AD6A6E" w:rsidP="007138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Así las cosas, resulta esencial destacar lo ya resuelto por lo Segunda Sala en el sentido de que las autoridades requeridas tienen la capacidad para determinar de manera inicial si se está frente a una violación grave a los derechos humanos a efectos de entregar la información solicitada. Así se decidió en un caso donde se le requirió a la Comisión Nacional de los Derechos Humanos la entrega de información relativa a hechos que podrían constituir graves violaciones a los derechos humanos</w:t>
      </w:r>
      <w:r w:rsidRPr="00424261">
        <w:rPr>
          <w:rStyle w:val="Refdenotaalpie"/>
          <w:rFonts w:ascii="Palatino Linotype" w:hAnsi="Palatino Linotype"/>
          <w:color w:val="000000" w:themeColor="text1"/>
        </w:rPr>
        <w:footnoteReference w:id="18"/>
      </w:r>
      <w:r w:rsidRPr="00424261">
        <w:rPr>
          <w:rFonts w:ascii="Palatino Linotype" w:hAnsi="Palatino Linotype"/>
          <w:color w:val="000000" w:themeColor="text1"/>
        </w:rPr>
        <w:t>.</w:t>
      </w:r>
    </w:p>
    <w:p w14:paraId="7DEBC1D4" w14:textId="77777777" w:rsidR="00AD6A6E" w:rsidRPr="00424261" w:rsidRDefault="00AD6A6E" w:rsidP="00AD6A6E">
      <w:pPr>
        <w:pStyle w:val="Prrafodelista"/>
        <w:tabs>
          <w:tab w:val="left" w:pos="426"/>
        </w:tabs>
        <w:spacing w:before="240" w:after="240" w:line="360" w:lineRule="auto"/>
        <w:ind w:left="0" w:right="51"/>
        <w:jc w:val="both"/>
        <w:rPr>
          <w:rFonts w:ascii="Palatino Linotype" w:hAnsi="Palatino Linotype"/>
          <w:color w:val="000000" w:themeColor="text1"/>
        </w:rPr>
      </w:pPr>
    </w:p>
    <w:p w14:paraId="6340F09E" w14:textId="75F900F0" w:rsidR="00752615" w:rsidRPr="00424261" w:rsidRDefault="00AD6A6E" w:rsidP="007138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En ese asunto se estimó que la Comisión Nacional de Derechos Humanos puede llevar un examen preliminar –</w:t>
      </w:r>
      <w:r w:rsidRPr="00424261">
        <w:rPr>
          <w:rFonts w:ascii="Palatino Linotype" w:hAnsi="Palatino Linotype"/>
          <w:i/>
          <w:iCs/>
          <w:color w:val="000000" w:themeColor="text1"/>
        </w:rPr>
        <w:t>prima facie</w:t>
      </w:r>
      <w:r w:rsidRPr="00424261">
        <w:rPr>
          <w:rFonts w:ascii="Palatino Linotype" w:hAnsi="Palatino Linotype"/>
          <w:color w:val="000000" w:themeColor="text1"/>
        </w:rPr>
        <w:t xml:space="preserve">- de los hechos consignados en los expedientes respectivos, </w:t>
      </w:r>
      <w:r w:rsidRPr="00424261">
        <w:rPr>
          <w:rFonts w:ascii="Palatino Linotype" w:hAnsi="Palatino Linotype"/>
          <w:b/>
          <w:bCs/>
          <w:color w:val="000000" w:themeColor="text1"/>
        </w:rPr>
        <w:t>únicamente para dilucidar si guardan o no relación con graves violaciones a los derechos humanos y, por ende, si resulta asequible publicitar la información respectiva</w:t>
      </w:r>
      <w:r w:rsidRPr="00424261">
        <w:rPr>
          <w:rFonts w:ascii="Palatino Linotype" w:hAnsi="Palatino Linotype"/>
          <w:color w:val="000000" w:themeColor="text1"/>
        </w:rPr>
        <w:t xml:space="preserve"> en atención al interés superlativo que tiene la sociedad en su conjunto, de conocer la misma, precisamente por su gravedad y por las repercusiones que implica en el orden jurídico nacional</w:t>
      </w:r>
      <w:r w:rsidR="00233E33" w:rsidRPr="00424261">
        <w:rPr>
          <w:rStyle w:val="Refdenotaalpie"/>
          <w:rFonts w:ascii="Palatino Linotype" w:hAnsi="Palatino Linotype"/>
          <w:color w:val="000000" w:themeColor="text1"/>
        </w:rPr>
        <w:footnoteReference w:id="19"/>
      </w:r>
      <w:r w:rsidRPr="00424261">
        <w:rPr>
          <w:rFonts w:ascii="Palatino Linotype" w:hAnsi="Palatino Linotype"/>
          <w:color w:val="000000" w:themeColor="text1"/>
        </w:rPr>
        <w:t>.</w:t>
      </w:r>
    </w:p>
    <w:p w14:paraId="6D497672" w14:textId="77777777" w:rsidR="00752615" w:rsidRPr="00424261" w:rsidRDefault="00752615" w:rsidP="00752615">
      <w:pPr>
        <w:pStyle w:val="Prrafodelista"/>
        <w:tabs>
          <w:tab w:val="left" w:pos="426"/>
        </w:tabs>
        <w:spacing w:before="240" w:after="240" w:line="360" w:lineRule="auto"/>
        <w:ind w:left="0" w:right="51"/>
        <w:jc w:val="both"/>
        <w:rPr>
          <w:rFonts w:ascii="Palatino Linotype" w:hAnsi="Palatino Linotype"/>
          <w:color w:val="000000" w:themeColor="text1"/>
        </w:rPr>
      </w:pPr>
    </w:p>
    <w:p w14:paraId="670F113B" w14:textId="57B9F726" w:rsidR="00752615" w:rsidRPr="00424261" w:rsidRDefault="00233E33" w:rsidP="007138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El derecho a la verdad tiene, como el derecho a la libertad de expresión, una dimensión individual y otra colectiva. La Corte Interamericana ha sostenido que la sociedad como un todo debe ser informada de todo lo sucedido con en relación a las violaciones graves a derechos humanos. Asimismo, la Comisión Interamericana ha señalado “</w:t>
      </w:r>
      <w:r w:rsidRPr="00424261">
        <w:rPr>
          <w:rFonts w:ascii="Palatino Linotype" w:hAnsi="Palatino Linotype"/>
          <w:i/>
          <w:iCs/>
          <w:color w:val="000000" w:themeColor="text1"/>
        </w:rPr>
        <w:t>que toda la sociedad tiene el irrenunciable derecho de conocer la verdad de lo ocurrido, así como las razones y circunstancias en las que aberrantes delitos llegaron a cometerse, a fin de evitar que esos hechos vuelvan a ocurrir en el futuro”</w:t>
      </w:r>
      <w:r w:rsidRPr="00424261">
        <w:rPr>
          <w:rStyle w:val="Refdenotaalpie"/>
          <w:rFonts w:ascii="Palatino Linotype" w:hAnsi="Palatino Linotype"/>
          <w:i/>
          <w:iCs/>
          <w:color w:val="000000" w:themeColor="text1"/>
        </w:rPr>
        <w:footnoteReference w:id="20"/>
      </w:r>
      <w:r w:rsidRPr="00424261">
        <w:rPr>
          <w:rFonts w:ascii="Palatino Linotype" w:hAnsi="Palatino Linotype"/>
          <w:color w:val="000000" w:themeColor="text1"/>
        </w:rPr>
        <w:t>.</w:t>
      </w:r>
    </w:p>
    <w:p w14:paraId="0B80BB1A" w14:textId="77777777" w:rsidR="00752615" w:rsidRPr="00424261" w:rsidRDefault="00752615" w:rsidP="00752615">
      <w:pPr>
        <w:pStyle w:val="Prrafodelista"/>
        <w:tabs>
          <w:tab w:val="left" w:pos="426"/>
        </w:tabs>
        <w:spacing w:before="240" w:after="240" w:line="360" w:lineRule="auto"/>
        <w:ind w:left="0" w:right="51"/>
        <w:jc w:val="both"/>
        <w:rPr>
          <w:rFonts w:ascii="Palatino Linotype" w:hAnsi="Palatino Linotype"/>
          <w:color w:val="000000" w:themeColor="text1"/>
        </w:rPr>
      </w:pPr>
    </w:p>
    <w:p w14:paraId="5B14CD02" w14:textId="0CCD6E4A" w:rsidR="009F76ED" w:rsidRPr="00424261" w:rsidRDefault="007F69C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Sin embargo, </w:t>
      </w:r>
      <w:r w:rsidR="009F76ED" w:rsidRPr="00424261">
        <w:rPr>
          <w:rFonts w:ascii="Palatino Linotype" w:hAnsi="Palatino Linotype"/>
          <w:color w:val="000000" w:themeColor="text1"/>
        </w:rPr>
        <w:t xml:space="preserve">existen diversas sentencias en materia de Amparo en las que los Jueces han reconocido que </w:t>
      </w:r>
      <w:r w:rsidR="009F76ED" w:rsidRPr="00424261">
        <w:rPr>
          <w:rFonts w:ascii="Palatino Linotype" w:hAnsi="Palatino Linotype"/>
          <w:b/>
          <w:bCs/>
          <w:color w:val="000000" w:themeColor="text1"/>
        </w:rPr>
        <w:t xml:space="preserve">no es necesario un pronunciamiento previo de </w:t>
      </w:r>
      <w:r w:rsidR="009F76ED" w:rsidRPr="00424261">
        <w:rPr>
          <w:rFonts w:ascii="Palatino Linotype" w:hAnsi="Palatino Linotype"/>
          <w:b/>
          <w:bCs/>
          <w:color w:val="000000" w:themeColor="text1"/>
        </w:rPr>
        <w:lastRenderedPageBreak/>
        <w:t>autoridad competente que determine la existencia de violaciones graves a los derechos humanos o delitos de lesa humanidad</w:t>
      </w:r>
      <w:r w:rsidR="009F76ED" w:rsidRPr="00424261">
        <w:rPr>
          <w:rFonts w:ascii="Palatino Linotype" w:hAnsi="Palatino Linotype"/>
          <w:color w:val="000000" w:themeColor="text1"/>
        </w:rPr>
        <w:t xml:space="preserve">, pues el órgano garante cuenta con las facultades para pronunciarse </w:t>
      </w:r>
      <w:r w:rsidR="00D41AB4" w:rsidRPr="00424261">
        <w:rPr>
          <w:rFonts w:ascii="Palatino Linotype" w:hAnsi="Palatino Linotype"/>
          <w:color w:val="000000" w:themeColor="text1"/>
        </w:rPr>
        <w:t>al respecto:</w:t>
      </w:r>
    </w:p>
    <w:p w14:paraId="6BEF88B2" w14:textId="652C6D8F" w:rsidR="00D41AB4" w:rsidRPr="00424261" w:rsidRDefault="00D41AB4" w:rsidP="00D41AB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Juicio de Amparo 1371/2013, resuelto por el Juzgado Octavo de Distrito en Materia Administrativa en el entonces Distrito Federal, en cuya sentencia se señala:</w:t>
      </w:r>
      <w:r w:rsidRPr="00424261">
        <w:rPr>
          <w:rFonts w:ascii="Palatino Linotype" w:hAnsi="Palatino Linotype"/>
          <w:i/>
          <w:color w:val="000000" w:themeColor="text1"/>
        </w:rPr>
        <w:t xml:space="preserve"> “Contrario a lo asentado por el IFAI, dicho Instituto sí cuenta con facultades para pronunciarse prima facie sobre las violaciones graves de derechos humanos únicamente para efectos de asumir y ejercer sus propias competencias en materia de acceso a la información de las averiguaciones previas”</w:t>
      </w:r>
      <w:r w:rsidRPr="00424261">
        <w:rPr>
          <w:rFonts w:ascii="Palatino Linotype" w:hAnsi="Palatino Linotype"/>
          <w:iCs/>
          <w:color w:val="000000" w:themeColor="text1"/>
          <w:vertAlign w:val="superscript"/>
        </w:rPr>
        <w:footnoteReference w:id="21"/>
      </w:r>
    </w:p>
    <w:p w14:paraId="0ED61986" w14:textId="09FA135F" w:rsidR="00D41AB4" w:rsidRPr="00424261" w:rsidRDefault="00D41AB4" w:rsidP="006128BB">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iCs/>
          <w:color w:val="000000" w:themeColor="text1"/>
        </w:rPr>
        <w:t>Juicio de Amparo 1189/2013 resuelto por el Juzgado Sexto de Distrito en Materia Administrativa en el entonces Distrito Federal:</w:t>
      </w:r>
      <w:r w:rsidRPr="00424261">
        <w:rPr>
          <w:rFonts w:ascii="Palatino Linotype" w:hAnsi="Palatino Linotype"/>
          <w:i/>
          <w:iCs/>
          <w:color w:val="000000" w:themeColor="text1"/>
        </w:rPr>
        <w:t xml:space="preserve"> “En este contexto, de los razonamientos anteriores, se concluye que el Instituto Federal de Acceso a la Información, en términos del artículo 37 de la Ley Federal de Transparencia y Acceso a la Información Pública Gubernamental, sí cuenta con facultades para interpretar si en el caso específico, opera la excepción de reserva prevista en el artículo 14, último párrafo, respecto de la averiguación previa (…)”</w:t>
      </w:r>
      <w:r w:rsidRPr="00424261">
        <w:rPr>
          <w:rFonts w:ascii="Palatino Linotype" w:hAnsi="Palatino Linotype"/>
          <w:color w:val="000000" w:themeColor="text1"/>
          <w:vertAlign w:val="superscript"/>
        </w:rPr>
        <w:footnoteReference w:id="22"/>
      </w:r>
      <w:r w:rsidRPr="00424261">
        <w:rPr>
          <w:rFonts w:ascii="Palatino Linotype" w:hAnsi="Palatino Linotype"/>
          <w:color w:val="000000" w:themeColor="text1"/>
        </w:rPr>
        <w:t>.</w:t>
      </w:r>
    </w:p>
    <w:p w14:paraId="2EA83070" w14:textId="77777777" w:rsidR="009F76ED" w:rsidRPr="00424261" w:rsidRDefault="009F76ED" w:rsidP="009F76ED">
      <w:pPr>
        <w:pStyle w:val="Prrafodelista"/>
        <w:tabs>
          <w:tab w:val="left" w:pos="426"/>
        </w:tabs>
        <w:spacing w:before="240" w:after="240" w:line="360" w:lineRule="auto"/>
        <w:ind w:left="0" w:right="51"/>
        <w:jc w:val="both"/>
        <w:rPr>
          <w:rFonts w:ascii="Palatino Linotype" w:hAnsi="Palatino Linotype"/>
          <w:color w:val="000000" w:themeColor="text1"/>
        </w:rPr>
      </w:pPr>
    </w:p>
    <w:p w14:paraId="2A42FB09" w14:textId="64BF8032" w:rsidR="009F76ED" w:rsidRPr="00424261" w:rsidRDefault="006128B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A</w:t>
      </w:r>
      <w:r w:rsidR="00D41AB4" w:rsidRPr="00424261">
        <w:rPr>
          <w:rFonts w:ascii="Palatino Linotype" w:hAnsi="Palatino Linotype"/>
          <w:color w:val="000000" w:themeColor="text1"/>
        </w:rPr>
        <w:t>sí las cosas, a pesar de que</w:t>
      </w:r>
      <w:r w:rsidR="00961B36" w:rsidRPr="00424261">
        <w:rPr>
          <w:rFonts w:ascii="Palatino Linotype" w:hAnsi="Palatino Linotype"/>
          <w:color w:val="000000" w:themeColor="text1"/>
        </w:rPr>
        <w:t>, apenas, meses atrás la Comisión de Derechos Humanos del Estado de México informó sobre el inicio de una queja de oficio y que, por ende, el procedimiento debería estar en una etapa de investigación</w:t>
      </w:r>
      <w:r w:rsidR="00D41AB4" w:rsidRPr="00424261">
        <w:rPr>
          <w:rFonts w:ascii="Palatino Linotype" w:hAnsi="Palatino Linotype"/>
          <w:color w:val="000000" w:themeColor="text1"/>
        </w:rPr>
        <w:t xml:space="preserve">, </w:t>
      </w:r>
      <w:r w:rsidR="008E2EFC" w:rsidRPr="00424261">
        <w:rPr>
          <w:rFonts w:ascii="Palatino Linotype" w:hAnsi="Palatino Linotype"/>
          <w:color w:val="000000" w:themeColor="text1"/>
        </w:rPr>
        <w:t xml:space="preserve">la Ley de la </w:t>
      </w:r>
      <w:r w:rsidR="008E2EFC" w:rsidRPr="00424261">
        <w:rPr>
          <w:rFonts w:ascii="Palatino Linotype" w:hAnsi="Palatino Linotype"/>
          <w:color w:val="000000" w:themeColor="text1"/>
        </w:rPr>
        <w:lastRenderedPageBreak/>
        <w:t>materia otorga las facultades vastas y suficientes a este Organismo Garante para determinar, derivado de un análisis cuantitativo y cualitativo, si una serie de hechos relacionados con un evento en particular conllevan la violación de derechos humanos y, de ser el caso, determinar su publicidad a pesar de que aún no exista una resolución firme por parte del ente tutor de derechos humanos estatal.</w:t>
      </w:r>
    </w:p>
    <w:p w14:paraId="2BF83B18" w14:textId="77777777" w:rsidR="009F76ED" w:rsidRPr="00424261" w:rsidRDefault="009F76ED" w:rsidP="009F76ED">
      <w:pPr>
        <w:pStyle w:val="Prrafodelista"/>
        <w:tabs>
          <w:tab w:val="left" w:pos="426"/>
        </w:tabs>
        <w:spacing w:before="240" w:after="240" w:line="360" w:lineRule="auto"/>
        <w:ind w:left="0" w:right="51"/>
        <w:jc w:val="both"/>
        <w:rPr>
          <w:rFonts w:ascii="Palatino Linotype" w:hAnsi="Palatino Linotype"/>
          <w:color w:val="000000" w:themeColor="text1"/>
        </w:rPr>
      </w:pPr>
    </w:p>
    <w:p w14:paraId="4EC1A200" w14:textId="587C24B9" w:rsidR="001D4500" w:rsidRPr="00424261" w:rsidRDefault="00993234" w:rsidP="001D450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Luego entonces, es concluyente que en el presente asunto se actualiza </w:t>
      </w:r>
      <w:r w:rsidR="00056051" w:rsidRPr="00424261">
        <w:rPr>
          <w:rFonts w:ascii="Palatino Linotype" w:hAnsi="Palatino Linotype"/>
          <w:color w:val="000000" w:themeColor="text1"/>
        </w:rPr>
        <w:t>el</w:t>
      </w:r>
      <w:r w:rsidRPr="00424261">
        <w:rPr>
          <w:rFonts w:ascii="Palatino Linotype" w:hAnsi="Palatino Linotype"/>
          <w:color w:val="000000" w:themeColor="text1"/>
        </w:rPr>
        <w:t xml:space="preserve"> supuesto contenido en la fracci</w:t>
      </w:r>
      <w:r w:rsidR="00056051" w:rsidRPr="00424261">
        <w:rPr>
          <w:rFonts w:ascii="Palatino Linotype" w:hAnsi="Palatino Linotype"/>
          <w:color w:val="000000" w:themeColor="text1"/>
        </w:rPr>
        <w:t>ón</w:t>
      </w:r>
      <w:r w:rsidRPr="00424261">
        <w:rPr>
          <w:rFonts w:ascii="Palatino Linotype" w:hAnsi="Palatino Linotype"/>
          <w:color w:val="000000" w:themeColor="text1"/>
        </w:rPr>
        <w:t xml:space="preserve"> II del artículo 142 de la Ley de Transparencia y Acceso a la Información Pública del Estado de México y Municipios, al existir suficientes criterios para determinar que, durante el proceso de persecución y detención del vehículo donde perdiera la vida el actor Octavio Augusto Pérez Ocaña, se </w:t>
      </w:r>
      <w:r w:rsidR="00056051" w:rsidRPr="00424261">
        <w:rPr>
          <w:rFonts w:ascii="Palatino Linotype" w:hAnsi="Palatino Linotype"/>
          <w:color w:val="000000" w:themeColor="text1"/>
        </w:rPr>
        <w:t>pudieron violentar derechos humanos, no solo del occiso, sino también de sus acompañantes.</w:t>
      </w:r>
    </w:p>
    <w:p w14:paraId="2D99B403" w14:textId="77777777" w:rsidR="001D4500" w:rsidRPr="00424261" w:rsidRDefault="001D4500" w:rsidP="001D4500">
      <w:pPr>
        <w:pStyle w:val="Prrafodelista"/>
        <w:tabs>
          <w:tab w:val="left" w:pos="426"/>
        </w:tabs>
        <w:spacing w:before="240" w:after="240" w:line="360" w:lineRule="auto"/>
        <w:ind w:left="0" w:right="51"/>
        <w:jc w:val="both"/>
        <w:rPr>
          <w:rFonts w:ascii="Palatino Linotype" w:hAnsi="Palatino Linotype"/>
          <w:color w:val="000000" w:themeColor="text1"/>
        </w:rPr>
      </w:pPr>
    </w:p>
    <w:p w14:paraId="748F214B" w14:textId="3FAE7FCF" w:rsidR="001D4500" w:rsidRPr="00424261" w:rsidRDefault="001D4500" w:rsidP="001D450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Razón de lo anterior, se debe señalar que</w:t>
      </w:r>
      <w:r w:rsidR="003F1F0B" w:rsidRPr="00424261">
        <w:rPr>
          <w:rFonts w:ascii="Palatino Linotype" w:hAnsi="Palatino Linotype"/>
          <w:color w:val="000000" w:themeColor="text1"/>
        </w:rPr>
        <w:t>, en casos relacionados con violaciones a derechos humanos,</w:t>
      </w:r>
      <w:r w:rsidRPr="00424261">
        <w:rPr>
          <w:rFonts w:ascii="Palatino Linotype" w:hAnsi="Palatino Linotype"/>
          <w:color w:val="000000" w:themeColor="text1"/>
        </w:rPr>
        <w:t xml:space="preserve"> </w:t>
      </w:r>
      <w:r w:rsidR="003F1F0B" w:rsidRPr="00424261">
        <w:rPr>
          <w:rFonts w:ascii="Palatino Linotype" w:hAnsi="Palatino Linotype"/>
          <w:color w:val="000000" w:themeColor="text1"/>
        </w:rPr>
        <w:t>el principio de máxima publicidad abarca un espectro mayor sobre información que pudiera actualizar el carácter de reserva</w:t>
      </w:r>
      <w:r w:rsidR="008D2045" w:rsidRPr="00424261">
        <w:rPr>
          <w:rFonts w:ascii="Palatino Linotype" w:hAnsi="Palatino Linotype"/>
          <w:color w:val="000000" w:themeColor="text1"/>
        </w:rPr>
        <w:t xml:space="preserve"> o confidencialidad</w:t>
      </w:r>
      <w:r w:rsidR="003F1F0B" w:rsidRPr="00424261">
        <w:rPr>
          <w:rFonts w:ascii="Palatino Linotype" w:hAnsi="Palatino Linotype"/>
          <w:color w:val="000000" w:themeColor="text1"/>
        </w:rPr>
        <w:t>, permitiendo inclusive difundir el nombre de la o las víctimas</w:t>
      </w:r>
      <w:r w:rsidR="00DA1D47" w:rsidRPr="00424261">
        <w:rPr>
          <w:rFonts w:ascii="Palatino Linotype" w:hAnsi="Palatino Linotype"/>
          <w:color w:val="000000" w:themeColor="text1"/>
        </w:rPr>
        <w:t>,</w:t>
      </w:r>
      <w:r w:rsidR="003F1F0B" w:rsidRPr="00424261">
        <w:rPr>
          <w:rFonts w:ascii="Palatino Linotype" w:hAnsi="Palatino Linotype"/>
          <w:color w:val="000000" w:themeColor="text1"/>
        </w:rPr>
        <w:t xml:space="preserve"> pues</w:t>
      </w:r>
      <w:r w:rsidR="008D2045" w:rsidRPr="00424261">
        <w:rPr>
          <w:rFonts w:ascii="Palatino Linotype" w:hAnsi="Palatino Linotype"/>
          <w:color w:val="000000" w:themeColor="text1"/>
        </w:rPr>
        <w:t xml:space="preserve"> </w:t>
      </w:r>
      <w:r w:rsidR="003F1F0B" w:rsidRPr="00424261">
        <w:rPr>
          <w:rFonts w:ascii="Palatino Linotype" w:hAnsi="Palatino Linotype"/>
          <w:color w:val="000000" w:themeColor="text1"/>
        </w:rPr>
        <w:t xml:space="preserve">su publicidad se relaciona con el deber de despertar la conciencia, tanto de la autoridad como de la ciudadanía, </w:t>
      </w:r>
      <w:r w:rsidR="008D2045" w:rsidRPr="00424261">
        <w:rPr>
          <w:rFonts w:ascii="Palatino Linotype" w:hAnsi="Palatino Linotype"/>
          <w:color w:val="000000" w:themeColor="text1"/>
        </w:rPr>
        <w:t>buscando evitar la repetición de hechos lesivos como los que derivaron en la muerte del actor y, conservar viva su memoria.</w:t>
      </w:r>
    </w:p>
    <w:p w14:paraId="104445D4" w14:textId="77777777" w:rsidR="008D2045" w:rsidRPr="00424261" w:rsidRDefault="008D2045" w:rsidP="008D2045">
      <w:pPr>
        <w:pStyle w:val="Prrafodelista"/>
        <w:tabs>
          <w:tab w:val="left" w:pos="426"/>
        </w:tabs>
        <w:spacing w:before="240" w:after="240" w:line="360" w:lineRule="auto"/>
        <w:ind w:left="0" w:right="51"/>
        <w:jc w:val="both"/>
        <w:rPr>
          <w:rFonts w:ascii="Palatino Linotype" w:hAnsi="Palatino Linotype"/>
          <w:color w:val="000000" w:themeColor="text1"/>
        </w:rPr>
      </w:pPr>
    </w:p>
    <w:p w14:paraId="57C1D040" w14:textId="5374A4D9" w:rsidR="008D2045" w:rsidRPr="00424261" w:rsidRDefault="008D2045" w:rsidP="001D450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Sustenta lo anterior la Tesis 2a. LIII/2017 (10a.), emitida por el Máximo Tribunal de la Nación, cuyo rubro y texto establecen lo siguiente:</w:t>
      </w:r>
    </w:p>
    <w:p w14:paraId="481B4514" w14:textId="3CE5052E"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9048237" w14:textId="0EB37735" w:rsidR="008D2045" w:rsidRPr="00424261" w:rsidRDefault="008D2045" w:rsidP="00DA1D47">
      <w:pPr>
        <w:pStyle w:val="Prrafodelista"/>
        <w:tabs>
          <w:tab w:val="left" w:pos="426"/>
        </w:tabs>
        <w:spacing w:before="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VIOLACIONES GRAVES DE DERECHOS FUNDAMENTALES. POR REGLA GENERAL EL PRINCIPIO DE MÁXIMA PUBLICIDAD DE LAS INVESTIGACIONES RELACIONADAS CON AQUÉLLAS, ABARCA EL NOMBRE DE LAS VÍCTIMAS.</w:t>
      </w:r>
      <w:r w:rsidRPr="00424261">
        <w:rPr>
          <w:rFonts w:ascii="Palatino Linotype" w:hAnsi="Palatino Linotype"/>
          <w:i/>
          <w:iCs/>
          <w:color w:val="000000" w:themeColor="text1"/>
          <w:sz w:val="22"/>
          <w:szCs w:val="22"/>
        </w:rPr>
        <w:t xml:space="preserve"> “Del artículo 14, párrafo último, de la Ley Federal de Transparencia y Acceso a la Información Pública Gubernamental, vigente hasta el 9 de mayo de 2016, se advierte que, </w:t>
      </w:r>
      <w:r w:rsidRPr="00424261">
        <w:rPr>
          <w:rFonts w:ascii="Palatino Linotype" w:hAnsi="Palatino Linotype"/>
          <w:b/>
          <w:bCs/>
          <w:i/>
          <w:iCs/>
          <w:color w:val="000000" w:themeColor="text1"/>
          <w:sz w:val="22"/>
          <w:szCs w:val="22"/>
        </w:rPr>
        <w:t>por regla general, no podrá invocarse el carácter de información reservada cuando se trate de la investigación  de</w:t>
      </w:r>
      <w:r w:rsidR="00DA1D47" w:rsidRPr="00424261">
        <w:rPr>
          <w:rFonts w:ascii="Palatino Linotype" w:hAnsi="Palatino Linotype"/>
          <w:b/>
          <w:bCs/>
          <w:i/>
          <w:iCs/>
          <w:color w:val="000000" w:themeColor="text1"/>
          <w:sz w:val="22"/>
          <w:szCs w:val="22"/>
        </w:rPr>
        <w:t xml:space="preserve"> </w:t>
      </w:r>
      <w:r w:rsidRPr="00424261">
        <w:rPr>
          <w:rFonts w:ascii="Palatino Linotype" w:hAnsi="Palatino Linotype"/>
          <w:b/>
          <w:bCs/>
          <w:i/>
          <w:iCs/>
          <w:color w:val="000000" w:themeColor="text1"/>
          <w:sz w:val="22"/>
          <w:szCs w:val="22"/>
        </w:rPr>
        <w:t>violaciones graves de derechos fundamentales o delitos contra la humanidad, sin hacer distinciones</w:t>
      </w:r>
      <w:r w:rsidR="00DA1D47" w:rsidRPr="00424261">
        <w:rPr>
          <w:rFonts w:ascii="Palatino Linotype" w:hAnsi="Palatino Linotype"/>
          <w:b/>
          <w:bCs/>
          <w:i/>
          <w:iCs/>
          <w:color w:val="000000" w:themeColor="text1"/>
          <w:sz w:val="22"/>
          <w:szCs w:val="22"/>
        </w:rPr>
        <w:t xml:space="preserve"> </w:t>
      </w:r>
      <w:r w:rsidRPr="00424261">
        <w:rPr>
          <w:rFonts w:ascii="Palatino Linotype" w:hAnsi="Palatino Linotype"/>
          <w:b/>
          <w:bCs/>
          <w:i/>
          <w:iCs/>
          <w:color w:val="000000" w:themeColor="text1"/>
          <w:sz w:val="22"/>
          <w:szCs w:val="22"/>
        </w:rPr>
        <w:t>o excepciones respecto al nombre de las víctimas</w:t>
      </w:r>
      <w:r w:rsidRPr="00424261">
        <w:rPr>
          <w:rFonts w:ascii="Palatino Linotype" w:hAnsi="Palatino Linotype"/>
          <w:i/>
          <w:iCs/>
          <w:color w:val="000000" w:themeColor="text1"/>
          <w:sz w:val="22"/>
          <w:szCs w:val="22"/>
        </w:rPr>
        <w:t>, sino que presenta una directriz clara e</w:t>
      </w:r>
      <w:r w:rsidR="00DA1D47"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indubitable del acceso a la publicidad de esa información, ante la entidad de las violaciones o delitos</w:t>
      </w:r>
      <w:r w:rsidR="00DA1D47"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implicados que generan un interés de la sociedad para conocer la conducta estatal respecto a la</w:t>
      </w:r>
      <w:r w:rsidR="00DA1D47"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debida investigación de tales actos, protegiendo en cualquier caso el honor de las víctimas. En ese</w:t>
      </w:r>
      <w:r w:rsidR="00DA1D47"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sentido, la función social derivada de la publicidad de los nombres de las víctimas en esos casos</w:t>
      </w:r>
      <w:r w:rsidR="00DA1D47"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radica en despertar la conciencia, tanto de la autoridad como de las personas en general, sobre la</w:t>
      </w:r>
      <w:r w:rsidR="00DA1D47"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necesidad de evitar la repetición de hechos lesivos como los ocurridos en esos casos y conservar</w:t>
      </w:r>
      <w:r w:rsidR="00DA1D47" w:rsidRPr="00424261">
        <w:rPr>
          <w:rFonts w:ascii="Palatino Linotype" w:hAnsi="Palatino Linotype"/>
          <w:i/>
          <w:iCs/>
          <w:color w:val="000000" w:themeColor="text1"/>
          <w:sz w:val="22"/>
          <w:szCs w:val="22"/>
        </w:rPr>
        <w:t xml:space="preserve"> </w:t>
      </w:r>
      <w:r w:rsidRPr="00424261">
        <w:rPr>
          <w:rFonts w:ascii="Palatino Linotype" w:hAnsi="Palatino Linotype"/>
          <w:i/>
          <w:iCs/>
          <w:color w:val="000000" w:themeColor="text1"/>
          <w:sz w:val="22"/>
          <w:szCs w:val="22"/>
        </w:rPr>
        <w:t xml:space="preserve">viva la memoria de la víctima; así, </w:t>
      </w:r>
      <w:r w:rsidRPr="00424261">
        <w:rPr>
          <w:rFonts w:ascii="Palatino Linotype" w:hAnsi="Palatino Linotype"/>
          <w:b/>
          <w:bCs/>
          <w:i/>
          <w:iCs/>
          <w:color w:val="000000" w:themeColor="text1"/>
          <w:sz w:val="22"/>
          <w:szCs w:val="22"/>
        </w:rPr>
        <w:t>trasladar una mera cifra estadística o número de expediente por</w:t>
      </w:r>
      <w:r w:rsidR="00DA1D47" w:rsidRPr="00424261">
        <w:rPr>
          <w:rFonts w:ascii="Palatino Linotype" w:hAnsi="Palatino Linotype"/>
          <w:b/>
          <w:bCs/>
          <w:i/>
          <w:iCs/>
          <w:color w:val="000000" w:themeColor="text1"/>
          <w:sz w:val="22"/>
          <w:szCs w:val="22"/>
        </w:rPr>
        <w:t xml:space="preserve"> </w:t>
      </w:r>
      <w:r w:rsidRPr="00424261">
        <w:rPr>
          <w:rFonts w:ascii="Palatino Linotype" w:hAnsi="Palatino Linotype"/>
          <w:b/>
          <w:bCs/>
          <w:i/>
          <w:iCs/>
          <w:color w:val="000000" w:themeColor="text1"/>
          <w:sz w:val="22"/>
          <w:szCs w:val="22"/>
        </w:rPr>
        <w:t>un "nombre o rostro" implica adquirir verdadera conciencia del problema en cuestión y dignifica al</w:t>
      </w:r>
      <w:r w:rsidR="00DA1D47" w:rsidRPr="00424261">
        <w:rPr>
          <w:rFonts w:ascii="Palatino Linotype" w:hAnsi="Palatino Linotype"/>
          <w:b/>
          <w:bCs/>
          <w:i/>
          <w:iCs/>
          <w:color w:val="000000" w:themeColor="text1"/>
          <w:sz w:val="22"/>
          <w:szCs w:val="22"/>
        </w:rPr>
        <w:t xml:space="preserve"> </w:t>
      </w:r>
      <w:r w:rsidRPr="00424261">
        <w:rPr>
          <w:rFonts w:ascii="Palatino Linotype" w:hAnsi="Palatino Linotype"/>
          <w:b/>
          <w:bCs/>
          <w:i/>
          <w:iCs/>
          <w:color w:val="000000" w:themeColor="text1"/>
          <w:sz w:val="22"/>
          <w:szCs w:val="22"/>
        </w:rPr>
        <w:t>ser humano, dando un lugar decoroso a la memoria de quienes fueron lesionados por conductas</w:t>
      </w:r>
      <w:r w:rsidR="00DA1D47" w:rsidRPr="00424261">
        <w:rPr>
          <w:rFonts w:ascii="Palatino Linotype" w:hAnsi="Palatino Linotype"/>
          <w:b/>
          <w:bCs/>
          <w:i/>
          <w:iCs/>
          <w:color w:val="000000" w:themeColor="text1"/>
          <w:sz w:val="22"/>
          <w:szCs w:val="22"/>
        </w:rPr>
        <w:t xml:space="preserve"> </w:t>
      </w:r>
      <w:r w:rsidRPr="00424261">
        <w:rPr>
          <w:rFonts w:ascii="Palatino Linotype" w:hAnsi="Palatino Linotype"/>
          <w:b/>
          <w:bCs/>
          <w:i/>
          <w:iCs/>
          <w:color w:val="000000" w:themeColor="text1"/>
          <w:sz w:val="22"/>
          <w:szCs w:val="22"/>
        </w:rPr>
        <w:t>especialmente gravosas y permite que la sociedad interpele ante el Estado para conocer la verdad</w:t>
      </w:r>
      <w:r w:rsidR="00DA1D47" w:rsidRPr="00424261">
        <w:rPr>
          <w:rFonts w:ascii="Palatino Linotype" w:hAnsi="Palatino Linotype"/>
          <w:b/>
          <w:bCs/>
          <w:i/>
          <w:iCs/>
          <w:color w:val="000000" w:themeColor="text1"/>
          <w:sz w:val="22"/>
          <w:szCs w:val="22"/>
        </w:rPr>
        <w:t xml:space="preserve"> </w:t>
      </w:r>
      <w:r w:rsidRPr="00424261">
        <w:rPr>
          <w:rFonts w:ascii="Palatino Linotype" w:hAnsi="Palatino Linotype"/>
          <w:b/>
          <w:bCs/>
          <w:i/>
          <w:iCs/>
          <w:color w:val="000000" w:themeColor="text1"/>
          <w:sz w:val="22"/>
          <w:szCs w:val="22"/>
        </w:rPr>
        <w:t>de los hechos acontecidos, y vigile que las autoridades cumplan su deber de investigar, juzgar y, en</w:t>
      </w:r>
      <w:r w:rsidR="00DA1D47" w:rsidRPr="00424261">
        <w:rPr>
          <w:rFonts w:ascii="Palatino Linotype" w:hAnsi="Palatino Linotype"/>
          <w:b/>
          <w:bCs/>
          <w:i/>
          <w:iCs/>
          <w:color w:val="000000" w:themeColor="text1"/>
          <w:sz w:val="22"/>
          <w:szCs w:val="22"/>
        </w:rPr>
        <w:t xml:space="preserve"> </w:t>
      </w:r>
      <w:r w:rsidRPr="00424261">
        <w:rPr>
          <w:rFonts w:ascii="Palatino Linotype" w:hAnsi="Palatino Linotype"/>
          <w:b/>
          <w:bCs/>
          <w:i/>
          <w:iCs/>
          <w:color w:val="000000" w:themeColor="text1"/>
          <w:sz w:val="22"/>
          <w:szCs w:val="22"/>
        </w:rPr>
        <w:t>su caso, sancionar y reparar las violaciones graves de derechos fundamentales</w:t>
      </w:r>
      <w:r w:rsidRPr="00424261">
        <w:rPr>
          <w:rFonts w:ascii="Palatino Linotype" w:hAnsi="Palatino Linotype"/>
          <w:i/>
          <w:iCs/>
          <w:color w:val="000000" w:themeColor="text1"/>
          <w:sz w:val="22"/>
          <w:szCs w:val="22"/>
        </w:rPr>
        <w:t>.</w:t>
      </w:r>
      <w:r w:rsidR="00DA1D47" w:rsidRPr="00424261">
        <w:rPr>
          <w:rFonts w:ascii="Palatino Linotype" w:hAnsi="Palatino Linotype"/>
          <w:i/>
          <w:iCs/>
          <w:color w:val="000000" w:themeColor="text1"/>
          <w:sz w:val="22"/>
          <w:szCs w:val="22"/>
        </w:rPr>
        <w:t>”</w:t>
      </w:r>
    </w:p>
    <w:p w14:paraId="15F0E0B5" w14:textId="7346171F" w:rsidR="00DA1D47" w:rsidRPr="00424261" w:rsidRDefault="00DA1D47" w:rsidP="00DA1D47">
      <w:pPr>
        <w:pStyle w:val="Prrafodelista"/>
        <w:tabs>
          <w:tab w:val="left" w:pos="426"/>
        </w:tabs>
        <w:spacing w:before="240" w:line="276" w:lineRule="auto"/>
        <w:ind w:left="567" w:right="567"/>
        <w:jc w:val="both"/>
        <w:rPr>
          <w:rFonts w:ascii="Palatino Linotype" w:hAnsi="Palatino Linotype"/>
          <w:color w:val="000000" w:themeColor="text1"/>
          <w:sz w:val="22"/>
          <w:szCs w:val="22"/>
        </w:rPr>
      </w:pPr>
      <w:r w:rsidRPr="00424261">
        <w:rPr>
          <w:rFonts w:ascii="Palatino Linotype" w:hAnsi="Palatino Linotype"/>
          <w:color w:val="000000" w:themeColor="text1"/>
          <w:sz w:val="22"/>
          <w:szCs w:val="22"/>
        </w:rPr>
        <w:t>(Énfasis añadido)</w:t>
      </w:r>
    </w:p>
    <w:p w14:paraId="26A1BB0B" w14:textId="77777777" w:rsidR="008D2045" w:rsidRPr="00424261" w:rsidRDefault="008D2045"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58839A0" w14:textId="6803073B" w:rsidR="00056051" w:rsidRPr="00424261" w:rsidRDefault="00056051" w:rsidP="0007616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2" w:name="_Toc101963393"/>
      <w:r w:rsidRPr="00424261">
        <w:rPr>
          <w:rFonts w:ascii="Palatino Linotype" w:hAnsi="Palatino Linotype"/>
          <w:b/>
          <w:bCs/>
          <w:color w:val="000000" w:themeColor="text1"/>
        </w:rPr>
        <w:t>V. De la información susceptible de ser entregada con base en el supuesto contenido en la fracción II del artículo 143 de la Ley de la materia.</w:t>
      </w:r>
      <w:bookmarkEnd w:id="42"/>
    </w:p>
    <w:p w14:paraId="597F2781" w14:textId="77777777" w:rsidR="00056051" w:rsidRPr="00424261" w:rsidRDefault="00056051"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177BF739" w14:textId="7E7E4954" w:rsidR="00073326" w:rsidRPr="00424261" w:rsidRDefault="0005605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Una vez establecido lo anterior, no debe ignorarse que el </w:t>
      </w:r>
      <w:r w:rsidRPr="00424261">
        <w:rPr>
          <w:rFonts w:ascii="Palatino Linotype" w:hAnsi="Palatino Linotype"/>
          <w:b/>
          <w:bCs/>
          <w:color w:val="000000" w:themeColor="text1"/>
        </w:rPr>
        <w:t>RECURRENTE</w:t>
      </w:r>
      <w:r w:rsidRPr="00424261">
        <w:rPr>
          <w:rFonts w:ascii="Palatino Linotype" w:hAnsi="Palatino Linotype"/>
          <w:color w:val="000000" w:themeColor="text1"/>
        </w:rPr>
        <w:t xml:space="preserve"> solicitó </w:t>
      </w:r>
      <w:r w:rsidR="00C45326" w:rsidRPr="00424261">
        <w:rPr>
          <w:rFonts w:ascii="Palatino Linotype" w:hAnsi="Palatino Linotype"/>
          <w:color w:val="000000" w:themeColor="text1"/>
        </w:rPr>
        <w:t xml:space="preserve">diversa información la cual no necesariamente pueda estar relacionada con </w:t>
      </w:r>
      <w:r w:rsidR="00C45326" w:rsidRPr="00424261">
        <w:rPr>
          <w:rFonts w:ascii="Palatino Linotype" w:hAnsi="Palatino Linotype"/>
          <w:color w:val="000000" w:themeColor="text1"/>
        </w:rPr>
        <w:lastRenderedPageBreak/>
        <w:t>el siniestro en el que el actor Octavio Augusto Pérez Ocaña perdió la vida en el Municipio de Cuautitlán Izcalli.</w:t>
      </w:r>
    </w:p>
    <w:p w14:paraId="02EA506D" w14:textId="36114336"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9B97676" w14:textId="4C0E0E20" w:rsidR="00073326" w:rsidRPr="00424261" w:rsidRDefault="003A3B3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ese tenor, por cuanto hace al </w:t>
      </w:r>
      <w:r w:rsidR="00175688" w:rsidRPr="00424261">
        <w:rPr>
          <w:rFonts w:ascii="Palatino Linotype" w:hAnsi="Palatino Linotype"/>
          <w:color w:val="000000" w:themeColor="text1"/>
        </w:rPr>
        <w:t xml:space="preserve">informe realizado por el Comisario de Seguridad Pública, así como las acciones tomadas por el Presidente Municipal ante el suceso, deberán ser entregados al </w:t>
      </w:r>
      <w:r w:rsidR="00175688" w:rsidRPr="00424261">
        <w:rPr>
          <w:rFonts w:ascii="Palatino Linotype" w:hAnsi="Palatino Linotype"/>
          <w:b/>
          <w:bCs/>
          <w:color w:val="000000" w:themeColor="text1"/>
        </w:rPr>
        <w:t>RECURRENTE</w:t>
      </w:r>
      <w:r w:rsidR="00175688" w:rsidRPr="00424261">
        <w:rPr>
          <w:rFonts w:ascii="Palatino Linotype" w:hAnsi="Palatino Linotype"/>
          <w:color w:val="000000" w:themeColor="text1"/>
        </w:rPr>
        <w:t xml:space="preserve">, de ser procedente en versión pública, protegiendo el nombre de testigos o terceros, </w:t>
      </w:r>
      <w:r w:rsidR="00175688" w:rsidRPr="00424261">
        <w:rPr>
          <w:rFonts w:ascii="Palatino Linotype" w:hAnsi="Palatino Linotype"/>
          <w:b/>
          <w:bCs/>
          <w:color w:val="000000" w:themeColor="text1"/>
        </w:rPr>
        <w:t>mas no así el nombre de servidores públicos</w:t>
      </w:r>
      <w:r w:rsidR="00175688" w:rsidRPr="00424261">
        <w:rPr>
          <w:rFonts w:ascii="Palatino Linotype" w:hAnsi="Palatino Linotype"/>
          <w:color w:val="000000" w:themeColor="text1"/>
        </w:rPr>
        <w:t>.</w:t>
      </w:r>
    </w:p>
    <w:p w14:paraId="3B53DB91" w14:textId="160A2BFE"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1F4675A2" w14:textId="48436099" w:rsidR="00C03122" w:rsidRPr="00424261" w:rsidRDefault="00C03122" w:rsidP="00C0312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3" w:name="_Toc101963394"/>
      <w:r w:rsidRPr="00424261">
        <w:rPr>
          <w:rFonts w:ascii="Palatino Linotype" w:hAnsi="Palatino Linotype"/>
          <w:b/>
          <w:bCs/>
          <w:color w:val="000000" w:themeColor="text1"/>
        </w:rPr>
        <w:t>a) De las patrullas, nombres de los policías y el parte de novedades.</w:t>
      </w:r>
      <w:bookmarkEnd w:id="43"/>
    </w:p>
    <w:p w14:paraId="55901212" w14:textId="77777777" w:rsidR="00C03122" w:rsidRPr="00424261" w:rsidRDefault="00C03122"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6780F51" w14:textId="0FA73DDF" w:rsidR="00073326" w:rsidRPr="00424261" w:rsidRDefault="0017568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otro lado, por cuanto hace a la información relacionada con el número de identificación de las patrullas utilizadas durante la persecución y detención del siniestro, así como los nombres</w:t>
      </w:r>
      <w:r w:rsidR="00A57ECD" w:rsidRPr="00424261">
        <w:rPr>
          <w:rFonts w:ascii="Palatino Linotype" w:hAnsi="Palatino Linotype"/>
          <w:color w:val="000000" w:themeColor="text1"/>
        </w:rPr>
        <w:t xml:space="preserve"> de los policías municipales y el número de unidad que manejan, es información que se advierte que puede contenerse en el propio parte de novedades solicitado también por el </w:t>
      </w:r>
      <w:r w:rsidR="00A57ECD" w:rsidRPr="00424261">
        <w:rPr>
          <w:rFonts w:ascii="Palatino Linotype" w:hAnsi="Palatino Linotype"/>
          <w:b/>
          <w:bCs/>
          <w:color w:val="000000" w:themeColor="text1"/>
        </w:rPr>
        <w:t>RECURRENTE</w:t>
      </w:r>
      <w:r w:rsidR="00A57ECD" w:rsidRPr="00424261">
        <w:rPr>
          <w:rFonts w:ascii="Palatino Linotype" w:hAnsi="Palatino Linotype"/>
          <w:color w:val="000000" w:themeColor="text1"/>
        </w:rPr>
        <w:t>.</w:t>
      </w:r>
    </w:p>
    <w:p w14:paraId="7CA9BF8D"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4727B947" w14:textId="1094C945" w:rsidR="00073326" w:rsidRPr="00424261" w:rsidRDefault="00A57ECD" w:rsidP="000733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Lo anterior es así, toda vez que la Ley Orgánica Municipal del Estado de México, en su artículo 48 fracción XII, dispone que dentro de las atribuciones conferidas al Presidente Municipal se encuentra la de tener bajo su mando los cuerpos de </w:t>
      </w:r>
      <w:r w:rsidRPr="00424261">
        <w:rPr>
          <w:rFonts w:ascii="Palatino Linotype" w:hAnsi="Palatino Linotype"/>
          <w:b/>
          <w:bCs/>
          <w:color w:val="000000" w:themeColor="text1"/>
        </w:rPr>
        <w:t>seguridad pública</w:t>
      </w:r>
      <w:r w:rsidRPr="00424261">
        <w:rPr>
          <w:rFonts w:ascii="Palatino Linotype" w:hAnsi="Palatino Linotype"/>
          <w:color w:val="000000" w:themeColor="text1"/>
        </w:rPr>
        <w:t>, tránsito y bomberos municipales.</w:t>
      </w:r>
    </w:p>
    <w:p w14:paraId="594DA92F"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662BD24" w14:textId="5D608FCE" w:rsidR="00073326" w:rsidRPr="00424261" w:rsidRDefault="00A57EC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Al respecto, la Ley de Seguridad del Estado de México, en sus artículos 2, párrafos primero y segundo, así como el artículo 4, establecen que la seguridad </w:t>
      </w:r>
      <w:r w:rsidRPr="00424261">
        <w:rPr>
          <w:rFonts w:ascii="Palatino Linotype" w:hAnsi="Palatino Linotype"/>
          <w:color w:val="000000" w:themeColor="text1"/>
        </w:rPr>
        <w:lastRenderedPageBreak/>
        <w:t>pública es una función a cargo del Estado y los municipios y se realizará en los diversos ámbitos de competencia, por conducto de las Instituciones Policiales, como a continuación se cita:</w:t>
      </w:r>
    </w:p>
    <w:p w14:paraId="6F2E911E" w14:textId="5C79C7B2"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2E83BF81" w14:textId="77777777" w:rsidR="00A57ECD" w:rsidRPr="00424261" w:rsidRDefault="00A57ECD" w:rsidP="00A57E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r w:rsidRPr="00424261">
        <w:rPr>
          <w:rFonts w:ascii="Palatino Linotype" w:hAnsi="Palatino Linotype"/>
          <w:b/>
          <w:bCs/>
          <w:i/>
          <w:iCs/>
          <w:color w:val="000000" w:themeColor="text1"/>
          <w:sz w:val="22"/>
          <w:szCs w:val="22"/>
        </w:rPr>
        <w:t>Artículo 2.-</w:t>
      </w:r>
      <w:r w:rsidRPr="00424261">
        <w:rPr>
          <w:rFonts w:ascii="Palatino Linotype" w:hAnsi="Palatino Linotype"/>
          <w:i/>
          <w:iCs/>
          <w:color w:val="000000" w:themeColor="text1"/>
          <w:sz w:val="22"/>
          <w:szCs w:val="22"/>
        </w:rPr>
        <w:t xml:space="preserve"> La seguridad pública es 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Ley y demás ordenamientos jurídicos aplicables. </w:t>
      </w:r>
    </w:p>
    <w:p w14:paraId="46EEED27" w14:textId="0F567C34" w:rsidR="00A57ECD" w:rsidRPr="00424261" w:rsidRDefault="00A57ECD" w:rsidP="00A57E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Las acciones en el ejercicio de la función de seguridad pública tendrán como eje central a la persona humana y, 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14:paraId="03E77D2F" w14:textId="7F846D53" w:rsidR="00A57ECD" w:rsidRPr="00424261" w:rsidRDefault="00A57ECD" w:rsidP="00A57E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p>
    <w:p w14:paraId="1662F846" w14:textId="6DDB574A" w:rsidR="00A57ECD" w:rsidRPr="00424261" w:rsidRDefault="00A57ECD" w:rsidP="00A57E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2B0A520" w14:textId="2FA02FD0" w:rsidR="00A57ECD" w:rsidRPr="00424261" w:rsidRDefault="00A57ECD" w:rsidP="00A57E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Artículo 4.-</w:t>
      </w:r>
      <w:r w:rsidRPr="00424261">
        <w:rPr>
          <w:rFonts w:ascii="Palatino Linotype" w:hAnsi="Palatino Linotype"/>
          <w:i/>
          <w:iCs/>
          <w:color w:val="000000" w:themeColor="text1"/>
          <w:sz w:val="22"/>
          <w:szCs w:val="22"/>
        </w:rPr>
        <w:t xml:space="preserv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infracciones administrativas, y de las demás autoridades que en razón de sus atribuciones deban contribuir directa o indirectamente al objeto de esta Ley.”</w:t>
      </w:r>
    </w:p>
    <w:p w14:paraId="1FC0E9D1" w14:textId="77777777" w:rsidR="00A57ECD" w:rsidRPr="00424261" w:rsidRDefault="00A57ECD"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554F5E6F" w14:textId="1C569B5A" w:rsidR="00073326" w:rsidRPr="00424261" w:rsidRDefault="00A57EC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Para tal efecto es preciso señalar que, de acuerdo con el artículo 6 de la Ley en estudio, se entenderá por Instituciones de Seguridad Pública a todas aquellas </w:t>
      </w:r>
      <w:r w:rsidRPr="00424261">
        <w:rPr>
          <w:rFonts w:ascii="Palatino Linotype" w:hAnsi="Palatino Linotype"/>
          <w:color w:val="000000" w:themeColor="text1"/>
        </w:rPr>
        <w:lastRenderedPageBreak/>
        <w:t>Instituciones Policiales encargadas de la seguridad pública a nivel estatal y municipal, tal como se transcribe:</w:t>
      </w:r>
    </w:p>
    <w:p w14:paraId="63E89E5E" w14:textId="41927F79"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2C310C24" w14:textId="5BA9603A" w:rsidR="00A57ECD"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r w:rsidRPr="00424261">
        <w:rPr>
          <w:rFonts w:ascii="Palatino Linotype" w:hAnsi="Palatino Linotype"/>
          <w:b/>
          <w:bCs/>
          <w:i/>
          <w:iCs/>
          <w:sz w:val="22"/>
          <w:szCs w:val="22"/>
        </w:rPr>
        <w:t>Artículo 6.-</w:t>
      </w:r>
      <w:r w:rsidRPr="00424261">
        <w:rPr>
          <w:rFonts w:ascii="Palatino Linotype" w:hAnsi="Palatino Linotype"/>
          <w:i/>
          <w:iCs/>
          <w:sz w:val="22"/>
          <w:szCs w:val="22"/>
        </w:rPr>
        <w:t xml:space="preserve"> Para los efectos de esta Ley, se entenderá por:</w:t>
      </w:r>
    </w:p>
    <w:p w14:paraId="0D74A61D" w14:textId="76283249"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2BB17721" w14:textId="7777777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XI. Instituciones Policiales:</w:t>
      </w:r>
      <w:r w:rsidRPr="00424261">
        <w:rPr>
          <w:rFonts w:ascii="Palatino Linotype" w:hAnsi="Palatino Linotype"/>
          <w:i/>
          <w:iCs/>
          <w:sz w:val="22"/>
          <w:szCs w:val="22"/>
        </w:rPr>
        <w:t xml:space="preserve"> a los cuerpos de policía, de vigilancia y custodia de los establecimientos penitenciarios, de detención preventiva y de centros de arraigos; y en general, todas las dependencias encargadas de la seguridad pública a nivel estatal y municipal, que realicen funciones similares; </w:t>
      </w:r>
    </w:p>
    <w:p w14:paraId="7F1E0A89" w14:textId="711E1FA8"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XII. Instituciones de Seguridad Pública:</w:t>
      </w:r>
      <w:r w:rsidRPr="00424261">
        <w:rPr>
          <w:rFonts w:ascii="Palatino Linotype" w:hAnsi="Palatino Linotype"/>
          <w:i/>
          <w:iCs/>
          <w:sz w:val="22"/>
          <w:szCs w:val="22"/>
        </w:rPr>
        <w:t xml:space="preserve"> a las Instituciones Policiales, de Procuración de Justicia, del Sistema Penitenciario y dependencias encargadas de la seguridad pública a nivel estatal y municipal;</w:t>
      </w:r>
    </w:p>
    <w:p w14:paraId="17124EE6" w14:textId="424D55F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sz w:val="22"/>
          <w:szCs w:val="22"/>
        </w:rPr>
        <w:t>(…)”</w:t>
      </w:r>
    </w:p>
    <w:p w14:paraId="7FD95844" w14:textId="77777777" w:rsidR="00A57ECD" w:rsidRPr="00424261" w:rsidRDefault="00A57ECD"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6C302B0F" w14:textId="18F85965" w:rsidR="00073326" w:rsidRPr="00424261" w:rsidRDefault="003F207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Para estas Instituciones, la Ley de Seguridad del Estado de México les otorga las facultades para dar cabal cumplimiento a sus funciones, dentro de las cuales se encuentra la de emitir informes, partes policiales y entre otras las siguientes:</w:t>
      </w:r>
    </w:p>
    <w:p w14:paraId="05AB2679" w14:textId="39F98F8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85C3EC2" w14:textId="7777777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r w:rsidRPr="00424261">
        <w:rPr>
          <w:rFonts w:ascii="Palatino Linotype" w:hAnsi="Palatino Linotype"/>
          <w:b/>
          <w:bCs/>
          <w:i/>
          <w:iCs/>
          <w:color w:val="000000" w:themeColor="text1"/>
          <w:sz w:val="22"/>
          <w:szCs w:val="22"/>
        </w:rPr>
        <w:t>Artículo 138.-</w:t>
      </w:r>
      <w:r w:rsidRPr="00424261">
        <w:rPr>
          <w:rFonts w:ascii="Palatino Linotype" w:hAnsi="Palatino Linotype"/>
          <w:i/>
          <w:iCs/>
          <w:color w:val="000000" w:themeColor="text1"/>
          <w:sz w:val="22"/>
          <w:szCs w:val="22"/>
        </w:rPr>
        <w:t xml:space="preserve"> Las unidades de policía encargadas de la investigación científica de los delitos se coordinarán en los términos de esta Ley y demás disposiciones aplicables, para el efectivo cumplimiento de sus funciones, y tendrán, entre otras, las facultades siguientes: </w:t>
      </w:r>
    </w:p>
    <w:p w14:paraId="4C4C9917" w14:textId="7777777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 xml:space="preserve">(…) </w:t>
      </w:r>
    </w:p>
    <w:p w14:paraId="7AB6C66C" w14:textId="7777777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IX.</w:t>
      </w:r>
      <w:r w:rsidRPr="00424261">
        <w:rPr>
          <w:rFonts w:ascii="Palatino Linotype" w:hAnsi="Palatino Linotype"/>
          <w:i/>
          <w:iCs/>
          <w:color w:val="000000" w:themeColor="text1"/>
          <w:sz w:val="22"/>
          <w:szCs w:val="22"/>
        </w:rPr>
        <w:t xml:space="preserve"> </w:t>
      </w:r>
      <w:r w:rsidRPr="00424261">
        <w:rPr>
          <w:rFonts w:ascii="Palatino Linotype" w:hAnsi="Palatino Linotype"/>
          <w:b/>
          <w:bCs/>
          <w:i/>
          <w:iCs/>
          <w:color w:val="000000" w:themeColor="text1"/>
          <w:sz w:val="22"/>
          <w:szCs w:val="22"/>
        </w:rPr>
        <w:t>Proponer al ministerio público que requiera a las autoridades competentes, informes y documentos para fines de la investigación</w:t>
      </w:r>
      <w:r w:rsidRPr="00424261">
        <w:rPr>
          <w:rFonts w:ascii="Palatino Linotype" w:hAnsi="Palatino Linotype"/>
          <w:i/>
          <w:iCs/>
          <w:color w:val="000000" w:themeColor="text1"/>
          <w:sz w:val="22"/>
          <w:szCs w:val="22"/>
        </w:rPr>
        <w:t xml:space="preserve">, cuando se trate de aquellos que sólo pueda solicitar por conducto de éste; </w:t>
      </w:r>
    </w:p>
    <w:p w14:paraId="4DDCBDF3" w14:textId="7777777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X.</w:t>
      </w:r>
      <w:r w:rsidRPr="00424261">
        <w:rPr>
          <w:rFonts w:ascii="Palatino Linotype" w:hAnsi="Palatino Linotype"/>
          <w:i/>
          <w:iCs/>
          <w:color w:val="000000" w:themeColor="text1"/>
          <w:sz w:val="22"/>
          <w:szCs w:val="22"/>
        </w:rPr>
        <w:t xml:space="preserve"> </w:t>
      </w:r>
      <w:r w:rsidRPr="00424261">
        <w:rPr>
          <w:rFonts w:ascii="Palatino Linotype" w:hAnsi="Palatino Linotype"/>
          <w:b/>
          <w:bCs/>
          <w:i/>
          <w:iCs/>
          <w:color w:val="000000" w:themeColor="text1"/>
          <w:sz w:val="22"/>
          <w:szCs w:val="22"/>
        </w:rPr>
        <w:t>Dejar constancia de cada una de sus actuaciones, así como llevar un control y seguimiento de éstas</w:t>
      </w:r>
      <w:r w:rsidRPr="00424261">
        <w:rPr>
          <w:rFonts w:ascii="Palatino Linotype" w:hAnsi="Palatino Linotype"/>
          <w:i/>
          <w:iCs/>
          <w:color w:val="000000" w:themeColor="text1"/>
          <w:sz w:val="22"/>
          <w:szCs w:val="22"/>
        </w:rPr>
        <w:t xml:space="preserve">. Durante el curso de la investigación deberán elaborar informes sobre el desarrollo de la misma, y rendirlos al ministerio público, sin perjuicio de los informes que éste le requiera; </w:t>
      </w:r>
    </w:p>
    <w:p w14:paraId="3603FE4B" w14:textId="49E4BB04"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b/>
          <w:bCs/>
          <w:i/>
          <w:iCs/>
          <w:color w:val="000000" w:themeColor="text1"/>
          <w:sz w:val="22"/>
          <w:szCs w:val="22"/>
        </w:rPr>
        <w:lastRenderedPageBreak/>
        <w:t>XI.</w:t>
      </w:r>
      <w:r w:rsidRPr="00424261">
        <w:rPr>
          <w:rFonts w:ascii="Palatino Linotype" w:hAnsi="Palatino Linotype"/>
          <w:i/>
          <w:iCs/>
          <w:color w:val="000000" w:themeColor="text1"/>
          <w:sz w:val="22"/>
          <w:szCs w:val="22"/>
        </w:rPr>
        <w:t xml:space="preserve"> </w:t>
      </w:r>
      <w:r w:rsidRPr="00424261">
        <w:rPr>
          <w:rFonts w:ascii="Palatino Linotype" w:hAnsi="Palatino Linotype"/>
          <w:b/>
          <w:bCs/>
          <w:i/>
          <w:iCs/>
          <w:color w:val="000000" w:themeColor="text1"/>
          <w:sz w:val="22"/>
          <w:szCs w:val="22"/>
        </w:rPr>
        <w:t>Emitir los informes, partes policiales y demás documentos que se generen</w:t>
      </w:r>
      <w:r w:rsidRPr="00424261">
        <w:rPr>
          <w:rFonts w:ascii="Palatino Linotype" w:hAnsi="Palatino Linotype"/>
          <w:i/>
          <w:iCs/>
          <w:color w:val="000000" w:themeColor="text1"/>
          <w:sz w:val="22"/>
          <w:szCs w:val="22"/>
        </w:rPr>
        <w:t>, con los requisitos de fondo y forma que establezcan las disposiciones aplicables, para tal efecto se podrán apoyar en los conocimientos que resulten necesarios;”</w:t>
      </w:r>
    </w:p>
    <w:p w14:paraId="66E75866" w14:textId="1D41695B"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color w:val="000000" w:themeColor="text1"/>
          <w:sz w:val="22"/>
          <w:szCs w:val="22"/>
        </w:rPr>
        <w:t>(Énfasis añadido)</w:t>
      </w:r>
    </w:p>
    <w:p w14:paraId="6139A550" w14:textId="77777777" w:rsidR="003F2074" w:rsidRPr="00424261" w:rsidRDefault="003F2074"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4FF55196" w14:textId="129A1A9C" w:rsidR="00073326" w:rsidRPr="00424261" w:rsidRDefault="003F207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En esa tesitura cabe señalar la distinción entre los partes de novedades y los partes informativos a que se hace referencia en el precepto citado en el párrafo que antecede:</w:t>
      </w:r>
    </w:p>
    <w:p w14:paraId="2F300416" w14:textId="3CFB9116"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7A3E05DC" w14:textId="7777777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r w:rsidRPr="00424261">
        <w:rPr>
          <w:rFonts w:ascii="Palatino Linotype" w:hAnsi="Palatino Linotype"/>
          <w:b/>
          <w:bCs/>
          <w:i/>
          <w:iCs/>
          <w:color w:val="000000" w:themeColor="text1"/>
          <w:sz w:val="22"/>
          <w:szCs w:val="22"/>
        </w:rPr>
        <w:t>El parte de novedades es la presentación por escrito de los hechos relevantes del turno</w:t>
      </w:r>
      <w:r w:rsidRPr="00424261">
        <w:rPr>
          <w:rFonts w:ascii="Palatino Linotype" w:hAnsi="Palatino Linotype"/>
          <w:i/>
          <w:iCs/>
          <w:color w:val="000000" w:themeColor="text1"/>
          <w:sz w:val="22"/>
          <w:szCs w:val="22"/>
        </w:rPr>
        <w:t xml:space="preserve">. </w:t>
      </w:r>
    </w:p>
    <w:p w14:paraId="24606787" w14:textId="77777777"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9F9DE99" w14:textId="12769C42" w:rsidR="003F2074" w:rsidRPr="00424261" w:rsidRDefault="003F2074" w:rsidP="003F207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El parte informativo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424261">
        <w:rPr>
          <w:rStyle w:val="Refdenotaalpie"/>
          <w:rFonts w:ascii="Palatino Linotype" w:hAnsi="Palatino Linotype"/>
          <w:i/>
          <w:iCs/>
          <w:color w:val="000000" w:themeColor="text1"/>
          <w:sz w:val="22"/>
          <w:szCs w:val="22"/>
        </w:rPr>
        <w:footnoteReference w:id="23"/>
      </w:r>
    </w:p>
    <w:p w14:paraId="6B55568F" w14:textId="5FB5DBF2" w:rsidR="00914DC7" w:rsidRPr="00424261" w:rsidRDefault="00914DC7" w:rsidP="003F207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color w:val="000000" w:themeColor="text1"/>
          <w:sz w:val="22"/>
          <w:szCs w:val="22"/>
        </w:rPr>
        <w:t>(Énfasis añadido)</w:t>
      </w:r>
    </w:p>
    <w:p w14:paraId="42BC47F2" w14:textId="77777777" w:rsidR="003F2074" w:rsidRPr="00424261" w:rsidRDefault="003F2074"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61A24C20" w14:textId="23EBF25B" w:rsidR="00073326" w:rsidRPr="00424261" w:rsidRDefault="003A7F9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cuanto hace al parte informativo, el máximo tribunal de nuestro país explica a detalle su objeto y trascendencia mediante la siguiente tesis jurisprudencial:</w:t>
      </w:r>
    </w:p>
    <w:p w14:paraId="50325D6E" w14:textId="33382941"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C9376B0" w14:textId="3FE96933" w:rsidR="003A7F9E" w:rsidRPr="00424261" w:rsidRDefault="003A7F9E" w:rsidP="003A7F9E">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PARTE INFORMATIVO POLICIAL. DEBE SER OBJETO DE REVISIÓN BAJO EL ESCRUTINIO JUDICIAL ESTRICTO DE VALORACIÓN PROBATORIA, ATENDIENDO A LAS CONSECUENCIAS JURÍDICAS QUE DERIVAN DE SU CONTENIDO.</w:t>
      </w:r>
      <w:r w:rsidRPr="00424261">
        <w:rPr>
          <w:rFonts w:ascii="Palatino Linotype" w:hAnsi="Palatino Linotype"/>
          <w:i/>
          <w:iCs/>
          <w:sz w:val="22"/>
          <w:szCs w:val="22"/>
        </w:rPr>
        <w:t xml:space="preserve"> “Esta Primera Sala de la Suprema Corte de Justicia de la Nación ha interpretado el artículo 16 de la Constitución Federal, del cual derivan las condiciones constitucionalmente válidas para privar de la libertad a una persona -orden de </w:t>
      </w:r>
      <w:r w:rsidRPr="00424261">
        <w:rPr>
          <w:rFonts w:ascii="Palatino Linotype" w:hAnsi="Palatino Linotype"/>
          <w:i/>
          <w:iCs/>
          <w:sz w:val="22"/>
          <w:szCs w:val="22"/>
        </w:rPr>
        <w:lastRenderedPageBreak/>
        <w:t xml:space="preserve">aprehensión, flagrancia y caso urgente-; sin embargo, es importante precisar la trascendencia que tiene el parte informativo en cada uno de ellos. Así, en el supuesto relativo a la orden de aprehensión, la intervención de la policía tiene un carácter meramente ejecutivo, al derivar de un mandato judicial que le impone avocarse a la búsqueda, localización y detención de la persona requerida. En este caso, </w:t>
      </w:r>
      <w:r w:rsidRPr="00424261">
        <w:rPr>
          <w:rFonts w:ascii="Palatino Linotype" w:hAnsi="Palatino Linotype"/>
          <w:b/>
          <w:bCs/>
          <w:i/>
          <w:iCs/>
          <w:sz w:val="22"/>
          <w:szCs w:val="22"/>
        </w:rPr>
        <w:t>el informe de los agentes aprehensores tiene por objeto comunicar a la autoridad judicial el día y la hora en que se realizó la detención, así como el lugar en el que se encuentra recluido el detenido</w:t>
      </w:r>
      <w:r w:rsidRPr="00424261">
        <w:rPr>
          <w:rFonts w:ascii="Palatino Linotype" w:hAnsi="Palatino Linotype"/>
          <w:i/>
          <w:iCs/>
          <w:sz w:val="22"/>
          <w:szCs w:val="22"/>
        </w:rPr>
        <w:t xml:space="preserve">. La razón de ello, es que el informe no tiene relación con el delito por el que se ordenó la aprehensión del probable responsable. Por su parte, en el supuesto relativo a que cuando con motivo del cumplimiento de una orden de aprehensión expedida por la autoridad judicial competente, la policía detenga al detenido y, circunstancialmente, descubra que está en el supuesto de comisión de delito flagrante, así como si al detener a una persona por la comisión de un delito flagrante, cuando es presentada ante el Ministerio Público, se tiene conocimiento de que existe una orden de aprehensión en su contra, cuyo cumplimiento está pendiente, </w:t>
      </w:r>
      <w:r w:rsidRPr="00424261">
        <w:rPr>
          <w:rFonts w:ascii="Palatino Linotype" w:hAnsi="Palatino Linotype"/>
          <w:b/>
          <w:bCs/>
          <w:i/>
          <w:iCs/>
          <w:sz w:val="22"/>
          <w:szCs w:val="22"/>
        </w:rPr>
        <w:t>el informe de la policía debe comprender dos elementos independientes: 1) la información relacionada con el cumplimiento de la orden de aprehensión; y, 2) la información relativa a los datos que sustentan la detención por un delito flagrante que no tiene relación con el que motivó la orden judicial de captura</w:t>
      </w:r>
      <w:r w:rsidRPr="00424261">
        <w:rPr>
          <w:rFonts w:ascii="Palatino Linotype" w:hAnsi="Palatino Linotype"/>
          <w:i/>
          <w:iCs/>
          <w:sz w:val="22"/>
          <w:szCs w:val="22"/>
        </w:rPr>
        <w:t xml:space="preserve">. Ahora bien, en el supuesto de caso urgente, la detención está motivada por una orden de captura emitida por el Ministerio Público; aquí, el informe de la policía tiene por objeto dar a conocer a la representación social que se ejecutó la detención y presentación del requerido conforme a los datos temporales que se precisen en ese documento; sin embargo, no se espera que el informe aporte datos trascendentales respecto del delito por el que se apertura la indagatoria. Pero si esto último aconteciera, será una circunstancia excepcional que determine la adhesión del informe de la policía al conjunto de pruebas que pueden ser incorporadas al juicio penal. También constituye un supuesto particular </w:t>
      </w:r>
      <w:r w:rsidRPr="00424261">
        <w:rPr>
          <w:rFonts w:ascii="Palatino Linotype" w:hAnsi="Palatino Linotype"/>
          <w:b/>
          <w:bCs/>
          <w:i/>
          <w:iCs/>
          <w:sz w:val="22"/>
          <w:szCs w:val="22"/>
        </w:rPr>
        <w:t>cuando en el cumplimiento de una orden de detención por caso urgente, la policía detuviera al requerido al momento de estar cometiendo un delito (en flagrancia); en este caso, el informe de la policía estará configurado por dos apartados: 1) el relativo al cumplimiento de la orden de detención por caso urgente; así como 2) la información relacionada con el descubrimiento de un delito flagrante diverso al que motivó la orden ministerial de captura</w:t>
      </w:r>
      <w:r w:rsidRPr="00424261">
        <w:rPr>
          <w:rFonts w:ascii="Palatino Linotype" w:hAnsi="Palatino Linotype"/>
          <w:i/>
          <w:iCs/>
          <w:sz w:val="22"/>
          <w:szCs w:val="22"/>
        </w:rPr>
        <w:t xml:space="preserve">. Finalmente, cuando se trata de detención en flagrancia, el informe tiene una particular trascendencia porque es el documento sobre el que es posible constituir la base para la formulación de la imputación </w:t>
      </w:r>
      <w:r w:rsidRPr="00424261">
        <w:rPr>
          <w:rFonts w:ascii="Palatino Linotype" w:hAnsi="Palatino Linotype"/>
          <w:i/>
          <w:iCs/>
          <w:sz w:val="22"/>
          <w:szCs w:val="22"/>
        </w:rPr>
        <w:lastRenderedPageBreak/>
        <w:t xml:space="preserve">jurídico-penal. </w:t>
      </w:r>
      <w:r w:rsidRPr="00424261">
        <w:rPr>
          <w:rFonts w:ascii="Palatino Linotype" w:hAnsi="Palatino Linotype"/>
          <w:b/>
          <w:bCs/>
          <w:i/>
          <w:iCs/>
          <w:sz w:val="22"/>
          <w:szCs w:val="22"/>
        </w:rPr>
        <w:t>En el informe, los policías describen las circunstancias de tiempo, modo y lugar en que se efectúo la detención del probable responsable y la descripción, a detalle, de las circunstancias que motivaron la detención y de las evidencias que se encontraron</w:t>
      </w:r>
      <w:r w:rsidRPr="00424261">
        <w:rPr>
          <w:rFonts w:ascii="Palatino Linotype" w:hAnsi="Palatino Linotype"/>
          <w:i/>
          <w:iCs/>
          <w:sz w:val="22"/>
          <w:szCs w:val="22"/>
        </w:rPr>
        <w:t>, erigiéndose como un elemento de particular importancia para el acusador, por lo que debe ser objeto de revisión bajo el escrutinio judicial estricto de valoración probatoria, sobre todo cuando tiene diversas consecuencias jurídicas que derivan de su contenido.”</w:t>
      </w:r>
    </w:p>
    <w:p w14:paraId="7875A04B" w14:textId="22504E86" w:rsidR="003A7F9E" w:rsidRPr="00424261" w:rsidRDefault="003A7F9E" w:rsidP="003A7F9E">
      <w:pPr>
        <w:pStyle w:val="Prrafodelista"/>
        <w:tabs>
          <w:tab w:val="left" w:pos="426"/>
        </w:tabs>
        <w:spacing w:before="240" w:after="240" w:line="276" w:lineRule="auto"/>
        <w:ind w:left="567" w:right="567"/>
        <w:jc w:val="both"/>
        <w:rPr>
          <w:rFonts w:ascii="Palatino Linotype" w:hAnsi="Palatino Linotype"/>
          <w:color w:val="000000" w:themeColor="text1"/>
          <w:sz w:val="20"/>
          <w:szCs w:val="20"/>
        </w:rPr>
      </w:pPr>
      <w:r w:rsidRPr="00424261">
        <w:rPr>
          <w:rFonts w:ascii="Palatino Linotype" w:hAnsi="Palatino Linotype"/>
          <w:sz w:val="22"/>
          <w:szCs w:val="22"/>
        </w:rPr>
        <w:t>(Énfasis añadido)</w:t>
      </w:r>
    </w:p>
    <w:p w14:paraId="0BE10E60" w14:textId="77777777" w:rsidR="003A7F9E" w:rsidRPr="00424261" w:rsidRDefault="003A7F9E"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7049BA47" w14:textId="306F5063" w:rsidR="00073326" w:rsidRPr="00424261" w:rsidRDefault="00914DC7"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Derivado de lo anterior, el Parte de Novedades se advierte como un reporte que puede compilar no solo los hechos ocurridos en un evento en particular, sino en todos los eventos suscitados durante una jornada laboral de un elemento se seguridad pública; mientras que el Parte Informativo es el reporte policial de un solo hecho.</w:t>
      </w:r>
    </w:p>
    <w:p w14:paraId="5B2F12EA"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2F329E5" w14:textId="2CA45BFE" w:rsidR="00073326" w:rsidRPr="00424261" w:rsidRDefault="00914DC7"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el </w:t>
      </w:r>
      <w:r w:rsidRPr="00424261">
        <w:rPr>
          <w:rFonts w:ascii="Palatino Linotype" w:hAnsi="Palatino Linotype"/>
          <w:b/>
          <w:bCs/>
          <w:color w:val="000000" w:themeColor="text1"/>
        </w:rPr>
        <w:t xml:space="preserve">SUJETO OBLIGADO </w:t>
      </w:r>
      <w:r w:rsidRPr="00424261">
        <w:rPr>
          <w:rFonts w:ascii="Palatino Linotype" w:hAnsi="Palatino Linotype"/>
          <w:color w:val="000000" w:themeColor="text1"/>
        </w:rPr>
        <w:t xml:space="preserve">deberá hacer entrega del Parte de Novedades que se hayan generado los días catorce (14), quince (15) y dieciséis (16) de octubre de dos mil veintiuno, en versión pública, </w:t>
      </w:r>
      <w:r w:rsidR="008A6327" w:rsidRPr="00424261">
        <w:rPr>
          <w:rFonts w:ascii="Palatino Linotype" w:hAnsi="Palatino Linotype"/>
          <w:color w:val="000000" w:themeColor="text1"/>
        </w:rPr>
        <w:t>testando cualquier información que pudiera lesionar detenciones o investigaciones ajenas al caso que nos ocupa, así como el nombre de testigos y/o terceros; no obstante, al igual que como sucede con el informe del Comisario de Seguridad Pública, deberá dejar a la vista el nombre de los policías que intervinieron en el siniestro relacionado con el acto</w:t>
      </w:r>
      <w:r w:rsidR="002245E6" w:rsidRPr="00424261">
        <w:rPr>
          <w:rFonts w:ascii="Palatino Linotype" w:hAnsi="Palatino Linotype"/>
          <w:color w:val="000000" w:themeColor="text1"/>
        </w:rPr>
        <w:t>r</w:t>
      </w:r>
      <w:r w:rsidR="008A6327" w:rsidRPr="00424261">
        <w:rPr>
          <w:rFonts w:ascii="Palatino Linotype" w:hAnsi="Palatino Linotype"/>
          <w:color w:val="000000" w:themeColor="text1"/>
        </w:rPr>
        <w:t xml:space="preserve"> Octavio Augusto Pérez Ocaña, así como el número de identificación de las patrullas que intervinieron en los hechos.</w:t>
      </w:r>
    </w:p>
    <w:p w14:paraId="62A6CB6D" w14:textId="5BDDB4D5"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636F34C1" w14:textId="38E23DEE" w:rsidR="00C03122" w:rsidRPr="00424261" w:rsidRDefault="00C03122" w:rsidP="00C0312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4" w:name="_Toc101963395"/>
      <w:r w:rsidRPr="00424261">
        <w:rPr>
          <w:rFonts w:ascii="Palatino Linotype" w:hAnsi="Palatino Linotype"/>
          <w:b/>
          <w:bCs/>
          <w:color w:val="000000" w:themeColor="text1"/>
        </w:rPr>
        <w:t xml:space="preserve">b) De las credenciales </w:t>
      </w:r>
      <w:r w:rsidR="00F663BE" w:rsidRPr="00424261">
        <w:rPr>
          <w:rFonts w:ascii="Palatino Linotype" w:hAnsi="Palatino Linotype"/>
          <w:b/>
          <w:bCs/>
          <w:color w:val="000000" w:themeColor="text1"/>
        </w:rPr>
        <w:t>para portación de arma</w:t>
      </w:r>
      <w:r w:rsidRPr="00424261">
        <w:rPr>
          <w:rFonts w:ascii="Palatino Linotype" w:hAnsi="Palatino Linotype"/>
          <w:b/>
          <w:bCs/>
          <w:color w:val="000000" w:themeColor="text1"/>
        </w:rPr>
        <w:t>.</w:t>
      </w:r>
      <w:bookmarkEnd w:id="44"/>
    </w:p>
    <w:p w14:paraId="28ADF502" w14:textId="77777777" w:rsidR="00C03122" w:rsidRPr="00424261" w:rsidRDefault="00C03122"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D56820E" w14:textId="7000FD47" w:rsidR="00F663BE" w:rsidRPr="00424261" w:rsidRDefault="004A692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El artículo </w:t>
      </w:r>
      <w:r w:rsidRPr="00424261">
        <w:rPr>
          <w:rFonts w:ascii="Palatino Linotype" w:eastAsia="MS Mincho" w:hAnsi="Palatino Linotype" w:cs="Times New Roman"/>
          <w:color w:val="000000"/>
        </w:rPr>
        <w:t xml:space="preserve">115 de la Constitución </w:t>
      </w:r>
      <w:commentRangeStart w:id="45"/>
      <w:r w:rsidRPr="00424261">
        <w:rPr>
          <w:rFonts w:ascii="Palatino Linotype" w:eastAsia="MS Mincho" w:hAnsi="Palatino Linotype" w:cs="Times New Roman"/>
          <w:color w:val="000000"/>
        </w:rPr>
        <w:t>Política</w:t>
      </w:r>
      <w:commentRangeEnd w:id="45"/>
      <w:r w:rsidRPr="00424261">
        <w:rPr>
          <w:rStyle w:val="Refdecomentario"/>
        </w:rPr>
        <w:commentReference w:id="45"/>
      </w:r>
      <w:r w:rsidRPr="00424261">
        <w:rPr>
          <w:rFonts w:ascii="Palatino Linotype" w:eastAsia="MS Mincho" w:hAnsi="Palatino Linotype" w:cs="Times New Roman"/>
          <w:color w:val="000000"/>
        </w:rPr>
        <w:t xml:space="preserve"> de los Estados Unidos Mexicanos, en su fracción II, establece que los municipios estarán investidos de personalidad jurídica y manejarán su patrimonio conforme a la ley. Asimismo, a través de sus ayuntamientos, </w:t>
      </w:r>
      <w:r w:rsidRPr="00424261">
        <w:rPr>
          <w:rFonts w:ascii="Palatino Linotype" w:eastAsia="MS Mincho" w:hAnsi="Palatino Linotype" w:cs="Times New Roman"/>
          <w:b/>
          <w:color w:val="000000"/>
        </w:rPr>
        <w:t>tendrán facultades para aprobar</w:t>
      </w:r>
      <w:r w:rsidRPr="00424261">
        <w:rPr>
          <w:rFonts w:ascii="Palatino Linotype" w:eastAsia="MS Mincho" w:hAnsi="Palatino Linotype" w:cs="Times New Roman"/>
          <w:color w:val="000000"/>
        </w:rPr>
        <w:t xml:space="preserve">, de acuerdo con las leyes en materia municipal que deberán expedir las legislaturas de los Estados, los bandos de policía y gobierno, </w:t>
      </w:r>
      <w:r w:rsidRPr="00424261">
        <w:rPr>
          <w:rFonts w:ascii="Palatino Linotype" w:eastAsia="MS Mincho" w:hAnsi="Palatino Linotype" w:cs="Times New Roman"/>
          <w:b/>
          <w:color w:val="000000"/>
        </w:rPr>
        <w:t>los reglamentos, circulares y disposiciones administrativas de observancia general</w:t>
      </w:r>
      <w:r w:rsidRPr="00424261">
        <w:rPr>
          <w:rFonts w:ascii="Palatino Linotype" w:eastAsia="MS Mincho" w:hAnsi="Palatino Linotype" w:cs="Times New Roman"/>
          <w:color w:val="000000"/>
        </w:rPr>
        <w:t xml:space="preserve"> dentro de sus respectivas jurisdicciones, </w:t>
      </w:r>
      <w:r w:rsidRPr="00424261">
        <w:rPr>
          <w:rFonts w:ascii="Palatino Linotype" w:eastAsia="MS Mincho" w:hAnsi="Palatino Linotype" w:cs="Times New Roman"/>
          <w:b/>
          <w:color w:val="000000"/>
        </w:rPr>
        <w:t>que organicen la administración pública municipal</w:t>
      </w:r>
      <w:r w:rsidRPr="00424261">
        <w:rPr>
          <w:rFonts w:ascii="Palatino Linotype" w:eastAsia="MS Mincho" w:hAnsi="Palatino Linotype" w:cs="Times New Roman"/>
          <w:color w:val="000000"/>
        </w:rPr>
        <w:t>, regulen las materias, procedimientos, funciones y servicios públicos de su competencia y aseguren la participación ciudadana y vecinal.</w:t>
      </w:r>
    </w:p>
    <w:p w14:paraId="15283CA3"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0714BAAB" w14:textId="536CAC1B" w:rsidR="00F663BE" w:rsidRPr="00424261" w:rsidRDefault="004A692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Más adelante, la fracción III del dispositivo 115 de nuestra </w:t>
      </w:r>
      <w:r w:rsidRPr="00424261">
        <w:rPr>
          <w:rFonts w:ascii="Palatino Linotype" w:hAnsi="Palatino Linotype"/>
          <w:i/>
          <w:iCs/>
          <w:color w:val="000000" w:themeColor="text1"/>
        </w:rPr>
        <w:t>Magna Carta</w:t>
      </w:r>
      <w:r w:rsidRPr="00424261">
        <w:rPr>
          <w:rFonts w:ascii="Palatino Linotype" w:hAnsi="Palatino Linotype"/>
          <w:color w:val="000000" w:themeColor="text1"/>
        </w:rPr>
        <w:t xml:space="preserve"> enlista los servicios públicos que, como mínimo, tendrán a su cargo los municipios, entre los que resalta la </w:t>
      </w:r>
      <w:r w:rsidRPr="00424261">
        <w:rPr>
          <w:rFonts w:ascii="Palatino Linotype" w:hAnsi="Palatino Linotype"/>
          <w:b/>
          <w:bCs/>
          <w:color w:val="000000" w:themeColor="text1"/>
        </w:rPr>
        <w:t>seguridad pública</w:t>
      </w:r>
      <w:r w:rsidR="00F71F9F" w:rsidRPr="00424261">
        <w:rPr>
          <w:rFonts w:ascii="Palatino Linotype" w:hAnsi="Palatino Linotype"/>
          <w:color w:val="000000" w:themeColor="text1"/>
        </w:rPr>
        <w:t>, en términos del diverso artículo 21.</w:t>
      </w:r>
    </w:p>
    <w:p w14:paraId="11609BCB"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3200CDFC" w14:textId="6F423CE2" w:rsidR="00F663BE" w:rsidRPr="00424261" w:rsidRDefault="00F71F9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Para mayor claridad, conviene señala que el Instituto Nacional de Administración Pública conceptualiza a la seguridad pública municipal como </w:t>
      </w:r>
      <w:r w:rsidRPr="00424261">
        <w:rPr>
          <w:rFonts w:ascii="Palatino Linotype" w:hAnsi="Palatino Linotype"/>
          <w:i/>
          <w:iCs/>
          <w:color w:val="000000" w:themeColor="text1"/>
        </w:rPr>
        <w:t>“</w:t>
      </w:r>
      <w:r w:rsidRPr="00424261">
        <w:rPr>
          <w:rFonts w:ascii="Palatino Linotype" w:hAnsi="Palatino Linotype"/>
          <w:color w:val="000000" w:themeColor="text1"/>
        </w:rPr>
        <w:t>[e]</w:t>
      </w:r>
      <w:r w:rsidRPr="00424261">
        <w:rPr>
          <w:rFonts w:ascii="Palatino Linotype" w:hAnsi="Palatino Linotype"/>
          <w:i/>
          <w:iCs/>
          <w:color w:val="000000" w:themeColor="text1"/>
        </w:rPr>
        <w:t>l conjunto de acciones que realiza la autoridad municipal para garantizar la tranquilidad, paz y protección de la integridad física y moral de la población, mediante la vigilancia, prevención de actos delictuosos y orientación ciudadana que proporciona la corporación de policía y los comités de protección civil al conjunto de la comunidad”</w:t>
      </w:r>
      <w:r w:rsidRPr="00424261">
        <w:rPr>
          <w:rStyle w:val="Refdenotaalpie"/>
          <w:rFonts w:ascii="Palatino Linotype" w:hAnsi="Palatino Linotype"/>
          <w:i/>
          <w:iCs/>
          <w:color w:val="000000" w:themeColor="text1"/>
        </w:rPr>
        <w:footnoteReference w:id="24"/>
      </w:r>
      <w:r w:rsidRPr="00424261">
        <w:rPr>
          <w:rFonts w:ascii="Palatino Linotype" w:hAnsi="Palatino Linotype"/>
          <w:i/>
          <w:iCs/>
          <w:color w:val="000000" w:themeColor="text1"/>
        </w:rPr>
        <w:t>.</w:t>
      </w:r>
    </w:p>
    <w:p w14:paraId="7C0FB8F9"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49622BD3" w14:textId="563812B2" w:rsidR="00CF52E0" w:rsidRPr="00424261" w:rsidRDefault="00A16D6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En atención a lo expuesto, de conformidad con el</w:t>
      </w:r>
      <w:r w:rsidR="00CF52E0" w:rsidRPr="00424261">
        <w:rPr>
          <w:rFonts w:ascii="Palatino Linotype" w:hAnsi="Palatino Linotype"/>
          <w:color w:val="000000" w:themeColor="text1"/>
        </w:rPr>
        <w:t xml:space="preserve"> artículo 101 del</w:t>
      </w:r>
      <w:r w:rsidRPr="00424261">
        <w:rPr>
          <w:rFonts w:ascii="Palatino Linotype" w:hAnsi="Palatino Linotype"/>
          <w:color w:val="000000" w:themeColor="text1"/>
        </w:rPr>
        <w:t xml:space="preserve"> Bando Municipal de Cuautitlán Izcalli,</w:t>
      </w:r>
      <w:r w:rsidR="00CF52E0" w:rsidRPr="00424261">
        <w:rPr>
          <w:rFonts w:ascii="Palatino Linotype" w:hAnsi="Palatino Linotype"/>
          <w:color w:val="000000" w:themeColor="text1"/>
        </w:rPr>
        <w:t xml:space="preserve"> la Comisaría General de Seguridad Pública y Tránsito será la dependencia encargada de implementar acciones y programas de seguridad pública, combate a la delincuencia, y prevención del delito, para lo cual aplicará los medios tecnológicos, materiales y humanos más eficaces en la protección que se brinde a las personas y sus bienes.</w:t>
      </w:r>
    </w:p>
    <w:p w14:paraId="403216B9" w14:textId="77777777" w:rsidR="00CF52E0" w:rsidRPr="00424261" w:rsidRDefault="00CF52E0" w:rsidP="00CF52E0">
      <w:pPr>
        <w:pStyle w:val="Prrafodelista"/>
        <w:tabs>
          <w:tab w:val="left" w:pos="426"/>
        </w:tabs>
        <w:spacing w:before="240" w:after="240" w:line="360" w:lineRule="auto"/>
        <w:ind w:left="0" w:right="51"/>
        <w:jc w:val="both"/>
        <w:rPr>
          <w:rFonts w:ascii="Palatino Linotype" w:hAnsi="Palatino Linotype"/>
          <w:color w:val="000000" w:themeColor="text1"/>
        </w:rPr>
      </w:pPr>
    </w:p>
    <w:p w14:paraId="222459D4" w14:textId="585EA6FC" w:rsidR="00F663BE" w:rsidRPr="00424261" w:rsidRDefault="00CF52E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toda vez que la Comisaría General de Seguridad Pública y Tránsito será la dependencia directamente responsable de la seguridad, protección, custodia y prevención del delito, sus elementos requerirán </w:t>
      </w:r>
      <w:r w:rsidRPr="00424261">
        <w:rPr>
          <w:rFonts w:ascii="Palatino Linotype" w:hAnsi="Palatino Linotype"/>
          <w:i/>
          <w:iCs/>
          <w:color w:val="000000" w:themeColor="text1"/>
        </w:rPr>
        <w:t>a fortiori</w:t>
      </w:r>
      <w:r w:rsidRPr="00424261">
        <w:rPr>
          <w:rFonts w:ascii="Palatino Linotype" w:hAnsi="Palatino Linotype"/>
          <w:color w:val="000000" w:themeColor="text1"/>
        </w:rPr>
        <w:t xml:space="preserve"> del uso de armas de fuego, cuya portación se encuentra regulada por la Ley Federal de Armas de Fuego y Explosivos, la cual, en su artículo </w:t>
      </w:r>
      <w:r w:rsidR="00644F1E" w:rsidRPr="00424261">
        <w:rPr>
          <w:rFonts w:ascii="Palatino Linotype" w:hAnsi="Palatino Linotype"/>
          <w:color w:val="000000" w:themeColor="text1"/>
        </w:rPr>
        <w:t>24</w:t>
      </w:r>
      <w:r w:rsidRPr="00424261">
        <w:rPr>
          <w:rFonts w:ascii="Palatino Linotype" w:hAnsi="Palatino Linotype"/>
          <w:color w:val="000000" w:themeColor="text1"/>
        </w:rPr>
        <w:t>, precisa</w:t>
      </w:r>
      <w:r w:rsidR="00644F1E" w:rsidRPr="00424261">
        <w:rPr>
          <w:rFonts w:ascii="Palatino Linotype" w:hAnsi="Palatino Linotype"/>
          <w:color w:val="000000" w:themeColor="text1"/>
        </w:rPr>
        <w:t xml:space="preserve"> que para portar armas se requerirá de la licencia respectiva.</w:t>
      </w:r>
    </w:p>
    <w:p w14:paraId="3C6BF086"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10858A4E" w14:textId="2F14C4E6" w:rsidR="00F663BE" w:rsidRPr="00424261" w:rsidRDefault="00644F1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Correlativo a lo anterior, el artículo 25 de la Ley en comento establece que las licencias para la portación de armas serán de dos clases:</w:t>
      </w:r>
    </w:p>
    <w:p w14:paraId="4AD26733" w14:textId="1B5DFD8C" w:rsidR="00644F1E" w:rsidRPr="00424261" w:rsidRDefault="00644F1E" w:rsidP="00644F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b/>
          <w:bCs/>
          <w:color w:val="000000" w:themeColor="text1"/>
        </w:rPr>
        <w:t>Particulares,</w:t>
      </w:r>
      <w:r w:rsidRPr="00424261">
        <w:rPr>
          <w:rFonts w:ascii="Palatino Linotype" w:hAnsi="Palatino Linotype"/>
          <w:color w:val="000000" w:themeColor="text1"/>
        </w:rPr>
        <w:t xml:space="preserve"> que deberán renovarse cada dos años; y</w:t>
      </w:r>
    </w:p>
    <w:p w14:paraId="7FD4A006" w14:textId="6CCABB40" w:rsidR="00644F1E" w:rsidRPr="00424261" w:rsidRDefault="00644F1E" w:rsidP="00644F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b/>
          <w:bCs/>
          <w:color w:val="000000" w:themeColor="text1"/>
        </w:rPr>
        <w:t>Oficiales</w:t>
      </w:r>
      <w:r w:rsidRPr="00424261">
        <w:rPr>
          <w:rFonts w:ascii="Palatino Linotype" w:hAnsi="Palatino Linotype"/>
          <w:color w:val="000000" w:themeColor="text1"/>
        </w:rPr>
        <w:t>, que tendrán validez mientras se desempeñe el cargo o empleo que las motivó.</w:t>
      </w:r>
    </w:p>
    <w:p w14:paraId="4BB9072D"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327AB79B" w14:textId="064BC83D" w:rsidR="00F663BE" w:rsidRPr="00424261" w:rsidRDefault="00644F1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cuando hace a las licencias oficiales para la portación de armas, éstas podrán ser colectivas o individuales</w:t>
      </w:r>
      <w:r w:rsidRPr="00424261">
        <w:rPr>
          <w:rStyle w:val="Refdenotaalpie"/>
          <w:rFonts w:ascii="Palatino Linotype" w:hAnsi="Palatino Linotype"/>
          <w:color w:val="000000" w:themeColor="text1"/>
        </w:rPr>
        <w:footnoteReference w:id="25"/>
      </w:r>
      <w:r w:rsidRPr="00424261">
        <w:rPr>
          <w:rFonts w:ascii="Palatino Linotype" w:hAnsi="Palatino Linotype"/>
          <w:color w:val="000000" w:themeColor="text1"/>
        </w:rPr>
        <w:t>:</w:t>
      </w:r>
    </w:p>
    <w:p w14:paraId="1FEC08DB" w14:textId="2EF3C83A"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2A08B7CF" w14:textId="77777777" w:rsidR="00FD5024" w:rsidRPr="00424261" w:rsidRDefault="00644F1E" w:rsidP="00644F1E">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color w:val="000000" w:themeColor="text1"/>
          <w:sz w:val="22"/>
          <w:szCs w:val="22"/>
        </w:rPr>
        <w:lastRenderedPageBreak/>
        <w:t>“</w:t>
      </w:r>
      <w:r w:rsidRPr="00424261">
        <w:rPr>
          <w:rFonts w:ascii="Palatino Linotype" w:hAnsi="Palatino Linotype"/>
          <w:b/>
          <w:bCs/>
          <w:i/>
          <w:iCs/>
          <w:sz w:val="22"/>
          <w:szCs w:val="22"/>
        </w:rPr>
        <w:t>I.</w:t>
      </w:r>
      <w:r w:rsidRPr="00424261">
        <w:rPr>
          <w:rFonts w:ascii="Palatino Linotype" w:hAnsi="Palatino Linotype"/>
          <w:i/>
          <w:iCs/>
          <w:sz w:val="22"/>
          <w:szCs w:val="22"/>
        </w:rPr>
        <w:t xml:space="preserve"> </w:t>
      </w:r>
      <w:r w:rsidRPr="00424261">
        <w:rPr>
          <w:rFonts w:ascii="Palatino Linotype" w:hAnsi="Palatino Linotype"/>
          <w:b/>
          <w:bCs/>
          <w:i/>
          <w:iCs/>
          <w:sz w:val="22"/>
          <w:szCs w:val="22"/>
        </w:rPr>
        <w:t>Las licencias colectivas podrán expedirse a:</w:t>
      </w:r>
      <w:r w:rsidRPr="00424261">
        <w:rPr>
          <w:rFonts w:ascii="Palatino Linotype" w:hAnsi="Palatino Linotype"/>
          <w:i/>
          <w:iCs/>
          <w:sz w:val="22"/>
          <w:szCs w:val="22"/>
        </w:rPr>
        <w:t xml:space="preserve"> </w:t>
      </w:r>
    </w:p>
    <w:p w14:paraId="79ADF7D8" w14:textId="77777777" w:rsidR="00FD5024" w:rsidRPr="00424261" w:rsidRDefault="00644F1E" w:rsidP="00FD5024">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b/>
          <w:bCs/>
          <w:i/>
          <w:iCs/>
          <w:sz w:val="22"/>
          <w:szCs w:val="22"/>
        </w:rPr>
        <w:t>A.</w:t>
      </w:r>
      <w:r w:rsidRPr="00424261">
        <w:rPr>
          <w:rFonts w:ascii="Palatino Linotype" w:hAnsi="Palatino Linotype"/>
          <w:i/>
          <w:iCs/>
          <w:sz w:val="22"/>
          <w:szCs w:val="22"/>
        </w:rPr>
        <w:t xml:space="preserve"> Las dependencias oficiales y organismos públicos federales a cuyo cargo se encuentran las instalaciones estratégicas del país. </w:t>
      </w:r>
    </w:p>
    <w:p w14:paraId="74EB9BBC" w14:textId="220A1CE5" w:rsidR="00FD5024" w:rsidRPr="00424261" w:rsidRDefault="00FD5024" w:rsidP="00FD5024">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i/>
          <w:iCs/>
          <w:sz w:val="22"/>
          <w:szCs w:val="22"/>
        </w:rPr>
        <w:t xml:space="preserve">Los titulares de las licencias colectivas expedirán credenciales foliadas de identificación personal, que contendrán los datos de la licencia colectiva y se renovarán semestralmente. </w:t>
      </w:r>
    </w:p>
    <w:p w14:paraId="7BDDE2A7" w14:textId="77777777" w:rsidR="00FD5024" w:rsidRPr="00424261" w:rsidRDefault="00FD5024" w:rsidP="00FD5024">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b/>
          <w:bCs/>
          <w:i/>
          <w:iCs/>
          <w:sz w:val="22"/>
          <w:szCs w:val="22"/>
        </w:rPr>
        <w:t>B.</w:t>
      </w:r>
      <w:r w:rsidRPr="00424261">
        <w:rPr>
          <w:rFonts w:ascii="Palatino Linotype" w:hAnsi="Palatino Linotype"/>
          <w:i/>
          <w:iCs/>
          <w:sz w:val="22"/>
          <w:szCs w:val="22"/>
        </w:rPr>
        <w:t xml:space="preserve"> </w:t>
      </w:r>
      <w:r w:rsidRPr="00424261">
        <w:rPr>
          <w:rFonts w:ascii="Palatino Linotype" w:hAnsi="Palatino Linotype"/>
          <w:b/>
          <w:bCs/>
          <w:i/>
          <w:iCs/>
          <w:sz w:val="22"/>
          <w:szCs w:val="22"/>
        </w:rPr>
        <w:t>Las instituciones policiales</w:t>
      </w:r>
      <w:r w:rsidRPr="00424261">
        <w:rPr>
          <w:rFonts w:ascii="Palatino Linotype" w:hAnsi="Palatino Linotype"/>
          <w:i/>
          <w:iCs/>
          <w:sz w:val="22"/>
          <w:szCs w:val="22"/>
        </w:rPr>
        <w:t xml:space="preserve">. Estas licencias se sujetarán a los lineamientos siguientes: </w:t>
      </w:r>
    </w:p>
    <w:p w14:paraId="3C38AC3F" w14:textId="77777777" w:rsidR="00FD5024" w:rsidRPr="00424261" w:rsidRDefault="00FD5024" w:rsidP="00FD5024">
      <w:pPr>
        <w:pStyle w:val="Prrafodelista"/>
        <w:tabs>
          <w:tab w:val="left" w:pos="426"/>
        </w:tabs>
        <w:spacing w:before="240" w:after="240" w:line="276" w:lineRule="auto"/>
        <w:ind w:left="1134" w:right="567"/>
        <w:jc w:val="both"/>
        <w:rPr>
          <w:rFonts w:ascii="Palatino Linotype" w:hAnsi="Palatino Linotype"/>
          <w:i/>
          <w:iCs/>
          <w:sz w:val="22"/>
          <w:szCs w:val="22"/>
        </w:rPr>
      </w:pPr>
      <w:r w:rsidRPr="00424261">
        <w:rPr>
          <w:rFonts w:ascii="Palatino Linotype" w:hAnsi="Palatino Linotype"/>
          <w:b/>
          <w:bCs/>
          <w:i/>
          <w:iCs/>
          <w:sz w:val="22"/>
          <w:szCs w:val="22"/>
        </w:rPr>
        <w:t>a)</w:t>
      </w:r>
      <w:r w:rsidRPr="00424261">
        <w:rPr>
          <w:rFonts w:ascii="Palatino Linotype" w:hAnsi="Palatino Linotype"/>
          <w:i/>
          <w:iCs/>
          <w:sz w:val="22"/>
          <w:szCs w:val="22"/>
        </w:rPr>
        <w:t xml:space="preserve"> Dichas instituciones deberán cumplir con las disposiciones legales de orden federal o local que resulten aplicables. </w:t>
      </w:r>
    </w:p>
    <w:p w14:paraId="340F06E0" w14:textId="77777777" w:rsidR="00FD5024" w:rsidRPr="00424261" w:rsidRDefault="00FD5024" w:rsidP="00FD5024">
      <w:pPr>
        <w:pStyle w:val="Prrafodelista"/>
        <w:tabs>
          <w:tab w:val="left" w:pos="426"/>
        </w:tabs>
        <w:spacing w:before="240" w:after="240" w:line="276" w:lineRule="auto"/>
        <w:ind w:left="1134" w:right="567"/>
        <w:jc w:val="both"/>
        <w:rPr>
          <w:rFonts w:ascii="Palatino Linotype" w:hAnsi="Palatino Linotype"/>
          <w:i/>
          <w:iCs/>
          <w:sz w:val="22"/>
          <w:szCs w:val="22"/>
        </w:rPr>
      </w:pPr>
      <w:r w:rsidRPr="00424261">
        <w:rPr>
          <w:rFonts w:ascii="Palatino Linotype" w:hAnsi="Palatino Linotype"/>
          <w:b/>
          <w:bCs/>
          <w:i/>
          <w:iCs/>
          <w:sz w:val="22"/>
          <w:szCs w:val="22"/>
        </w:rPr>
        <w:t>b)</w:t>
      </w:r>
      <w:r w:rsidRPr="00424261">
        <w:rPr>
          <w:rFonts w:ascii="Palatino Linotype" w:hAnsi="Palatino Linotype"/>
          <w:i/>
          <w:iCs/>
          <w:sz w:val="22"/>
          <w:szCs w:val="22"/>
        </w:rPr>
        <w:t xml:space="preserve"> La Secretaría de Gobernación será el conducto para solicitar a la Secretaría de la Defensa Nacional la expedición de licencia colectiva a las instituciones policiales, mismas que sólo se solicitarán para las personas que integren su organización operativa y que figuren en las nóminas de pago respectivas, debiéndose notificar a estas secretarías cualquier cambio en su plantilla laboral. Las autoridades competentes resolverán dentro de los sesenta días siguientes a la presentación de la solicitud ante la Secretaría de Gobernación, y </w:t>
      </w:r>
    </w:p>
    <w:p w14:paraId="4C9F5500" w14:textId="6534C24E" w:rsidR="00FD5024" w:rsidRPr="00424261" w:rsidRDefault="00FD5024" w:rsidP="00FD5024">
      <w:pPr>
        <w:pStyle w:val="Prrafodelista"/>
        <w:tabs>
          <w:tab w:val="left" w:pos="426"/>
        </w:tabs>
        <w:spacing w:before="240" w:after="240" w:line="276" w:lineRule="auto"/>
        <w:ind w:left="1134" w:right="567"/>
        <w:jc w:val="both"/>
        <w:rPr>
          <w:rFonts w:ascii="Palatino Linotype" w:hAnsi="Palatino Linotype"/>
          <w:i/>
          <w:iCs/>
          <w:sz w:val="22"/>
          <w:szCs w:val="22"/>
        </w:rPr>
      </w:pPr>
      <w:r w:rsidRPr="00424261">
        <w:rPr>
          <w:rFonts w:ascii="Palatino Linotype" w:hAnsi="Palatino Linotype"/>
          <w:b/>
          <w:bCs/>
          <w:i/>
          <w:iCs/>
          <w:sz w:val="22"/>
          <w:szCs w:val="22"/>
        </w:rPr>
        <w:t xml:space="preserve">c) Los titulares de las instituciones policiales, </w:t>
      </w:r>
      <w:r w:rsidRPr="00424261">
        <w:rPr>
          <w:rFonts w:ascii="Palatino Linotype" w:hAnsi="Palatino Linotype"/>
          <w:b/>
          <w:bCs/>
          <w:i/>
          <w:iCs/>
          <w:sz w:val="22"/>
          <w:szCs w:val="22"/>
          <w:u w:val="single"/>
        </w:rPr>
        <w:t>expedirán a su personal operativo</w:t>
      </w:r>
      <w:r w:rsidRPr="00424261">
        <w:rPr>
          <w:rFonts w:ascii="Palatino Linotype" w:hAnsi="Palatino Linotype"/>
          <w:b/>
          <w:bCs/>
          <w:i/>
          <w:iCs/>
          <w:sz w:val="22"/>
          <w:szCs w:val="22"/>
        </w:rPr>
        <w:t xml:space="preserve">, inscrito en el registro que establezca la ley de la materia, </w:t>
      </w:r>
      <w:r w:rsidRPr="00424261">
        <w:rPr>
          <w:rFonts w:ascii="Palatino Linotype" w:hAnsi="Palatino Linotype"/>
          <w:b/>
          <w:bCs/>
          <w:i/>
          <w:iCs/>
          <w:sz w:val="22"/>
          <w:szCs w:val="22"/>
          <w:u w:val="single"/>
        </w:rPr>
        <w:t>credenciales foliadas de identificación personal</w:t>
      </w:r>
      <w:r w:rsidRPr="00424261">
        <w:rPr>
          <w:rFonts w:ascii="Palatino Linotype" w:hAnsi="Palatino Linotype"/>
          <w:b/>
          <w:bCs/>
          <w:i/>
          <w:iCs/>
          <w:sz w:val="22"/>
          <w:szCs w:val="22"/>
        </w:rPr>
        <w:t>, por lapsos semestrales, las cuales, durante su vigencia, se asimilarán a licencias individuales</w:t>
      </w:r>
      <w:r w:rsidRPr="00424261">
        <w:rPr>
          <w:rFonts w:ascii="Palatino Linotype" w:hAnsi="Palatino Linotype"/>
          <w:i/>
          <w:iCs/>
          <w:sz w:val="22"/>
          <w:szCs w:val="22"/>
        </w:rPr>
        <w:t xml:space="preserve">. </w:t>
      </w:r>
    </w:p>
    <w:p w14:paraId="4C2DF145" w14:textId="77777777" w:rsidR="00FD5024" w:rsidRPr="00424261" w:rsidRDefault="00FD5024" w:rsidP="00FD5024">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b/>
          <w:bCs/>
          <w:i/>
          <w:iCs/>
          <w:sz w:val="22"/>
          <w:szCs w:val="22"/>
        </w:rPr>
        <w:t>C.</w:t>
      </w:r>
      <w:r w:rsidRPr="00424261">
        <w:rPr>
          <w:rFonts w:ascii="Palatino Linotype" w:hAnsi="Palatino Linotype"/>
          <w:i/>
          <w:iCs/>
          <w:sz w:val="22"/>
          <w:szCs w:val="22"/>
        </w:rPr>
        <w:t xml:space="preserve"> </w:t>
      </w:r>
      <w:r w:rsidRPr="00424261">
        <w:rPr>
          <w:rFonts w:ascii="Palatino Linotype" w:hAnsi="Palatino Linotype"/>
          <w:b/>
          <w:bCs/>
          <w:i/>
          <w:iCs/>
          <w:sz w:val="22"/>
          <w:szCs w:val="22"/>
        </w:rPr>
        <w:t>Los titulares de las licencias colectivas remitirán periódicamente a las Secretaría de la Defensa Nacional y de Gobernación un informe de las armas que se encuentren en su poder, debidamente correlacionado con su estructura y organización operativa, señalando los folios de las credenciales y los datos del personal que las tuviera a su cargo.</w:t>
      </w:r>
      <w:r w:rsidRPr="00424261">
        <w:rPr>
          <w:rFonts w:ascii="Palatino Linotype" w:hAnsi="Palatino Linotype"/>
          <w:i/>
          <w:iCs/>
          <w:sz w:val="22"/>
          <w:szCs w:val="22"/>
        </w:rPr>
        <w:t xml:space="preserve"> </w:t>
      </w:r>
    </w:p>
    <w:p w14:paraId="6E031BB8" w14:textId="77777777" w:rsidR="00FD5024" w:rsidRPr="00424261" w:rsidRDefault="00FD5024" w:rsidP="00FD5024">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b/>
          <w:bCs/>
          <w:i/>
          <w:iCs/>
          <w:sz w:val="22"/>
          <w:szCs w:val="22"/>
        </w:rPr>
        <w:t>D.</w:t>
      </w:r>
      <w:r w:rsidRPr="00424261">
        <w:rPr>
          <w:rFonts w:ascii="Palatino Linotype" w:hAnsi="Palatino Linotype"/>
          <w:i/>
          <w:iCs/>
          <w:sz w:val="22"/>
          <w:szCs w:val="22"/>
        </w:rPr>
        <w:t xml:space="preserve"> Las autoridades competentes se coordinarán con los Gobiernos de los Estados para obtener, con oportunidad y exactitud, la información necesaria para el cumplimiento de esta ley. </w:t>
      </w:r>
    </w:p>
    <w:p w14:paraId="0790689D" w14:textId="198DBFC8" w:rsidR="00FD5024" w:rsidRPr="00424261" w:rsidRDefault="00FD5024" w:rsidP="00FD5024">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b/>
          <w:bCs/>
          <w:i/>
          <w:iCs/>
          <w:sz w:val="22"/>
          <w:szCs w:val="22"/>
        </w:rPr>
        <w:t>E.</w:t>
      </w:r>
      <w:r w:rsidRPr="00424261">
        <w:rPr>
          <w:rFonts w:ascii="Palatino Linotype" w:hAnsi="Palatino Linotype"/>
          <w:i/>
          <w:iCs/>
          <w:sz w:val="22"/>
          <w:szCs w:val="22"/>
        </w:rPr>
        <w:t xml:space="preserve"> La Secretaría de la Defensa Nacional inspeccionará periódicamente el armamento, sólo para efectos de su control, sin tener autoridad alguna sobre el personal. </w:t>
      </w:r>
    </w:p>
    <w:p w14:paraId="7D73C8BB" w14:textId="77777777" w:rsidR="00FD5024" w:rsidRPr="00424261" w:rsidRDefault="00FD5024" w:rsidP="00644F1E">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II.</w:t>
      </w:r>
      <w:r w:rsidRPr="00424261">
        <w:rPr>
          <w:rFonts w:ascii="Palatino Linotype" w:hAnsi="Palatino Linotype"/>
          <w:i/>
          <w:iCs/>
          <w:sz w:val="22"/>
          <w:szCs w:val="22"/>
        </w:rPr>
        <w:t xml:space="preserve"> Las licencias individuales se expedirán a quienes desempeñen cargos o empleos en la Federación o en las Entidades Federativas, que para el cumplimiento de sus obligaciones requieran, en opinión de la autoridad competente, la portación de armas. </w:t>
      </w:r>
    </w:p>
    <w:p w14:paraId="59552486" w14:textId="084B474D" w:rsidR="00644F1E" w:rsidRPr="00424261" w:rsidRDefault="00FD5024" w:rsidP="00644F1E">
      <w:pPr>
        <w:pStyle w:val="Prrafodelista"/>
        <w:tabs>
          <w:tab w:val="left" w:pos="426"/>
        </w:tabs>
        <w:spacing w:before="240" w:after="240" w:line="276" w:lineRule="auto"/>
        <w:ind w:left="567" w:right="567"/>
        <w:jc w:val="both"/>
        <w:rPr>
          <w:rFonts w:ascii="Palatino Linotype" w:hAnsi="Palatino Linotype"/>
          <w:sz w:val="22"/>
          <w:szCs w:val="22"/>
        </w:rPr>
      </w:pPr>
      <w:r w:rsidRPr="00424261">
        <w:rPr>
          <w:rFonts w:ascii="Palatino Linotype" w:hAnsi="Palatino Linotype"/>
          <w:b/>
          <w:bCs/>
          <w:i/>
          <w:iCs/>
          <w:sz w:val="22"/>
          <w:szCs w:val="22"/>
        </w:rPr>
        <w:lastRenderedPageBreak/>
        <w:t>III.</w:t>
      </w:r>
      <w:r w:rsidRPr="00424261">
        <w:rPr>
          <w:rFonts w:ascii="Palatino Linotype" w:hAnsi="Palatino Linotype"/>
          <w:i/>
          <w:iCs/>
          <w:sz w:val="22"/>
          <w:szCs w:val="22"/>
        </w:rPr>
        <w:t xml:space="preserve"> Los servidores públicos a que se refiere este artículo deberán cumplir, además, con los requisitos establecidos en los cinco primeros incisos de la fracción I del artículo 26 de esta ley.”</w:t>
      </w:r>
    </w:p>
    <w:p w14:paraId="4AFB065A" w14:textId="265136E9" w:rsidR="00FD5024" w:rsidRPr="00424261" w:rsidRDefault="00FD5024" w:rsidP="00644F1E">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sz w:val="22"/>
          <w:szCs w:val="22"/>
        </w:rPr>
        <w:t>(Énfasis y subrayado añadido)</w:t>
      </w:r>
    </w:p>
    <w:p w14:paraId="34571FCF" w14:textId="77777777" w:rsidR="00644F1E" w:rsidRPr="00424261" w:rsidRDefault="00644F1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4BE475FB" w14:textId="07879D51" w:rsidR="00F663BE" w:rsidRPr="00424261" w:rsidRDefault="00FD502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 lo anterior de coligue </w:t>
      </w:r>
      <w:r w:rsidR="000F6782" w:rsidRPr="00424261">
        <w:rPr>
          <w:rFonts w:ascii="Palatino Linotype" w:hAnsi="Palatino Linotype"/>
          <w:color w:val="000000" w:themeColor="text1"/>
        </w:rPr>
        <w:t>que todas las personas que porten un arma de fuego deberán contar con una licencia</w:t>
      </w:r>
      <w:r w:rsidR="000F6782" w:rsidRPr="00424261">
        <w:rPr>
          <w:rStyle w:val="Refdenotaalpie"/>
          <w:rFonts w:ascii="Palatino Linotype" w:hAnsi="Palatino Linotype"/>
          <w:color w:val="000000" w:themeColor="text1"/>
        </w:rPr>
        <w:footnoteReference w:id="26"/>
      </w:r>
      <w:r w:rsidR="000F6782" w:rsidRPr="00424261">
        <w:rPr>
          <w:rFonts w:ascii="Palatino Linotype" w:hAnsi="Palatino Linotype"/>
          <w:color w:val="000000" w:themeColor="text1"/>
        </w:rPr>
        <w:t xml:space="preserve">; para el caso de las instituciones policiales -como lo es la Comisaría de Seguridad Pública y Tránsito de Cuautitlán Izcalli-, deberán solicitar la expedición de una </w:t>
      </w:r>
      <w:r w:rsidR="000F6782" w:rsidRPr="00424261">
        <w:rPr>
          <w:rFonts w:ascii="Palatino Linotype" w:hAnsi="Palatino Linotype"/>
          <w:b/>
          <w:bCs/>
          <w:color w:val="000000" w:themeColor="text1"/>
        </w:rPr>
        <w:t>licencia colectiv</w:t>
      </w:r>
      <w:r w:rsidR="00CF7FEC" w:rsidRPr="00424261">
        <w:rPr>
          <w:rFonts w:ascii="Palatino Linotype" w:hAnsi="Palatino Linotype"/>
          <w:b/>
          <w:bCs/>
          <w:color w:val="000000" w:themeColor="text1"/>
        </w:rPr>
        <w:t>a</w:t>
      </w:r>
      <w:r w:rsidR="00CF7FEC" w:rsidRPr="00424261">
        <w:rPr>
          <w:rFonts w:ascii="Palatino Linotype" w:hAnsi="Palatino Linotype"/>
          <w:color w:val="000000" w:themeColor="text1"/>
        </w:rPr>
        <w:t xml:space="preserve"> para el personal que integre su organización operativa. Para tal efecto, los titulares de las instituciones policiales expedirán a su personal operativo </w:t>
      </w:r>
      <w:r w:rsidR="00CF7FEC" w:rsidRPr="00424261">
        <w:rPr>
          <w:rFonts w:ascii="Palatino Linotype" w:hAnsi="Palatino Linotype"/>
          <w:b/>
          <w:bCs/>
          <w:color w:val="000000" w:themeColor="text1"/>
        </w:rPr>
        <w:t>credenciales foliadas de identificación personal</w:t>
      </w:r>
      <w:r w:rsidR="00CF7FEC" w:rsidRPr="00424261">
        <w:rPr>
          <w:rFonts w:ascii="Palatino Linotype" w:hAnsi="Palatino Linotype"/>
          <w:color w:val="000000" w:themeColor="text1"/>
        </w:rPr>
        <w:t>, las cuales serán renovadas de manera semestral.</w:t>
      </w:r>
    </w:p>
    <w:p w14:paraId="07E8B46D"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36DA831E" w14:textId="31FD2954" w:rsidR="00F663BE" w:rsidRPr="00424261" w:rsidRDefault="00CF7FE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Dicho lo anterior, resulta imperativo señalar que el Bando Municipal de Cuautitlán Izcalli, en su artículo 54, enlista algunos de los órganos auxiliares del municipio, entre los que destaca el </w:t>
      </w:r>
      <w:r w:rsidRPr="00424261">
        <w:rPr>
          <w:rFonts w:ascii="Palatino Linotype" w:hAnsi="Palatino Linotype"/>
          <w:b/>
          <w:bCs/>
          <w:color w:val="000000" w:themeColor="text1"/>
        </w:rPr>
        <w:t>Consejo Municipal de Seguridad Pública</w:t>
      </w:r>
      <w:r w:rsidRPr="00424261">
        <w:rPr>
          <w:rFonts w:ascii="Palatino Linotype" w:hAnsi="Palatino Linotype"/>
          <w:color w:val="000000" w:themeColor="text1"/>
        </w:rPr>
        <w:t>.</w:t>
      </w:r>
    </w:p>
    <w:p w14:paraId="131AFD1C"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3AE94F88" w14:textId="365F4283" w:rsidR="00F663BE" w:rsidRPr="00424261" w:rsidRDefault="00CF7FE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 acuerdo con los Lineamientos</w:t>
      </w:r>
      <w:r w:rsidR="009444BB" w:rsidRPr="00424261">
        <w:rPr>
          <w:rFonts w:ascii="Palatino Linotype" w:hAnsi="Palatino Linotype"/>
          <w:color w:val="000000" w:themeColor="text1"/>
        </w:rPr>
        <w:t xml:space="preserve"> de Organización y Funcionamiento de los Consejos Intermunicipales y Municipales de Seguridad Pública</w:t>
      </w:r>
      <w:r w:rsidRPr="00424261">
        <w:rPr>
          <w:rFonts w:ascii="Palatino Linotype" w:hAnsi="Palatino Linotype"/>
          <w:color w:val="000000" w:themeColor="text1"/>
        </w:rPr>
        <w:t xml:space="preserve">, en los </w:t>
      </w:r>
      <w:r w:rsidR="009444BB" w:rsidRPr="00424261">
        <w:rPr>
          <w:rFonts w:ascii="Palatino Linotype" w:hAnsi="Palatino Linotype"/>
          <w:color w:val="000000" w:themeColor="text1"/>
        </w:rPr>
        <w:t xml:space="preserve">municipios que conforman el territorio del Estado de México se establecerán </w:t>
      </w:r>
      <w:r w:rsidR="009444BB" w:rsidRPr="00424261">
        <w:rPr>
          <w:rFonts w:ascii="Palatino Linotype" w:hAnsi="Palatino Linotype"/>
          <w:b/>
          <w:bCs/>
          <w:color w:val="000000" w:themeColor="text1"/>
        </w:rPr>
        <w:t>Consejos Municipales de Seguridad Pública</w:t>
      </w:r>
      <w:r w:rsidR="009444BB" w:rsidRPr="00424261">
        <w:rPr>
          <w:rFonts w:ascii="Palatino Linotype" w:hAnsi="Palatino Linotype"/>
          <w:color w:val="000000" w:themeColor="text1"/>
        </w:rPr>
        <w:t xml:space="preserve">, mismos que se reconocen como órganos colegiados integrantes del Sistema Nacional y Estatal de Seguridad Pública, </w:t>
      </w:r>
      <w:r w:rsidR="009444BB" w:rsidRPr="00424261">
        <w:rPr>
          <w:rFonts w:ascii="Palatino Linotype" w:hAnsi="Palatino Linotype"/>
          <w:b/>
          <w:bCs/>
          <w:color w:val="000000" w:themeColor="text1"/>
        </w:rPr>
        <w:t>que tienen por objeto planear, coordinar y supervisar las acciones, políticas y programas en materia de seguridad pública</w:t>
      </w:r>
      <w:r w:rsidR="009444BB" w:rsidRPr="00424261">
        <w:rPr>
          <w:rFonts w:ascii="Palatino Linotype" w:hAnsi="Palatino Linotype"/>
          <w:color w:val="000000" w:themeColor="text1"/>
        </w:rPr>
        <w:t xml:space="preserve">, facilitar la coordinación institucional </w:t>
      </w:r>
      <w:r w:rsidR="009444BB" w:rsidRPr="00424261">
        <w:rPr>
          <w:rFonts w:ascii="Palatino Linotype" w:hAnsi="Palatino Linotype"/>
          <w:color w:val="000000" w:themeColor="text1"/>
        </w:rPr>
        <w:lastRenderedPageBreak/>
        <w:t>requerida para dar seguimiento y cumplimiento de los acuerdos, lineamientos y políticas emitidos por los Consejos Nacional, Estatal e Intermunicipal en sus respectivos ámbitos de competencia, generar mecanismos efectivos de participación ciudadana en la materia, y difundir entre la población los resultados de sus acciones, siempre que la información que se pretenda difundir no esté considerada en algunos de los supuestos de reserva o confidencialidad, en términos de lo establecido por la Ley de Transparencia y Acceso a la Información Pública del Estado de México y Municipios y la Ley de Protección de Datos Personales en Posesión de Sujetos Obligados del Estado de México y Municipios, así como detectar y definir los factores a contrarrestar sobre inseguridad pública y generar actividades orientadas al fortalecimiento de la Seguridad Ciudadana.</w:t>
      </w:r>
    </w:p>
    <w:p w14:paraId="25CCDF1D"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76144C89" w14:textId="5555EA7F" w:rsidR="00F663BE" w:rsidRPr="00424261" w:rsidRDefault="009444B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 conformidad con el artículo 24 de los Lineamientos de Organización y Funcionamiento de los Consejos Intermunicipales y Municipales de Seguridad Pública, éstos últimos quedarán integrados de la siguiente manera:</w:t>
      </w:r>
    </w:p>
    <w:p w14:paraId="47C3F4EB" w14:textId="5C11F6B5"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6F49076A" w14:textId="77777777" w:rsidR="009444BB" w:rsidRPr="00424261" w:rsidRDefault="009444BB" w:rsidP="009444BB">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r w:rsidRPr="00424261">
        <w:rPr>
          <w:rFonts w:ascii="Palatino Linotype" w:hAnsi="Palatino Linotype"/>
          <w:b/>
          <w:bCs/>
          <w:i/>
          <w:iCs/>
          <w:sz w:val="22"/>
          <w:szCs w:val="22"/>
        </w:rPr>
        <w:t>A. Mesa Directiva:</w:t>
      </w:r>
      <w:r w:rsidRPr="00424261">
        <w:rPr>
          <w:rFonts w:ascii="Palatino Linotype" w:hAnsi="Palatino Linotype"/>
          <w:i/>
          <w:iCs/>
          <w:sz w:val="22"/>
          <w:szCs w:val="22"/>
        </w:rPr>
        <w:t xml:space="preserve"> </w:t>
      </w:r>
    </w:p>
    <w:p w14:paraId="428B473D" w14:textId="77777777" w:rsidR="009444BB" w:rsidRPr="00424261" w:rsidRDefault="009444BB" w:rsidP="009444BB">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b/>
          <w:bCs/>
          <w:i/>
          <w:iCs/>
          <w:sz w:val="22"/>
          <w:szCs w:val="22"/>
        </w:rPr>
        <w:t>I.</w:t>
      </w:r>
      <w:r w:rsidRPr="00424261">
        <w:rPr>
          <w:rFonts w:ascii="Palatino Linotype" w:hAnsi="Palatino Linotype"/>
          <w:i/>
          <w:iCs/>
          <w:sz w:val="22"/>
          <w:szCs w:val="22"/>
        </w:rPr>
        <w:t xml:space="preserve"> El Presidente Municipal, quien fungirá como Presidente del Consejo y será quien presida las sesiones. </w:t>
      </w:r>
    </w:p>
    <w:p w14:paraId="4335E325" w14:textId="77777777" w:rsidR="009444BB" w:rsidRPr="00424261" w:rsidRDefault="009444BB" w:rsidP="009444BB">
      <w:pPr>
        <w:pStyle w:val="Prrafodelista"/>
        <w:tabs>
          <w:tab w:val="left" w:pos="426"/>
        </w:tabs>
        <w:spacing w:before="240" w:after="240" w:line="276" w:lineRule="auto"/>
        <w:ind w:left="851" w:right="567"/>
        <w:jc w:val="both"/>
        <w:rPr>
          <w:rFonts w:ascii="Palatino Linotype" w:hAnsi="Palatino Linotype"/>
          <w:i/>
          <w:iCs/>
          <w:sz w:val="22"/>
          <w:szCs w:val="22"/>
        </w:rPr>
      </w:pPr>
      <w:r w:rsidRPr="00424261">
        <w:rPr>
          <w:rFonts w:ascii="Palatino Linotype" w:hAnsi="Palatino Linotype"/>
          <w:b/>
          <w:bCs/>
          <w:i/>
          <w:iCs/>
          <w:sz w:val="22"/>
          <w:szCs w:val="22"/>
        </w:rPr>
        <w:t>II.</w:t>
      </w:r>
      <w:r w:rsidRPr="00424261">
        <w:rPr>
          <w:rFonts w:ascii="Palatino Linotype" w:hAnsi="Palatino Linotype"/>
          <w:i/>
          <w:iCs/>
          <w:sz w:val="22"/>
          <w:szCs w:val="22"/>
        </w:rPr>
        <w:t xml:space="preserve"> El Secretario del Ayuntamiento, quien fungirá como Vicepresidente Municipal. </w:t>
      </w:r>
    </w:p>
    <w:p w14:paraId="15575717" w14:textId="77777777" w:rsidR="009444BB" w:rsidRPr="00424261" w:rsidRDefault="009444BB" w:rsidP="009444BB">
      <w:pPr>
        <w:pStyle w:val="Prrafodelista"/>
        <w:tabs>
          <w:tab w:val="left" w:pos="426"/>
        </w:tabs>
        <w:spacing w:before="240" w:after="240" w:line="276" w:lineRule="auto"/>
        <w:ind w:left="851" w:right="567"/>
        <w:jc w:val="both"/>
        <w:rPr>
          <w:rFonts w:ascii="Palatino Linotype" w:hAnsi="Palatino Linotype"/>
          <w:b/>
          <w:bCs/>
          <w:i/>
          <w:iCs/>
          <w:sz w:val="22"/>
          <w:szCs w:val="22"/>
        </w:rPr>
      </w:pPr>
      <w:r w:rsidRPr="00424261">
        <w:rPr>
          <w:rFonts w:ascii="Palatino Linotype" w:hAnsi="Palatino Linotype"/>
          <w:b/>
          <w:bCs/>
          <w:i/>
          <w:iCs/>
          <w:sz w:val="22"/>
          <w:szCs w:val="22"/>
        </w:rPr>
        <w:t xml:space="preserve">III. </w:t>
      </w:r>
      <w:r w:rsidRPr="00424261">
        <w:rPr>
          <w:rFonts w:ascii="Palatino Linotype" w:hAnsi="Palatino Linotype"/>
          <w:b/>
          <w:bCs/>
          <w:i/>
          <w:iCs/>
          <w:sz w:val="22"/>
          <w:szCs w:val="22"/>
          <w:u w:val="single"/>
        </w:rPr>
        <w:t>El Secretario Técnico</w:t>
      </w:r>
      <w:r w:rsidRPr="00424261">
        <w:rPr>
          <w:rFonts w:ascii="Palatino Linotype" w:hAnsi="Palatino Linotype"/>
          <w:b/>
          <w:bCs/>
          <w:i/>
          <w:iCs/>
          <w:sz w:val="22"/>
          <w:szCs w:val="22"/>
        </w:rPr>
        <w:t xml:space="preserve"> </w:t>
      </w:r>
    </w:p>
    <w:p w14:paraId="7F27D114" w14:textId="77777777" w:rsidR="009444BB" w:rsidRPr="00424261" w:rsidRDefault="009444BB" w:rsidP="009444BB">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424261">
        <w:rPr>
          <w:rFonts w:ascii="Palatino Linotype" w:hAnsi="Palatino Linotype"/>
          <w:b/>
          <w:bCs/>
          <w:i/>
          <w:iCs/>
          <w:sz w:val="22"/>
          <w:szCs w:val="22"/>
        </w:rPr>
        <w:t xml:space="preserve">B. Consejeros: </w:t>
      </w:r>
    </w:p>
    <w:p w14:paraId="310FD2FB" w14:textId="77777777" w:rsidR="009444BB" w:rsidRPr="00424261" w:rsidRDefault="009444BB" w:rsidP="009444BB">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50A7A07F" w14:textId="77777777" w:rsidR="009444BB" w:rsidRPr="00424261" w:rsidRDefault="009444BB" w:rsidP="009444BB">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424261">
        <w:rPr>
          <w:rFonts w:ascii="Palatino Linotype" w:hAnsi="Palatino Linotype"/>
          <w:b/>
          <w:bCs/>
          <w:i/>
          <w:iCs/>
          <w:sz w:val="22"/>
          <w:szCs w:val="22"/>
        </w:rPr>
        <w:t xml:space="preserve">C. Invitados permanentes: </w:t>
      </w:r>
    </w:p>
    <w:p w14:paraId="25C7270C" w14:textId="3AB80102" w:rsidR="009444BB" w:rsidRPr="00424261" w:rsidRDefault="009444BB" w:rsidP="009444BB">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p>
    <w:p w14:paraId="38325F29" w14:textId="1527BED3" w:rsidR="009444BB" w:rsidRPr="00424261" w:rsidRDefault="009444BB" w:rsidP="009444BB">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424261">
        <w:rPr>
          <w:rFonts w:ascii="Palatino Linotype" w:hAnsi="Palatino Linotype"/>
          <w:b/>
          <w:bCs/>
          <w:i/>
          <w:iCs/>
          <w:sz w:val="22"/>
          <w:szCs w:val="22"/>
        </w:rPr>
        <w:t xml:space="preserve">D. Invitados Especiales: </w:t>
      </w:r>
    </w:p>
    <w:p w14:paraId="30D060E5" w14:textId="27F8D409" w:rsidR="009444BB" w:rsidRPr="00424261" w:rsidRDefault="009444BB" w:rsidP="009444BB">
      <w:pPr>
        <w:pStyle w:val="Prrafodelista"/>
        <w:tabs>
          <w:tab w:val="left" w:pos="426"/>
        </w:tabs>
        <w:spacing w:before="240" w:after="240" w:line="276" w:lineRule="auto"/>
        <w:ind w:left="567" w:right="567"/>
        <w:jc w:val="both"/>
        <w:rPr>
          <w:rFonts w:ascii="Palatino Linotype" w:hAnsi="Palatino Linotype"/>
          <w:sz w:val="22"/>
          <w:szCs w:val="22"/>
        </w:rPr>
      </w:pPr>
      <w:r w:rsidRPr="00424261">
        <w:rPr>
          <w:rFonts w:ascii="Palatino Linotype" w:hAnsi="Palatino Linotype"/>
          <w:i/>
          <w:iCs/>
          <w:sz w:val="22"/>
          <w:szCs w:val="22"/>
        </w:rPr>
        <w:t>(…)”</w:t>
      </w:r>
    </w:p>
    <w:p w14:paraId="0FEB21C2" w14:textId="519E301C" w:rsidR="000F03EF" w:rsidRPr="00424261" w:rsidRDefault="000F03EF" w:rsidP="009444B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sz w:val="22"/>
          <w:szCs w:val="22"/>
        </w:rPr>
        <w:t>(Subrayado añadido)</w:t>
      </w:r>
    </w:p>
    <w:p w14:paraId="7436522C" w14:textId="77777777" w:rsidR="009444BB" w:rsidRPr="00424261" w:rsidRDefault="009444BB"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1B752872" w14:textId="176EADFA" w:rsidR="00F663BE" w:rsidRPr="00424261" w:rsidRDefault="000F03E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Siendo de especial interés el Secretario Técnico del Consejo Municipal de Seguridad Pública, el cual tendrá entre sus atribuciones el fungir como enlace ante la Secretaría de Seguridad para dar seguimiento al </w:t>
      </w:r>
      <w:r w:rsidRPr="00424261">
        <w:rPr>
          <w:rFonts w:ascii="Palatino Linotype" w:hAnsi="Palatino Linotype"/>
          <w:b/>
          <w:bCs/>
          <w:color w:val="000000" w:themeColor="text1"/>
        </w:rPr>
        <w:t>registro y actualización de la licencia colectiva para la portación de armas de fuego</w:t>
      </w:r>
      <w:r w:rsidRPr="00424261">
        <w:rPr>
          <w:rFonts w:ascii="Palatino Linotype" w:hAnsi="Palatino Linotype"/>
          <w:color w:val="000000" w:themeColor="text1"/>
        </w:rPr>
        <w:t>.</w:t>
      </w:r>
    </w:p>
    <w:p w14:paraId="2BE7C31F"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00E8220B" w14:textId="6C7E5DCF" w:rsidR="00F663BE" w:rsidRPr="00424261" w:rsidRDefault="000F03E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w:t>
      </w:r>
      <w:r w:rsidR="005B45E8" w:rsidRPr="00424261">
        <w:rPr>
          <w:rFonts w:ascii="Palatino Linotype" w:hAnsi="Palatino Linotype"/>
          <w:color w:val="000000" w:themeColor="text1"/>
        </w:rPr>
        <w:t xml:space="preserve">queda demostrada la competencia </w:t>
      </w:r>
      <w:r w:rsidR="003E1891" w:rsidRPr="00424261">
        <w:rPr>
          <w:rFonts w:ascii="Palatino Linotype" w:hAnsi="Palatino Linotype"/>
          <w:color w:val="000000" w:themeColor="text1"/>
        </w:rPr>
        <w:t>de la Comisaría de Seguridad Pública y Tránsito</w:t>
      </w:r>
      <w:r w:rsidR="005B45E8" w:rsidRPr="00424261">
        <w:rPr>
          <w:rFonts w:ascii="Palatino Linotype" w:hAnsi="Palatino Linotype"/>
          <w:color w:val="000000" w:themeColor="text1"/>
        </w:rPr>
        <w:t xml:space="preserve"> para no solo poseer una licencia colectiva de armas de fueg</w:t>
      </w:r>
      <w:r w:rsidR="003E1891" w:rsidRPr="00424261">
        <w:rPr>
          <w:rFonts w:ascii="Palatino Linotype" w:hAnsi="Palatino Linotype"/>
          <w:color w:val="000000" w:themeColor="text1"/>
        </w:rPr>
        <w:t>o</w:t>
      </w:r>
      <w:r w:rsidR="005B45E8" w:rsidRPr="00424261">
        <w:rPr>
          <w:rFonts w:ascii="Palatino Linotype" w:hAnsi="Palatino Linotype"/>
          <w:color w:val="000000" w:themeColor="text1"/>
        </w:rPr>
        <w:t xml:space="preserve">, sino de generar y administrar </w:t>
      </w:r>
      <w:r w:rsidR="003E1891" w:rsidRPr="00424261">
        <w:rPr>
          <w:rFonts w:ascii="Palatino Linotype" w:hAnsi="Palatino Linotype"/>
          <w:b/>
          <w:bCs/>
          <w:color w:val="000000" w:themeColor="text1"/>
        </w:rPr>
        <w:t>credenciales foliadas de identificación personal</w:t>
      </w:r>
      <w:r w:rsidR="003E1891" w:rsidRPr="00424261">
        <w:rPr>
          <w:rFonts w:ascii="Palatino Linotype" w:hAnsi="Palatino Linotype"/>
          <w:color w:val="000000" w:themeColor="text1"/>
        </w:rPr>
        <w:t xml:space="preserve"> de cada uno de los elementos operativos que porten un arma de fuego.</w:t>
      </w:r>
    </w:p>
    <w:p w14:paraId="17FBCEBA"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6F5B8FEE" w14:textId="4B9D8C35" w:rsidR="00F663BE" w:rsidRPr="00424261" w:rsidRDefault="003E189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No es ocioso mencionar que el Pleno de este Organismo Garante se ha pronunciado, a lo largo de diversas resoluciones, sobre la necesidad de clasificar cualquier información que pudiera demostrar el </w:t>
      </w:r>
      <w:r w:rsidRPr="00424261">
        <w:rPr>
          <w:rFonts w:ascii="Palatino Linotype" w:hAnsi="Palatino Linotype"/>
          <w:b/>
          <w:bCs/>
          <w:color w:val="000000" w:themeColor="text1"/>
        </w:rPr>
        <w:t>estado de fuerza</w:t>
      </w:r>
      <w:r w:rsidRPr="00424261">
        <w:rPr>
          <w:rFonts w:ascii="Palatino Linotype" w:hAnsi="Palatino Linotype"/>
          <w:color w:val="000000" w:themeColor="text1"/>
        </w:rPr>
        <w:t xml:space="preserve"> de las instituciones policiales municipales; pues el dar a conocer, por ejemplo, el total de policías que cuentan con permiso para portar armas de fuego, podría poner en riego la seguridad pública, en el entendido de que células u organizaciones criminales </w:t>
      </w:r>
      <w:r w:rsidRPr="00424261">
        <w:rPr>
          <w:rFonts w:ascii="Palatino Linotype" w:hAnsi="Palatino Linotype"/>
          <w:i/>
          <w:iCs/>
          <w:color w:val="000000" w:themeColor="text1"/>
        </w:rPr>
        <w:t>podrían</w:t>
      </w:r>
      <w:r w:rsidRPr="00424261">
        <w:rPr>
          <w:rFonts w:ascii="Palatino Linotype" w:hAnsi="Palatino Linotype"/>
          <w:color w:val="000000" w:themeColor="text1"/>
        </w:rPr>
        <w:t xml:space="preserve"> conocer el nivel </w:t>
      </w:r>
      <w:r w:rsidR="002245E6" w:rsidRPr="00424261">
        <w:rPr>
          <w:rFonts w:ascii="Palatino Linotype" w:hAnsi="Palatino Linotype"/>
          <w:color w:val="000000" w:themeColor="text1"/>
        </w:rPr>
        <w:t>máximo de reacción que puede tener un municipio en contra de un atentado que pretenda poner en riesgo la vida o seguridad de los ciudadanos.</w:t>
      </w:r>
    </w:p>
    <w:p w14:paraId="6DE431F5"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306283AF" w14:textId="7877AAFD" w:rsidR="00F663BE" w:rsidRPr="00424261" w:rsidRDefault="002245E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Empero, en el presente asunto, no debe perderse de vista que la solicitud de información </w:t>
      </w:r>
      <w:r w:rsidRPr="00424261">
        <w:rPr>
          <w:rFonts w:ascii="Palatino Linotype" w:hAnsi="Palatino Linotype"/>
          <w:b/>
          <w:bCs/>
          <w:color w:val="000000" w:themeColor="text1"/>
        </w:rPr>
        <w:t>00505/CUAUTIZC/IP/2021</w:t>
      </w:r>
      <w:r w:rsidRPr="00424261">
        <w:rPr>
          <w:rFonts w:ascii="Palatino Linotype" w:hAnsi="Palatino Linotype"/>
          <w:color w:val="000000" w:themeColor="text1"/>
        </w:rPr>
        <w:t xml:space="preserve">, desea acceder </w:t>
      </w:r>
      <w:r w:rsidRPr="00424261">
        <w:rPr>
          <w:rFonts w:ascii="Palatino Linotype" w:hAnsi="Palatino Linotype"/>
          <w:b/>
          <w:bCs/>
          <w:color w:val="000000" w:themeColor="text1"/>
        </w:rPr>
        <w:t>únicamente</w:t>
      </w:r>
      <w:r w:rsidRPr="00424261">
        <w:rPr>
          <w:rFonts w:ascii="Palatino Linotype" w:hAnsi="Palatino Linotype"/>
          <w:color w:val="000000" w:themeColor="text1"/>
        </w:rPr>
        <w:t xml:space="preserve"> a las credenciales de portación de arma de fuego de los policías que intervinieron en el siniestro relacionado con el actor Octavio Augusto Pérez Ocaña, lo cual, de ninguna </w:t>
      </w:r>
      <w:r w:rsidRPr="00424261">
        <w:rPr>
          <w:rFonts w:ascii="Palatino Linotype" w:hAnsi="Palatino Linotype"/>
          <w:color w:val="000000" w:themeColor="text1"/>
        </w:rPr>
        <w:lastRenderedPageBreak/>
        <w:t xml:space="preserve">manera vulnera el estado de fuerza del municipio, pues </w:t>
      </w:r>
      <w:r w:rsidR="008E0578" w:rsidRPr="00424261">
        <w:rPr>
          <w:rFonts w:ascii="Palatino Linotype" w:hAnsi="Palatino Linotype"/>
          <w:color w:val="000000" w:themeColor="text1"/>
        </w:rPr>
        <w:t>no se está requiriendo información de todo el personal.</w:t>
      </w:r>
    </w:p>
    <w:p w14:paraId="21E7B10F" w14:textId="77777777" w:rsidR="008E0578" w:rsidRPr="00424261" w:rsidRDefault="008E0578" w:rsidP="008E0578">
      <w:pPr>
        <w:pStyle w:val="Prrafodelista"/>
        <w:tabs>
          <w:tab w:val="left" w:pos="426"/>
        </w:tabs>
        <w:spacing w:before="240" w:after="240" w:line="360" w:lineRule="auto"/>
        <w:ind w:left="0" w:right="51"/>
        <w:jc w:val="both"/>
        <w:rPr>
          <w:rFonts w:ascii="Palatino Linotype" w:hAnsi="Palatino Linotype"/>
          <w:color w:val="000000" w:themeColor="text1"/>
        </w:rPr>
      </w:pPr>
    </w:p>
    <w:p w14:paraId="157675CB" w14:textId="6C6AD1F4" w:rsidR="008E0578" w:rsidRPr="00424261" w:rsidRDefault="008E057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En ese sentido, y considerando el antecedente histórico del asunto en el que se encuentran involucrados los policías que detuvieron al vehículo donde viajaba el actor, se considera de interés público el dar a conocer las credenciales de los elementos que participaron en el siniestro.</w:t>
      </w:r>
    </w:p>
    <w:p w14:paraId="59056890" w14:textId="77777777" w:rsidR="008E0578" w:rsidRPr="00424261" w:rsidRDefault="008E0578" w:rsidP="008E0578">
      <w:pPr>
        <w:pStyle w:val="Prrafodelista"/>
        <w:tabs>
          <w:tab w:val="left" w:pos="426"/>
        </w:tabs>
        <w:spacing w:before="240" w:after="240" w:line="360" w:lineRule="auto"/>
        <w:ind w:left="0" w:right="51"/>
        <w:jc w:val="both"/>
        <w:rPr>
          <w:rFonts w:ascii="Palatino Linotype" w:hAnsi="Palatino Linotype"/>
          <w:color w:val="000000" w:themeColor="text1"/>
        </w:rPr>
      </w:pPr>
    </w:p>
    <w:p w14:paraId="10E69F6D" w14:textId="573F622F" w:rsidR="008E0578" w:rsidRPr="00424261" w:rsidRDefault="008E057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Razón de lo anterior, el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deberá hacer entrega de las credenciales foliadas de identificación para portar arma de fuego de los elementos policiales que participaron en la persecución y posterior detención del vehículo en el que viajaba el actor Octavio Augusto Pérez Ocaña, de ser procedente en versión pública, testando cualquier dato personal </w:t>
      </w:r>
      <w:r w:rsidR="008F5EE7" w:rsidRPr="00424261">
        <w:rPr>
          <w:rFonts w:ascii="Palatino Linotype" w:hAnsi="Palatino Linotype"/>
          <w:color w:val="000000" w:themeColor="text1"/>
        </w:rPr>
        <w:t>inherente a sus titulares, tales como el CURP, número de seguridad social, etc.</w:t>
      </w:r>
    </w:p>
    <w:p w14:paraId="2B8C03AD" w14:textId="77777777" w:rsidR="00F663BE" w:rsidRPr="00424261" w:rsidRDefault="00F663BE" w:rsidP="00F663BE">
      <w:pPr>
        <w:pStyle w:val="Prrafodelista"/>
        <w:tabs>
          <w:tab w:val="left" w:pos="426"/>
        </w:tabs>
        <w:spacing w:before="240" w:after="240" w:line="360" w:lineRule="auto"/>
        <w:ind w:left="0" w:right="51"/>
        <w:jc w:val="both"/>
        <w:rPr>
          <w:rFonts w:ascii="Palatino Linotype" w:hAnsi="Palatino Linotype"/>
          <w:color w:val="000000" w:themeColor="text1"/>
        </w:rPr>
      </w:pPr>
    </w:p>
    <w:p w14:paraId="5CD5CD90" w14:textId="63F7558E" w:rsidR="00C03122" w:rsidRPr="00424261" w:rsidRDefault="00C03122" w:rsidP="00C0312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6" w:name="_Toc101963396"/>
      <w:r w:rsidRPr="00424261">
        <w:rPr>
          <w:rFonts w:ascii="Palatino Linotype" w:hAnsi="Palatino Linotype"/>
          <w:b/>
          <w:bCs/>
          <w:color w:val="000000" w:themeColor="text1"/>
        </w:rPr>
        <w:t>c) De las direcciones personales de los policías.</w:t>
      </w:r>
      <w:bookmarkEnd w:id="46"/>
    </w:p>
    <w:p w14:paraId="419B5ACA" w14:textId="77777777" w:rsidR="00C03122" w:rsidRPr="00424261" w:rsidRDefault="00C03122"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5EB09F22" w14:textId="38AF22F9" w:rsidR="00073326" w:rsidRPr="00424261" w:rsidRDefault="008C0FA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cuanto hace a las direcciones personales</w:t>
      </w:r>
      <w:r w:rsidR="00FE5082" w:rsidRPr="00424261">
        <w:rPr>
          <w:rFonts w:ascii="Palatino Linotype" w:hAnsi="Palatino Linotype"/>
          <w:color w:val="000000" w:themeColor="text1"/>
        </w:rPr>
        <w:t xml:space="preserve"> del personal de seguridad pública, debemos señalar que el artículo 2.3 del Código Civil del Estado de México señala lo siguiente:</w:t>
      </w:r>
    </w:p>
    <w:p w14:paraId="363FE133" w14:textId="31DD8B0A"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7367E74F" w14:textId="0C4B0A4D" w:rsidR="00FE5082" w:rsidRPr="00424261" w:rsidRDefault="00FE5082" w:rsidP="00FE5082">
      <w:pPr>
        <w:pStyle w:val="Prrafodelista"/>
        <w:tabs>
          <w:tab w:val="left" w:pos="426"/>
        </w:tabs>
        <w:spacing w:before="240" w:after="240" w:line="276" w:lineRule="auto"/>
        <w:ind w:left="567" w:right="567"/>
        <w:jc w:val="both"/>
        <w:rPr>
          <w:b/>
          <w:bCs/>
          <w:i/>
          <w:iCs/>
          <w:sz w:val="22"/>
          <w:szCs w:val="22"/>
        </w:rPr>
      </w:pPr>
      <w:r w:rsidRPr="00424261">
        <w:rPr>
          <w:i/>
          <w:iCs/>
          <w:sz w:val="22"/>
          <w:szCs w:val="22"/>
        </w:rPr>
        <w:t>“</w:t>
      </w:r>
      <w:r w:rsidRPr="00424261">
        <w:rPr>
          <w:b/>
          <w:bCs/>
          <w:i/>
          <w:iCs/>
          <w:sz w:val="22"/>
          <w:szCs w:val="22"/>
        </w:rPr>
        <w:t xml:space="preserve">Atributos de la personalidad </w:t>
      </w:r>
    </w:p>
    <w:p w14:paraId="1B2BDDA5" w14:textId="2CD2C6B6" w:rsidR="00FE5082" w:rsidRPr="00424261" w:rsidRDefault="00FE5082" w:rsidP="00FE508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b/>
          <w:bCs/>
          <w:i/>
          <w:iCs/>
          <w:sz w:val="22"/>
          <w:szCs w:val="22"/>
        </w:rPr>
        <w:t>Artículo 2.3.-</w:t>
      </w:r>
      <w:r w:rsidRPr="00424261">
        <w:rPr>
          <w:i/>
          <w:iCs/>
          <w:sz w:val="22"/>
          <w:szCs w:val="22"/>
        </w:rPr>
        <w:t xml:space="preserve"> Los atributos de la personalidad son el nombre, domicilio, estado civil y patrimonio.”</w:t>
      </w:r>
    </w:p>
    <w:p w14:paraId="22546356" w14:textId="77777777" w:rsidR="00FE5082" w:rsidRPr="00424261" w:rsidRDefault="00FE5082"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1440C31D" w14:textId="19FF7DD8" w:rsidR="00073326" w:rsidRPr="00424261" w:rsidRDefault="00FE508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El domicilio de una persona física es el lugar donde reside con el propósito de establecerse en él; a falta de éste, el lugar en que tiene el principal asiento de sus negocios; y a falta de uno y otro, el lugar en que se halle</w:t>
      </w:r>
      <w:r w:rsidRPr="00424261">
        <w:rPr>
          <w:rStyle w:val="Refdenotaalpie"/>
          <w:rFonts w:ascii="Palatino Linotype" w:hAnsi="Palatino Linotype"/>
          <w:color w:val="000000" w:themeColor="text1"/>
        </w:rPr>
        <w:footnoteReference w:id="27"/>
      </w:r>
      <w:r w:rsidRPr="00424261">
        <w:rPr>
          <w:rFonts w:ascii="Palatino Linotype" w:hAnsi="Palatino Linotype"/>
          <w:color w:val="000000" w:themeColor="text1"/>
        </w:rPr>
        <w:t>.</w:t>
      </w:r>
    </w:p>
    <w:p w14:paraId="1D264F95"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2F6BFDCA" w14:textId="78F7F011" w:rsidR="00073326" w:rsidRPr="00424261" w:rsidRDefault="000443B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Derivado de lo anterior, se entiende que el domicilio personal de una persona es el lugar sensiblemente único y específico donde éste reside y desenvuelve sus actividades personales, familiares, de ocio y descanso. Por lo tanto, este Organismo Garante observa que la información solicitada se relaciona con la causal de confidencialidad establecida en la fracción I del artículo 143 de la Ley de Transparencia y Acceso a la Información Pública del Estado de México y Municipios, pues se refiere a información privada y datos personales concerniente a una persona física.</w:t>
      </w:r>
    </w:p>
    <w:p w14:paraId="46265FCA" w14:textId="03BA061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51B22D11" w14:textId="1DAD6754" w:rsidR="00073326" w:rsidRPr="00424261" w:rsidRDefault="000443B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Razón de lo anterior, el domicilio personal de los agentes de seguridad pública no se advierte como información susceptible de ser entregada bajo ninguna circunstancia, aunado a que ésta no se relaciona de ninguna forma con los suceso ocurridos el </w:t>
      </w:r>
      <w:r w:rsidR="004B4D6E" w:rsidRPr="00424261">
        <w:rPr>
          <w:rFonts w:ascii="Palatino Linotype" w:hAnsi="Palatino Linotype"/>
          <w:color w:val="000000" w:themeColor="text1"/>
        </w:rPr>
        <w:t>veintinueve (29) de octubre de dos mil veintiuno.</w:t>
      </w:r>
    </w:p>
    <w:p w14:paraId="2C7195CA" w14:textId="229A17B5"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0C8C3C8B" w14:textId="681A9C03" w:rsidR="00C03122" w:rsidRPr="00424261" w:rsidRDefault="00C03122" w:rsidP="00C0312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7" w:name="_Toc101963397"/>
      <w:r w:rsidRPr="00424261">
        <w:rPr>
          <w:rFonts w:ascii="Palatino Linotype" w:hAnsi="Palatino Linotype"/>
          <w:b/>
          <w:bCs/>
          <w:color w:val="000000" w:themeColor="text1"/>
        </w:rPr>
        <w:t>d) De los horarios laborales de los policías.</w:t>
      </w:r>
      <w:bookmarkEnd w:id="47"/>
    </w:p>
    <w:p w14:paraId="19946951" w14:textId="77777777" w:rsidR="00C03122" w:rsidRPr="00424261" w:rsidRDefault="00C03122"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65BC1AB" w14:textId="721C0B16" w:rsidR="00073326" w:rsidRPr="00424261" w:rsidRDefault="004B4D6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su parte, por cuanto hace a los horarios de labores del personal de seguridad, si bien podría considerarse que su difusión actualizaría de alguna forma la causal de reserva contenida </w:t>
      </w:r>
      <w:r w:rsidR="00076166" w:rsidRPr="00424261">
        <w:rPr>
          <w:rFonts w:ascii="Palatino Linotype" w:hAnsi="Palatino Linotype"/>
          <w:color w:val="000000" w:themeColor="text1"/>
        </w:rPr>
        <w:t xml:space="preserve">en la fracción IV del artículo 140 de la Ley de </w:t>
      </w:r>
      <w:r w:rsidR="00076166" w:rsidRPr="00424261">
        <w:rPr>
          <w:rFonts w:ascii="Palatino Linotype" w:hAnsi="Palatino Linotype"/>
          <w:color w:val="000000" w:themeColor="text1"/>
        </w:rPr>
        <w:lastRenderedPageBreak/>
        <w:t>Transparencia y Acceso a la Información Pública del Estado de México y Municipios</w:t>
      </w:r>
      <w:r w:rsidR="00076166" w:rsidRPr="00424261">
        <w:rPr>
          <w:rStyle w:val="Refdenotaalpie"/>
          <w:rFonts w:ascii="Palatino Linotype" w:hAnsi="Palatino Linotype"/>
          <w:color w:val="000000" w:themeColor="text1"/>
        </w:rPr>
        <w:footnoteReference w:id="28"/>
      </w:r>
      <w:r w:rsidR="00076166" w:rsidRPr="00424261">
        <w:rPr>
          <w:rFonts w:ascii="Palatino Linotype" w:hAnsi="Palatino Linotype"/>
          <w:color w:val="000000" w:themeColor="text1"/>
        </w:rPr>
        <w:t>, lo cierto es que no se logra perfeccionar una hipótesis jurídica plausible en la que se demuestre lo anterior, toda vez que para ponerse en riesgo la vida o seguridad de los agentes de policía, aparte del horario de labores, se requeriría forzosamente -y más importante- el lugar específico donde desempeñan sus actividades operativas, por lo tanto, deberá hacerse entrega del particular el o los documentos donde consten los horarios, de ser procedente en versión pública.</w:t>
      </w:r>
    </w:p>
    <w:p w14:paraId="4B0FE1CF" w14:textId="5FE005BE"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049297C" w14:textId="138451A5" w:rsidR="00C03122" w:rsidRPr="00424261" w:rsidRDefault="00C03122" w:rsidP="00C0312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8" w:name="_Toc101963398"/>
      <w:r w:rsidRPr="00424261">
        <w:rPr>
          <w:rFonts w:ascii="Palatino Linotype" w:hAnsi="Palatino Linotype"/>
          <w:b/>
          <w:bCs/>
          <w:color w:val="000000" w:themeColor="text1"/>
        </w:rPr>
        <w:t xml:space="preserve">e) De los exámenes de control </w:t>
      </w:r>
      <w:r w:rsidR="00B00F90" w:rsidRPr="00424261">
        <w:rPr>
          <w:rFonts w:ascii="Palatino Linotype" w:hAnsi="Palatino Linotype"/>
          <w:b/>
          <w:bCs/>
          <w:color w:val="000000" w:themeColor="text1"/>
        </w:rPr>
        <w:t>de</w:t>
      </w:r>
      <w:r w:rsidRPr="00424261">
        <w:rPr>
          <w:rFonts w:ascii="Palatino Linotype" w:hAnsi="Palatino Linotype"/>
          <w:b/>
          <w:bCs/>
          <w:color w:val="000000" w:themeColor="text1"/>
        </w:rPr>
        <w:t xml:space="preserve"> confianza.</w:t>
      </w:r>
      <w:bookmarkEnd w:id="48"/>
    </w:p>
    <w:p w14:paraId="203FE432" w14:textId="77777777" w:rsidR="00C03122" w:rsidRPr="00424261" w:rsidRDefault="00C03122"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28ED93F" w14:textId="5CD7DFDF" w:rsidR="00073326" w:rsidRPr="00424261" w:rsidRDefault="0007616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Ahora bien, por cuanto hace a los exámenes de control de confianza, </w:t>
      </w:r>
      <w:r w:rsidR="00FE5AAB" w:rsidRPr="00424261">
        <w:rPr>
          <w:rFonts w:ascii="Palatino Linotype" w:hAnsi="Palatino Linotype"/>
          <w:color w:val="000000" w:themeColor="text1"/>
        </w:rPr>
        <w:t>la Ley de Seguridad del Estado de México, en su artículo 21, establece que serán atribuciones de los Presidentes Municipales, en materia de seguridad, las siguientes:</w:t>
      </w:r>
    </w:p>
    <w:p w14:paraId="4C525B08" w14:textId="77777777" w:rsidR="00FE5AAB" w:rsidRPr="00424261" w:rsidRDefault="00FE5AAB" w:rsidP="00FE5A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Verificar que los integrantes de las instituciones policiales a su cargo se sometan a las evaluaciones de control de confianza y </w:t>
      </w:r>
      <w:r w:rsidRPr="00424261">
        <w:rPr>
          <w:rFonts w:ascii="Palatino Linotype" w:hAnsi="Palatino Linotype"/>
          <w:b/>
          <w:bCs/>
          <w:color w:val="000000" w:themeColor="text1"/>
        </w:rPr>
        <w:t>cuenten con el Certificado Único Policial</w:t>
      </w:r>
      <w:r w:rsidRPr="00424261">
        <w:rPr>
          <w:rFonts w:ascii="Palatino Linotype" w:hAnsi="Palatino Linotype"/>
          <w:color w:val="000000" w:themeColor="text1"/>
        </w:rPr>
        <w:t xml:space="preserve">, de conformidad con las disposiciones legales aplicables; </w:t>
      </w:r>
    </w:p>
    <w:p w14:paraId="2C332A84" w14:textId="389A90D4" w:rsidR="00FE5AAB" w:rsidRPr="00424261" w:rsidRDefault="00FE5AAB" w:rsidP="00FE5A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Solicitar al Centro de Control </w:t>
      </w:r>
      <w:r w:rsidR="00B00F90" w:rsidRPr="00424261">
        <w:rPr>
          <w:rFonts w:ascii="Palatino Linotype" w:hAnsi="Palatino Linotype"/>
          <w:color w:val="000000" w:themeColor="text1"/>
        </w:rPr>
        <w:t>de</w:t>
      </w:r>
      <w:r w:rsidRPr="00424261">
        <w:rPr>
          <w:rFonts w:ascii="Palatino Linotype" w:hAnsi="Palatino Linotype"/>
          <w:color w:val="000000" w:themeColor="text1"/>
        </w:rPr>
        <w:t xml:space="preserve"> Confianza las evaluaciones de control de confianza para el ingreso, promoción y permanencia de los integrantes de las instituciones policiales a su cargo; </w:t>
      </w:r>
    </w:p>
    <w:p w14:paraId="1BEC0D82" w14:textId="77777777" w:rsidR="00FE5AAB" w:rsidRPr="00424261" w:rsidRDefault="00FE5AAB" w:rsidP="00FE5A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Solicitar a la Comisión de Honor y Justicia, la instauración del procedimiento en contra de los integrantes de las instituciones policiales a su cargo que no haya presentado o aprobado las evaluaciones de control de confianza; </w:t>
      </w:r>
    </w:p>
    <w:p w14:paraId="60B44F58" w14:textId="265E7F3B" w:rsidR="00FE5AAB" w:rsidRPr="00424261" w:rsidRDefault="00FE5AAB" w:rsidP="00FE5A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Vigilar la separación impuesta con motivo de la resolución correspondiente emitida por la Comisión de Honor y Justicia, a los integrantes de las instituciones policiales a su cargo que no hayan aprobado las evaluaciones de control de confianza.</w:t>
      </w:r>
    </w:p>
    <w:p w14:paraId="078CDC33"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301283F7" w14:textId="1069ED5D" w:rsidR="00073326" w:rsidRPr="00424261" w:rsidRDefault="00FE5AA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La certificación es el proceso mediante el cual los integrantes de las instituciones de seguridad pública se someten a las evaluaciones periódicas establecidas por el Centro de Control </w:t>
      </w:r>
      <w:r w:rsidR="00B00F90" w:rsidRPr="00424261">
        <w:rPr>
          <w:rFonts w:ascii="Palatino Linotype" w:hAnsi="Palatino Linotype"/>
          <w:color w:val="000000" w:themeColor="text1"/>
        </w:rPr>
        <w:t>de</w:t>
      </w:r>
      <w:r w:rsidRPr="00424261">
        <w:rPr>
          <w:rFonts w:ascii="Palatino Linotype" w:hAnsi="Palatino Linotype"/>
          <w:color w:val="000000" w:themeColor="text1"/>
        </w:rPr>
        <w:t xml:space="preserve"> Confianza del Estado de México, en los procedimientos de ingreso, promoción y permanencia</w:t>
      </w:r>
      <w:r w:rsidRPr="00424261">
        <w:rPr>
          <w:rStyle w:val="Refdenotaalpie"/>
          <w:rFonts w:ascii="Palatino Linotype" w:hAnsi="Palatino Linotype"/>
          <w:color w:val="000000" w:themeColor="text1"/>
        </w:rPr>
        <w:footnoteReference w:id="29"/>
      </w:r>
      <w:r w:rsidRPr="00424261">
        <w:rPr>
          <w:rFonts w:ascii="Palatino Linotype" w:hAnsi="Palatino Linotype"/>
          <w:color w:val="000000" w:themeColor="text1"/>
        </w:rPr>
        <w:t>; ninguna persona podrá ingresar o permanecer en las instituciones de seguridad pública sin contar con el Certificado y registro vigentes</w:t>
      </w:r>
      <w:r w:rsidRPr="00424261">
        <w:rPr>
          <w:rStyle w:val="Refdenotaalpie"/>
          <w:rFonts w:ascii="Palatino Linotype" w:hAnsi="Palatino Linotype"/>
          <w:color w:val="000000" w:themeColor="text1"/>
        </w:rPr>
        <w:footnoteReference w:id="30"/>
      </w:r>
      <w:r w:rsidRPr="00424261">
        <w:rPr>
          <w:rFonts w:ascii="Palatino Linotype" w:hAnsi="Palatino Linotype"/>
          <w:color w:val="000000" w:themeColor="text1"/>
        </w:rPr>
        <w:t>.</w:t>
      </w:r>
    </w:p>
    <w:p w14:paraId="09544BB5"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7255D1F3" w14:textId="7ADCEE38" w:rsidR="00073326" w:rsidRPr="00424261" w:rsidRDefault="006927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Al respecto</w:t>
      </w:r>
      <w:r w:rsidR="007779E6" w:rsidRPr="00424261">
        <w:rPr>
          <w:rFonts w:ascii="Palatino Linotype" w:hAnsi="Palatino Linotype"/>
          <w:color w:val="000000" w:themeColor="text1"/>
        </w:rPr>
        <w:t xml:space="preserve">, el dispositivo 222 de la Ley de Seguridad del Estado de México establece que el Centro de Control </w:t>
      </w:r>
      <w:r w:rsidR="00B00F90" w:rsidRPr="00424261">
        <w:rPr>
          <w:rFonts w:ascii="Palatino Linotype" w:hAnsi="Palatino Linotype"/>
          <w:color w:val="000000" w:themeColor="text1"/>
        </w:rPr>
        <w:t>de</w:t>
      </w:r>
      <w:r w:rsidR="007779E6" w:rsidRPr="00424261">
        <w:rPr>
          <w:rFonts w:ascii="Palatino Linotype" w:hAnsi="Palatino Linotype"/>
          <w:color w:val="000000" w:themeColor="text1"/>
        </w:rPr>
        <w:t xml:space="preserve"> Confianza es un organismo público descentralizado, con personalidad jurídica y patrimonio propios, sectorizado a la Secretaría de Seguridad, y tiene por objeto realizar las evaluaciones permanentes, de control de confianza, de desempeño, poligrafía, entorno social y psicológico, así como exámenes toxicológicos a las o los aspirantes y a las o los integrantes de las </w:t>
      </w:r>
      <w:r w:rsidR="007779E6" w:rsidRPr="00424261">
        <w:rPr>
          <w:rFonts w:ascii="Palatino Linotype" w:hAnsi="Palatino Linotype"/>
          <w:color w:val="000000" w:themeColor="text1"/>
        </w:rPr>
        <w:lastRenderedPageBreak/>
        <w:t>Instituciones de Seguridad Pública y privada, estatal y municipal a fin de emitir, en su caso, la certificación correspondiente</w:t>
      </w:r>
      <w:r w:rsidR="007779E6" w:rsidRPr="00424261">
        <w:rPr>
          <w:rStyle w:val="Refdenotaalpie"/>
          <w:rFonts w:ascii="Palatino Linotype" w:hAnsi="Palatino Linotype"/>
          <w:color w:val="000000" w:themeColor="text1"/>
        </w:rPr>
        <w:footnoteReference w:id="31"/>
      </w:r>
      <w:r w:rsidR="007779E6" w:rsidRPr="00424261">
        <w:rPr>
          <w:rFonts w:ascii="Palatino Linotype" w:hAnsi="Palatino Linotype"/>
          <w:color w:val="000000" w:themeColor="text1"/>
        </w:rPr>
        <w:t>.</w:t>
      </w:r>
    </w:p>
    <w:p w14:paraId="3DC936C1" w14:textId="77777777" w:rsidR="008F5EE7" w:rsidRPr="00424261" w:rsidRDefault="008F5EE7" w:rsidP="005D463F">
      <w:pPr>
        <w:pStyle w:val="Prrafodelista"/>
        <w:tabs>
          <w:tab w:val="left" w:pos="426"/>
        </w:tabs>
        <w:spacing w:before="240" w:after="240" w:line="360" w:lineRule="auto"/>
        <w:ind w:left="426" w:right="51" w:hanging="426"/>
        <w:jc w:val="both"/>
        <w:rPr>
          <w:rFonts w:ascii="Palatino Linotype" w:hAnsi="Palatino Linotype"/>
          <w:color w:val="000000" w:themeColor="text1"/>
        </w:rPr>
      </w:pPr>
    </w:p>
    <w:p w14:paraId="63F41D96" w14:textId="5C9D191B" w:rsidR="00C149D8" w:rsidRPr="00424261" w:rsidRDefault="005D463F" w:rsidP="00237F9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Derivado de su objeto, y de conformidad con lo dispuesto por el artículo 225 de la Ley de Seguridad del Estado de México, </w:t>
      </w:r>
      <w:r w:rsidR="00C149D8" w:rsidRPr="00424261">
        <w:rPr>
          <w:rFonts w:ascii="Palatino Linotype" w:hAnsi="Palatino Linotype"/>
          <w:color w:val="000000" w:themeColor="text1"/>
        </w:rPr>
        <w:t xml:space="preserve">el Centro de Control </w:t>
      </w:r>
      <w:r w:rsidR="00B00F90" w:rsidRPr="00424261">
        <w:rPr>
          <w:rFonts w:ascii="Palatino Linotype" w:hAnsi="Palatino Linotype"/>
          <w:color w:val="000000" w:themeColor="text1"/>
        </w:rPr>
        <w:t>de</w:t>
      </w:r>
      <w:r w:rsidR="00C149D8" w:rsidRPr="00424261">
        <w:rPr>
          <w:rFonts w:ascii="Palatino Linotype" w:hAnsi="Palatino Linotype"/>
          <w:color w:val="000000" w:themeColor="text1"/>
        </w:rPr>
        <w:t xml:space="preserve"> Confianza tendrá entre sus atribuciones, </w:t>
      </w:r>
      <w:r w:rsidR="00237F9E" w:rsidRPr="00424261">
        <w:rPr>
          <w:rFonts w:ascii="Palatino Linotype" w:hAnsi="Palatino Linotype"/>
          <w:color w:val="000000" w:themeColor="text1"/>
        </w:rPr>
        <w:t>el e</w:t>
      </w:r>
      <w:r w:rsidR="00C149D8" w:rsidRPr="00424261">
        <w:rPr>
          <w:rFonts w:ascii="Palatino Linotype" w:hAnsi="Palatino Linotype"/>
          <w:color w:val="000000" w:themeColor="text1"/>
        </w:rPr>
        <w:t>stablecer, desarrollar y aplicar los procedimientos de evaluación de los aspirantes e integrantes;</w:t>
      </w:r>
      <w:r w:rsidR="00237F9E" w:rsidRPr="00424261">
        <w:rPr>
          <w:rFonts w:ascii="Palatino Linotype" w:hAnsi="Palatino Linotype"/>
          <w:color w:val="000000" w:themeColor="text1"/>
        </w:rPr>
        <w:t xml:space="preserve"> d</w:t>
      </w:r>
      <w:r w:rsidR="00C149D8" w:rsidRPr="00424261">
        <w:rPr>
          <w:rFonts w:ascii="Palatino Linotype" w:hAnsi="Palatino Linotype"/>
          <w:color w:val="000000" w:themeColor="text1"/>
        </w:rPr>
        <w:t>iseñar, proponer e implementar los lineamientos para la aplicación de los exámenes médicos, toxicológicos, psicológicos, socioeconómicos y demás que resulten necesarios;</w:t>
      </w:r>
      <w:r w:rsidR="00237F9E" w:rsidRPr="00424261">
        <w:rPr>
          <w:rFonts w:ascii="Palatino Linotype" w:hAnsi="Palatino Linotype"/>
          <w:color w:val="000000" w:themeColor="text1"/>
        </w:rPr>
        <w:t xml:space="preserve"> v</w:t>
      </w:r>
      <w:r w:rsidR="00C149D8" w:rsidRPr="00424261">
        <w:rPr>
          <w:rFonts w:ascii="Palatino Linotype" w:hAnsi="Palatino Linotype"/>
          <w:color w:val="000000" w:themeColor="text1"/>
        </w:rPr>
        <w:t>erificar el cumplimiento de los perfiles médico, ético y de personalidad;</w:t>
      </w:r>
      <w:r w:rsidR="00237F9E" w:rsidRPr="00424261">
        <w:rPr>
          <w:rFonts w:ascii="Palatino Linotype" w:hAnsi="Palatino Linotype"/>
          <w:color w:val="000000" w:themeColor="text1"/>
        </w:rPr>
        <w:t xml:space="preserve"> e, </w:t>
      </w:r>
      <w:r w:rsidR="00237F9E" w:rsidRPr="00424261">
        <w:rPr>
          <w:rFonts w:ascii="Palatino Linotype" w:hAnsi="Palatino Linotype"/>
          <w:b/>
          <w:bCs/>
          <w:color w:val="000000" w:themeColor="text1"/>
        </w:rPr>
        <w:t>i</w:t>
      </w:r>
      <w:r w:rsidR="00C149D8" w:rsidRPr="00424261">
        <w:rPr>
          <w:rFonts w:ascii="Palatino Linotype" w:hAnsi="Palatino Linotype"/>
          <w:b/>
          <w:bCs/>
          <w:color w:val="000000" w:themeColor="text1"/>
        </w:rPr>
        <w:t>nformar a quien corresponda, sobre los resultados de la evaluación que se realice para el ingreso, promoción y permanencia de los integrantes</w:t>
      </w:r>
    </w:p>
    <w:p w14:paraId="08892164"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0ADA2FE2" w14:textId="6FC66E3B" w:rsidR="008F5EE7" w:rsidRPr="00424261" w:rsidRDefault="00B00F90" w:rsidP="007138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Ahora bien, los Lineamientos para la Planeación, Programación y Reprogramación de las Evaluaciones Realizadas por el Centro de Control de Confianza del Estado de México, </w:t>
      </w:r>
      <w:r w:rsidR="00A3273C" w:rsidRPr="00424261">
        <w:rPr>
          <w:rFonts w:ascii="Palatino Linotype" w:hAnsi="Palatino Linotype"/>
          <w:color w:val="000000" w:themeColor="text1"/>
        </w:rPr>
        <w:t>tiene objeto normar los aspectos generales de la planeación, programación y reprogramación de las evaluaciones realizadas por el Centro, así como dar a conocer los requerimientos y el procedimiento de planeación y programación para la práctica de las evaluaciones de control de confianza del personal que integra las instituciones de seguridad pública y privada, así como los aspirantes a ingresar a éstas</w:t>
      </w:r>
      <w:r w:rsidR="00A3273C" w:rsidRPr="00424261">
        <w:rPr>
          <w:rStyle w:val="Refdenotaalpie"/>
          <w:rFonts w:ascii="Palatino Linotype" w:hAnsi="Palatino Linotype"/>
          <w:color w:val="000000" w:themeColor="text1"/>
        </w:rPr>
        <w:footnoteReference w:id="32"/>
      </w:r>
      <w:r w:rsidR="00A3273C" w:rsidRPr="00424261">
        <w:rPr>
          <w:rFonts w:ascii="Palatino Linotype" w:hAnsi="Palatino Linotype"/>
          <w:color w:val="000000" w:themeColor="text1"/>
        </w:rPr>
        <w:t>.</w:t>
      </w:r>
    </w:p>
    <w:p w14:paraId="17F857CB"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566DC945" w14:textId="0223DD8D" w:rsidR="00A3273C" w:rsidRPr="00424261" w:rsidRDefault="00A3273C" w:rsidP="00A327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El proceso de evaluación que rige el Centro de Control de Confianza del Estado de México tiene por objeto el comprobar que los integrantes de las Instituciones de Seguridad Pública y Privada cumplan con los principios de certeza, legalidad, objetividad, imparcialidad, eficiencia, eficacia, profesionalismo, honradez, lealtad, disciplina y respeto a los derechos humanos</w:t>
      </w:r>
      <w:r w:rsidRPr="00424261">
        <w:rPr>
          <w:rStyle w:val="Refdenotaalpie"/>
          <w:rFonts w:ascii="Palatino Linotype" w:hAnsi="Palatino Linotype"/>
          <w:color w:val="000000" w:themeColor="text1"/>
        </w:rPr>
        <w:footnoteReference w:id="33"/>
      </w:r>
      <w:r w:rsidRPr="00424261">
        <w:rPr>
          <w:rFonts w:ascii="Palatino Linotype" w:hAnsi="Palatino Linotype"/>
          <w:color w:val="000000" w:themeColor="text1"/>
        </w:rPr>
        <w:t>.</w:t>
      </w:r>
    </w:p>
    <w:p w14:paraId="7448E619"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3ECA1B51" w14:textId="5196C8B4" w:rsidR="008F5EE7" w:rsidRPr="00424261" w:rsidRDefault="00A3273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su parte, el artículo Quinto de los Lineamientos para la Planeación, Programación y Reprogramación de las Evaluaciones Realizadas por el Centro de Control de Confianza del Estado de México, establece que para que se pueda alcanzar el objetivo de la evaluación, se deberán observar los requisitos previos a la programación</w:t>
      </w:r>
      <w:r w:rsidR="001B5D01" w:rsidRPr="00424261">
        <w:rPr>
          <w:rFonts w:ascii="Palatino Linotype" w:hAnsi="Palatino Linotype"/>
          <w:color w:val="000000" w:themeColor="text1"/>
        </w:rPr>
        <w:t>, como son:</w:t>
      </w:r>
    </w:p>
    <w:p w14:paraId="263873C4" w14:textId="209E8C8A"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7D825A3A" w14:textId="53FA2774"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w:t>
      </w:r>
      <w:r w:rsidRPr="00424261">
        <w:rPr>
          <w:rFonts w:ascii="Palatino Linotype" w:hAnsi="Palatino Linotype"/>
          <w:b/>
          <w:bCs/>
          <w:i/>
          <w:iCs/>
          <w:color w:val="000000" w:themeColor="text1"/>
          <w:sz w:val="22"/>
          <w:szCs w:val="22"/>
        </w:rPr>
        <w:t>a) Contar con convenio de colaboración:</w:t>
      </w:r>
      <w:r w:rsidRPr="00424261">
        <w:rPr>
          <w:rFonts w:ascii="Palatino Linotype" w:hAnsi="Palatino Linotype"/>
          <w:i/>
          <w:iCs/>
          <w:color w:val="000000" w:themeColor="text1"/>
          <w:sz w:val="22"/>
          <w:szCs w:val="22"/>
        </w:rPr>
        <w:t xml:space="preserve"> Es el acuerdo mediante el cual se establecen las bases entre el Centro de Control de Confianza del Estado de México y las Instituciones de Seguridad Pública, para coordinar las estrategias a efecto de que a los elementos y a los aspirantes de estas Instituciones, les sean aplicadas las evaluaciones de control de confianza.</w:t>
      </w:r>
    </w:p>
    <w:p w14:paraId="3EC861E3" w14:textId="77777777"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0A2EC1E2" w14:textId="286005A7"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b) Realizar el depósito del pago de las evaluaciones:</w:t>
      </w:r>
      <w:r w:rsidRPr="00424261">
        <w:rPr>
          <w:rFonts w:ascii="Palatino Linotype" w:hAnsi="Palatino Linotype"/>
          <w:i/>
          <w:iCs/>
          <w:color w:val="000000" w:themeColor="text1"/>
          <w:sz w:val="22"/>
          <w:szCs w:val="22"/>
        </w:rPr>
        <w:t xml:space="preserve"> El titular de la Institución de Seguridad Pública o Privada, deberá cubrir el monto del pago de los Derechos por los Servicios que presta el Centro de Control de Confianza del Estado de México.</w:t>
      </w:r>
    </w:p>
    <w:p w14:paraId="06C59663" w14:textId="77777777"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D92FDCA" w14:textId="26F3D9BD"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c) Solicitud de evaluación:</w:t>
      </w:r>
      <w:r w:rsidRPr="00424261">
        <w:rPr>
          <w:rFonts w:ascii="Palatino Linotype" w:hAnsi="Palatino Linotype"/>
          <w:i/>
          <w:iCs/>
          <w:color w:val="000000" w:themeColor="text1"/>
          <w:sz w:val="22"/>
          <w:szCs w:val="22"/>
        </w:rPr>
        <w:t xml:space="preserve"> El titular de la Institución de Seguridad Pública o Privada, deberá solicitar mediante oficio al Centro de Control de Confianza del Estado de México, la evaluación de los elementos adscritos a la dependencia; así como de los aspirantes a ingresar a la misma.</w:t>
      </w:r>
    </w:p>
    <w:p w14:paraId="5F43931F" w14:textId="5B52ED81"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lastRenderedPageBreak/>
        <w:t>En el oficio anterior, deberá mencionar el nombre de la persona que funge como Enlace el cual deberá de cubrir el siguiente perfil:</w:t>
      </w:r>
    </w:p>
    <w:p w14:paraId="3E6FEF18"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Edad: Mayor de 25 años.</w:t>
      </w:r>
    </w:p>
    <w:p w14:paraId="67343599"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Género: indistinto.</w:t>
      </w:r>
    </w:p>
    <w:p w14:paraId="58F90C2B"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Escolaridad: Licenciatura preferentemente.</w:t>
      </w:r>
    </w:p>
    <w:p w14:paraId="6554A270"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Residencia en el Estado de México.</w:t>
      </w:r>
    </w:p>
    <w:p w14:paraId="7AE89433"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Estado civil: indistinto.</w:t>
      </w:r>
    </w:p>
    <w:p w14:paraId="478A6FD9"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Apego a la normatividad, la autoridad y las reglas.</w:t>
      </w:r>
    </w:p>
    <w:p w14:paraId="24F1B379"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Alto sentido de discreción y confiabilidad.</w:t>
      </w:r>
    </w:p>
    <w:p w14:paraId="677EE20D"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Estilo de vida libre de consumo de drogas y enervantes.</w:t>
      </w:r>
    </w:p>
    <w:p w14:paraId="09B2F64D"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Valores de responsabilidad, compromiso y respeto.</w:t>
      </w:r>
    </w:p>
    <w:p w14:paraId="319F98D4"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Trabajo bajo presión.</w:t>
      </w:r>
    </w:p>
    <w:p w14:paraId="52B6C0FA"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Control de agresividad.</w:t>
      </w:r>
    </w:p>
    <w:p w14:paraId="481606FE"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Sin vínculos con asociaciones delictivas.</w:t>
      </w:r>
    </w:p>
    <w:p w14:paraId="101725C1"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Constancia de antecedentes no penales.</w:t>
      </w:r>
    </w:p>
    <w:p w14:paraId="63100AAB" w14:textId="71F3624C"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Sin tatuajes o perforaciones visibles, ni relacionados con vínculos anti o parasociales.</w:t>
      </w:r>
    </w:p>
    <w:p w14:paraId="79762CBE"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Toma de decisiones.</w:t>
      </w:r>
    </w:p>
    <w:p w14:paraId="459F6112" w14:textId="77777777" w:rsidR="001B5D01" w:rsidRPr="00424261" w:rsidRDefault="001B5D01" w:rsidP="001B5D01">
      <w:pPr>
        <w:pStyle w:val="Prrafodelista"/>
        <w:numPr>
          <w:ilvl w:val="0"/>
          <w:numId w:val="10"/>
        </w:numPr>
        <w:tabs>
          <w:tab w:val="left" w:pos="426"/>
        </w:tabs>
        <w:spacing w:before="240" w:after="240" w:line="276" w:lineRule="auto"/>
        <w:ind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Aprobar la evaluación de control de confianza.</w:t>
      </w:r>
    </w:p>
    <w:p w14:paraId="71E1E490" w14:textId="7EEC5D19"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i/>
          <w:iCs/>
          <w:color w:val="000000" w:themeColor="text1"/>
          <w:sz w:val="22"/>
          <w:szCs w:val="22"/>
        </w:rPr>
        <w:t>En caso de que ya se cuente con Enlace de dicha institución se programará una capacitación para que conozca los alcances de su encargo.</w:t>
      </w:r>
    </w:p>
    <w:p w14:paraId="685BE3C2" w14:textId="77777777"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D4E547A" w14:textId="506F42E9"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d) Contar con el Perfil de Puesto:</w:t>
      </w:r>
      <w:r w:rsidRPr="00424261">
        <w:rPr>
          <w:rFonts w:ascii="Palatino Linotype" w:hAnsi="Palatino Linotype"/>
          <w:i/>
          <w:iCs/>
          <w:color w:val="000000" w:themeColor="text1"/>
          <w:sz w:val="22"/>
          <w:szCs w:val="22"/>
        </w:rPr>
        <w:t xml:space="preserve"> Conjunto de conocimientos, aptitudes y características que debe de poseer el aspirante ylo servidor público adscrito a la Institución de Seguridad Pública de acuerdo a las funciones que desempeña y el motivo de la evaluación.</w:t>
      </w:r>
    </w:p>
    <w:p w14:paraId="45C2279A" w14:textId="77777777"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p>
    <w:p w14:paraId="7893D7DD" w14:textId="43DB0E58"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 xml:space="preserve">e) Documentación requerida por la fase de Investigación documental y de Investigación Socioeconómica: </w:t>
      </w:r>
      <w:r w:rsidRPr="00424261">
        <w:rPr>
          <w:rFonts w:ascii="Palatino Linotype" w:hAnsi="Palatino Linotype"/>
          <w:i/>
          <w:iCs/>
          <w:color w:val="000000" w:themeColor="text1"/>
          <w:sz w:val="22"/>
          <w:szCs w:val="22"/>
        </w:rPr>
        <w:t>Son todos aquellos documentos que la Institución de Seguridad Pública deberá de indicar al evaluado para llevar a cabo su evaluación de esta fase, los cuales debe entregar de manera previa a su programación.</w:t>
      </w:r>
    </w:p>
    <w:p w14:paraId="7FC75E07" w14:textId="77777777"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2849B13" w14:textId="623AD631"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f) Cédula de Información General y formato de Análisis Socioeconómico:</w:t>
      </w:r>
      <w:r w:rsidRPr="00424261">
        <w:rPr>
          <w:rFonts w:ascii="Palatino Linotype" w:hAnsi="Palatino Linotype"/>
          <w:i/>
          <w:iCs/>
          <w:color w:val="000000" w:themeColor="text1"/>
          <w:sz w:val="22"/>
          <w:szCs w:val="22"/>
        </w:rPr>
        <w:t xml:space="preserve"> Su captura se hace vía electrónica en el Sistema Integral del Centro de Control de Confianza </w:t>
      </w:r>
      <w:r w:rsidRPr="00424261">
        <w:rPr>
          <w:rFonts w:ascii="Palatino Linotype" w:hAnsi="Palatino Linotype"/>
          <w:i/>
          <w:iCs/>
          <w:color w:val="000000" w:themeColor="text1"/>
          <w:sz w:val="22"/>
          <w:szCs w:val="22"/>
        </w:rPr>
        <w:lastRenderedPageBreak/>
        <w:t>y se refiere a la información personal del evaluado que de manera previa a su programación deberá requisitar el elemento.</w:t>
      </w:r>
    </w:p>
    <w:p w14:paraId="2CD9E244" w14:textId="77777777"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92D8291" w14:textId="42B8F451" w:rsidR="001B5D01" w:rsidRPr="00424261" w:rsidRDefault="001B5D01" w:rsidP="001B5D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color w:val="000000" w:themeColor="text1"/>
          <w:sz w:val="22"/>
          <w:szCs w:val="22"/>
        </w:rPr>
        <w:t>g) Formato de Referencias Laborales:</w:t>
      </w:r>
      <w:r w:rsidRPr="00424261">
        <w:rPr>
          <w:rFonts w:ascii="Palatino Linotype" w:hAnsi="Palatino Linotype"/>
          <w:i/>
          <w:iCs/>
          <w:color w:val="000000" w:themeColor="text1"/>
          <w:sz w:val="22"/>
          <w:szCs w:val="22"/>
        </w:rPr>
        <w:t xml:space="preserve"> Es una herramienta que permite conocer como ha sido el desempeño laboral de una persona en un determinado periodo; en estas se describen las actividades y funciones correspondientes a los empleos anteriores.”</w:t>
      </w:r>
    </w:p>
    <w:p w14:paraId="19091A98" w14:textId="77777777" w:rsidR="001B5D01" w:rsidRPr="00424261" w:rsidRDefault="001B5D01"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0C94BAFF" w14:textId="24065EFF" w:rsidR="008F5EE7" w:rsidRPr="00424261" w:rsidRDefault="00B80F8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su parte, el Manual de Procedimientos de la Unidad de Vinculación y Mejora Continua del Centro de Control de Confianza del Estado de México, integra las siguientes definiciones:</w:t>
      </w:r>
    </w:p>
    <w:p w14:paraId="23771728" w14:textId="65137A46" w:rsidR="00B80F86" w:rsidRPr="00424261" w:rsidRDefault="00B80F86" w:rsidP="007138C9">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b/>
          <w:bCs/>
          <w:color w:val="000000" w:themeColor="text1"/>
        </w:rPr>
        <w:t>Solicitante de la evaluación:</w:t>
      </w:r>
      <w:r w:rsidRPr="00424261">
        <w:rPr>
          <w:rFonts w:ascii="Palatino Linotype" w:hAnsi="Palatino Linotype"/>
          <w:color w:val="000000" w:themeColor="text1"/>
        </w:rPr>
        <w:t xml:space="preserve"> Los titulares de las unidades administrativas que solicitan la aplicación de las evaluaciones de control de confianza de las </w:t>
      </w:r>
      <w:r w:rsidRPr="00424261">
        <w:rPr>
          <w:rFonts w:ascii="Palatino Linotype" w:hAnsi="Palatino Linotype"/>
          <w:b/>
          <w:bCs/>
          <w:color w:val="000000" w:themeColor="text1"/>
        </w:rPr>
        <w:t xml:space="preserve">Instituciones Policiales de Seguridad Pública </w:t>
      </w:r>
      <w:r w:rsidRPr="00424261">
        <w:rPr>
          <w:rFonts w:ascii="Palatino Linotype" w:hAnsi="Palatino Linotype"/>
          <w:color w:val="000000" w:themeColor="text1"/>
        </w:rPr>
        <w:t xml:space="preserve">Estatal y </w:t>
      </w:r>
      <w:r w:rsidRPr="00424261">
        <w:rPr>
          <w:rFonts w:ascii="Palatino Linotype" w:hAnsi="Palatino Linotype"/>
          <w:b/>
          <w:bCs/>
          <w:color w:val="000000" w:themeColor="text1"/>
        </w:rPr>
        <w:t>Municipal</w:t>
      </w:r>
      <w:r w:rsidRPr="00424261">
        <w:rPr>
          <w:rFonts w:ascii="Palatino Linotype" w:hAnsi="Palatino Linotype"/>
          <w:color w:val="000000" w:themeColor="text1"/>
        </w:rPr>
        <w:t>, de Procuración de Justicia, así como de los Centros Preventivos y de Readaptación Social del Estado.</w:t>
      </w:r>
    </w:p>
    <w:p w14:paraId="3746C717" w14:textId="6D72380B" w:rsidR="00B80F86" w:rsidRPr="00424261" w:rsidRDefault="00B80F86" w:rsidP="007138C9">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b/>
          <w:bCs/>
          <w:color w:val="000000" w:themeColor="text1"/>
        </w:rPr>
        <w:t>Enlace Institucional:</w:t>
      </w:r>
      <w:r w:rsidRPr="00424261">
        <w:rPr>
          <w:rFonts w:ascii="Palatino Linotype" w:hAnsi="Palatino Linotype"/>
          <w:color w:val="000000" w:themeColor="text1"/>
        </w:rPr>
        <w:t xml:space="preserve"> Persona que funge como mecanismo de coordinación entre el solicitante de evaluación y el Centro de Control de Confianza del Estado de México, que permite la operación de la aplicación de las evaluaciones de control de confianza, mediante la recolección de los requisitos previos a la programación hasta la entrega de resultados clasificándose en oficial y habilitado.</w:t>
      </w:r>
    </w:p>
    <w:p w14:paraId="3C1C3EBF" w14:textId="5A006694" w:rsidR="00B80F86" w:rsidRPr="00424261" w:rsidRDefault="00B80F86" w:rsidP="007138C9">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b/>
          <w:bCs/>
          <w:color w:val="000000" w:themeColor="text1"/>
        </w:rPr>
        <w:t>Enlace Oficial:</w:t>
      </w:r>
      <w:r w:rsidRPr="00424261">
        <w:rPr>
          <w:rFonts w:ascii="Palatino Linotype" w:hAnsi="Palatino Linotype"/>
          <w:color w:val="000000" w:themeColor="text1"/>
        </w:rPr>
        <w:t xml:space="preserve"> Persona que aprobó su proceso de Control de Confianza, ha sido capacitado por el Centro de Control de Confianza y cuenta con el nombramiento como tal por parte del titular de la Institución de Seguridad Pública o Privada, Estatal o Municipal, el cual puede recibir resultados.</w:t>
      </w:r>
    </w:p>
    <w:p w14:paraId="5C6C25A3" w14:textId="18C24233" w:rsidR="00B80F86" w:rsidRPr="00424261" w:rsidRDefault="00B80F86" w:rsidP="007138C9">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b/>
          <w:bCs/>
          <w:color w:val="000000" w:themeColor="text1"/>
        </w:rPr>
        <w:lastRenderedPageBreak/>
        <w:t>Enlace Habilitado:</w:t>
      </w:r>
      <w:r w:rsidRPr="00424261">
        <w:rPr>
          <w:rFonts w:ascii="Palatino Linotype" w:hAnsi="Palatino Linotype"/>
          <w:color w:val="000000" w:themeColor="text1"/>
        </w:rPr>
        <w:t xml:space="preserve"> Persona que se encuentra en proceso de evaluación de control de </w:t>
      </w:r>
      <w:r w:rsidR="000D7DE8" w:rsidRPr="00424261">
        <w:rPr>
          <w:rFonts w:ascii="Palatino Linotype" w:hAnsi="Palatino Linotype"/>
          <w:color w:val="000000" w:themeColor="text1"/>
        </w:rPr>
        <w:t>confianza, ha sido capacitado por el Centro de Control de Confianza y habilitado como tal por el titular de la Institución de Seguridad Pública o Privada, Estatal o Municipal, sin poder recibir resultados.</w:t>
      </w:r>
    </w:p>
    <w:p w14:paraId="39BB5BAE"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4F751C98" w14:textId="00BC69C0" w:rsidR="00B00F90" w:rsidRPr="00424261" w:rsidRDefault="000D7DE8" w:rsidP="00B00F9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Correlativo a lo anterior</w:t>
      </w:r>
      <w:r w:rsidR="00B00F90" w:rsidRPr="00424261">
        <w:rPr>
          <w:rFonts w:ascii="Palatino Linotype" w:hAnsi="Palatino Linotype"/>
          <w:color w:val="000000" w:themeColor="text1"/>
        </w:rPr>
        <w:t>, conviene señalar que el artículo 19 de la Ley de Seguridad del Estado de México reconoce como autoridades municipales en materia de seguridad pública a los siguientes sujetos:</w:t>
      </w:r>
    </w:p>
    <w:p w14:paraId="5AD6CC28" w14:textId="77777777" w:rsidR="00B00F90" w:rsidRPr="00424261" w:rsidRDefault="00B00F90" w:rsidP="00B00F9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Los ayuntamientos; </w:t>
      </w:r>
    </w:p>
    <w:p w14:paraId="7D630BAB" w14:textId="77777777" w:rsidR="00B00F90" w:rsidRPr="00424261" w:rsidRDefault="00B00F90" w:rsidP="00B00F9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Los presidentes municipales; </w:t>
      </w:r>
    </w:p>
    <w:p w14:paraId="5BC3A9F6" w14:textId="77777777" w:rsidR="00B00F90" w:rsidRPr="00424261" w:rsidRDefault="00B00F90" w:rsidP="00B00F9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Los directores de seguridad pública municipal; y </w:t>
      </w:r>
    </w:p>
    <w:p w14:paraId="7C5C3288" w14:textId="77777777" w:rsidR="00B00F90" w:rsidRPr="00424261" w:rsidRDefault="00B00F90" w:rsidP="00B00F9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Los integrantes de las instituciones policiales en ejercicio de su función. </w:t>
      </w:r>
    </w:p>
    <w:p w14:paraId="15BFA46E"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75CC663E" w14:textId="38FB27C5" w:rsidR="008F5EE7" w:rsidRPr="00424261" w:rsidRDefault="000D7DE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cuanto hace a los Presidentes Municipales, en materia de seguridad pública tendrán, entre otras, las siguientes atribuciones</w:t>
      </w:r>
      <w:r w:rsidRPr="00424261">
        <w:rPr>
          <w:rStyle w:val="Refdenotaalpie"/>
          <w:rFonts w:ascii="Palatino Linotype" w:hAnsi="Palatino Linotype"/>
          <w:color w:val="000000" w:themeColor="text1"/>
        </w:rPr>
        <w:footnoteReference w:id="34"/>
      </w:r>
      <w:r w:rsidRPr="00424261">
        <w:rPr>
          <w:rFonts w:ascii="Palatino Linotype" w:hAnsi="Palatino Linotype"/>
          <w:color w:val="000000" w:themeColor="text1"/>
        </w:rPr>
        <w:t xml:space="preserve">: </w:t>
      </w:r>
    </w:p>
    <w:p w14:paraId="3917FDE2" w14:textId="77777777" w:rsidR="00C44AF4" w:rsidRPr="00424261" w:rsidRDefault="00C44AF4" w:rsidP="000D7DE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b/>
          <w:bCs/>
          <w:color w:val="000000" w:themeColor="text1"/>
        </w:rPr>
        <w:t>Verificar que los integrantes de las instituciones policiales a su cargo se sometan a las evaluaciones de control de confianza</w:t>
      </w:r>
      <w:r w:rsidRPr="00424261">
        <w:rPr>
          <w:rFonts w:ascii="Palatino Linotype" w:hAnsi="Palatino Linotype"/>
          <w:color w:val="000000" w:themeColor="text1"/>
        </w:rPr>
        <w:t xml:space="preserve"> y cuenten con el Certificado Único Policial, de conformidad con las disposiciones legales aplicables; </w:t>
      </w:r>
    </w:p>
    <w:p w14:paraId="2CD0A251" w14:textId="77777777" w:rsidR="00C44AF4" w:rsidRPr="00424261" w:rsidRDefault="00C44AF4" w:rsidP="000D7DE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b/>
          <w:bCs/>
          <w:color w:val="000000" w:themeColor="text1"/>
        </w:rPr>
        <w:t xml:space="preserve">Solicitar </w:t>
      </w:r>
      <w:r w:rsidRPr="00424261">
        <w:rPr>
          <w:rFonts w:ascii="Palatino Linotype" w:hAnsi="Palatino Linotype"/>
          <w:color w:val="000000" w:themeColor="text1"/>
        </w:rPr>
        <w:t>al Centro</w:t>
      </w:r>
      <w:r w:rsidRPr="00424261">
        <w:rPr>
          <w:rFonts w:ascii="Palatino Linotype" w:hAnsi="Palatino Linotype"/>
          <w:b/>
          <w:bCs/>
          <w:color w:val="000000" w:themeColor="text1"/>
        </w:rPr>
        <w:t xml:space="preserve"> las evaluaciones de control de confianza para el ingreso, promoción y permanencia </w:t>
      </w:r>
      <w:r w:rsidRPr="00424261">
        <w:rPr>
          <w:rFonts w:ascii="Palatino Linotype" w:hAnsi="Palatino Linotype"/>
          <w:color w:val="000000" w:themeColor="text1"/>
        </w:rPr>
        <w:t xml:space="preserve">de los integrantes de las instituciones policiales a su cargo; </w:t>
      </w:r>
    </w:p>
    <w:p w14:paraId="27C36F40" w14:textId="77777777" w:rsidR="00C44AF4" w:rsidRPr="00424261" w:rsidRDefault="00C44AF4" w:rsidP="000D7DE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Solicitar a la Comisión de Honor y Justicia, la instauración del procedimiento en contra de los integrantes de las instituciones policiales a su cargo que no haya presentado o aprobado las evaluaciones de control de confianza; </w:t>
      </w:r>
    </w:p>
    <w:p w14:paraId="163194E6" w14:textId="0C5DAF8A" w:rsidR="000D7DE8" w:rsidRPr="00424261" w:rsidRDefault="00C44AF4" w:rsidP="000D7DE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Vigilar la separación impuesta con motivo de la resolución correspondiente emitida por la Comisión de Honor y Justicia, a los integrantes de las instituciones policiales a su cargo que no hayan aprobado las evaluaciones de control de confianza.</w:t>
      </w:r>
    </w:p>
    <w:p w14:paraId="3759D90C"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0E11537E" w14:textId="3E2BEA0D" w:rsidR="008F5EE7" w:rsidRPr="00424261" w:rsidRDefault="00C44AF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su parte, por cuanto hace al Director de Seguridad Pública Municipal, de conformidad con lo dispuesto por la fracción XI del artículo 22 de la Ley de Seguridad del Estado de México, le corresponderá </w:t>
      </w:r>
      <w:r w:rsidRPr="00424261">
        <w:rPr>
          <w:rFonts w:ascii="Palatino Linotype" w:hAnsi="Palatino Linotype"/>
          <w:b/>
          <w:bCs/>
          <w:color w:val="000000" w:themeColor="text1"/>
        </w:rPr>
        <w:t>informar al Presidente</w:t>
      </w:r>
      <w:r w:rsidRPr="00424261">
        <w:rPr>
          <w:rFonts w:ascii="Palatino Linotype" w:hAnsi="Palatino Linotype"/>
          <w:color w:val="000000" w:themeColor="text1"/>
        </w:rPr>
        <w:t xml:space="preserve"> o Presidenta </w:t>
      </w:r>
      <w:r w:rsidRPr="00424261">
        <w:rPr>
          <w:rFonts w:ascii="Palatino Linotype" w:hAnsi="Palatino Linotype"/>
          <w:b/>
          <w:bCs/>
          <w:color w:val="000000" w:themeColor="text1"/>
        </w:rPr>
        <w:t>Municipal de los resultados</w:t>
      </w:r>
      <w:r w:rsidRPr="00424261">
        <w:rPr>
          <w:rFonts w:ascii="Palatino Linotype" w:hAnsi="Palatino Linotype"/>
          <w:color w:val="000000" w:themeColor="text1"/>
        </w:rPr>
        <w:t xml:space="preserve"> y procesos de verificación </w:t>
      </w:r>
      <w:r w:rsidRPr="00424261">
        <w:rPr>
          <w:rFonts w:ascii="Palatino Linotype" w:hAnsi="Palatino Linotype"/>
          <w:b/>
          <w:bCs/>
          <w:color w:val="000000" w:themeColor="text1"/>
        </w:rPr>
        <w:t>y evaluaciones de confianza a los que se sometan los integrantes de las instituciones policiales a su cargo</w:t>
      </w:r>
      <w:r w:rsidRPr="00424261">
        <w:rPr>
          <w:rFonts w:ascii="Palatino Linotype" w:hAnsi="Palatino Linotype"/>
          <w:color w:val="000000" w:themeColor="text1"/>
        </w:rPr>
        <w:t>.</w:t>
      </w:r>
    </w:p>
    <w:p w14:paraId="4CA032A6"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2B162E24" w14:textId="3E0821B7" w:rsidR="008F5EE7" w:rsidRPr="00424261" w:rsidRDefault="0034118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queda demostrada la competencia del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para poseer y administrar </w:t>
      </w:r>
      <w:r w:rsidR="001461C6" w:rsidRPr="00424261">
        <w:rPr>
          <w:rFonts w:ascii="Palatino Linotype" w:hAnsi="Palatino Linotype"/>
          <w:color w:val="000000" w:themeColor="text1"/>
        </w:rPr>
        <w:t>la información relacionada con los exámenes de control de confianza del personal de las instituciones policiales.</w:t>
      </w:r>
    </w:p>
    <w:p w14:paraId="4EFFE682"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7948A531" w14:textId="438C368D" w:rsidR="008F5EE7" w:rsidRPr="00424261" w:rsidRDefault="001461C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No debe ignorarse que, de conformidad con lo establecido por los Lineamientos para la </w:t>
      </w:r>
      <w:r w:rsidR="001D26EC" w:rsidRPr="00424261">
        <w:rPr>
          <w:rFonts w:ascii="Palatino Linotype" w:hAnsi="Palatino Linotype"/>
          <w:color w:val="000000" w:themeColor="text1"/>
        </w:rPr>
        <w:t>Planeación, Programación y Reprogramación de las Evaluaciones Realizadas por el Centro de Control de Confianza del Estado de México,</w:t>
      </w:r>
      <w:r w:rsidRPr="00424261">
        <w:rPr>
          <w:rFonts w:ascii="Palatino Linotype" w:hAnsi="Palatino Linotype"/>
          <w:color w:val="000000" w:themeColor="text1"/>
        </w:rPr>
        <w:t xml:space="preserve"> el proceso de evaluación de control de confianza considera una serie de exámenes físicos, </w:t>
      </w:r>
      <w:r w:rsidRPr="00424261">
        <w:rPr>
          <w:rFonts w:ascii="Palatino Linotype" w:hAnsi="Palatino Linotype"/>
          <w:color w:val="000000" w:themeColor="text1"/>
        </w:rPr>
        <w:lastRenderedPageBreak/>
        <w:t>psicológicos y socioeconómicos</w:t>
      </w:r>
      <w:r w:rsidRPr="00424261">
        <w:rPr>
          <w:rStyle w:val="Refdenotaalpie"/>
          <w:rFonts w:ascii="Palatino Linotype" w:hAnsi="Palatino Linotype"/>
          <w:color w:val="000000" w:themeColor="text1"/>
        </w:rPr>
        <w:footnoteReference w:id="35"/>
      </w:r>
      <w:r w:rsidR="001D26EC" w:rsidRPr="00424261">
        <w:rPr>
          <w:rFonts w:ascii="Palatino Linotype" w:hAnsi="Palatino Linotype"/>
          <w:color w:val="000000" w:themeColor="text1"/>
        </w:rPr>
        <w:t>, cuya difusión de sus preguntas y respuestas vulneraría directamente la esfera de protección de datos personales de los elementos policiales evaluados</w:t>
      </w:r>
      <w:r w:rsidR="001C5B97" w:rsidRPr="00424261">
        <w:rPr>
          <w:rFonts w:ascii="Palatino Linotype" w:hAnsi="Palatino Linotype"/>
          <w:color w:val="000000" w:themeColor="text1"/>
        </w:rPr>
        <w:t>; razón de lo anterior, el artícul</w:t>
      </w:r>
      <w:r w:rsidR="0069270E" w:rsidRPr="00424261">
        <w:rPr>
          <w:rFonts w:ascii="Palatino Linotype" w:hAnsi="Palatino Linotype"/>
          <w:color w:val="000000" w:themeColor="text1"/>
        </w:rPr>
        <w:t xml:space="preserve">o 109 de la Ley de Seguridad del Estado de México, en su párrafo quinto, establece que los resultados de los procesos de evaluación y los expedientes integrados al efecto, serán </w:t>
      </w:r>
      <w:r w:rsidR="0069270E" w:rsidRPr="00424261">
        <w:rPr>
          <w:rFonts w:ascii="Palatino Linotype" w:hAnsi="Palatino Linotype"/>
          <w:b/>
          <w:bCs/>
          <w:color w:val="000000" w:themeColor="text1"/>
        </w:rPr>
        <w:t>confidenciales</w:t>
      </w:r>
      <w:r w:rsidR="0069270E" w:rsidRPr="00424261">
        <w:rPr>
          <w:rFonts w:ascii="Palatino Linotype" w:hAnsi="Palatino Linotype"/>
          <w:color w:val="000000" w:themeColor="text1"/>
        </w:rPr>
        <w:t>, salvo en aquellos casos en que deban presentarse en procedimientos administrativos o judiciales y se mantendrán en reserva en los términos de las disposiciones jurídicas aplicables.</w:t>
      </w:r>
    </w:p>
    <w:p w14:paraId="512E48F3" w14:textId="77777777" w:rsidR="008F5EE7" w:rsidRPr="00424261" w:rsidRDefault="008F5EE7" w:rsidP="008F5EE7">
      <w:pPr>
        <w:pStyle w:val="Prrafodelista"/>
        <w:tabs>
          <w:tab w:val="left" w:pos="426"/>
        </w:tabs>
        <w:spacing w:before="240" w:after="240" w:line="360" w:lineRule="auto"/>
        <w:ind w:left="0" w:right="51"/>
        <w:jc w:val="both"/>
        <w:rPr>
          <w:rFonts w:ascii="Palatino Linotype" w:hAnsi="Palatino Linotype"/>
          <w:color w:val="000000" w:themeColor="text1"/>
        </w:rPr>
      </w:pPr>
    </w:p>
    <w:p w14:paraId="4F98EC68" w14:textId="1982005B" w:rsidR="008F5EE7" w:rsidRPr="00424261" w:rsidRDefault="006927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Razón de lo anterior, resulta elemental recordar que para que los Sujetos Obligados puedan permitir el acceso a información confidencial requieren obtener el consentimiento de los particulares titulares de la información</w:t>
      </w:r>
      <w:r w:rsidRPr="00424261">
        <w:rPr>
          <w:rStyle w:val="Refdenotaalpie"/>
          <w:rFonts w:ascii="Palatino Linotype" w:hAnsi="Palatino Linotype"/>
          <w:color w:val="000000" w:themeColor="text1"/>
        </w:rPr>
        <w:footnoteReference w:id="36"/>
      </w:r>
      <w:r w:rsidRPr="00424261">
        <w:rPr>
          <w:rFonts w:ascii="Palatino Linotype" w:hAnsi="Palatino Linotype"/>
          <w:color w:val="000000" w:themeColor="text1"/>
        </w:rPr>
        <w:t xml:space="preserve">; </w:t>
      </w:r>
      <w:r w:rsidR="00784461" w:rsidRPr="00424261">
        <w:rPr>
          <w:rFonts w:ascii="Palatino Linotype" w:hAnsi="Palatino Linotype"/>
          <w:color w:val="000000" w:themeColor="text1"/>
        </w:rPr>
        <w:t>a excepción de que se actualice alguno de los supuestos contenidos en el artículo 148 de la Ley de Transparencia y Acceso a la Información Pública del Estado de México y Municipios, el cual establece:</w:t>
      </w:r>
    </w:p>
    <w:p w14:paraId="7A7BAD81" w14:textId="2B546F43" w:rsidR="00462459" w:rsidRPr="00424261" w:rsidRDefault="00462459" w:rsidP="00784461">
      <w:pPr>
        <w:pStyle w:val="Prrafodelista"/>
        <w:tabs>
          <w:tab w:val="left" w:pos="426"/>
        </w:tabs>
        <w:spacing w:before="240" w:line="360" w:lineRule="auto"/>
        <w:ind w:left="0" w:right="51"/>
        <w:jc w:val="both"/>
        <w:rPr>
          <w:rFonts w:ascii="Palatino Linotype" w:hAnsi="Palatino Linotype"/>
          <w:color w:val="000000" w:themeColor="text1"/>
        </w:rPr>
      </w:pPr>
    </w:p>
    <w:p w14:paraId="4AFF826E" w14:textId="77777777"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r w:rsidRPr="00424261">
        <w:rPr>
          <w:rFonts w:ascii="Palatino Linotype" w:hAnsi="Palatino Linotype"/>
          <w:b/>
          <w:bCs/>
          <w:i/>
          <w:iCs/>
          <w:sz w:val="22"/>
          <w:szCs w:val="22"/>
        </w:rPr>
        <w:t>Artículo 148.</w:t>
      </w:r>
      <w:r w:rsidRPr="00424261">
        <w:rPr>
          <w:rFonts w:ascii="Palatino Linotype" w:hAnsi="Palatino Linotype"/>
          <w:i/>
          <w:iCs/>
          <w:sz w:val="22"/>
          <w:szCs w:val="22"/>
        </w:rPr>
        <w:t xml:space="preserve"> No se requerirá el consentimiento del titular de la información confidencial cuando: </w:t>
      </w:r>
    </w:p>
    <w:p w14:paraId="533F1AB0" w14:textId="77777777"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w:t>
      </w:r>
      <w:r w:rsidRPr="00424261">
        <w:rPr>
          <w:rFonts w:ascii="Palatino Linotype" w:hAnsi="Palatino Linotype"/>
          <w:i/>
          <w:iCs/>
          <w:sz w:val="22"/>
          <w:szCs w:val="22"/>
        </w:rPr>
        <w:t xml:space="preserve"> La información se encuentre en registros públicos o fuentes de acceso público; </w:t>
      </w:r>
    </w:p>
    <w:p w14:paraId="23502675" w14:textId="77777777"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II.</w:t>
      </w:r>
      <w:r w:rsidRPr="00424261">
        <w:rPr>
          <w:rFonts w:ascii="Palatino Linotype" w:hAnsi="Palatino Linotype"/>
          <w:i/>
          <w:iCs/>
          <w:sz w:val="22"/>
          <w:szCs w:val="22"/>
        </w:rPr>
        <w:t xml:space="preserve"> Por Ley tenga el carácter de pública; </w:t>
      </w:r>
    </w:p>
    <w:p w14:paraId="37079903" w14:textId="77777777"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lastRenderedPageBreak/>
        <w:t>III.</w:t>
      </w:r>
      <w:r w:rsidRPr="00424261">
        <w:rPr>
          <w:rFonts w:ascii="Palatino Linotype" w:hAnsi="Palatino Linotype"/>
          <w:i/>
          <w:iCs/>
          <w:sz w:val="22"/>
          <w:szCs w:val="22"/>
        </w:rPr>
        <w:t xml:space="preserve"> Exista una orden judicial; </w:t>
      </w:r>
    </w:p>
    <w:p w14:paraId="60DD11C2" w14:textId="77777777"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IV. Por razones de seguridad pública, o para proteger los derechos de terceros, se requiera su publicación</w:t>
      </w:r>
      <w:r w:rsidRPr="00424261">
        <w:rPr>
          <w:rFonts w:ascii="Palatino Linotype" w:hAnsi="Palatino Linotype"/>
          <w:i/>
          <w:iCs/>
          <w:sz w:val="22"/>
          <w:szCs w:val="22"/>
        </w:rPr>
        <w:t xml:space="preserve">; o </w:t>
      </w:r>
    </w:p>
    <w:p w14:paraId="297470CF" w14:textId="77777777"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b/>
          <w:bCs/>
          <w:i/>
          <w:iCs/>
          <w:sz w:val="22"/>
          <w:szCs w:val="22"/>
        </w:rPr>
        <w:t>V.</w:t>
      </w:r>
      <w:r w:rsidRPr="00424261">
        <w:rPr>
          <w:rFonts w:ascii="Palatino Linotype" w:hAnsi="Palatino Linotype"/>
          <w:i/>
          <w:iCs/>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E24886B" w14:textId="77777777"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 xml:space="preserve">Para efectos de la fracción I del presente artículo, deberá sujetarse a lo previsto en las disposiciones jurídicas aplicables. </w:t>
      </w:r>
    </w:p>
    <w:p w14:paraId="0CC1CC03" w14:textId="01BC415F"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424261">
        <w:rPr>
          <w:rFonts w:ascii="Palatino Linotype" w:hAnsi="Palatino Linotype"/>
          <w:b/>
          <w:bCs/>
          <w:i/>
          <w:iCs/>
          <w:sz w:val="22"/>
          <w:szCs w:val="22"/>
        </w:rPr>
        <w:t xml:space="preserve">Para efectos de la fracción IV del presente artículo, el Instituto deberá aplicar la prueba de interés público. </w:t>
      </w:r>
    </w:p>
    <w:p w14:paraId="613D2CC3" w14:textId="0B908F2C"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sz w:val="22"/>
          <w:szCs w:val="22"/>
        </w:rPr>
      </w:pPr>
      <w:r w:rsidRPr="00424261">
        <w:rPr>
          <w:rFonts w:ascii="Palatino Linotype" w:hAnsi="Palatino Linotype"/>
          <w:i/>
          <w:iCs/>
          <w:sz w:val="22"/>
          <w:szCs w:val="22"/>
        </w:rPr>
        <w:t>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14:paraId="43D12FA0" w14:textId="07603576" w:rsidR="00784461" w:rsidRPr="00424261" w:rsidRDefault="00784461" w:rsidP="00784461">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24261">
        <w:rPr>
          <w:rFonts w:ascii="Palatino Linotype" w:hAnsi="Palatino Linotype"/>
          <w:sz w:val="22"/>
          <w:szCs w:val="22"/>
        </w:rPr>
        <w:t>(Énfasis añadido)</w:t>
      </w:r>
    </w:p>
    <w:p w14:paraId="11B85731" w14:textId="77777777" w:rsidR="00784461" w:rsidRPr="00424261" w:rsidRDefault="00784461"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2B42B572" w14:textId="71A1940C" w:rsidR="00462459" w:rsidRPr="00424261" w:rsidRDefault="0078446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se advierte que no será necesario conseguir el consentimiento del o los titulares de información que pueda actualizar alguna causal de confidencialidad cuando, </w:t>
      </w:r>
      <w:r w:rsidRPr="00424261">
        <w:rPr>
          <w:rFonts w:ascii="Palatino Linotype" w:hAnsi="Palatino Linotype"/>
          <w:b/>
          <w:bCs/>
          <w:color w:val="000000" w:themeColor="text1"/>
        </w:rPr>
        <w:t>para proteger los derechos de terceros</w:t>
      </w:r>
      <w:r w:rsidRPr="00424261">
        <w:rPr>
          <w:rFonts w:ascii="Palatino Linotype" w:hAnsi="Palatino Linotype"/>
          <w:color w:val="000000" w:themeColor="text1"/>
        </w:rPr>
        <w:t xml:space="preserve">, se requiera su publicación; empero, a efectos de </w:t>
      </w:r>
      <w:r w:rsidR="00B03C6F" w:rsidRPr="00424261">
        <w:rPr>
          <w:rFonts w:ascii="Palatino Linotype" w:hAnsi="Palatino Linotype"/>
          <w:color w:val="000000" w:themeColor="text1"/>
        </w:rPr>
        <w:t>determinar si ha lugar la difusión, el Organismo Garante deberá aplicar una prueba de interés público.</w:t>
      </w:r>
    </w:p>
    <w:p w14:paraId="4E0F61A1"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72B4DD65" w14:textId="1F9E52B8" w:rsidR="00B03C6F" w:rsidRPr="00424261" w:rsidRDefault="00B03C6F" w:rsidP="00B03C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La prueba de interés público es el proceso de ponderación entre el beneficio que reporta dar a conocer la información confidencial solicitada contra el daño que su divulgación genera en los derechos de las personas, llevado a cabo por este Instituto de Transparencia, Acceso a la Información Pública y Protección de Datos Personales del Estado de México y Municipios,  en el ámbito de sus respectivas competencias</w:t>
      </w:r>
      <w:r w:rsidRPr="00424261">
        <w:rPr>
          <w:rStyle w:val="Refdenotaalpie"/>
          <w:rFonts w:ascii="Palatino Linotype" w:hAnsi="Palatino Linotype"/>
          <w:color w:val="000000" w:themeColor="text1"/>
        </w:rPr>
        <w:footnoteReference w:id="37"/>
      </w:r>
      <w:r w:rsidRPr="00424261">
        <w:rPr>
          <w:rFonts w:ascii="Palatino Linotype" w:hAnsi="Palatino Linotype"/>
          <w:color w:val="000000" w:themeColor="text1"/>
        </w:rPr>
        <w:t xml:space="preserve">. </w:t>
      </w:r>
    </w:p>
    <w:p w14:paraId="17D82D65" w14:textId="77777777" w:rsidR="00B03C6F" w:rsidRPr="00424261" w:rsidRDefault="00B03C6F" w:rsidP="00B03C6F">
      <w:pPr>
        <w:pStyle w:val="Prrafodelista"/>
        <w:tabs>
          <w:tab w:val="left" w:pos="426"/>
        </w:tabs>
        <w:spacing w:before="240" w:after="240" w:line="360" w:lineRule="auto"/>
        <w:ind w:left="0" w:right="51"/>
        <w:jc w:val="both"/>
        <w:rPr>
          <w:rFonts w:ascii="Palatino Linotype" w:hAnsi="Palatino Linotype"/>
          <w:color w:val="000000" w:themeColor="text1"/>
        </w:rPr>
      </w:pPr>
    </w:p>
    <w:p w14:paraId="50A41BDD" w14:textId="65E1E175" w:rsidR="00DD4D38" w:rsidRPr="00424261" w:rsidRDefault="00B03C6F" w:rsidP="001311D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al resolver el recurso de revisión y tratándose de información clasificada como confidencial, </w:t>
      </w:r>
      <w:r w:rsidR="00186B3B" w:rsidRPr="00424261">
        <w:rPr>
          <w:rFonts w:ascii="Palatino Linotype" w:hAnsi="Palatino Linotype"/>
          <w:color w:val="000000" w:themeColor="text1"/>
        </w:rPr>
        <w:t xml:space="preserve">de conformidad con lo establecido por el artículo 184 de la Ley de Transparencia y Acceso a la Información Pública del Estado de México y Municipios, </w:t>
      </w:r>
      <w:r w:rsidRPr="00424261">
        <w:rPr>
          <w:rFonts w:ascii="Palatino Linotype" w:hAnsi="Palatino Linotype"/>
          <w:color w:val="000000" w:themeColor="text1"/>
        </w:rPr>
        <w:t xml:space="preserve">este Organismo Garante deberá aplicar una prueba de interés público </w:t>
      </w:r>
      <w:r w:rsidRPr="00424261">
        <w:rPr>
          <w:rFonts w:ascii="Palatino Linotype" w:hAnsi="Palatino Linotype"/>
          <w:b/>
          <w:bCs/>
          <w:color w:val="000000" w:themeColor="text1"/>
        </w:rPr>
        <w:t>con base en elementos de idoneidad, necesidad y proporcionalidad, cuando exista una colisión de derechos</w:t>
      </w:r>
      <w:r w:rsidR="001311DC" w:rsidRPr="00424261">
        <w:rPr>
          <w:rFonts w:ascii="Palatino Linotype" w:hAnsi="Palatino Linotype"/>
          <w:color w:val="000000" w:themeColor="text1"/>
        </w:rPr>
        <w:t>.</w:t>
      </w:r>
    </w:p>
    <w:p w14:paraId="2593408A" w14:textId="77777777" w:rsidR="001311DC" w:rsidRPr="00424261" w:rsidRDefault="001311DC" w:rsidP="001311DC">
      <w:pPr>
        <w:pStyle w:val="Prrafodelista"/>
        <w:tabs>
          <w:tab w:val="left" w:pos="426"/>
        </w:tabs>
        <w:spacing w:before="240" w:after="240" w:line="360" w:lineRule="auto"/>
        <w:ind w:left="0" w:right="51"/>
        <w:jc w:val="both"/>
        <w:rPr>
          <w:rFonts w:ascii="Palatino Linotype" w:hAnsi="Palatino Linotype"/>
          <w:color w:val="000000" w:themeColor="text1"/>
        </w:rPr>
      </w:pPr>
    </w:p>
    <w:p w14:paraId="31AD05F6" w14:textId="629FA691" w:rsidR="00462459" w:rsidRPr="00424261" w:rsidRDefault="005A464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No es ocioso mencionar que, para </w:t>
      </w:r>
      <w:r w:rsidRPr="00424261">
        <w:rPr>
          <w:rFonts w:ascii="Palatino Linotype" w:hAnsi="Palatino Linotype"/>
          <w:color w:val="000000" w:themeColor="text1"/>
          <w:lang w:val="es-ES_tradnl"/>
        </w:rPr>
        <w:t xml:space="preserve">establecer una correcta ponderación de derechos, la doctrina y los intérpretes jurisdiccionales recomiendan verificar el cumplimiento de tres juicios: el de </w:t>
      </w:r>
      <w:r w:rsidRPr="00424261">
        <w:rPr>
          <w:rFonts w:ascii="Palatino Linotype" w:hAnsi="Palatino Linotype"/>
          <w:b/>
          <w:color w:val="000000" w:themeColor="text1"/>
          <w:lang w:val="es-ES_tradnl"/>
        </w:rPr>
        <w:t>necesidad</w:t>
      </w:r>
      <w:r w:rsidRPr="00424261">
        <w:rPr>
          <w:rFonts w:ascii="Palatino Linotype" w:hAnsi="Palatino Linotype"/>
          <w:color w:val="000000" w:themeColor="text1"/>
          <w:lang w:val="es-ES_tradnl"/>
        </w:rPr>
        <w:t xml:space="preserve">, el de </w:t>
      </w:r>
      <w:r w:rsidRPr="00424261">
        <w:rPr>
          <w:rFonts w:ascii="Palatino Linotype" w:hAnsi="Palatino Linotype"/>
          <w:b/>
          <w:color w:val="000000" w:themeColor="text1"/>
          <w:lang w:val="es-ES_tradnl"/>
        </w:rPr>
        <w:t>idoneidad</w:t>
      </w:r>
      <w:r w:rsidRPr="00424261">
        <w:rPr>
          <w:rFonts w:ascii="Palatino Linotype" w:hAnsi="Palatino Linotype"/>
          <w:color w:val="000000" w:themeColor="text1"/>
          <w:lang w:val="es-ES_tradnl"/>
        </w:rPr>
        <w:t xml:space="preserve"> y el de </w:t>
      </w:r>
      <w:r w:rsidRPr="00424261">
        <w:rPr>
          <w:rFonts w:ascii="Palatino Linotype" w:hAnsi="Palatino Linotype"/>
          <w:b/>
          <w:color w:val="000000" w:themeColor="text1"/>
          <w:lang w:val="es-ES_tradnl"/>
        </w:rPr>
        <w:t>estricta proporcionalidad</w:t>
      </w:r>
      <w:r w:rsidRPr="00424261">
        <w:rPr>
          <w:rFonts w:ascii="Palatino Linotype" w:hAnsi="Palatino Linotype"/>
          <w:color w:val="000000" w:themeColor="text1"/>
          <w:lang w:val="es-ES_tradnl"/>
        </w:rPr>
        <w:t>. La ausencia de cualquiera de los tres, invalida enteramente la invasión del derecho. En este caso, la limitación al derecho a la protección de datos personales tiene que ser acorde con el principio de proporcionalidad, para ello, se sugiere emplear los tres juicios propuestos por la Corte Constitucional Colombiana,</w:t>
      </w:r>
      <w:r w:rsidRPr="00424261">
        <w:rPr>
          <w:rFonts w:ascii="Palatino Linotype" w:hAnsi="Palatino Linotype"/>
          <w:color w:val="000000" w:themeColor="text1"/>
          <w:vertAlign w:val="superscript"/>
          <w:lang w:val="es-ES_tradnl"/>
        </w:rPr>
        <w:footnoteReference w:id="38"/>
      </w:r>
      <w:r w:rsidRPr="00424261">
        <w:rPr>
          <w:rFonts w:ascii="Palatino Linotype" w:hAnsi="Palatino Linotype"/>
          <w:color w:val="000000" w:themeColor="text1"/>
          <w:lang w:val="es-ES_tradnl"/>
        </w:rPr>
        <w:t xml:space="preserve"> siguiendo el principio de ponderación propuesto por el Tribunal </w:t>
      </w:r>
      <w:r w:rsidRPr="00424261">
        <w:rPr>
          <w:rFonts w:ascii="Palatino Linotype" w:hAnsi="Palatino Linotype"/>
          <w:color w:val="000000" w:themeColor="text1"/>
          <w:lang w:val="es-ES_tradnl"/>
        </w:rPr>
        <w:lastRenderedPageBreak/>
        <w:t>Constitucional Alemán,</w:t>
      </w:r>
      <w:r w:rsidRPr="00424261">
        <w:rPr>
          <w:rFonts w:ascii="Palatino Linotype" w:hAnsi="Palatino Linotype"/>
          <w:color w:val="000000" w:themeColor="text1"/>
          <w:vertAlign w:val="superscript"/>
          <w:lang w:val="es-ES_tradnl"/>
        </w:rPr>
        <w:footnoteReference w:id="39"/>
      </w:r>
      <w:r w:rsidRPr="00424261">
        <w:rPr>
          <w:rFonts w:ascii="Palatino Linotype" w:hAnsi="Palatino Linotype"/>
          <w:color w:val="000000" w:themeColor="text1"/>
          <w:vertAlign w:val="superscript"/>
          <w:lang w:val="es-ES_tradnl"/>
        </w:rPr>
        <w:t xml:space="preserve"> </w:t>
      </w:r>
      <w:r w:rsidRPr="00424261">
        <w:rPr>
          <w:rFonts w:ascii="Palatino Linotype" w:hAnsi="Palatino Linotype"/>
          <w:color w:val="000000" w:themeColor="text1"/>
          <w:lang w:val="es-ES_tradnl"/>
        </w:rPr>
        <w:t xml:space="preserve">el juicio de idoneidad deberá explicar que la medida permite obtener </w:t>
      </w:r>
      <w:r w:rsidRPr="00424261">
        <w:rPr>
          <w:rFonts w:ascii="Palatino Linotype" w:hAnsi="Palatino Linotype"/>
          <w:i/>
          <w:color w:val="000000" w:themeColor="text1"/>
          <w:lang w:val="es-ES_tradnl"/>
        </w:rPr>
        <w:t>el fin (constitucionalmente legítimo de acuerdo con el principio de razón suficiente);</w:t>
      </w:r>
      <w:r w:rsidRPr="00424261">
        <w:rPr>
          <w:rFonts w:ascii="Palatino Linotype" w:hAnsi="Palatino Linotype"/>
          <w:color w:val="000000" w:themeColor="text1"/>
          <w:lang w:val="es-ES_tradnl"/>
        </w:rPr>
        <w:t xml:space="preserve"> el de necesidad, a través del cual se debe acreditar que </w:t>
      </w:r>
      <w:r w:rsidRPr="00424261">
        <w:rPr>
          <w:rFonts w:ascii="Palatino Linotype" w:hAnsi="Palatino Linotype"/>
          <w:i/>
          <w:color w:val="000000" w:themeColor="text1"/>
          <w:lang w:val="es-ES_tradnl"/>
        </w:rPr>
        <w:t>no existan medios alternativos igualmente adecuados o idóneos para la obtención del fin, pero menos restrictivos de los principios afectados;</w:t>
      </w:r>
      <w:r w:rsidRPr="00424261">
        <w:rPr>
          <w:rFonts w:ascii="Palatino Linotype" w:hAnsi="Palatino Linotype"/>
          <w:color w:val="000000" w:themeColor="text1"/>
          <w:lang w:val="es-ES_tradnl"/>
        </w:rPr>
        <w:t xml:space="preserve"> y, por último, el de </w:t>
      </w:r>
      <w:r w:rsidRPr="00424261">
        <w:rPr>
          <w:rFonts w:ascii="Palatino Linotype" w:hAnsi="Palatino Linotype"/>
          <w:i/>
          <w:color w:val="000000" w:themeColor="text1"/>
          <w:lang w:val="es-ES_tradnl"/>
        </w:rPr>
        <w:t>proporcionalidad en sentido estricto, esto es, que el fin que la efectividad del fin que se persigue se alcance en una medida mayor a la afectación de los principios que sufren restricción, y particularmente, del principio de igualdad.</w:t>
      </w:r>
      <w:r w:rsidRPr="00424261">
        <w:rPr>
          <w:rFonts w:ascii="Palatino Linotype" w:hAnsi="Palatino Linotype"/>
          <w:i/>
          <w:color w:val="000000" w:themeColor="text1"/>
          <w:vertAlign w:val="superscript"/>
          <w:lang w:val="es-ES_tradnl"/>
        </w:rPr>
        <w:footnoteReference w:id="40"/>
      </w:r>
    </w:p>
    <w:p w14:paraId="735B06E6"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25F38279" w14:textId="7C4B93BA" w:rsidR="00462459" w:rsidRPr="00424261" w:rsidRDefault="005A464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La </w:t>
      </w:r>
      <w:r w:rsidRPr="00424261">
        <w:rPr>
          <w:rFonts w:ascii="Palatino Linotype" w:eastAsia="Times New Roman" w:hAnsi="Palatino Linotype" w:cs="Times New Roman"/>
          <w:lang w:eastAsia="es-ES_tradnl"/>
        </w:rPr>
        <w:t>Primera Sala de la Suprema Corte de Justicia de la Nación ha establecido criterios orientadores sobre el procedimiento para desahogar lo que denomina como el test de proporcionalidad, a partir de cuatro etapas:</w:t>
      </w:r>
      <w:r w:rsidRPr="00424261">
        <w:rPr>
          <w:rFonts w:ascii="Palatino Linotype" w:eastAsia="Times New Roman" w:hAnsi="Palatino Linotype" w:cs="Times New Roman"/>
          <w:lang w:val="es-ES"/>
        </w:rPr>
        <w:t xml:space="preserve"> </w:t>
      </w:r>
      <w:r w:rsidRPr="00424261">
        <w:rPr>
          <w:rFonts w:ascii="Palatino Linotype" w:eastAsia="Times New Roman" w:hAnsi="Palatino Linotype" w:cs="Times New Roman"/>
          <w:i/>
          <w:lang w:eastAsia="es-ES_tradnl"/>
        </w:rPr>
        <w:t xml:space="preserve">(i)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w:t>
      </w:r>
      <w:r w:rsidRPr="00424261">
        <w:rPr>
          <w:rFonts w:ascii="Palatino Linotype" w:eastAsia="Times New Roman" w:hAnsi="Palatino Linotype" w:cs="Times New Roman"/>
          <w:i/>
          <w:lang w:eastAsia="es-ES_tradnl"/>
        </w:rPr>
        <w:lastRenderedPageBreak/>
        <w:t>fundamental; y, (iv) que el grado de realización del fin perseguido sea mayor al grado de afectación provocado al derecho fundamental por la medida impugnada.</w:t>
      </w:r>
      <w:r w:rsidRPr="00424261">
        <w:rPr>
          <w:rFonts w:ascii="Palatino Linotype" w:eastAsia="Times New Roman" w:hAnsi="Palatino Linotype" w:cs="Times New Roman"/>
          <w:i/>
          <w:vertAlign w:val="superscript"/>
          <w:lang w:eastAsia="es-ES_tradnl"/>
        </w:rPr>
        <w:footnoteReference w:id="41"/>
      </w:r>
    </w:p>
    <w:p w14:paraId="47E0AAAC"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576DFC7D" w14:textId="7A883462" w:rsidR="00462459" w:rsidRPr="00424261" w:rsidRDefault="005A464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w:t>
      </w:r>
      <w:r w:rsidRPr="00424261">
        <w:rPr>
          <w:rFonts w:ascii="Palatino Linotype" w:eastAsia="Times New Roman" w:hAnsi="Palatino Linotype" w:cs="Times New Roman"/>
          <w:lang w:val="es-ES"/>
        </w:rPr>
        <w:t xml:space="preserve">lo que podemos apreciar que las fases primera y segunda de las propuestas por la Segunda Sala de la Suprema Corte de Justicia de la Nación, corresponden con el juicio de idoneidad; mientras que el tercero corresponde al juicio de necesidad y el último propuesto por la Primera Sala del máximo Juzgador es similar al de </w:t>
      </w:r>
      <w:r w:rsidRPr="00424261">
        <w:rPr>
          <w:rFonts w:ascii="Palatino Linotype" w:eastAsia="Times New Roman" w:hAnsi="Palatino Linotype" w:cs="Times New Roman"/>
          <w:lang w:val="es-ES"/>
        </w:rPr>
        <w:lastRenderedPageBreak/>
        <w:t>proporcionalidad en sentido estricto</w:t>
      </w:r>
      <w:r w:rsidRPr="00424261">
        <w:rPr>
          <w:rFonts w:ascii="Palatino Linotype" w:eastAsia="Times New Roman" w:hAnsi="Palatino Linotype" w:cs="Times New Roman"/>
        </w:rPr>
        <w:t xml:space="preserve">, </w:t>
      </w:r>
      <w:r w:rsidRPr="00424261">
        <w:rPr>
          <w:rFonts w:ascii="Palatino Linotype" w:eastAsia="Times New Roman" w:hAnsi="Palatino Linotype" w:cs="Times New Roman"/>
          <w:b/>
        </w:rPr>
        <w:t>por lo que empleará la fórmula tripartita</w:t>
      </w:r>
      <w:r w:rsidRPr="00424261">
        <w:rPr>
          <w:rFonts w:ascii="Palatino Linotype" w:eastAsia="Times New Roman" w:hAnsi="Palatino Linotype" w:cs="Times New Roman"/>
          <w:b/>
          <w:u w:val="single"/>
        </w:rPr>
        <w:t xml:space="preserve"> </w:t>
      </w:r>
      <w:r w:rsidRPr="00424261">
        <w:rPr>
          <w:rFonts w:ascii="Palatino Linotype" w:eastAsia="Times New Roman" w:hAnsi="Palatino Linotype" w:cs="Times New Roman"/>
        </w:rPr>
        <w:t>que colma la propuesta en cuatro fases de la primera Sala.</w:t>
      </w:r>
    </w:p>
    <w:p w14:paraId="586F68D0" w14:textId="132F7F11"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202A7011" w14:textId="5C2E2247" w:rsidR="005A4648" w:rsidRPr="00424261" w:rsidRDefault="005A4648" w:rsidP="005A4648">
      <w:pPr>
        <w:pStyle w:val="Prrafodelista"/>
        <w:tabs>
          <w:tab w:val="left" w:pos="426"/>
        </w:tabs>
        <w:spacing w:before="240" w:after="240" w:line="360" w:lineRule="auto"/>
        <w:ind w:left="0" w:right="51"/>
        <w:jc w:val="right"/>
        <w:rPr>
          <w:rFonts w:ascii="Palatino Linotype" w:hAnsi="Palatino Linotype"/>
          <w:b/>
          <w:bCs/>
          <w:color w:val="000000" w:themeColor="text1"/>
        </w:rPr>
      </w:pPr>
      <w:r w:rsidRPr="00424261">
        <w:rPr>
          <w:rFonts w:ascii="Palatino Linotype" w:hAnsi="Palatino Linotype"/>
          <w:b/>
          <w:bCs/>
          <w:color w:val="000000" w:themeColor="text1"/>
        </w:rPr>
        <w:t>Primer juicio: el de idoneidad.</w:t>
      </w:r>
    </w:p>
    <w:p w14:paraId="5AC6576C" w14:textId="77777777" w:rsidR="005A4648" w:rsidRPr="00424261" w:rsidRDefault="005A4648"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6F53AE55" w14:textId="6B6C5FE3" w:rsidR="00462459" w:rsidRPr="00424261" w:rsidRDefault="005A464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El </w:t>
      </w:r>
      <w:r w:rsidRPr="00424261">
        <w:rPr>
          <w:rFonts w:ascii="Palatino Linotype" w:eastAsia="Times New Roman" w:hAnsi="Palatino Linotype" w:cs="Times New Roman"/>
        </w:rPr>
        <w:t>principio de idoneidad consiste en que la restricción propuesta sea la idónea para obtener un fin, constitucionalmente legítimo de acuerdo con el principio de razón suficiente.</w:t>
      </w:r>
    </w:p>
    <w:p w14:paraId="4B3B0D07"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5566897E" w14:textId="307AF070" w:rsidR="00462459" w:rsidRPr="00424261" w:rsidRDefault="005A464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Según </w:t>
      </w:r>
      <w:r w:rsidRPr="00424261">
        <w:rPr>
          <w:rFonts w:ascii="Palatino Linotype" w:eastAsia="Times New Roman" w:hAnsi="Palatino Linotype" w:cs="Times New Roman"/>
        </w:rPr>
        <w:t xml:space="preserve">la Primera Sala de la Suprema Corte de Justicia de la Nación, esta primera fase del test consiste en identificar si la medida restrictiva persigue </w:t>
      </w:r>
      <w:r w:rsidRPr="00424261">
        <w:rPr>
          <w:rFonts w:ascii="Palatino Linotype" w:eastAsia="Times New Roman" w:hAnsi="Palatino Linotype" w:cs="Times New Roman"/>
          <w:i/>
        </w:rPr>
        <w:t>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p>
    <w:p w14:paraId="152D47C5"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1057F104" w14:textId="2DB29D67" w:rsidR="00462459" w:rsidRPr="00424261" w:rsidRDefault="005A464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También </w:t>
      </w:r>
      <w:r w:rsidRPr="00424261">
        <w:rPr>
          <w:rFonts w:ascii="Palatino Linotype" w:eastAsia="Times New Roman" w:hAnsi="Palatino Linotype" w:cs="Times New Roman"/>
        </w:rPr>
        <w:t xml:space="preserve">debemos de considerar que la misma Sala considera que </w:t>
      </w:r>
      <w:r w:rsidRPr="00424261">
        <w:rPr>
          <w:rFonts w:ascii="Palatino Linotype" w:eastAsia="Times New Roman" w:hAnsi="Palatino Linotype" w:cs="Times New Roman"/>
          <w:i/>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424261">
        <w:rPr>
          <w:rFonts w:ascii="Palatino Linotype" w:eastAsia="Times New Roman" w:hAnsi="Palatino Linotype" w:cs="Times New Roman"/>
          <w:i/>
          <w:vertAlign w:val="superscript"/>
        </w:rPr>
        <w:footnoteReference w:id="42"/>
      </w:r>
    </w:p>
    <w:p w14:paraId="46319BE4"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0ECE9A92" w14:textId="00696C8C" w:rsidR="00462459" w:rsidRPr="00424261" w:rsidRDefault="00CC563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Como se ha analizado a lo largo de la presente resolución, el veintinueve (29) de octubre de dos mil veintiuno, el actor Octavio Augusto Pérez Ocaña, junto a dos acompañantes, se encontraba viajando a bordo de un vehículo, en el municipio de Cuautitlán Izcalli</w:t>
      </w:r>
      <w:r w:rsidR="00B7759A" w:rsidRPr="00424261">
        <w:rPr>
          <w:rFonts w:ascii="Palatino Linotype" w:hAnsi="Palatino Linotype"/>
          <w:color w:val="000000" w:themeColor="text1"/>
        </w:rPr>
        <w:t xml:space="preserve">; cuando de pronto, se topó con un grupo de policías municipales quienes le marcaron alto, sin embargo, por razones aún desconocidas, el actor aceleró el vehículo e inició una persecución, la cual culminó en un choque que terminó en su deceso derivado de un disparo de arma de fuego, supuestamente </w:t>
      </w:r>
      <w:r w:rsidR="00386B49" w:rsidRPr="00424261">
        <w:rPr>
          <w:rFonts w:ascii="Palatino Linotype" w:hAnsi="Palatino Linotype"/>
          <w:color w:val="000000" w:themeColor="text1"/>
        </w:rPr>
        <w:t>de su propia mano.</w:t>
      </w:r>
    </w:p>
    <w:p w14:paraId="5688208D"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2B64B2DD" w14:textId="5DCA5C49" w:rsidR="00462459" w:rsidRPr="00424261" w:rsidRDefault="00386B4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 la deconstrucción de la teoría del caso expresada por las autoridades municipales competentes, así como de los pronunciamientos emitidos por instituciones públicas encargadas de velar por el respeto a los derechos humanos, se arribó a la conclusión de que en el siniestro donde estuviera involucrado el actor, se violentaron derechos humanos</w:t>
      </w:r>
      <w:r w:rsidR="00323E73" w:rsidRPr="00424261">
        <w:rPr>
          <w:rFonts w:ascii="Palatino Linotype" w:hAnsi="Palatino Linotype"/>
          <w:color w:val="000000" w:themeColor="text1"/>
        </w:rPr>
        <w:t xml:space="preserve">, por lo que hoy en día existen investigaciones llevadas a cabo por los organismos competentes tendientes a esclarecer la actuación </w:t>
      </w:r>
      <w:r w:rsidR="00323E73" w:rsidRPr="00424261">
        <w:rPr>
          <w:rFonts w:ascii="Palatino Linotype" w:hAnsi="Palatino Linotype"/>
          <w:color w:val="000000" w:themeColor="text1"/>
        </w:rPr>
        <w:lastRenderedPageBreak/>
        <w:t>de los elementos de seguridad que participaron en la persecución y posterior detención del vehículo del occiso.</w:t>
      </w:r>
    </w:p>
    <w:p w14:paraId="54AE6984"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21B1DA41" w14:textId="3460C8E6" w:rsidR="00462459" w:rsidRPr="00424261" w:rsidRDefault="00323E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ese sentido, el acceder a los exámenes de control de confianza de los policías que participaron en los acontecimientos que derivaron en la muerte del actor permitiría a la ciudadanía hacerse de elementos de valor </w:t>
      </w:r>
      <w:r w:rsidR="004039A0" w:rsidRPr="00424261">
        <w:rPr>
          <w:rFonts w:ascii="Palatino Linotype" w:hAnsi="Palatino Linotype"/>
          <w:color w:val="000000" w:themeColor="text1"/>
        </w:rPr>
        <w:t>para determinar si los elementos policiales contaban con las certificaciones necesarias para ejercer sus funciones de seguridad o, si por el contrario, existían inconsistencias documentadas sobre su óptimo rendimiento físico y/o mental para actuar en estricto cumplimiento de la Ley durante la persecución y posterior detención.</w:t>
      </w:r>
    </w:p>
    <w:p w14:paraId="64F3F055" w14:textId="0007EEFC"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4B67DB57" w14:textId="09BF5BD6" w:rsidR="004039A0" w:rsidRPr="00424261" w:rsidRDefault="004039A0" w:rsidP="004039A0">
      <w:pPr>
        <w:pStyle w:val="Prrafodelista"/>
        <w:tabs>
          <w:tab w:val="left" w:pos="426"/>
        </w:tabs>
        <w:spacing w:before="240" w:after="240" w:line="360" w:lineRule="auto"/>
        <w:ind w:left="0" w:right="51"/>
        <w:jc w:val="right"/>
        <w:rPr>
          <w:rFonts w:ascii="Palatino Linotype" w:hAnsi="Palatino Linotype"/>
          <w:b/>
          <w:bCs/>
          <w:color w:val="000000" w:themeColor="text1"/>
        </w:rPr>
      </w:pPr>
      <w:r w:rsidRPr="00424261">
        <w:rPr>
          <w:rFonts w:ascii="Palatino Linotype" w:hAnsi="Palatino Linotype"/>
          <w:b/>
          <w:bCs/>
          <w:color w:val="000000" w:themeColor="text1"/>
        </w:rPr>
        <w:t>Segundo juicio: el de necesidad</w:t>
      </w:r>
    </w:p>
    <w:p w14:paraId="10FB8407" w14:textId="77777777" w:rsidR="004039A0" w:rsidRPr="00424261" w:rsidRDefault="004039A0"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491E033E" w14:textId="58FCE862" w:rsidR="00462459" w:rsidRPr="00424261" w:rsidRDefault="004039A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El </w:t>
      </w:r>
      <w:r w:rsidRPr="00424261">
        <w:rPr>
          <w:rFonts w:ascii="Palatino Linotype" w:eastAsia="Times New Roman" w:hAnsi="Palatino Linotype" w:cs="Times New Roman"/>
        </w:rPr>
        <w:t xml:space="preserve">juicio o principio de necesidad, tiene como finalidad acreditar que </w:t>
      </w:r>
      <w:r w:rsidRPr="00424261">
        <w:rPr>
          <w:rFonts w:ascii="Palatino Linotype" w:eastAsia="Times New Roman" w:hAnsi="Palatino Linotype" w:cs="Times New Roman"/>
          <w:i/>
        </w:rPr>
        <w:t xml:space="preserve">no existan medios alternativos igualmente adecuados o idóneos para la obtención del fin, pero menos restrictivos de los principios afectados, </w:t>
      </w:r>
      <w:r w:rsidRPr="00424261">
        <w:rPr>
          <w:rFonts w:ascii="Palatino Linotype" w:eastAsia="Times New Roman" w:hAnsi="Palatino Linotype" w:cs="Times New Roman"/>
        </w:rPr>
        <w:t xml:space="preserve">según el Tribunal Constitucional de Colombia, o bien, </w:t>
      </w:r>
      <w:r w:rsidRPr="00424261">
        <w:rPr>
          <w:rFonts w:ascii="Palatino Linotype" w:eastAsia="Times New Roman" w:hAnsi="Palatino Linotype" w:cs="Times New Roman"/>
          <w:i/>
        </w:rPr>
        <w:t>corresponde analizar si la misma es necesaria o si, por el contrario, existen medidas alternativas que también sean idóneas pero que afecten</w:t>
      </w:r>
      <w:r w:rsidRPr="00424261">
        <w:rPr>
          <w:rFonts w:ascii="Palatino Linotype" w:eastAsia="Times New Roman" w:hAnsi="Palatino Linotype" w:cs="Verdana"/>
          <w:sz w:val="34"/>
          <w:szCs w:val="34"/>
        </w:rPr>
        <w:t xml:space="preserve"> </w:t>
      </w:r>
      <w:r w:rsidRPr="00424261">
        <w:rPr>
          <w:rFonts w:ascii="Palatino Linotype" w:eastAsia="Times New Roman" w:hAnsi="Palatino Linotype" w:cs="Times New Roman"/>
          <w:i/>
        </w:rPr>
        <w:t>en menor grado el derecho fundamental</w:t>
      </w:r>
      <w:r w:rsidRPr="00424261">
        <w:rPr>
          <w:rFonts w:ascii="Palatino Linotype" w:eastAsia="Times New Roman" w:hAnsi="Palatino Linotype" w:cs="Times New Roman"/>
        </w:rPr>
        <w:t>,</w:t>
      </w:r>
      <w:r w:rsidRPr="00424261">
        <w:rPr>
          <w:rFonts w:ascii="Palatino Linotype" w:eastAsia="Times New Roman" w:hAnsi="Palatino Linotype" w:cs="Times New Roman"/>
          <w:vertAlign w:val="superscript"/>
        </w:rPr>
        <w:footnoteReference w:id="43"/>
      </w:r>
      <w:r w:rsidRPr="00424261">
        <w:rPr>
          <w:rFonts w:ascii="Palatino Linotype" w:eastAsia="Times New Roman" w:hAnsi="Palatino Linotype" w:cs="Times New Roman"/>
        </w:rPr>
        <w:t xml:space="preserve"> según la Primera Sala de la SCJN.</w:t>
      </w:r>
    </w:p>
    <w:p w14:paraId="2BD6CDDD" w14:textId="77777777" w:rsidR="00462459" w:rsidRPr="00424261" w:rsidRDefault="00462459" w:rsidP="00462459">
      <w:pPr>
        <w:pStyle w:val="Prrafodelista"/>
        <w:tabs>
          <w:tab w:val="left" w:pos="426"/>
        </w:tabs>
        <w:spacing w:before="240" w:after="240" w:line="360" w:lineRule="auto"/>
        <w:ind w:left="0" w:right="51"/>
        <w:jc w:val="both"/>
        <w:rPr>
          <w:rFonts w:ascii="Palatino Linotype" w:hAnsi="Palatino Linotype"/>
          <w:color w:val="000000" w:themeColor="text1"/>
        </w:rPr>
      </w:pPr>
    </w:p>
    <w:p w14:paraId="4AC9BC26" w14:textId="03C41E5C" w:rsidR="00462459" w:rsidRPr="00424261" w:rsidRDefault="0046119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Como hemos analizado en párrafos previos, la finalidad de realizar las evaluaciones de control de confianza consiste en obtener el Certificado Único Policial, el cual no solo es un instrumento que avala el ingreso y permanencia en las instituciones de seguridad pública, sino que también es un elemento indispensable </w:t>
      </w:r>
      <w:r w:rsidR="007D1BDB" w:rsidRPr="00424261">
        <w:rPr>
          <w:rFonts w:ascii="Palatino Linotype" w:hAnsi="Palatino Linotype"/>
          <w:color w:val="000000" w:themeColor="text1"/>
        </w:rPr>
        <w:t>par</w:t>
      </w:r>
      <w:r w:rsidRPr="00424261">
        <w:rPr>
          <w:rFonts w:ascii="Palatino Linotype" w:hAnsi="Palatino Linotype"/>
          <w:color w:val="000000" w:themeColor="text1"/>
        </w:rPr>
        <w:t>a considerar durante los procedimientos relacionados con las promociones y aumentos de escalafón de la carrera policial</w:t>
      </w:r>
      <w:r w:rsidRPr="00424261">
        <w:rPr>
          <w:rStyle w:val="Refdenotaalpie"/>
          <w:rFonts w:ascii="Palatino Linotype" w:hAnsi="Palatino Linotype"/>
          <w:color w:val="000000" w:themeColor="text1"/>
        </w:rPr>
        <w:footnoteReference w:id="44"/>
      </w:r>
      <w:r w:rsidR="007D1BDB" w:rsidRPr="00424261">
        <w:rPr>
          <w:rFonts w:ascii="Palatino Linotype" w:hAnsi="Palatino Linotype"/>
          <w:color w:val="000000" w:themeColor="text1"/>
        </w:rPr>
        <w:t>.</w:t>
      </w:r>
    </w:p>
    <w:p w14:paraId="023B2104" w14:textId="64E97C44" w:rsidR="00323E73" w:rsidRPr="00424261" w:rsidRDefault="00323E73"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09DF10D5" w14:textId="4D6175C1" w:rsidR="00323E73" w:rsidRPr="00424261" w:rsidRDefault="007D1BD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Lo anterior se deriva de que la compilación de las evaluaciones psicológicas, poligráficas, médicas, toxicológicas y socioeconómicas demuestran, a través de metodologías científicas, el rendimiento físico, emocional y mental de cada uno de </w:t>
      </w:r>
      <w:r w:rsidRPr="00424261">
        <w:rPr>
          <w:rFonts w:ascii="Palatino Linotype" w:hAnsi="Palatino Linotype"/>
          <w:color w:val="000000" w:themeColor="text1"/>
        </w:rPr>
        <w:lastRenderedPageBreak/>
        <w:t>los integrantes de las corporaciones de seguridad pública; por ello, el acreditar cada uno de estos exámenes es vital para que el Estado les consigne un cargo de seguridad y procuración de justicia</w:t>
      </w:r>
      <w:r w:rsidR="00DA0C8D" w:rsidRPr="00424261">
        <w:rPr>
          <w:rFonts w:ascii="Palatino Linotype" w:hAnsi="Palatino Linotype"/>
          <w:color w:val="000000" w:themeColor="text1"/>
        </w:rPr>
        <w:t>.</w:t>
      </w:r>
    </w:p>
    <w:p w14:paraId="7041F3AF" w14:textId="77777777" w:rsidR="00323E73" w:rsidRPr="00424261" w:rsidRDefault="00323E73"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6A9E7222" w14:textId="464A7D09" w:rsidR="00323E73" w:rsidRPr="00424261" w:rsidRDefault="00DA0C8D" w:rsidP="00910076">
      <w:pPr>
        <w:pStyle w:val="Prrafodelista"/>
        <w:numPr>
          <w:ilvl w:val="0"/>
          <w:numId w:val="1"/>
        </w:numPr>
        <w:tabs>
          <w:tab w:val="left" w:pos="426"/>
        </w:tabs>
        <w:spacing w:before="240" w:after="240" w:line="360" w:lineRule="auto"/>
        <w:ind w:right="51"/>
        <w:jc w:val="both"/>
        <w:rPr>
          <w:rFonts w:ascii="Palatino Linotype" w:hAnsi="Palatino Linotype"/>
          <w:i/>
          <w:iCs/>
          <w:color w:val="000000" w:themeColor="text1"/>
        </w:rPr>
      </w:pPr>
      <w:r w:rsidRPr="00424261">
        <w:rPr>
          <w:rFonts w:ascii="Palatino Linotype" w:hAnsi="Palatino Linotype"/>
          <w:color w:val="000000" w:themeColor="text1"/>
        </w:rPr>
        <w:t xml:space="preserve">En consecuencia de lo anterior es que no existe ningún documento que pudiera suplir al contenido de los exámenes de control de confianza realizado a los policías que estuvieron involucrados en los acontecimientos relacionados con el actor Octavio Augusto Pérez Ocaña, pues la pretensión del </w:t>
      </w:r>
      <w:r w:rsidRPr="00424261">
        <w:rPr>
          <w:rFonts w:ascii="Palatino Linotype" w:hAnsi="Palatino Linotype"/>
          <w:b/>
          <w:bCs/>
          <w:color w:val="000000" w:themeColor="text1"/>
        </w:rPr>
        <w:t>RECURRENTE</w:t>
      </w:r>
      <w:r w:rsidRPr="00424261">
        <w:rPr>
          <w:rFonts w:ascii="Palatino Linotype" w:hAnsi="Palatino Linotype"/>
          <w:color w:val="000000" w:themeColor="text1"/>
        </w:rPr>
        <w:t xml:space="preserve"> de obtener estas evaluaciones se funda justamente en conocer si los elementos se encontraban en un estado óptimo de salud física, mental y emocional para desarrollar sus funciones de seguridad, lo cual únicamente puede ser demostrado mediante estos instrumentos.</w:t>
      </w:r>
    </w:p>
    <w:p w14:paraId="68B3AAA2" w14:textId="32AB8C99" w:rsidR="00323E73" w:rsidRPr="00424261" w:rsidRDefault="00323E73"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7A3DAA9C" w14:textId="17E3A7BC" w:rsidR="00DA0C8D" w:rsidRPr="00424261" w:rsidRDefault="00DA0C8D" w:rsidP="00DA0C8D">
      <w:pPr>
        <w:pStyle w:val="Prrafodelista"/>
        <w:tabs>
          <w:tab w:val="left" w:pos="426"/>
        </w:tabs>
        <w:spacing w:before="240" w:after="240" w:line="360" w:lineRule="auto"/>
        <w:ind w:left="0" w:right="51"/>
        <w:jc w:val="right"/>
        <w:rPr>
          <w:rFonts w:ascii="Palatino Linotype" w:hAnsi="Palatino Linotype"/>
          <w:b/>
          <w:bCs/>
          <w:color w:val="000000" w:themeColor="text1"/>
        </w:rPr>
      </w:pPr>
      <w:r w:rsidRPr="00424261">
        <w:rPr>
          <w:rFonts w:ascii="Palatino Linotype" w:hAnsi="Palatino Linotype"/>
          <w:b/>
          <w:bCs/>
          <w:color w:val="000000" w:themeColor="text1"/>
        </w:rPr>
        <w:t>Tercer juicio: Estricta ponderación.</w:t>
      </w:r>
    </w:p>
    <w:p w14:paraId="35DC4E53" w14:textId="77777777" w:rsidR="00DA0C8D" w:rsidRPr="00424261" w:rsidRDefault="00DA0C8D"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1FC5DE7E" w14:textId="7E496E66" w:rsidR="00323E73" w:rsidRPr="00424261" w:rsidRDefault="00DA0C8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w:t>
      </w:r>
      <w:r w:rsidRPr="00424261">
        <w:rPr>
          <w:rFonts w:ascii="Palatino Linotype" w:eastAsia="Times New Roman" w:hAnsi="Palatino Linotype" w:cs="Times New Roman"/>
        </w:rPr>
        <w:t xml:space="preserve">La medida ordenada garantiza en su espectro más amplio el derecho de acceso a la información sin violentar derechos de terceros? Recordemos que en términos de la Primera Sala de la SCJN, </w:t>
      </w:r>
      <w:r w:rsidRPr="00424261">
        <w:rPr>
          <w:rFonts w:ascii="Palatino Linotype" w:eastAsia="Times New Roman" w:hAnsi="Palatino Linotype" w:cs="Arial"/>
          <w:i/>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14:paraId="2A948ADD" w14:textId="77777777" w:rsidR="00323E73" w:rsidRPr="00424261" w:rsidRDefault="00323E73"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03057230" w14:textId="46B734DF" w:rsidR="00323E73" w:rsidRPr="00424261" w:rsidRDefault="003C6AE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Como ha sido reiterado en párrafos previos, el acceder a los exámenes de control y confianza permitirán dar a conocer a la ciudadanía sobre el rendimiento </w:t>
      </w:r>
      <w:r w:rsidRPr="00424261">
        <w:rPr>
          <w:rFonts w:ascii="Palatino Linotype" w:hAnsi="Palatino Linotype"/>
          <w:color w:val="000000" w:themeColor="text1"/>
        </w:rPr>
        <w:lastRenderedPageBreak/>
        <w:t>físico y mental de los elementos de seguridad involucrados en el siniestro; sin embargo, se debe tomar en consideración que su difusión resultaría en una medida por demás excesiva, pues estos documentos muestran fehacientemente el estado de salud, psicológico y socioeconómico de una persona.</w:t>
      </w:r>
    </w:p>
    <w:p w14:paraId="56CD2C35" w14:textId="77777777" w:rsidR="00323E73" w:rsidRPr="00424261" w:rsidRDefault="00323E73"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58BE4B0D" w14:textId="05F1611E" w:rsidR="00323E73" w:rsidRPr="00424261" w:rsidRDefault="003C6AE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 tal manera que, si bien es cierto que, derivado de la dramática difusión a nivel internacional de los hechos que derivaron en la muerte del actor Octavio Augusto Pérez Ocaña,</w:t>
      </w:r>
      <w:r w:rsidR="003B6AA5" w:rsidRPr="00424261">
        <w:rPr>
          <w:rFonts w:ascii="Palatino Linotype" w:hAnsi="Palatino Linotype"/>
          <w:color w:val="000000" w:themeColor="text1"/>
        </w:rPr>
        <w:t xml:space="preserve"> aunado a los pronunciamientos legítimos de la Comisión de Derechos Humanos del Estado de México, mediante los cuales, informó sobre la apertura de una investigación de oficio para investigar posibles violaciones a derechos humanos,</w:t>
      </w:r>
      <w:r w:rsidRPr="00424261">
        <w:rPr>
          <w:rFonts w:ascii="Palatino Linotype" w:hAnsi="Palatino Linotype"/>
          <w:color w:val="000000" w:themeColor="text1"/>
        </w:rPr>
        <w:t xml:space="preserve"> </w:t>
      </w:r>
      <w:r w:rsidR="003B6AA5" w:rsidRPr="00424261">
        <w:rPr>
          <w:rFonts w:ascii="Palatino Linotype" w:hAnsi="Palatino Linotype"/>
          <w:color w:val="000000" w:themeColor="text1"/>
        </w:rPr>
        <w:t>podemos arribar a la conclusión de que existe un interés legítimo en conocer el rendimiento físico y psicológico de los policías.</w:t>
      </w:r>
    </w:p>
    <w:p w14:paraId="7FAF2EB8" w14:textId="77777777" w:rsidR="00323E73" w:rsidRPr="00424261" w:rsidRDefault="00323E73"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4E367F64" w14:textId="28558153" w:rsidR="00323E73" w:rsidRPr="00424261" w:rsidRDefault="003B6AA5"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Sin embargo, también es cierto que la difusión del contenido de las evaluaciones excedería el interés general de la sociedad de conocer información de elementos de seguridad relacionados con violaciones a derechos humanos</w:t>
      </w:r>
      <w:r w:rsidR="00924D84" w:rsidRPr="00424261">
        <w:rPr>
          <w:rFonts w:ascii="Palatino Linotype" w:hAnsi="Palatino Linotype"/>
          <w:color w:val="000000" w:themeColor="text1"/>
        </w:rPr>
        <w:t xml:space="preserve"> y, en su lugar, vulneraría el derecho a la protección de datos personales de aquéllos al publicar resultados médicos, científicos y psicológicos que pueden desencadenar actos de discriminación, difamación, etc.</w:t>
      </w:r>
    </w:p>
    <w:p w14:paraId="655E8BB2" w14:textId="77777777" w:rsidR="00323E73" w:rsidRPr="00424261" w:rsidRDefault="00323E73" w:rsidP="00323E73">
      <w:pPr>
        <w:pStyle w:val="Prrafodelista"/>
        <w:tabs>
          <w:tab w:val="left" w:pos="426"/>
        </w:tabs>
        <w:spacing w:before="240" w:after="240" w:line="360" w:lineRule="auto"/>
        <w:ind w:left="0" w:right="51"/>
        <w:jc w:val="both"/>
        <w:rPr>
          <w:rFonts w:ascii="Palatino Linotype" w:hAnsi="Palatino Linotype"/>
          <w:color w:val="000000" w:themeColor="text1"/>
        </w:rPr>
      </w:pPr>
    </w:p>
    <w:p w14:paraId="7BE6CD98" w14:textId="1BD43DC8" w:rsidR="009C7585" w:rsidRPr="00424261" w:rsidRDefault="00924D84" w:rsidP="009C75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Razón de lo anterior, a efecto de buscar un equilibrio entre el derecho de acceso a la información y el de protección de datos personales, este Organismo Garante determina que no ha lugar a difundir los exámenes de control de confianza de los elementos de seguridad que participaron en la persecución y posterior detención </w:t>
      </w:r>
      <w:r w:rsidRPr="00424261">
        <w:rPr>
          <w:rFonts w:ascii="Palatino Linotype" w:hAnsi="Palatino Linotype"/>
          <w:color w:val="000000" w:themeColor="text1"/>
        </w:rPr>
        <w:lastRenderedPageBreak/>
        <w:t xml:space="preserve">del actor; empero, </w:t>
      </w:r>
      <w:r w:rsidRPr="00424261">
        <w:rPr>
          <w:rFonts w:ascii="Palatino Linotype" w:hAnsi="Palatino Linotype"/>
          <w:b/>
          <w:bCs/>
          <w:color w:val="000000" w:themeColor="text1"/>
        </w:rPr>
        <w:t>se deberá hacer entrega de los resultados de las evaluaciones</w:t>
      </w:r>
      <w:r w:rsidRPr="00424261">
        <w:rPr>
          <w:rFonts w:ascii="Palatino Linotype" w:hAnsi="Palatino Linotype"/>
          <w:color w:val="000000" w:themeColor="text1"/>
        </w:rPr>
        <w:t>,</w:t>
      </w:r>
      <w:r w:rsidR="008A23D8" w:rsidRPr="00424261">
        <w:rPr>
          <w:rFonts w:ascii="Palatino Linotype" w:hAnsi="Palatino Linotype"/>
          <w:color w:val="000000" w:themeColor="text1"/>
        </w:rPr>
        <w:t xml:space="preserve"> los cuales permitirán dar a conocer, de manera expresa, qué exámenes fueron acreditados o, en su caso, cuáles no, sin difundir ninguna información sensible de los elementos que realizaron estos tests más allá de una calificación</w:t>
      </w:r>
      <w:r w:rsidR="009C7585" w:rsidRPr="00424261">
        <w:rPr>
          <w:rFonts w:ascii="Palatino Linotype" w:hAnsi="Palatino Linotype"/>
          <w:color w:val="000000" w:themeColor="text1"/>
        </w:rPr>
        <w:t>.</w:t>
      </w:r>
    </w:p>
    <w:p w14:paraId="3852D4D5" w14:textId="77777777" w:rsidR="009C7585" w:rsidRPr="00424261" w:rsidRDefault="009C7585" w:rsidP="009C7585">
      <w:pPr>
        <w:pStyle w:val="Prrafodelista"/>
        <w:tabs>
          <w:tab w:val="left" w:pos="426"/>
        </w:tabs>
        <w:spacing w:before="240" w:after="240" w:line="360" w:lineRule="auto"/>
        <w:ind w:left="0" w:right="51"/>
        <w:jc w:val="both"/>
        <w:rPr>
          <w:rFonts w:ascii="Palatino Linotype" w:hAnsi="Palatino Linotype"/>
          <w:color w:val="000000" w:themeColor="text1"/>
        </w:rPr>
      </w:pPr>
    </w:p>
    <w:p w14:paraId="381E01ED" w14:textId="3FB4285C" w:rsidR="009C7585" w:rsidRPr="00424261" w:rsidRDefault="009C7585" w:rsidP="009C75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Razón de lo anterior, si dentro de los documentos que se ordenan entregar, el </w:t>
      </w:r>
      <w:r w:rsidRPr="00424261">
        <w:rPr>
          <w:rFonts w:ascii="Palatino Linotype" w:hAnsi="Palatino Linotype"/>
          <w:b/>
          <w:bCs/>
          <w:color w:val="000000" w:themeColor="text1"/>
        </w:rPr>
        <w:t>SUJETO OBLIGADO</w:t>
      </w:r>
      <w:r w:rsidRPr="00424261">
        <w:rPr>
          <w:rFonts w:ascii="Palatino Linotype" w:hAnsi="Palatino Linotype"/>
          <w:color w:val="000000" w:themeColor="text1"/>
        </w:rPr>
        <w:t xml:space="preserve"> detectase datos personales diversos a los resultados de las evaluaciones (tales como el CURP, RFC, número de seguridad social, tipo de sangre, etc.), deberá entregar la información en versión pública, atendiendo los argumentos vertidos en el </w:t>
      </w:r>
      <w:r w:rsidRPr="00424261">
        <w:rPr>
          <w:rFonts w:ascii="Palatino Linotype" w:hAnsi="Palatino Linotype"/>
          <w:b/>
          <w:bCs/>
          <w:color w:val="000000" w:themeColor="text1"/>
        </w:rPr>
        <w:t>Considerando QUINTO</w:t>
      </w:r>
      <w:r w:rsidRPr="00424261">
        <w:rPr>
          <w:rFonts w:ascii="Palatino Linotype" w:hAnsi="Palatino Linotype"/>
          <w:color w:val="000000" w:themeColor="text1"/>
        </w:rPr>
        <w:t xml:space="preserve"> de la presente resolución.</w:t>
      </w:r>
    </w:p>
    <w:p w14:paraId="20DF138C" w14:textId="77777777" w:rsidR="00073326" w:rsidRPr="00424261" w:rsidRDefault="00073326" w:rsidP="00073326">
      <w:pPr>
        <w:pStyle w:val="Prrafodelista"/>
        <w:tabs>
          <w:tab w:val="left" w:pos="426"/>
        </w:tabs>
        <w:spacing w:before="240" w:after="240" w:line="360" w:lineRule="auto"/>
        <w:ind w:left="0" w:right="51"/>
        <w:jc w:val="both"/>
        <w:rPr>
          <w:rFonts w:ascii="Palatino Linotype" w:hAnsi="Palatino Linotype"/>
          <w:color w:val="000000" w:themeColor="text1"/>
        </w:rPr>
      </w:pPr>
    </w:p>
    <w:p w14:paraId="4D085475" w14:textId="0FD21A87" w:rsidR="00C03122" w:rsidRPr="00424261" w:rsidRDefault="00C03122" w:rsidP="00C0312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9" w:name="_Toc101963399"/>
      <w:r w:rsidRPr="00424261">
        <w:rPr>
          <w:rFonts w:ascii="Palatino Linotype" w:hAnsi="Palatino Linotype"/>
          <w:b/>
          <w:bCs/>
          <w:color w:val="000000" w:themeColor="text1"/>
        </w:rPr>
        <w:t>f) De los recibos de nómina.</w:t>
      </w:r>
      <w:bookmarkEnd w:id="49"/>
    </w:p>
    <w:p w14:paraId="4551AEBC" w14:textId="77777777" w:rsidR="00C03122" w:rsidRPr="00424261" w:rsidRDefault="00C03122"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2AE198B9" w14:textId="7F33096B" w:rsidR="007779E6" w:rsidRPr="00424261" w:rsidRDefault="001A1F1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otro lado, en lo que corresponde a </w:t>
      </w:r>
      <w:r w:rsidR="00544471" w:rsidRPr="00424261">
        <w:rPr>
          <w:rFonts w:ascii="Palatino Linotype" w:hAnsi="Palatino Linotype"/>
          <w:color w:val="000000" w:themeColor="text1"/>
        </w:rPr>
        <w:t>los recibos de</w:t>
      </w:r>
      <w:r w:rsidRPr="00424261">
        <w:rPr>
          <w:rFonts w:ascii="Palatino Linotype" w:hAnsi="Palatino Linotype"/>
          <w:color w:val="000000" w:themeColor="text1"/>
        </w:rPr>
        <w:t xml:space="preserve"> nómina de los elementos de seguridad </w:t>
      </w:r>
      <w:r w:rsidR="00544471" w:rsidRPr="00424261">
        <w:rPr>
          <w:rFonts w:ascii="Palatino Linotype" w:hAnsi="Palatino Linotype"/>
          <w:color w:val="000000" w:themeColor="text1"/>
        </w:rPr>
        <w:t xml:space="preserve">que intervinieron en la persecución, no es ocioso mencionar que si bien es cierto que en nuestra legislación no existe como tal una definición del término </w:t>
      </w:r>
      <w:r w:rsidR="00544471" w:rsidRPr="00424261">
        <w:rPr>
          <w:rFonts w:ascii="Palatino Linotype" w:hAnsi="Palatino Linotype"/>
          <w:b/>
          <w:i/>
          <w:color w:val="000000" w:themeColor="text1"/>
        </w:rPr>
        <w:t>nómina,</w:t>
      </w:r>
      <w:r w:rsidR="00544471" w:rsidRPr="00424261">
        <w:rPr>
          <w:rFonts w:ascii="Palatino Linotype" w:hAnsi="Palatino Linotype"/>
          <w:color w:val="000000" w:themeColor="text1"/>
        </w:rPr>
        <w:t xml:space="preserve"> el </w:t>
      </w:r>
      <w:r w:rsidR="00544471" w:rsidRPr="00424261">
        <w:rPr>
          <w:rFonts w:ascii="Palatino Linotype" w:hAnsi="Palatino Linotype"/>
          <w:i/>
          <w:color w:val="000000" w:themeColor="text1"/>
        </w:rPr>
        <w:t xml:space="preserve">“Glosario de Términos Usuales de Finanzas Públicas” </w:t>
      </w:r>
      <w:r w:rsidR="00544471" w:rsidRPr="00424261">
        <w:rPr>
          <w:rFonts w:ascii="Palatino Linotype" w:hAnsi="Palatino Linotype"/>
          <w:color w:val="000000" w:themeColor="text1"/>
        </w:rPr>
        <w:t xml:space="preserve">del Centro de Estudios de las Finanzas Públicas de la Cámara de Diputados del H. Congreso de la Unión, el </w:t>
      </w:r>
      <w:r w:rsidR="00544471" w:rsidRPr="00424261">
        <w:rPr>
          <w:rFonts w:ascii="Palatino Linotype" w:hAnsi="Palatino Linotype"/>
          <w:i/>
          <w:color w:val="000000" w:themeColor="text1"/>
        </w:rPr>
        <w:t>“Glosario de Términos Administrativos”</w:t>
      </w:r>
      <w:r w:rsidR="00544471" w:rsidRPr="00424261">
        <w:rPr>
          <w:rFonts w:ascii="Palatino Linotype" w:hAnsi="Palatino Linotype"/>
          <w:color w:val="000000" w:themeColor="text1"/>
        </w:rPr>
        <w:t xml:space="preserve">, emitido por el Instituto Nacional de Administración Pública, A.C. y el </w:t>
      </w:r>
      <w:r w:rsidR="00544471" w:rsidRPr="00424261">
        <w:rPr>
          <w:rFonts w:ascii="Palatino Linotype" w:hAnsi="Palatino Linotype"/>
          <w:i/>
          <w:color w:val="000000" w:themeColor="text1"/>
        </w:rPr>
        <w:t>“Glosario de Términos para el Proceso de Planeación, Programación, Presupuestación y Evaluación en la Administración Pública”,</w:t>
      </w:r>
      <w:r w:rsidR="00544471" w:rsidRPr="00424261">
        <w:rPr>
          <w:rFonts w:ascii="Palatino Linotype" w:hAnsi="Palatino Linotype"/>
          <w:color w:val="000000" w:themeColor="text1"/>
        </w:rPr>
        <w:t xml:space="preserve"> elaborado por el Grupo de Trabajo de Sistemas de Información Financiera, Contable y Presupuestal de la Comisión Permanente de Funcionarios Fiscales del Instituto </w:t>
      </w:r>
      <w:r w:rsidR="00544471" w:rsidRPr="00424261">
        <w:rPr>
          <w:rFonts w:ascii="Palatino Linotype" w:hAnsi="Palatino Linotype"/>
          <w:color w:val="000000" w:themeColor="text1"/>
        </w:rPr>
        <w:lastRenderedPageBreak/>
        <w:t>para el Desarrollo Técnico de las Haciendas Públicas (INDETEC) señalan la siguiente definición de la palabra:</w:t>
      </w:r>
    </w:p>
    <w:p w14:paraId="5E95993C" w14:textId="5263D5AE" w:rsidR="007779E6" w:rsidRPr="00424261" w:rsidRDefault="007779E6" w:rsidP="00544471">
      <w:pPr>
        <w:pStyle w:val="Prrafodelista"/>
        <w:tabs>
          <w:tab w:val="left" w:pos="426"/>
        </w:tabs>
        <w:spacing w:before="240" w:line="360" w:lineRule="auto"/>
        <w:ind w:left="0" w:right="51"/>
        <w:jc w:val="both"/>
        <w:rPr>
          <w:rFonts w:ascii="Palatino Linotype" w:hAnsi="Palatino Linotype"/>
          <w:color w:val="000000" w:themeColor="text1"/>
        </w:rPr>
      </w:pPr>
    </w:p>
    <w:p w14:paraId="64316644" w14:textId="77777777" w:rsidR="00544471" w:rsidRPr="00424261" w:rsidRDefault="00544471" w:rsidP="00544471">
      <w:pPr>
        <w:autoSpaceDE w:val="0"/>
        <w:autoSpaceDN w:val="0"/>
        <w:adjustRightInd w:val="0"/>
        <w:spacing w:line="276" w:lineRule="auto"/>
        <w:ind w:left="851" w:right="567"/>
        <w:jc w:val="both"/>
        <w:rPr>
          <w:rFonts w:ascii="Palatino Linotype" w:hAnsi="Palatino Linotype" w:cs="Arial"/>
          <w:i/>
          <w:sz w:val="22"/>
          <w:lang w:eastAsia="es-MX"/>
        </w:rPr>
      </w:pPr>
      <w:r w:rsidRPr="00424261">
        <w:rPr>
          <w:rFonts w:ascii="Palatino Linotype" w:hAnsi="Palatino Linotype" w:cs="Arial"/>
          <w:b/>
          <w:bCs/>
          <w:i/>
          <w:sz w:val="22"/>
          <w:lang w:eastAsia="es-MX"/>
        </w:rPr>
        <w:t xml:space="preserve">“NÓMINA: </w:t>
      </w:r>
      <w:r w:rsidRPr="00424261">
        <w:rPr>
          <w:rFonts w:ascii="Palatino Linotype" w:hAnsi="Palatino Linotype" w:cs="Arial"/>
          <w:i/>
          <w:sz w:val="22"/>
          <w:lang w:eastAsia="es-MX"/>
        </w:rPr>
        <w:t>Listado general de los trabajadores de una institución, en</w:t>
      </w:r>
      <w:r w:rsidRPr="00424261">
        <w:rPr>
          <w:rFonts w:ascii="Palatino Linotype" w:hAnsi="Palatino Linotype" w:cs="Arial"/>
          <w:b/>
          <w:bCs/>
          <w:i/>
          <w:sz w:val="22"/>
          <w:lang w:eastAsia="es-MX"/>
        </w:rPr>
        <w:t xml:space="preserve"> </w:t>
      </w:r>
      <w:r w:rsidRPr="00424261">
        <w:rPr>
          <w:rFonts w:ascii="Palatino Linotype" w:hAnsi="Palatino Linotype" w:cs="Arial"/>
          <w:i/>
          <w:sz w:val="22"/>
          <w:lang w:eastAsia="es-MX"/>
        </w:rPr>
        <w:t>el cual se asientan las percepciones brutas, deducciones y</w:t>
      </w:r>
      <w:r w:rsidRPr="00424261">
        <w:rPr>
          <w:rFonts w:ascii="Palatino Linotype" w:hAnsi="Palatino Linotype" w:cs="Arial"/>
          <w:b/>
          <w:bCs/>
          <w:i/>
          <w:sz w:val="22"/>
          <w:lang w:eastAsia="es-MX"/>
        </w:rPr>
        <w:t xml:space="preserve"> </w:t>
      </w:r>
      <w:r w:rsidRPr="00424261">
        <w:rPr>
          <w:rFonts w:ascii="Palatino Linotype" w:hAnsi="Palatino Linotype" w:cs="Arial"/>
          <w:i/>
          <w:sz w:val="22"/>
          <w:lang w:eastAsia="es-MX"/>
        </w:rPr>
        <w:t>alcance neto de las mismas; la nómina es utilizada para</w:t>
      </w:r>
      <w:r w:rsidRPr="00424261">
        <w:rPr>
          <w:rFonts w:ascii="Palatino Linotype" w:hAnsi="Palatino Linotype" w:cs="Arial"/>
          <w:b/>
          <w:bCs/>
          <w:i/>
          <w:sz w:val="22"/>
          <w:lang w:eastAsia="es-MX"/>
        </w:rPr>
        <w:t xml:space="preserve"> </w:t>
      </w:r>
      <w:r w:rsidRPr="00424261">
        <w:rPr>
          <w:rFonts w:ascii="Palatino Linotype" w:hAnsi="Palatino Linotype" w:cs="Arial"/>
          <w:i/>
          <w:sz w:val="22"/>
          <w:lang w:eastAsia="es-MX"/>
        </w:rPr>
        <w:t>efectuar los pagos periódicos (semanales, quincenales o</w:t>
      </w:r>
      <w:r w:rsidRPr="00424261">
        <w:rPr>
          <w:rFonts w:ascii="Palatino Linotype" w:hAnsi="Palatino Linotype" w:cs="Arial"/>
          <w:b/>
          <w:bCs/>
          <w:i/>
          <w:sz w:val="22"/>
          <w:lang w:eastAsia="es-MX"/>
        </w:rPr>
        <w:t xml:space="preserve"> </w:t>
      </w:r>
      <w:r w:rsidRPr="00424261">
        <w:rPr>
          <w:rFonts w:ascii="Palatino Linotype" w:hAnsi="Palatino Linotype" w:cs="Arial"/>
          <w:i/>
          <w:sz w:val="22"/>
          <w:lang w:eastAsia="es-MX"/>
        </w:rPr>
        <w:t>mensuales) a los trabajadores por concepto de sueldos y</w:t>
      </w:r>
      <w:r w:rsidRPr="00424261">
        <w:rPr>
          <w:rFonts w:ascii="Palatino Linotype" w:hAnsi="Palatino Linotype" w:cs="Arial"/>
          <w:b/>
          <w:bCs/>
          <w:i/>
          <w:sz w:val="22"/>
          <w:lang w:eastAsia="es-MX"/>
        </w:rPr>
        <w:t xml:space="preserve"> </w:t>
      </w:r>
      <w:r w:rsidRPr="00424261">
        <w:rPr>
          <w:rFonts w:ascii="Palatino Linotype" w:hAnsi="Palatino Linotype" w:cs="Arial"/>
          <w:i/>
          <w:sz w:val="22"/>
          <w:lang w:eastAsia="es-MX"/>
        </w:rPr>
        <w:t>salarios.”</w:t>
      </w:r>
    </w:p>
    <w:p w14:paraId="7A73CB33" w14:textId="77777777" w:rsidR="00544471" w:rsidRPr="00424261" w:rsidRDefault="00544471"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1A9ABDA7" w14:textId="532FB14B"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Relativo al </w:t>
      </w:r>
      <w:r w:rsidRPr="00424261">
        <w:rPr>
          <w:rFonts w:ascii="Palatino Linotype" w:eastAsia="MS Gothic" w:hAnsi="Palatino Linotype" w:cs="Times New Roman"/>
          <w:szCs w:val="26"/>
        </w:rPr>
        <w:t>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49EA1331" w14:textId="77777777" w:rsidR="007779E6" w:rsidRPr="00424261" w:rsidRDefault="007779E6"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7BE4ADBD" w14:textId="1BFC88BB"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w:t>
      </w:r>
      <w:r w:rsidRPr="00424261">
        <w:rPr>
          <w:rFonts w:ascii="Palatino Linotype" w:eastAsia="MS Mincho" w:hAnsi="Palatino Linotype" w:cs="Times New Roman"/>
        </w:rPr>
        <w:t>el mismo sentido, el Código Financiero del Estado de México y Municipios, en su artículo 3° fracción XXXXII estipula lo siguiente:</w:t>
      </w:r>
    </w:p>
    <w:p w14:paraId="79C73842" w14:textId="556955B3" w:rsidR="007779E6" w:rsidRPr="00424261" w:rsidRDefault="007779E6" w:rsidP="00544471">
      <w:pPr>
        <w:pStyle w:val="Prrafodelista"/>
        <w:tabs>
          <w:tab w:val="left" w:pos="426"/>
        </w:tabs>
        <w:spacing w:before="240" w:line="360" w:lineRule="auto"/>
        <w:ind w:left="0" w:right="51"/>
        <w:jc w:val="both"/>
        <w:rPr>
          <w:rFonts w:ascii="Palatino Linotype" w:hAnsi="Palatino Linotype"/>
          <w:color w:val="000000" w:themeColor="text1"/>
        </w:rPr>
      </w:pPr>
    </w:p>
    <w:p w14:paraId="15425136" w14:textId="77777777" w:rsidR="00544471" w:rsidRPr="00424261" w:rsidRDefault="00544471" w:rsidP="00544471">
      <w:pPr>
        <w:pStyle w:val="Prrafodelista"/>
        <w:spacing w:line="276" w:lineRule="auto"/>
        <w:ind w:left="567" w:right="567"/>
        <w:jc w:val="both"/>
        <w:rPr>
          <w:rFonts w:ascii="Palatino Linotype" w:eastAsia="MS Mincho" w:hAnsi="Palatino Linotype" w:cs="Times New Roman"/>
          <w:i/>
          <w:sz w:val="22"/>
        </w:rPr>
      </w:pPr>
      <w:r w:rsidRPr="00424261">
        <w:rPr>
          <w:rFonts w:ascii="Palatino Linotype" w:eastAsia="MS Mincho" w:hAnsi="Palatino Linotype" w:cs="Times New Roman"/>
          <w:i/>
          <w:sz w:val="22"/>
        </w:rPr>
        <w:t>“</w:t>
      </w:r>
      <w:r w:rsidRPr="00424261">
        <w:rPr>
          <w:rFonts w:ascii="Palatino Linotype" w:eastAsia="MS Mincho" w:hAnsi="Palatino Linotype" w:cs="Times New Roman"/>
          <w:b/>
          <w:i/>
          <w:sz w:val="22"/>
        </w:rPr>
        <w:t>Artículo 3.</w:t>
      </w:r>
      <w:r w:rsidRPr="00424261">
        <w:rPr>
          <w:rFonts w:ascii="Palatino Linotype" w:eastAsia="MS Mincho" w:hAnsi="Palatino Linotype" w:cs="Times New Roman"/>
          <w:i/>
          <w:sz w:val="22"/>
        </w:rPr>
        <w:t xml:space="preserve"> </w:t>
      </w:r>
    </w:p>
    <w:p w14:paraId="2C32529E" w14:textId="77777777" w:rsidR="00544471" w:rsidRPr="00424261" w:rsidRDefault="00544471" w:rsidP="00544471">
      <w:pPr>
        <w:pStyle w:val="Prrafodelista"/>
        <w:spacing w:line="276" w:lineRule="auto"/>
        <w:ind w:left="567" w:right="567"/>
        <w:jc w:val="both"/>
        <w:rPr>
          <w:rFonts w:ascii="Palatino Linotype" w:eastAsia="MS Mincho" w:hAnsi="Palatino Linotype" w:cs="Times New Roman"/>
          <w:i/>
          <w:sz w:val="22"/>
        </w:rPr>
      </w:pPr>
      <w:r w:rsidRPr="00424261">
        <w:rPr>
          <w:rFonts w:ascii="Palatino Linotype" w:eastAsia="MS Mincho" w:hAnsi="Palatino Linotype" w:cs="Times New Roman"/>
          <w:i/>
          <w:sz w:val="22"/>
        </w:rPr>
        <w:t>(…)</w:t>
      </w:r>
    </w:p>
    <w:p w14:paraId="2198549D" w14:textId="77777777" w:rsidR="00544471" w:rsidRPr="00424261" w:rsidRDefault="00544471" w:rsidP="00544471">
      <w:pPr>
        <w:pStyle w:val="Prrafodelista"/>
        <w:spacing w:line="276" w:lineRule="auto"/>
        <w:ind w:left="567" w:right="567"/>
        <w:jc w:val="both"/>
        <w:rPr>
          <w:rFonts w:ascii="Palatino Linotype" w:eastAsia="MS Mincho" w:hAnsi="Palatino Linotype" w:cs="Times New Roman"/>
          <w:i/>
          <w:sz w:val="22"/>
        </w:rPr>
      </w:pPr>
      <w:r w:rsidRPr="00424261">
        <w:rPr>
          <w:rFonts w:ascii="Palatino Linotype" w:eastAsia="MS Mincho" w:hAnsi="Palatino Linotype" w:cs="Times New Roman"/>
          <w:b/>
          <w:i/>
          <w:sz w:val="22"/>
        </w:rPr>
        <w:t>XXXII. Remuneración:</w:t>
      </w:r>
      <w:r w:rsidRPr="00424261">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BF2BD03" w14:textId="77777777" w:rsidR="00544471" w:rsidRPr="00424261" w:rsidRDefault="00544471" w:rsidP="00544471">
      <w:pPr>
        <w:pStyle w:val="Prrafodelista"/>
        <w:spacing w:line="276" w:lineRule="auto"/>
        <w:ind w:left="567" w:right="567"/>
        <w:jc w:val="both"/>
        <w:rPr>
          <w:rFonts w:ascii="Palatino Linotype" w:eastAsia="MS Mincho" w:hAnsi="Palatino Linotype" w:cs="Times New Roman"/>
          <w:i/>
          <w:sz w:val="22"/>
        </w:rPr>
      </w:pPr>
      <w:r w:rsidRPr="00424261">
        <w:rPr>
          <w:rFonts w:ascii="Palatino Linotype" w:eastAsia="MS Mincho" w:hAnsi="Palatino Linotype" w:cs="Times New Roman"/>
          <w:i/>
          <w:sz w:val="22"/>
        </w:rPr>
        <w:t>(…)”</w:t>
      </w:r>
    </w:p>
    <w:p w14:paraId="072AD3C9" w14:textId="77777777" w:rsidR="00544471" w:rsidRPr="00424261" w:rsidRDefault="00544471"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701B3443" w14:textId="79C0B9D5"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Ahora </w:t>
      </w:r>
      <w:r w:rsidRPr="00424261">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538670DE" w14:textId="5C17ECBE" w:rsidR="007779E6" w:rsidRPr="00424261" w:rsidRDefault="007779E6" w:rsidP="00544471">
      <w:pPr>
        <w:pStyle w:val="Prrafodelista"/>
        <w:tabs>
          <w:tab w:val="left" w:pos="426"/>
        </w:tabs>
        <w:spacing w:before="240" w:line="360" w:lineRule="auto"/>
        <w:ind w:left="0" w:right="51"/>
        <w:jc w:val="both"/>
        <w:rPr>
          <w:rFonts w:ascii="Palatino Linotype" w:hAnsi="Palatino Linotype"/>
          <w:color w:val="000000" w:themeColor="text1"/>
        </w:rPr>
      </w:pPr>
    </w:p>
    <w:p w14:paraId="64E88F87" w14:textId="77777777" w:rsidR="00544471" w:rsidRPr="00424261" w:rsidRDefault="00544471" w:rsidP="00544471">
      <w:pPr>
        <w:tabs>
          <w:tab w:val="left" w:pos="4962"/>
        </w:tabs>
        <w:spacing w:line="276" w:lineRule="auto"/>
        <w:ind w:left="567" w:right="567"/>
        <w:jc w:val="both"/>
        <w:rPr>
          <w:rFonts w:ascii="Palatino Linotype" w:hAnsi="Palatino Linotype" w:cs="Tahoma"/>
          <w:i/>
          <w:iCs/>
          <w:sz w:val="8"/>
          <w:szCs w:val="10"/>
        </w:rPr>
      </w:pPr>
      <w:r w:rsidRPr="00424261">
        <w:rPr>
          <w:rFonts w:ascii="Palatino Linotype" w:hAnsi="Palatino Linotype" w:cs="Tahoma"/>
          <w:b/>
          <w:bCs/>
          <w:i/>
          <w:iCs/>
          <w:sz w:val="22"/>
        </w:rPr>
        <w:t>“ARTÍCULO 71.</w:t>
      </w:r>
      <w:r w:rsidRPr="00424261">
        <w:rPr>
          <w:rFonts w:ascii="Palatino Linotype" w:hAnsi="Palatino Linotype" w:cs="Tahoma"/>
          <w:i/>
          <w:iCs/>
          <w:sz w:val="22"/>
        </w:rPr>
        <w:t xml:space="preserve"> El sueldo es la retribución que la institución pública debe pagar al servidor público por los servicios prestados.</w:t>
      </w:r>
      <w:r w:rsidRPr="00424261">
        <w:rPr>
          <w:rFonts w:ascii="Palatino Linotype" w:hAnsi="Palatino Linotype" w:cs="Tahoma"/>
          <w:i/>
          <w:iCs/>
          <w:sz w:val="22"/>
        </w:rPr>
        <w:cr/>
      </w:r>
    </w:p>
    <w:p w14:paraId="48D725B4" w14:textId="77777777" w:rsidR="00544471" w:rsidRPr="00424261" w:rsidRDefault="00544471" w:rsidP="00544471">
      <w:pPr>
        <w:tabs>
          <w:tab w:val="left" w:pos="4962"/>
        </w:tabs>
        <w:spacing w:line="276" w:lineRule="auto"/>
        <w:ind w:left="567" w:right="567"/>
        <w:jc w:val="both"/>
        <w:rPr>
          <w:rFonts w:ascii="Palatino Linotype" w:hAnsi="Palatino Linotype" w:cs="Tahoma"/>
          <w:i/>
          <w:iCs/>
          <w:sz w:val="22"/>
        </w:rPr>
      </w:pPr>
      <w:r w:rsidRPr="00424261">
        <w:rPr>
          <w:rFonts w:ascii="Palatino Linotype" w:hAnsi="Palatino Linotype" w:cs="Tahoma"/>
          <w:b/>
          <w:bCs/>
          <w:i/>
          <w:iCs/>
          <w:sz w:val="22"/>
        </w:rPr>
        <w:t>ARTÍCULO 220 K.-</w:t>
      </w:r>
      <w:r w:rsidRPr="00424261">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00CE474E" w14:textId="77777777" w:rsidR="00544471" w:rsidRPr="00424261" w:rsidRDefault="00544471" w:rsidP="00544471">
      <w:pPr>
        <w:tabs>
          <w:tab w:val="left" w:pos="4962"/>
        </w:tabs>
        <w:spacing w:line="276" w:lineRule="auto"/>
        <w:ind w:left="567" w:right="567"/>
        <w:jc w:val="both"/>
        <w:rPr>
          <w:rFonts w:ascii="Palatino Linotype" w:hAnsi="Palatino Linotype" w:cs="Tahoma"/>
          <w:i/>
          <w:iCs/>
          <w:sz w:val="22"/>
        </w:rPr>
      </w:pPr>
      <w:r w:rsidRPr="00424261">
        <w:rPr>
          <w:rFonts w:ascii="Palatino Linotype" w:hAnsi="Palatino Linotype" w:cs="Tahoma"/>
          <w:i/>
          <w:iCs/>
          <w:sz w:val="22"/>
        </w:rPr>
        <w:t>I. Contratos, Nombramientos o Formato Único de Movimientos de Personal, cuando no exista Convenio de condiciones generales de trabajo aplicable;</w:t>
      </w:r>
    </w:p>
    <w:p w14:paraId="049237CF" w14:textId="77777777" w:rsidR="00544471" w:rsidRPr="00424261" w:rsidRDefault="00544471" w:rsidP="00544471">
      <w:pPr>
        <w:tabs>
          <w:tab w:val="left" w:pos="4962"/>
        </w:tabs>
        <w:spacing w:line="276" w:lineRule="auto"/>
        <w:ind w:left="567" w:right="567"/>
        <w:jc w:val="both"/>
        <w:rPr>
          <w:rFonts w:ascii="Palatino Linotype" w:hAnsi="Palatino Linotype" w:cs="Tahoma"/>
          <w:b/>
          <w:i/>
          <w:iCs/>
          <w:sz w:val="22"/>
          <w:u w:val="single"/>
        </w:rPr>
      </w:pPr>
      <w:r w:rsidRPr="00424261">
        <w:rPr>
          <w:rFonts w:ascii="Palatino Linotype" w:hAnsi="Palatino Linotype" w:cs="Tahoma"/>
          <w:b/>
          <w:i/>
          <w:iCs/>
          <w:sz w:val="22"/>
        </w:rPr>
        <w:t>II. Recibos de pagos de salarios</w:t>
      </w:r>
      <w:r w:rsidRPr="00424261">
        <w:rPr>
          <w:rFonts w:ascii="Palatino Linotype" w:hAnsi="Palatino Linotype" w:cs="Tahoma"/>
          <w:b/>
          <w:i/>
          <w:iCs/>
          <w:sz w:val="22"/>
          <w:u w:val="single"/>
        </w:rPr>
        <w:t xml:space="preserve"> o las constancias documentales del pago de salario cuando sea por depósito o mediante información electrónica;</w:t>
      </w:r>
    </w:p>
    <w:p w14:paraId="7873A3B7" w14:textId="77777777" w:rsidR="00544471" w:rsidRPr="00424261" w:rsidRDefault="00544471" w:rsidP="00544471">
      <w:pPr>
        <w:tabs>
          <w:tab w:val="left" w:pos="4962"/>
        </w:tabs>
        <w:spacing w:line="276" w:lineRule="auto"/>
        <w:ind w:left="567" w:right="567"/>
        <w:jc w:val="both"/>
        <w:rPr>
          <w:rFonts w:ascii="Palatino Linotype" w:hAnsi="Palatino Linotype" w:cs="Tahoma"/>
          <w:i/>
          <w:iCs/>
          <w:sz w:val="22"/>
        </w:rPr>
      </w:pPr>
      <w:r w:rsidRPr="00424261">
        <w:rPr>
          <w:rFonts w:ascii="Palatino Linotype" w:hAnsi="Palatino Linotype" w:cs="Tahoma"/>
          <w:i/>
          <w:iCs/>
          <w:sz w:val="22"/>
        </w:rPr>
        <w:t>III. Controles de asistencia o la información magnética o electrónica de asistencia de los servidores públicos;</w:t>
      </w:r>
    </w:p>
    <w:p w14:paraId="075C8C91" w14:textId="77777777" w:rsidR="00544471" w:rsidRPr="00424261" w:rsidRDefault="00544471" w:rsidP="00544471">
      <w:pPr>
        <w:tabs>
          <w:tab w:val="left" w:pos="4962"/>
        </w:tabs>
        <w:spacing w:line="276" w:lineRule="auto"/>
        <w:ind w:left="567" w:right="567"/>
        <w:jc w:val="both"/>
        <w:rPr>
          <w:rFonts w:ascii="Palatino Linotype" w:hAnsi="Palatino Linotype" w:cs="Tahoma"/>
          <w:i/>
          <w:iCs/>
          <w:sz w:val="22"/>
        </w:rPr>
      </w:pPr>
      <w:r w:rsidRPr="00424261">
        <w:rPr>
          <w:rFonts w:ascii="Palatino Linotype" w:hAnsi="Palatino Linotype" w:cs="Tahoma"/>
          <w:b/>
          <w:i/>
          <w:iCs/>
          <w:sz w:val="22"/>
        </w:rPr>
        <w:t xml:space="preserve">IV. Recibos </w:t>
      </w:r>
      <w:r w:rsidRPr="00424261">
        <w:rPr>
          <w:rFonts w:ascii="Palatino Linotype" w:hAnsi="Palatino Linotype" w:cs="Tahoma"/>
          <w:b/>
          <w:i/>
          <w:iCs/>
          <w:sz w:val="22"/>
          <w:u w:val="single"/>
        </w:rPr>
        <w:t>o las constancias de depósito o del medio de información magnética o electrónica que sean utilizadas para el pago de salarios, prima vacacional, aguinaldo y demás prestaciones establecidas en la presente ley;</w:t>
      </w:r>
      <w:r w:rsidRPr="00424261">
        <w:rPr>
          <w:rFonts w:ascii="Palatino Linotype" w:hAnsi="Palatino Linotype" w:cs="Tahoma"/>
          <w:i/>
          <w:iCs/>
          <w:sz w:val="22"/>
        </w:rPr>
        <w:t xml:space="preserve"> y</w:t>
      </w:r>
    </w:p>
    <w:p w14:paraId="04894C41" w14:textId="77777777" w:rsidR="00544471" w:rsidRPr="00424261" w:rsidRDefault="00544471" w:rsidP="00544471">
      <w:pPr>
        <w:tabs>
          <w:tab w:val="left" w:pos="4962"/>
        </w:tabs>
        <w:spacing w:line="276" w:lineRule="auto"/>
        <w:ind w:left="567" w:right="567"/>
        <w:jc w:val="both"/>
        <w:rPr>
          <w:rFonts w:ascii="Palatino Linotype" w:hAnsi="Palatino Linotype" w:cs="Tahoma"/>
          <w:i/>
          <w:iCs/>
          <w:sz w:val="22"/>
        </w:rPr>
      </w:pPr>
      <w:r w:rsidRPr="00424261">
        <w:rPr>
          <w:rFonts w:ascii="Palatino Linotype" w:hAnsi="Palatino Linotype" w:cs="Tahoma"/>
          <w:i/>
          <w:iCs/>
          <w:sz w:val="22"/>
        </w:rPr>
        <w:t>V. Los demás que señalen las leyes.</w:t>
      </w:r>
    </w:p>
    <w:p w14:paraId="223F0839" w14:textId="77777777" w:rsidR="00544471" w:rsidRPr="00424261" w:rsidRDefault="00544471" w:rsidP="00544471">
      <w:pPr>
        <w:tabs>
          <w:tab w:val="left" w:pos="8222"/>
          <w:tab w:val="left" w:pos="8789"/>
        </w:tabs>
        <w:spacing w:line="276" w:lineRule="auto"/>
        <w:ind w:left="567" w:right="567"/>
        <w:jc w:val="both"/>
        <w:rPr>
          <w:rFonts w:ascii="Palatino Linotype" w:eastAsia="Times New Roman" w:hAnsi="Palatino Linotype"/>
          <w:bCs/>
          <w:i/>
          <w:iCs/>
          <w:sz w:val="22"/>
        </w:rPr>
      </w:pPr>
      <w:r w:rsidRPr="00424261">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424261">
        <w:rPr>
          <w:rFonts w:ascii="Palatino Linotype" w:eastAsia="Times New Roman" w:hAnsi="Palatino Linotype"/>
          <w:b/>
          <w:bCs/>
          <w:i/>
          <w:iCs/>
          <w:sz w:val="22"/>
        </w:rPr>
        <w:t>II, III, IV durante el último año y un año después de que se extinga la relación laboral,</w:t>
      </w:r>
      <w:r w:rsidRPr="00424261">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72B256E" w14:textId="77777777" w:rsidR="00544471" w:rsidRPr="00424261" w:rsidRDefault="00544471" w:rsidP="00544471">
      <w:pPr>
        <w:tabs>
          <w:tab w:val="left" w:pos="8222"/>
          <w:tab w:val="left" w:pos="8789"/>
        </w:tabs>
        <w:spacing w:line="276" w:lineRule="auto"/>
        <w:ind w:left="567" w:right="567"/>
        <w:jc w:val="both"/>
        <w:rPr>
          <w:rFonts w:ascii="Palatino Linotype" w:eastAsia="Times New Roman" w:hAnsi="Palatino Linotype"/>
          <w:bCs/>
          <w:i/>
          <w:iCs/>
          <w:sz w:val="22"/>
        </w:rPr>
      </w:pPr>
      <w:r w:rsidRPr="00424261">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7D47EC09" w14:textId="77777777" w:rsidR="00544471" w:rsidRPr="00424261" w:rsidRDefault="00544471" w:rsidP="00544471">
      <w:pPr>
        <w:tabs>
          <w:tab w:val="left" w:pos="8222"/>
          <w:tab w:val="left" w:pos="8789"/>
        </w:tabs>
        <w:spacing w:line="276" w:lineRule="auto"/>
        <w:ind w:left="567" w:right="567"/>
        <w:jc w:val="both"/>
        <w:rPr>
          <w:rFonts w:ascii="Palatino Linotype" w:eastAsia="Times New Roman" w:hAnsi="Palatino Linotype"/>
          <w:bCs/>
          <w:iCs/>
          <w:sz w:val="22"/>
        </w:rPr>
      </w:pPr>
      <w:r w:rsidRPr="00424261">
        <w:rPr>
          <w:rFonts w:ascii="Palatino Linotype" w:eastAsia="Times New Roman" w:hAnsi="Palatino Linotype"/>
          <w:bCs/>
          <w:iCs/>
          <w:sz w:val="22"/>
        </w:rPr>
        <w:t>(Énfasis añadido)</w:t>
      </w:r>
    </w:p>
    <w:p w14:paraId="1A46F06D" w14:textId="77777777" w:rsidR="00544471" w:rsidRPr="00424261" w:rsidRDefault="00544471"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32E01BE8" w14:textId="2751DB72"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De </w:t>
      </w:r>
      <w:r w:rsidRPr="00424261">
        <w:rPr>
          <w:rFonts w:ascii="Palatino Linotype" w:hAnsi="Palatino Linotype"/>
          <w:color w:val="000000" w:themeColor="text1"/>
          <w:lang w:val="es-ES_tradnl"/>
        </w:rPr>
        <w:t xml:space="preserve">lo anterior, se advierte que </w:t>
      </w:r>
      <w:r w:rsidRPr="00424261">
        <w:rPr>
          <w:rFonts w:ascii="Palatino Linotype" w:hAnsi="Palatino Linotype"/>
          <w:b/>
          <w:color w:val="000000" w:themeColor="text1"/>
          <w:lang w:val="es-ES_tradnl"/>
        </w:rPr>
        <w:t>toda institución pública o dependencia del Estado de México</w:t>
      </w:r>
      <w:r w:rsidRPr="00424261">
        <w:rPr>
          <w:rFonts w:ascii="Palatino Linotype" w:hAnsi="Palatino Linotype"/>
          <w:color w:val="000000" w:themeColor="text1"/>
          <w:lang w:val="es-ES_tradnl"/>
        </w:rPr>
        <w:t xml:space="preserve"> debe conservar las constancias documentales del </w:t>
      </w:r>
      <w:r w:rsidRPr="00424261">
        <w:rPr>
          <w:rFonts w:ascii="Palatino Linotype" w:hAnsi="Palatino Linotype"/>
          <w:b/>
          <w:color w:val="000000" w:themeColor="text1"/>
          <w:lang w:val="es-ES_tradnl"/>
        </w:rPr>
        <w:t>pago de salario</w:t>
      </w:r>
      <w:r w:rsidRPr="00424261">
        <w:rPr>
          <w:rFonts w:ascii="Palatino Linotype" w:hAnsi="Palatino Linotype"/>
          <w:color w:val="000000" w:themeColor="text1"/>
          <w:lang w:val="es-ES_tradnl"/>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3BCE3DD6" w14:textId="77777777" w:rsidR="007779E6" w:rsidRPr="00424261" w:rsidRDefault="007779E6"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0A89270C" w14:textId="2C79F2D6"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w:t>
      </w:r>
      <w:r w:rsidRPr="00424261">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424261">
        <w:rPr>
          <w:rFonts w:ascii="Palatino Linotype" w:eastAsia="MS Gothic" w:hAnsi="Palatino Linotype" w:cs="Times New Roman"/>
          <w:b/>
          <w:bCs/>
          <w:szCs w:val="26"/>
        </w:rPr>
        <w:t>“</w:t>
      </w:r>
      <w:r w:rsidRPr="00424261">
        <w:rPr>
          <w:rFonts w:ascii="Palatino Linotype" w:eastAsia="MS Gothic" w:hAnsi="Palatino Linotype" w:cs="Times New Roman"/>
          <w:b/>
          <w:bCs/>
          <w:szCs w:val="26"/>
          <w:u w:val="single"/>
        </w:rPr>
        <w:t>recibos o comprobantes de pago</w:t>
      </w:r>
      <w:r w:rsidRPr="00424261">
        <w:rPr>
          <w:rFonts w:ascii="Palatino Linotype" w:eastAsia="MS Gothic" w:hAnsi="Palatino Linotype" w:cs="Times New Roman"/>
          <w:b/>
          <w:bCs/>
          <w:szCs w:val="26"/>
        </w:rPr>
        <w:t>”</w:t>
      </w:r>
      <w:r w:rsidRPr="00424261">
        <w:rPr>
          <w:rFonts w:ascii="Palatino Linotype" w:eastAsia="MS Gothic" w:hAnsi="Palatino Linotype" w:cs="Times New Roman"/>
          <w:szCs w:val="26"/>
        </w:rPr>
        <w:t>, los cuales constituyen un instrumento mediante el cual el</w:t>
      </w:r>
      <w:r w:rsidRPr="00424261">
        <w:rPr>
          <w:rFonts w:ascii="Palatino Linotype" w:eastAsia="MS Gothic" w:hAnsi="Palatino Linotype" w:cs="Times New Roman"/>
          <w:b/>
          <w:bCs/>
          <w:szCs w:val="26"/>
        </w:rPr>
        <w:t xml:space="preserve"> SUJETO OBLIGADO </w:t>
      </w:r>
      <w:r w:rsidRPr="00424261">
        <w:rPr>
          <w:rFonts w:ascii="Palatino Linotype" w:eastAsia="MS Gothic" w:hAnsi="Palatino Linotype" w:cs="Times New Roman"/>
          <w:szCs w:val="26"/>
        </w:rPr>
        <w:t>acredita las remuneraciones al personal.</w:t>
      </w:r>
    </w:p>
    <w:p w14:paraId="60982670" w14:textId="77777777" w:rsidR="007779E6" w:rsidRPr="00424261" w:rsidRDefault="007779E6"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5B3373FA" w14:textId="2F8222ED"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w:t>
      </w:r>
      <w:r w:rsidRPr="00424261">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424261">
        <w:rPr>
          <w:rFonts w:ascii="Palatino Linotype" w:eastAsia="MS Mincho" w:hAnsi="Palatino Linotype" w:cs="Times New Roman"/>
          <w:b/>
          <w:bCs/>
        </w:rPr>
        <w:t>públicas.</w:t>
      </w:r>
    </w:p>
    <w:p w14:paraId="61942FC8" w14:textId="77777777" w:rsidR="007779E6" w:rsidRPr="00424261" w:rsidRDefault="007779E6"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44E35166" w14:textId="470308C8"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Sirve </w:t>
      </w:r>
      <w:r w:rsidRPr="0042426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B503A83" w14:textId="656B7CE6" w:rsidR="007779E6" w:rsidRPr="00424261" w:rsidRDefault="007779E6" w:rsidP="00544471">
      <w:pPr>
        <w:pStyle w:val="Prrafodelista"/>
        <w:tabs>
          <w:tab w:val="left" w:pos="426"/>
        </w:tabs>
        <w:spacing w:before="240" w:line="360" w:lineRule="auto"/>
        <w:ind w:left="0" w:right="51"/>
        <w:jc w:val="both"/>
        <w:rPr>
          <w:rFonts w:ascii="Palatino Linotype" w:hAnsi="Palatino Linotype"/>
          <w:color w:val="000000" w:themeColor="text1"/>
        </w:rPr>
      </w:pPr>
    </w:p>
    <w:p w14:paraId="3625B924" w14:textId="77777777" w:rsidR="00544471" w:rsidRPr="00424261" w:rsidRDefault="00544471" w:rsidP="00544471">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424261">
        <w:rPr>
          <w:rFonts w:ascii="Palatino Linotype" w:eastAsia="Calibri" w:hAnsi="Palatino Linotype" w:cs="Arial"/>
          <w:b/>
          <w:i/>
          <w:iCs/>
          <w:color w:val="000000"/>
          <w:sz w:val="22"/>
          <w:shd w:val="clear" w:color="auto" w:fill="FFFFFF"/>
        </w:rPr>
        <w:t>Criterio 01/2003.</w:t>
      </w:r>
    </w:p>
    <w:p w14:paraId="603C6D19" w14:textId="77777777" w:rsidR="00544471" w:rsidRPr="00424261" w:rsidRDefault="00544471" w:rsidP="00544471">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424261">
        <w:rPr>
          <w:rFonts w:ascii="Palatino Linotype" w:eastAsia="Calibri" w:hAnsi="Palatino Linotype" w:cs="Arial"/>
          <w:b/>
          <w:i/>
          <w:iCs/>
          <w:color w:val="000000"/>
          <w:sz w:val="22"/>
          <w:shd w:val="clear" w:color="auto" w:fill="FFFFFF"/>
        </w:rPr>
        <w:lastRenderedPageBreak/>
        <w:t>INGRESOS DE LOS SERVIDORES PÚBLICOS. CONSTITUYEN INFORMACIÓN PÚBLICA AÚN CUANDO SU DIFUSIÓN PUEDE AFECTAR LA VIDA O LA SEGURIDAD DE AQUELLOS</w:t>
      </w:r>
      <w:r w:rsidRPr="00424261">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9323BD1" w14:textId="77777777" w:rsidR="00544471" w:rsidRPr="00424261" w:rsidRDefault="00544471" w:rsidP="00544471">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672D6B55" w14:textId="77777777" w:rsidR="00544471" w:rsidRPr="00424261" w:rsidRDefault="00544471" w:rsidP="00544471">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424261">
        <w:rPr>
          <w:rFonts w:ascii="Palatino Linotype" w:eastAsia="Calibri" w:hAnsi="Palatino Linotype" w:cs="Arial"/>
          <w:b/>
          <w:i/>
          <w:iCs/>
          <w:color w:val="000000"/>
          <w:sz w:val="22"/>
          <w:shd w:val="clear" w:color="auto" w:fill="FFFFFF"/>
        </w:rPr>
        <w:t>Criterio 02/2003.</w:t>
      </w:r>
    </w:p>
    <w:p w14:paraId="547B94BD" w14:textId="77777777" w:rsidR="00544471" w:rsidRPr="00424261" w:rsidRDefault="00544471" w:rsidP="00544471">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424261">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424261">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44A51F7C" w14:textId="77777777" w:rsidR="00544471" w:rsidRPr="00424261" w:rsidRDefault="00544471"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114485FD" w14:textId="535B2CA2"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Esto </w:t>
      </w:r>
      <w:r w:rsidRPr="00424261">
        <w:rPr>
          <w:rFonts w:ascii="Palatino Linotype" w:eastAsia="MS Mincho" w:hAnsi="Palatino Linotype" w:cs="Times New Roman"/>
        </w:rPr>
        <w:t xml:space="preserve">es, en razón de que las remuneraciones señaladas en párrafos anteriores son pagadas mediante la aplicación de fondos públicos, dichas erogaciones son </w:t>
      </w:r>
      <w:r w:rsidRPr="00424261">
        <w:rPr>
          <w:rFonts w:ascii="Palatino Linotype" w:eastAsia="MS Mincho" w:hAnsi="Palatino Linotype" w:cs="Times New Roman"/>
        </w:rPr>
        <w:lastRenderedPageBreak/>
        <w:t>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D9668B5" w14:textId="0DC05A8D" w:rsidR="007779E6" w:rsidRPr="00424261" w:rsidRDefault="007779E6" w:rsidP="00544471">
      <w:pPr>
        <w:pStyle w:val="Prrafodelista"/>
        <w:tabs>
          <w:tab w:val="left" w:pos="426"/>
        </w:tabs>
        <w:spacing w:before="240" w:line="360" w:lineRule="auto"/>
        <w:ind w:left="0" w:right="51"/>
        <w:jc w:val="both"/>
        <w:rPr>
          <w:rFonts w:ascii="Palatino Linotype" w:hAnsi="Palatino Linotype"/>
          <w:color w:val="000000" w:themeColor="text1"/>
        </w:rPr>
      </w:pPr>
    </w:p>
    <w:p w14:paraId="7806616D" w14:textId="77777777" w:rsidR="00544471" w:rsidRPr="00424261" w:rsidRDefault="00544471" w:rsidP="00544471">
      <w:pPr>
        <w:pStyle w:val="Prrafodelista"/>
        <w:spacing w:line="276" w:lineRule="auto"/>
        <w:ind w:left="567" w:right="567"/>
        <w:jc w:val="both"/>
        <w:rPr>
          <w:rFonts w:ascii="Palatino Linotype" w:eastAsia="Times New Roman" w:hAnsi="Palatino Linotype" w:cs="Arial"/>
          <w:b/>
          <w:i/>
          <w:iCs/>
          <w:sz w:val="22"/>
          <w:lang w:val="es-ES"/>
        </w:rPr>
      </w:pPr>
      <w:r w:rsidRPr="00424261">
        <w:rPr>
          <w:rFonts w:ascii="Palatino Linotype" w:eastAsia="Times New Roman" w:hAnsi="Palatino Linotype" w:cs="Arial"/>
          <w:b/>
          <w:i/>
          <w:iCs/>
          <w:sz w:val="22"/>
          <w:lang w:val="es-ES"/>
        </w:rPr>
        <w:t>“Artículo 61.</w:t>
      </w:r>
    </w:p>
    <w:p w14:paraId="27D4913A" w14:textId="77777777" w:rsidR="00544471" w:rsidRPr="00424261" w:rsidRDefault="00544471" w:rsidP="00544471">
      <w:pPr>
        <w:pStyle w:val="Prrafodelista"/>
        <w:spacing w:line="276" w:lineRule="auto"/>
        <w:ind w:left="567" w:right="567"/>
        <w:jc w:val="both"/>
        <w:rPr>
          <w:rFonts w:ascii="Palatino Linotype" w:eastAsia="Times New Roman" w:hAnsi="Palatino Linotype" w:cs="Arial"/>
          <w:iCs/>
          <w:sz w:val="22"/>
          <w:szCs w:val="10"/>
          <w:lang w:val="es-ES"/>
        </w:rPr>
      </w:pPr>
      <w:r w:rsidRPr="00424261">
        <w:rPr>
          <w:rFonts w:ascii="Palatino Linotype" w:eastAsia="Times New Roman" w:hAnsi="Palatino Linotype" w:cs="Arial"/>
          <w:iCs/>
          <w:sz w:val="22"/>
          <w:szCs w:val="10"/>
          <w:lang w:val="es-ES"/>
        </w:rPr>
        <w:t>(…)</w:t>
      </w:r>
    </w:p>
    <w:p w14:paraId="20D43703" w14:textId="77777777" w:rsidR="00544471" w:rsidRPr="00424261" w:rsidRDefault="00544471" w:rsidP="00544471">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424261">
        <w:rPr>
          <w:rFonts w:ascii="Palatino Linotype" w:hAnsi="Palatino Linotype" w:cs="Bookman Old Style"/>
          <w:b/>
          <w:i/>
          <w:iCs/>
          <w:sz w:val="22"/>
        </w:rPr>
        <w:t>XXXIII.</w:t>
      </w:r>
      <w:r w:rsidRPr="00424261">
        <w:rPr>
          <w:rFonts w:ascii="Palatino Linotype" w:hAnsi="Palatino Linotype" w:cs="Bookman Old Style"/>
          <w:i/>
          <w:iCs/>
          <w:sz w:val="22"/>
        </w:rPr>
        <w:t xml:space="preserve"> Revisar, por conducto del </w:t>
      </w:r>
      <w:r w:rsidRPr="00424261">
        <w:rPr>
          <w:rFonts w:ascii="Palatino Linotype" w:hAnsi="Palatino Linotype" w:cs="Bookman Old Style"/>
          <w:b/>
          <w:i/>
          <w:iCs/>
          <w:sz w:val="22"/>
        </w:rPr>
        <w:t>Órgano Superior de Fiscalización del Estado de México</w:t>
      </w:r>
      <w:r w:rsidRPr="00424261">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84F38DF" w14:textId="77777777" w:rsidR="00544471" w:rsidRPr="00424261" w:rsidRDefault="00544471" w:rsidP="00544471">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424261">
        <w:rPr>
          <w:rFonts w:ascii="Palatino Linotype" w:hAnsi="Palatino Linotype" w:cs="Bookman Old Style"/>
          <w:i/>
          <w:iCs/>
          <w:sz w:val="22"/>
        </w:rPr>
        <w:t>(…)</w:t>
      </w:r>
    </w:p>
    <w:p w14:paraId="62458120" w14:textId="77777777" w:rsidR="00544471" w:rsidRPr="00424261" w:rsidRDefault="00544471" w:rsidP="00544471">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424261">
        <w:rPr>
          <w:rFonts w:ascii="Palatino Linotype" w:hAnsi="Palatino Linotype" w:cs="Bookman Old Style"/>
          <w:b/>
          <w:i/>
          <w:iCs/>
          <w:sz w:val="22"/>
        </w:rPr>
        <w:t>XXXIV.</w:t>
      </w:r>
      <w:r w:rsidRPr="00424261">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424261">
        <w:rPr>
          <w:rFonts w:ascii="Palatino Linotype" w:hAnsi="Palatino Linotype" w:cs="Bookman Old Style"/>
          <w:b/>
          <w:i/>
          <w:iCs/>
          <w:sz w:val="22"/>
        </w:rPr>
        <w:t>Órgano Superior de Fiscalización</w:t>
      </w:r>
      <w:r w:rsidRPr="00424261">
        <w:rPr>
          <w:rFonts w:ascii="Palatino Linotype" w:hAnsi="Palatino Linotype" w:cs="Bookman Old Style"/>
          <w:i/>
          <w:iCs/>
          <w:sz w:val="22"/>
        </w:rPr>
        <w:t>.”</w:t>
      </w:r>
    </w:p>
    <w:p w14:paraId="1F7798B8" w14:textId="77777777" w:rsidR="00544471" w:rsidRPr="00424261" w:rsidRDefault="00544471" w:rsidP="00544471">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424261">
        <w:rPr>
          <w:rFonts w:ascii="Palatino Linotype" w:hAnsi="Palatino Linotype" w:cs="Bookman Old Style"/>
          <w:iCs/>
          <w:sz w:val="22"/>
        </w:rPr>
        <w:t>(Énfasis añadido)</w:t>
      </w:r>
    </w:p>
    <w:p w14:paraId="3A7071CA" w14:textId="77777777" w:rsidR="00544471" w:rsidRPr="00424261" w:rsidRDefault="00544471"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5B0E0F8C" w14:textId="74040407"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Correlativo </w:t>
      </w:r>
      <w:r w:rsidRPr="00424261">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424261">
        <w:rPr>
          <w:rFonts w:ascii="Palatino Linotype" w:eastAsia="MS Mincho" w:hAnsi="Palatino Linotype" w:cs="Times New Roman"/>
          <w:b/>
        </w:rPr>
        <w:t>SUJETO OBLIGADO</w:t>
      </w:r>
      <w:r w:rsidRPr="00424261">
        <w:rPr>
          <w:rFonts w:ascii="Palatino Linotype" w:eastAsia="MS Mincho" w:hAnsi="Palatino Linotype" w:cs="Times New Roman"/>
        </w:rPr>
        <w:t xml:space="preserve"> se halla reconocido como un Sujeto de Fiscalización con base en los artículos 2, fracción II, y 4, fracción II:</w:t>
      </w:r>
    </w:p>
    <w:p w14:paraId="312EE78E" w14:textId="54F738CE" w:rsidR="007779E6" w:rsidRPr="00424261" w:rsidRDefault="007779E6" w:rsidP="00544471">
      <w:pPr>
        <w:pStyle w:val="Prrafodelista"/>
        <w:tabs>
          <w:tab w:val="left" w:pos="426"/>
        </w:tabs>
        <w:spacing w:before="240" w:line="360" w:lineRule="auto"/>
        <w:ind w:left="0" w:right="51"/>
        <w:jc w:val="both"/>
        <w:rPr>
          <w:rFonts w:ascii="Palatino Linotype" w:hAnsi="Palatino Linotype"/>
          <w:color w:val="000000" w:themeColor="text1"/>
        </w:rPr>
      </w:pPr>
    </w:p>
    <w:p w14:paraId="6FA3BE64"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i/>
          <w:sz w:val="22"/>
        </w:rPr>
        <w:t>“</w:t>
      </w:r>
      <w:r w:rsidRPr="00424261">
        <w:rPr>
          <w:rFonts w:ascii="Palatino Linotype" w:hAnsi="Palatino Linotype"/>
          <w:b/>
          <w:i/>
          <w:sz w:val="22"/>
        </w:rPr>
        <w:t>Artículo 2.</w:t>
      </w:r>
      <w:r w:rsidRPr="00424261">
        <w:rPr>
          <w:rFonts w:ascii="Palatino Linotype" w:hAnsi="Palatino Linotype"/>
          <w:i/>
          <w:sz w:val="22"/>
        </w:rPr>
        <w:t xml:space="preserve"> Para los efectos de la presente Ley, se entenderá por:</w:t>
      </w:r>
    </w:p>
    <w:p w14:paraId="77CBEB13"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i/>
          <w:sz w:val="22"/>
        </w:rPr>
        <w:t>(…)</w:t>
      </w:r>
    </w:p>
    <w:p w14:paraId="650635B4"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b/>
          <w:i/>
          <w:sz w:val="22"/>
        </w:rPr>
        <w:lastRenderedPageBreak/>
        <w:t>II.</w:t>
      </w:r>
      <w:r w:rsidRPr="00424261">
        <w:rPr>
          <w:rFonts w:ascii="Palatino Linotype" w:hAnsi="Palatino Linotype"/>
          <w:i/>
          <w:sz w:val="22"/>
        </w:rPr>
        <w:t xml:space="preserve"> Municipios: A los Municipios del Estado;</w:t>
      </w:r>
    </w:p>
    <w:p w14:paraId="3A4739B2"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i/>
          <w:sz w:val="22"/>
        </w:rPr>
        <w:t>(…)</w:t>
      </w:r>
    </w:p>
    <w:p w14:paraId="597D2C71" w14:textId="77777777" w:rsidR="00544471" w:rsidRPr="00424261" w:rsidRDefault="00544471" w:rsidP="00544471">
      <w:pPr>
        <w:spacing w:line="276" w:lineRule="auto"/>
        <w:ind w:left="567" w:right="567"/>
        <w:contextualSpacing/>
        <w:jc w:val="both"/>
        <w:rPr>
          <w:rFonts w:ascii="Palatino Linotype" w:hAnsi="Palatino Linotype"/>
          <w:i/>
          <w:sz w:val="22"/>
        </w:rPr>
      </w:pPr>
    </w:p>
    <w:p w14:paraId="321ECF88"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b/>
          <w:i/>
          <w:sz w:val="22"/>
        </w:rPr>
        <w:t>Artículo 4.-</w:t>
      </w:r>
      <w:r w:rsidRPr="00424261">
        <w:rPr>
          <w:rFonts w:ascii="Palatino Linotype" w:hAnsi="Palatino Linotype"/>
          <w:i/>
          <w:sz w:val="22"/>
        </w:rPr>
        <w:t xml:space="preserve"> Son sujetos de fiscalización:</w:t>
      </w:r>
    </w:p>
    <w:p w14:paraId="630C5E22"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i/>
          <w:sz w:val="22"/>
        </w:rPr>
        <w:t>(…)</w:t>
      </w:r>
    </w:p>
    <w:p w14:paraId="6C84345C"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b/>
          <w:i/>
          <w:sz w:val="22"/>
        </w:rPr>
        <w:t>II.</w:t>
      </w:r>
      <w:r w:rsidRPr="00424261">
        <w:rPr>
          <w:rFonts w:ascii="Palatino Linotype" w:hAnsi="Palatino Linotype"/>
          <w:i/>
          <w:sz w:val="22"/>
        </w:rPr>
        <w:t xml:space="preserve"> Los municipios del Estado de México; </w:t>
      </w:r>
    </w:p>
    <w:p w14:paraId="26D9B0D9" w14:textId="77777777" w:rsidR="00544471" w:rsidRPr="00424261" w:rsidRDefault="00544471" w:rsidP="00544471">
      <w:pPr>
        <w:spacing w:line="276" w:lineRule="auto"/>
        <w:ind w:left="567" w:right="567"/>
        <w:contextualSpacing/>
        <w:jc w:val="both"/>
        <w:rPr>
          <w:rFonts w:ascii="Palatino Linotype" w:hAnsi="Palatino Linotype"/>
          <w:i/>
          <w:sz w:val="22"/>
        </w:rPr>
      </w:pPr>
      <w:r w:rsidRPr="00424261">
        <w:rPr>
          <w:rFonts w:ascii="Palatino Linotype" w:hAnsi="Palatino Linotype"/>
          <w:i/>
          <w:sz w:val="22"/>
        </w:rPr>
        <w:t>(…)”</w:t>
      </w:r>
    </w:p>
    <w:p w14:paraId="6D75F745" w14:textId="77777777" w:rsidR="00544471" w:rsidRPr="00424261" w:rsidRDefault="00544471"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08449C85" w14:textId="4DA26686" w:rsidR="007779E6" w:rsidRPr="00424261" w:rsidRDefault="0054447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Establecido </w:t>
      </w:r>
      <w:r w:rsidRPr="00424261">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424261">
        <w:rPr>
          <w:rFonts w:ascii="Palatino Linotype" w:eastAsia="MS Mincho" w:hAnsi="Palatino Linotype" w:cs="Times New Roman"/>
          <w:b/>
          <w:bCs/>
        </w:rPr>
        <w:t>“</w:t>
      </w:r>
      <w:r w:rsidR="000C4422" w:rsidRPr="00424261">
        <w:rPr>
          <w:rFonts w:ascii="Palatino Linotype" w:eastAsia="MS Mincho" w:hAnsi="Palatino Linotype" w:cs="Times New Roman"/>
          <w:b/>
          <w:bCs/>
        </w:rPr>
        <w:t>Políticas para la Integración del Informe Trimestral de los Sujetos de Fiscalización Municipales</w:t>
      </w:r>
      <w:r w:rsidRPr="00424261">
        <w:rPr>
          <w:rFonts w:ascii="Palatino Linotype" w:eastAsia="MS Mincho" w:hAnsi="Palatino Linotype" w:cs="Times New Roman"/>
          <w:b/>
          <w:bCs/>
        </w:rPr>
        <w:t>”</w:t>
      </w:r>
      <w:r w:rsidRPr="00424261">
        <w:rPr>
          <w:rFonts w:ascii="Palatino Linotype" w:eastAsia="MS Mincho" w:hAnsi="Palatino Linotype" w:cs="Times New Roman"/>
        </w:rPr>
        <w:t>, cuyo objetivo es establecer las especificaciones necesarias para que las entidades fiscales elaboren y presentes los referidos informes.</w:t>
      </w:r>
    </w:p>
    <w:p w14:paraId="1A6675B6" w14:textId="77777777" w:rsidR="007779E6" w:rsidRPr="00424261" w:rsidRDefault="007779E6"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10B3CBB4" w14:textId="44A82F08" w:rsidR="007779E6" w:rsidRPr="00424261" w:rsidRDefault="001568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Las políticas </w:t>
      </w:r>
      <w:r w:rsidRPr="00424261">
        <w:rPr>
          <w:rFonts w:ascii="Palatino Linotype" w:hAnsi="Palatino Linotype"/>
          <w:color w:val="000000" w:themeColor="text1"/>
          <w:lang w:val="es-ES_tradnl"/>
        </w:rPr>
        <w:t>son de observancia general para todos los servidores públicos de las entidades fiscalizables de la administración pública municipal que desempeñen un empleo, cargo o comisión y que manejen recursos públicos.</w:t>
      </w:r>
    </w:p>
    <w:p w14:paraId="10C572A7" w14:textId="77777777" w:rsidR="007779E6" w:rsidRPr="00424261" w:rsidRDefault="007779E6" w:rsidP="007779E6">
      <w:pPr>
        <w:pStyle w:val="Prrafodelista"/>
        <w:tabs>
          <w:tab w:val="left" w:pos="426"/>
        </w:tabs>
        <w:spacing w:before="240" w:after="240" w:line="360" w:lineRule="auto"/>
        <w:ind w:left="0" w:right="51"/>
        <w:jc w:val="both"/>
        <w:rPr>
          <w:rFonts w:ascii="Palatino Linotype" w:hAnsi="Palatino Linotype"/>
          <w:color w:val="000000" w:themeColor="text1"/>
        </w:rPr>
      </w:pPr>
    </w:p>
    <w:p w14:paraId="51E76CE1" w14:textId="5DDFC5C1" w:rsidR="007779E6" w:rsidRPr="00424261" w:rsidRDefault="001568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La </w:t>
      </w:r>
      <w:r w:rsidRPr="00424261">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066CD1E2" w14:textId="6CB252AE" w:rsidR="000C4422" w:rsidRPr="00424261" w:rsidRDefault="000C4422" w:rsidP="001568FB">
      <w:pPr>
        <w:pStyle w:val="Prrafodelista"/>
        <w:tabs>
          <w:tab w:val="left" w:pos="426"/>
        </w:tabs>
        <w:spacing w:before="240" w:line="360" w:lineRule="auto"/>
        <w:ind w:left="0" w:right="51"/>
        <w:jc w:val="both"/>
        <w:rPr>
          <w:rFonts w:ascii="Palatino Linotype" w:hAnsi="Palatino Linotype"/>
          <w:color w:val="000000" w:themeColor="text1"/>
        </w:rPr>
      </w:pPr>
    </w:p>
    <w:p w14:paraId="6D4F5DB5" w14:textId="77777777" w:rsidR="001568FB" w:rsidRPr="00424261" w:rsidRDefault="001568FB" w:rsidP="001568FB">
      <w:pPr>
        <w:pStyle w:val="Prrafodelista"/>
        <w:autoSpaceDE w:val="0"/>
        <w:autoSpaceDN w:val="0"/>
        <w:adjustRightInd w:val="0"/>
        <w:spacing w:line="276" w:lineRule="auto"/>
        <w:ind w:left="567" w:right="616"/>
        <w:jc w:val="both"/>
        <w:rPr>
          <w:rFonts w:ascii="Palatino Linotype" w:hAnsi="Palatino Linotype" w:cs="Arial"/>
          <w:i/>
          <w:iCs/>
          <w:sz w:val="22"/>
        </w:rPr>
      </w:pPr>
      <w:r w:rsidRPr="00424261">
        <w:rPr>
          <w:rFonts w:ascii="Palatino Linotype" w:hAnsi="Palatino Linotype" w:cs="Arial"/>
          <w:b/>
          <w:i/>
          <w:iCs/>
          <w:sz w:val="22"/>
        </w:rPr>
        <w:t>a)</w:t>
      </w:r>
      <w:r w:rsidRPr="00424261">
        <w:rPr>
          <w:rFonts w:ascii="Palatino Linotype" w:hAnsi="Palatino Linotype" w:cs="Arial"/>
          <w:i/>
          <w:iCs/>
          <w:sz w:val="22"/>
        </w:rPr>
        <w:t xml:space="preserve"> Información impresa.</w:t>
      </w:r>
    </w:p>
    <w:p w14:paraId="18CAE98F" w14:textId="77777777" w:rsidR="001568FB" w:rsidRPr="00424261" w:rsidRDefault="001568FB" w:rsidP="001568FB">
      <w:pPr>
        <w:pStyle w:val="Prrafodelista"/>
        <w:autoSpaceDE w:val="0"/>
        <w:autoSpaceDN w:val="0"/>
        <w:adjustRightInd w:val="0"/>
        <w:spacing w:line="276" w:lineRule="auto"/>
        <w:ind w:left="567" w:right="616"/>
        <w:jc w:val="both"/>
        <w:rPr>
          <w:rFonts w:ascii="Palatino Linotype" w:eastAsia="Arial" w:hAnsi="Palatino Linotype" w:cs="Arial"/>
          <w:sz w:val="20"/>
          <w:lang w:eastAsia="en-US"/>
        </w:rPr>
      </w:pPr>
      <w:r w:rsidRPr="00424261">
        <w:rPr>
          <w:rFonts w:ascii="Palatino Linotype" w:hAnsi="Palatino Linotype" w:cs="Arial"/>
          <w:b/>
          <w:i/>
          <w:iCs/>
          <w:sz w:val="22"/>
        </w:rPr>
        <w:t>b)</w:t>
      </w:r>
      <w:r w:rsidRPr="00424261">
        <w:rPr>
          <w:rFonts w:ascii="Palatino Linotype" w:hAnsi="Palatino Linotype" w:cs="Arial"/>
          <w:i/>
          <w:iCs/>
          <w:sz w:val="22"/>
        </w:rPr>
        <w:t xml:space="preserve"> Información en medio de almacenamiento electrónico, discos compactos (CD).</w:t>
      </w:r>
    </w:p>
    <w:p w14:paraId="28B892AE" w14:textId="77777777" w:rsidR="001568FB" w:rsidRPr="00424261" w:rsidRDefault="001568FB"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64FEC80D" w14:textId="5B24A04C" w:rsidR="000C4422" w:rsidRPr="00424261" w:rsidRDefault="001568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Por </w:t>
      </w:r>
      <w:r w:rsidRPr="00424261">
        <w:rPr>
          <w:rFonts w:ascii="Palatino Linotype" w:eastAsia="MS Mincho" w:hAnsi="Palatino Linotype" w:cs="Times New Roman"/>
        </w:rPr>
        <w:t>cuanto hace a la información en medio de almacenamiento electrónico, los Lineamientos para la Entrega del Informe Trimestral Municipal, refieren que comprenderá documentos digitalizados y en formato PDF, XLS, XML, así como TXT, la cual se integrará en seis módulos, a saber:</w:t>
      </w:r>
    </w:p>
    <w:p w14:paraId="3450F0F3" w14:textId="45A400D8"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3FC12CB2" w14:textId="431E84E0" w:rsidR="001568FB" w:rsidRPr="00424261" w:rsidRDefault="001568FB" w:rsidP="001568FB">
      <w:pPr>
        <w:pStyle w:val="Prrafodelista"/>
        <w:tabs>
          <w:tab w:val="left" w:pos="426"/>
        </w:tabs>
        <w:spacing w:before="240" w:after="240" w:line="360" w:lineRule="auto"/>
        <w:ind w:left="0" w:right="51"/>
        <w:jc w:val="center"/>
        <w:rPr>
          <w:rFonts w:ascii="Palatino Linotype" w:hAnsi="Palatino Linotype"/>
          <w:color w:val="000000" w:themeColor="text1"/>
        </w:rPr>
      </w:pPr>
      <w:r w:rsidRPr="00424261">
        <w:object w:dxaOrig="12765" w:dyaOrig="5235" w14:anchorId="37D40E07">
          <v:shape id="_x0000_i1026" type="#_x0000_t75" style="width:384.3pt;height:158.0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6" DrawAspect="Content" ObjectID="_1717410142" r:id="rId13"/>
        </w:object>
      </w:r>
    </w:p>
    <w:p w14:paraId="08ABE605" w14:textId="77777777" w:rsidR="001568FB" w:rsidRPr="00424261" w:rsidRDefault="001568FB"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324BC5F9" w14:textId="270F7680" w:rsidR="000C4422" w:rsidRPr="00424261" w:rsidRDefault="001568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cuanto hace al Módulo 4, de la Información Administrativa, éste se compondrá de cinco submódulos:</w:t>
      </w:r>
    </w:p>
    <w:p w14:paraId="0407C943" w14:textId="361FDA70" w:rsidR="001568FB" w:rsidRPr="00424261" w:rsidRDefault="001568FB" w:rsidP="001568F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Obra.</w:t>
      </w:r>
    </w:p>
    <w:p w14:paraId="423B6DAB" w14:textId="77777777" w:rsidR="001568FB" w:rsidRPr="00424261" w:rsidRDefault="001568FB" w:rsidP="001568F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Nómina. </w:t>
      </w:r>
    </w:p>
    <w:p w14:paraId="796B9384" w14:textId="50B170A6" w:rsidR="001568FB" w:rsidRPr="00424261" w:rsidRDefault="001568FB" w:rsidP="001568FB">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424261">
        <w:rPr>
          <w:rFonts w:ascii="Palatino Linotype" w:hAnsi="Palatino Linotype"/>
          <w:b/>
          <w:bCs/>
          <w:color w:val="000000" w:themeColor="text1"/>
        </w:rPr>
        <w:t>Comprobantes fiscales.</w:t>
      </w:r>
    </w:p>
    <w:p w14:paraId="0332D8BD" w14:textId="2EF74B2A" w:rsidR="001568FB" w:rsidRPr="00424261" w:rsidRDefault="001568FB" w:rsidP="001568F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Información Mensual de BMel.</w:t>
      </w:r>
    </w:p>
    <w:p w14:paraId="50B6804B" w14:textId="417B2FC5" w:rsidR="001568FB" w:rsidRPr="00424261" w:rsidRDefault="001568FB" w:rsidP="001568F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Información Trimestral de BMel.</w:t>
      </w:r>
    </w:p>
    <w:p w14:paraId="2E337272"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4F33CC11" w14:textId="63781955" w:rsidR="000C4422" w:rsidRPr="00424261" w:rsidRDefault="001568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w:t>
      </w:r>
      <w:r w:rsidRPr="00424261">
        <w:rPr>
          <w:rFonts w:ascii="Palatino Linotype" w:hAnsi="Palatino Linotype"/>
          <w:color w:val="000000" w:themeColor="text1"/>
          <w:lang w:val="es-ES_tradnl"/>
        </w:rPr>
        <w:t xml:space="preserve">se desprende que el </w:t>
      </w:r>
      <w:r w:rsidRPr="00424261">
        <w:rPr>
          <w:rFonts w:ascii="Palatino Linotype" w:hAnsi="Palatino Linotype"/>
          <w:b/>
          <w:color w:val="000000" w:themeColor="text1"/>
          <w:lang w:val="es-ES_tradnl"/>
        </w:rPr>
        <w:t>SUJETO OBLIGADO</w:t>
      </w:r>
      <w:r w:rsidRPr="00424261">
        <w:rPr>
          <w:rFonts w:ascii="Palatino Linotype" w:hAnsi="Palatino Linotype"/>
          <w:color w:val="000000" w:themeColor="text1"/>
          <w:lang w:val="es-ES_tradnl"/>
        </w:rPr>
        <w:t xml:space="preserve"> tiene la obligación de entregar trimestralmente al Órgano Superior de Fiscalización del Estado de México el soporte documental de los </w:t>
      </w:r>
      <w:r w:rsidRPr="00424261">
        <w:rPr>
          <w:rFonts w:ascii="Palatino Linotype" w:hAnsi="Palatino Linotype"/>
          <w:b/>
          <w:color w:val="000000" w:themeColor="text1"/>
          <w:lang w:val="es-ES_tradnl"/>
        </w:rPr>
        <w:t>comprobantes fiscales digitales</w:t>
      </w:r>
      <w:r w:rsidRPr="00424261">
        <w:rPr>
          <w:rFonts w:ascii="Palatino Linotype" w:hAnsi="Palatino Linotype"/>
          <w:color w:val="000000" w:themeColor="text1"/>
          <w:lang w:val="es-ES_tradnl"/>
        </w:rPr>
        <w:t xml:space="preserve"> que se generan por </w:t>
      </w:r>
      <w:r w:rsidRPr="00424261">
        <w:rPr>
          <w:rFonts w:ascii="Palatino Linotype" w:hAnsi="Palatino Linotype"/>
          <w:color w:val="000000" w:themeColor="text1"/>
          <w:lang w:val="es-ES_tradnl"/>
        </w:rPr>
        <w:lastRenderedPageBreak/>
        <w:t>concepto de honorarios y por nómina correspondiente a los periodos comprendidos del 01 al 15 y del 16 al 28, 29, 30 o 31 (según corresponda) de cada mes; documentos que se traducen en la información solicitada.</w:t>
      </w:r>
    </w:p>
    <w:p w14:paraId="34DC9159"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5C2F5503" w14:textId="65A6079A" w:rsidR="000C4422" w:rsidRPr="00424261" w:rsidRDefault="00FE73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En </w:t>
      </w:r>
      <w:r w:rsidRPr="00424261">
        <w:rPr>
          <w:rFonts w:ascii="Palatino Linotype" w:hAnsi="Palatino Linotype"/>
        </w:rPr>
        <w:t xml:space="preserve">ese sentido, se concluye que el </w:t>
      </w:r>
      <w:r w:rsidRPr="00424261">
        <w:rPr>
          <w:rFonts w:ascii="Palatino Linotype" w:hAnsi="Palatino Linotype"/>
          <w:b/>
        </w:rPr>
        <w:t>SUJETO OBLIGADO</w:t>
      </w:r>
      <w:r w:rsidRPr="00424261">
        <w:rPr>
          <w:rFonts w:ascii="Palatino Linotype" w:hAnsi="Palatino Linotype"/>
        </w:rPr>
        <w:t xml:space="preserve"> cuenta con las atribuciones suficientes, para que en el ejercicio de éstas, hubiere generado los documentos mediante los cuales el derecho de acceso a la información de la parte </w:t>
      </w:r>
      <w:r w:rsidRPr="00424261">
        <w:rPr>
          <w:rFonts w:ascii="Palatino Linotype" w:hAnsi="Palatino Linotype"/>
          <w:b/>
        </w:rPr>
        <w:t>RECURRENTE</w:t>
      </w:r>
      <w:r w:rsidRPr="00424261">
        <w:rPr>
          <w:rFonts w:ascii="Palatino Linotype" w:hAnsi="Palatino Linotype"/>
        </w:rPr>
        <w:t xml:space="preserve"> pueda atenderse, concretamente los recibos de nómina del personal de seguridad, que debe generar como parte del cumplimiento de sus obligaciones fiscales.</w:t>
      </w:r>
    </w:p>
    <w:p w14:paraId="5D031D64"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7A65CCD3" w14:textId="5290B928" w:rsidR="000C4422" w:rsidRPr="00424261" w:rsidRDefault="00FE73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 </w:t>
      </w:r>
      <w:r w:rsidRPr="00424261">
        <w:rPr>
          <w:rFonts w:ascii="Palatino Linotype" w:hAnsi="Palatino Linotype"/>
        </w:rPr>
        <w:t>efecto de robustecer lo anterior</w:t>
      </w:r>
      <w:r w:rsidRPr="00424261">
        <w:rPr>
          <w:rFonts w:ascii="Palatino Linotype" w:hAnsi="Palatino Linotype"/>
          <w:szCs w:val="22"/>
        </w:rPr>
        <w:t xml:space="preserve">, es preciso hacer alusión, en primera instancia, a lo establecido en las normas de carácter general del </w:t>
      </w:r>
      <w:r w:rsidRPr="00424261">
        <w:rPr>
          <w:rFonts w:ascii="Palatino Linotype" w:hAnsi="Palatino Linotype"/>
        </w:rPr>
        <w:t>Manual Único de Contabilidad Gubernamental para las Dependencias y Entidades Públicas del Gobierno y Municipios del Estado de México</w:t>
      </w:r>
      <w:r w:rsidRPr="00424261">
        <w:rPr>
          <w:rStyle w:val="Refdenotaalpie"/>
          <w:rFonts w:ascii="Palatino Linotype" w:hAnsi="Palatino Linotype"/>
        </w:rPr>
        <w:footnoteReference w:id="45"/>
      </w:r>
      <w:r w:rsidRPr="00424261">
        <w:rPr>
          <w:rFonts w:ascii="Palatino Linotype" w:hAnsi="Palatino Linotype"/>
          <w:i/>
        </w:rPr>
        <w:t xml:space="preserve">,  </w:t>
      </w:r>
      <w:r w:rsidRPr="00424261">
        <w:rPr>
          <w:rFonts w:ascii="Palatino Linotype" w:hAnsi="Palatino Linotype"/>
        </w:rPr>
        <w:t xml:space="preserve">en donde se señala que el Régimen Fiscal para las entidades públicas es el correspondiente a </w:t>
      </w:r>
      <w:r w:rsidRPr="00424261">
        <w:rPr>
          <w:rFonts w:ascii="Palatino Linotype" w:hAnsi="Palatino Linotype"/>
          <w:i/>
        </w:rPr>
        <w:t xml:space="preserve">personas morales con fines no lucrativos, </w:t>
      </w:r>
      <w:r w:rsidRPr="00424261">
        <w:rPr>
          <w:rFonts w:ascii="Palatino Linotype" w:hAnsi="Palatino Linotype"/>
        </w:rPr>
        <w:t>y en segundo lugar remitirnos al párrafo séptimo del artículo 86 del Título III  Del Régimen de las Personas Morales con fines no lucrativos, de la Ley del Impuesto Sobre la Renta</w:t>
      </w:r>
      <w:r w:rsidRPr="00424261">
        <w:rPr>
          <w:rFonts w:ascii="Palatino Linotype" w:hAnsi="Palatino Linotype"/>
          <w:i/>
        </w:rPr>
        <w:t xml:space="preserve">, </w:t>
      </w:r>
      <w:r w:rsidRPr="00424261">
        <w:rPr>
          <w:rFonts w:ascii="Palatino Linotype" w:hAnsi="Palatino Linotype"/>
        </w:rPr>
        <w:t>que a la letra señala lo siguiente:</w:t>
      </w:r>
    </w:p>
    <w:p w14:paraId="0C41ECA2" w14:textId="12703029" w:rsidR="000C4422" w:rsidRPr="00424261" w:rsidRDefault="000C4422" w:rsidP="00FE7373">
      <w:pPr>
        <w:pStyle w:val="Prrafodelista"/>
        <w:tabs>
          <w:tab w:val="left" w:pos="426"/>
        </w:tabs>
        <w:spacing w:before="240" w:line="360" w:lineRule="auto"/>
        <w:ind w:left="0" w:right="51"/>
        <w:jc w:val="both"/>
        <w:rPr>
          <w:rFonts w:ascii="Palatino Linotype" w:hAnsi="Palatino Linotype"/>
          <w:color w:val="000000" w:themeColor="text1"/>
        </w:rPr>
      </w:pPr>
    </w:p>
    <w:p w14:paraId="1CC9E73A" w14:textId="77777777" w:rsidR="00FE7373" w:rsidRPr="00424261" w:rsidRDefault="00FE7373" w:rsidP="00FE7373">
      <w:pPr>
        <w:spacing w:before="240" w:after="240" w:line="276" w:lineRule="auto"/>
        <w:ind w:left="567" w:right="567"/>
        <w:jc w:val="both"/>
        <w:rPr>
          <w:rFonts w:ascii="Palatino Linotype" w:hAnsi="Palatino Linotype"/>
          <w:i/>
          <w:sz w:val="22"/>
          <w:szCs w:val="22"/>
        </w:rPr>
      </w:pPr>
      <w:r w:rsidRPr="00424261">
        <w:rPr>
          <w:rFonts w:ascii="Palatino Linotype" w:hAnsi="Palatino Linotype"/>
          <w:b/>
          <w:i/>
          <w:sz w:val="22"/>
          <w:szCs w:val="22"/>
        </w:rPr>
        <w:t>Artículo 86</w:t>
      </w:r>
      <w:r w:rsidRPr="00424261">
        <w:rPr>
          <w:rFonts w:ascii="Palatino Linotype" w:hAnsi="Palatino Linotype"/>
          <w:i/>
          <w:sz w:val="22"/>
          <w:szCs w:val="22"/>
        </w:rPr>
        <w:t>…</w:t>
      </w:r>
    </w:p>
    <w:p w14:paraId="08B86308" w14:textId="77777777" w:rsidR="00FE7373" w:rsidRPr="00424261" w:rsidRDefault="00FE7373" w:rsidP="00FE7373">
      <w:pPr>
        <w:spacing w:before="240" w:after="240" w:line="276" w:lineRule="auto"/>
        <w:ind w:left="567" w:right="567"/>
        <w:jc w:val="both"/>
        <w:rPr>
          <w:rFonts w:ascii="Palatino Linotype" w:hAnsi="Palatino Linotype"/>
          <w:i/>
          <w:sz w:val="22"/>
          <w:szCs w:val="22"/>
        </w:rPr>
      </w:pPr>
      <w:r w:rsidRPr="00424261">
        <w:rPr>
          <w:rFonts w:ascii="Palatino Linotype" w:hAnsi="Palatino Linotype"/>
          <w:i/>
          <w:sz w:val="22"/>
          <w:szCs w:val="22"/>
        </w:rPr>
        <w:lastRenderedPageBreak/>
        <w:t xml:space="preserve">Los partidos y asociaciones políticas, legalmente reconocidos, la Federación, las entidades federativas, </w:t>
      </w:r>
      <w:r w:rsidRPr="00424261">
        <w:rPr>
          <w:rFonts w:ascii="Palatino Linotype" w:hAnsi="Palatino Linotype"/>
          <w:b/>
          <w:i/>
          <w:sz w:val="22"/>
          <w:szCs w:val="22"/>
        </w:rPr>
        <w:t>los municipios</w:t>
      </w:r>
      <w:r w:rsidRPr="00424261">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424261">
        <w:rPr>
          <w:rFonts w:ascii="Palatino Linotype" w:hAnsi="Palatino Linotype"/>
          <w:b/>
          <w:i/>
          <w:sz w:val="22"/>
          <w:szCs w:val="22"/>
        </w:rPr>
        <w:t xml:space="preserve">están obligados a </w:t>
      </w:r>
      <w:r w:rsidRPr="00424261">
        <w:rPr>
          <w:rFonts w:ascii="Palatino Linotype" w:hAnsi="Palatino Linotype"/>
          <w:b/>
          <w:i/>
          <w:sz w:val="22"/>
          <w:szCs w:val="22"/>
          <w:u w:val="single"/>
        </w:rPr>
        <w:t>expedir y entregar comprobantes fiscales</w:t>
      </w:r>
      <w:r w:rsidRPr="00424261">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424261">
        <w:rPr>
          <w:rFonts w:ascii="Palatino Linotype" w:hAnsi="Palatino Linotype"/>
          <w:b/>
          <w:i/>
          <w:sz w:val="22"/>
          <w:szCs w:val="22"/>
          <w:u w:val="single"/>
        </w:rPr>
        <w:t>podrán utilizarse como constancia o recibo de pago</w:t>
      </w:r>
      <w:r w:rsidRPr="00424261">
        <w:rPr>
          <w:rFonts w:ascii="Palatino Linotype" w:hAnsi="Palatino Linotype"/>
          <w:i/>
          <w:sz w:val="22"/>
          <w:szCs w:val="22"/>
        </w:rPr>
        <w:t xml:space="preserve"> para efectos de la legislación laboral a que se refieren los artículos 132 fracciones VII y VIII, y 804 primer párrafo fracciones II y IV de la Ley Federal del Trabajo…</w:t>
      </w:r>
    </w:p>
    <w:p w14:paraId="0637780F" w14:textId="77777777" w:rsidR="00FE7373" w:rsidRPr="00424261" w:rsidRDefault="00FE7373"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61140666" w14:textId="3D82D92A" w:rsidR="000C4422" w:rsidRPr="00424261" w:rsidRDefault="00FE73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Del </w:t>
      </w:r>
      <w:r w:rsidRPr="00424261">
        <w:rPr>
          <w:rFonts w:ascii="Palatino Linotype" w:hAnsi="Palatino Linotype"/>
          <w:szCs w:val="22"/>
        </w:rPr>
        <w:t xml:space="preserve">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424261">
        <w:rPr>
          <w:rFonts w:ascii="Palatino Linotype" w:hAnsi="Palatino Linotype"/>
          <w:i/>
          <w:szCs w:val="22"/>
        </w:rPr>
        <w:t>recibo de pago</w:t>
      </w:r>
      <w:r w:rsidRPr="00424261">
        <w:rPr>
          <w:rFonts w:ascii="Palatino Linotype" w:hAnsi="Palatino Linotype"/>
          <w:szCs w:val="22"/>
        </w:rPr>
        <w:t xml:space="preserve">, de conformidad con los artículos 132 fracciones VII y VIII y 804 primer párrafo, </w:t>
      </w:r>
      <w:r w:rsidRPr="00424261">
        <w:rPr>
          <w:rFonts w:ascii="Palatino Linotype" w:hAnsi="Palatino Linotype"/>
        </w:rPr>
        <w:t xml:space="preserve">fracción II </w:t>
      </w:r>
      <w:r w:rsidRPr="00424261">
        <w:rPr>
          <w:rFonts w:ascii="Palatino Linotype" w:hAnsi="Palatino Linotype"/>
          <w:szCs w:val="22"/>
        </w:rPr>
        <w:t>de la Ley Federal del Trabajo, que a la letra señalan lo siguiente:</w:t>
      </w:r>
    </w:p>
    <w:p w14:paraId="55155581" w14:textId="32F3E281" w:rsidR="000C4422" w:rsidRPr="00424261" w:rsidRDefault="000C4422" w:rsidP="00FE7373">
      <w:pPr>
        <w:pStyle w:val="Prrafodelista"/>
        <w:tabs>
          <w:tab w:val="left" w:pos="426"/>
        </w:tabs>
        <w:spacing w:before="240" w:line="360" w:lineRule="auto"/>
        <w:ind w:left="0" w:right="51"/>
        <w:jc w:val="both"/>
        <w:rPr>
          <w:rFonts w:ascii="Palatino Linotype" w:hAnsi="Palatino Linotype"/>
          <w:color w:val="000000" w:themeColor="text1"/>
        </w:rPr>
      </w:pPr>
    </w:p>
    <w:p w14:paraId="25A3D7DC"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b/>
          <w:i/>
          <w:sz w:val="22"/>
          <w:szCs w:val="22"/>
        </w:rPr>
        <w:t>“Artículo 132</w:t>
      </w:r>
      <w:r w:rsidRPr="00424261">
        <w:rPr>
          <w:rFonts w:ascii="Palatino Linotype" w:hAnsi="Palatino Linotype"/>
          <w:i/>
          <w:sz w:val="22"/>
          <w:szCs w:val="22"/>
        </w:rPr>
        <w:t xml:space="preserve">.- Son </w:t>
      </w:r>
      <w:r w:rsidRPr="00424261">
        <w:rPr>
          <w:rFonts w:ascii="Palatino Linotype" w:hAnsi="Palatino Linotype"/>
          <w:b/>
          <w:i/>
          <w:sz w:val="22"/>
          <w:szCs w:val="22"/>
        </w:rPr>
        <w:t>obligaciones de los patrones</w:t>
      </w:r>
      <w:r w:rsidRPr="00424261">
        <w:rPr>
          <w:rFonts w:ascii="Palatino Linotype" w:hAnsi="Palatino Linotype"/>
          <w:i/>
          <w:sz w:val="22"/>
          <w:szCs w:val="22"/>
        </w:rPr>
        <w:t>:</w:t>
      </w:r>
    </w:p>
    <w:p w14:paraId="199CE56C"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i/>
          <w:sz w:val="22"/>
          <w:szCs w:val="22"/>
        </w:rPr>
        <w:t>…</w:t>
      </w:r>
    </w:p>
    <w:p w14:paraId="331A1330"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i/>
          <w:sz w:val="22"/>
          <w:szCs w:val="22"/>
        </w:rPr>
        <w:t xml:space="preserve">VII.- </w:t>
      </w:r>
      <w:r w:rsidRPr="00424261">
        <w:rPr>
          <w:rFonts w:ascii="Palatino Linotype" w:hAnsi="Palatino Linotype"/>
          <w:b/>
          <w:i/>
          <w:sz w:val="22"/>
          <w:szCs w:val="22"/>
        </w:rPr>
        <w:t>Expedir</w:t>
      </w:r>
      <w:r w:rsidRPr="00424261">
        <w:rPr>
          <w:rFonts w:ascii="Palatino Linotype" w:hAnsi="Palatino Linotype"/>
          <w:i/>
          <w:sz w:val="22"/>
          <w:szCs w:val="22"/>
        </w:rPr>
        <w:t xml:space="preserve"> cada quince días, a solicitud de los trabajadores, una </w:t>
      </w:r>
      <w:r w:rsidRPr="00424261">
        <w:rPr>
          <w:rFonts w:ascii="Palatino Linotype" w:hAnsi="Palatino Linotype"/>
          <w:b/>
          <w:i/>
          <w:sz w:val="22"/>
          <w:szCs w:val="22"/>
        </w:rPr>
        <w:t>constancia</w:t>
      </w:r>
      <w:r w:rsidRPr="00424261">
        <w:rPr>
          <w:rFonts w:ascii="Palatino Linotype" w:hAnsi="Palatino Linotype"/>
          <w:i/>
          <w:sz w:val="22"/>
          <w:szCs w:val="22"/>
        </w:rPr>
        <w:t xml:space="preserve"> escrita del número de días trabajados y </w:t>
      </w:r>
      <w:r w:rsidRPr="00424261">
        <w:rPr>
          <w:rFonts w:ascii="Palatino Linotype" w:hAnsi="Palatino Linotype"/>
          <w:b/>
          <w:i/>
          <w:sz w:val="22"/>
          <w:szCs w:val="22"/>
        </w:rPr>
        <w:t>del salario percibido</w:t>
      </w:r>
      <w:r w:rsidRPr="00424261">
        <w:rPr>
          <w:rFonts w:ascii="Palatino Linotype" w:hAnsi="Palatino Linotype"/>
          <w:i/>
          <w:sz w:val="22"/>
          <w:szCs w:val="22"/>
        </w:rPr>
        <w:t xml:space="preserve">; </w:t>
      </w:r>
    </w:p>
    <w:p w14:paraId="0A5EDFB3"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i/>
          <w:sz w:val="22"/>
          <w:szCs w:val="22"/>
        </w:rPr>
        <w:t>VIII.- Expedir al trabajador que lo solicite o se separe de la empresa, dentro del término de tres días, una constancia escrita relativa a sus servicios;</w:t>
      </w:r>
    </w:p>
    <w:p w14:paraId="74B87F89"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i/>
          <w:sz w:val="22"/>
          <w:szCs w:val="22"/>
        </w:rPr>
        <w:t>(…)</w:t>
      </w:r>
    </w:p>
    <w:p w14:paraId="65019CBC"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p>
    <w:p w14:paraId="09E6BCC8"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b/>
          <w:i/>
          <w:sz w:val="22"/>
          <w:szCs w:val="22"/>
        </w:rPr>
        <w:t>Artículo 804</w:t>
      </w:r>
      <w:r w:rsidRPr="00424261">
        <w:rPr>
          <w:rFonts w:ascii="Palatino Linotype" w:hAnsi="Palatino Linotype"/>
          <w:i/>
          <w:sz w:val="22"/>
          <w:szCs w:val="22"/>
        </w:rPr>
        <w:t xml:space="preserve">.- </w:t>
      </w:r>
      <w:r w:rsidRPr="00424261">
        <w:rPr>
          <w:rFonts w:ascii="Palatino Linotype" w:hAnsi="Palatino Linotype"/>
          <w:b/>
          <w:i/>
          <w:sz w:val="22"/>
          <w:szCs w:val="22"/>
        </w:rPr>
        <w:t>El patrón tiene obligación de conservar</w:t>
      </w:r>
      <w:r w:rsidRPr="00424261">
        <w:rPr>
          <w:rFonts w:ascii="Palatino Linotype" w:hAnsi="Palatino Linotype"/>
          <w:i/>
          <w:sz w:val="22"/>
          <w:szCs w:val="22"/>
        </w:rPr>
        <w:t xml:space="preserve"> y exhibir en juicio los documentos que a continuación se precisan:</w:t>
      </w:r>
    </w:p>
    <w:p w14:paraId="73E4E805"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i/>
          <w:sz w:val="22"/>
          <w:szCs w:val="22"/>
        </w:rPr>
        <w:lastRenderedPageBreak/>
        <w:t xml:space="preserve">II. Listas de raya o </w:t>
      </w:r>
      <w:r w:rsidRPr="00424261">
        <w:rPr>
          <w:rFonts w:ascii="Palatino Linotype" w:hAnsi="Palatino Linotype"/>
          <w:b/>
          <w:i/>
          <w:sz w:val="22"/>
          <w:szCs w:val="22"/>
        </w:rPr>
        <w:t>nómina de personal</w:t>
      </w:r>
      <w:r w:rsidRPr="00424261">
        <w:rPr>
          <w:rFonts w:ascii="Palatino Linotype" w:hAnsi="Palatino Linotype"/>
          <w:i/>
          <w:sz w:val="22"/>
          <w:szCs w:val="22"/>
        </w:rPr>
        <w:t xml:space="preserve">, cuando se lleven en el centro de trabajo; o </w:t>
      </w:r>
      <w:r w:rsidRPr="00424261">
        <w:rPr>
          <w:rFonts w:ascii="Palatino Linotype" w:hAnsi="Palatino Linotype"/>
          <w:b/>
          <w:i/>
          <w:sz w:val="22"/>
          <w:szCs w:val="22"/>
          <w:u w:val="single"/>
        </w:rPr>
        <w:t>recibos de pagos de salarios</w:t>
      </w:r>
      <w:r w:rsidRPr="00424261">
        <w:rPr>
          <w:rFonts w:ascii="Palatino Linotype" w:hAnsi="Palatino Linotype"/>
          <w:i/>
          <w:sz w:val="22"/>
          <w:szCs w:val="22"/>
        </w:rPr>
        <w:t>;</w:t>
      </w:r>
    </w:p>
    <w:p w14:paraId="2FA5FDD4" w14:textId="77777777" w:rsidR="00FE7373" w:rsidRPr="00424261" w:rsidRDefault="00FE7373" w:rsidP="00FE7373">
      <w:pPr>
        <w:spacing w:before="120" w:after="120" w:line="276" w:lineRule="auto"/>
        <w:ind w:left="567" w:right="567"/>
        <w:jc w:val="both"/>
        <w:rPr>
          <w:rFonts w:ascii="Palatino Linotype" w:hAnsi="Palatino Linotype"/>
          <w:i/>
          <w:sz w:val="22"/>
          <w:szCs w:val="22"/>
        </w:rPr>
      </w:pPr>
      <w:r w:rsidRPr="00424261">
        <w:rPr>
          <w:rFonts w:ascii="Palatino Linotype" w:hAnsi="Palatino Linotype"/>
          <w:i/>
          <w:sz w:val="22"/>
          <w:szCs w:val="22"/>
        </w:rPr>
        <w:t>…”</w:t>
      </w:r>
    </w:p>
    <w:p w14:paraId="49532EEF" w14:textId="77777777" w:rsidR="00FE7373" w:rsidRPr="00424261" w:rsidRDefault="00FE7373"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0EBE1C6D" w14:textId="04F8D87E" w:rsidR="000C4422" w:rsidRPr="00424261" w:rsidRDefault="00FE73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w:t>
      </w:r>
      <w:r w:rsidRPr="00424261">
        <w:rPr>
          <w:rFonts w:ascii="Palatino Linotype" w:eastAsia="MS Mincho" w:hAnsi="Palatino Linotype" w:cs="Times New Roman"/>
        </w:rPr>
        <w:t>lo anteriormente expuesto, este Instituto advierte que de acuerdo con la naturaleza de la información solicitada, 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35EDD566"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64686160" w14:textId="311B5435" w:rsidR="000C4422" w:rsidRPr="00424261" w:rsidRDefault="00FE73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Más </w:t>
      </w:r>
      <w:r w:rsidRPr="00424261">
        <w:rPr>
          <w:rFonts w:ascii="Palatino Linotype" w:eastAsia="MS Gothic" w:hAnsi="Palatino Linotype" w:cs="Times New Roman"/>
          <w:szCs w:val="26"/>
        </w:rPr>
        <w:t xml:space="preserve">aún, se debe destacar que la información relacionada con las remuneraciones de los servidores públicos (incluidos los recibos de nómina) se encuentran reconocidos como una de las obligaciones de transparencia que el </w:t>
      </w:r>
      <w:r w:rsidRPr="00424261">
        <w:rPr>
          <w:rFonts w:ascii="Palatino Linotype" w:eastAsia="MS Gothic" w:hAnsi="Palatino Linotype" w:cs="Times New Roman"/>
          <w:b/>
          <w:bCs/>
          <w:szCs w:val="26"/>
        </w:rPr>
        <w:t>SUJETO OBLIGADO</w:t>
      </w:r>
      <w:r w:rsidRPr="00424261">
        <w:rPr>
          <w:rFonts w:ascii="Palatino Linotype" w:eastAsia="MS Gothic" w:hAnsi="Palatino Linotype" w:cs="Times New Roman"/>
          <w:szCs w:val="26"/>
        </w:rPr>
        <w:t xml:space="preserve"> </w:t>
      </w:r>
      <w:r w:rsidRPr="00424261">
        <w:rPr>
          <w:rFonts w:ascii="Palatino Linotype" w:eastAsia="MS Gothic" w:hAnsi="Palatino Linotype" w:cs="Times New Roman"/>
          <w:i/>
          <w:iCs/>
          <w:szCs w:val="26"/>
        </w:rPr>
        <w:t>a fortiori</w:t>
      </w:r>
      <w:r w:rsidRPr="00424261">
        <w:rPr>
          <w:rFonts w:ascii="Palatino Linotype" w:eastAsia="MS Gothic" w:hAnsi="Palatino Linotype" w:cs="Times New Roman"/>
          <w:szCs w:val="26"/>
        </w:rPr>
        <w:t xml:space="preserve"> debe publicar y difundir a la ciudadanía de conformidad con lo dispuesto en el artículo 92, fracción VIII, de la Ley de Transparencia y Acceso a la Información Pública del Estado de México y Municipios, y que a la letra dice:</w:t>
      </w:r>
    </w:p>
    <w:p w14:paraId="793D27B3" w14:textId="74DB9B62"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5FED5BA1" w14:textId="77777777" w:rsidR="00FE7373" w:rsidRPr="00424261" w:rsidRDefault="00FE7373" w:rsidP="00FE7373">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t>“</w:t>
      </w:r>
      <w:r w:rsidRPr="00424261">
        <w:rPr>
          <w:rFonts w:ascii="Palatino Linotype" w:hAnsi="Palatino Linotype"/>
          <w:b/>
          <w:bCs/>
          <w:i/>
          <w:iCs/>
          <w:sz w:val="22"/>
          <w:szCs w:val="22"/>
        </w:rPr>
        <w:t>Artículo 92.</w:t>
      </w:r>
      <w:r w:rsidRPr="00424261">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E11B89" w14:textId="77777777" w:rsidR="00FE7373" w:rsidRPr="00424261" w:rsidRDefault="00FE7373" w:rsidP="00FE7373">
      <w:pPr>
        <w:pStyle w:val="Prrafodelista"/>
        <w:tabs>
          <w:tab w:val="left" w:pos="426"/>
        </w:tabs>
        <w:spacing w:before="240" w:after="240" w:line="276" w:lineRule="auto"/>
        <w:ind w:left="567" w:right="567"/>
        <w:jc w:val="both"/>
        <w:rPr>
          <w:rFonts w:ascii="Palatino Linotype" w:hAnsi="Palatino Linotype"/>
          <w:i/>
          <w:iCs/>
          <w:sz w:val="22"/>
          <w:szCs w:val="22"/>
        </w:rPr>
      </w:pPr>
      <w:r w:rsidRPr="00424261">
        <w:rPr>
          <w:rFonts w:ascii="Palatino Linotype" w:hAnsi="Palatino Linotype"/>
          <w:i/>
          <w:iCs/>
          <w:sz w:val="22"/>
          <w:szCs w:val="22"/>
        </w:rPr>
        <w:lastRenderedPageBreak/>
        <w:t>(…)</w:t>
      </w:r>
    </w:p>
    <w:p w14:paraId="69EA2DC2" w14:textId="77777777" w:rsidR="00FE7373" w:rsidRPr="00424261" w:rsidRDefault="00FE7373" w:rsidP="00FE737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24261">
        <w:rPr>
          <w:rFonts w:ascii="Palatino Linotype" w:hAnsi="Palatino Linotype"/>
          <w:b/>
          <w:bCs/>
          <w:i/>
          <w:iCs/>
          <w:sz w:val="22"/>
          <w:szCs w:val="22"/>
        </w:rPr>
        <w:t xml:space="preserve">VIII. </w:t>
      </w:r>
      <w:r w:rsidRPr="00424261">
        <w:rPr>
          <w:rFonts w:ascii="Palatino Linotype" w:hAnsi="Palatino Linotype"/>
          <w:i/>
          <w:iCs/>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424261">
        <w:rPr>
          <w:rFonts w:ascii="Palatino Linotype" w:hAnsi="Palatino Linotype"/>
          <w:b/>
          <w:bCs/>
          <w:i/>
          <w:iCs/>
          <w:sz w:val="22"/>
          <w:szCs w:val="22"/>
        </w:rPr>
        <w:t xml:space="preserve"> </w:t>
      </w:r>
      <w:r w:rsidRPr="00424261">
        <w:rPr>
          <w:rFonts w:ascii="Palatino Linotype" w:hAnsi="Palatino Linotype"/>
          <w:i/>
          <w:iCs/>
          <w:sz w:val="22"/>
          <w:szCs w:val="22"/>
        </w:rPr>
        <w:t>(…)”</w:t>
      </w:r>
    </w:p>
    <w:p w14:paraId="6C0E0B7D" w14:textId="77777777" w:rsidR="00FE7373" w:rsidRPr="00424261" w:rsidRDefault="00FE7373"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5DE11282" w14:textId="62282CA0" w:rsidR="000C4422" w:rsidRPr="00424261" w:rsidRDefault="00FE73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Dicho lo anterior, no debe ignorarse que el </w:t>
      </w:r>
      <w:r w:rsidRPr="00424261">
        <w:rPr>
          <w:rFonts w:ascii="Palatino Linotype" w:hAnsi="Palatino Linotype"/>
          <w:b/>
          <w:bCs/>
          <w:color w:val="000000" w:themeColor="text1"/>
        </w:rPr>
        <w:t>RECURRENTE</w:t>
      </w:r>
      <w:r w:rsidRPr="00424261">
        <w:rPr>
          <w:rFonts w:ascii="Palatino Linotype" w:hAnsi="Palatino Linotype"/>
          <w:color w:val="000000" w:themeColor="text1"/>
        </w:rPr>
        <w:t xml:space="preserve"> no estableció un periodo temporal respecto del cual requería la información relativa a los recibos de nómina. Por lo tanto, se deberá entender a que solicita la información generada durante el año inmediato anterior a la presentación de la solicitud de información.</w:t>
      </w:r>
    </w:p>
    <w:p w14:paraId="4EB43FC3"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1441607A" w14:textId="4D338A7A" w:rsidR="000C4422" w:rsidRPr="00424261" w:rsidRDefault="00FE73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Lo anterior encuentra sustento mediante lo dispuesto por el Criterio de Interpretación </w:t>
      </w:r>
      <w:r w:rsidR="0084592F" w:rsidRPr="00424261">
        <w:rPr>
          <w:rFonts w:ascii="Palatino Linotype" w:hAnsi="Palatino Linotype"/>
          <w:color w:val="000000" w:themeColor="text1"/>
        </w:rPr>
        <w:t>03-19 publicado por el Instituto Nacional de Transparencia, Acceso a la Información y Protección de Datos Personales, cuyo rubro y texto establecen lo siguiente:</w:t>
      </w:r>
    </w:p>
    <w:p w14:paraId="1909B008" w14:textId="00545A32"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3F14D495" w14:textId="2BC8B0CE" w:rsidR="0084592F" w:rsidRPr="00424261" w:rsidRDefault="0084592F" w:rsidP="0084592F">
      <w:pPr>
        <w:spacing w:before="1" w:line="276" w:lineRule="auto"/>
        <w:ind w:left="567" w:right="567"/>
        <w:jc w:val="both"/>
        <w:rPr>
          <w:rFonts w:ascii="Palatino Linotype" w:eastAsia="Arial" w:hAnsi="Palatino Linotype" w:cs="Arial"/>
          <w:i/>
          <w:iCs/>
          <w:sz w:val="22"/>
          <w:szCs w:val="22"/>
        </w:rPr>
      </w:pPr>
      <w:r w:rsidRPr="00424261">
        <w:rPr>
          <w:rFonts w:ascii="Palatino Linotype" w:eastAsia="Arial" w:hAnsi="Palatino Linotype" w:cs="Arial"/>
          <w:b/>
          <w:i/>
          <w:iCs/>
          <w:sz w:val="22"/>
          <w:szCs w:val="22"/>
        </w:rPr>
        <w:t>PERIODO DE BÚSQUEDA DE LA INFORMACIÓN. “</w:t>
      </w:r>
      <w:r w:rsidRPr="00424261">
        <w:rPr>
          <w:rFonts w:ascii="Palatino Linotype" w:eastAsia="Arial" w:hAnsi="Palatino Linotype" w:cs="Arial"/>
          <w:i/>
          <w:iCs/>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11760A6" w14:textId="77777777" w:rsidR="0084592F" w:rsidRPr="00424261" w:rsidRDefault="0084592F"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15E44AAB" w14:textId="7211427B" w:rsidR="0084592F" w:rsidRPr="00424261" w:rsidRDefault="0084592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Por otro lado, no debe pasar desapercibido que la mayoría de los integrantes que integran el Pleno de este Organismo Garante sostienen que la información relacionada con las remuneraciones del personal de seguridad pública debe ser reservada, lo anterior derivado</w:t>
      </w:r>
      <w:r w:rsidRPr="00424261">
        <w:rPr>
          <w:rFonts w:ascii="Palatino Linotype" w:eastAsia="Calibri" w:hAnsi="Palatino Linotype" w:cs="Times New Roman"/>
          <w:lang w:eastAsia="es-MX"/>
        </w:rPr>
        <w:t xml:space="preserve"> de sus funciones encomendadas en términos del </w:t>
      </w:r>
      <w:r w:rsidRPr="00424261">
        <w:rPr>
          <w:rFonts w:ascii="Palatino Linotype" w:eastAsia="Calibri" w:hAnsi="Palatino Linotype" w:cs="Times New Roman"/>
          <w:lang w:eastAsia="es-MX"/>
        </w:rPr>
        <w:lastRenderedPageBreak/>
        <w:t>artículo 21, párrafo noveno, de la Constitución Política de los Estados Unidos Mexicanos, de las cuales comprende la prevención de los delitos, investigación y persecución para hacerla efectiva.</w:t>
      </w:r>
    </w:p>
    <w:p w14:paraId="1B306A03" w14:textId="77777777" w:rsidR="0084592F" w:rsidRPr="00424261" w:rsidRDefault="0084592F" w:rsidP="0084592F">
      <w:pPr>
        <w:pStyle w:val="Prrafodelista"/>
        <w:tabs>
          <w:tab w:val="left" w:pos="426"/>
        </w:tabs>
        <w:spacing w:before="240" w:after="240" w:line="360" w:lineRule="auto"/>
        <w:ind w:left="0" w:right="51"/>
        <w:jc w:val="both"/>
        <w:rPr>
          <w:rFonts w:ascii="Palatino Linotype" w:hAnsi="Palatino Linotype"/>
          <w:color w:val="000000" w:themeColor="text1"/>
        </w:rPr>
      </w:pPr>
    </w:p>
    <w:p w14:paraId="28282079" w14:textId="11725FE7" w:rsidR="0084592F" w:rsidRPr="00424261" w:rsidRDefault="0084592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eastAsia="Calibri" w:hAnsi="Palatino Linotype" w:cs="Times New Roman"/>
          <w:lang w:eastAsia="es-MX"/>
        </w:rPr>
        <w:t xml:space="preserve">Sin embargo, en el presente asunto se ha demostrado que existe un interés público superior de conocer los nombres de los policías quienes participaron en la persecución y detención del vehículo en el que viajaba el actor Octavio Augusto Pérez Ocaña, por lo tanto, la esfera de protección de los datos personales de aquéllos se ha </w:t>
      </w:r>
      <w:r w:rsidR="00D166C8" w:rsidRPr="00424261">
        <w:rPr>
          <w:rFonts w:ascii="Palatino Linotype" w:eastAsia="Calibri" w:hAnsi="Palatino Linotype" w:cs="Times New Roman"/>
          <w:lang w:eastAsia="es-MX"/>
        </w:rPr>
        <w:t>disminuido por encontrarse en uno de los supuestos establecidos por el artículo 143 de la Ley de Transparencia y Acceso a la Información Pública del Estado de México y Municipios.</w:t>
      </w:r>
    </w:p>
    <w:p w14:paraId="12C97235" w14:textId="2D1F6310" w:rsidR="0084592F" w:rsidRPr="00424261" w:rsidRDefault="0084592F" w:rsidP="0084592F">
      <w:pPr>
        <w:pStyle w:val="Prrafodelista"/>
        <w:tabs>
          <w:tab w:val="left" w:pos="426"/>
        </w:tabs>
        <w:spacing w:before="240" w:after="240" w:line="360" w:lineRule="auto"/>
        <w:ind w:left="0" w:right="51"/>
        <w:jc w:val="both"/>
        <w:rPr>
          <w:rFonts w:ascii="Palatino Linotype" w:hAnsi="Palatino Linotype"/>
          <w:color w:val="000000" w:themeColor="text1"/>
        </w:rPr>
      </w:pPr>
      <w:r w:rsidRPr="00424261">
        <w:rPr>
          <w:rFonts w:ascii="Palatino Linotype" w:eastAsia="Calibri" w:hAnsi="Palatino Linotype" w:cs="Times New Roman"/>
          <w:lang w:eastAsia="es-MX"/>
        </w:rPr>
        <w:t xml:space="preserve"> </w:t>
      </w:r>
    </w:p>
    <w:p w14:paraId="29D4AC5B" w14:textId="08D886BF" w:rsidR="000C4422" w:rsidRPr="00424261" w:rsidRDefault="00D166C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eastAsia="Calibri" w:hAnsi="Palatino Linotype" w:cs="Times New Roman"/>
          <w:lang w:eastAsia="es-MX"/>
        </w:rPr>
        <w:t>Por lo tanto</w:t>
      </w:r>
      <w:r w:rsidR="0084592F" w:rsidRPr="00424261">
        <w:rPr>
          <w:rFonts w:ascii="Palatino Linotype" w:eastAsia="Calibri" w:hAnsi="Palatino Linotype" w:cs="Times New Roman"/>
          <w:lang w:eastAsia="es-MX"/>
        </w:rPr>
        <w:t xml:space="preserve">, relativo a esta información, </w:t>
      </w:r>
      <w:r w:rsidRPr="00424261">
        <w:rPr>
          <w:rFonts w:ascii="Palatino Linotype" w:eastAsia="Calibri" w:hAnsi="Palatino Linotype" w:cs="Times New Roman"/>
          <w:lang w:eastAsia="es-MX"/>
        </w:rPr>
        <w:t xml:space="preserve">y a efecto de encontrar el máximo equilibrio entre el derecho de acceso a la información pública y la necesidad de proteger la integridad física de los policías municipales, la información relativa a los recibos de nómina </w:t>
      </w:r>
      <w:r w:rsidR="0084592F" w:rsidRPr="00424261">
        <w:rPr>
          <w:rFonts w:ascii="Palatino Linotype" w:eastAsia="Calibri" w:hAnsi="Palatino Linotype" w:cs="Times New Roman"/>
          <w:lang w:eastAsia="es-MX"/>
        </w:rPr>
        <w:t xml:space="preserve">deberá de ser entregada de forma </w:t>
      </w:r>
      <w:r w:rsidR="0084592F" w:rsidRPr="00424261">
        <w:rPr>
          <w:rFonts w:ascii="Palatino Linotype" w:eastAsia="Calibri" w:hAnsi="Palatino Linotype" w:cs="Times New Roman"/>
          <w:b/>
          <w:bCs/>
          <w:lang w:eastAsia="es-MX"/>
        </w:rPr>
        <w:t>disociada</w:t>
      </w:r>
      <w:r w:rsidRPr="00424261">
        <w:rPr>
          <w:rFonts w:ascii="Palatino Linotype" w:eastAsia="Calibri" w:hAnsi="Palatino Linotype" w:cs="Times New Roman"/>
          <w:lang w:eastAsia="es-MX"/>
        </w:rPr>
        <w:t>;</w:t>
      </w:r>
      <w:r w:rsidR="0084592F" w:rsidRPr="00424261">
        <w:rPr>
          <w:rFonts w:ascii="Palatino Linotype" w:eastAsia="Calibri" w:hAnsi="Palatino Linotype" w:cs="Times New Roman"/>
          <w:lang w:eastAsia="es-MX"/>
        </w:rPr>
        <w:t xml:space="preserve"> es decir, los datos personales de los servidores adscritos a las Instituciones de Seguridad Pública no </w:t>
      </w:r>
      <w:r w:rsidRPr="00424261">
        <w:rPr>
          <w:rFonts w:ascii="Palatino Linotype" w:eastAsia="Calibri" w:hAnsi="Palatino Linotype" w:cs="Times New Roman"/>
          <w:lang w:eastAsia="es-MX"/>
        </w:rPr>
        <w:t>deberán</w:t>
      </w:r>
      <w:r w:rsidR="0084592F" w:rsidRPr="00424261">
        <w:rPr>
          <w:rFonts w:ascii="Palatino Linotype" w:eastAsia="Calibri" w:hAnsi="Palatino Linotype" w:cs="Times New Roman"/>
          <w:lang w:eastAsia="es-MX"/>
        </w:rPr>
        <w:t xml:space="preserve">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1DE5CA24" w14:textId="75B604E8" w:rsidR="000C4422" w:rsidRPr="00424261" w:rsidRDefault="000C4422" w:rsidP="00D166C8">
      <w:pPr>
        <w:pStyle w:val="Prrafodelista"/>
        <w:tabs>
          <w:tab w:val="left" w:pos="426"/>
        </w:tabs>
        <w:spacing w:before="240" w:line="360" w:lineRule="auto"/>
        <w:ind w:left="0" w:right="51"/>
        <w:jc w:val="both"/>
        <w:rPr>
          <w:rFonts w:ascii="Palatino Linotype" w:hAnsi="Palatino Linotype"/>
          <w:color w:val="000000" w:themeColor="text1"/>
        </w:rPr>
      </w:pPr>
    </w:p>
    <w:p w14:paraId="1B628427" w14:textId="77777777" w:rsidR="00D166C8" w:rsidRPr="00424261" w:rsidRDefault="00D166C8" w:rsidP="00D166C8">
      <w:pPr>
        <w:ind w:left="851" w:right="851"/>
        <w:contextualSpacing/>
        <w:jc w:val="both"/>
        <w:rPr>
          <w:rFonts w:ascii="Palatino Linotype" w:eastAsia="Calibri" w:hAnsi="Palatino Linotype" w:cs="Times New Roman"/>
          <w:i/>
          <w:lang w:eastAsia="es-MX"/>
        </w:rPr>
      </w:pPr>
      <w:r w:rsidRPr="00424261">
        <w:rPr>
          <w:rFonts w:ascii="Palatino Linotype" w:eastAsia="Calibri" w:hAnsi="Palatino Linotype" w:cs="Times New Roman"/>
          <w:i/>
          <w:lang w:eastAsia="es-MX"/>
        </w:rPr>
        <w:t>“</w:t>
      </w:r>
      <w:r w:rsidRPr="00424261">
        <w:rPr>
          <w:rFonts w:ascii="Palatino Linotype" w:eastAsia="Calibri" w:hAnsi="Palatino Linotype" w:cs="Times New Roman"/>
          <w:b/>
          <w:i/>
          <w:lang w:eastAsia="es-MX"/>
        </w:rPr>
        <w:t>Artículo 4</w:t>
      </w:r>
      <w:r w:rsidRPr="00424261">
        <w:rPr>
          <w:rFonts w:ascii="Palatino Linotype" w:eastAsia="Calibri" w:hAnsi="Palatino Linotype" w:cs="Times New Roman"/>
          <w:i/>
          <w:lang w:eastAsia="es-MX"/>
        </w:rPr>
        <w:t>.- Para los efectos de esta Ley se entiende por:</w:t>
      </w:r>
    </w:p>
    <w:p w14:paraId="2D748304" w14:textId="77777777" w:rsidR="00D166C8" w:rsidRPr="00424261" w:rsidRDefault="00D166C8" w:rsidP="00D166C8">
      <w:pPr>
        <w:ind w:left="851" w:right="851"/>
        <w:contextualSpacing/>
        <w:jc w:val="both"/>
        <w:rPr>
          <w:rFonts w:ascii="Palatino Linotype" w:eastAsia="Calibri" w:hAnsi="Palatino Linotype" w:cs="Times New Roman"/>
          <w:i/>
          <w:lang w:eastAsia="es-MX"/>
        </w:rPr>
      </w:pPr>
      <w:r w:rsidRPr="00424261">
        <w:rPr>
          <w:rFonts w:ascii="Palatino Linotype" w:eastAsia="Calibri" w:hAnsi="Palatino Linotype" w:cs="Times New Roman"/>
          <w:i/>
          <w:lang w:eastAsia="es-MX"/>
        </w:rPr>
        <w:t>(…)</w:t>
      </w:r>
    </w:p>
    <w:p w14:paraId="69D308CB" w14:textId="77777777" w:rsidR="00D166C8" w:rsidRPr="00424261" w:rsidRDefault="00D166C8" w:rsidP="00D166C8">
      <w:pPr>
        <w:ind w:left="851" w:right="851"/>
        <w:contextualSpacing/>
        <w:jc w:val="both"/>
        <w:rPr>
          <w:rFonts w:ascii="Palatino Linotype" w:eastAsia="Calibri" w:hAnsi="Palatino Linotype" w:cs="Times New Roman"/>
          <w:i/>
          <w:lang w:eastAsia="es-MX"/>
        </w:rPr>
      </w:pPr>
      <w:r w:rsidRPr="00424261">
        <w:rPr>
          <w:rFonts w:ascii="Palatino Linotype" w:eastAsia="Calibri" w:hAnsi="Palatino Linotype" w:cs="Times New Roman"/>
          <w:b/>
          <w:i/>
          <w:lang w:eastAsia="es-MX"/>
        </w:rPr>
        <w:lastRenderedPageBreak/>
        <w:t>XII</w:t>
      </w:r>
      <w:r w:rsidRPr="00424261">
        <w:rPr>
          <w:rFonts w:ascii="Palatino Linotype" w:eastAsia="Calibri" w:hAnsi="Palatino Linotype" w:cs="Times New Roman"/>
          <w:i/>
          <w:lang w:eastAsia="es-MX"/>
        </w:rPr>
        <w:t xml:space="preserve">. </w:t>
      </w:r>
      <w:r w:rsidRPr="00424261">
        <w:rPr>
          <w:rFonts w:ascii="Palatino Linotype" w:eastAsia="Calibri" w:hAnsi="Palatino Linotype" w:cs="Times New Roman"/>
          <w:b/>
          <w:i/>
          <w:lang w:eastAsia="es-MX"/>
        </w:rPr>
        <w:t>Disociación</w:t>
      </w:r>
      <w:r w:rsidRPr="00424261">
        <w:rPr>
          <w:rFonts w:ascii="Palatino Linotype" w:eastAsia="Calibri" w:hAnsi="Palatino Linotype" w:cs="Times New Roman"/>
          <w:i/>
          <w:lang w:eastAsia="es-MX"/>
        </w:rPr>
        <w:t>: Procedimiento mediante el cual los datos personales no pueden asociarse al titular, ni permitir por su estructura, contenido o grado de desagregación, la identificación individual del mismo;</w:t>
      </w:r>
    </w:p>
    <w:p w14:paraId="60053381" w14:textId="77777777" w:rsidR="00D166C8" w:rsidRPr="00424261" w:rsidRDefault="00D166C8" w:rsidP="00D166C8">
      <w:pPr>
        <w:ind w:left="851" w:right="851"/>
        <w:contextualSpacing/>
        <w:jc w:val="both"/>
        <w:rPr>
          <w:rFonts w:ascii="Palatino Linotype" w:eastAsia="Calibri" w:hAnsi="Palatino Linotype" w:cs="Times New Roman"/>
          <w:i/>
          <w:lang w:eastAsia="es-MX"/>
        </w:rPr>
      </w:pPr>
      <w:r w:rsidRPr="00424261">
        <w:rPr>
          <w:rFonts w:ascii="Palatino Linotype" w:eastAsia="Calibri" w:hAnsi="Palatino Linotype" w:cs="Times New Roman"/>
          <w:i/>
          <w:lang w:eastAsia="es-MX"/>
        </w:rPr>
        <w:t>(…)”</w:t>
      </w:r>
    </w:p>
    <w:p w14:paraId="17A7D2DE" w14:textId="77777777" w:rsidR="00D166C8" w:rsidRPr="00424261" w:rsidRDefault="00D166C8"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693760FB" w14:textId="54963014" w:rsidR="000C4422" w:rsidRPr="00424261" w:rsidRDefault="00D166C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75E3AA7B" w14:textId="55CA338E"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4928B862" w14:textId="0D3E0890" w:rsidR="008B56B8" w:rsidRPr="00424261" w:rsidRDefault="00C03122" w:rsidP="00C0312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50" w:name="_Toc101963400"/>
      <w:r w:rsidRPr="00424261">
        <w:rPr>
          <w:rFonts w:ascii="Palatino Linotype" w:hAnsi="Palatino Linotype"/>
          <w:b/>
          <w:bCs/>
          <w:color w:val="000000" w:themeColor="text1"/>
        </w:rPr>
        <w:t xml:space="preserve">g) </w:t>
      </w:r>
      <w:r w:rsidR="008B56B8" w:rsidRPr="00424261">
        <w:rPr>
          <w:rFonts w:ascii="Palatino Linotype" w:hAnsi="Palatino Linotype"/>
          <w:b/>
          <w:bCs/>
          <w:color w:val="000000" w:themeColor="text1"/>
        </w:rPr>
        <w:t>De la Comisión de Honor y Justicia.</w:t>
      </w:r>
      <w:bookmarkEnd w:id="50"/>
    </w:p>
    <w:p w14:paraId="56025E2B" w14:textId="77777777" w:rsidR="008B56B8" w:rsidRPr="00424261" w:rsidRDefault="008B56B8"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21C8B126" w14:textId="08ABCF11" w:rsidR="000C4422" w:rsidRPr="00424261" w:rsidRDefault="008B56B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Finalmente, la Ley de Seguridad del Estado de México, en su artículo 55, establece que los municipios establecerán un Consejo Municipal de Seguridad Pública, el cual deberá quedar instalado dentro de los primeros treinta días naturales del inicio de la administración municipal y enviar al Consejo Estatal el acta de instalación respectiva. Cada Consejo Municipal deberá sesionar en forma ordinaria cada dos meses y en forma extraordinaria las veces que sean necesarias, en términos que establezca el estatuto correspondiente que emita el Consejo Municipal.</w:t>
      </w:r>
    </w:p>
    <w:p w14:paraId="166A71AB"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28B03681" w14:textId="77777777" w:rsidR="008B56B8" w:rsidRPr="00424261" w:rsidRDefault="008B56B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Para el desahogo de los asuntos de su competencia, el Consejo Municipal de Seguridad Pública integrará las siguientes comisiones: </w:t>
      </w:r>
    </w:p>
    <w:p w14:paraId="43A82E07" w14:textId="4480B351" w:rsidR="000C4422"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lastRenderedPageBreak/>
        <w:t>Prevención Social de la Violencia y la Delincuencia con Participación Ciudadana;</w:t>
      </w:r>
    </w:p>
    <w:p w14:paraId="64811844" w14:textId="27DF75BB" w:rsidR="008B56B8"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Planeación y Evaluación;</w:t>
      </w:r>
    </w:p>
    <w:p w14:paraId="782BD4EB" w14:textId="1B25724C" w:rsidR="008B56B8"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Estratégica de Seguridad; </w:t>
      </w:r>
    </w:p>
    <w:p w14:paraId="7A6AE019" w14:textId="5FF742DE" w:rsidR="008B56B8"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b/>
          <w:bCs/>
          <w:color w:val="000000" w:themeColor="text1"/>
        </w:rPr>
        <w:t>Comisión de Honor y Justicia</w:t>
      </w:r>
      <w:r w:rsidRPr="00424261">
        <w:rPr>
          <w:rFonts w:ascii="Palatino Linotype" w:hAnsi="Palatino Linotype"/>
          <w:color w:val="000000" w:themeColor="text1"/>
        </w:rPr>
        <w:t>; y</w:t>
      </w:r>
    </w:p>
    <w:p w14:paraId="186BF8E1" w14:textId="44A66930" w:rsidR="008B56B8"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Las demás que determine.</w:t>
      </w:r>
    </w:p>
    <w:p w14:paraId="27E5ADCC"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319F1807" w14:textId="6205BE81" w:rsidR="008B56B8" w:rsidRPr="00424261" w:rsidRDefault="008B56B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r w:rsidRPr="00424261">
        <w:rPr>
          <w:rStyle w:val="Refdenotaalpie"/>
          <w:rFonts w:ascii="Palatino Linotype" w:hAnsi="Palatino Linotype"/>
          <w:color w:val="000000" w:themeColor="text1"/>
        </w:rPr>
        <w:footnoteReference w:id="46"/>
      </w:r>
      <w:r w:rsidRPr="00424261">
        <w:rPr>
          <w:rFonts w:ascii="Palatino Linotype" w:hAnsi="Palatino Linotype"/>
          <w:color w:val="000000" w:themeColor="text1"/>
        </w:rPr>
        <w:t xml:space="preserve">: </w:t>
      </w:r>
    </w:p>
    <w:p w14:paraId="777FDD0E" w14:textId="77777777" w:rsidR="008B56B8"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Con los requisitos de permanencia que se establecen en la Ley General, esta Ley y demás disposiciones legales aplicables; </w:t>
      </w:r>
    </w:p>
    <w:p w14:paraId="51F6CE1E" w14:textId="77777777" w:rsidR="008B56B8"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Con las obligaciones establecidas en la Ley General, esta Ley y los ordenamientos jurídicos internos que rigen su actuar; y </w:t>
      </w:r>
    </w:p>
    <w:p w14:paraId="6B2B0B79" w14:textId="3A4B9D1D" w:rsidR="000C4422" w:rsidRPr="00424261" w:rsidRDefault="008B56B8" w:rsidP="008B56B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24261">
        <w:rPr>
          <w:rFonts w:ascii="Palatino Linotype" w:hAnsi="Palatino Linotype"/>
          <w:color w:val="000000" w:themeColor="text1"/>
        </w:rPr>
        <w:t xml:space="preserve">Con el régimen disciplinario establecido en esta Ley. </w:t>
      </w:r>
    </w:p>
    <w:p w14:paraId="5FF2F1F6" w14:textId="77777777" w:rsidR="000C4422" w:rsidRPr="00424261" w:rsidRDefault="000C4422"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0F47BAAC" w14:textId="6520CACF" w:rsidR="000C4422" w:rsidRPr="00424261" w:rsidRDefault="008B56B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Así las cosas, </w:t>
      </w:r>
      <w:r w:rsidR="00313C6C" w:rsidRPr="00424261">
        <w:rPr>
          <w:rFonts w:ascii="Palatino Linotype" w:hAnsi="Palatino Linotype"/>
          <w:color w:val="000000" w:themeColor="text1"/>
        </w:rPr>
        <w:t xml:space="preserve">el </w:t>
      </w:r>
      <w:r w:rsidR="00313C6C" w:rsidRPr="00424261">
        <w:rPr>
          <w:rFonts w:ascii="Palatino Linotype" w:hAnsi="Palatino Linotype"/>
          <w:b/>
          <w:bCs/>
          <w:color w:val="000000" w:themeColor="text1"/>
        </w:rPr>
        <w:t>SUJETO OBLIGADO</w:t>
      </w:r>
      <w:r w:rsidR="00313C6C" w:rsidRPr="00424261">
        <w:rPr>
          <w:rFonts w:ascii="Palatino Linotype" w:hAnsi="Palatino Linotype"/>
          <w:color w:val="000000" w:themeColor="text1"/>
        </w:rPr>
        <w:t xml:space="preserve"> deberá turnar la solicitud de información a la Comisión de Honor y Justicia a efecto de que ésta entregue el documento donde conste si existe alguna situación jurídica o procedimiento llevado a cabo en contra de la agente de policía señalada por los familiares del occiso. Lo anterior en estricto </w:t>
      </w:r>
      <w:r w:rsidR="00313C6C" w:rsidRPr="00424261">
        <w:rPr>
          <w:rFonts w:ascii="Palatino Linotype" w:hAnsi="Palatino Linotype"/>
          <w:color w:val="000000" w:themeColor="text1"/>
        </w:rPr>
        <w:lastRenderedPageBreak/>
        <w:t>seguimiento a lo establecido por el Criterio de Interpretación 16-17 emitido por el Organismo Garante Nacional, mismo que establece:</w:t>
      </w:r>
    </w:p>
    <w:p w14:paraId="5F5C0704" w14:textId="259F85B4" w:rsidR="000C4422" w:rsidRPr="00424261" w:rsidRDefault="000C4422" w:rsidP="00313C6C">
      <w:pPr>
        <w:pStyle w:val="Prrafodelista"/>
        <w:tabs>
          <w:tab w:val="left" w:pos="426"/>
        </w:tabs>
        <w:spacing w:before="240" w:line="360" w:lineRule="auto"/>
        <w:ind w:left="0" w:right="51"/>
        <w:jc w:val="both"/>
        <w:rPr>
          <w:rFonts w:ascii="Palatino Linotype" w:hAnsi="Palatino Linotype"/>
          <w:color w:val="000000" w:themeColor="text1"/>
        </w:rPr>
      </w:pPr>
    </w:p>
    <w:p w14:paraId="73D92008" w14:textId="55F872AF" w:rsidR="00313C6C" w:rsidRPr="00424261" w:rsidRDefault="00313C6C" w:rsidP="00313C6C">
      <w:pPr>
        <w:spacing w:before="240" w:after="240" w:line="276" w:lineRule="auto"/>
        <w:ind w:left="567" w:right="567"/>
        <w:jc w:val="both"/>
        <w:rPr>
          <w:rFonts w:ascii="Palatino Linotype" w:hAnsi="Palatino Linotype" w:cs="Arial"/>
          <w:i/>
          <w:iCs/>
          <w:sz w:val="22"/>
          <w:szCs w:val="22"/>
        </w:rPr>
      </w:pPr>
      <w:r w:rsidRPr="00424261">
        <w:rPr>
          <w:rFonts w:ascii="Palatino Linotype" w:hAnsi="Palatino Linotype" w:cs="Arial"/>
          <w:b/>
          <w:bCs/>
          <w:i/>
          <w:iCs/>
          <w:sz w:val="22"/>
          <w:szCs w:val="22"/>
        </w:rPr>
        <w:t>EXPRESIÓN DOCUMENTAL. “</w:t>
      </w:r>
      <w:r w:rsidRPr="00424261">
        <w:rPr>
          <w:rFonts w:ascii="Palatino Linotype" w:hAnsi="Palatino Linotype" w:cs="Arial"/>
          <w:bCs/>
          <w:i/>
          <w:iCs/>
          <w:sz w:val="22"/>
          <w:szCs w:val="22"/>
        </w:rPr>
        <w:t>Cuando</w:t>
      </w:r>
      <w:r w:rsidRPr="00424261">
        <w:rPr>
          <w:rFonts w:ascii="Palatino Linotype" w:hAnsi="Palatino Linotype" w:cs="Arial"/>
          <w:i/>
          <w:iCs/>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424261">
        <w:rPr>
          <w:rFonts w:ascii="Palatino Linotype" w:hAnsi="Palatino Linotype" w:cs="Arial"/>
          <w:i/>
          <w:iCs/>
          <w:sz w:val="22"/>
          <w:szCs w:val="22"/>
        </w:rPr>
        <w:t>o bien, la solicitud constituya una consulta,</w:t>
      </w:r>
      <w:r w:rsidRPr="00424261">
        <w:rPr>
          <w:rFonts w:ascii="Palatino Linotype" w:hAnsi="Palatino Linotype" w:cs="Arial"/>
          <w:i/>
          <w:iCs/>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w:t>
      </w:r>
    </w:p>
    <w:p w14:paraId="2AAF6479" w14:textId="77777777" w:rsidR="00313C6C" w:rsidRPr="00424261" w:rsidRDefault="00313C6C" w:rsidP="000C4422">
      <w:pPr>
        <w:pStyle w:val="Prrafodelista"/>
        <w:tabs>
          <w:tab w:val="left" w:pos="426"/>
        </w:tabs>
        <w:spacing w:before="240" w:after="240" w:line="360" w:lineRule="auto"/>
        <w:ind w:left="0" w:right="51"/>
        <w:jc w:val="both"/>
        <w:rPr>
          <w:rFonts w:ascii="Palatino Linotype" w:hAnsi="Palatino Linotype"/>
          <w:color w:val="000000" w:themeColor="text1"/>
        </w:rPr>
      </w:pPr>
    </w:p>
    <w:p w14:paraId="374FAC0F" w14:textId="5F91C988" w:rsidR="000C4422" w:rsidRPr="00424261" w:rsidRDefault="00313C6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lo anterior, si derivado de la búsqueda de la información que se ordena entregar, se concluyera que no se ha generado, poseído o administrado información relacionada con algún procedimiento o situación jurídica de la agente policial, se deberá hacer del conocimiento del </w:t>
      </w:r>
      <w:r w:rsidRPr="00424261">
        <w:rPr>
          <w:rFonts w:ascii="Palatino Linotype" w:hAnsi="Palatino Linotype"/>
          <w:b/>
          <w:bCs/>
          <w:color w:val="000000" w:themeColor="text1"/>
        </w:rPr>
        <w:t>RECURRENTE</w:t>
      </w:r>
      <w:r w:rsidRPr="00424261">
        <w:rPr>
          <w:rFonts w:ascii="Palatino Linotype" w:hAnsi="Palatino Linotype"/>
          <w:color w:val="000000" w:themeColor="text1"/>
        </w:rPr>
        <w:t xml:space="preserve"> de manera clara y precisa. </w:t>
      </w:r>
    </w:p>
    <w:p w14:paraId="596F40EE" w14:textId="77777777" w:rsidR="0039230E" w:rsidRPr="00424261"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67008571" w:rsidR="00F01443" w:rsidRPr="00424261" w:rsidRDefault="00751061"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51" w:name="_Toc89350464"/>
      <w:bookmarkStart w:id="52" w:name="_Toc101963401"/>
      <w:r w:rsidRPr="00424261">
        <w:rPr>
          <w:rFonts w:ascii="Palatino Linotype" w:hAnsi="Palatino Linotype"/>
          <w:b/>
          <w:bCs/>
          <w:color w:val="000000" w:themeColor="text1"/>
        </w:rPr>
        <w:t>QUINTO</w:t>
      </w:r>
      <w:r w:rsidR="00F01443" w:rsidRPr="00424261">
        <w:rPr>
          <w:rFonts w:ascii="Palatino Linotype" w:hAnsi="Palatino Linotype"/>
          <w:b/>
          <w:bCs/>
          <w:color w:val="000000" w:themeColor="text1"/>
        </w:rPr>
        <w:t>. De la versión pública.</w:t>
      </w:r>
      <w:bookmarkEnd w:id="51"/>
      <w:bookmarkEnd w:id="52"/>
    </w:p>
    <w:p w14:paraId="294C3AEA" w14:textId="77777777" w:rsidR="00F01443" w:rsidRPr="00424261"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77777777" w:rsidR="00CA7A78" w:rsidRPr="00424261"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Debe destacarse que, </w:t>
      </w:r>
      <w:r w:rsidR="00CA7A78" w:rsidRPr="00424261">
        <w:rPr>
          <w:rFonts w:ascii="Palatino Linotype" w:hAnsi="Palatino Linotype"/>
          <w:color w:val="000000" w:themeColor="text1"/>
        </w:rPr>
        <w:t>debido a la naturaleza de la información solicitada</w:t>
      </w:r>
      <w:r w:rsidR="00CA7A78" w:rsidRPr="00424261">
        <w:rPr>
          <w:rFonts w:ascii="Palatino Linotype" w:hAnsi="Palatino Linotype"/>
          <w:b/>
          <w:color w:val="000000" w:themeColor="text1"/>
        </w:rPr>
        <w:t xml:space="preserve"> </w:t>
      </w:r>
      <w:r w:rsidR="00CA7A78" w:rsidRPr="00424261">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Pr="00424261"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16E7E889" w:rsidR="00CA7A78" w:rsidRPr="00424261" w:rsidRDefault="00CA7A78"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lastRenderedPageBreak/>
        <w:t xml:space="preserve">La </w:t>
      </w:r>
      <w:r w:rsidR="00C475D0" w:rsidRPr="00424261">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75D0" w:rsidRPr="00424261">
        <w:rPr>
          <w:rFonts w:ascii="Palatino Linotype" w:eastAsia="Times New Roman" w:hAnsi="Palatino Linotype" w:cs="Arial"/>
          <w:color w:val="000000"/>
        </w:rPr>
        <w:t xml:space="preserve">Actualmente, el grave problema que enfrentamos son los Acuerdos de Clasificación de la Información que emiten los </w:t>
      </w:r>
      <w:r w:rsidR="00C475D0" w:rsidRPr="00424261">
        <w:rPr>
          <w:rFonts w:ascii="Palatino Linotype" w:eastAsia="Times New Roman" w:hAnsi="Palatino Linotype" w:cs="Arial"/>
          <w:b/>
          <w:color w:val="000000"/>
        </w:rPr>
        <w:t>SUJETOS OBLIGADOS</w:t>
      </w:r>
      <w:r w:rsidR="00C475D0" w:rsidRPr="00424261">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7A3CF6C2" w14:textId="23B1F96F" w:rsidR="00C475D0" w:rsidRPr="00424261"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C475D0" w:rsidRPr="00424261" w14:paraId="4F97BCF4" w14:textId="77777777" w:rsidTr="009E1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CC49BD" w14:textId="77777777" w:rsidR="00C475D0" w:rsidRPr="00424261" w:rsidRDefault="00C475D0" w:rsidP="009E1F1C">
            <w:pPr>
              <w:rPr>
                <w:sz w:val="20"/>
                <w:szCs w:val="20"/>
              </w:rPr>
            </w:pPr>
            <w:r w:rsidRPr="00424261">
              <w:rPr>
                <w:rFonts w:ascii="Palatino Linotype" w:hAnsi="Palatino Linotype" w:cstheme="majorBidi"/>
                <w:b w:val="0"/>
                <w:sz w:val="20"/>
                <w:szCs w:val="20"/>
              </w:rPr>
              <w:t>a) Requisitos previos.</w:t>
            </w:r>
          </w:p>
        </w:tc>
        <w:tc>
          <w:tcPr>
            <w:tcW w:w="6990" w:type="dxa"/>
          </w:tcPr>
          <w:p w14:paraId="0135CEE0" w14:textId="77777777" w:rsidR="00C475D0" w:rsidRPr="00424261" w:rsidRDefault="00C475D0" w:rsidP="009E1F1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424261">
              <w:rPr>
                <w:rFonts w:ascii="Palatino Linotype" w:eastAsia="Times New Roman" w:hAnsi="Palatino Linotype" w:cs="Arial"/>
                <w:b w:val="0"/>
                <w:color w:val="000000"/>
                <w:sz w:val="20"/>
                <w:szCs w:val="20"/>
              </w:rPr>
              <w:t>Sujetos Obligados</w:t>
            </w:r>
            <w:r w:rsidRPr="00424261">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084E1A7B" w14:textId="77777777" w:rsidR="00C475D0" w:rsidRPr="00424261" w:rsidRDefault="00C475D0" w:rsidP="009E1F1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375A8F84" w14:textId="77777777" w:rsidR="00C475D0" w:rsidRPr="00424261" w:rsidRDefault="00C475D0" w:rsidP="009E1F1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28408E16" w14:textId="77777777" w:rsidR="00C475D0" w:rsidRPr="00424261" w:rsidRDefault="00C475D0" w:rsidP="009E1F1C">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24261">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424261">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424261">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75D0" w:rsidRPr="00424261" w14:paraId="788930F0" w14:textId="77777777" w:rsidTr="009E1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38CA1D" w14:textId="77777777" w:rsidR="00C475D0" w:rsidRPr="00424261" w:rsidRDefault="00C475D0" w:rsidP="009E1F1C">
            <w:pPr>
              <w:rPr>
                <w:sz w:val="20"/>
                <w:szCs w:val="20"/>
              </w:rPr>
            </w:pPr>
            <w:r w:rsidRPr="00424261">
              <w:rPr>
                <w:rFonts w:ascii="Palatino Linotype" w:hAnsi="Palatino Linotype" w:cstheme="majorBidi"/>
                <w:b w:val="0"/>
                <w:sz w:val="20"/>
                <w:szCs w:val="20"/>
              </w:rPr>
              <w:t>b) Supuestos de clasificación.</w:t>
            </w:r>
          </w:p>
        </w:tc>
        <w:tc>
          <w:tcPr>
            <w:tcW w:w="6990" w:type="dxa"/>
          </w:tcPr>
          <w:p w14:paraId="1CAE7C79" w14:textId="77777777" w:rsidR="00C475D0" w:rsidRPr="00424261" w:rsidRDefault="00C475D0" w:rsidP="009E1F1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6CEA01CD" w14:textId="77777777" w:rsidR="00C475D0" w:rsidRPr="00424261" w:rsidRDefault="00C475D0" w:rsidP="009E1F1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w:t>
            </w:r>
            <w:r w:rsidRPr="00424261">
              <w:rPr>
                <w:rFonts w:ascii="Palatino Linotype" w:eastAsia="Times New Roman" w:hAnsi="Palatino Linotype" w:cs="Arial"/>
                <w:color w:val="000000"/>
                <w:sz w:val="20"/>
                <w:szCs w:val="20"/>
              </w:rPr>
              <w:lastRenderedPageBreak/>
              <w:t>se cumple con esta condición y no se pueden ampliar las excepciones o supuestos de clasificación aduciendo analogía o mayoría de razón.</w:t>
            </w:r>
          </w:p>
          <w:p w14:paraId="6853F920" w14:textId="77777777" w:rsidR="00C475D0" w:rsidRPr="00424261" w:rsidRDefault="00C475D0" w:rsidP="009E1F1C">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424261">
              <w:rPr>
                <w:rFonts w:ascii="Palatino Linotype" w:eastAsia="Times New Roman" w:hAnsi="Palatino Linotype" w:cs="Arial"/>
                <w:color w:val="000000"/>
                <w:sz w:val="20"/>
                <w:szCs w:val="20"/>
              </w:rPr>
              <w:t xml:space="preserve">El </w:t>
            </w:r>
            <w:r w:rsidRPr="00424261">
              <w:rPr>
                <w:rFonts w:ascii="Palatino Linotype" w:eastAsia="Times New Roman" w:hAnsi="Palatino Linotype" w:cs="Arial"/>
                <w:b/>
                <w:color w:val="000000"/>
                <w:sz w:val="20"/>
                <w:szCs w:val="20"/>
              </w:rPr>
              <w:t>SUJETO OBLIGADO</w:t>
            </w:r>
            <w:r w:rsidRPr="00424261">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75D0" w:rsidRPr="00424261" w14:paraId="360FA141" w14:textId="77777777" w:rsidTr="009E1F1C">
        <w:tc>
          <w:tcPr>
            <w:cnfStyle w:val="001000000000" w:firstRow="0" w:lastRow="0" w:firstColumn="1" w:lastColumn="0" w:oddVBand="0" w:evenVBand="0" w:oddHBand="0" w:evenHBand="0" w:firstRowFirstColumn="0" w:firstRowLastColumn="0" w:lastRowFirstColumn="0" w:lastRowLastColumn="0"/>
            <w:tcW w:w="1838" w:type="dxa"/>
          </w:tcPr>
          <w:p w14:paraId="4227721B" w14:textId="77777777" w:rsidR="00C475D0" w:rsidRPr="00424261" w:rsidRDefault="00C475D0" w:rsidP="009E1F1C">
            <w:pPr>
              <w:rPr>
                <w:sz w:val="20"/>
                <w:szCs w:val="20"/>
              </w:rPr>
            </w:pPr>
            <w:r w:rsidRPr="00424261">
              <w:rPr>
                <w:rFonts w:ascii="Palatino Linotype" w:hAnsi="Palatino Linotype" w:cstheme="majorBidi"/>
                <w:b w:val="0"/>
                <w:sz w:val="20"/>
                <w:szCs w:val="20"/>
              </w:rPr>
              <w:lastRenderedPageBreak/>
              <w:t>c) Formalidades para emitir el acuerdo de clasificación.</w:t>
            </w:r>
          </w:p>
        </w:tc>
        <w:tc>
          <w:tcPr>
            <w:tcW w:w="6990" w:type="dxa"/>
          </w:tcPr>
          <w:p w14:paraId="7E5146A7" w14:textId="77777777" w:rsidR="00C475D0" w:rsidRPr="00424261" w:rsidRDefault="00C475D0" w:rsidP="009E1F1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0F107480" w14:textId="77777777" w:rsidR="00C475D0" w:rsidRPr="00424261" w:rsidRDefault="00C475D0" w:rsidP="009E1F1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Es necesario que </w:t>
            </w:r>
            <w:r w:rsidRPr="00424261">
              <w:rPr>
                <w:rFonts w:ascii="Palatino Linotype" w:eastAsia="Times New Roman" w:hAnsi="Palatino Linotype" w:cs="Arial"/>
                <w:b/>
                <w:color w:val="000000"/>
                <w:sz w:val="20"/>
                <w:szCs w:val="20"/>
                <w:u w:val="single"/>
              </w:rPr>
              <w:t>el acto reúna con los requisitos elementales</w:t>
            </w:r>
            <w:r w:rsidRPr="00424261">
              <w:rPr>
                <w:rFonts w:ascii="Palatino Linotype" w:eastAsia="Times New Roman" w:hAnsi="Palatino Linotype" w:cs="Arial"/>
                <w:color w:val="000000"/>
                <w:sz w:val="20"/>
                <w:szCs w:val="20"/>
              </w:rPr>
              <w:t>, entre ellos, que la autoridad que va a emitir el acto de autoridad sea la legalmente facultada para ello.</w:t>
            </w:r>
          </w:p>
          <w:p w14:paraId="0552017C" w14:textId="77777777" w:rsidR="00C475D0" w:rsidRPr="00424261" w:rsidRDefault="00C475D0" w:rsidP="009E1F1C">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424261">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75D0" w:rsidRPr="00424261" w14:paraId="7A71C338" w14:textId="77777777" w:rsidTr="009E1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A9FEBA" w14:textId="77777777" w:rsidR="00C475D0" w:rsidRPr="00424261" w:rsidRDefault="00C475D0" w:rsidP="009E1F1C">
            <w:pPr>
              <w:rPr>
                <w:b w:val="0"/>
                <w:sz w:val="20"/>
                <w:szCs w:val="20"/>
              </w:rPr>
            </w:pPr>
          </w:p>
          <w:p w14:paraId="649DDD51" w14:textId="77777777" w:rsidR="00C475D0" w:rsidRPr="00424261" w:rsidRDefault="00C475D0" w:rsidP="009E1F1C">
            <w:pPr>
              <w:jc w:val="both"/>
              <w:rPr>
                <w:b w:val="0"/>
                <w:sz w:val="20"/>
                <w:szCs w:val="20"/>
              </w:rPr>
            </w:pPr>
            <w:r w:rsidRPr="00424261">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17404BAA" w14:textId="77777777" w:rsidR="00C475D0" w:rsidRPr="00424261" w:rsidRDefault="00C475D0" w:rsidP="009E1F1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24261">
              <w:rPr>
                <w:rFonts w:ascii="Palatino Linotype" w:eastAsia="Times New Roman" w:hAnsi="Palatino Linotype" w:cs="Arial"/>
                <w:b/>
                <w:color w:val="000000"/>
                <w:sz w:val="20"/>
                <w:szCs w:val="20"/>
              </w:rPr>
              <w:t>Sujetos Obligados</w:t>
            </w:r>
            <w:r w:rsidRPr="00424261">
              <w:rPr>
                <w:rFonts w:ascii="Palatino Linotype" w:eastAsia="Times New Roman" w:hAnsi="Palatino Linotype" w:cs="Arial"/>
                <w:color w:val="000000"/>
                <w:sz w:val="20"/>
                <w:szCs w:val="20"/>
              </w:rPr>
              <w:t xml:space="preserve">, por lo que deberán fundar y motivar debidamente la clasificación. </w:t>
            </w:r>
          </w:p>
          <w:p w14:paraId="18A36711" w14:textId="77777777" w:rsidR="00C475D0" w:rsidRPr="00424261" w:rsidRDefault="00C475D0" w:rsidP="009E1F1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De lo anterior, se desprende que para una correcta </w:t>
            </w:r>
            <w:r w:rsidRPr="00424261">
              <w:rPr>
                <w:rFonts w:ascii="Palatino Linotype" w:eastAsia="Times New Roman" w:hAnsi="Palatino Linotype" w:cs="Arial"/>
                <w:b/>
                <w:color w:val="000000"/>
                <w:sz w:val="20"/>
                <w:szCs w:val="20"/>
              </w:rPr>
              <w:t>clasificación total o parcial</w:t>
            </w:r>
            <w:r w:rsidRPr="00424261">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B5B464" w14:textId="77777777" w:rsidR="00C475D0" w:rsidRPr="00424261" w:rsidRDefault="00C475D0" w:rsidP="009E1F1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424261">
              <w:rPr>
                <w:rFonts w:ascii="Palatino Linotype" w:eastAsia="Times New Roman" w:hAnsi="Palatino Linotype" w:cs="Arial"/>
                <w:color w:val="000000"/>
                <w:sz w:val="20"/>
                <w:szCs w:val="20"/>
              </w:rPr>
              <w:lastRenderedPageBreak/>
              <w:t>derecho. De este modo, la persona que se sienta afectada pueda impugnar la decisión, permitiéndole una real y auténtica defensa.</w:t>
            </w:r>
          </w:p>
          <w:p w14:paraId="08D64988" w14:textId="77777777" w:rsidR="00C475D0" w:rsidRPr="00424261" w:rsidRDefault="00C475D0" w:rsidP="009E1F1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FCF9AC9" w14:textId="77777777" w:rsidR="00C475D0" w:rsidRPr="00424261" w:rsidRDefault="00C475D0" w:rsidP="009E1F1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Ahora bien, </w:t>
            </w:r>
            <w:r w:rsidRPr="00424261">
              <w:rPr>
                <w:rFonts w:ascii="Palatino Linotype" w:eastAsia="Times New Roman" w:hAnsi="Palatino Linotype" w:cs="Arial"/>
                <w:b/>
                <w:color w:val="000000"/>
                <w:sz w:val="20"/>
                <w:szCs w:val="20"/>
                <w:u w:val="single"/>
              </w:rPr>
              <w:t>para cada caso además de fundar y motivar</w:t>
            </w:r>
            <w:r w:rsidRPr="00424261">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424261">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75D0" w:rsidRPr="00424261" w14:paraId="381DCD98" w14:textId="77777777" w:rsidTr="009E1F1C">
        <w:tc>
          <w:tcPr>
            <w:cnfStyle w:val="001000000000" w:firstRow="0" w:lastRow="0" w:firstColumn="1" w:lastColumn="0" w:oddVBand="0" w:evenVBand="0" w:oddHBand="0" w:evenHBand="0" w:firstRowFirstColumn="0" w:firstRowLastColumn="0" w:lastRowFirstColumn="0" w:lastRowLastColumn="0"/>
            <w:tcW w:w="1838" w:type="dxa"/>
          </w:tcPr>
          <w:p w14:paraId="795B3001" w14:textId="77777777" w:rsidR="00C475D0" w:rsidRPr="00424261" w:rsidRDefault="00C475D0" w:rsidP="009E1F1C">
            <w:pPr>
              <w:spacing w:line="360" w:lineRule="auto"/>
              <w:ind w:right="49"/>
              <w:jc w:val="both"/>
              <w:rPr>
                <w:rFonts w:ascii="Palatino Linotype" w:eastAsia="Times New Roman" w:hAnsi="Palatino Linotype" w:cs="Arial"/>
                <w:color w:val="000000"/>
                <w:sz w:val="20"/>
                <w:szCs w:val="20"/>
              </w:rPr>
            </w:pPr>
            <w:r w:rsidRPr="00424261">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3A4D8F86" w14:textId="77777777" w:rsidR="00C475D0" w:rsidRPr="00424261" w:rsidRDefault="00C475D0" w:rsidP="009E1F1C">
            <w:pPr>
              <w:rPr>
                <w:sz w:val="20"/>
                <w:szCs w:val="20"/>
              </w:rPr>
            </w:pPr>
          </w:p>
        </w:tc>
        <w:tc>
          <w:tcPr>
            <w:tcW w:w="6990" w:type="dxa"/>
          </w:tcPr>
          <w:p w14:paraId="4C87D694" w14:textId="77777777" w:rsidR="00C475D0" w:rsidRPr="00424261" w:rsidRDefault="00C475D0" w:rsidP="009E1F1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123FCFDF" w14:textId="77777777" w:rsidR="00C475D0" w:rsidRPr="00424261" w:rsidRDefault="00C475D0" w:rsidP="009E1F1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24261">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5166B44" w14:textId="77777777" w:rsidR="00C475D0" w:rsidRPr="00424261" w:rsidRDefault="00C475D0" w:rsidP="009E1F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24261">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7E67D9C" w14:textId="306D7B6D" w:rsidR="00F6300E" w:rsidRPr="00424261"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7AFC6FB4" w:rsidR="00F01443" w:rsidRPr="00424261"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rPr>
        <w:t xml:space="preserve">Por </w:t>
      </w:r>
      <w:r w:rsidRPr="00424261">
        <w:rPr>
          <w:rFonts w:ascii="Palatino Linotype" w:eastAsia="MS Mincho" w:hAnsi="Palatino Linotype" w:cstheme="majorBidi"/>
        </w:rPr>
        <w:t>lo tanto,</w:t>
      </w:r>
      <w:r w:rsidRPr="00424261">
        <w:rPr>
          <w:rFonts w:ascii="Palatino Linotype" w:eastAsia="MS Mincho" w:hAnsi="Palatino Linotype" w:cstheme="majorBidi"/>
          <w:lang w:val="es-ES"/>
        </w:rPr>
        <w:t xml:space="preserve"> en consecuencia y en mérito de lo expuesto en líneas anteriores, resultan fundadas las </w:t>
      </w:r>
      <w:r w:rsidR="000A13F5" w:rsidRPr="00424261">
        <w:rPr>
          <w:rFonts w:ascii="Palatino Linotype" w:eastAsia="MS Mincho" w:hAnsi="Palatino Linotype" w:cstheme="majorBidi"/>
          <w:lang w:val="es-ES"/>
        </w:rPr>
        <w:t>razones</w:t>
      </w:r>
      <w:r w:rsidRPr="00424261">
        <w:rPr>
          <w:rFonts w:ascii="Palatino Linotype" w:eastAsia="MS Mincho" w:hAnsi="Palatino Linotype" w:cstheme="majorBidi"/>
          <w:lang w:val="es-ES"/>
        </w:rPr>
        <w:t xml:space="preserve"> o motivos de inconformidad hechos valer por el </w:t>
      </w:r>
      <w:r w:rsidRPr="00424261">
        <w:rPr>
          <w:rFonts w:ascii="Palatino Linotype" w:eastAsia="MS Mincho" w:hAnsi="Palatino Linotype" w:cstheme="majorBidi"/>
          <w:b/>
          <w:lang w:val="es-ES"/>
        </w:rPr>
        <w:t>RECURRENTE</w:t>
      </w:r>
      <w:r w:rsidRPr="00424261">
        <w:rPr>
          <w:rFonts w:ascii="Palatino Linotype" w:eastAsia="MS Mincho" w:hAnsi="Palatino Linotype" w:cstheme="majorBidi"/>
          <w:lang w:val="es-ES"/>
        </w:rPr>
        <w:t xml:space="preserve"> dentro de</w:t>
      </w:r>
      <w:r w:rsidR="000A13F5" w:rsidRPr="00424261">
        <w:rPr>
          <w:rFonts w:ascii="Palatino Linotype" w:eastAsia="MS Mincho" w:hAnsi="Palatino Linotype" w:cstheme="majorBidi"/>
          <w:lang w:val="es-ES"/>
        </w:rPr>
        <w:t xml:space="preserve"> </w:t>
      </w:r>
      <w:r w:rsidRPr="00424261">
        <w:rPr>
          <w:rFonts w:ascii="Palatino Linotype" w:eastAsia="MS Mincho" w:hAnsi="Palatino Linotype" w:cstheme="majorBidi"/>
          <w:lang w:val="es-ES"/>
        </w:rPr>
        <w:t>l</w:t>
      </w:r>
      <w:r w:rsidR="000A13F5" w:rsidRPr="00424261">
        <w:rPr>
          <w:rFonts w:ascii="Palatino Linotype" w:eastAsia="MS Mincho" w:hAnsi="Palatino Linotype" w:cstheme="majorBidi"/>
          <w:lang w:val="es-ES"/>
        </w:rPr>
        <w:t>os</w:t>
      </w:r>
      <w:r w:rsidRPr="00424261">
        <w:rPr>
          <w:rFonts w:ascii="Palatino Linotype" w:eastAsia="MS Mincho" w:hAnsi="Palatino Linotype" w:cstheme="majorBidi"/>
          <w:lang w:val="es-ES"/>
        </w:rPr>
        <w:t xml:space="preserve"> recurso</w:t>
      </w:r>
      <w:r w:rsidR="000A13F5" w:rsidRPr="00424261">
        <w:rPr>
          <w:rFonts w:ascii="Palatino Linotype" w:eastAsia="MS Mincho" w:hAnsi="Palatino Linotype" w:cstheme="majorBidi"/>
          <w:lang w:val="es-ES"/>
        </w:rPr>
        <w:t>s</w:t>
      </w:r>
      <w:r w:rsidRPr="00424261">
        <w:rPr>
          <w:rFonts w:ascii="Palatino Linotype" w:eastAsia="MS Mincho" w:hAnsi="Palatino Linotype" w:cstheme="majorBidi"/>
          <w:lang w:val="es-ES"/>
        </w:rPr>
        <w:t xml:space="preserve"> de revisión</w:t>
      </w:r>
      <w:r w:rsidR="000A13F5" w:rsidRPr="00424261">
        <w:rPr>
          <w:rFonts w:ascii="Palatino Linotype" w:eastAsia="MS Mincho" w:hAnsi="Palatino Linotype" w:cstheme="majorBidi"/>
          <w:lang w:val="es-ES"/>
        </w:rPr>
        <w:t xml:space="preserve"> acumulados</w:t>
      </w:r>
      <w:r w:rsidRPr="00424261">
        <w:rPr>
          <w:rFonts w:ascii="Palatino Linotype" w:eastAsia="MS Mincho" w:hAnsi="Palatino Linotype" w:cstheme="majorBidi"/>
          <w:lang w:val="es-ES"/>
        </w:rPr>
        <w:t xml:space="preserve"> </w:t>
      </w:r>
      <w:r w:rsidR="00D21CC1" w:rsidRPr="00424261">
        <w:rPr>
          <w:rFonts w:ascii="Palatino Linotype" w:eastAsia="MS Mincho" w:hAnsi="Palatino Linotype" w:cstheme="majorBidi"/>
          <w:b/>
          <w:bCs/>
          <w:lang w:val="es-ES"/>
        </w:rPr>
        <w:t>05918/INFOEM/IP/RR/2021</w:t>
      </w:r>
      <w:r w:rsidR="000A13F5" w:rsidRPr="00424261">
        <w:rPr>
          <w:rFonts w:ascii="Palatino Linotype" w:eastAsia="MS Mincho" w:hAnsi="Palatino Linotype" w:cstheme="majorBidi"/>
          <w:lang w:val="es-ES"/>
        </w:rPr>
        <w:t xml:space="preserve"> y </w:t>
      </w:r>
      <w:r w:rsidR="00D21CC1" w:rsidRPr="00424261">
        <w:rPr>
          <w:rFonts w:ascii="Palatino Linotype" w:eastAsia="MS Mincho" w:hAnsi="Palatino Linotype" w:cstheme="majorBidi"/>
          <w:b/>
          <w:bCs/>
          <w:lang w:val="es-ES"/>
        </w:rPr>
        <w:t>05919/INFOEM/IP/RR/2021</w:t>
      </w:r>
      <w:r w:rsidRPr="00424261">
        <w:rPr>
          <w:rFonts w:ascii="Palatino Linotype" w:eastAsia="MS Mincho" w:hAnsi="Palatino Linotype" w:cstheme="majorBidi"/>
          <w:lang w:val="es-ES"/>
        </w:rPr>
        <w:t>; por ello, y con fundamento en la fracción III</w:t>
      </w:r>
      <w:r w:rsidR="000A13F5" w:rsidRPr="00424261">
        <w:rPr>
          <w:rFonts w:ascii="Palatino Linotype" w:eastAsia="MS Mincho" w:hAnsi="Palatino Linotype" w:cstheme="majorBidi"/>
          <w:lang w:val="es-ES"/>
        </w:rPr>
        <w:t>,</w:t>
      </w:r>
      <w:r w:rsidRPr="00424261">
        <w:rPr>
          <w:rFonts w:ascii="Palatino Linotype" w:eastAsia="MS Mincho" w:hAnsi="Palatino Linotype" w:cstheme="majorBidi"/>
          <w:lang w:val="es-ES"/>
        </w:rPr>
        <w:t xml:space="preserve"> del numeral 186 de la Ley de Transparencia y Acceso a la Información Pública del Estado de México y Municipios, se </w:t>
      </w:r>
      <w:r w:rsidR="00CC69FC" w:rsidRPr="00424261">
        <w:rPr>
          <w:rFonts w:ascii="Palatino Linotype" w:eastAsia="MS Mincho" w:hAnsi="Palatino Linotype" w:cstheme="majorBidi"/>
          <w:b/>
          <w:lang w:val="es-ES"/>
        </w:rPr>
        <w:t>REVOCAN</w:t>
      </w:r>
      <w:r w:rsidRPr="00424261">
        <w:rPr>
          <w:rFonts w:ascii="Palatino Linotype" w:eastAsia="MS Mincho" w:hAnsi="Palatino Linotype" w:cstheme="majorBidi"/>
          <w:lang w:val="es-ES"/>
        </w:rPr>
        <w:t xml:space="preserve"> la</w:t>
      </w:r>
      <w:r w:rsidR="000A13F5" w:rsidRPr="00424261">
        <w:rPr>
          <w:rFonts w:ascii="Palatino Linotype" w:eastAsia="MS Mincho" w:hAnsi="Palatino Linotype" w:cstheme="majorBidi"/>
          <w:lang w:val="es-ES"/>
        </w:rPr>
        <w:t>s</w:t>
      </w:r>
      <w:r w:rsidRPr="00424261">
        <w:rPr>
          <w:rFonts w:ascii="Palatino Linotype" w:eastAsia="MS Mincho" w:hAnsi="Palatino Linotype" w:cstheme="majorBidi"/>
          <w:lang w:val="es-ES"/>
        </w:rPr>
        <w:t xml:space="preserve"> </w:t>
      </w:r>
      <w:r w:rsidRPr="00424261">
        <w:rPr>
          <w:rFonts w:ascii="Palatino Linotype" w:eastAsia="MS Mincho" w:hAnsi="Palatino Linotype" w:cstheme="majorBidi"/>
          <w:lang w:val="es-ES"/>
        </w:rPr>
        <w:lastRenderedPageBreak/>
        <w:t>respuesta</w:t>
      </w:r>
      <w:r w:rsidR="000A13F5" w:rsidRPr="00424261">
        <w:rPr>
          <w:rFonts w:ascii="Palatino Linotype" w:eastAsia="MS Mincho" w:hAnsi="Palatino Linotype" w:cstheme="majorBidi"/>
          <w:lang w:val="es-ES"/>
        </w:rPr>
        <w:t>s</w:t>
      </w:r>
      <w:r w:rsidRPr="00424261">
        <w:rPr>
          <w:rFonts w:ascii="Palatino Linotype" w:eastAsia="MS Mincho" w:hAnsi="Palatino Linotype" w:cstheme="majorBidi"/>
          <w:lang w:val="es-ES"/>
        </w:rPr>
        <w:t xml:space="preserve"> a la</w:t>
      </w:r>
      <w:r w:rsidR="000A13F5" w:rsidRPr="00424261">
        <w:rPr>
          <w:rFonts w:ascii="Palatino Linotype" w:eastAsia="MS Mincho" w:hAnsi="Palatino Linotype" w:cstheme="majorBidi"/>
          <w:lang w:val="es-ES"/>
        </w:rPr>
        <w:t>s</w:t>
      </w:r>
      <w:r w:rsidRPr="00424261">
        <w:rPr>
          <w:rFonts w:ascii="Palatino Linotype" w:eastAsia="MS Mincho" w:hAnsi="Palatino Linotype" w:cstheme="majorBidi"/>
          <w:lang w:val="es-ES"/>
        </w:rPr>
        <w:t xml:space="preserve"> solicitud</w:t>
      </w:r>
      <w:r w:rsidR="000A13F5" w:rsidRPr="00424261">
        <w:rPr>
          <w:rFonts w:ascii="Palatino Linotype" w:eastAsia="MS Mincho" w:hAnsi="Palatino Linotype" w:cstheme="majorBidi"/>
          <w:lang w:val="es-ES"/>
        </w:rPr>
        <w:t>es</w:t>
      </w:r>
      <w:r w:rsidRPr="00424261">
        <w:rPr>
          <w:rFonts w:ascii="Palatino Linotype" w:eastAsia="MS Mincho" w:hAnsi="Palatino Linotype" w:cstheme="majorBidi"/>
          <w:lang w:val="es-ES"/>
        </w:rPr>
        <w:t xml:space="preserve"> de información número </w:t>
      </w:r>
      <w:r w:rsidR="00D21CC1" w:rsidRPr="00424261">
        <w:rPr>
          <w:rFonts w:ascii="Palatino Linotype" w:eastAsia="MS Mincho" w:hAnsi="Palatino Linotype" w:cstheme="majorBidi"/>
          <w:b/>
          <w:lang w:val="es-ES"/>
        </w:rPr>
        <w:t>00505/CUAUTIZC/IP/2021</w:t>
      </w:r>
      <w:r w:rsidR="000A13F5" w:rsidRPr="00424261">
        <w:rPr>
          <w:rFonts w:ascii="Palatino Linotype" w:eastAsia="MS Mincho" w:hAnsi="Palatino Linotype" w:cstheme="majorBidi"/>
          <w:bCs/>
          <w:lang w:val="es-ES"/>
        </w:rPr>
        <w:t xml:space="preserve"> y </w:t>
      </w:r>
      <w:r w:rsidR="00D21CC1" w:rsidRPr="00424261">
        <w:rPr>
          <w:rFonts w:ascii="Palatino Linotype" w:eastAsia="MS Mincho" w:hAnsi="Palatino Linotype" w:cstheme="majorBidi"/>
          <w:b/>
          <w:lang w:val="es-ES"/>
        </w:rPr>
        <w:t>00506/CUAUTIZC/IP/2021</w:t>
      </w:r>
      <w:r w:rsidRPr="00424261">
        <w:rPr>
          <w:rFonts w:ascii="Palatino Linotype" w:eastAsia="MS Mincho" w:hAnsi="Palatino Linotype" w:cstheme="majorBidi"/>
          <w:lang w:val="es-ES"/>
        </w:rPr>
        <w:t>.</w:t>
      </w:r>
    </w:p>
    <w:p w14:paraId="370E910A" w14:textId="77777777" w:rsidR="00F01443" w:rsidRPr="00424261"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424261"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24261">
        <w:rPr>
          <w:rFonts w:ascii="Palatino Linotype" w:hAnsi="Palatino Linotype"/>
          <w:color w:val="000000" w:themeColor="text1"/>
          <w:lang w:val="es-ES"/>
        </w:rPr>
        <w:t xml:space="preserve">Por </w:t>
      </w:r>
      <w:r w:rsidR="00B41516" w:rsidRPr="00424261">
        <w:rPr>
          <w:rFonts w:ascii="Palatino Linotype" w:hAnsi="Palatino Linotype"/>
          <w:color w:val="000000" w:themeColor="text1"/>
        </w:rPr>
        <w:t xml:space="preserve">lo anteriormente expuesto y fundado, </w:t>
      </w:r>
      <w:r w:rsidR="003E6079" w:rsidRPr="00424261">
        <w:rPr>
          <w:rFonts w:ascii="Palatino Linotype" w:hAnsi="Palatino Linotype"/>
          <w:color w:val="000000" w:themeColor="text1"/>
        </w:rPr>
        <w:t>e</w:t>
      </w:r>
      <w:r w:rsidR="00B41516" w:rsidRPr="00424261">
        <w:rPr>
          <w:rFonts w:ascii="Palatino Linotype" w:hAnsi="Palatino Linotype"/>
          <w:color w:val="000000" w:themeColor="text1"/>
        </w:rPr>
        <w:t xml:space="preserve">ste </w:t>
      </w:r>
      <w:r w:rsidR="00B41516" w:rsidRPr="00424261">
        <w:rPr>
          <w:rFonts w:ascii="Palatino Linotype" w:hAnsi="Palatino Linotype"/>
          <w:b/>
          <w:color w:val="000000" w:themeColor="text1"/>
        </w:rPr>
        <w:t>ÓRGANO GARANTE</w:t>
      </w:r>
      <w:r w:rsidR="00B41516" w:rsidRPr="00424261">
        <w:rPr>
          <w:rFonts w:ascii="Palatino Linotype" w:hAnsi="Palatino Linotype"/>
          <w:color w:val="000000" w:themeColor="text1"/>
        </w:rPr>
        <w:t xml:space="preserve"> emite los siguientes:</w:t>
      </w:r>
      <w:r w:rsidR="003E6079" w:rsidRPr="00424261">
        <w:rPr>
          <w:rFonts w:ascii="Palatino Linotype" w:hAnsi="Palatino Linotype"/>
          <w:color w:val="000000" w:themeColor="text1"/>
        </w:rPr>
        <w:t xml:space="preserve"> </w:t>
      </w:r>
      <w:r w:rsidR="00D71057" w:rsidRPr="00424261">
        <w:rPr>
          <w:rFonts w:ascii="Palatino Linotype" w:hAnsi="Palatino Linotype"/>
          <w:color w:val="000000" w:themeColor="text1"/>
        </w:rPr>
        <w:t>--------------------------------------------------------------------------</w:t>
      </w:r>
      <w:r w:rsidR="00E10AC3" w:rsidRPr="00424261">
        <w:rPr>
          <w:rFonts w:ascii="Palatino Linotype" w:hAnsi="Palatino Linotype"/>
          <w:color w:val="000000" w:themeColor="text1"/>
        </w:rPr>
        <w:t>-----------------</w:t>
      </w:r>
      <w:r w:rsidR="00895335" w:rsidRPr="00424261">
        <w:rPr>
          <w:rFonts w:ascii="Palatino Linotype" w:hAnsi="Palatino Linotype"/>
          <w:color w:val="000000" w:themeColor="text1"/>
        </w:rPr>
        <w:t>--</w:t>
      </w:r>
      <w:r w:rsidR="003E6079" w:rsidRPr="00424261">
        <w:rPr>
          <w:rFonts w:ascii="Palatino Linotype" w:hAnsi="Palatino Linotype"/>
          <w:color w:val="000000" w:themeColor="text1"/>
        </w:rPr>
        <w:t>-------------------------------------------------------------------------------------------------------------</w:t>
      </w:r>
      <w:r w:rsidR="00895335" w:rsidRPr="00424261">
        <w:rPr>
          <w:rFonts w:ascii="Palatino Linotype" w:hAnsi="Palatino Linotype"/>
          <w:color w:val="000000" w:themeColor="text1"/>
        </w:rPr>
        <w:t>--</w:t>
      </w:r>
    </w:p>
    <w:p w14:paraId="19A111DC" w14:textId="77777777" w:rsidR="00266588" w:rsidRPr="00424261" w:rsidRDefault="00266588">
      <w:pPr>
        <w:rPr>
          <w:rFonts w:ascii="Palatino Linotype" w:hAnsi="Palatino Linotype"/>
          <w:color w:val="000000" w:themeColor="text1"/>
        </w:rPr>
      </w:pPr>
      <w:r w:rsidRPr="00424261">
        <w:rPr>
          <w:rFonts w:ascii="Palatino Linotype" w:hAnsi="Palatino Linotype"/>
          <w:color w:val="000000" w:themeColor="text1"/>
        </w:rPr>
        <w:br w:type="page"/>
      </w:r>
    </w:p>
    <w:p w14:paraId="18C7D92B" w14:textId="77777777" w:rsidR="009959DB" w:rsidRPr="00424261" w:rsidRDefault="009959DB" w:rsidP="007E2870">
      <w:pPr>
        <w:pStyle w:val="Ttulo1"/>
        <w:spacing w:after="240" w:line="360" w:lineRule="auto"/>
        <w:jc w:val="center"/>
        <w:rPr>
          <w:b/>
          <w:color w:val="000000" w:themeColor="text1"/>
          <w:szCs w:val="24"/>
        </w:rPr>
      </w:pPr>
      <w:bookmarkStart w:id="53" w:name="_Toc495427547"/>
      <w:bookmarkStart w:id="54" w:name="_Toc497905366"/>
      <w:bookmarkStart w:id="55" w:name="_Toc89350470"/>
      <w:bookmarkStart w:id="56" w:name="_Toc101963402"/>
      <w:r w:rsidRPr="00424261">
        <w:rPr>
          <w:b/>
          <w:color w:val="000000" w:themeColor="text1"/>
          <w:szCs w:val="24"/>
        </w:rPr>
        <w:lastRenderedPageBreak/>
        <w:t>R E S O L U T I V O S</w:t>
      </w:r>
      <w:bookmarkEnd w:id="36"/>
      <w:bookmarkEnd w:id="37"/>
      <w:bookmarkEnd w:id="53"/>
      <w:bookmarkEnd w:id="54"/>
      <w:bookmarkEnd w:id="55"/>
      <w:bookmarkEnd w:id="56"/>
    </w:p>
    <w:p w14:paraId="67A78F7D" w14:textId="734C2258" w:rsidR="00CA0640" w:rsidRPr="00424261" w:rsidRDefault="00CA0640" w:rsidP="00CA0640">
      <w:pPr>
        <w:spacing w:line="360" w:lineRule="auto"/>
        <w:jc w:val="both"/>
        <w:rPr>
          <w:rFonts w:ascii="Palatino Linotype" w:eastAsia="Times New Roman" w:hAnsi="Palatino Linotype" w:cs="Times New Roman"/>
        </w:rPr>
      </w:pPr>
      <w:r w:rsidRPr="00424261">
        <w:rPr>
          <w:rFonts w:ascii="Palatino Linotype" w:eastAsia="Times New Roman" w:hAnsi="Palatino Linotype" w:cs="Arial"/>
          <w:b/>
          <w:sz w:val="28"/>
          <w:szCs w:val="28"/>
        </w:rPr>
        <w:t>PRIMERO</w:t>
      </w:r>
      <w:r w:rsidRPr="00424261">
        <w:rPr>
          <w:rFonts w:ascii="Palatino Linotype" w:eastAsia="Times New Roman" w:hAnsi="Palatino Linotype" w:cs="Arial"/>
          <w:b/>
        </w:rPr>
        <w:t xml:space="preserve">. </w:t>
      </w:r>
      <w:r w:rsidRPr="00424261">
        <w:rPr>
          <w:rFonts w:ascii="Palatino Linotype" w:eastAsia="Times New Roman" w:hAnsi="Palatino Linotype" w:cs="Arial"/>
        </w:rPr>
        <w:t>Resultan</w:t>
      </w:r>
      <w:r w:rsidR="00892AB9" w:rsidRPr="00424261">
        <w:rPr>
          <w:rFonts w:ascii="Palatino Linotype" w:eastAsia="Times New Roman" w:hAnsi="Palatino Linotype" w:cs="Arial"/>
        </w:rPr>
        <w:t xml:space="preserve"> </w:t>
      </w:r>
      <w:r w:rsidRPr="00424261">
        <w:rPr>
          <w:rFonts w:ascii="Palatino Linotype" w:eastAsia="Times New Roman" w:hAnsi="Palatino Linotype" w:cs="Arial"/>
        </w:rPr>
        <w:t>fundadas las</w:t>
      </w:r>
      <w:r w:rsidRPr="00424261">
        <w:rPr>
          <w:rFonts w:ascii="Palatino Linotype" w:eastAsia="Times New Roman" w:hAnsi="Palatino Linotype" w:cs="Arial"/>
          <w:b/>
        </w:rPr>
        <w:t xml:space="preserve"> </w:t>
      </w:r>
      <w:r w:rsidRPr="00424261">
        <w:rPr>
          <w:rFonts w:ascii="Palatino Linotype" w:eastAsia="Times New Roman" w:hAnsi="Palatino Linotype" w:cs="Arial"/>
          <w:lang w:val="es-ES"/>
        </w:rPr>
        <w:t xml:space="preserve">razones o motivos de inconformidad hechos valer </w:t>
      </w:r>
      <w:r w:rsidRPr="00424261">
        <w:rPr>
          <w:rFonts w:ascii="Palatino Linotype" w:eastAsia="Calibri" w:hAnsi="Palatino Linotype" w:cs="Arial"/>
          <w:lang w:val="es-ES"/>
        </w:rPr>
        <w:t xml:space="preserve">en </w:t>
      </w:r>
      <w:r w:rsidR="000A13F5" w:rsidRPr="00424261">
        <w:rPr>
          <w:rFonts w:ascii="Palatino Linotype" w:eastAsia="MS Mincho" w:hAnsi="Palatino Linotype" w:cstheme="majorBidi"/>
          <w:lang w:val="es-ES"/>
        </w:rPr>
        <w:t xml:space="preserve">los recursos de revisión acumulados </w:t>
      </w:r>
      <w:r w:rsidR="00D21CC1" w:rsidRPr="00424261">
        <w:rPr>
          <w:rFonts w:ascii="Palatino Linotype" w:eastAsia="MS Mincho" w:hAnsi="Palatino Linotype" w:cstheme="majorBidi"/>
          <w:b/>
          <w:bCs/>
          <w:lang w:val="es-ES"/>
        </w:rPr>
        <w:t>05918/INFOEM/IP/RR/2021</w:t>
      </w:r>
      <w:r w:rsidR="000A13F5" w:rsidRPr="00424261">
        <w:rPr>
          <w:rFonts w:ascii="Palatino Linotype" w:eastAsia="MS Mincho" w:hAnsi="Palatino Linotype" w:cstheme="majorBidi"/>
          <w:lang w:val="es-ES"/>
        </w:rPr>
        <w:t xml:space="preserve"> y </w:t>
      </w:r>
      <w:r w:rsidR="00D21CC1" w:rsidRPr="00424261">
        <w:rPr>
          <w:rFonts w:ascii="Palatino Linotype" w:eastAsia="MS Mincho" w:hAnsi="Palatino Linotype" w:cstheme="majorBidi"/>
          <w:b/>
          <w:bCs/>
          <w:lang w:val="es-ES"/>
        </w:rPr>
        <w:t>05919/INFOEM/IP/RR/2021</w:t>
      </w:r>
      <w:r w:rsidR="000A13F5" w:rsidRPr="00424261">
        <w:rPr>
          <w:rFonts w:ascii="Palatino Linotype" w:eastAsia="MS Mincho" w:hAnsi="Palatino Linotype" w:cstheme="majorBidi"/>
          <w:b/>
          <w:bCs/>
          <w:lang w:val="es-ES"/>
        </w:rPr>
        <w:t xml:space="preserve">, </w:t>
      </w:r>
      <w:r w:rsidRPr="00424261">
        <w:rPr>
          <w:rFonts w:ascii="Palatino Linotype" w:eastAsia="Times New Roman" w:hAnsi="Palatino Linotype" w:cs="Times New Roman"/>
        </w:rPr>
        <w:t>en términos de los</w:t>
      </w:r>
      <w:r w:rsidRPr="00424261">
        <w:rPr>
          <w:rFonts w:ascii="Palatino Linotype" w:eastAsia="Times New Roman" w:hAnsi="Palatino Linotype" w:cs="Times New Roman"/>
          <w:b/>
          <w:bCs/>
        </w:rPr>
        <w:t xml:space="preserve"> Considerandos</w:t>
      </w:r>
      <w:r w:rsidRPr="00424261">
        <w:rPr>
          <w:rFonts w:ascii="Palatino Linotype" w:eastAsia="Times New Roman" w:hAnsi="Palatino Linotype" w:cs="Times New Roman"/>
        </w:rPr>
        <w:t xml:space="preserve"> </w:t>
      </w:r>
      <w:r w:rsidRPr="00424261">
        <w:rPr>
          <w:rFonts w:ascii="Palatino Linotype" w:eastAsia="Times New Roman" w:hAnsi="Palatino Linotype" w:cs="Times New Roman"/>
          <w:b/>
        </w:rPr>
        <w:t xml:space="preserve">CUARTO </w:t>
      </w:r>
      <w:r w:rsidRPr="00424261">
        <w:rPr>
          <w:rFonts w:ascii="Palatino Linotype" w:eastAsia="Times New Roman" w:hAnsi="Palatino Linotype" w:cs="Times New Roman"/>
          <w:bCs/>
        </w:rPr>
        <w:t xml:space="preserve">y </w:t>
      </w:r>
      <w:r w:rsidRPr="00424261">
        <w:rPr>
          <w:rFonts w:ascii="Palatino Linotype" w:eastAsia="Times New Roman" w:hAnsi="Palatino Linotype" w:cs="Times New Roman"/>
          <w:b/>
        </w:rPr>
        <w:t xml:space="preserve">QUINTO </w:t>
      </w:r>
      <w:r w:rsidRPr="00424261">
        <w:rPr>
          <w:rFonts w:ascii="Palatino Linotype" w:eastAsia="Times New Roman" w:hAnsi="Palatino Linotype" w:cs="Times New Roman"/>
        </w:rPr>
        <w:t>de la presente resolución.</w:t>
      </w:r>
    </w:p>
    <w:p w14:paraId="223895AA" w14:textId="77777777" w:rsidR="00CA0640" w:rsidRPr="00424261" w:rsidRDefault="00CA0640" w:rsidP="00CA0640">
      <w:pPr>
        <w:spacing w:line="360" w:lineRule="auto"/>
        <w:contextualSpacing/>
        <w:jc w:val="both"/>
        <w:rPr>
          <w:rFonts w:ascii="Palatino Linotype" w:eastAsia="Calibri" w:hAnsi="Palatino Linotype" w:cs="Arial"/>
          <w:b/>
          <w:bCs/>
          <w:lang w:val="es-ES"/>
        </w:rPr>
      </w:pPr>
    </w:p>
    <w:p w14:paraId="6FD259C5" w14:textId="1207E2FD" w:rsidR="00CA0640" w:rsidRPr="00424261" w:rsidRDefault="00CA0640" w:rsidP="00CA0640">
      <w:pPr>
        <w:spacing w:line="360" w:lineRule="auto"/>
        <w:contextualSpacing/>
        <w:jc w:val="both"/>
        <w:rPr>
          <w:rFonts w:ascii="Palatino Linotype" w:eastAsia="Times New Roman" w:hAnsi="Palatino Linotype" w:cs="Arial"/>
          <w:color w:val="000000"/>
        </w:rPr>
      </w:pPr>
      <w:r w:rsidRPr="00424261">
        <w:rPr>
          <w:rFonts w:ascii="Palatino Linotype" w:eastAsia="Calibri" w:hAnsi="Palatino Linotype" w:cs="Arial"/>
          <w:b/>
          <w:bCs/>
          <w:sz w:val="28"/>
          <w:szCs w:val="28"/>
          <w:lang w:val="es-ES"/>
        </w:rPr>
        <w:t>SEGUNDO</w:t>
      </w:r>
      <w:r w:rsidRPr="00424261">
        <w:rPr>
          <w:rFonts w:ascii="Palatino Linotype" w:eastAsia="Calibri" w:hAnsi="Palatino Linotype" w:cs="Arial"/>
          <w:b/>
          <w:bCs/>
          <w:lang w:val="es-ES"/>
        </w:rPr>
        <w:t xml:space="preserve">. </w:t>
      </w:r>
      <w:r w:rsidRPr="00424261">
        <w:rPr>
          <w:rFonts w:ascii="Palatino Linotype" w:eastAsia="Calibri" w:hAnsi="Palatino Linotype" w:cs="Arial"/>
          <w:lang w:val="es-ES"/>
        </w:rPr>
        <w:t xml:space="preserve">Se </w:t>
      </w:r>
      <w:r w:rsidR="00CC69FC" w:rsidRPr="00424261">
        <w:rPr>
          <w:rFonts w:ascii="Palatino Linotype" w:eastAsia="Calibri" w:hAnsi="Palatino Linotype" w:cs="Arial"/>
          <w:b/>
          <w:lang w:val="es-ES"/>
        </w:rPr>
        <w:t>REVOCAN</w:t>
      </w:r>
      <w:r w:rsidRPr="00424261">
        <w:rPr>
          <w:rFonts w:ascii="Palatino Linotype" w:eastAsia="Calibri" w:hAnsi="Palatino Linotype" w:cs="Arial"/>
          <w:lang w:val="es-ES"/>
        </w:rPr>
        <w:t xml:space="preserve"> la</w:t>
      </w:r>
      <w:r w:rsidR="000A13F5" w:rsidRPr="00424261">
        <w:rPr>
          <w:rFonts w:ascii="Palatino Linotype" w:eastAsia="Calibri" w:hAnsi="Palatino Linotype" w:cs="Arial"/>
          <w:lang w:val="es-ES"/>
        </w:rPr>
        <w:t>s</w:t>
      </w:r>
      <w:r w:rsidRPr="00424261">
        <w:rPr>
          <w:rFonts w:ascii="Palatino Linotype" w:eastAsia="Calibri" w:hAnsi="Palatino Linotype" w:cs="Arial"/>
          <w:lang w:val="es-ES"/>
        </w:rPr>
        <w:t xml:space="preserve"> respuesta</w:t>
      </w:r>
      <w:r w:rsidR="000A13F5" w:rsidRPr="00424261">
        <w:rPr>
          <w:rFonts w:ascii="Palatino Linotype" w:eastAsia="Calibri" w:hAnsi="Palatino Linotype" w:cs="Arial"/>
          <w:lang w:val="es-ES"/>
        </w:rPr>
        <w:t>s</w:t>
      </w:r>
      <w:r w:rsidRPr="00424261">
        <w:rPr>
          <w:rFonts w:ascii="Palatino Linotype" w:eastAsia="Calibri" w:hAnsi="Palatino Linotype" w:cs="Arial"/>
          <w:lang w:val="es-ES"/>
        </w:rPr>
        <w:t xml:space="preserve"> emitida</w:t>
      </w:r>
      <w:r w:rsidR="000A13F5" w:rsidRPr="00424261">
        <w:rPr>
          <w:rFonts w:ascii="Palatino Linotype" w:eastAsia="Calibri" w:hAnsi="Palatino Linotype" w:cs="Arial"/>
          <w:lang w:val="es-ES"/>
        </w:rPr>
        <w:t>s</w:t>
      </w:r>
      <w:r w:rsidRPr="00424261">
        <w:rPr>
          <w:rFonts w:ascii="Palatino Linotype" w:eastAsia="Calibri" w:hAnsi="Palatino Linotype" w:cs="Arial"/>
          <w:lang w:val="es-ES"/>
        </w:rPr>
        <w:t xml:space="preserve"> por el </w:t>
      </w:r>
      <w:r w:rsidR="00D21CC1" w:rsidRPr="00424261">
        <w:rPr>
          <w:rFonts w:ascii="Palatino Linotype" w:eastAsia="Calibri" w:hAnsi="Palatino Linotype" w:cs="Arial"/>
          <w:b/>
        </w:rPr>
        <w:t>Ayuntamiento de Cuautitlán Izcalli</w:t>
      </w:r>
      <w:r w:rsidRPr="00424261">
        <w:rPr>
          <w:rFonts w:ascii="Palatino Linotype" w:eastAsia="Calibri" w:hAnsi="Palatino Linotype" w:cs="Arial"/>
          <w:bCs/>
        </w:rPr>
        <w:t xml:space="preserve"> a la</w:t>
      </w:r>
      <w:r w:rsidR="000A13F5" w:rsidRPr="00424261">
        <w:rPr>
          <w:rFonts w:ascii="Palatino Linotype" w:eastAsia="Calibri" w:hAnsi="Palatino Linotype" w:cs="Arial"/>
          <w:bCs/>
        </w:rPr>
        <w:t>s</w:t>
      </w:r>
      <w:r w:rsidRPr="00424261">
        <w:rPr>
          <w:rFonts w:ascii="Palatino Linotype" w:eastAsia="Calibri" w:hAnsi="Palatino Linotype" w:cs="Arial"/>
          <w:bCs/>
        </w:rPr>
        <w:t xml:space="preserve"> solicitud</w:t>
      </w:r>
      <w:r w:rsidR="000A13F5" w:rsidRPr="00424261">
        <w:rPr>
          <w:rFonts w:ascii="Palatino Linotype" w:eastAsia="Calibri" w:hAnsi="Palatino Linotype" w:cs="Arial"/>
          <w:bCs/>
        </w:rPr>
        <w:t>es</w:t>
      </w:r>
      <w:r w:rsidRPr="00424261">
        <w:rPr>
          <w:rFonts w:ascii="Palatino Linotype" w:eastAsia="Calibri" w:hAnsi="Palatino Linotype" w:cs="Arial"/>
          <w:bCs/>
        </w:rPr>
        <w:t xml:space="preserve"> </w:t>
      </w:r>
      <w:r w:rsidR="00D21CC1" w:rsidRPr="00424261">
        <w:rPr>
          <w:rFonts w:ascii="Palatino Linotype" w:eastAsia="MS Mincho" w:hAnsi="Palatino Linotype" w:cstheme="majorBidi"/>
          <w:b/>
          <w:lang w:val="es-ES"/>
        </w:rPr>
        <w:t>00505/CUAUTIZC/IP/2021</w:t>
      </w:r>
      <w:r w:rsidR="000A13F5" w:rsidRPr="00424261">
        <w:rPr>
          <w:rFonts w:ascii="Palatino Linotype" w:eastAsia="MS Mincho" w:hAnsi="Palatino Linotype" w:cstheme="majorBidi"/>
          <w:bCs/>
          <w:lang w:val="es-ES"/>
        </w:rPr>
        <w:t xml:space="preserve"> y </w:t>
      </w:r>
      <w:r w:rsidR="00D21CC1" w:rsidRPr="00424261">
        <w:rPr>
          <w:rFonts w:ascii="Palatino Linotype" w:eastAsia="MS Mincho" w:hAnsi="Palatino Linotype" w:cstheme="majorBidi"/>
          <w:b/>
          <w:lang w:val="es-ES"/>
        </w:rPr>
        <w:t>00506/CUAUTIZC/IP/2021</w:t>
      </w:r>
      <w:r w:rsidR="000A13F5" w:rsidRPr="00424261">
        <w:rPr>
          <w:rFonts w:ascii="Palatino Linotype" w:eastAsia="MS Mincho" w:hAnsi="Palatino Linotype" w:cstheme="majorBidi"/>
          <w:b/>
          <w:lang w:val="es-ES"/>
        </w:rPr>
        <w:t xml:space="preserve"> </w:t>
      </w:r>
      <w:r w:rsidRPr="00424261">
        <w:rPr>
          <w:rFonts w:ascii="Palatino Linotype" w:eastAsia="Calibri" w:hAnsi="Palatino Linotype" w:cs="Arial"/>
        </w:rPr>
        <w:t xml:space="preserve">y se </w:t>
      </w:r>
      <w:r w:rsidRPr="00424261">
        <w:rPr>
          <w:rFonts w:ascii="Palatino Linotype" w:eastAsia="Calibri" w:hAnsi="Palatino Linotype" w:cs="Arial"/>
          <w:b/>
        </w:rPr>
        <w:t>ORDENA</w:t>
      </w:r>
      <w:r w:rsidRPr="00424261">
        <w:rPr>
          <w:rFonts w:ascii="Palatino Linotype" w:eastAsia="Calibri" w:hAnsi="Palatino Linotype" w:cs="Arial"/>
          <w:b/>
          <w:lang w:val="es-ES"/>
        </w:rPr>
        <w:t xml:space="preserve"> </w:t>
      </w:r>
      <w:r w:rsidRPr="00424261">
        <w:rPr>
          <w:rFonts w:ascii="Palatino Linotype" w:eastAsia="Calibri" w:hAnsi="Palatino Linotype" w:cs="Arial"/>
          <w:lang w:val="es-ES"/>
        </w:rPr>
        <w:t xml:space="preserve">entregar, </w:t>
      </w:r>
      <w:bookmarkStart w:id="57" w:name="_Toc460947013"/>
      <w:r w:rsidR="00E91BFE" w:rsidRPr="00424261">
        <w:rPr>
          <w:rFonts w:ascii="Palatino Linotype" w:eastAsia="Calibri" w:hAnsi="Palatino Linotype" w:cs="Arial"/>
          <w:lang w:val="es-ES"/>
        </w:rPr>
        <w:t>vía</w:t>
      </w:r>
      <w:r w:rsidR="008705E1" w:rsidRPr="00424261">
        <w:rPr>
          <w:rFonts w:ascii="Palatino Linotype" w:eastAsia="Calibri" w:hAnsi="Palatino Linotype" w:cs="Arial"/>
          <w:lang w:val="es-ES"/>
        </w:rPr>
        <w:t xml:space="preserve"> Sistema de Acceso a la Información Pública Mexiquense (SAIMEX)</w:t>
      </w:r>
      <w:r w:rsidRPr="00424261">
        <w:rPr>
          <w:rFonts w:ascii="Palatino Linotype" w:eastAsia="Times New Roman" w:hAnsi="Palatino Linotype" w:cs="Arial"/>
          <w:color w:val="000000"/>
        </w:rPr>
        <w:t>, en versión pública</w:t>
      </w:r>
      <w:r w:rsidR="00CC69FC" w:rsidRPr="00424261">
        <w:rPr>
          <w:rFonts w:ascii="Palatino Linotype" w:eastAsia="Times New Roman" w:hAnsi="Palatino Linotype" w:cs="Arial"/>
          <w:color w:val="000000"/>
        </w:rPr>
        <w:t xml:space="preserve"> de ser procedente</w:t>
      </w:r>
      <w:r w:rsidR="006328BA" w:rsidRPr="00424261">
        <w:rPr>
          <w:rFonts w:ascii="Palatino Linotype" w:eastAsia="Times New Roman" w:hAnsi="Palatino Linotype" w:cs="Arial"/>
          <w:color w:val="000000"/>
        </w:rPr>
        <w:t xml:space="preserve">, </w:t>
      </w:r>
      <w:r w:rsidR="00CC69FC" w:rsidRPr="00424261">
        <w:rPr>
          <w:rFonts w:ascii="Palatino Linotype" w:eastAsia="Times New Roman" w:hAnsi="Palatino Linotype" w:cs="Arial"/>
          <w:color w:val="000000"/>
        </w:rPr>
        <w:t xml:space="preserve">los documentos donde conste </w:t>
      </w:r>
      <w:r w:rsidR="00E91BFE" w:rsidRPr="00424261">
        <w:rPr>
          <w:rFonts w:ascii="Palatino Linotype" w:eastAsia="Times New Roman" w:hAnsi="Palatino Linotype" w:cs="Arial"/>
          <w:color w:val="000000"/>
        </w:rPr>
        <w:t>la</w:t>
      </w:r>
      <w:r w:rsidR="00266588" w:rsidRPr="00424261">
        <w:rPr>
          <w:rFonts w:ascii="Palatino Linotype" w:eastAsia="Times New Roman" w:hAnsi="Palatino Linotype" w:cs="Arial"/>
          <w:color w:val="000000"/>
        </w:rPr>
        <w:t xml:space="preserve"> siguiente información</w:t>
      </w:r>
      <w:r w:rsidRPr="00424261">
        <w:rPr>
          <w:rFonts w:ascii="Palatino Linotype" w:eastAsia="Times New Roman" w:hAnsi="Palatino Linotype" w:cs="Arial"/>
          <w:color w:val="000000"/>
        </w:rPr>
        <w:t xml:space="preserve">: </w:t>
      </w:r>
    </w:p>
    <w:p w14:paraId="73CAD18D" w14:textId="77777777" w:rsidR="00CA0640" w:rsidRPr="00424261" w:rsidRDefault="00CA0640" w:rsidP="00CA0640">
      <w:pPr>
        <w:spacing w:line="360" w:lineRule="auto"/>
        <w:ind w:right="616"/>
        <w:jc w:val="both"/>
        <w:rPr>
          <w:rFonts w:ascii="Palatino Linotype" w:hAnsi="Palatino Linotype"/>
          <w:b/>
          <w:bCs/>
        </w:rPr>
      </w:pPr>
      <w:bookmarkStart w:id="58" w:name="_Hlk22229143"/>
    </w:p>
    <w:bookmarkEnd w:id="58"/>
    <w:p w14:paraId="3AAF756B" w14:textId="79F3A419" w:rsidR="00892AB9" w:rsidRPr="00424261" w:rsidRDefault="00CC69FC" w:rsidP="0092310A">
      <w:pPr>
        <w:pStyle w:val="Prrafodelista"/>
        <w:numPr>
          <w:ilvl w:val="0"/>
          <w:numId w:val="2"/>
        </w:numPr>
        <w:spacing w:after="240" w:line="360" w:lineRule="auto"/>
        <w:ind w:left="851" w:right="567" w:hanging="284"/>
        <w:jc w:val="both"/>
        <w:rPr>
          <w:rFonts w:ascii="Palatino Linotype" w:hAnsi="Palatino Linotype"/>
          <w:b/>
          <w:bCs/>
          <w:color w:val="000000"/>
          <w:u w:val="double"/>
        </w:rPr>
      </w:pPr>
      <w:r w:rsidRPr="00424261">
        <w:rPr>
          <w:rFonts w:ascii="Palatino Linotype" w:hAnsi="Palatino Linotype"/>
          <w:b/>
          <w:bCs/>
          <w:color w:val="000000"/>
        </w:rPr>
        <w:t>Informe realizado por el Comisario de Seguridad Pública derivado de la persecución y detención del vehículo del actor Octavio Augusto Pérez Ocaña;</w:t>
      </w:r>
    </w:p>
    <w:p w14:paraId="12EB46D9" w14:textId="5B1A6E3D" w:rsidR="00CC69FC" w:rsidRPr="00424261" w:rsidRDefault="00CC69FC" w:rsidP="0092310A">
      <w:pPr>
        <w:pStyle w:val="Prrafodelista"/>
        <w:numPr>
          <w:ilvl w:val="0"/>
          <w:numId w:val="2"/>
        </w:numPr>
        <w:spacing w:after="240" w:line="360" w:lineRule="auto"/>
        <w:ind w:left="851" w:right="567" w:hanging="284"/>
        <w:jc w:val="both"/>
        <w:rPr>
          <w:rFonts w:ascii="Palatino Linotype" w:hAnsi="Palatino Linotype"/>
          <w:b/>
          <w:bCs/>
          <w:color w:val="000000"/>
          <w:u w:val="double"/>
        </w:rPr>
      </w:pPr>
      <w:r w:rsidRPr="00424261">
        <w:rPr>
          <w:rFonts w:ascii="Palatino Linotype" w:hAnsi="Palatino Linotype"/>
          <w:b/>
          <w:bCs/>
          <w:color w:val="000000"/>
        </w:rPr>
        <w:t>Acciones tomadas por el Presidente Municipal derivadas del siniestro;</w:t>
      </w:r>
    </w:p>
    <w:p w14:paraId="2003F619" w14:textId="3B8406B7" w:rsidR="00CC69FC" w:rsidRPr="00424261" w:rsidRDefault="00CC69FC" w:rsidP="0092310A">
      <w:pPr>
        <w:pStyle w:val="Prrafodelista"/>
        <w:numPr>
          <w:ilvl w:val="0"/>
          <w:numId w:val="2"/>
        </w:numPr>
        <w:spacing w:after="240" w:line="360" w:lineRule="auto"/>
        <w:ind w:left="851" w:right="567" w:hanging="284"/>
        <w:jc w:val="both"/>
        <w:rPr>
          <w:rFonts w:ascii="Palatino Linotype" w:hAnsi="Palatino Linotype"/>
          <w:b/>
          <w:bCs/>
          <w:color w:val="000000"/>
          <w:u w:val="double"/>
        </w:rPr>
      </w:pPr>
      <w:r w:rsidRPr="00424261">
        <w:rPr>
          <w:rFonts w:ascii="Palatino Linotype" w:hAnsi="Palatino Linotype"/>
          <w:b/>
          <w:bCs/>
          <w:color w:val="000000"/>
        </w:rPr>
        <w:t>Número de identificación de las patrullas que participaron en la persecución del vehículo;</w:t>
      </w:r>
    </w:p>
    <w:p w14:paraId="7AF60FFF" w14:textId="063E44F4" w:rsidR="00CC69FC" w:rsidRPr="00424261" w:rsidRDefault="00CC69FC" w:rsidP="0092310A">
      <w:pPr>
        <w:pStyle w:val="Prrafodelista"/>
        <w:numPr>
          <w:ilvl w:val="0"/>
          <w:numId w:val="2"/>
        </w:numPr>
        <w:spacing w:after="240" w:line="360" w:lineRule="auto"/>
        <w:ind w:left="851" w:right="567" w:hanging="284"/>
        <w:jc w:val="both"/>
        <w:rPr>
          <w:rFonts w:ascii="Palatino Linotype" w:hAnsi="Palatino Linotype"/>
          <w:b/>
          <w:bCs/>
          <w:color w:val="000000"/>
          <w:u w:val="double"/>
        </w:rPr>
      </w:pPr>
      <w:r w:rsidRPr="00424261">
        <w:rPr>
          <w:rFonts w:ascii="Palatino Linotype" w:hAnsi="Palatino Linotype"/>
          <w:b/>
          <w:bCs/>
          <w:color w:val="000000"/>
        </w:rPr>
        <w:t>Documento donde conste si la agente de seguridad señalada por los familiares del occiso tiene alguna situación jurídica con el Consejo de Honor y Justicia;</w:t>
      </w:r>
    </w:p>
    <w:p w14:paraId="1DE7FAF7" w14:textId="77489364" w:rsidR="00CC69FC" w:rsidRPr="00424261" w:rsidRDefault="00CC69FC" w:rsidP="0092310A">
      <w:pPr>
        <w:pStyle w:val="Prrafodelista"/>
        <w:numPr>
          <w:ilvl w:val="0"/>
          <w:numId w:val="2"/>
        </w:numPr>
        <w:spacing w:after="240" w:line="360" w:lineRule="auto"/>
        <w:ind w:left="851" w:right="567" w:hanging="284"/>
        <w:jc w:val="both"/>
        <w:rPr>
          <w:rFonts w:ascii="Palatino Linotype" w:hAnsi="Palatino Linotype"/>
          <w:b/>
          <w:bCs/>
          <w:color w:val="000000"/>
          <w:u w:val="double"/>
        </w:rPr>
      </w:pPr>
      <w:r w:rsidRPr="00424261">
        <w:rPr>
          <w:rFonts w:ascii="Palatino Linotype" w:hAnsi="Palatino Linotype"/>
          <w:b/>
          <w:bCs/>
          <w:color w:val="000000"/>
        </w:rPr>
        <w:t>Parte de novedades elaborado los días catorce (14), quince (15) y dieciséis (16) de octubre de dos mil veintiuno;</w:t>
      </w:r>
    </w:p>
    <w:p w14:paraId="3362B18D" w14:textId="315A3A48" w:rsidR="004905D1" w:rsidRPr="00424261" w:rsidRDefault="004905D1" w:rsidP="004905D1">
      <w:pPr>
        <w:pStyle w:val="Prrafodelista"/>
        <w:numPr>
          <w:ilvl w:val="0"/>
          <w:numId w:val="2"/>
        </w:numPr>
        <w:spacing w:after="240" w:line="360" w:lineRule="auto"/>
        <w:ind w:left="851" w:right="567" w:hanging="284"/>
        <w:jc w:val="both"/>
        <w:rPr>
          <w:rFonts w:ascii="Palatino Linotype" w:hAnsi="Palatino Linotype"/>
          <w:b/>
          <w:bCs/>
          <w:color w:val="000000"/>
          <w:u w:val="double"/>
        </w:rPr>
      </w:pPr>
      <w:r w:rsidRPr="00424261">
        <w:rPr>
          <w:rFonts w:ascii="Palatino Linotype" w:hAnsi="Palatino Linotype"/>
          <w:b/>
          <w:bCs/>
          <w:color w:val="000000"/>
        </w:rPr>
        <w:lastRenderedPageBreak/>
        <w:t>De los policías municipales que participaron en la persecución:</w:t>
      </w:r>
    </w:p>
    <w:p w14:paraId="614D8A9D" w14:textId="18353651" w:rsidR="004905D1" w:rsidRPr="00424261" w:rsidRDefault="004905D1" w:rsidP="004905D1">
      <w:pPr>
        <w:pStyle w:val="Prrafodelista"/>
        <w:numPr>
          <w:ilvl w:val="1"/>
          <w:numId w:val="2"/>
        </w:numPr>
        <w:spacing w:after="240" w:line="360" w:lineRule="auto"/>
        <w:ind w:left="1418" w:right="567"/>
        <w:jc w:val="both"/>
        <w:rPr>
          <w:rFonts w:ascii="Palatino Linotype" w:hAnsi="Palatino Linotype"/>
          <w:b/>
          <w:bCs/>
          <w:color w:val="000000"/>
          <w:u w:val="double"/>
        </w:rPr>
      </w:pPr>
      <w:r w:rsidRPr="00424261">
        <w:rPr>
          <w:rFonts w:ascii="Palatino Linotype" w:hAnsi="Palatino Linotype"/>
          <w:b/>
          <w:bCs/>
          <w:color w:val="000000"/>
        </w:rPr>
        <w:t>Nombres;</w:t>
      </w:r>
    </w:p>
    <w:p w14:paraId="4C718EE7" w14:textId="172539EF" w:rsidR="004905D1" w:rsidRPr="00424261" w:rsidRDefault="004905D1" w:rsidP="004905D1">
      <w:pPr>
        <w:pStyle w:val="Prrafodelista"/>
        <w:numPr>
          <w:ilvl w:val="1"/>
          <w:numId w:val="2"/>
        </w:numPr>
        <w:spacing w:after="240" w:line="360" w:lineRule="auto"/>
        <w:ind w:left="1418" w:right="567"/>
        <w:jc w:val="both"/>
        <w:rPr>
          <w:rFonts w:ascii="Palatino Linotype" w:hAnsi="Palatino Linotype"/>
          <w:b/>
          <w:bCs/>
          <w:color w:val="000000"/>
        </w:rPr>
      </w:pPr>
      <w:r w:rsidRPr="00424261">
        <w:rPr>
          <w:rFonts w:ascii="Palatino Linotype" w:hAnsi="Palatino Linotype"/>
          <w:b/>
          <w:bCs/>
          <w:color w:val="000000"/>
        </w:rPr>
        <w:t>Credenciales</w:t>
      </w:r>
      <w:r w:rsidR="00F663BE" w:rsidRPr="00424261">
        <w:rPr>
          <w:rFonts w:ascii="Palatino Linotype" w:hAnsi="Palatino Linotype"/>
          <w:b/>
          <w:bCs/>
          <w:color w:val="000000"/>
        </w:rPr>
        <w:t xml:space="preserve"> de </w:t>
      </w:r>
      <w:r w:rsidR="008F5EE7" w:rsidRPr="00424261">
        <w:rPr>
          <w:rFonts w:ascii="Palatino Linotype" w:hAnsi="Palatino Linotype"/>
          <w:b/>
          <w:bCs/>
          <w:color w:val="000000"/>
        </w:rPr>
        <w:t xml:space="preserve">identificación para </w:t>
      </w:r>
      <w:r w:rsidR="00F663BE" w:rsidRPr="00424261">
        <w:rPr>
          <w:rFonts w:ascii="Palatino Linotype" w:hAnsi="Palatino Linotype"/>
          <w:b/>
          <w:bCs/>
          <w:color w:val="000000"/>
        </w:rPr>
        <w:t>portación de arma</w:t>
      </w:r>
      <w:r w:rsidRPr="00424261">
        <w:rPr>
          <w:rFonts w:ascii="Palatino Linotype" w:hAnsi="Palatino Linotype"/>
          <w:b/>
          <w:bCs/>
          <w:color w:val="000000"/>
        </w:rPr>
        <w:t>;</w:t>
      </w:r>
    </w:p>
    <w:p w14:paraId="57D7E66E" w14:textId="6D7AB47F" w:rsidR="004905D1" w:rsidRPr="00424261" w:rsidRDefault="004905D1" w:rsidP="004905D1">
      <w:pPr>
        <w:pStyle w:val="Prrafodelista"/>
        <w:numPr>
          <w:ilvl w:val="1"/>
          <w:numId w:val="2"/>
        </w:numPr>
        <w:spacing w:after="240" w:line="360" w:lineRule="auto"/>
        <w:ind w:left="1418" w:right="567"/>
        <w:jc w:val="both"/>
        <w:rPr>
          <w:rFonts w:ascii="Palatino Linotype" w:hAnsi="Palatino Linotype"/>
          <w:b/>
          <w:bCs/>
          <w:color w:val="000000"/>
        </w:rPr>
      </w:pPr>
      <w:r w:rsidRPr="00424261">
        <w:rPr>
          <w:rFonts w:ascii="Palatino Linotype" w:hAnsi="Palatino Linotype"/>
          <w:b/>
          <w:bCs/>
          <w:color w:val="000000"/>
        </w:rPr>
        <w:t xml:space="preserve">Horarios de labores; </w:t>
      </w:r>
    </w:p>
    <w:p w14:paraId="43B1DEEC" w14:textId="3A9DF896" w:rsidR="004905D1" w:rsidRPr="00424261" w:rsidRDefault="004905D1" w:rsidP="004905D1">
      <w:pPr>
        <w:pStyle w:val="Prrafodelista"/>
        <w:numPr>
          <w:ilvl w:val="1"/>
          <w:numId w:val="2"/>
        </w:numPr>
        <w:spacing w:after="240" w:line="360" w:lineRule="auto"/>
        <w:ind w:left="1418" w:right="567"/>
        <w:jc w:val="both"/>
        <w:rPr>
          <w:rFonts w:ascii="Palatino Linotype" w:hAnsi="Palatino Linotype"/>
          <w:b/>
          <w:bCs/>
          <w:color w:val="000000"/>
        </w:rPr>
      </w:pPr>
      <w:r w:rsidRPr="00424261">
        <w:rPr>
          <w:rFonts w:ascii="Palatino Linotype" w:hAnsi="Palatino Linotype"/>
          <w:b/>
          <w:bCs/>
          <w:color w:val="000000"/>
        </w:rPr>
        <w:t>Recibos de nómina</w:t>
      </w:r>
      <w:r w:rsidR="00E31423" w:rsidRPr="00424261">
        <w:rPr>
          <w:rFonts w:ascii="Palatino Linotype" w:hAnsi="Palatino Linotype"/>
          <w:b/>
          <w:bCs/>
          <w:color w:val="000000"/>
        </w:rPr>
        <w:t>; y</w:t>
      </w:r>
    </w:p>
    <w:p w14:paraId="56FCC853" w14:textId="6F14A02B" w:rsidR="00E31423" w:rsidRPr="00424261" w:rsidRDefault="00E31423" w:rsidP="004905D1">
      <w:pPr>
        <w:pStyle w:val="Prrafodelista"/>
        <w:numPr>
          <w:ilvl w:val="1"/>
          <w:numId w:val="2"/>
        </w:numPr>
        <w:spacing w:after="240" w:line="360" w:lineRule="auto"/>
        <w:ind w:left="1418" w:right="567"/>
        <w:jc w:val="both"/>
        <w:rPr>
          <w:rFonts w:ascii="Palatino Linotype" w:hAnsi="Palatino Linotype"/>
          <w:b/>
          <w:bCs/>
          <w:color w:val="000000"/>
        </w:rPr>
      </w:pPr>
      <w:r w:rsidRPr="00424261">
        <w:rPr>
          <w:rFonts w:ascii="Palatino Linotype" w:hAnsi="Palatino Linotype"/>
          <w:b/>
          <w:bCs/>
          <w:color w:val="000000"/>
        </w:rPr>
        <w:t xml:space="preserve">Resultados de sus exámenes de control </w:t>
      </w:r>
      <w:r w:rsidR="00B00F90" w:rsidRPr="00424261">
        <w:rPr>
          <w:rFonts w:ascii="Palatino Linotype" w:hAnsi="Palatino Linotype"/>
          <w:b/>
          <w:bCs/>
          <w:color w:val="000000"/>
        </w:rPr>
        <w:t>de</w:t>
      </w:r>
      <w:r w:rsidRPr="00424261">
        <w:rPr>
          <w:rFonts w:ascii="Palatino Linotype" w:hAnsi="Palatino Linotype"/>
          <w:b/>
          <w:bCs/>
          <w:color w:val="000000"/>
        </w:rPr>
        <w:t xml:space="preserve"> confianza.</w:t>
      </w:r>
    </w:p>
    <w:p w14:paraId="6A0E5F62" w14:textId="1F5B292D" w:rsidR="004905D1" w:rsidRPr="00424261" w:rsidRDefault="004905D1" w:rsidP="00E31423">
      <w:pPr>
        <w:pStyle w:val="Prrafodelista"/>
        <w:numPr>
          <w:ilvl w:val="0"/>
          <w:numId w:val="2"/>
        </w:numPr>
        <w:spacing w:after="240" w:line="360" w:lineRule="auto"/>
        <w:ind w:left="851" w:right="567"/>
        <w:jc w:val="both"/>
        <w:rPr>
          <w:rFonts w:ascii="Palatino Linotype" w:hAnsi="Palatino Linotype"/>
          <w:b/>
          <w:bCs/>
          <w:color w:val="000000"/>
        </w:rPr>
      </w:pPr>
      <w:r w:rsidRPr="00424261">
        <w:rPr>
          <w:rFonts w:ascii="Palatino Linotype" w:hAnsi="Palatino Linotype"/>
          <w:b/>
          <w:bCs/>
          <w:color w:val="000000"/>
        </w:rPr>
        <w:t>Acuerdo</w:t>
      </w:r>
      <w:r w:rsidR="00E31423" w:rsidRPr="00424261">
        <w:rPr>
          <w:rFonts w:ascii="Palatino Linotype" w:hAnsi="Palatino Linotype"/>
          <w:b/>
          <w:bCs/>
          <w:color w:val="000000"/>
        </w:rPr>
        <w:t xml:space="preserve"> que emita el Co</w:t>
      </w:r>
      <w:r w:rsidRPr="00424261">
        <w:rPr>
          <w:rFonts w:ascii="Palatino Linotype" w:hAnsi="Palatino Linotype"/>
          <w:b/>
          <w:bCs/>
          <w:color w:val="000000"/>
        </w:rPr>
        <w:t xml:space="preserve">mité de Transparencia en el que se </w:t>
      </w:r>
      <w:r w:rsidR="00E31423" w:rsidRPr="00424261">
        <w:rPr>
          <w:rFonts w:ascii="Palatino Linotype" w:hAnsi="Palatino Linotype"/>
          <w:b/>
          <w:bCs/>
          <w:color w:val="000000"/>
        </w:rPr>
        <w:t>clasifique como confidencial la información relativa a los domicilios particulares de los policías</w:t>
      </w:r>
      <w:r w:rsidRPr="00424261">
        <w:rPr>
          <w:rFonts w:ascii="Palatino Linotype" w:hAnsi="Palatino Linotype"/>
          <w:b/>
          <w:bCs/>
          <w:color w:val="000000"/>
        </w:rPr>
        <w:t>.</w:t>
      </w:r>
    </w:p>
    <w:p w14:paraId="19C3E213" w14:textId="5CCF0D57" w:rsidR="00CA0640" w:rsidRPr="00424261" w:rsidRDefault="00CA0640" w:rsidP="0046340E">
      <w:pPr>
        <w:tabs>
          <w:tab w:val="left" w:pos="993"/>
        </w:tabs>
        <w:spacing w:line="360" w:lineRule="auto"/>
        <w:jc w:val="both"/>
        <w:rPr>
          <w:rFonts w:ascii="Palatino Linotype" w:eastAsia="Calibri" w:hAnsi="Palatino Linotype" w:cs="Arial"/>
        </w:rPr>
      </w:pPr>
      <w:r w:rsidRPr="00424261">
        <w:rPr>
          <w:rFonts w:ascii="Palatino Linotype" w:hAnsi="Palatino Linotype"/>
          <w:color w:val="000000"/>
        </w:rPr>
        <w:t xml:space="preserve">Para </w:t>
      </w:r>
      <w:r w:rsidRPr="00424261">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424261">
        <w:rPr>
          <w:rFonts w:ascii="Palatino Linotype" w:eastAsia="Calibri" w:hAnsi="Palatino Linotype" w:cs="Arial"/>
          <w:b/>
        </w:rPr>
        <w:t>RECURRENTE</w:t>
      </w:r>
      <w:r w:rsidRPr="00424261">
        <w:rPr>
          <w:rFonts w:ascii="Palatino Linotype" w:eastAsia="Calibri" w:hAnsi="Palatino Linotype" w:cs="Arial"/>
        </w:rPr>
        <w:t>.</w:t>
      </w:r>
    </w:p>
    <w:p w14:paraId="0E3F9A93" w14:textId="3919B652" w:rsidR="004905D1" w:rsidRPr="00424261" w:rsidRDefault="004905D1" w:rsidP="0046340E">
      <w:pPr>
        <w:tabs>
          <w:tab w:val="left" w:pos="993"/>
        </w:tabs>
        <w:spacing w:line="360" w:lineRule="auto"/>
        <w:jc w:val="both"/>
        <w:rPr>
          <w:rFonts w:ascii="Palatino Linotype" w:eastAsia="Calibri" w:hAnsi="Palatino Linotype" w:cs="Arial"/>
        </w:rPr>
      </w:pPr>
    </w:p>
    <w:p w14:paraId="2A74351E" w14:textId="4B703B9A" w:rsidR="004905D1" w:rsidRPr="00424261" w:rsidRDefault="004905D1" w:rsidP="0046340E">
      <w:pPr>
        <w:tabs>
          <w:tab w:val="left" w:pos="993"/>
        </w:tabs>
        <w:spacing w:line="360" w:lineRule="auto"/>
        <w:jc w:val="both"/>
        <w:rPr>
          <w:rFonts w:ascii="Palatino Linotype" w:eastAsia="Calibri" w:hAnsi="Palatino Linotype" w:cs="Arial"/>
        </w:rPr>
      </w:pPr>
      <w:r w:rsidRPr="00424261">
        <w:rPr>
          <w:rFonts w:ascii="Palatino Linotype" w:eastAsia="Calibri" w:hAnsi="Palatino Linotype" w:cs="Arial"/>
        </w:rPr>
        <w:t xml:space="preserve">Por su parte, si derivado de la búsqueda de la información que se ordena entregar en </w:t>
      </w:r>
      <w:r w:rsidR="00F663BE" w:rsidRPr="00424261">
        <w:rPr>
          <w:rFonts w:ascii="Palatino Linotype" w:eastAsia="Calibri" w:hAnsi="Palatino Linotype" w:cs="Arial"/>
        </w:rPr>
        <w:t>el punto</w:t>
      </w:r>
      <w:r w:rsidRPr="00424261">
        <w:rPr>
          <w:rFonts w:ascii="Palatino Linotype" w:eastAsia="Calibri" w:hAnsi="Palatino Linotype" w:cs="Arial"/>
        </w:rPr>
        <w:t xml:space="preserve"> </w:t>
      </w:r>
      <w:r w:rsidRPr="00424261">
        <w:rPr>
          <w:rFonts w:ascii="Palatino Linotype" w:eastAsia="Calibri" w:hAnsi="Palatino Linotype" w:cs="Arial"/>
          <w:b/>
          <w:bCs/>
        </w:rPr>
        <w:t>II</w:t>
      </w:r>
      <w:r w:rsidRPr="00424261">
        <w:rPr>
          <w:rFonts w:ascii="Palatino Linotype" w:eastAsia="Calibri" w:hAnsi="Palatino Linotype" w:cs="Arial"/>
        </w:rPr>
        <w:t xml:space="preserve">, el </w:t>
      </w:r>
      <w:r w:rsidRPr="00424261">
        <w:rPr>
          <w:rFonts w:ascii="Palatino Linotype" w:eastAsia="Calibri" w:hAnsi="Palatino Linotype" w:cs="Arial"/>
          <w:b/>
          <w:bCs/>
        </w:rPr>
        <w:t>SUJETO OBLIGADO</w:t>
      </w:r>
      <w:r w:rsidRPr="00424261">
        <w:rPr>
          <w:rFonts w:ascii="Palatino Linotype" w:eastAsia="Calibri" w:hAnsi="Palatino Linotype" w:cs="Arial"/>
        </w:rPr>
        <w:t xml:space="preserve"> concluyera que no </w:t>
      </w:r>
      <w:r w:rsidR="001B05C5" w:rsidRPr="00424261">
        <w:rPr>
          <w:rFonts w:ascii="Palatino Linotype" w:eastAsia="Calibri" w:hAnsi="Palatino Linotype" w:cs="Arial"/>
        </w:rPr>
        <w:t xml:space="preserve">la </w:t>
      </w:r>
      <w:r w:rsidRPr="00424261">
        <w:rPr>
          <w:rFonts w:ascii="Palatino Linotype" w:eastAsia="Calibri" w:hAnsi="Palatino Linotype" w:cs="Arial"/>
        </w:rPr>
        <w:t xml:space="preserve">posee, genera </w:t>
      </w:r>
      <w:r w:rsidR="001B05C5" w:rsidRPr="00424261">
        <w:rPr>
          <w:rFonts w:ascii="Palatino Linotype" w:eastAsia="Calibri" w:hAnsi="Palatino Linotype" w:cs="Arial"/>
        </w:rPr>
        <w:t>o administra, deberá hacerlo del conocimiento del particular de manera clara y precisa.</w:t>
      </w:r>
    </w:p>
    <w:p w14:paraId="75CA2A2B" w14:textId="77777777" w:rsidR="0046340E" w:rsidRPr="00424261" w:rsidRDefault="0046340E" w:rsidP="00CA0640">
      <w:pPr>
        <w:tabs>
          <w:tab w:val="left" w:pos="993"/>
        </w:tabs>
        <w:spacing w:line="360" w:lineRule="auto"/>
        <w:ind w:right="567"/>
        <w:jc w:val="both"/>
        <w:rPr>
          <w:rFonts w:ascii="Palatino Linotype" w:eastAsia="Calibri" w:hAnsi="Palatino Linotype" w:cs="Arial"/>
        </w:rPr>
      </w:pPr>
    </w:p>
    <w:p w14:paraId="5463F9DB" w14:textId="629877E8" w:rsidR="00CA0640" w:rsidRPr="00424261" w:rsidRDefault="00CA0640" w:rsidP="00CA0640">
      <w:pPr>
        <w:spacing w:line="360" w:lineRule="auto"/>
        <w:jc w:val="both"/>
        <w:rPr>
          <w:rFonts w:ascii="Palatino Linotype" w:eastAsia="MS Mincho" w:hAnsi="Palatino Linotype" w:cs="Times New Roman"/>
          <w:color w:val="000000"/>
        </w:rPr>
      </w:pPr>
      <w:r w:rsidRPr="00424261">
        <w:rPr>
          <w:rFonts w:ascii="Palatino Linotype" w:eastAsia="MS Mincho" w:hAnsi="Palatino Linotype" w:cs="Times New Roman"/>
          <w:b/>
          <w:color w:val="000000"/>
          <w:sz w:val="28"/>
          <w:szCs w:val="28"/>
        </w:rPr>
        <w:t>TERCERO</w:t>
      </w:r>
      <w:r w:rsidRPr="00424261">
        <w:rPr>
          <w:rFonts w:ascii="Palatino Linotype" w:eastAsia="MS Mincho" w:hAnsi="Palatino Linotype" w:cs="Times New Roman"/>
          <w:b/>
          <w:color w:val="000000"/>
        </w:rPr>
        <w:t>.</w:t>
      </w:r>
      <w:r w:rsidRPr="00424261">
        <w:rPr>
          <w:rFonts w:ascii="Palatino Linotype" w:eastAsia="MS Mincho" w:hAnsi="Palatino Linotype" w:cs="Times New Roman"/>
          <w:color w:val="000000"/>
        </w:rPr>
        <w:t xml:space="preserve"> Notifíquese al Titular de la Unidad de Transparencia del</w:t>
      </w:r>
      <w:r w:rsidRPr="00424261">
        <w:rPr>
          <w:rFonts w:ascii="Palatino Linotype" w:eastAsia="MS Mincho" w:hAnsi="Palatino Linotype" w:cs="Times New Roman"/>
          <w:b/>
          <w:color w:val="000000"/>
        </w:rPr>
        <w:t xml:space="preserve"> </w:t>
      </w:r>
      <w:r w:rsidR="007C7D43" w:rsidRPr="00424261">
        <w:rPr>
          <w:rFonts w:ascii="Palatino Linotype" w:eastAsia="MS Mincho" w:hAnsi="Palatino Linotype" w:cs="Times New Roman"/>
          <w:b/>
          <w:color w:val="000000"/>
        </w:rPr>
        <w:t>SUJETO OBLIGADO</w:t>
      </w:r>
      <w:r w:rsidRPr="00424261">
        <w:rPr>
          <w:rFonts w:ascii="Palatino Linotype" w:eastAsia="MS Mincho" w:hAnsi="Palatino Linotype" w:cs="Times New Roman"/>
          <w:color w:val="000000"/>
        </w:rPr>
        <w:t xml:space="preserve">, </w:t>
      </w:r>
      <w:r w:rsidR="00512DCC" w:rsidRPr="00424261">
        <w:rPr>
          <w:rFonts w:ascii="Palatino Linotype" w:eastAsia="MS Mincho" w:hAnsi="Palatino Linotype" w:cs="Times New Roman"/>
          <w:color w:val="000000"/>
        </w:rPr>
        <w:t xml:space="preserve">vía Sistema de Acceso a la Información Mexiquense (SAIMEX), </w:t>
      </w:r>
      <w:r w:rsidRPr="00424261">
        <w:rPr>
          <w:rFonts w:ascii="Palatino Linotype" w:eastAsia="MS Mincho" w:hAnsi="Palatino Linotype" w:cs="Times New Roman"/>
          <w:color w:val="000000"/>
        </w:rPr>
        <w:t xml:space="preserve">para que conforme a los artículos 186 último párrafo, 189 párrafo segundo y 199 de la Ley </w:t>
      </w:r>
      <w:r w:rsidRPr="00424261">
        <w:rPr>
          <w:rFonts w:ascii="Palatino Linotype" w:eastAsia="MS Mincho" w:hAnsi="Palatino Linotype" w:cs="Times New Roman"/>
          <w:color w:val="000000"/>
        </w:rPr>
        <w:lastRenderedPageBreak/>
        <w:t>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1A751802" w14:textId="77777777" w:rsidR="00CA0640" w:rsidRPr="00424261" w:rsidRDefault="00CA0640" w:rsidP="00CA0640">
      <w:pPr>
        <w:spacing w:line="360" w:lineRule="auto"/>
        <w:jc w:val="both"/>
        <w:rPr>
          <w:rFonts w:ascii="Palatino Linotype" w:eastAsia="MS Mincho" w:hAnsi="Palatino Linotype" w:cs="Times New Roman"/>
          <w:color w:val="000000"/>
        </w:rPr>
      </w:pPr>
    </w:p>
    <w:p w14:paraId="1926C937" w14:textId="77777777" w:rsidR="00CA0640" w:rsidRPr="00424261" w:rsidRDefault="00CA0640" w:rsidP="00CA0640">
      <w:pPr>
        <w:spacing w:line="360" w:lineRule="auto"/>
        <w:jc w:val="both"/>
        <w:rPr>
          <w:rFonts w:ascii="Palatino Linotype" w:eastAsia="MS Mincho" w:hAnsi="Palatino Linotype" w:cs="Times New Roman"/>
          <w:color w:val="000000"/>
        </w:rPr>
      </w:pPr>
      <w:r w:rsidRPr="00424261">
        <w:rPr>
          <w:rFonts w:ascii="Palatino Linotype" w:eastAsia="MS Mincho" w:hAnsi="Palatino Linotype" w:cs="Times New Roman"/>
          <w:b/>
          <w:bCs/>
          <w:color w:val="000000"/>
          <w:sz w:val="28"/>
          <w:szCs w:val="28"/>
        </w:rPr>
        <w:t>CUARTO</w:t>
      </w:r>
      <w:r w:rsidRPr="00424261">
        <w:rPr>
          <w:rFonts w:ascii="Palatino Linotype" w:eastAsia="MS Mincho" w:hAnsi="Palatino Linotype" w:cs="Times New Roman"/>
          <w:b/>
          <w:bCs/>
          <w:color w:val="000000"/>
        </w:rPr>
        <w:t>.</w:t>
      </w:r>
      <w:r w:rsidRPr="00424261">
        <w:rPr>
          <w:rFonts w:ascii="Palatino Linotype" w:eastAsia="MS Mincho" w:hAnsi="Palatino Linotype" w:cs="Times New Roman"/>
          <w:color w:val="000000"/>
        </w:rPr>
        <w:t xml:space="preserve"> De </w:t>
      </w:r>
      <w:r w:rsidRPr="00424261">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424261">
        <w:rPr>
          <w:rFonts w:ascii="Palatino Linotype" w:eastAsia="MS Mincho" w:hAnsi="Palatino Linotype" w:cs="Times New Roman"/>
          <w:b/>
          <w:color w:val="000000"/>
        </w:rPr>
        <w:t>SUJETO OBLIGADO,</w:t>
      </w:r>
      <w:r w:rsidRPr="00424261">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001F736" w14:textId="77777777" w:rsidR="00CA0640" w:rsidRPr="00424261" w:rsidRDefault="00CA0640" w:rsidP="00CA0640">
      <w:pPr>
        <w:spacing w:line="360" w:lineRule="auto"/>
        <w:jc w:val="both"/>
        <w:rPr>
          <w:rFonts w:ascii="Palatino Linotype" w:eastAsia="MS Mincho" w:hAnsi="Palatino Linotype" w:cs="Times New Roman"/>
          <w:color w:val="000000"/>
        </w:rPr>
      </w:pPr>
    </w:p>
    <w:p w14:paraId="667576E1" w14:textId="0BD7A851" w:rsidR="00CA0640" w:rsidRPr="00424261" w:rsidRDefault="00CA0640" w:rsidP="00CA0640">
      <w:pPr>
        <w:spacing w:line="360" w:lineRule="auto"/>
        <w:jc w:val="both"/>
        <w:rPr>
          <w:rFonts w:ascii="Palatino Linotype" w:eastAsia="MS Mincho" w:hAnsi="Palatino Linotype" w:cs="Times New Roman"/>
          <w:color w:val="000000"/>
        </w:rPr>
      </w:pPr>
      <w:r w:rsidRPr="00424261">
        <w:rPr>
          <w:rFonts w:ascii="Palatino Linotype" w:eastAsia="MS Mincho" w:hAnsi="Palatino Linotype" w:cs="Times New Roman"/>
          <w:b/>
          <w:color w:val="000000"/>
          <w:sz w:val="28"/>
          <w:szCs w:val="28"/>
        </w:rPr>
        <w:t>QUINTO</w:t>
      </w:r>
      <w:r w:rsidRPr="00424261">
        <w:rPr>
          <w:rFonts w:ascii="Palatino Linotype" w:eastAsia="MS Mincho" w:hAnsi="Palatino Linotype" w:cs="Times New Roman"/>
          <w:b/>
          <w:color w:val="000000"/>
        </w:rPr>
        <w:t xml:space="preserve">. </w:t>
      </w:r>
      <w:r w:rsidRPr="00424261">
        <w:rPr>
          <w:rFonts w:ascii="Palatino Linotype" w:eastAsia="MS Mincho" w:hAnsi="Palatino Linotype" w:cs="Times New Roman"/>
          <w:color w:val="000000"/>
        </w:rPr>
        <w:t xml:space="preserve">Notifíquese al </w:t>
      </w:r>
      <w:r w:rsidRPr="00424261">
        <w:rPr>
          <w:rFonts w:ascii="Palatino Linotype" w:eastAsia="MS Mincho" w:hAnsi="Palatino Linotype" w:cs="Times New Roman"/>
          <w:b/>
          <w:bCs/>
          <w:color w:val="000000"/>
        </w:rPr>
        <w:t>RECURRENTE</w:t>
      </w:r>
      <w:r w:rsidRPr="00424261">
        <w:rPr>
          <w:rFonts w:ascii="Palatino Linotype" w:eastAsia="MS Mincho" w:hAnsi="Palatino Linotype" w:cs="Times New Roman"/>
          <w:color w:val="000000"/>
        </w:rPr>
        <w:t xml:space="preserve"> la presente resolución</w:t>
      </w:r>
      <w:r w:rsidR="00512DCC" w:rsidRPr="00424261">
        <w:rPr>
          <w:rFonts w:ascii="Palatino Linotype" w:eastAsia="MS Mincho" w:hAnsi="Palatino Linotype" w:cs="Times New Roman"/>
          <w:color w:val="000000"/>
        </w:rPr>
        <w:t xml:space="preserve"> vía Sistema de Acceso a la Información Mexiquense (SAIMEX) y correo electrónico.</w:t>
      </w:r>
    </w:p>
    <w:p w14:paraId="435E92A5" w14:textId="77777777" w:rsidR="00CA0640" w:rsidRPr="00424261" w:rsidRDefault="00CA0640" w:rsidP="00CA0640">
      <w:pPr>
        <w:spacing w:line="360" w:lineRule="auto"/>
        <w:jc w:val="both"/>
        <w:rPr>
          <w:rFonts w:ascii="Palatino Linotype" w:hAnsi="Palatino Linotype"/>
          <w:b/>
        </w:rPr>
      </w:pPr>
    </w:p>
    <w:p w14:paraId="1E2CA3C7" w14:textId="5C07E0AE" w:rsidR="00CA0640" w:rsidRPr="00424261" w:rsidRDefault="00CA0640" w:rsidP="00CA0640">
      <w:pPr>
        <w:spacing w:line="360" w:lineRule="auto"/>
        <w:jc w:val="both"/>
        <w:rPr>
          <w:rFonts w:ascii="Palatino Linotype" w:eastAsia="MS Mincho" w:hAnsi="Palatino Linotype" w:cs="Times New Roman"/>
          <w:color w:val="000000"/>
          <w:lang w:val="es-ES"/>
        </w:rPr>
      </w:pPr>
      <w:r w:rsidRPr="00424261">
        <w:rPr>
          <w:rFonts w:ascii="Palatino Linotype" w:eastAsia="MS Mincho" w:hAnsi="Palatino Linotype" w:cs="Times New Roman"/>
          <w:b/>
          <w:sz w:val="28"/>
          <w:szCs w:val="28"/>
        </w:rPr>
        <w:t>SEXTO</w:t>
      </w:r>
      <w:r w:rsidRPr="00424261">
        <w:rPr>
          <w:rFonts w:ascii="Palatino Linotype" w:eastAsia="MS Mincho" w:hAnsi="Palatino Linotype" w:cs="Times New Roman"/>
          <w:b/>
          <w:color w:val="000000"/>
        </w:rPr>
        <w:t xml:space="preserve">. </w:t>
      </w:r>
      <w:r w:rsidRPr="00424261">
        <w:rPr>
          <w:rFonts w:ascii="Palatino Linotype" w:eastAsia="MS Mincho" w:hAnsi="Palatino Linotype" w:cs="Times New Roman"/>
          <w:color w:val="000000"/>
        </w:rPr>
        <w:t xml:space="preserve">Se </w:t>
      </w:r>
      <w:bookmarkEnd w:id="57"/>
      <w:r w:rsidR="008144D3" w:rsidRPr="00424261">
        <w:rPr>
          <w:rFonts w:ascii="Palatino Linotype" w:eastAsia="MS Mincho" w:hAnsi="Palatino Linotype" w:cs="Times New Roman"/>
          <w:color w:val="000000" w:themeColor="text1"/>
        </w:rPr>
        <w:t>hace del conocimiento del</w:t>
      </w:r>
      <w:r w:rsidR="008144D3" w:rsidRPr="00424261">
        <w:rPr>
          <w:rFonts w:ascii="Palatino Linotype" w:eastAsia="MS Mincho" w:hAnsi="Palatino Linotype" w:cs="Times New Roman"/>
          <w:b/>
          <w:color w:val="000000" w:themeColor="text1"/>
        </w:rPr>
        <w:t xml:space="preserve"> RECURRENTE </w:t>
      </w:r>
      <w:r w:rsidR="008144D3" w:rsidRPr="00424261">
        <w:rPr>
          <w:rFonts w:ascii="Palatino Linotype" w:eastAsia="MS Mincho" w:hAnsi="Palatino Linotype" w:cs="Times New Roman"/>
          <w:color w:val="000000" w:themeColor="text1"/>
        </w:rPr>
        <w:t xml:space="preserve">que, </w:t>
      </w:r>
      <w:r w:rsidR="00F663BE" w:rsidRPr="00424261">
        <w:rPr>
          <w:rFonts w:ascii="Palatino Linotype" w:eastAsia="MS Mincho" w:hAnsi="Palatino Linotype"/>
          <w:color w:val="000000" w:themeColor="text1"/>
        </w:rPr>
        <w:t>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193C8FC" w14:textId="77777777" w:rsidR="00CA0640" w:rsidRPr="00424261" w:rsidRDefault="00CA0640" w:rsidP="00CA0640">
      <w:pPr>
        <w:spacing w:line="360" w:lineRule="auto"/>
        <w:jc w:val="both"/>
        <w:rPr>
          <w:rFonts w:ascii="Palatino Linotype" w:eastAsia="MS Mincho" w:hAnsi="Palatino Linotype" w:cs="Times New Roman"/>
          <w:color w:val="000000"/>
          <w:lang w:val="es-ES"/>
        </w:rPr>
      </w:pPr>
    </w:p>
    <w:p w14:paraId="7020EE4D" w14:textId="01052761" w:rsidR="00F15BFD" w:rsidRPr="00624AAD" w:rsidRDefault="00F15BFD" w:rsidP="00F15BFD">
      <w:pPr>
        <w:spacing w:before="240" w:after="240" w:line="360" w:lineRule="auto"/>
        <w:ind w:left="1" w:firstLine="1"/>
        <w:jc w:val="both"/>
        <w:rPr>
          <w:rFonts w:ascii="Palatino Linotype" w:hAnsi="Palatino Linotype"/>
        </w:rPr>
      </w:pPr>
      <w:bookmarkStart w:id="59" w:name="_Hlk99014733"/>
      <w:r w:rsidRPr="00424261">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DISIDENTE CONCURRENTE; LUIS GUSTAVO PARRA NORIEGA Y GUADALUPE RAMÍREZ PEÑA EMITIENDO VOTO DISIDENTE CONCURRENTE EN LA DÉCIMA QUINTA SESIÓN ORDINARIA CELEBRADA EL VEINTISIETE (27) DE ABRIL DE DOS MIL VEINTIDÓS, ANTE EL SECRETARIO TÉCNICO DEL PLENO ALEXIS TAPIA RAMÍREZ.</w:t>
      </w:r>
      <w:bookmarkStart w:id="60" w:name="_GoBack"/>
      <w:bookmarkEnd w:id="60"/>
      <w:r w:rsidRPr="00624AAD">
        <w:rPr>
          <w:rFonts w:ascii="Palatino Linotype" w:hAnsi="Palatino Linotype"/>
        </w:rPr>
        <w:t xml:space="preserve"> </w:t>
      </w:r>
    </w:p>
    <w:bookmarkEnd w:id="59"/>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5" w:author="USUARIO" w:date="2022-03-24T14:38:00Z" w:initials="U">
    <w:p w14:paraId="71019037" w14:textId="77777777" w:rsidR="007138C9" w:rsidRDefault="007138C9" w:rsidP="004A692A">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0190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B7DA" w16cex:dateUtc="2022-03-24T2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019037" w16cid:durableId="25EEB7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3BE21" w14:textId="77777777" w:rsidR="00FD2360" w:rsidRDefault="00FD2360" w:rsidP="00587366">
      <w:r>
        <w:separator/>
      </w:r>
    </w:p>
  </w:endnote>
  <w:endnote w:type="continuationSeparator" w:id="0">
    <w:p w14:paraId="343CF8D3" w14:textId="77777777" w:rsidR="00FD2360" w:rsidRDefault="00FD236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7138C9" w:rsidRPr="00883450" w:rsidRDefault="007138C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24261">
              <w:rPr>
                <w:rFonts w:ascii="Palatino Linotype" w:hAnsi="Palatino Linotype"/>
                <w:b/>
                <w:bCs/>
                <w:noProof/>
                <w:sz w:val="22"/>
                <w:szCs w:val="20"/>
              </w:rPr>
              <w:t>126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24261">
              <w:rPr>
                <w:rFonts w:ascii="Palatino Linotype" w:hAnsi="Palatino Linotype"/>
                <w:b/>
                <w:bCs/>
                <w:noProof/>
                <w:sz w:val="22"/>
                <w:szCs w:val="20"/>
              </w:rPr>
              <w:t>126</w:t>
            </w:r>
            <w:r w:rsidRPr="00883450">
              <w:rPr>
                <w:rFonts w:ascii="Palatino Linotype" w:hAnsi="Palatino Linotype"/>
                <w:b/>
                <w:bCs/>
                <w:sz w:val="22"/>
                <w:szCs w:val="20"/>
              </w:rPr>
              <w:fldChar w:fldCharType="end"/>
            </w:r>
          </w:p>
        </w:sdtContent>
      </w:sdt>
    </w:sdtContent>
  </w:sdt>
  <w:p w14:paraId="6243EC1B" w14:textId="47B193F0" w:rsidR="007138C9" w:rsidRDefault="007138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7138C9" w:rsidRPr="00883450" w:rsidRDefault="007138C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4261" w:rsidRPr="0042426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4261" w:rsidRPr="00424261">
      <w:rPr>
        <w:rFonts w:ascii="Palatino Linotype" w:hAnsi="Palatino Linotype"/>
        <w:noProof/>
        <w:sz w:val="22"/>
        <w:szCs w:val="22"/>
        <w:lang w:val="es-ES"/>
      </w:rPr>
      <w:t>126</w:t>
    </w:r>
    <w:r w:rsidRPr="00883450">
      <w:rPr>
        <w:rFonts w:ascii="Palatino Linotype" w:hAnsi="Palatino Linotype"/>
        <w:sz w:val="22"/>
        <w:szCs w:val="22"/>
      </w:rPr>
      <w:fldChar w:fldCharType="end"/>
    </w:r>
  </w:p>
  <w:p w14:paraId="5F5C4865" w14:textId="0A9A2B26" w:rsidR="007138C9" w:rsidRPr="00883450" w:rsidRDefault="007138C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86036" w14:textId="77777777" w:rsidR="00FD2360" w:rsidRDefault="00FD2360" w:rsidP="00587366">
      <w:r>
        <w:separator/>
      </w:r>
    </w:p>
  </w:footnote>
  <w:footnote w:type="continuationSeparator" w:id="0">
    <w:p w14:paraId="5391451B" w14:textId="77777777" w:rsidR="00FD2360" w:rsidRDefault="00FD2360" w:rsidP="00587366">
      <w:r>
        <w:continuationSeparator/>
      </w:r>
    </w:p>
  </w:footnote>
  <w:footnote w:id="1">
    <w:p w14:paraId="6D51DE61" w14:textId="77777777" w:rsidR="007138C9" w:rsidRPr="00F75272" w:rsidRDefault="007138C9" w:rsidP="009205E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387A8D" w14:textId="77777777" w:rsidR="007138C9" w:rsidRPr="009C43C2" w:rsidRDefault="007138C9"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26C241AD" w14:textId="77777777" w:rsidR="007138C9" w:rsidRPr="009C43C2" w:rsidRDefault="007138C9"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55E4425" w14:textId="77777777" w:rsidR="007138C9" w:rsidRPr="009C43C2" w:rsidRDefault="007138C9"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C68FF0F" w14:textId="77777777" w:rsidR="007138C9" w:rsidRDefault="007138C9" w:rsidP="005C518A">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557B103C" w14:textId="77777777" w:rsidR="007138C9" w:rsidRDefault="007138C9" w:rsidP="007D299B">
      <w:pPr>
        <w:pStyle w:val="Textonotapie"/>
      </w:pPr>
      <w:r>
        <w:rPr>
          <w:rStyle w:val="Refdenotaalpie"/>
        </w:rPr>
        <w:footnoteRef/>
      </w:r>
      <w:r>
        <w:t xml:space="preserve"> Artículo 50, Ley de Transparencia y Acceso a la Información Pública del Estado de México y Municipios.</w:t>
      </w:r>
    </w:p>
  </w:footnote>
  <w:footnote w:id="7">
    <w:p w14:paraId="6D2AB5B8" w14:textId="77777777" w:rsidR="007138C9" w:rsidRDefault="007138C9" w:rsidP="007D299B">
      <w:pPr>
        <w:pStyle w:val="Textonotapie"/>
      </w:pPr>
      <w:r>
        <w:rPr>
          <w:rStyle w:val="Refdenotaalpie"/>
        </w:rPr>
        <w:footnoteRef/>
      </w:r>
      <w:r>
        <w:t xml:space="preserve"> Artículo 51, Ídem.</w:t>
      </w:r>
    </w:p>
  </w:footnote>
  <w:footnote w:id="8">
    <w:p w14:paraId="4A17BAA1" w14:textId="77777777" w:rsidR="007138C9" w:rsidRDefault="007138C9" w:rsidP="007D299B">
      <w:pPr>
        <w:pStyle w:val="Textonotapie"/>
      </w:pPr>
      <w:r>
        <w:rPr>
          <w:rStyle w:val="Refdenotaalpie"/>
        </w:rPr>
        <w:footnoteRef/>
      </w:r>
      <w:r>
        <w:t xml:space="preserve"> Artículo 58, Ley de Transparencia y Acceso a la Información Pública del Estado de México y Municipios.</w:t>
      </w:r>
    </w:p>
  </w:footnote>
  <w:footnote w:id="9">
    <w:p w14:paraId="0B5F9459" w14:textId="77777777" w:rsidR="007138C9" w:rsidRDefault="007138C9" w:rsidP="007D299B">
      <w:pPr>
        <w:pStyle w:val="Textonotapie"/>
      </w:pPr>
      <w:r>
        <w:rPr>
          <w:rStyle w:val="Refdenotaalpie"/>
        </w:rPr>
        <w:footnoteRef/>
      </w:r>
      <w:r>
        <w:t xml:space="preserve"> Artículo 59, Ídem.</w:t>
      </w:r>
    </w:p>
  </w:footnote>
  <w:footnote w:id="10">
    <w:p w14:paraId="7E32CD76" w14:textId="77777777" w:rsidR="007138C9" w:rsidRDefault="007138C9" w:rsidP="007D299B">
      <w:pPr>
        <w:pStyle w:val="Textonotapie"/>
      </w:pPr>
      <w:r>
        <w:rPr>
          <w:rStyle w:val="Refdenotaalpie"/>
        </w:rPr>
        <w:footnoteRef/>
      </w:r>
      <w:r>
        <w:t xml:space="preserve"> Artículo 132, Ley de Transparencia y Acceso a la Información Pública del Estado de México y Municipios.</w:t>
      </w:r>
    </w:p>
  </w:footnote>
  <w:footnote w:id="11">
    <w:p w14:paraId="7D7580B6" w14:textId="77777777" w:rsidR="007138C9" w:rsidRDefault="007138C9" w:rsidP="007D299B">
      <w:pPr>
        <w:pStyle w:val="Textonotapie"/>
      </w:pPr>
      <w:r>
        <w:rPr>
          <w:rStyle w:val="Refdenotaalpie"/>
        </w:rPr>
        <w:footnoteRef/>
      </w:r>
      <w:r>
        <w:t xml:space="preserve"> Artículo 128, Ley de Transparencia y Acceso a la Información Pública del Estado de México y Municipios.</w:t>
      </w:r>
    </w:p>
  </w:footnote>
  <w:footnote w:id="12">
    <w:p w14:paraId="7693DC0C" w14:textId="77777777" w:rsidR="007138C9" w:rsidRDefault="007138C9" w:rsidP="007D299B">
      <w:pPr>
        <w:pStyle w:val="Textonotapie"/>
      </w:pPr>
      <w:r>
        <w:rPr>
          <w:rStyle w:val="Refdenotaalpie"/>
        </w:rPr>
        <w:footnoteRef/>
      </w:r>
      <w:r>
        <w:t xml:space="preserve"> Artículo 129, Ídem.</w:t>
      </w:r>
    </w:p>
  </w:footnote>
  <w:footnote w:id="13">
    <w:p w14:paraId="2538A021" w14:textId="77777777" w:rsidR="007138C9" w:rsidRDefault="007138C9" w:rsidP="007D299B">
      <w:pPr>
        <w:pStyle w:val="Textonotapie"/>
      </w:pPr>
      <w:r>
        <w:rPr>
          <w:rStyle w:val="Refdenotaalpie"/>
        </w:rPr>
        <w:footnoteRef/>
      </w:r>
      <w:r>
        <w:t xml:space="preserve"> Artículo 134, Ley de Transparencia y Acceso a la Información Pública del Estado de México y Municipios.</w:t>
      </w:r>
    </w:p>
  </w:footnote>
  <w:footnote w:id="14">
    <w:p w14:paraId="07B36253" w14:textId="77777777" w:rsidR="007138C9" w:rsidRDefault="007138C9" w:rsidP="007D299B">
      <w:pPr>
        <w:pStyle w:val="Textonotapie"/>
      </w:pPr>
      <w:r>
        <w:rPr>
          <w:rStyle w:val="Refdenotaalpie"/>
        </w:rPr>
        <w:footnoteRef/>
      </w:r>
      <w:r>
        <w:t xml:space="preserve"> Artículo 130, Ley de Transparencia y Acceso a la Información Pública del Estado de México y Municipios.</w:t>
      </w:r>
    </w:p>
  </w:footnote>
  <w:footnote w:id="15">
    <w:p w14:paraId="4A4056E1" w14:textId="063A46F6" w:rsidR="007138C9" w:rsidRPr="000E68F0" w:rsidRDefault="007138C9" w:rsidP="00E31423">
      <w:pPr>
        <w:pStyle w:val="Textonotapie"/>
        <w:jc w:val="both"/>
      </w:pPr>
      <w:r>
        <w:rPr>
          <w:rStyle w:val="Refdenotaalpie"/>
        </w:rPr>
        <w:footnoteRef/>
      </w:r>
      <w:r>
        <w:t xml:space="preserve"> Lineamiento Segundo, fracción XVI, </w:t>
      </w:r>
      <w:r w:rsidRPr="000E68F0">
        <w:t>Lineamientos Generales en Materia de Clasificación y Desclasificación de la Información, así como para la Elaboración de la Versiones Públicas</w:t>
      </w:r>
    </w:p>
  </w:footnote>
  <w:footnote w:id="16">
    <w:p w14:paraId="6AE2FDAF" w14:textId="1D6D365A" w:rsidR="007138C9" w:rsidRPr="009B42BD" w:rsidRDefault="007138C9" w:rsidP="00E31423">
      <w:pPr>
        <w:pStyle w:val="Textonotapie"/>
        <w:jc w:val="both"/>
      </w:pPr>
      <w:r>
        <w:rPr>
          <w:rStyle w:val="Refdenotaalpie"/>
        </w:rPr>
        <w:footnoteRef/>
      </w:r>
      <w:r>
        <w:t xml:space="preserve"> apr/rcr (12/11/2021). Lo que sabemos de Octavio Ocaña a 15 días de su muerte. </w:t>
      </w:r>
      <w:r>
        <w:rPr>
          <w:i/>
          <w:iCs/>
        </w:rPr>
        <w:t>El Universal</w:t>
      </w:r>
      <w:r>
        <w:t xml:space="preserve">. </w:t>
      </w:r>
      <w:r w:rsidRPr="009B42BD">
        <w:t>https://www.eluniversal.com.mx/metropoli/lo-que-sabemos-de-octavio-ocana-15-dias-de-su-muerte</w:t>
      </w:r>
    </w:p>
  </w:footnote>
  <w:footnote w:id="17">
    <w:p w14:paraId="3854768B" w14:textId="47B78349" w:rsidR="007138C9" w:rsidRPr="008E3C82" w:rsidRDefault="007138C9">
      <w:pPr>
        <w:pStyle w:val="Textonotapie"/>
      </w:pPr>
      <w:r>
        <w:rPr>
          <w:rStyle w:val="Refdenotaalpie"/>
        </w:rPr>
        <w:footnoteRef/>
      </w:r>
      <w:r>
        <w:t xml:space="preserve"> Velasco, María de los Ángeles (10/11/2021). Suspenden a tres policías de Cuautitlán por caso Octavio Ocaña. </w:t>
      </w:r>
      <w:r>
        <w:rPr>
          <w:i/>
          <w:iCs/>
        </w:rPr>
        <w:t>Excelsior</w:t>
      </w:r>
      <w:r>
        <w:t xml:space="preserve">. </w:t>
      </w:r>
      <w:r w:rsidRPr="008E3C82">
        <w:t>https://www.excelsior.com.mx/comunidad/caso-octavio-ocana-suspenden-a-tres-policias-de-cuautitlan/1481844</w:t>
      </w:r>
    </w:p>
  </w:footnote>
  <w:footnote w:id="18">
    <w:p w14:paraId="45D724EA" w14:textId="45C90C59" w:rsidR="007138C9" w:rsidRDefault="007138C9" w:rsidP="00233E33">
      <w:pPr>
        <w:pStyle w:val="Textonotapie"/>
        <w:jc w:val="both"/>
      </w:pPr>
      <w:r>
        <w:rPr>
          <w:rStyle w:val="Refdenotaalpie"/>
        </w:rPr>
        <w:footnoteRef/>
      </w:r>
      <w:r>
        <w:t xml:space="preserve"> Cfr. Amparo en revisión 38/2017. Fundación para la Justicia y el Estado Democrático de Derecho, A.C. 24 de mayo de 2017. Unanimidad de cuatro votos de los Ministros Alberto Pérez Dayán, Javier Laynez Potisek, José Fernando Franco González Salas y Eduardo Medina Mora I. Ausente: Margarita Beatriz Luna Ramos. Ponente: Alberto Pérez Dayán. Secretario: Isidro Emmanuel Muñoz Acevedo.</w:t>
      </w:r>
    </w:p>
  </w:footnote>
  <w:footnote w:id="19">
    <w:p w14:paraId="6CA5F2D1" w14:textId="1C06BAFF" w:rsidR="007138C9" w:rsidRDefault="007138C9" w:rsidP="00233E33">
      <w:pPr>
        <w:pStyle w:val="Textonotapie"/>
        <w:jc w:val="both"/>
      </w:pPr>
      <w:r>
        <w:rPr>
          <w:rStyle w:val="Refdenotaalpie"/>
        </w:rPr>
        <w:footnoteRef/>
      </w:r>
      <w:r>
        <w:t xml:space="preserve"> Amparo en revisión 38/2017. Fundación para la Justicia y el Estado Democrático de Derecho, A.C. 24 de mayo de 2017. Unanimidad de cuatro votos de los Ministros Alberto Pérez Dayán, Javier Laynez Potisek, José Fernando Franco González Salas y Eduardo Medina Mora I. Ausente: Margarita Beatriz Luna Ramos. Ponente: Alberto Pérez Dayán. Secretario: Isidro Emmanuel Muñoz Acevedo. Página 25. </w:t>
      </w:r>
    </w:p>
  </w:footnote>
  <w:footnote w:id="20">
    <w:p w14:paraId="06B3EE6F" w14:textId="77777777" w:rsidR="007138C9" w:rsidRDefault="007138C9" w:rsidP="00233E33">
      <w:pPr>
        <w:pStyle w:val="Textonotapie"/>
        <w:jc w:val="both"/>
      </w:pPr>
      <w:r>
        <w:rPr>
          <w:rStyle w:val="Refdenotaalpie"/>
        </w:rPr>
        <w:footnoteRef/>
      </w:r>
      <w:r>
        <w:t xml:space="preserve"> Ver: Corte IDH. Caso Myrna Mack Chang Vs. Guatemala. Fondo, Reparaciones y Costas. Sentencia de 25 de noviembre de 2003. Serie C No. 101. </w:t>
      </w:r>
    </w:p>
    <w:p w14:paraId="7C3E43E1" w14:textId="77777777" w:rsidR="007138C9" w:rsidRDefault="007138C9" w:rsidP="00233E33">
      <w:pPr>
        <w:pStyle w:val="Textonotapie"/>
        <w:jc w:val="both"/>
      </w:pPr>
      <w:r>
        <w:t xml:space="preserve">Corte IDH. Caso de la Comunidad Moiwana Vs. Surinam. Excepciones Preliminares, Fondo, Reparaciones y Costas. Sentencia 15 de junio de 2005. Serie C No. 124. </w:t>
      </w:r>
    </w:p>
    <w:p w14:paraId="144B45BF" w14:textId="2B5BCFC3" w:rsidR="007138C9" w:rsidRDefault="007138C9" w:rsidP="00233E33">
      <w:pPr>
        <w:pStyle w:val="Textonotapie"/>
        <w:jc w:val="both"/>
      </w:pPr>
      <w:r>
        <w:t>CIDH Informe Anual 1985 -1986, OEA/Ser.L/V/II.68, Doc. 8 rev. 1, 26 de septiembre 1986, Capítulo V, citado en CIDH, “</w:t>
      </w:r>
      <w:r w:rsidRPr="00961B36">
        <w:rPr>
          <w:i/>
          <w:iCs/>
        </w:rPr>
        <w:t>El derecho a la verdad en América</w:t>
      </w:r>
      <w:r>
        <w:t>”</w:t>
      </w:r>
    </w:p>
  </w:footnote>
  <w:footnote w:id="21">
    <w:p w14:paraId="187381AB" w14:textId="77777777" w:rsidR="007138C9" w:rsidRPr="006E0BD9" w:rsidRDefault="007138C9" w:rsidP="00233E33">
      <w:pPr>
        <w:pStyle w:val="Textonotapie"/>
        <w:jc w:val="both"/>
        <w:rPr>
          <w:lang w:val="es-ES"/>
        </w:rPr>
      </w:pPr>
      <w:r>
        <w:rPr>
          <w:rStyle w:val="Refdenotaalpie"/>
        </w:rPr>
        <w:footnoteRef/>
      </w:r>
      <w:r>
        <w:t xml:space="preserve"> </w:t>
      </w:r>
      <w:r>
        <w:rPr>
          <w:lang w:val="es-ES"/>
        </w:rPr>
        <w:t>Juzgado Octavo de Distrito en Materia Administrativa en el D.F. Sentencia de 11 de abril de 2014. Pág. 46</w:t>
      </w:r>
    </w:p>
  </w:footnote>
  <w:footnote w:id="22">
    <w:p w14:paraId="55CB684B" w14:textId="201F3169" w:rsidR="007138C9" w:rsidRPr="006E0BD9" w:rsidRDefault="007138C9" w:rsidP="00961B36">
      <w:pPr>
        <w:pStyle w:val="Textonotapie"/>
        <w:rPr>
          <w:lang w:val="es-ES"/>
        </w:rPr>
      </w:pPr>
      <w:r>
        <w:rPr>
          <w:rStyle w:val="Refdenotaalpie"/>
        </w:rPr>
        <w:footnoteRef/>
      </w:r>
      <w:r>
        <w:t xml:space="preserve"> </w:t>
      </w:r>
      <w:r>
        <w:rPr>
          <w:lang w:val="es-ES"/>
        </w:rPr>
        <w:t xml:space="preserve">Oficio No. IFAI-0A/XPM/081/2015 disponible en </w:t>
      </w:r>
      <w:r w:rsidRPr="00961B36">
        <w:t>http://www.senado.gob.mx/comisiones/anticorrupcion/docs/transparencia/IFAI1.pdf</w:t>
      </w:r>
      <w:r>
        <w:t xml:space="preserve"> , por no encontrarse disponible la versión pública de la sentencia según página del Consejo de la Judicatura Federal.</w:t>
      </w:r>
    </w:p>
  </w:footnote>
  <w:footnote w:id="23">
    <w:p w14:paraId="71C4AB58" w14:textId="0D5E9F75" w:rsidR="007138C9" w:rsidRDefault="007138C9">
      <w:pPr>
        <w:pStyle w:val="Textonotapie"/>
      </w:pPr>
      <w:r>
        <w:rPr>
          <w:rStyle w:val="Refdenotaalpie"/>
        </w:rPr>
        <w:footnoteRef/>
      </w:r>
      <w:r>
        <w:t xml:space="preserve"> Consultable en </w:t>
      </w:r>
      <w:r w:rsidRPr="003F2074">
        <w:t>https://studylib.es/doc/5219284/redacci%C3%B3n-del-parte-de-novedades-y-el-parte-informativo</w:t>
      </w:r>
    </w:p>
  </w:footnote>
  <w:footnote w:id="24">
    <w:p w14:paraId="5B269745" w14:textId="3B95EA24" w:rsidR="007138C9" w:rsidRPr="00F71F9F" w:rsidRDefault="007138C9" w:rsidP="00A16D60">
      <w:pPr>
        <w:pStyle w:val="Textonotapie"/>
        <w:jc w:val="both"/>
      </w:pPr>
      <w:r>
        <w:rPr>
          <w:rStyle w:val="Refdenotaalpie"/>
        </w:rPr>
        <w:footnoteRef/>
      </w:r>
      <w:r>
        <w:t xml:space="preserve"> Instituto Nacional de Administración Pública, Guía Técnica Núm. 24, </w:t>
      </w:r>
      <w:r>
        <w:rPr>
          <w:i/>
          <w:iCs/>
        </w:rPr>
        <w:t>La seguridad pública municipal</w:t>
      </w:r>
      <w:r>
        <w:t xml:space="preserve">, Primera edición: 1993, Consultable en </w:t>
      </w:r>
      <w:r w:rsidRPr="00A16D60">
        <w:t>https://biblio.juridicas.unam.mx/bjv/detalle-libro/1719-guia-tecnica-24-la-seguridad-publica-municipal</w:t>
      </w:r>
    </w:p>
  </w:footnote>
  <w:footnote w:id="25">
    <w:p w14:paraId="244D888E" w14:textId="7C0D8D54" w:rsidR="007138C9" w:rsidRDefault="007138C9">
      <w:pPr>
        <w:pStyle w:val="Textonotapie"/>
      </w:pPr>
      <w:r>
        <w:rPr>
          <w:rStyle w:val="Refdenotaalpie"/>
        </w:rPr>
        <w:footnoteRef/>
      </w:r>
      <w:r>
        <w:t xml:space="preserve"> Artículo 29, Ley Federal de Armas de Fuego y Explosivos.</w:t>
      </w:r>
    </w:p>
  </w:footnote>
  <w:footnote w:id="26">
    <w:p w14:paraId="01FD413C" w14:textId="48BCA27B" w:rsidR="007138C9" w:rsidRDefault="007138C9">
      <w:pPr>
        <w:pStyle w:val="Textonotapie"/>
      </w:pPr>
      <w:r>
        <w:rPr>
          <w:rStyle w:val="Refdenotaalpie"/>
        </w:rPr>
        <w:footnoteRef/>
      </w:r>
      <w:r>
        <w:t xml:space="preserve"> A excepción de los miembros del Ejército, Armada y Fuerza Aérea, en términos de lo dispuesto por el artículo 24 de la Ley Federal de Armas de Fuego y Explosivos.</w:t>
      </w:r>
    </w:p>
  </w:footnote>
  <w:footnote w:id="27">
    <w:p w14:paraId="798B9385" w14:textId="7090CED0" w:rsidR="007138C9" w:rsidRDefault="007138C9">
      <w:pPr>
        <w:pStyle w:val="Textonotapie"/>
      </w:pPr>
      <w:r>
        <w:rPr>
          <w:rStyle w:val="Refdenotaalpie"/>
        </w:rPr>
        <w:footnoteRef/>
      </w:r>
      <w:r>
        <w:t xml:space="preserve"> Artículo 2.17, Código Civil del Estado de México.</w:t>
      </w:r>
    </w:p>
  </w:footnote>
  <w:footnote w:id="28">
    <w:p w14:paraId="7069F4DF" w14:textId="04594441" w:rsidR="007138C9" w:rsidRDefault="007138C9" w:rsidP="00076166">
      <w:pPr>
        <w:pStyle w:val="Textonotapie"/>
        <w:jc w:val="both"/>
      </w:pPr>
      <w:r>
        <w:rPr>
          <w:rStyle w:val="Refdenotaalpie"/>
        </w:rPr>
        <w:footnoteRef/>
      </w:r>
      <w:r>
        <w:t xml:space="preserve"> “Artículo 140. El acceso a la información pública será restringido excepcionalmente, cuando por razones de interés público, ésta sea clasificada como reservada, conforme a los criterios siguientes:</w:t>
      </w:r>
    </w:p>
    <w:p w14:paraId="4BD31605" w14:textId="110CBC96" w:rsidR="007138C9" w:rsidRDefault="007138C9" w:rsidP="00076166">
      <w:pPr>
        <w:pStyle w:val="Textonotapie"/>
        <w:jc w:val="both"/>
      </w:pPr>
      <w:r>
        <w:t>(…)</w:t>
      </w:r>
    </w:p>
    <w:p w14:paraId="30AB7ADE" w14:textId="5A402905" w:rsidR="007138C9" w:rsidRDefault="007138C9" w:rsidP="00076166">
      <w:pPr>
        <w:pStyle w:val="Textonotapie"/>
        <w:jc w:val="both"/>
      </w:pPr>
      <w:r>
        <w:t>IV. Ponga en riesgo la vida, la seguridad o la salud de una persona física;</w:t>
      </w:r>
    </w:p>
    <w:p w14:paraId="6A728B64" w14:textId="7DD55118" w:rsidR="007138C9" w:rsidRDefault="007138C9" w:rsidP="00076166">
      <w:pPr>
        <w:pStyle w:val="Textonotapie"/>
        <w:jc w:val="both"/>
      </w:pPr>
      <w:r>
        <w:t>(…)”</w:t>
      </w:r>
    </w:p>
  </w:footnote>
  <w:footnote w:id="29">
    <w:p w14:paraId="0075942C" w14:textId="028EE4C0" w:rsidR="007138C9" w:rsidRDefault="007138C9">
      <w:pPr>
        <w:pStyle w:val="Textonotapie"/>
      </w:pPr>
      <w:r>
        <w:rPr>
          <w:rStyle w:val="Refdenotaalpie"/>
        </w:rPr>
        <w:footnoteRef/>
      </w:r>
      <w:r>
        <w:t xml:space="preserve"> Artículo 109, Ley de Seguridad del Estado de México.</w:t>
      </w:r>
    </w:p>
  </w:footnote>
  <w:footnote w:id="30">
    <w:p w14:paraId="67C6BED2" w14:textId="10D03795" w:rsidR="007138C9" w:rsidRDefault="007138C9">
      <w:pPr>
        <w:pStyle w:val="Textonotapie"/>
      </w:pPr>
      <w:r>
        <w:rPr>
          <w:rStyle w:val="Refdenotaalpie"/>
        </w:rPr>
        <w:footnoteRef/>
      </w:r>
      <w:r>
        <w:t xml:space="preserve"> Ídem.</w:t>
      </w:r>
    </w:p>
  </w:footnote>
  <w:footnote w:id="31">
    <w:p w14:paraId="30CB2F8D" w14:textId="5FF7D507" w:rsidR="007138C9" w:rsidRDefault="007138C9">
      <w:pPr>
        <w:pStyle w:val="Textonotapie"/>
      </w:pPr>
      <w:r>
        <w:rPr>
          <w:rStyle w:val="Refdenotaalpie"/>
        </w:rPr>
        <w:footnoteRef/>
      </w:r>
      <w:r>
        <w:t xml:space="preserve"> Artículo 223, Ley de Seguridad del Estado de México.</w:t>
      </w:r>
    </w:p>
  </w:footnote>
  <w:footnote w:id="32">
    <w:p w14:paraId="2A7FCB8A" w14:textId="4662FC74" w:rsidR="007138C9" w:rsidRDefault="007138C9">
      <w:pPr>
        <w:pStyle w:val="Textonotapie"/>
      </w:pPr>
      <w:r>
        <w:rPr>
          <w:rStyle w:val="Refdenotaalpie"/>
        </w:rPr>
        <w:footnoteRef/>
      </w:r>
      <w:r>
        <w:t xml:space="preserve"> Artículo Primero, </w:t>
      </w:r>
      <w:r w:rsidRPr="00A3273C">
        <w:t>Lineamientos para la Planeación, Programación y Reprogramación de las Evaluaciones Realizadas por el Centro de Control de Confianza del Estado de México</w:t>
      </w:r>
      <w:r>
        <w:t>.</w:t>
      </w:r>
    </w:p>
  </w:footnote>
  <w:footnote w:id="33">
    <w:p w14:paraId="4918BCDC" w14:textId="4D941B47" w:rsidR="007138C9" w:rsidRDefault="007138C9">
      <w:pPr>
        <w:pStyle w:val="Textonotapie"/>
      </w:pPr>
      <w:r>
        <w:rPr>
          <w:rStyle w:val="Refdenotaalpie"/>
        </w:rPr>
        <w:footnoteRef/>
      </w:r>
      <w:r>
        <w:t xml:space="preserve"> Artículo Cuarto, </w:t>
      </w:r>
      <w:r w:rsidRPr="00A3273C">
        <w:t>Lineamientos para la Planeación, Programación y Reprogramación de las Evaluaciones Realizadas por el Centro de Control de Confianza del Estado de México</w:t>
      </w:r>
      <w:r>
        <w:t>.</w:t>
      </w:r>
    </w:p>
  </w:footnote>
  <w:footnote w:id="34">
    <w:p w14:paraId="2A2A4762" w14:textId="3A506338" w:rsidR="007138C9" w:rsidRDefault="007138C9">
      <w:pPr>
        <w:pStyle w:val="Textonotapie"/>
      </w:pPr>
      <w:r>
        <w:rPr>
          <w:rStyle w:val="Refdenotaalpie"/>
        </w:rPr>
        <w:footnoteRef/>
      </w:r>
      <w:r>
        <w:t xml:space="preserve"> Artículo 21, Ley de Seguridad del Estado de México.</w:t>
      </w:r>
    </w:p>
  </w:footnote>
  <w:footnote w:id="35">
    <w:p w14:paraId="7A88A33E" w14:textId="5A7CDB1F" w:rsidR="007138C9" w:rsidRPr="001461C6" w:rsidRDefault="007138C9" w:rsidP="001461C6">
      <w:pPr>
        <w:pStyle w:val="Textonotapie"/>
        <w:jc w:val="both"/>
        <w:rPr>
          <w:i/>
          <w:iCs/>
        </w:rPr>
      </w:pPr>
      <w:r>
        <w:rPr>
          <w:rStyle w:val="Refdenotaalpie"/>
        </w:rPr>
        <w:footnoteRef/>
      </w:r>
      <w:r>
        <w:t xml:space="preserve"> </w:t>
      </w:r>
      <w:r w:rsidRPr="001461C6">
        <w:rPr>
          <w:i/>
          <w:iCs/>
        </w:rPr>
        <w:t>“</w:t>
      </w:r>
      <w:r w:rsidRPr="001461C6">
        <w:rPr>
          <w:b/>
          <w:bCs/>
          <w:i/>
          <w:iCs/>
        </w:rPr>
        <w:t>Tercero.</w:t>
      </w:r>
      <w:r w:rsidRPr="001461C6">
        <w:rPr>
          <w:i/>
          <w:iCs/>
        </w:rPr>
        <w:t xml:space="preserve"> Los integrantes de las Instituciones de Seguridad Pública y Privada en términos de la normatividad aplicable deberán presentar y aprobar el proceso de evaluación de control de confianza.</w:t>
      </w:r>
    </w:p>
    <w:p w14:paraId="66EB8984" w14:textId="77777777" w:rsidR="007138C9" w:rsidRPr="001461C6" w:rsidRDefault="007138C9" w:rsidP="001461C6">
      <w:pPr>
        <w:pStyle w:val="Textonotapie"/>
        <w:jc w:val="both"/>
        <w:rPr>
          <w:i/>
          <w:iCs/>
        </w:rPr>
      </w:pPr>
      <w:r w:rsidRPr="001461C6">
        <w:rPr>
          <w:i/>
          <w:iCs/>
        </w:rPr>
        <w:t>El proceso de evaluación de control de confianza, constará de los exámenes siguientes:</w:t>
      </w:r>
    </w:p>
    <w:p w14:paraId="750780DD" w14:textId="2B903F8F" w:rsidR="007138C9" w:rsidRPr="001461C6" w:rsidRDefault="007138C9" w:rsidP="001461C6">
      <w:pPr>
        <w:pStyle w:val="Textonotapie"/>
        <w:jc w:val="both"/>
        <w:rPr>
          <w:i/>
          <w:iCs/>
        </w:rPr>
      </w:pPr>
      <w:r w:rsidRPr="001461C6">
        <w:rPr>
          <w:b/>
          <w:bCs/>
          <w:i/>
          <w:iCs/>
        </w:rPr>
        <w:t>I.</w:t>
      </w:r>
      <w:r w:rsidRPr="001461C6">
        <w:rPr>
          <w:i/>
          <w:iCs/>
        </w:rPr>
        <w:t xml:space="preserve"> Psicológico;</w:t>
      </w:r>
    </w:p>
    <w:p w14:paraId="3BE79E6A" w14:textId="4F04B34C" w:rsidR="007138C9" w:rsidRPr="001461C6" w:rsidRDefault="007138C9" w:rsidP="001461C6">
      <w:pPr>
        <w:pStyle w:val="Textonotapie"/>
        <w:jc w:val="both"/>
        <w:rPr>
          <w:i/>
          <w:iCs/>
        </w:rPr>
      </w:pPr>
      <w:r w:rsidRPr="001461C6">
        <w:rPr>
          <w:b/>
          <w:bCs/>
          <w:i/>
          <w:iCs/>
        </w:rPr>
        <w:t>II.</w:t>
      </w:r>
      <w:r w:rsidRPr="001461C6">
        <w:rPr>
          <w:i/>
          <w:iCs/>
        </w:rPr>
        <w:t xml:space="preserve"> Poligráfico;</w:t>
      </w:r>
    </w:p>
    <w:p w14:paraId="3FB5135D" w14:textId="024801D5" w:rsidR="007138C9" w:rsidRPr="001461C6" w:rsidRDefault="007138C9" w:rsidP="001461C6">
      <w:pPr>
        <w:pStyle w:val="Textonotapie"/>
        <w:jc w:val="both"/>
        <w:rPr>
          <w:i/>
          <w:iCs/>
        </w:rPr>
      </w:pPr>
      <w:r w:rsidRPr="001461C6">
        <w:rPr>
          <w:b/>
          <w:bCs/>
          <w:i/>
          <w:iCs/>
        </w:rPr>
        <w:t>III.</w:t>
      </w:r>
      <w:r w:rsidRPr="001461C6">
        <w:rPr>
          <w:i/>
          <w:iCs/>
        </w:rPr>
        <w:t xml:space="preserve"> Médico;</w:t>
      </w:r>
    </w:p>
    <w:p w14:paraId="20B49BDF" w14:textId="524C4687" w:rsidR="007138C9" w:rsidRPr="001461C6" w:rsidRDefault="007138C9" w:rsidP="001461C6">
      <w:pPr>
        <w:pStyle w:val="Textonotapie"/>
        <w:jc w:val="both"/>
        <w:rPr>
          <w:i/>
          <w:iCs/>
        </w:rPr>
      </w:pPr>
      <w:r w:rsidRPr="001461C6">
        <w:rPr>
          <w:b/>
          <w:bCs/>
          <w:i/>
          <w:iCs/>
        </w:rPr>
        <w:t>IV.</w:t>
      </w:r>
      <w:r w:rsidRPr="001461C6">
        <w:rPr>
          <w:i/>
          <w:iCs/>
        </w:rPr>
        <w:t xml:space="preserve"> Toxicológico, y</w:t>
      </w:r>
    </w:p>
    <w:p w14:paraId="1D23A004" w14:textId="1313FE0D" w:rsidR="007138C9" w:rsidRDefault="007138C9" w:rsidP="001461C6">
      <w:pPr>
        <w:pStyle w:val="Textonotapie"/>
        <w:jc w:val="both"/>
      </w:pPr>
      <w:r w:rsidRPr="001461C6">
        <w:rPr>
          <w:b/>
          <w:bCs/>
          <w:i/>
          <w:iCs/>
        </w:rPr>
        <w:t>V.</w:t>
      </w:r>
      <w:r w:rsidRPr="001461C6">
        <w:rPr>
          <w:i/>
          <w:iCs/>
        </w:rPr>
        <w:t xml:space="preserve"> Análisis Socioeconómico.”</w:t>
      </w:r>
    </w:p>
  </w:footnote>
  <w:footnote w:id="36">
    <w:p w14:paraId="22394BBA" w14:textId="7F3D3FCD" w:rsidR="007138C9" w:rsidRDefault="007138C9">
      <w:pPr>
        <w:pStyle w:val="Textonotapie"/>
      </w:pPr>
      <w:r>
        <w:rPr>
          <w:rStyle w:val="Refdenotaalpie"/>
        </w:rPr>
        <w:footnoteRef/>
      </w:r>
      <w:r>
        <w:t xml:space="preserve"> Artículo 147, Ley de Transparencia y Acceso a la Información Pública del Estado de México y Municipios.</w:t>
      </w:r>
    </w:p>
  </w:footnote>
  <w:footnote w:id="37">
    <w:p w14:paraId="32CFB9E4" w14:textId="3FC820E9" w:rsidR="007138C9" w:rsidRDefault="007138C9">
      <w:pPr>
        <w:pStyle w:val="Textonotapie"/>
      </w:pPr>
      <w:r>
        <w:rPr>
          <w:rStyle w:val="Refdenotaalpie"/>
        </w:rPr>
        <w:footnoteRef/>
      </w:r>
      <w:r>
        <w:t xml:space="preserve"> Artículo 3, fracción XXXIV, Ley de Transparencia y Acceso a la Información Pública del Estado de México y Municipios.</w:t>
      </w:r>
    </w:p>
  </w:footnote>
  <w:footnote w:id="38">
    <w:p w14:paraId="21C5FE8A" w14:textId="77777777" w:rsidR="007138C9" w:rsidRPr="00D431BE" w:rsidRDefault="007138C9" w:rsidP="005A4648">
      <w:pPr>
        <w:jc w:val="both"/>
        <w:rPr>
          <w:rFonts w:ascii="Palatino Linotype" w:eastAsia="Times New Roman" w:hAnsi="Palatino Linotype" w:cs="Times New Roman"/>
          <w:color w:val="000000" w:themeColor="text1"/>
          <w:sz w:val="20"/>
          <w:szCs w:val="20"/>
          <w:lang w:eastAsia="es-ES_tradnl"/>
        </w:rPr>
      </w:pPr>
      <w:r w:rsidRPr="00D431BE">
        <w:rPr>
          <w:rStyle w:val="Refdenotaalpie"/>
          <w:rFonts w:ascii="Palatino Linotype" w:hAnsi="Palatino Linotype"/>
          <w:color w:val="000000" w:themeColor="text1"/>
          <w:sz w:val="20"/>
          <w:szCs w:val="20"/>
        </w:rPr>
        <w:footnoteRef/>
      </w:r>
      <w:r w:rsidRPr="00D431BE">
        <w:rPr>
          <w:rFonts w:ascii="Palatino Linotype" w:hAnsi="Palatino Linotype"/>
          <w:color w:val="000000" w:themeColor="text1"/>
          <w:sz w:val="20"/>
          <w:szCs w:val="20"/>
        </w:rPr>
        <w:t xml:space="preserve"> “</w:t>
      </w:r>
      <w:r w:rsidRPr="00D431BE">
        <w:rPr>
          <w:rFonts w:ascii="Palatino Linotype" w:eastAsia="Times New Roman" w:hAnsi="Palatino Linotype" w:cs="Arial"/>
          <w:color w:val="000000" w:themeColor="text1"/>
          <w:sz w:val="20"/>
          <w:szCs w:val="20"/>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39">
    <w:p w14:paraId="43C2C342" w14:textId="77777777" w:rsidR="007138C9" w:rsidRPr="00D431BE" w:rsidRDefault="007138C9" w:rsidP="005A4648">
      <w:pPr>
        <w:pStyle w:val="Textonotapie"/>
        <w:rPr>
          <w:rFonts w:ascii="Palatino Linotype" w:hAnsi="Palatino Linotype"/>
          <w:color w:val="000000" w:themeColor="text1"/>
          <w:lang w:val="es-ES"/>
        </w:rPr>
      </w:pPr>
      <w:r w:rsidRPr="00D431BE">
        <w:rPr>
          <w:rStyle w:val="Refdenotaalpie"/>
          <w:rFonts w:ascii="Palatino Linotype" w:hAnsi="Palatino Linotype"/>
          <w:color w:val="000000" w:themeColor="text1"/>
        </w:rPr>
        <w:footnoteRef/>
      </w:r>
      <w:r w:rsidRPr="00D431BE">
        <w:rPr>
          <w:rFonts w:ascii="Palatino Linotype" w:hAnsi="Palatino Linotype"/>
          <w:color w:val="000000" w:themeColor="text1"/>
        </w:rPr>
        <w:t xml:space="preserve"> </w:t>
      </w:r>
      <w:r w:rsidRPr="00D431BE">
        <w:rPr>
          <w:rFonts w:ascii="Palatino Linotype" w:hAnsi="Palatino Linotype"/>
          <w:color w:val="000000" w:themeColor="text1"/>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40">
    <w:p w14:paraId="21C98DA0" w14:textId="77777777" w:rsidR="007138C9" w:rsidRPr="005404C6" w:rsidRDefault="007138C9" w:rsidP="005A4648">
      <w:pPr>
        <w:pStyle w:val="Textonotapie"/>
        <w:rPr>
          <w:rFonts w:ascii="Palatino Linotype" w:hAnsi="Palatino Linotype"/>
          <w:lang w:val="es-ES"/>
        </w:rPr>
      </w:pPr>
      <w:r w:rsidRPr="005404C6">
        <w:rPr>
          <w:rStyle w:val="Refdenotaalpie"/>
          <w:rFonts w:ascii="Palatino Linotype" w:hAnsi="Palatino Linotype"/>
        </w:rPr>
        <w:footnoteRef/>
      </w:r>
      <w:r w:rsidRPr="005404C6">
        <w:rPr>
          <w:rFonts w:ascii="Palatino Linotype" w:hAnsi="Palatino Linotype"/>
        </w:rPr>
        <w:t xml:space="preserve"> Corte Constitucional de Colombia Sentencia C-520/16. </w:t>
      </w:r>
      <w:r w:rsidRPr="005404C6">
        <w:rPr>
          <w:rFonts w:ascii="Palatino Linotype" w:hAnsi="Palatino Linotype"/>
          <w:lang w:val="es-ES"/>
        </w:rPr>
        <w:t>Párr. 1.11</w:t>
      </w:r>
    </w:p>
  </w:footnote>
  <w:footnote w:id="41">
    <w:p w14:paraId="7A6F3D1B" w14:textId="77777777" w:rsidR="007138C9" w:rsidRPr="00790088" w:rsidRDefault="007138C9" w:rsidP="005A4648">
      <w:pPr>
        <w:jc w:val="both"/>
        <w:rPr>
          <w:rFonts w:ascii="Calibri" w:eastAsia="Times New Roman" w:hAnsi="Calibri" w:cs="Times New Roman"/>
          <w:b/>
          <w:bCs/>
          <w:color w:val="000000"/>
          <w:sz w:val="26"/>
          <w:szCs w:val="26"/>
          <w:lang w:eastAsia="es-ES_tradnl"/>
        </w:rPr>
      </w:pPr>
      <w:r w:rsidRPr="005404C6">
        <w:rPr>
          <w:rStyle w:val="Refdenotaalpie"/>
          <w:rFonts w:ascii="Palatino Linotype" w:hAnsi="Palatino Linotype"/>
          <w:sz w:val="20"/>
          <w:szCs w:val="20"/>
        </w:rPr>
        <w:footnoteRef/>
      </w:r>
      <w:r w:rsidRPr="005404C6">
        <w:rPr>
          <w:rFonts w:ascii="Palatino Linotype" w:hAnsi="Palatino Linotype"/>
          <w:sz w:val="20"/>
          <w:szCs w:val="20"/>
        </w:rPr>
        <w:t xml:space="preserve"> </w:t>
      </w:r>
      <w:r w:rsidRPr="005404C6">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5404C6">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sidRPr="00186DB9">
        <w:rPr>
          <w:rFonts w:ascii="Palatino Linotype" w:eastAsia="Times New Roman" w:hAnsi="Palatino Linotype" w:cs="Times New Roman"/>
          <w:color w:val="000000" w:themeColor="text1"/>
          <w:sz w:val="20"/>
          <w:szCs w:val="20"/>
          <w:lang w:eastAsia="es-ES_tradnl"/>
        </w:rPr>
        <w:t>límites encierran una</w:t>
      </w:r>
      <w:r w:rsidRPr="00351C03">
        <w:rPr>
          <w:rFonts w:ascii="Palatino Linotype" w:eastAsia="Times New Roman" w:hAnsi="Palatino Linotype" w:cs="Times New Roman"/>
          <w:color w:val="000000" w:themeColor="text1"/>
          <w:sz w:val="20"/>
          <w:szCs w:val="20"/>
          <w:lang w:eastAsia="es-ES_tradnl"/>
        </w:rPr>
        <w:t xml:space="preserve"> colisión que debe resolverse con ayuda de un método </w:t>
      </w:r>
      <w:r w:rsidRPr="00F23B1E">
        <w:rPr>
          <w:rFonts w:ascii="Palatino Linotype" w:eastAsia="Times New Roman" w:hAnsi="Palatino Linotype" w:cs="Times New Roman"/>
          <w:color w:val="000000" w:themeColor="text1"/>
          <w:sz w:val="20"/>
          <w:szCs w:val="20"/>
          <w:lang w:eastAsia="es-ES_tradnl"/>
        </w:rPr>
        <w:t>específico denominado</w:t>
      </w:r>
      <w:r>
        <w:rPr>
          <w:rFonts w:ascii="Palatino Linotype" w:eastAsia="Times New Roman" w:hAnsi="Palatino Linotype" w:cs="Times New Roman"/>
          <w:color w:val="000000" w:themeColor="text1"/>
          <w:sz w:val="20"/>
          <w:szCs w:val="20"/>
          <w:lang w:eastAsia="es-ES_tradnl"/>
        </w:rPr>
        <w:t xml:space="preserve"> </w:t>
      </w:r>
      <w:r>
        <w:rPr>
          <w:rFonts w:ascii="Palatino Linotype" w:eastAsia="Times New Roman" w:hAnsi="Palatino Linotype" w:cs="Times New Roman"/>
          <w:b/>
          <w:color w:val="000000" w:themeColor="text1"/>
          <w:sz w:val="20"/>
          <w:szCs w:val="20"/>
          <w:lang w:eastAsia="es-ES_tradnl"/>
        </w:rPr>
        <w:t>test de proporcionalidad</w:t>
      </w:r>
      <w:r>
        <w:rPr>
          <w:rFonts w:ascii="Palatino Linotype" w:eastAsia="Times New Roman" w:hAnsi="Palatino Linotype" w:cs="Times New Roman"/>
          <w:color w:val="000000" w:themeColor="text1"/>
          <w:sz w:val="20"/>
          <w:szCs w:val="20"/>
          <w:lang w:eastAsia="es-ES_tradnl"/>
        </w:rPr>
        <w:t>.</w:t>
      </w:r>
      <w:r w:rsidRPr="00F23B1E">
        <w:rPr>
          <w:rFonts w:ascii="Palatino Linotype" w:eastAsia="Times New Roman" w:hAnsi="Palatino Linotype" w:cs="Times New Roman"/>
          <w:color w:val="000000" w:themeColor="text1"/>
          <w:sz w:val="20"/>
          <w:szCs w:val="20"/>
          <w:lang w:eastAsia="es-ES_tradnl"/>
        </w:rPr>
        <w:t xml:space="preserve"> En este orden de ideas, para que las intervenciones que se realizan a algún derecho fundamental</w:t>
      </w:r>
      <w:r w:rsidRPr="00351C03">
        <w:rPr>
          <w:rFonts w:ascii="Palatino Linotype" w:eastAsia="Times New Roman" w:hAnsi="Palatino Linotype" w:cs="Times New Roman"/>
          <w:color w:val="000000" w:themeColor="text1"/>
          <w:sz w:val="20"/>
          <w:szCs w:val="20"/>
          <w:lang w:eastAsia="es-ES_tradnl"/>
        </w:rPr>
        <w:t xml:space="preserve">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w:t>
      </w:r>
      <w:r>
        <w:rPr>
          <w:rFonts w:ascii="Palatino Linotype" w:eastAsia="Times New Roman" w:hAnsi="Palatino Linotype" w:cs="Times New Roman"/>
          <w:color w:val="000000" w:themeColor="text1"/>
          <w:sz w:val="20"/>
          <w:szCs w:val="20"/>
          <w:lang w:eastAsia="es-ES_tradnl"/>
        </w:rPr>
        <w:t xml:space="preserve">egislativa no supera el </w:t>
      </w:r>
      <w:r>
        <w:rPr>
          <w:rFonts w:ascii="Palatino Linotype" w:eastAsia="Times New Roman" w:hAnsi="Palatino Linotype" w:cs="Times New Roman"/>
          <w:b/>
          <w:color w:val="000000" w:themeColor="text1"/>
          <w:sz w:val="20"/>
          <w:szCs w:val="20"/>
          <w:lang w:eastAsia="es-ES_tradnl"/>
        </w:rPr>
        <w:t>test de proporcionalidad</w:t>
      </w:r>
      <w:r>
        <w:rPr>
          <w:rFonts w:ascii="Palatino Linotype" w:eastAsia="Times New Roman" w:hAnsi="Palatino Linotype" w:cs="Times New Roman"/>
          <w:color w:val="000000" w:themeColor="text1"/>
          <w:sz w:val="20"/>
          <w:szCs w:val="20"/>
          <w:lang w:eastAsia="es-ES_tradnl"/>
        </w:rPr>
        <w:t xml:space="preserve">, </w:t>
      </w:r>
      <w:r w:rsidRPr="00351C03">
        <w:rPr>
          <w:rFonts w:ascii="Palatino Linotype" w:eastAsia="Times New Roman" w:hAnsi="Palatino Linotype" w:cs="Times New Roman"/>
          <w:color w:val="000000" w:themeColor="text1"/>
          <w:sz w:val="20"/>
          <w:szCs w:val="20"/>
          <w:lang w:eastAsia="es-ES_tradnl"/>
        </w:rPr>
        <w:t xml:space="preserve">el derecho fundamental preservará su contenido inicial o </w:t>
      </w:r>
      <w:r w:rsidRPr="00944DEC">
        <w:rPr>
          <w:rFonts w:ascii="Palatino Linotype" w:eastAsia="Times New Roman" w:hAnsi="Palatino Linotype" w:cs="Times New Roman"/>
          <w:i/>
          <w:color w:val="000000" w:themeColor="text1"/>
          <w:sz w:val="20"/>
          <w:szCs w:val="20"/>
          <w:lang w:eastAsia="es-ES_tradnl"/>
        </w:rPr>
        <w:t>prima facie</w:t>
      </w:r>
      <w:r w:rsidRPr="00351C03">
        <w:rPr>
          <w:rFonts w:ascii="Palatino Linotype" w:eastAsia="Times New Roman" w:hAnsi="Palatino Linotype" w:cs="Times New Roman"/>
          <w:color w:val="000000" w:themeColor="text1"/>
          <w:sz w:val="20"/>
          <w:szCs w:val="20"/>
          <w:lang w:eastAsia="es-ES_tradnl"/>
        </w:rPr>
        <w:t xml:space="preserve">. En cambio, si la ley que limita al derecho se encuentra justificada a la luz </w:t>
      </w:r>
      <w:r>
        <w:rPr>
          <w:rFonts w:ascii="Palatino Linotype" w:eastAsia="Times New Roman" w:hAnsi="Palatino Linotype" w:cs="Times New Roman"/>
          <w:color w:val="000000" w:themeColor="text1"/>
          <w:sz w:val="20"/>
          <w:szCs w:val="20"/>
          <w:lang w:eastAsia="es-ES_tradnl"/>
        </w:rPr>
        <w:t xml:space="preserve">del </w:t>
      </w:r>
      <w:r>
        <w:rPr>
          <w:rFonts w:ascii="Palatino Linotype" w:eastAsia="Times New Roman" w:hAnsi="Palatino Linotype" w:cs="Times New Roman"/>
          <w:b/>
          <w:color w:val="000000" w:themeColor="text1"/>
          <w:sz w:val="20"/>
          <w:szCs w:val="20"/>
          <w:lang w:eastAsia="es-ES_tradnl"/>
        </w:rPr>
        <w:t xml:space="preserve">test de </w:t>
      </w:r>
      <w:r w:rsidRPr="00944DEC">
        <w:rPr>
          <w:rFonts w:ascii="Palatino Linotype" w:eastAsia="Times New Roman" w:hAnsi="Palatino Linotype" w:cs="Times New Roman"/>
          <w:color w:val="000000" w:themeColor="text1"/>
          <w:sz w:val="20"/>
          <w:szCs w:val="20"/>
          <w:lang w:eastAsia="es-ES_tradnl"/>
        </w:rPr>
        <w:t>proporcionalidad</w:t>
      </w:r>
      <w:r>
        <w:rPr>
          <w:rFonts w:ascii="Palatino Linotype" w:eastAsia="Times New Roman" w:hAnsi="Palatino Linotype" w:cs="Times New Roman"/>
          <w:color w:val="000000" w:themeColor="text1"/>
          <w:sz w:val="20"/>
          <w:szCs w:val="20"/>
          <w:lang w:eastAsia="es-ES_tradnl"/>
        </w:rPr>
        <w:t xml:space="preserve">, </w:t>
      </w:r>
      <w:r w:rsidRPr="00944DEC">
        <w:rPr>
          <w:rFonts w:ascii="Palatino Linotype" w:eastAsia="Times New Roman" w:hAnsi="Palatino Linotype" w:cs="Times New Roman"/>
          <w:color w:val="000000" w:themeColor="text1"/>
          <w:sz w:val="20"/>
          <w:szCs w:val="20"/>
          <w:lang w:eastAsia="es-ES_tradnl"/>
        </w:rPr>
        <w:t>el</w:t>
      </w:r>
      <w:r w:rsidRPr="00351C03">
        <w:rPr>
          <w:rFonts w:ascii="Palatino Linotype" w:eastAsia="Times New Roman" w:hAnsi="Palatino Linotype" w:cs="Times New Roman"/>
          <w:color w:val="000000" w:themeColor="text1"/>
          <w:sz w:val="20"/>
          <w:szCs w:val="20"/>
          <w:lang w:eastAsia="es-ES_tradnl"/>
        </w:rPr>
        <w:t xml:space="preserve"> contenido definitivo o resultante del derecho será más reducido que el contenido inicial del mismo. (TA) Tesis: 1a. CCLXV/2016 (10a.)</w:t>
      </w:r>
      <w:r w:rsidRPr="00351C03">
        <w:rPr>
          <w:rFonts w:ascii="Palatino Linotype" w:hAnsi="Palatino Linotype" w:cs="Verdana"/>
          <w:color w:val="000000" w:themeColor="text1"/>
          <w:sz w:val="20"/>
          <w:szCs w:val="20"/>
        </w:rPr>
        <w:t xml:space="preserve"> </w:t>
      </w:r>
      <w:r w:rsidRPr="00351C03">
        <w:rPr>
          <w:rFonts w:ascii="Palatino Linotype" w:eastAsia="Times New Roman" w:hAnsi="Palatino Linotype" w:cs="Times New Roman"/>
          <w:color w:val="000000" w:themeColor="text1"/>
          <w:sz w:val="20"/>
          <w:szCs w:val="20"/>
          <w:lang w:eastAsia="es-ES_tradnl"/>
        </w:rPr>
        <w:t xml:space="preserve">Primera Sala de la SCJN. Semanario Judicial de la Federación y su </w:t>
      </w:r>
      <w:r w:rsidRPr="00351C03">
        <w:rPr>
          <w:rFonts w:ascii="Palatino Linotype" w:eastAsia="Times New Roman" w:hAnsi="Palatino Linotype" w:cs="Times New Roman"/>
          <w:color w:val="000000"/>
          <w:sz w:val="20"/>
          <w:szCs w:val="20"/>
          <w:lang w:eastAsia="es-ES_tradnl"/>
        </w:rPr>
        <w:t xml:space="preserve">Gaceta, Novena Época, </w:t>
      </w:r>
      <w:r w:rsidRPr="00351C03">
        <w:rPr>
          <w:rFonts w:ascii="Palatino Linotype" w:hAnsi="Palatino Linotype" w:cs="Verdana"/>
          <w:color w:val="343434"/>
          <w:sz w:val="20"/>
          <w:szCs w:val="20"/>
        </w:rPr>
        <w:t>Libro 36, Noviembre de 2016, Tomo II,</w:t>
      </w:r>
      <w:r w:rsidRPr="00351C03">
        <w:rPr>
          <w:rFonts w:ascii="Palatino Linotype" w:eastAsia="Times New Roman" w:hAnsi="Palatino Linotype" w:cs="Times New Roman"/>
          <w:color w:val="000000"/>
          <w:sz w:val="20"/>
          <w:szCs w:val="20"/>
          <w:lang w:eastAsia="es-ES_tradnl"/>
        </w:rPr>
        <w:t xml:space="preserve"> pág. 902.</w:t>
      </w:r>
    </w:p>
  </w:footnote>
  <w:footnote w:id="42">
    <w:p w14:paraId="384D527C" w14:textId="77777777" w:rsidR="007138C9" w:rsidRPr="004E0E66" w:rsidRDefault="007138C9" w:rsidP="005A4648">
      <w:pPr>
        <w:widowControl w:val="0"/>
        <w:autoSpaceDE w:val="0"/>
        <w:autoSpaceDN w:val="0"/>
        <w:adjustRightInd w:val="0"/>
        <w:jc w:val="both"/>
        <w:rPr>
          <w:rFonts w:ascii="Palatino Linotype" w:hAnsi="Palatino Linotype" w:cs="Arial"/>
          <w:b/>
          <w:bCs/>
          <w:color w:val="000000" w:themeColor="text1"/>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b/>
          <w:bCs/>
          <w:color w:val="000000" w:themeColor="text1"/>
          <w:sz w:val="20"/>
          <w:szCs w:val="20"/>
        </w:rPr>
        <w:t xml:space="preserve">SEGUNDA ETAPA DEL TEST DE PROPORCIONALIDAD. EXAMEN DE LA IDONEIDAD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un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CCLXVIII/2016 (10a.) Primera Sala de la SCJN, Décima Época, Gaceta del Semanario Judicial de la Federación, Libro 36, Noviembre de 2016, Tomo II, Pag. 911.</w:t>
      </w:r>
    </w:p>
  </w:footnote>
  <w:footnote w:id="43">
    <w:p w14:paraId="796BE1FF" w14:textId="77777777" w:rsidR="007138C9" w:rsidRPr="004E0E66" w:rsidRDefault="007138C9" w:rsidP="004039A0">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Pag. 914.</w:t>
      </w:r>
    </w:p>
  </w:footnote>
  <w:footnote w:id="44">
    <w:p w14:paraId="150337B5" w14:textId="4C0915F8" w:rsidR="007138C9" w:rsidRPr="007D1BDB" w:rsidRDefault="007138C9" w:rsidP="00461196">
      <w:pPr>
        <w:pStyle w:val="Prrafodelista"/>
        <w:tabs>
          <w:tab w:val="left" w:pos="426"/>
        </w:tabs>
        <w:ind w:left="0" w:right="51"/>
        <w:jc w:val="both"/>
        <w:rPr>
          <w:i/>
          <w:iCs/>
          <w:sz w:val="20"/>
          <w:szCs w:val="20"/>
        </w:rPr>
      </w:pPr>
      <w:r w:rsidRPr="007D1BDB">
        <w:rPr>
          <w:rStyle w:val="Refdenotaalpie"/>
          <w:i/>
          <w:iCs/>
          <w:sz w:val="20"/>
          <w:szCs w:val="20"/>
        </w:rPr>
        <w:footnoteRef/>
      </w:r>
      <w:r w:rsidRPr="007D1BDB">
        <w:rPr>
          <w:i/>
          <w:iCs/>
          <w:sz w:val="20"/>
          <w:szCs w:val="20"/>
        </w:rPr>
        <w:t xml:space="preserve"> </w:t>
      </w:r>
      <w:r w:rsidRPr="007D1BDB">
        <w:rPr>
          <w:b/>
          <w:bCs/>
          <w:i/>
          <w:iCs/>
          <w:sz w:val="20"/>
          <w:szCs w:val="20"/>
        </w:rPr>
        <w:t>Ley de Seguridad del Estado de México</w:t>
      </w:r>
    </w:p>
    <w:p w14:paraId="76222EC9" w14:textId="7FAC6DF4" w:rsidR="007138C9" w:rsidRPr="00461196" w:rsidRDefault="007138C9" w:rsidP="00461196">
      <w:pPr>
        <w:pStyle w:val="Prrafodelista"/>
        <w:tabs>
          <w:tab w:val="left" w:pos="426"/>
        </w:tabs>
        <w:ind w:left="0" w:right="51"/>
        <w:jc w:val="both"/>
        <w:rPr>
          <w:sz w:val="20"/>
          <w:szCs w:val="20"/>
        </w:rPr>
      </w:pPr>
      <w:r w:rsidRPr="00461196">
        <w:rPr>
          <w:sz w:val="20"/>
          <w:szCs w:val="20"/>
        </w:rPr>
        <w:t>“</w:t>
      </w:r>
      <w:r w:rsidRPr="00461196">
        <w:rPr>
          <w:b/>
          <w:bCs/>
          <w:sz w:val="20"/>
          <w:szCs w:val="20"/>
        </w:rPr>
        <w:t>Artículo 147.-</w:t>
      </w:r>
      <w:r w:rsidRPr="00461196">
        <w:rPr>
          <w:sz w:val="20"/>
          <w:szCs w:val="20"/>
        </w:rPr>
        <w:t xml:space="preserve"> La Carrera Policial comprende el grado policial, la antigüedad, las insignias, condecoraciones, estímulos y reconocimientos obtenidos, el resultado de los procesos de promoción, así como el registro de las correcciones disciplinarias y sanciones que, en su caso, haya acumulado el integrante. Se regirá por las normas mínimas siguientes</w:t>
      </w:r>
    </w:p>
    <w:p w14:paraId="1869BE72" w14:textId="77777777" w:rsidR="007138C9" w:rsidRPr="00461196" w:rsidRDefault="007138C9" w:rsidP="00461196">
      <w:pPr>
        <w:pStyle w:val="Prrafodelista"/>
        <w:tabs>
          <w:tab w:val="left" w:pos="426"/>
        </w:tabs>
        <w:ind w:left="0" w:right="51"/>
        <w:jc w:val="both"/>
        <w:rPr>
          <w:sz w:val="20"/>
          <w:szCs w:val="20"/>
        </w:rPr>
      </w:pPr>
      <w:r w:rsidRPr="00461196">
        <w:rPr>
          <w:sz w:val="20"/>
          <w:szCs w:val="20"/>
        </w:rPr>
        <w:t>(…)</w:t>
      </w:r>
    </w:p>
    <w:p w14:paraId="2BBBE4C5" w14:textId="77777777" w:rsidR="007138C9" w:rsidRPr="00461196" w:rsidRDefault="007138C9" w:rsidP="00461196">
      <w:pPr>
        <w:pStyle w:val="Prrafodelista"/>
        <w:tabs>
          <w:tab w:val="left" w:pos="426"/>
        </w:tabs>
        <w:ind w:left="0" w:right="51"/>
        <w:jc w:val="both"/>
        <w:rPr>
          <w:sz w:val="20"/>
          <w:szCs w:val="20"/>
        </w:rPr>
      </w:pPr>
      <w:r w:rsidRPr="00461196">
        <w:rPr>
          <w:b/>
          <w:bCs/>
          <w:sz w:val="20"/>
          <w:szCs w:val="20"/>
        </w:rPr>
        <w:t>II.</w:t>
      </w:r>
      <w:r w:rsidRPr="00461196">
        <w:rPr>
          <w:sz w:val="20"/>
          <w:szCs w:val="20"/>
        </w:rPr>
        <w:t xml:space="preserve"> Todo aspirante deberá tramitar, obtener y mantener actualizado el Certificado Único Policial, que expedirá el Centro; </w:t>
      </w:r>
    </w:p>
    <w:p w14:paraId="2C1B06A4" w14:textId="6371E142" w:rsidR="007138C9" w:rsidRPr="00461196" w:rsidRDefault="007138C9" w:rsidP="00461196">
      <w:pPr>
        <w:pStyle w:val="Prrafodelista"/>
        <w:tabs>
          <w:tab w:val="left" w:pos="426"/>
        </w:tabs>
        <w:ind w:left="0" w:right="51"/>
        <w:jc w:val="both"/>
        <w:rPr>
          <w:rFonts w:ascii="Palatino Linotype" w:hAnsi="Palatino Linotype"/>
          <w:color w:val="000000" w:themeColor="text1"/>
        </w:rPr>
      </w:pPr>
      <w:r w:rsidRPr="00461196">
        <w:rPr>
          <w:sz w:val="20"/>
          <w:szCs w:val="20"/>
        </w:rPr>
        <w:t>(…)”</w:t>
      </w:r>
    </w:p>
  </w:footnote>
  <w:footnote w:id="45">
    <w:p w14:paraId="151C18EA" w14:textId="77777777" w:rsidR="007138C9" w:rsidRPr="00E76965" w:rsidRDefault="007138C9" w:rsidP="00FE7373">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46">
    <w:p w14:paraId="116A359B" w14:textId="76AA29F6" w:rsidR="007138C9" w:rsidRDefault="007138C9">
      <w:pPr>
        <w:pStyle w:val="Textonotapie"/>
      </w:pPr>
      <w:r>
        <w:rPr>
          <w:rStyle w:val="Refdenotaalpie"/>
        </w:rPr>
        <w:footnoteRef/>
      </w:r>
      <w:r>
        <w:t xml:space="preserve"> Artículo 160, Ley de Seguridad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7138C9" w:rsidRPr="00025127" w14:paraId="07F2896E" w14:textId="77777777" w:rsidTr="00FA0F09">
      <w:trPr>
        <w:trHeight w:val="138"/>
        <w:jc w:val="right"/>
      </w:trPr>
      <w:tc>
        <w:tcPr>
          <w:tcW w:w="3260" w:type="dxa"/>
          <w:vAlign w:val="center"/>
        </w:tcPr>
        <w:p w14:paraId="4A5B1974" w14:textId="5EF7C261" w:rsidR="007138C9" w:rsidRPr="00025127" w:rsidRDefault="007138C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29DC62A5" w:rsidR="007138C9" w:rsidRPr="00025127" w:rsidRDefault="007138C9" w:rsidP="005F1362">
          <w:pPr>
            <w:pStyle w:val="Encabezado"/>
            <w:jc w:val="both"/>
            <w:rPr>
              <w:rFonts w:ascii="Palatino Linotype" w:hAnsi="Palatino Linotype"/>
              <w:b/>
              <w:sz w:val="22"/>
              <w:szCs w:val="22"/>
            </w:rPr>
          </w:pPr>
          <w:r>
            <w:rPr>
              <w:rFonts w:ascii="Palatino Linotype" w:hAnsi="Palatino Linotype"/>
              <w:b/>
              <w:sz w:val="22"/>
              <w:szCs w:val="22"/>
            </w:rPr>
            <w:t>05918</w:t>
          </w:r>
          <w:r w:rsidRPr="00025127">
            <w:rPr>
              <w:rFonts w:ascii="Palatino Linotype" w:hAnsi="Palatino Linotype"/>
              <w:b/>
              <w:sz w:val="22"/>
              <w:szCs w:val="22"/>
            </w:rPr>
            <w:t>/INFOEM/IP/RR/</w:t>
          </w:r>
          <w:r>
            <w:rPr>
              <w:rFonts w:ascii="Palatino Linotype" w:hAnsi="Palatino Linotype"/>
              <w:b/>
              <w:sz w:val="22"/>
              <w:szCs w:val="22"/>
            </w:rPr>
            <w:t>2021 y acumulado</w:t>
          </w:r>
        </w:p>
      </w:tc>
    </w:tr>
    <w:tr w:rsidR="007138C9" w:rsidRPr="00025127" w14:paraId="1B5D8690" w14:textId="77777777" w:rsidTr="00FA0F09">
      <w:trPr>
        <w:trHeight w:val="233"/>
        <w:jc w:val="right"/>
      </w:trPr>
      <w:tc>
        <w:tcPr>
          <w:tcW w:w="3260" w:type="dxa"/>
          <w:vAlign w:val="center"/>
        </w:tcPr>
        <w:p w14:paraId="3903F2C6" w14:textId="22D569F8" w:rsidR="007138C9" w:rsidRPr="00025127" w:rsidRDefault="007138C9" w:rsidP="001D555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751A90A3" w:rsidR="007138C9" w:rsidRPr="00025127" w:rsidRDefault="007138C9" w:rsidP="001D5550">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Cuautitlán Izcalli</w:t>
          </w:r>
        </w:p>
      </w:tc>
    </w:tr>
    <w:tr w:rsidR="007138C9" w:rsidRPr="00025127" w14:paraId="095EB01B" w14:textId="77777777" w:rsidTr="00FA0F09">
      <w:trPr>
        <w:trHeight w:val="321"/>
        <w:jc w:val="right"/>
      </w:trPr>
      <w:tc>
        <w:tcPr>
          <w:tcW w:w="3260" w:type="dxa"/>
          <w:vAlign w:val="center"/>
        </w:tcPr>
        <w:p w14:paraId="6E000A51" w14:textId="05E1861A" w:rsidR="007138C9" w:rsidRPr="00025127" w:rsidRDefault="007138C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7138C9" w:rsidRPr="00025127" w:rsidRDefault="007138C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61E8F8E0" w:rsidR="007138C9" w:rsidRDefault="007138C9" w:rsidP="00472C41">
    <w:pPr>
      <w:pStyle w:val="Encabezado"/>
    </w:pPr>
    <w:r>
      <w:rPr>
        <w:noProof/>
        <w:lang w:eastAsia="es-MX"/>
      </w:rPr>
      <w:drawing>
        <wp:anchor distT="0" distB="0" distL="114300" distR="114300" simplePos="0" relativeHeight="251657216" behindDoc="1" locked="0" layoutInCell="0" allowOverlap="1" wp14:anchorId="1A29E15A" wp14:editId="45156428">
          <wp:simplePos x="0" y="0"/>
          <wp:positionH relativeFrom="page">
            <wp:posOffset>30480</wp:posOffset>
          </wp:positionH>
          <wp:positionV relativeFrom="page">
            <wp:posOffset>36992</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7138C9" w:rsidRPr="00025127" w14:paraId="0A3256F2" w14:textId="77777777" w:rsidTr="00790318">
      <w:trPr>
        <w:trHeight w:val="138"/>
        <w:jc w:val="right"/>
      </w:trPr>
      <w:tc>
        <w:tcPr>
          <w:tcW w:w="3969" w:type="dxa"/>
          <w:vAlign w:val="center"/>
        </w:tcPr>
        <w:p w14:paraId="3D80769D" w14:textId="63F8A454" w:rsidR="007138C9" w:rsidRPr="00025127" w:rsidRDefault="007138C9"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3" w:type="dxa"/>
          <w:vAlign w:val="center"/>
        </w:tcPr>
        <w:p w14:paraId="0453495E" w14:textId="5987450F" w:rsidR="007138C9" w:rsidRPr="00025127" w:rsidRDefault="007138C9" w:rsidP="005F1362">
          <w:pPr>
            <w:pStyle w:val="Encabezado"/>
            <w:rPr>
              <w:rFonts w:ascii="Palatino Linotype" w:hAnsi="Palatino Linotype"/>
              <w:b/>
              <w:sz w:val="22"/>
              <w:szCs w:val="22"/>
            </w:rPr>
          </w:pPr>
          <w:r>
            <w:rPr>
              <w:rFonts w:ascii="Palatino Linotype" w:hAnsi="Palatino Linotype"/>
              <w:b/>
              <w:sz w:val="22"/>
              <w:szCs w:val="22"/>
            </w:rPr>
            <w:t>05918</w:t>
          </w:r>
          <w:r w:rsidRPr="00025127">
            <w:rPr>
              <w:rFonts w:ascii="Palatino Linotype" w:hAnsi="Palatino Linotype"/>
              <w:b/>
              <w:sz w:val="22"/>
              <w:szCs w:val="22"/>
            </w:rPr>
            <w:t>/INFOEM/IP/RR/</w:t>
          </w:r>
          <w:r>
            <w:rPr>
              <w:rFonts w:ascii="Palatino Linotype" w:hAnsi="Palatino Linotype"/>
              <w:b/>
              <w:sz w:val="22"/>
              <w:szCs w:val="22"/>
            </w:rPr>
            <w:t>2021 y acumulado</w:t>
          </w:r>
        </w:p>
      </w:tc>
    </w:tr>
    <w:tr w:rsidR="007138C9" w:rsidRPr="00025127" w14:paraId="128C8B3C" w14:textId="77777777" w:rsidTr="00790318">
      <w:trPr>
        <w:trHeight w:val="233"/>
        <w:jc w:val="right"/>
      </w:trPr>
      <w:tc>
        <w:tcPr>
          <w:tcW w:w="3969" w:type="dxa"/>
          <w:vAlign w:val="center"/>
        </w:tcPr>
        <w:p w14:paraId="483E3371" w14:textId="66B1BC74" w:rsidR="007138C9" w:rsidRPr="00025127" w:rsidRDefault="007138C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3" w:type="dxa"/>
        </w:tcPr>
        <w:p w14:paraId="1548525E" w14:textId="08CB4160" w:rsidR="007138C9" w:rsidRPr="00025127" w:rsidRDefault="007138C9" w:rsidP="0058757A">
          <w:pPr>
            <w:pStyle w:val="Encabezado"/>
            <w:rPr>
              <w:rFonts w:ascii="Palatino Linotype" w:hAnsi="Palatino Linotype"/>
              <w:b/>
              <w:sz w:val="22"/>
              <w:szCs w:val="22"/>
            </w:rPr>
          </w:pPr>
          <w:r>
            <w:rPr>
              <w:rFonts w:ascii="Palatino Linotype" w:hAnsi="Palatino Linotype"/>
              <w:b/>
              <w:sz w:val="22"/>
              <w:szCs w:val="22"/>
            </w:rPr>
            <w:t>XXXXX XXXXX XXXX</w:t>
          </w:r>
        </w:p>
      </w:tc>
    </w:tr>
    <w:tr w:rsidR="007138C9" w:rsidRPr="00025127" w14:paraId="41BE0704" w14:textId="77777777" w:rsidTr="00790318">
      <w:trPr>
        <w:trHeight w:val="321"/>
        <w:jc w:val="right"/>
      </w:trPr>
      <w:tc>
        <w:tcPr>
          <w:tcW w:w="3969" w:type="dxa"/>
          <w:vAlign w:val="center"/>
        </w:tcPr>
        <w:p w14:paraId="34C64148" w14:textId="10C6C8A9" w:rsidR="007138C9" w:rsidRPr="00025127" w:rsidRDefault="007138C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3" w:type="dxa"/>
          <w:vAlign w:val="center"/>
        </w:tcPr>
        <w:p w14:paraId="34C341BF" w14:textId="25AF6A08" w:rsidR="007138C9" w:rsidRPr="00025127" w:rsidRDefault="007138C9" w:rsidP="009E63B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Cuautitlán Izcalli</w:t>
          </w:r>
        </w:p>
      </w:tc>
    </w:tr>
    <w:tr w:rsidR="007138C9" w:rsidRPr="00025127" w14:paraId="0C8B6193" w14:textId="77777777" w:rsidTr="00790318">
      <w:trPr>
        <w:trHeight w:val="321"/>
        <w:jc w:val="right"/>
      </w:trPr>
      <w:tc>
        <w:tcPr>
          <w:tcW w:w="3969" w:type="dxa"/>
          <w:vAlign w:val="center"/>
        </w:tcPr>
        <w:p w14:paraId="321FFAFF" w14:textId="0E8C2CE7" w:rsidR="007138C9" w:rsidRPr="00025127" w:rsidRDefault="007138C9"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3" w:type="dxa"/>
          <w:vAlign w:val="center"/>
        </w:tcPr>
        <w:p w14:paraId="0FECDA9D" w14:textId="6D336FD0" w:rsidR="007138C9" w:rsidRPr="00025127" w:rsidRDefault="007138C9"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54C51E6E" w:rsidR="007138C9" w:rsidRDefault="00FD2360"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85.1pt;margin-top:-136.4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BA31462"/>
    <w:multiLevelType w:val="hybridMultilevel"/>
    <w:tmpl w:val="648CC78A"/>
    <w:lvl w:ilvl="0" w:tplc="080A0013">
      <w:start w:val="1"/>
      <w:numFmt w:val="upperRoman"/>
      <w:lvlText w:val="%1."/>
      <w:lvlJc w:val="right"/>
      <w:pPr>
        <w:ind w:left="1260" w:hanging="180"/>
      </w:p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2">
    <w:nsid w:val="1A6952EC"/>
    <w:multiLevelType w:val="hybridMultilevel"/>
    <w:tmpl w:val="5FD01620"/>
    <w:lvl w:ilvl="0" w:tplc="16504A5C">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34317490"/>
    <w:multiLevelType w:val="hybridMultilevel"/>
    <w:tmpl w:val="A2C8506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38152A3C"/>
    <w:multiLevelType w:val="hybridMultilevel"/>
    <w:tmpl w:val="D222EC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514165C3"/>
    <w:multiLevelType w:val="hybridMultilevel"/>
    <w:tmpl w:val="62C45452"/>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51736967"/>
    <w:multiLevelType w:val="hybridMultilevel"/>
    <w:tmpl w:val="1298AD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388EDD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C8C36DE"/>
    <w:multiLevelType w:val="hybridMultilevel"/>
    <w:tmpl w:val="5FD01620"/>
    <w:lvl w:ilvl="0" w:tplc="FFFFFFFF">
      <w:start w:val="1"/>
      <w:numFmt w:val="low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D556AF8"/>
    <w:multiLevelType w:val="hybridMultilevel"/>
    <w:tmpl w:val="BA20D2F8"/>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0"/>
  </w:num>
  <w:num w:numId="5">
    <w:abstractNumId w:val="2"/>
  </w:num>
  <w:num w:numId="6">
    <w:abstractNumId w:val="8"/>
  </w:num>
  <w:num w:numId="7">
    <w:abstractNumId w:val="7"/>
  </w:num>
  <w:num w:numId="8">
    <w:abstractNumId w:val="9"/>
  </w:num>
  <w:num w:numId="9">
    <w:abstractNumId w:val="6"/>
  </w:num>
  <w:num w:numId="10">
    <w:abstractNumId w:val="5"/>
  </w:num>
  <w:num w:numId="11">
    <w:abstractNumId w:val="1"/>
  </w:num>
  <w:num w:numId="12">
    <w:abstractNumId w:val="11"/>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01E"/>
    <w:rsid w:val="000001EC"/>
    <w:rsid w:val="0000310F"/>
    <w:rsid w:val="0000381E"/>
    <w:rsid w:val="00003A05"/>
    <w:rsid w:val="0000407F"/>
    <w:rsid w:val="000058E3"/>
    <w:rsid w:val="0000797D"/>
    <w:rsid w:val="00007E8A"/>
    <w:rsid w:val="000100D7"/>
    <w:rsid w:val="0001106B"/>
    <w:rsid w:val="00012472"/>
    <w:rsid w:val="0001398B"/>
    <w:rsid w:val="000151C5"/>
    <w:rsid w:val="000203D3"/>
    <w:rsid w:val="000204A6"/>
    <w:rsid w:val="000211F8"/>
    <w:rsid w:val="0002146F"/>
    <w:rsid w:val="000221BF"/>
    <w:rsid w:val="00022D89"/>
    <w:rsid w:val="000236A3"/>
    <w:rsid w:val="00024BCC"/>
    <w:rsid w:val="00024F35"/>
    <w:rsid w:val="00025127"/>
    <w:rsid w:val="00025266"/>
    <w:rsid w:val="0003063D"/>
    <w:rsid w:val="00031D37"/>
    <w:rsid w:val="00031F10"/>
    <w:rsid w:val="00031F98"/>
    <w:rsid w:val="00032493"/>
    <w:rsid w:val="0003564E"/>
    <w:rsid w:val="00036427"/>
    <w:rsid w:val="0004072A"/>
    <w:rsid w:val="0004193F"/>
    <w:rsid w:val="00042380"/>
    <w:rsid w:val="000443B9"/>
    <w:rsid w:val="00044DB9"/>
    <w:rsid w:val="0004686A"/>
    <w:rsid w:val="000468E2"/>
    <w:rsid w:val="00046CEE"/>
    <w:rsid w:val="000478BA"/>
    <w:rsid w:val="00050C14"/>
    <w:rsid w:val="0005237C"/>
    <w:rsid w:val="00052A3C"/>
    <w:rsid w:val="00054A03"/>
    <w:rsid w:val="00056051"/>
    <w:rsid w:val="00056A79"/>
    <w:rsid w:val="0005777B"/>
    <w:rsid w:val="00061344"/>
    <w:rsid w:val="000622ED"/>
    <w:rsid w:val="0006247F"/>
    <w:rsid w:val="00062648"/>
    <w:rsid w:val="000631D9"/>
    <w:rsid w:val="0006381D"/>
    <w:rsid w:val="00063D06"/>
    <w:rsid w:val="0006407E"/>
    <w:rsid w:val="000643A2"/>
    <w:rsid w:val="00064577"/>
    <w:rsid w:val="00064A37"/>
    <w:rsid w:val="00064B95"/>
    <w:rsid w:val="0007221E"/>
    <w:rsid w:val="00073326"/>
    <w:rsid w:val="00074573"/>
    <w:rsid w:val="00076166"/>
    <w:rsid w:val="000769AE"/>
    <w:rsid w:val="000800AC"/>
    <w:rsid w:val="0008230A"/>
    <w:rsid w:val="00082D11"/>
    <w:rsid w:val="00082E28"/>
    <w:rsid w:val="000834FE"/>
    <w:rsid w:val="0008465D"/>
    <w:rsid w:val="00084E31"/>
    <w:rsid w:val="0008542A"/>
    <w:rsid w:val="00090D6F"/>
    <w:rsid w:val="00091C2C"/>
    <w:rsid w:val="00091D8D"/>
    <w:rsid w:val="00093FC7"/>
    <w:rsid w:val="000953E2"/>
    <w:rsid w:val="00095BB9"/>
    <w:rsid w:val="000A12B9"/>
    <w:rsid w:val="000A13F5"/>
    <w:rsid w:val="000A26B8"/>
    <w:rsid w:val="000A3F90"/>
    <w:rsid w:val="000A4554"/>
    <w:rsid w:val="000A45FD"/>
    <w:rsid w:val="000A4E44"/>
    <w:rsid w:val="000A556A"/>
    <w:rsid w:val="000A77ED"/>
    <w:rsid w:val="000B0370"/>
    <w:rsid w:val="000B13A8"/>
    <w:rsid w:val="000B1BA6"/>
    <w:rsid w:val="000B5AB1"/>
    <w:rsid w:val="000B5D79"/>
    <w:rsid w:val="000B6D31"/>
    <w:rsid w:val="000B7C4F"/>
    <w:rsid w:val="000C0061"/>
    <w:rsid w:val="000C0663"/>
    <w:rsid w:val="000C0BBB"/>
    <w:rsid w:val="000C10B9"/>
    <w:rsid w:val="000C1D19"/>
    <w:rsid w:val="000C2E5F"/>
    <w:rsid w:val="000C3423"/>
    <w:rsid w:val="000C3861"/>
    <w:rsid w:val="000C4422"/>
    <w:rsid w:val="000C48CA"/>
    <w:rsid w:val="000C4A8E"/>
    <w:rsid w:val="000C5A04"/>
    <w:rsid w:val="000C5AF7"/>
    <w:rsid w:val="000C6780"/>
    <w:rsid w:val="000D0855"/>
    <w:rsid w:val="000D11CC"/>
    <w:rsid w:val="000D1E0F"/>
    <w:rsid w:val="000D2DC2"/>
    <w:rsid w:val="000D3275"/>
    <w:rsid w:val="000D5A1D"/>
    <w:rsid w:val="000D62FF"/>
    <w:rsid w:val="000D69DF"/>
    <w:rsid w:val="000D7369"/>
    <w:rsid w:val="000D7394"/>
    <w:rsid w:val="000D7DE8"/>
    <w:rsid w:val="000E07DC"/>
    <w:rsid w:val="000E1389"/>
    <w:rsid w:val="000E2665"/>
    <w:rsid w:val="000E2A46"/>
    <w:rsid w:val="000E5176"/>
    <w:rsid w:val="000E67FC"/>
    <w:rsid w:val="000E68F0"/>
    <w:rsid w:val="000E77B8"/>
    <w:rsid w:val="000F03EF"/>
    <w:rsid w:val="000F1731"/>
    <w:rsid w:val="000F1B9F"/>
    <w:rsid w:val="000F2739"/>
    <w:rsid w:val="000F2EDD"/>
    <w:rsid w:val="000F3457"/>
    <w:rsid w:val="000F37A8"/>
    <w:rsid w:val="000F5D89"/>
    <w:rsid w:val="000F6782"/>
    <w:rsid w:val="000F690A"/>
    <w:rsid w:val="000F6D7E"/>
    <w:rsid w:val="00100187"/>
    <w:rsid w:val="00100DDD"/>
    <w:rsid w:val="00102D65"/>
    <w:rsid w:val="00103662"/>
    <w:rsid w:val="00103888"/>
    <w:rsid w:val="00104383"/>
    <w:rsid w:val="00107499"/>
    <w:rsid w:val="00107557"/>
    <w:rsid w:val="0011167C"/>
    <w:rsid w:val="00111F02"/>
    <w:rsid w:val="0011279B"/>
    <w:rsid w:val="00112B02"/>
    <w:rsid w:val="00114309"/>
    <w:rsid w:val="00114A21"/>
    <w:rsid w:val="00117441"/>
    <w:rsid w:val="0012006D"/>
    <w:rsid w:val="00121F4A"/>
    <w:rsid w:val="00122E4B"/>
    <w:rsid w:val="0012380D"/>
    <w:rsid w:val="00124015"/>
    <w:rsid w:val="001246CE"/>
    <w:rsid w:val="00124CF1"/>
    <w:rsid w:val="001250B4"/>
    <w:rsid w:val="001253D1"/>
    <w:rsid w:val="00127E68"/>
    <w:rsid w:val="00130BD7"/>
    <w:rsid w:val="001311DC"/>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1C6"/>
    <w:rsid w:val="001468E9"/>
    <w:rsid w:val="00147864"/>
    <w:rsid w:val="00151114"/>
    <w:rsid w:val="0015233C"/>
    <w:rsid w:val="00152F19"/>
    <w:rsid w:val="001534BC"/>
    <w:rsid w:val="00153833"/>
    <w:rsid w:val="00153FA4"/>
    <w:rsid w:val="00154304"/>
    <w:rsid w:val="0015466E"/>
    <w:rsid w:val="00154765"/>
    <w:rsid w:val="001548CB"/>
    <w:rsid w:val="00154EF0"/>
    <w:rsid w:val="001568FB"/>
    <w:rsid w:val="00156A23"/>
    <w:rsid w:val="0015704D"/>
    <w:rsid w:val="0016021F"/>
    <w:rsid w:val="001611E5"/>
    <w:rsid w:val="00161B6B"/>
    <w:rsid w:val="00161E95"/>
    <w:rsid w:val="00163780"/>
    <w:rsid w:val="00163B1F"/>
    <w:rsid w:val="001648EE"/>
    <w:rsid w:val="00164B65"/>
    <w:rsid w:val="001656F2"/>
    <w:rsid w:val="00166794"/>
    <w:rsid w:val="0017273C"/>
    <w:rsid w:val="001732E3"/>
    <w:rsid w:val="00174E02"/>
    <w:rsid w:val="00175688"/>
    <w:rsid w:val="0017653A"/>
    <w:rsid w:val="001775DF"/>
    <w:rsid w:val="00185460"/>
    <w:rsid w:val="001862A3"/>
    <w:rsid w:val="001862CF"/>
    <w:rsid w:val="001868EF"/>
    <w:rsid w:val="00186B3B"/>
    <w:rsid w:val="00192E4B"/>
    <w:rsid w:val="00194D62"/>
    <w:rsid w:val="00196407"/>
    <w:rsid w:val="00197091"/>
    <w:rsid w:val="001972CC"/>
    <w:rsid w:val="001978DE"/>
    <w:rsid w:val="001A032D"/>
    <w:rsid w:val="001A0A8E"/>
    <w:rsid w:val="001A138D"/>
    <w:rsid w:val="001A1F1C"/>
    <w:rsid w:val="001A2857"/>
    <w:rsid w:val="001A2A89"/>
    <w:rsid w:val="001A3634"/>
    <w:rsid w:val="001A4D5D"/>
    <w:rsid w:val="001A5150"/>
    <w:rsid w:val="001A58B9"/>
    <w:rsid w:val="001A61E1"/>
    <w:rsid w:val="001A6C1E"/>
    <w:rsid w:val="001B05C5"/>
    <w:rsid w:val="001B30F9"/>
    <w:rsid w:val="001B3659"/>
    <w:rsid w:val="001B40F3"/>
    <w:rsid w:val="001B53A0"/>
    <w:rsid w:val="001B5D01"/>
    <w:rsid w:val="001B5F70"/>
    <w:rsid w:val="001B6845"/>
    <w:rsid w:val="001C0AED"/>
    <w:rsid w:val="001C13B1"/>
    <w:rsid w:val="001C189A"/>
    <w:rsid w:val="001C1C2A"/>
    <w:rsid w:val="001C1CDE"/>
    <w:rsid w:val="001C263B"/>
    <w:rsid w:val="001C2713"/>
    <w:rsid w:val="001C2EF3"/>
    <w:rsid w:val="001C34D6"/>
    <w:rsid w:val="001C54A9"/>
    <w:rsid w:val="001C5B97"/>
    <w:rsid w:val="001C6012"/>
    <w:rsid w:val="001C67B0"/>
    <w:rsid w:val="001C79FA"/>
    <w:rsid w:val="001D07C9"/>
    <w:rsid w:val="001D26EC"/>
    <w:rsid w:val="001D3AB5"/>
    <w:rsid w:val="001D4500"/>
    <w:rsid w:val="001D5550"/>
    <w:rsid w:val="001D7B6D"/>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0A72"/>
    <w:rsid w:val="001F2B8C"/>
    <w:rsid w:val="001F783F"/>
    <w:rsid w:val="001F7AFD"/>
    <w:rsid w:val="001F7DE2"/>
    <w:rsid w:val="002001BE"/>
    <w:rsid w:val="002005F4"/>
    <w:rsid w:val="002015A4"/>
    <w:rsid w:val="002031F3"/>
    <w:rsid w:val="002058A7"/>
    <w:rsid w:val="00205A1A"/>
    <w:rsid w:val="00207665"/>
    <w:rsid w:val="00211229"/>
    <w:rsid w:val="00211E8C"/>
    <w:rsid w:val="00212C9C"/>
    <w:rsid w:val="00212FCA"/>
    <w:rsid w:val="00213108"/>
    <w:rsid w:val="0021453E"/>
    <w:rsid w:val="0021475E"/>
    <w:rsid w:val="002179AC"/>
    <w:rsid w:val="00220ADB"/>
    <w:rsid w:val="00221508"/>
    <w:rsid w:val="002217BA"/>
    <w:rsid w:val="00221E74"/>
    <w:rsid w:val="00223507"/>
    <w:rsid w:val="00223ACC"/>
    <w:rsid w:val="0022448D"/>
    <w:rsid w:val="002245E6"/>
    <w:rsid w:val="002275DE"/>
    <w:rsid w:val="00230170"/>
    <w:rsid w:val="002305CF"/>
    <w:rsid w:val="00233E08"/>
    <w:rsid w:val="00233E33"/>
    <w:rsid w:val="002345FF"/>
    <w:rsid w:val="00237611"/>
    <w:rsid w:val="00237F9E"/>
    <w:rsid w:val="002408D7"/>
    <w:rsid w:val="002426EA"/>
    <w:rsid w:val="0024437C"/>
    <w:rsid w:val="00244476"/>
    <w:rsid w:val="002457CF"/>
    <w:rsid w:val="002507D8"/>
    <w:rsid w:val="00252A20"/>
    <w:rsid w:val="00252B41"/>
    <w:rsid w:val="00253622"/>
    <w:rsid w:val="0025524F"/>
    <w:rsid w:val="00257CC3"/>
    <w:rsid w:val="00257E5F"/>
    <w:rsid w:val="00260C1D"/>
    <w:rsid w:val="00260E50"/>
    <w:rsid w:val="00261001"/>
    <w:rsid w:val="00261A42"/>
    <w:rsid w:val="00261D84"/>
    <w:rsid w:val="002629A6"/>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584"/>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B6B6C"/>
    <w:rsid w:val="002C0074"/>
    <w:rsid w:val="002C0159"/>
    <w:rsid w:val="002C0804"/>
    <w:rsid w:val="002C0A09"/>
    <w:rsid w:val="002C0DC5"/>
    <w:rsid w:val="002C1007"/>
    <w:rsid w:val="002C2D44"/>
    <w:rsid w:val="002C3D6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38C3"/>
    <w:rsid w:val="002D5464"/>
    <w:rsid w:val="002E126F"/>
    <w:rsid w:val="002E1579"/>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98C"/>
    <w:rsid w:val="003105D0"/>
    <w:rsid w:val="003105D6"/>
    <w:rsid w:val="00310B1D"/>
    <w:rsid w:val="00310D66"/>
    <w:rsid w:val="003111C5"/>
    <w:rsid w:val="00311481"/>
    <w:rsid w:val="003116A6"/>
    <w:rsid w:val="00311863"/>
    <w:rsid w:val="00312733"/>
    <w:rsid w:val="00313C6C"/>
    <w:rsid w:val="00316065"/>
    <w:rsid w:val="00317883"/>
    <w:rsid w:val="00317EFF"/>
    <w:rsid w:val="00321AA3"/>
    <w:rsid w:val="00321AE9"/>
    <w:rsid w:val="00321EEE"/>
    <w:rsid w:val="00321FCC"/>
    <w:rsid w:val="00323895"/>
    <w:rsid w:val="00323E73"/>
    <w:rsid w:val="003243FB"/>
    <w:rsid w:val="0032586C"/>
    <w:rsid w:val="00326579"/>
    <w:rsid w:val="00327D79"/>
    <w:rsid w:val="00332E6B"/>
    <w:rsid w:val="003337F3"/>
    <w:rsid w:val="00333BE8"/>
    <w:rsid w:val="003344DB"/>
    <w:rsid w:val="00335898"/>
    <w:rsid w:val="00335BFE"/>
    <w:rsid w:val="00335E9C"/>
    <w:rsid w:val="0033608B"/>
    <w:rsid w:val="0033675D"/>
    <w:rsid w:val="00336D58"/>
    <w:rsid w:val="00337941"/>
    <w:rsid w:val="00340445"/>
    <w:rsid w:val="003407D0"/>
    <w:rsid w:val="0034118F"/>
    <w:rsid w:val="0034137D"/>
    <w:rsid w:val="0034181B"/>
    <w:rsid w:val="00342A44"/>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280"/>
    <w:rsid w:val="0036073F"/>
    <w:rsid w:val="003615A3"/>
    <w:rsid w:val="003629EE"/>
    <w:rsid w:val="003643B3"/>
    <w:rsid w:val="003708DD"/>
    <w:rsid w:val="00370B8E"/>
    <w:rsid w:val="00370BB1"/>
    <w:rsid w:val="00371893"/>
    <w:rsid w:val="003721B2"/>
    <w:rsid w:val="00372328"/>
    <w:rsid w:val="00374CE8"/>
    <w:rsid w:val="003762FD"/>
    <w:rsid w:val="00376FD2"/>
    <w:rsid w:val="00377278"/>
    <w:rsid w:val="0038132B"/>
    <w:rsid w:val="00383E66"/>
    <w:rsid w:val="00384AE2"/>
    <w:rsid w:val="00385699"/>
    <w:rsid w:val="00386B49"/>
    <w:rsid w:val="00387DC9"/>
    <w:rsid w:val="00390383"/>
    <w:rsid w:val="00390D23"/>
    <w:rsid w:val="0039142B"/>
    <w:rsid w:val="0039193E"/>
    <w:rsid w:val="00391ADA"/>
    <w:rsid w:val="00391E45"/>
    <w:rsid w:val="0039230E"/>
    <w:rsid w:val="00392CDB"/>
    <w:rsid w:val="0039380F"/>
    <w:rsid w:val="00393B71"/>
    <w:rsid w:val="00394095"/>
    <w:rsid w:val="003940F6"/>
    <w:rsid w:val="003955D3"/>
    <w:rsid w:val="00396545"/>
    <w:rsid w:val="0039671B"/>
    <w:rsid w:val="00396F71"/>
    <w:rsid w:val="003A03D0"/>
    <w:rsid w:val="003A04FF"/>
    <w:rsid w:val="003A1B01"/>
    <w:rsid w:val="003A2029"/>
    <w:rsid w:val="003A3B3F"/>
    <w:rsid w:val="003A6417"/>
    <w:rsid w:val="003A65FE"/>
    <w:rsid w:val="003A6A5A"/>
    <w:rsid w:val="003A7034"/>
    <w:rsid w:val="003A7221"/>
    <w:rsid w:val="003A730E"/>
    <w:rsid w:val="003A76C7"/>
    <w:rsid w:val="003A7F9E"/>
    <w:rsid w:val="003B1CEE"/>
    <w:rsid w:val="003B2199"/>
    <w:rsid w:val="003B24B4"/>
    <w:rsid w:val="003B2856"/>
    <w:rsid w:val="003B2A0D"/>
    <w:rsid w:val="003B31FA"/>
    <w:rsid w:val="003B55AD"/>
    <w:rsid w:val="003B6AA5"/>
    <w:rsid w:val="003B7EC4"/>
    <w:rsid w:val="003C038B"/>
    <w:rsid w:val="003C1632"/>
    <w:rsid w:val="003C183D"/>
    <w:rsid w:val="003C6AEE"/>
    <w:rsid w:val="003C7282"/>
    <w:rsid w:val="003D00D5"/>
    <w:rsid w:val="003D0A29"/>
    <w:rsid w:val="003D0BC7"/>
    <w:rsid w:val="003D181D"/>
    <w:rsid w:val="003D1C2D"/>
    <w:rsid w:val="003D20C4"/>
    <w:rsid w:val="003D4163"/>
    <w:rsid w:val="003D46D0"/>
    <w:rsid w:val="003D5423"/>
    <w:rsid w:val="003D5661"/>
    <w:rsid w:val="003D792A"/>
    <w:rsid w:val="003E1891"/>
    <w:rsid w:val="003E2E98"/>
    <w:rsid w:val="003E4701"/>
    <w:rsid w:val="003E6079"/>
    <w:rsid w:val="003E6128"/>
    <w:rsid w:val="003E6679"/>
    <w:rsid w:val="003E6D0F"/>
    <w:rsid w:val="003E712E"/>
    <w:rsid w:val="003F0DDA"/>
    <w:rsid w:val="003F140F"/>
    <w:rsid w:val="003F15DB"/>
    <w:rsid w:val="003F1F0B"/>
    <w:rsid w:val="003F2074"/>
    <w:rsid w:val="003F2702"/>
    <w:rsid w:val="003F2778"/>
    <w:rsid w:val="003F36A4"/>
    <w:rsid w:val="003F4900"/>
    <w:rsid w:val="003F70CA"/>
    <w:rsid w:val="003F7823"/>
    <w:rsid w:val="00400E76"/>
    <w:rsid w:val="0040137F"/>
    <w:rsid w:val="00402179"/>
    <w:rsid w:val="0040278D"/>
    <w:rsid w:val="00403185"/>
    <w:rsid w:val="00403249"/>
    <w:rsid w:val="00403323"/>
    <w:rsid w:val="004039A0"/>
    <w:rsid w:val="0040600B"/>
    <w:rsid w:val="004078C8"/>
    <w:rsid w:val="004102DE"/>
    <w:rsid w:val="0041159E"/>
    <w:rsid w:val="00412696"/>
    <w:rsid w:val="00412E24"/>
    <w:rsid w:val="004147B1"/>
    <w:rsid w:val="0041483C"/>
    <w:rsid w:val="00416727"/>
    <w:rsid w:val="0042068A"/>
    <w:rsid w:val="0042267F"/>
    <w:rsid w:val="00424261"/>
    <w:rsid w:val="0042437A"/>
    <w:rsid w:val="00424992"/>
    <w:rsid w:val="00424E72"/>
    <w:rsid w:val="00425F0D"/>
    <w:rsid w:val="00426D7C"/>
    <w:rsid w:val="00427621"/>
    <w:rsid w:val="004300ED"/>
    <w:rsid w:val="00431687"/>
    <w:rsid w:val="00432277"/>
    <w:rsid w:val="00432B72"/>
    <w:rsid w:val="00433016"/>
    <w:rsid w:val="00433313"/>
    <w:rsid w:val="004342F1"/>
    <w:rsid w:val="004349C0"/>
    <w:rsid w:val="00436DF4"/>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196"/>
    <w:rsid w:val="004613B1"/>
    <w:rsid w:val="00461F2A"/>
    <w:rsid w:val="0046231E"/>
    <w:rsid w:val="00462459"/>
    <w:rsid w:val="0046340E"/>
    <w:rsid w:val="004635E2"/>
    <w:rsid w:val="00464CB6"/>
    <w:rsid w:val="0046532D"/>
    <w:rsid w:val="0046566E"/>
    <w:rsid w:val="00470027"/>
    <w:rsid w:val="0047025A"/>
    <w:rsid w:val="00472C41"/>
    <w:rsid w:val="00473115"/>
    <w:rsid w:val="004738D8"/>
    <w:rsid w:val="00473BD2"/>
    <w:rsid w:val="00474477"/>
    <w:rsid w:val="004761AC"/>
    <w:rsid w:val="004764CB"/>
    <w:rsid w:val="00476730"/>
    <w:rsid w:val="004769A5"/>
    <w:rsid w:val="004773A3"/>
    <w:rsid w:val="004773E6"/>
    <w:rsid w:val="00481A7B"/>
    <w:rsid w:val="0048386B"/>
    <w:rsid w:val="00483C14"/>
    <w:rsid w:val="004858CD"/>
    <w:rsid w:val="00485DB6"/>
    <w:rsid w:val="0048628A"/>
    <w:rsid w:val="0048658E"/>
    <w:rsid w:val="004905D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2B7"/>
    <w:rsid w:val="004A677C"/>
    <w:rsid w:val="004A692A"/>
    <w:rsid w:val="004A6C04"/>
    <w:rsid w:val="004B05A5"/>
    <w:rsid w:val="004B0EB6"/>
    <w:rsid w:val="004B176B"/>
    <w:rsid w:val="004B293C"/>
    <w:rsid w:val="004B3A2A"/>
    <w:rsid w:val="004B3D59"/>
    <w:rsid w:val="004B4D6E"/>
    <w:rsid w:val="004B50F8"/>
    <w:rsid w:val="004B58EA"/>
    <w:rsid w:val="004B661E"/>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D7248"/>
    <w:rsid w:val="004E11D8"/>
    <w:rsid w:val="004E6E3A"/>
    <w:rsid w:val="004F0C96"/>
    <w:rsid w:val="004F0F98"/>
    <w:rsid w:val="004F1050"/>
    <w:rsid w:val="004F28A0"/>
    <w:rsid w:val="004F39A4"/>
    <w:rsid w:val="004F44C7"/>
    <w:rsid w:val="004F489F"/>
    <w:rsid w:val="004F4958"/>
    <w:rsid w:val="004F5F05"/>
    <w:rsid w:val="004F766F"/>
    <w:rsid w:val="004F785F"/>
    <w:rsid w:val="004F78B7"/>
    <w:rsid w:val="004F7944"/>
    <w:rsid w:val="00500224"/>
    <w:rsid w:val="00501B93"/>
    <w:rsid w:val="005041C2"/>
    <w:rsid w:val="00505CA0"/>
    <w:rsid w:val="00507043"/>
    <w:rsid w:val="00507C08"/>
    <w:rsid w:val="00507D18"/>
    <w:rsid w:val="00507D5D"/>
    <w:rsid w:val="0051016E"/>
    <w:rsid w:val="00511A30"/>
    <w:rsid w:val="00512DCC"/>
    <w:rsid w:val="00512F22"/>
    <w:rsid w:val="005140E4"/>
    <w:rsid w:val="00514343"/>
    <w:rsid w:val="00514426"/>
    <w:rsid w:val="00515DEC"/>
    <w:rsid w:val="00516603"/>
    <w:rsid w:val="005166F9"/>
    <w:rsid w:val="005167B1"/>
    <w:rsid w:val="00516971"/>
    <w:rsid w:val="00517A46"/>
    <w:rsid w:val="00517D20"/>
    <w:rsid w:val="00520763"/>
    <w:rsid w:val="00520E25"/>
    <w:rsid w:val="005215EE"/>
    <w:rsid w:val="00521F15"/>
    <w:rsid w:val="00522599"/>
    <w:rsid w:val="00522F5F"/>
    <w:rsid w:val="005248B9"/>
    <w:rsid w:val="005255D3"/>
    <w:rsid w:val="00525C4F"/>
    <w:rsid w:val="00526446"/>
    <w:rsid w:val="00527495"/>
    <w:rsid w:val="005278AD"/>
    <w:rsid w:val="00527E7A"/>
    <w:rsid w:val="00531594"/>
    <w:rsid w:val="005328F6"/>
    <w:rsid w:val="005329C9"/>
    <w:rsid w:val="00537E2C"/>
    <w:rsid w:val="00540208"/>
    <w:rsid w:val="00542797"/>
    <w:rsid w:val="00542B3A"/>
    <w:rsid w:val="00544471"/>
    <w:rsid w:val="00544ADC"/>
    <w:rsid w:val="00544B9C"/>
    <w:rsid w:val="00544E13"/>
    <w:rsid w:val="00544EC9"/>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120"/>
    <w:rsid w:val="0056555A"/>
    <w:rsid w:val="005669D6"/>
    <w:rsid w:val="0056788F"/>
    <w:rsid w:val="00567998"/>
    <w:rsid w:val="00571CB9"/>
    <w:rsid w:val="00573BC6"/>
    <w:rsid w:val="005759CD"/>
    <w:rsid w:val="00575D39"/>
    <w:rsid w:val="00575F2C"/>
    <w:rsid w:val="00577884"/>
    <w:rsid w:val="00581C0F"/>
    <w:rsid w:val="005821F9"/>
    <w:rsid w:val="00582919"/>
    <w:rsid w:val="0058352F"/>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4648"/>
    <w:rsid w:val="005A60E1"/>
    <w:rsid w:val="005A6788"/>
    <w:rsid w:val="005A786F"/>
    <w:rsid w:val="005B1070"/>
    <w:rsid w:val="005B169C"/>
    <w:rsid w:val="005B18FF"/>
    <w:rsid w:val="005B2DD1"/>
    <w:rsid w:val="005B3A49"/>
    <w:rsid w:val="005B45E8"/>
    <w:rsid w:val="005B6ADF"/>
    <w:rsid w:val="005B773D"/>
    <w:rsid w:val="005B7C5D"/>
    <w:rsid w:val="005C02B5"/>
    <w:rsid w:val="005C0821"/>
    <w:rsid w:val="005C12F7"/>
    <w:rsid w:val="005C1A74"/>
    <w:rsid w:val="005C287E"/>
    <w:rsid w:val="005C3294"/>
    <w:rsid w:val="005C347F"/>
    <w:rsid w:val="005C3B63"/>
    <w:rsid w:val="005C450C"/>
    <w:rsid w:val="005C518A"/>
    <w:rsid w:val="005C6961"/>
    <w:rsid w:val="005C6F55"/>
    <w:rsid w:val="005D0EB4"/>
    <w:rsid w:val="005D18A6"/>
    <w:rsid w:val="005D27DD"/>
    <w:rsid w:val="005D3493"/>
    <w:rsid w:val="005D463F"/>
    <w:rsid w:val="005D622E"/>
    <w:rsid w:val="005D6617"/>
    <w:rsid w:val="005D6FF0"/>
    <w:rsid w:val="005E11D5"/>
    <w:rsid w:val="005E1B74"/>
    <w:rsid w:val="005E34D4"/>
    <w:rsid w:val="005E3716"/>
    <w:rsid w:val="005E3AE2"/>
    <w:rsid w:val="005E3FDE"/>
    <w:rsid w:val="005E55F2"/>
    <w:rsid w:val="005E68FC"/>
    <w:rsid w:val="005E7271"/>
    <w:rsid w:val="005E7CC9"/>
    <w:rsid w:val="005F0007"/>
    <w:rsid w:val="005F0E6C"/>
    <w:rsid w:val="005F1362"/>
    <w:rsid w:val="005F1BAD"/>
    <w:rsid w:val="005F2649"/>
    <w:rsid w:val="005F487C"/>
    <w:rsid w:val="005F53A4"/>
    <w:rsid w:val="005F5FE1"/>
    <w:rsid w:val="005F6115"/>
    <w:rsid w:val="005F62B2"/>
    <w:rsid w:val="005F715E"/>
    <w:rsid w:val="005F757D"/>
    <w:rsid w:val="006010DA"/>
    <w:rsid w:val="006017AB"/>
    <w:rsid w:val="00604AC3"/>
    <w:rsid w:val="00605264"/>
    <w:rsid w:val="00605865"/>
    <w:rsid w:val="00611DC1"/>
    <w:rsid w:val="006128BB"/>
    <w:rsid w:val="00613655"/>
    <w:rsid w:val="006144EE"/>
    <w:rsid w:val="00617125"/>
    <w:rsid w:val="00617813"/>
    <w:rsid w:val="00617ADD"/>
    <w:rsid w:val="006206CC"/>
    <w:rsid w:val="00622B06"/>
    <w:rsid w:val="00624425"/>
    <w:rsid w:val="006257C2"/>
    <w:rsid w:val="00627163"/>
    <w:rsid w:val="00627DB0"/>
    <w:rsid w:val="0063034E"/>
    <w:rsid w:val="00630B0D"/>
    <w:rsid w:val="006328BA"/>
    <w:rsid w:val="00634476"/>
    <w:rsid w:val="00636E0D"/>
    <w:rsid w:val="00637475"/>
    <w:rsid w:val="0064393B"/>
    <w:rsid w:val="006439A1"/>
    <w:rsid w:val="00644375"/>
    <w:rsid w:val="00644A5C"/>
    <w:rsid w:val="00644F1E"/>
    <w:rsid w:val="00646A08"/>
    <w:rsid w:val="00650392"/>
    <w:rsid w:val="00650482"/>
    <w:rsid w:val="0065061D"/>
    <w:rsid w:val="00651701"/>
    <w:rsid w:val="00655146"/>
    <w:rsid w:val="0065715E"/>
    <w:rsid w:val="00657670"/>
    <w:rsid w:val="00657DBF"/>
    <w:rsid w:val="00657DE0"/>
    <w:rsid w:val="00657E79"/>
    <w:rsid w:val="00662C69"/>
    <w:rsid w:val="00662FA1"/>
    <w:rsid w:val="006633C0"/>
    <w:rsid w:val="00663470"/>
    <w:rsid w:val="00663CC7"/>
    <w:rsid w:val="0066458B"/>
    <w:rsid w:val="00664805"/>
    <w:rsid w:val="00664FB5"/>
    <w:rsid w:val="006674A0"/>
    <w:rsid w:val="00670956"/>
    <w:rsid w:val="006718FB"/>
    <w:rsid w:val="006720F3"/>
    <w:rsid w:val="00672744"/>
    <w:rsid w:val="00672F6F"/>
    <w:rsid w:val="00673695"/>
    <w:rsid w:val="00673DB5"/>
    <w:rsid w:val="00674701"/>
    <w:rsid w:val="00674A46"/>
    <w:rsid w:val="006752B0"/>
    <w:rsid w:val="00675F80"/>
    <w:rsid w:val="00676959"/>
    <w:rsid w:val="00676C6B"/>
    <w:rsid w:val="00677358"/>
    <w:rsid w:val="00680F25"/>
    <w:rsid w:val="00682297"/>
    <w:rsid w:val="00682566"/>
    <w:rsid w:val="006842C0"/>
    <w:rsid w:val="006848D3"/>
    <w:rsid w:val="00685689"/>
    <w:rsid w:val="0068594B"/>
    <w:rsid w:val="00686B04"/>
    <w:rsid w:val="00687CAD"/>
    <w:rsid w:val="006901FA"/>
    <w:rsid w:val="006904D3"/>
    <w:rsid w:val="00690ED0"/>
    <w:rsid w:val="0069270E"/>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5FEE"/>
    <w:rsid w:val="006B65D4"/>
    <w:rsid w:val="006B7A58"/>
    <w:rsid w:val="006C26B3"/>
    <w:rsid w:val="006C2FEE"/>
    <w:rsid w:val="006C50B1"/>
    <w:rsid w:val="006C50C2"/>
    <w:rsid w:val="006C563A"/>
    <w:rsid w:val="006C6C8C"/>
    <w:rsid w:val="006C6E1A"/>
    <w:rsid w:val="006D20DB"/>
    <w:rsid w:val="006D24C4"/>
    <w:rsid w:val="006D27EF"/>
    <w:rsid w:val="006D425C"/>
    <w:rsid w:val="006D52D1"/>
    <w:rsid w:val="006D57BB"/>
    <w:rsid w:val="006D72D6"/>
    <w:rsid w:val="006D77A2"/>
    <w:rsid w:val="006D7F18"/>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67CD"/>
    <w:rsid w:val="00707096"/>
    <w:rsid w:val="007127BB"/>
    <w:rsid w:val="007136BC"/>
    <w:rsid w:val="007138C9"/>
    <w:rsid w:val="00714576"/>
    <w:rsid w:val="00714FEC"/>
    <w:rsid w:val="00715A04"/>
    <w:rsid w:val="00715B7D"/>
    <w:rsid w:val="0071687D"/>
    <w:rsid w:val="00716EC8"/>
    <w:rsid w:val="00721335"/>
    <w:rsid w:val="00721924"/>
    <w:rsid w:val="00721F66"/>
    <w:rsid w:val="00722B93"/>
    <w:rsid w:val="0072445A"/>
    <w:rsid w:val="00727EF0"/>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15"/>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C95"/>
    <w:rsid w:val="00774A5F"/>
    <w:rsid w:val="00774DFD"/>
    <w:rsid w:val="007753FA"/>
    <w:rsid w:val="0077544D"/>
    <w:rsid w:val="00775D67"/>
    <w:rsid w:val="00776C78"/>
    <w:rsid w:val="007779E6"/>
    <w:rsid w:val="0078079A"/>
    <w:rsid w:val="007808F7"/>
    <w:rsid w:val="0078249C"/>
    <w:rsid w:val="00782B84"/>
    <w:rsid w:val="00784461"/>
    <w:rsid w:val="007846FC"/>
    <w:rsid w:val="00784AA0"/>
    <w:rsid w:val="00784F3D"/>
    <w:rsid w:val="00785321"/>
    <w:rsid w:val="00785E63"/>
    <w:rsid w:val="007860B9"/>
    <w:rsid w:val="00786DD5"/>
    <w:rsid w:val="00787184"/>
    <w:rsid w:val="00790318"/>
    <w:rsid w:val="007914E4"/>
    <w:rsid w:val="00791E58"/>
    <w:rsid w:val="00794C2B"/>
    <w:rsid w:val="00794F7E"/>
    <w:rsid w:val="0079670F"/>
    <w:rsid w:val="007A0692"/>
    <w:rsid w:val="007A082B"/>
    <w:rsid w:val="007A0A0E"/>
    <w:rsid w:val="007A1303"/>
    <w:rsid w:val="007A1B16"/>
    <w:rsid w:val="007A2C90"/>
    <w:rsid w:val="007A4419"/>
    <w:rsid w:val="007A65E0"/>
    <w:rsid w:val="007A70B9"/>
    <w:rsid w:val="007A729D"/>
    <w:rsid w:val="007A7602"/>
    <w:rsid w:val="007A7A58"/>
    <w:rsid w:val="007A7E06"/>
    <w:rsid w:val="007B02B9"/>
    <w:rsid w:val="007B03D8"/>
    <w:rsid w:val="007B1A87"/>
    <w:rsid w:val="007B1AED"/>
    <w:rsid w:val="007B233D"/>
    <w:rsid w:val="007B2497"/>
    <w:rsid w:val="007B2587"/>
    <w:rsid w:val="007B26B2"/>
    <w:rsid w:val="007B30F3"/>
    <w:rsid w:val="007B504F"/>
    <w:rsid w:val="007B5AF0"/>
    <w:rsid w:val="007B6317"/>
    <w:rsid w:val="007B694D"/>
    <w:rsid w:val="007B79A9"/>
    <w:rsid w:val="007C0013"/>
    <w:rsid w:val="007C0CBC"/>
    <w:rsid w:val="007C165C"/>
    <w:rsid w:val="007C255D"/>
    <w:rsid w:val="007C37D2"/>
    <w:rsid w:val="007C3985"/>
    <w:rsid w:val="007C6110"/>
    <w:rsid w:val="007C6AE2"/>
    <w:rsid w:val="007C7154"/>
    <w:rsid w:val="007C7D43"/>
    <w:rsid w:val="007D0C01"/>
    <w:rsid w:val="007D19A8"/>
    <w:rsid w:val="007D1BDB"/>
    <w:rsid w:val="007D26D2"/>
    <w:rsid w:val="007D299B"/>
    <w:rsid w:val="007D3FBD"/>
    <w:rsid w:val="007D49A0"/>
    <w:rsid w:val="007D7EF3"/>
    <w:rsid w:val="007E0553"/>
    <w:rsid w:val="007E1992"/>
    <w:rsid w:val="007E2870"/>
    <w:rsid w:val="007E3C84"/>
    <w:rsid w:val="007E4E38"/>
    <w:rsid w:val="007E5125"/>
    <w:rsid w:val="007E5DB4"/>
    <w:rsid w:val="007E6334"/>
    <w:rsid w:val="007E64B6"/>
    <w:rsid w:val="007E6DB5"/>
    <w:rsid w:val="007E72DF"/>
    <w:rsid w:val="007F0617"/>
    <w:rsid w:val="007F313E"/>
    <w:rsid w:val="007F372C"/>
    <w:rsid w:val="007F3993"/>
    <w:rsid w:val="007F3A5A"/>
    <w:rsid w:val="007F5AD6"/>
    <w:rsid w:val="007F69C4"/>
    <w:rsid w:val="007F6F57"/>
    <w:rsid w:val="007F729E"/>
    <w:rsid w:val="00800E69"/>
    <w:rsid w:val="00800EFF"/>
    <w:rsid w:val="00802BFE"/>
    <w:rsid w:val="00803827"/>
    <w:rsid w:val="0080391F"/>
    <w:rsid w:val="008039C2"/>
    <w:rsid w:val="008046E4"/>
    <w:rsid w:val="00804992"/>
    <w:rsid w:val="00804D8D"/>
    <w:rsid w:val="008055FF"/>
    <w:rsid w:val="00806782"/>
    <w:rsid w:val="00810302"/>
    <w:rsid w:val="00810F94"/>
    <w:rsid w:val="008118AF"/>
    <w:rsid w:val="008144D3"/>
    <w:rsid w:val="00814A17"/>
    <w:rsid w:val="008167F5"/>
    <w:rsid w:val="00816EAC"/>
    <w:rsid w:val="0081746D"/>
    <w:rsid w:val="00817695"/>
    <w:rsid w:val="0081794B"/>
    <w:rsid w:val="00817D8E"/>
    <w:rsid w:val="008200A3"/>
    <w:rsid w:val="00820BF2"/>
    <w:rsid w:val="00824C4E"/>
    <w:rsid w:val="00824F71"/>
    <w:rsid w:val="0082541C"/>
    <w:rsid w:val="00826125"/>
    <w:rsid w:val="00826F38"/>
    <w:rsid w:val="00830D70"/>
    <w:rsid w:val="00831969"/>
    <w:rsid w:val="00833CE6"/>
    <w:rsid w:val="00833E4C"/>
    <w:rsid w:val="00834316"/>
    <w:rsid w:val="0083544D"/>
    <w:rsid w:val="00836224"/>
    <w:rsid w:val="008374E9"/>
    <w:rsid w:val="008376CD"/>
    <w:rsid w:val="00837BE4"/>
    <w:rsid w:val="00837EA5"/>
    <w:rsid w:val="00840559"/>
    <w:rsid w:val="00843153"/>
    <w:rsid w:val="008433C1"/>
    <w:rsid w:val="00843908"/>
    <w:rsid w:val="008443E1"/>
    <w:rsid w:val="0084592F"/>
    <w:rsid w:val="00845BB3"/>
    <w:rsid w:val="00845D12"/>
    <w:rsid w:val="00846713"/>
    <w:rsid w:val="00846D48"/>
    <w:rsid w:val="008473FA"/>
    <w:rsid w:val="00847830"/>
    <w:rsid w:val="00851A81"/>
    <w:rsid w:val="00851F4C"/>
    <w:rsid w:val="0085224B"/>
    <w:rsid w:val="008523BA"/>
    <w:rsid w:val="00852B26"/>
    <w:rsid w:val="00852CEE"/>
    <w:rsid w:val="00853424"/>
    <w:rsid w:val="00853F9E"/>
    <w:rsid w:val="0085480B"/>
    <w:rsid w:val="00855985"/>
    <w:rsid w:val="008560F4"/>
    <w:rsid w:val="008568B1"/>
    <w:rsid w:val="008570EB"/>
    <w:rsid w:val="00860A1E"/>
    <w:rsid w:val="00861622"/>
    <w:rsid w:val="00863125"/>
    <w:rsid w:val="008662C0"/>
    <w:rsid w:val="008705E1"/>
    <w:rsid w:val="0087153F"/>
    <w:rsid w:val="00872938"/>
    <w:rsid w:val="00873ABF"/>
    <w:rsid w:val="0087459A"/>
    <w:rsid w:val="00875167"/>
    <w:rsid w:val="00875DF8"/>
    <w:rsid w:val="008764F2"/>
    <w:rsid w:val="008765E3"/>
    <w:rsid w:val="00876DCE"/>
    <w:rsid w:val="00876FBF"/>
    <w:rsid w:val="00881572"/>
    <w:rsid w:val="00882FEA"/>
    <w:rsid w:val="0088320F"/>
    <w:rsid w:val="00883450"/>
    <w:rsid w:val="0088398C"/>
    <w:rsid w:val="00885A71"/>
    <w:rsid w:val="00885C6E"/>
    <w:rsid w:val="00886111"/>
    <w:rsid w:val="00886AF2"/>
    <w:rsid w:val="0088743F"/>
    <w:rsid w:val="0089067B"/>
    <w:rsid w:val="00890700"/>
    <w:rsid w:val="00892AB9"/>
    <w:rsid w:val="00893857"/>
    <w:rsid w:val="0089412A"/>
    <w:rsid w:val="00895335"/>
    <w:rsid w:val="00895536"/>
    <w:rsid w:val="008965EF"/>
    <w:rsid w:val="00896AD4"/>
    <w:rsid w:val="00897752"/>
    <w:rsid w:val="008A23D8"/>
    <w:rsid w:val="008A2811"/>
    <w:rsid w:val="008A3FC8"/>
    <w:rsid w:val="008A40DD"/>
    <w:rsid w:val="008A4C3C"/>
    <w:rsid w:val="008A52F3"/>
    <w:rsid w:val="008A5456"/>
    <w:rsid w:val="008A6327"/>
    <w:rsid w:val="008A6A4E"/>
    <w:rsid w:val="008A7536"/>
    <w:rsid w:val="008A7F7D"/>
    <w:rsid w:val="008B1A5A"/>
    <w:rsid w:val="008B2C38"/>
    <w:rsid w:val="008B368B"/>
    <w:rsid w:val="008B382F"/>
    <w:rsid w:val="008B38BC"/>
    <w:rsid w:val="008B4590"/>
    <w:rsid w:val="008B56B8"/>
    <w:rsid w:val="008B5AB4"/>
    <w:rsid w:val="008B66A6"/>
    <w:rsid w:val="008B6849"/>
    <w:rsid w:val="008B7FFE"/>
    <w:rsid w:val="008C0446"/>
    <w:rsid w:val="008C0FAA"/>
    <w:rsid w:val="008C2B3C"/>
    <w:rsid w:val="008C41A7"/>
    <w:rsid w:val="008C4571"/>
    <w:rsid w:val="008C5D46"/>
    <w:rsid w:val="008C6F34"/>
    <w:rsid w:val="008C7108"/>
    <w:rsid w:val="008C75C8"/>
    <w:rsid w:val="008D02A3"/>
    <w:rsid w:val="008D062E"/>
    <w:rsid w:val="008D2045"/>
    <w:rsid w:val="008D22D8"/>
    <w:rsid w:val="008D259C"/>
    <w:rsid w:val="008D2BCD"/>
    <w:rsid w:val="008D406E"/>
    <w:rsid w:val="008D4E99"/>
    <w:rsid w:val="008D5066"/>
    <w:rsid w:val="008D5A97"/>
    <w:rsid w:val="008D6697"/>
    <w:rsid w:val="008D728C"/>
    <w:rsid w:val="008E0578"/>
    <w:rsid w:val="008E0674"/>
    <w:rsid w:val="008E11CC"/>
    <w:rsid w:val="008E1B8F"/>
    <w:rsid w:val="008E2B17"/>
    <w:rsid w:val="008E2EFC"/>
    <w:rsid w:val="008E3AE8"/>
    <w:rsid w:val="008E3B3C"/>
    <w:rsid w:val="008E3C82"/>
    <w:rsid w:val="008E3E12"/>
    <w:rsid w:val="008E4DCD"/>
    <w:rsid w:val="008E5767"/>
    <w:rsid w:val="008E580D"/>
    <w:rsid w:val="008F12E6"/>
    <w:rsid w:val="008F1558"/>
    <w:rsid w:val="008F1EA5"/>
    <w:rsid w:val="008F2B44"/>
    <w:rsid w:val="008F5927"/>
    <w:rsid w:val="008F5EE7"/>
    <w:rsid w:val="008F5F96"/>
    <w:rsid w:val="008F7752"/>
    <w:rsid w:val="0090174A"/>
    <w:rsid w:val="00902E52"/>
    <w:rsid w:val="009036B3"/>
    <w:rsid w:val="00906061"/>
    <w:rsid w:val="0090620F"/>
    <w:rsid w:val="009071FE"/>
    <w:rsid w:val="00907761"/>
    <w:rsid w:val="00907A46"/>
    <w:rsid w:val="00910076"/>
    <w:rsid w:val="0091242A"/>
    <w:rsid w:val="00912E53"/>
    <w:rsid w:val="0091395C"/>
    <w:rsid w:val="00913AA4"/>
    <w:rsid w:val="00914DC7"/>
    <w:rsid w:val="00915778"/>
    <w:rsid w:val="00915F27"/>
    <w:rsid w:val="009163BF"/>
    <w:rsid w:val="009164DD"/>
    <w:rsid w:val="009205EE"/>
    <w:rsid w:val="009210C9"/>
    <w:rsid w:val="00922ADE"/>
    <w:rsid w:val="0092310A"/>
    <w:rsid w:val="00924D84"/>
    <w:rsid w:val="00925C68"/>
    <w:rsid w:val="009315B0"/>
    <w:rsid w:val="009316E9"/>
    <w:rsid w:val="00931C93"/>
    <w:rsid w:val="00931EE2"/>
    <w:rsid w:val="00931FD8"/>
    <w:rsid w:val="0093282F"/>
    <w:rsid w:val="0093416D"/>
    <w:rsid w:val="00934704"/>
    <w:rsid w:val="0093652D"/>
    <w:rsid w:val="00937309"/>
    <w:rsid w:val="00937D66"/>
    <w:rsid w:val="0094065A"/>
    <w:rsid w:val="00940FE2"/>
    <w:rsid w:val="00943E62"/>
    <w:rsid w:val="00943FB9"/>
    <w:rsid w:val="009444BB"/>
    <w:rsid w:val="00945A61"/>
    <w:rsid w:val="00950154"/>
    <w:rsid w:val="00950C6E"/>
    <w:rsid w:val="00951ECA"/>
    <w:rsid w:val="00953054"/>
    <w:rsid w:val="009531D6"/>
    <w:rsid w:val="00953610"/>
    <w:rsid w:val="0095382C"/>
    <w:rsid w:val="00953B03"/>
    <w:rsid w:val="009548C1"/>
    <w:rsid w:val="00956219"/>
    <w:rsid w:val="009563A5"/>
    <w:rsid w:val="00956868"/>
    <w:rsid w:val="00956DD6"/>
    <w:rsid w:val="009572EE"/>
    <w:rsid w:val="0095765F"/>
    <w:rsid w:val="009606E6"/>
    <w:rsid w:val="009609D2"/>
    <w:rsid w:val="00960CFA"/>
    <w:rsid w:val="00961B36"/>
    <w:rsid w:val="0096234B"/>
    <w:rsid w:val="00962F40"/>
    <w:rsid w:val="00963968"/>
    <w:rsid w:val="009670E9"/>
    <w:rsid w:val="00970F70"/>
    <w:rsid w:val="00971056"/>
    <w:rsid w:val="0097210F"/>
    <w:rsid w:val="0097252B"/>
    <w:rsid w:val="00972668"/>
    <w:rsid w:val="009727B4"/>
    <w:rsid w:val="00972C36"/>
    <w:rsid w:val="00972DF8"/>
    <w:rsid w:val="00974A97"/>
    <w:rsid w:val="009750AA"/>
    <w:rsid w:val="00977D37"/>
    <w:rsid w:val="009813EA"/>
    <w:rsid w:val="009830D3"/>
    <w:rsid w:val="00983B8F"/>
    <w:rsid w:val="0098595E"/>
    <w:rsid w:val="00986073"/>
    <w:rsid w:val="00990EE2"/>
    <w:rsid w:val="009916D2"/>
    <w:rsid w:val="009917E9"/>
    <w:rsid w:val="009918B7"/>
    <w:rsid w:val="009918C6"/>
    <w:rsid w:val="0099229C"/>
    <w:rsid w:val="00993234"/>
    <w:rsid w:val="00994E5F"/>
    <w:rsid w:val="009959DB"/>
    <w:rsid w:val="00995C9F"/>
    <w:rsid w:val="0099752D"/>
    <w:rsid w:val="00997C2A"/>
    <w:rsid w:val="009A0358"/>
    <w:rsid w:val="009A0461"/>
    <w:rsid w:val="009A0E2A"/>
    <w:rsid w:val="009A131D"/>
    <w:rsid w:val="009A1BA6"/>
    <w:rsid w:val="009A28A2"/>
    <w:rsid w:val="009A5191"/>
    <w:rsid w:val="009A593A"/>
    <w:rsid w:val="009A5FBB"/>
    <w:rsid w:val="009B0F5C"/>
    <w:rsid w:val="009B11D6"/>
    <w:rsid w:val="009B2117"/>
    <w:rsid w:val="009B2EE9"/>
    <w:rsid w:val="009B3771"/>
    <w:rsid w:val="009B42BD"/>
    <w:rsid w:val="009B4864"/>
    <w:rsid w:val="009B5504"/>
    <w:rsid w:val="009B5D1A"/>
    <w:rsid w:val="009B649B"/>
    <w:rsid w:val="009B6F16"/>
    <w:rsid w:val="009C0940"/>
    <w:rsid w:val="009C0950"/>
    <w:rsid w:val="009C1D99"/>
    <w:rsid w:val="009C1F8B"/>
    <w:rsid w:val="009C20A8"/>
    <w:rsid w:val="009C5057"/>
    <w:rsid w:val="009C7585"/>
    <w:rsid w:val="009D0BE4"/>
    <w:rsid w:val="009D1378"/>
    <w:rsid w:val="009D1780"/>
    <w:rsid w:val="009D2384"/>
    <w:rsid w:val="009D3240"/>
    <w:rsid w:val="009D3455"/>
    <w:rsid w:val="009D3A6E"/>
    <w:rsid w:val="009D61D9"/>
    <w:rsid w:val="009D624D"/>
    <w:rsid w:val="009D653A"/>
    <w:rsid w:val="009D6AD5"/>
    <w:rsid w:val="009E0A2F"/>
    <w:rsid w:val="009E0AB4"/>
    <w:rsid w:val="009E10C7"/>
    <w:rsid w:val="009E1F1C"/>
    <w:rsid w:val="009E360A"/>
    <w:rsid w:val="009E364B"/>
    <w:rsid w:val="009E38A4"/>
    <w:rsid w:val="009E3D82"/>
    <w:rsid w:val="009E4942"/>
    <w:rsid w:val="009E63B2"/>
    <w:rsid w:val="009E6E48"/>
    <w:rsid w:val="009F0B67"/>
    <w:rsid w:val="009F1566"/>
    <w:rsid w:val="009F1E4B"/>
    <w:rsid w:val="009F307E"/>
    <w:rsid w:val="009F37D5"/>
    <w:rsid w:val="009F3818"/>
    <w:rsid w:val="009F50DE"/>
    <w:rsid w:val="009F541E"/>
    <w:rsid w:val="009F5F3E"/>
    <w:rsid w:val="009F6D34"/>
    <w:rsid w:val="009F74A2"/>
    <w:rsid w:val="009F75DB"/>
    <w:rsid w:val="009F76ED"/>
    <w:rsid w:val="009F7BB0"/>
    <w:rsid w:val="009F7BEF"/>
    <w:rsid w:val="00A0179F"/>
    <w:rsid w:val="00A01B7D"/>
    <w:rsid w:val="00A036C5"/>
    <w:rsid w:val="00A03AD2"/>
    <w:rsid w:val="00A05600"/>
    <w:rsid w:val="00A05DA0"/>
    <w:rsid w:val="00A073A0"/>
    <w:rsid w:val="00A07D84"/>
    <w:rsid w:val="00A10336"/>
    <w:rsid w:val="00A10CE2"/>
    <w:rsid w:val="00A12AAE"/>
    <w:rsid w:val="00A13703"/>
    <w:rsid w:val="00A13811"/>
    <w:rsid w:val="00A15C42"/>
    <w:rsid w:val="00A16D60"/>
    <w:rsid w:val="00A16DF1"/>
    <w:rsid w:val="00A17302"/>
    <w:rsid w:val="00A17A17"/>
    <w:rsid w:val="00A20B1F"/>
    <w:rsid w:val="00A21050"/>
    <w:rsid w:val="00A21410"/>
    <w:rsid w:val="00A235D0"/>
    <w:rsid w:val="00A238CD"/>
    <w:rsid w:val="00A24131"/>
    <w:rsid w:val="00A27A7F"/>
    <w:rsid w:val="00A30FAB"/>
    <w:rsid w:val="00A3273C"/>
    <w:rsid w:val="00A3276A"/>
    <w:rsid w:val="00A33754"/>
    <w:rsid w:val="00A349D2"/>
    <w:rsid w:val="00A34C05"/>
    <w:rsid w:val="00A35492"/>
    <w:rsid w:val="00A4044E"/>
    <w:rsid w:val="00A40535"/>
    <w:rsid w:val="00A4127F"/>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57ECD"/>
    <w:rsid w:val="00A62B7B"/>
    <w:rsid w:val="00A647D0"/>
    <w:rsid w:val="00A66AE9"/>
    <w:rsid w:val="00A67428"/>
    <w:rsid w:val="00A70CF3"/>
    <w:rsid w:val="00A7155E"/>
    <w:rsid w:val="00A74EDE"/>
    <w:rsid w:val="00A763AE"/>
    <w:rsid w:val="00A76619"/>
    <w:rsid w:val="00A766D5"/>
    <w:rsid w:val="00A76B0D"/>
    <w:rsid w:val="00A80223"/>
    <w:rsid w:val="00A816EE"/>
    <w:rsid w:val="00A81AB5"/>
    <w:rsid w:val="00A8209E"/>
    <w:rsid w:val="00A82724"/>
    <w:rsid w:val="00A82C5A"/>
    <w:rsid w:val="00A83FF6"/>
    <w:rsid w:val="00A85CB7"/>
    <w:rsid w:val="00A8620F"/>
    <w:rsid w:val="00A8652F"/>
    <w:rsid w:val="00A86AAB"/>
    <w:rsid w:val="00A86D49"/>
    <w:rsid w:val="00A86DC6"/>
    <w:rsid w:val="00A8769A"/>
    <w:rsid w:val="00A87B22"/>
    <w:rsid w:val="00A90FF4"/>
    <w:rsid w:val="00A92E9F"/>
    <w:rsid w:val="00A92EC0"/>
    <w:rsid w:val="00A92EED"/>
    <w:rsid w:val="00A94100"/>
    <w:rsid w:val="00A975D5"/>
    <w:rsid w:val="00A9772B"/>
    <w:rsid w:val="00AA0660"/>
    <w:rsid w:val="00AA1409"/>
    <w:rsid w:val="00AA264F"/>
    <w:rsid w:val="00AA3875"/>
    <w:rsid w:val="00AA404A"/>
    <w:rsid w:val="00AA40DC"/>
    <w:rsid w:val="00AA4AC9"/>
    <w:rsid w:val="00AA6228"/>
    <w:rsid w:val="00AA69A4"/>
    <w:rsid w:val="00AA7CB9"/>
    <w:rsid w:val="00AB1131"/>
    <w:rsid w:val="00AB1B91"/>
    <w:rsid w:val="00AB2744"/>
    <w:rsid w:val="00AB274F"/>
    <w:rsid w:val="00AB5F30"/>
    <w:rsid w:val="00AB61E4"/>
    <w:rsid w:val="00AB6BE3"/>
    <w:rsid w:val="00AB6D1C"/>
    <w:rsid w:val="00AB7AAA"/>
    <w:rsid w:val="00AC0F85"/>
    <w:rsid w:val="00AC2197"/>
    <w:rsid w:val="00AC2C9D"/>
    <w:rsid w:val="00AC37C3"/>
    <w:rsid w:val="00AC3E65"/>
    <w:rsid w:val="00AC535B"/>
    <w:rsid w:val="00AC5F6A"/>
    <w:rsid w:val="00AD0B3C"/>
    <w:rsid w:val="00AD0FC3"/>
    <w:rsid w:val="00AD1CC0"/>
    <w:rsid w:val="00AD22B5"/>
    <w:rsid w:val="00AD2718"/>
    <w:rsid w:val="00AD33D3"/>
    <w:rsid w:val="00AD3DB4"/>
    <w:rsid w:val="00AD471B"/>
    <w:rsid w:val="00AD5133"/>
    <w:rsid w:val="00AD531A"/>
    <w:rsid w:val="00AD5712"/>
    <w:rsid w:val="00AD6A6E"/>
    <w:rsid w:val="00AD6AC5"/>
    <w:rsid w:val="00AD76A1"/>
    <w:rsid w:val="00AE48E8"/>
    <w:rsid w:val="00AE7D9E"/>
    <w:rsid w:val="00AE7F20"/>
    <w:rsid w:val="00AF0E7C"/>
    <w:rsid w:val="00AF1F04"/>
    <w:rsid w:val="00AF3B55"/>
    <w:rsid w:val="00AF3D59"/>
    <w:rsid w:val="00AF6794"/>
    <w:rsid w:val="00AF6F48"/>
    <w:rsid w:val="00AF717E"/>
    <w:rsid w:val="00AF7507"/>
    <w:rsid w:val="00B00F90"/>
    <w:rsid w:val="00B016F7"/>
    <w:rsid w:val="00B02BDD"/>
    <w:rsid w:val="00B03C6F"/>
    <w:rsid w:val="00B04470"/>
    <w:rsid w:val="00B04E10"/>
    <w:rsid w:val="00B055B9"/>
    <w:rsid w:val="00B06783"/>
    <w:rsid w:val="00B13243"/>
    <w:rsid w:val="00B13511"/>
    <w:rsid w:val="00B13D85"/>
    <w:rsid w:val="00B16296"/>
    <w:rsid w:val="00B16CC7"/>
    <w:rsid w:val="00B1786A"/>
    <w:rsid w:val="00B206D8"/>
    <w:rsid w:val="00B20C75"/>
    <w:rsid w:val="00B230E5"/>
    <w:rsid w:val="00B23E88"/>
    <w:rsid w:val="00B267A4"/>
    <w:rsid w:val="00B312C7"/>
    <w:rsid w:val="00B3153E"/>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66C6"/>
    <w:rsid w:val="00B47889"/>
    <w:rsid w:val="00B47D0D"/>
    <w:rsid w:val="00B52B7D"/>
    <w:rsid w:val="00B531D2"/>
    <w:rsid w:val="00B537D8"/>
    <w:rsid w:val="00B53CCA"/>
    <w:rsid w:val="00B54397"/>
    <w:rsid w:val="00B54441"/>
    <w:rsid w:val="00B54A5F"/>
    <w:rsid w:val="00B560C2"/>
    <w:rsid w:val="00B56409"/>
    <w:rsid w:val="00B56F9B"/>
    <w:rsid w:val="00B57F54"/>
    <w:rsid w:val="00B64099"/>
    <w:rsid w:val="00B643D6"/>
    <w:rsid w:val="00B64919"/>
    <w:rsid w:val="00B667C6"/>
    <w:rsid w:val="00B66BC8"/>
    <w:rsid w:val="00B70790"/>
    <w:rsid w:val="00B71F08"/>
    <w:rsid w:val="00B73838"/>
    <w:rsid w:val="00B7421A"/>
    <w:rsid w:val="00B74366"/>
    <w:rsid w:val="00B75F20"/>
    <w:rsid w:val="00B762FD"/>
    <w:rsid w:val="00B7759A"/>
    <w:rsid w:val="00B808A4"/>
    <w:rsid w:val="00B80F86"/>
    <w:rsid w:val="00B81371"/>
    <w:rsid w:val="00B818B8"/>
    <w:rsid w:val="00B83E2E"/>
    <w:rsid w:val="00B855AA"/>
    <w:rsid w:val="00B869B5"/>
    <w:rsid w:val="00B8710D"/>
    <w:rsid w:val="00B8780A"/>
    <w:rsid w:val="00B902E7"/>
    <w:rsid w:val="00B91CB8"/>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3A7"/>
    <w:rsid w:val="00BC0CE4"/>
    <w:rsid w:val="00BC22CD"/>
    <w:rsid w:val="00BC260A"/>
    <w:rsid w:val="00BC30BF"/>
    <w:rsid w:val="00BC3150"/>
    <w:rsid w:val="00BC4307"/>
    <w:rsid w:val="00BC4818"/>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3122"/>
    <w:rsid w:val="00C04666"/>
    <w:rsid w:val="00C04D22"/>
    <w:rsid w:val="00C06C02"/>
    <w:rsid w:val="00C11482"/>
    <w:rsid w:val="00C11788"/>
    <w:rsid w:val="00C11C60"/>
    <w:rsid w:val="00C1254E"/>
    <w:rsid w:val="00C12E38"/>
    <w:rsid w:val="00C149D8"/>
    <w:rsid w:val="00C14CDF"/>
    <w:rsid w:val="00C150E0"/>
    <w:rsid w:val="00C150F6"/>
    <w:rsid w:val="00C15F97"/>
    <w:rsid w:val="00C16762"/>
    <w:rsid w:val="00C16DAC"/>
    <w:rsid w:val="00C17637"/>
    <w:rsid w:val="00C179FC"/>
    <w:rsid w:val="00C20368"/>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3EF"/>
    <w:rsid w:val="00C37421"/>
    <w:rsid w:val="00C40AF1"/>
    <w:rsid w:val="00C41015"/>
    <w:rsid w:val="00C41131"/>
    <w:rsid w:val="00C411C1"/>
    <w:rsid w:val="00C422BD"/>
    <w:rsid w:val="00C42ED3"/>
    <w:rsid w:val="00C43A3B"/>
    <w:rsid w:val="00C44AF4"/>
    <w:rsid w:val="00C45326"/>
    <w:rsid w:val="00C45581"/>
    <w:rsid w:val="00C45BF0"/>
    <w:rsid w:val="00C46213"/>
    <w:rsid w:val="00C4712A"/>
    <w:rsid w:val="00C47468"/>
    <w:rsid w:val="00C475D0"/>
    <w:rsid w:val="00C47CDC"/>
    <w:rsid w:val="00C50A2B"/>
    <w:rsid w:val="00C51671"/>
    <w:rsid w:val="00C5280A"/>
    <w:rsid w:val="00C5401F"/>
    <w:rsid w:val="00C54922"/>
    <w:rsid w:val="00C550B8"/>
    <w:rsid w:val="00C55FE8"/>
    <w:rsid w:val="00C601EF"/>
    <w:rsid w:val="00C6220B"/>
    <w:rsid w:val="00C62320"/>
    <w:rsid w:val="00C62658"/>
    <w:rsid w:val="00C634D6"/>
    <w:rsid w:val="00C63CF2"/>
    <w:rsid w:val="00C6440A"/>
    <w:rsid w:val="00C648FC"/>
    <w:rsid w:val="00C663BE"/>
    <w:rsid w:val="00C66984"/>
    <w:rsid w:val="00C70AB7"/>
    <w:rsid w:val="00C70E79"/>
    <w:rsid w:val="00C71858"/>
    <w:rsid w:val="00C722C5"/>
    <w:rsid w:val="00C74346"/>
    <w:rsid w:val="00C744AE"/>
    <w:rsid w:val="00C74781"/>
    <w:rsid w:val="00C76779"/>
    <w:rsid w:val="00C76B87"/>
    <w:rsid w:val="00C80034"/>
    <w:rsid w:val="00C828E8"/>
    <w:rsid w:val="00C82F4B"/>
    <w:rsid w:val="00C83579"/>
    <w:rsid w:val="00C83EA7"/>
    <w:rsid w:val="00C84559"/>
    <w:rsid w:val="00C84964"/>
    <w:rsid w:val="00C84CDA"/>
    <w:rsid w:val="00C84E31"/>
    <w:rsid w:val="00C862C4"/>
    <w:rsid w:val="00C86977"/>
    <w:rsid w:val="00C86B34"/>
    <w:rsid w:val="00C86FFF"/>
    <w:rsid w:val="00C871C7"/>
    <w:rsid w:val="00C87862"/>
    <w:rsid w:val="00C91060"/>
    <w:rsid w:val="00C928FD"/>
    <w:rsid w:val="00C95593"/>
    <w:rsid w:val="00CA0640"/>
    <w:rsid w:val="00CA2002"/>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89D"/>
    <w:rsid w:val="00CC2ABC"/>
    <w:rsid w:val="00CC2DE4"/>
    <w:rsid w:val="00CC360E"/>
    <w:rsid w:val="00CC3B04"/>
    <w:rsid w:val="00CC3D18"/>
    <w:rsid w:val="00CC3FC7"/>
    <w:rsid w:val="00CC48D6"/>
    <w:rsid w:val="00CC563C"/>
    <w:rsid w:val="00CC69FC"/>
    <w:rsid w:val="00CD32FE"/>
    <w:rsid w:val="00CD3E7D"/>
    <w:rsid w:val="00CD5036"/>
    <w:rsid w:val="00CD6866"/>
    <w:rsid w:val="00CD76D4"/>
    <w:rsid w:val="00CD7893"/>
    <w:rsid w:val="00CE03CC"/>
    <w:rsid w:val="00CE1B73"/>
    <w:rsid w:val="00CE1B8A"/>
    <w:rsid w:val="00CE7E6A"/>
    <w:rsid w:val="00CF030B"/>
    <w:rsid w:val="00CF0B6B"/>
    <w:rsid w:val="00CF23A2"/>
    <w:rsid w:val="00CF52E0"/>
    <w:rsid w:val="00CF5D77"/>
    <w:rsid w:val="00CF6EB2"/>
    <w:rsid w:val="00CF7FEC"/>
    <w:rsid w:val="00D00269"/>
    <w:rsid w:val="00D02F72"/>
    <w:rsid w:val="00D10AB0"/>
    <w:rsid w:val="00D12EE7"/>
    <w:rsid w:val="00D1373C"/>
    <w:rsid w:val="00D166C8"/>
    <w:rsid w:val="00D16B19"/>
    <w:rsid w:val="00D16BAD"/>
    <w:rsid w:val="00D172B8"/>
    <w:rsid w:val="00D1735B"/>
    <w:rsid w:val="00D17702"/>
    <w:rsid w:val="00D17C3D"/>
    <w:rsid w:val="00D20E91"/>
    <w:rsid w:val="00D21CC1"/>
    <w:rsid w:val="00D225CB"/>
    <w:rsid w:val="00D23CD2"/>
    <w:rsid w:val="00D25A9F"/>
    <w:rsid w:val="00D266ED"/>
    <w:rsid w:val="00D2734A"/>
    <w:rsid w:val="00D276CF"/>
    <w:rsid w:val="00D27F25"/>
    <w:rsid w:val="00D30003"/>
    <w:rsid w:val="00D306AB"/>
    <w:rsid w:val="00D31B93"/>
    <w:rsid w:val="00D31D5F"/>
    <w:rsid w:val="00D32293"/>
    <w:rsid w:val="00D33323"/>
    <w:rsid w:val="00D336A1"/>
    <w:rsid w:val="00D33F79"/>
    <w:rsid w:val="00D3469A"/>
    <w:rsid w:val="00D3478C"/>
    <w:rsid w:val="00D34A5C"/>
    <w:rsid w:val="00D35986"/>
    <w:rsid w:val="00D36CE3"/>
    <w:rsid w:val="00D37494"/>
    <w:rsid w:val="00D3789A"/>
    <w:rsid w:val="00D407B7"/>
    <w:rsid w:val="00D409B3"/>
    <w:rsid w:val="00D41AB4"/>
    <w:rsid w:val="00D41B84"/>
    <w:rsid w:val="00D41E2D"/>
    <w:rsid w:val="00D42588"/>
    <w:rsid w:val="00D4287D"/>
    <w:rsid w:val="00D42957"/>
    <w:rsid w:val="00D446E7"/>
    <w:rsid w:val="00D47265"/>
    <w:rsid w:val="00D47500"/>
    <w:rsid w:val="00D4793C"/>
    <w:rsid w:val="00D5517B"/>
    <w:rsid w:val="00D60582"/>
    <w:rsid w:val="00D61222"/>
    <w:rsid w:val="00D63800"/>
    <w:rsid w:val="00D63990"/>
    <w:rsid w:val="00D65068"/>
    <w:rsid w:val="00D65243"/>
    <w:rsid w:val="00D658A1"/>
    <w:rsid w:val="00D65BBD"/>
    <w:rsid w:val="00D67085"/>
    <w:rsid w:val="00D67E99"/>
    <w:rsid w:val="00D70F86"/>
    <w:rsid w:val="00D71057"/>
    <w:rsid w:val="00D71912"/>
    <w:rsid w:val="00D730F6"/>
    <w:rsid w:val="00D738F0"/>
    <w:rsid w:val="00D753F4"/>
    <w:rsid w:val="00D75E6C"/>
    <w:rsid w:val="00D806D1"/>
    <w:rsid w:val="00D82CB3"/>
    <w:rsid w:val="00D82FC0"/>
    <w:rsid w:val="00D8322A"/>
    <w:rsid w:val="00D83C17"/>
    <w:rsid w:val="00D8541E"/>
    <w:rsid w:val="00D85885"/>
    <w:rsid w:val="00D85E5C"/>
    <w:rsid w:val="00D8720F"/>
    <w:rsid w:val="00D87527"/>
    <w:rsid w:val="00D87652"/>
    <w:rsid w:val="00D90022"/>
    <w:rsid w:val="00D905C2"/>
    <w:rsid w:val="00D90EF2"/>
    <w:rsid w:val="00D92D08"/>
    <w:rsid w:val="00D936CA"/>
    <w:rsid w:val="00D9372E"/>
    <w:rsid w:val="00D938BE"/>
    <w:rsid w:val="00D9392E"/>
    <w:rsid w:val="00D947F0"/>
    <w:rsid w:val="00D963CC"/>
    <w:rsid w:val="00DA0C8D"/>
    <w:rsid w:val="00DA1D47"/>
    <w:rsid w:val="00DA22D8"/>
    <w:rsid w:val="00DA2D95"/>
    <w:rsid w:val="00DA3A4F"/>
    <w:rsid w:val="00DA42C0"/>
    <w:rsid w:val="00DA52A2"/>
    <w:rsid w:val="00DA57B0"/>
    <w:rsid w:val="00DA7E2F"/>
    <w:rsid w:val="00DB00E6"/>
    <w:rsid w:val="00DB0C0B"/>
    <w:rsid w:val="00DB2446"/>
    <w:rsid w:val="00DB31E7"/>
    <w:rsid w:val="00DB3A66"/>
    <w:rsid w:val="00DB4BEF"/>
    <w:rsid w:val="00DB51AE"/>
    <w:rsid w:val="00DB546B"/>
    <w:rsid w:val="00DB74A4"/>
    <w:rsid w:val="00DB78B2"/>
    <w:rsid w:val="00DC073A"/>
    <w:rsid w:val="00DC0A7B"/>
    <w:rsid w:val="00DC1539"/>
    <w:rsid w:val="00DC17E5"/>
    <w:rsid w:val="00DC2022"/>
    <w:rsid w:val="00DC230C"/>
    <w:rsid w:val="00DC27E7"/>
    <w:rsid w:val="00DC2CE7"/>
    <w:rsid w:val="00DC301A"/>
    <w:rsid w:val="00DC5188"/>
    <w:rsid w:val="00DC6294"/>
    <w:rsid w:val="00DC6AEA"/>
    <w:rsid w:val="00DC7377"/>
    <w:rsid w:val="00DD2912"/>
    <w:rsid w:val="00DD353B"/>
    <w:rsid w:val="00DD3902"/>
    <w:rsid w:val="00DD3EE0"/>
    <w:rsid w:val="00DD417A"/>
    <w:rsid w:val="00DD45C1"/>
    <w:rsid w:val="00DD4849"/>
    <w:rsid w:val="00DD4D38"/>
    <w:rsid w:val="00DD5730"/>
    <w:rsid w:val="00DE0FC0"/>
    <w:rsid w:val="00DE190A"/>
    <w:rsid w:val="00DE1A76"/>
    <w:rsid w:val="00DE31D8"/>
    <w:rsid w:val="00DE323B"/>
    <w:rsid w:val="00DE3A31"/>
    <w:rsid w:val="00DE4F75"/>
    <w:rsid w:val="00DE5F76"/>
    <w:rsid w:val="00DF09A4"/>
    <w:rsid w:val="00DF0DF7"/>
    <w:rsid w:val="00DF13A5"/>
    <w:rsid w:val="00DF1C93"/>
    <w:rsid w:val="00DF1E5D"/>
    <w:rsid w:val="00DF2ABA"/>
    <w:rsid w:val="00DF391A"/>
    <w:rsid w:val="00DF419C"/>
    <w:rsid w:val="00DF51C5"/>
    <w:rsid w:val="00DF58C8"/>
    <w:rsid w:val="00DF72C7"/>
    <w:rsid w:val="00E00D6F"/>
    <w:rsid w:val="00E01515"/>
    <w:rsid w:val="00E03246"/>
    <w:rsid w:val="00E03508"/>
    <w:rsid w:val="00E03C0E"/>
    <w:rsid w:val="00E066DF"/>
    <w:rsid w:val="00E07128"/>
    <w:rsid w:val="00E073C2"/>
    <w:rsid w:val="00E10667"/>
    <w:rsid w:val="00E10AC3"/>
    <w:rsid w:val="00E10C25"/>
    <w:rsid w:val="00E1123F"/>
    <w:rsid w:val="00E12D1C"/>
    <w:rsid w:val="00E14266"/>
    <w:rsid w:val="00E14307"/>
    <w:rsid w:val="00E15911"/>
    <w:rsid w:val="00E16412"/>
    <w:rsid w:val="00E165DD"/>
    <w:rsid w:val="00E16A98"/>
    <w:rsid w:val="00E227BB"/>
    <w:rsid w:val="00E227C3"/>
    <w:rsid w:val="00E22843"/>
    <w:rsid w:val="00E23111"/>
    <w:rsid w:val="00E24C79"/>
    <w:rsid w:val="00E26881"/>
    <w:rsid w:val="00E26DFE"/>
    <w:rsid w:val="00E2713B"/>
    <w:rsid w:val="00E274D7"/>
    <w:rsid w:val="00E31423"/>
    <w:rsid w:val="00E314D6"/>
    <w:rsid w:val="00E3177E"/>
    <w:rsid w:val="00E32652"/>
    <w:rsid w:val="00E32DDF"/>
    <w:rsid w:val="00E33108"/>
    <w:rsid w:val="00E34622"/>
    <w:rsid w:val="00E34657"/>
    <w:rsid w:val="00E34706"/>
    <w:rsid w:val="00E35537"/>
    <w:rsid w:val="00E36F7D"/>
    <w:rsid w:val="00E43ABE"/>
    <w:rsid w:val="00E44057"/>
    <w:rsid w:val="00E445BD"/>
    <w:rsid w:val="00E44B6B"/>
    <w:rsid w:val="00E46673"/>
    <w:rsid w:val="00E47A5F"/>
    <w:rsid w:val="00E506E7"/>
    <w:rsid w:val="00E507A5"/>
    <w:rsid w:val="00E51A57"/>
    <w:rsid w:val="00E5237C"/>
    <w:rsid w:val="00E528D2"/>
    <w:rsid w:val="00E5295F"/>
    <w:rsid w:val="00E54E89"/>
    <w:rsid w:val="00E575C7"/>
    <w:rsid w:val="00E57E0F"/>
    <w:rsid w:val="00E601CE"/>
    <w:rsid w:val="00E602CF"/>
    <w:rsid w:val="00E60B1D"/>
    <w:rsid w:val="00E61EE8"/>
    <w:rsid w:val="00E62061"/>
    <w:rsid w:val="00E62441"/>
    <w:rsid w:val="00E63879"/>
    <w:rsid w:val="00E647FF"/>
    <w:rsid w:val="00E650C6"/>
    <w:rsid w:val="00E66A80"/>
    <w:rsid w:val="00E66EE6"/>
    <w:rsid w:val="00E67E36"/>
    <w:rsid w:val="00E7063D"/>
    <w:rsid w:val="00E71329"/>
    <w:rsid w:val="00E71633"/>
    <w:rsid w:val="00E7218C"/>
    <w:rsid w:val="00E72689"/>
    <w:rsid w:val="00E72947"/>
    <w:rsid w:val="00E730AA"/>
    <w:rsid w:val="00E74C7A"/>
    <w:rsid w:val="00E76F52"/>
    <w:rsid w:val="00E82B54"/>
    <w:rsid w:val="00E8380C"/>
    <w:rsid w:val="00E838B2"/>
    <w:rsid w:val="00E84521"/>
    <w:rsid w:val="00E84D6B"/>
    <w:rsid w:val="00E856B0"/>
    <w:rsid w:val="00E85D85"/>
    <w:rsid w:val="00E86868"/>
    <w:rsid w:val="00E86C2A"/>
    <w:rsid w:val="00E86CA1"/>
    <w:rsid w:val="00E87711"/>
    <w:rsid w:val="00E87F07"/>
    <w:rsid w:val="00E9024A"/>
    <w:rsid w:val="00E91BFE"/>
    <w:rsid w:val="00E91E35"/>
    <w:rsid w:val="00E9230E"/>
    <w:rsid w:val="00E937B5"/>
    <w:rsid w:val="00E9442F"/>
    <w:rsid w:val="00E94495"/>
    <w:rsid w:val="00E9486B"/>
    <w:rsid w:val="00E95534"/>
    <w:rsid w:val="00E96326"/>
    <w:rsid w:val="00E969D2"/>
    <w:rsid w:val="00E97D83"/>
    <w:rsid w:val="00EA0CA1"/>
    <w:rsid w:val="00EA1D8B"/>
    <w:rsid w:val="00EA3249"/>
    <w:rsid w:val="00EA3C59"/>
    <w:rsid w:val="00EA48B1"/>
    <w:rsid w:val="00EA4CEB"/>
    <w:rsid w:val="00EA5118"/>
    <w:rsid w:val="00EA5211"/>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0F5A"/>
    <w:rsid w:val="00EC115D"/>
    <w:rsid w:val="00EC152A"/>
    <w:rsid w:val="00EC3328"/>
    <w:rsid w:val="00EC34A9"/>
    <w:rsid w:val="00EC3934"/>
    <w:rsid w:val="00EC473B"/>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4C34"/>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2DDE"/>
    <w:rsid w:val="00F13E45"/>
    <w:rsid w:val="00F147C6"/>
    <w:rsid w:val="00F15BFD"/>
    <w:rsid w:val="00F20933"/>
    <w:rsid w:val="00F21705"/>
    <w:rsid w:val="00F231FC"/>
    <w:rsid w:val="00F24AB7"/>
    <w:rsid w:val="00F2567E"/>
    <w:rsid w:val="00F25E84"/>
    <w:rsid w:val="00F26068"/>
    <w:rsid w:val="00F2695F"/>
    <w:rsid w:val="00F2706D"/>
    <w:rsid w:val="00F2723F"/>
    <w:rsid w:val="00F27ADB"/>
    <w:rsid w:val="00F31178"/>
    <w:rsid w:val="00F32971"/>
    <w:rsid w:val="00F3400B"/>
    <w:rsid w:val="00F35C44"/>
    <w:rsid w:val="00F3664C"/>
    <w:rsid w:val="00F36760"/>
    <w:rsid w:val="00F37B6F"/>
    <w:rsid w:val="00F40C05"/>
    <w:rsid w:val="00F40E86"/>
    <w:rsid w:val="00F42168"/>
    <w:rsid w:val="00F425B3"/>
    <w:rsid w:val="00F44603"/>
    <w:rsid w:val="00F44C78"/>
    <w:rsid w:val="00F44F38"/>
    <w:rsid w:val="00F452C0"/>
    <w:rsid w:val="00F459E6"/>
    <w:rsid w:val="00F53C70"/>
    <w:rsid w:val="00F54E51"/>
    <w:rsid w:val="00F55309"/>
    <w:rsid w:val="00F562A9"/>
    <w:rsid w:val="00F56E0D"/>
    <w:rsid w:val="00F60C62"/>
    <w:rsid w:val="00F6300E"/>
    <w:rsid w:val="00F6301A"/>
    <w:rsid w:val="00F645AF"/>
    <w:rsid w:val="00F65708"/>
    <w:rsid w:val="00F663BE"/>
    <w:rsid w:val="00F66BC9"/>
    <w:rsid w:val="00F67946"/>
    <w:rsid w:val="00F71F9F"/>
    <w:rsid w:val="00F72748"/>
    <w:rsid w:val="00F72B99"/>
    <w:rsid w:val="00F72CCD"/>
    <w:rsid w:val="00F72E9F"/>
    <w:rsid w:val="00F73166"/>
    <w:rsid w:val="00F736F9"/>
    <w:rsid w:val="00F739E9"/>
    <w:rsid w:val="00F751EE"/>
    <w:rsid w:val="00F81620"/>
    <w:rsid w:val="00F84240"/>
    <w:rsid w:val="00F85237"/>
    <w:rsid w:val="00F8564F"/>
    <w:rsid w:val="00F87DAE"/>
    <w:rsid w:val="00F9000A"/>
    <w:rsid w:val="00F9002A"/>
    <w:rsid w:val="00F906D0"/>
    <w:rsid w:val="00F90CC8"/>
    <w:rsid w:val="00F93FEB"/>
    <w:rsid w:val="00F94E43"/>
    <w:rsid w:val="00F96156"/>
    <w:rsid w:val="00F96266"/>
    <w:rsid w:val="00F96460"/>
    <w:rsid w:val="00F97AFE"/>
    <w:rsid w:val="00F97E65"/>
    <w:rsid w:val="00FA0128"/>
    <w:rsid w:val="00FA0F09"/>
    <w:rsid w:val="00FA1786"/>
    <w:rsid w:val="00FA17C2"/>
    <w:rsid w:val="00FA215F"/>
    <w:rsid w:val="00FA29FA"/>
    <w:rsid w:val="00FA3191"/>
    <w:rsid w:val="00FA3D85"/>
    <w:rsid w:val="00FA5AE3"/>
    <w:rsid w:val="00FA6A40"/>
    <w:rsid w:val="00FA73DD"/>
    <w:rsid w:val="00FB13C2"/>
    <w:rsid w:val="00FB27FA"/>
    <w:rsid w:val="00FB35D3"/>
    <w:rsid w:val="00FB380D"/>
    <w:rsid w:val="00FB3FB7"/>
    <w:rsid w:val="00FB76C5"/>
    <w:rsid w:val="00FB7FBE"/>
    <w:rsid w:val="00FC03FD"/>
    <w:rsid w:val="00FC0824"/>
    <w:rsid w:val="00FC0C57"/>
    <w:rsid w:val="00FC16B9"/>
    <w:rsid w:val="00FC1DA7"/>
    <w:rsid w:val="00FC2414"/>
    <w:rsid w:val="00FC2C4D"/>
    <w:rsid w:val="00FC2E20"/>
    <w:rsid w:val="00FC44A1"/>
    <w:rsid w:val="00FC4BCF"/>
    <w:rsid w:val="00FC4DEB"/>
    <w:rsid w:val="00FC50CE"/>
    <w:rsid w:val="00FC62AC"/>
    <w:rsid w:val="00FC6AC7"/>
    <w:rsid w:val="00FC77FF"/>
    <w:rsid w:val="00FC7E40"/>
    <w:rsid w:val="00FD1351"/>
    <w:rsid w:val="00FD2360"/>
    <w:rsid w:val="00FD4A54"/>
    <w:rsid w:val="00FD4B65"/>
    <w:rsid w:val="00FD5024"/>
    <w:rsid w:val="00FD6729"/>
    <w:rsid w:val="00FD7996"/>
    <w:rsid w:val="00FD7B5E"/>
    <w:rsid w:val="00FD7EFE"/>
    <w:rsid w:val="00FE2025"/>
    <w:rsid w:val="00FE2D9D"/>
    <w:rsid w:val="00FE3280"/>
    <w:rsid w:val="00FE38A6"/>
    <w:rsid w:val="00FE45B9"/>
    <w:rsid w:val="00FE4790"/>
    <w:rsid w:val="00FE49E3"/>
    <w:rsid w:val="00FE4E1B"/>
    <w:rsid w:val="00FE5082"/>
    <w:rsid w:val="00FE562B"/>
    <w:rsid w:val="00FE5AAB"/>
    <w:rsid w:val="00FE7171"/>
    <w:rsid w:val="00FE7373"/>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F69C4"/>
    <w:pPr>
      <w:tabs>
        <w:tab w:val="left" w:pos="440"/>
        <w:tab w:val="right" w:leader="dot" w:pos="8828"/>
      </w:tabs>
      <w:ind w:left="440"/>
      <w:jc w:val="both"/>
    </w:pPr>
    <w:rPr>
      <w:rFonts w:ascii="Palatino Linotype" w:hAnsi="Palatino Linotype"/>
      <w:b/>
      <w:noProof/>
      <w:sz w:val="20"/>
      <w:szCs w:val="20"/>
    </w:r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Mencinsinresolver4">
    <w:name w:val="Mención sin resolver4"/>
    <w:basedOn w:val="Fuentedeprrafopredeter"/>
    <w:uiPriority w:val="99"/>
    <w:semiHidden/>
    <w:unhideWhenUsed/>
    <w:rsid w:val="00E10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47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03428">
      <w:bodyDiv w:val="1"/>
      <w:marLeft w:val="0"/>
      <w:marRight w:val="0"/>
      <w:marTop w:val="0"/>
      <w:marBottom w:val="0"/>
      <w:divBdr>
        <w:top w:val="none" w:sz="0" w:space="0" w:color="auto"/>
        <w:left w:val="none" w:sz="0" w:space="0" w:color="auto"/>
        <w:bottom w:val="none" w:sz="0" w:space="0" w:color="auto"/>
        <w:right w:val="none" w:sz="0" w:space="0" w:color="auto"/>
      </w:divBdr>
    </w:div>
    <w:div w:id="139344840">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0410734">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683813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7062922">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3975739">
      <w:bodyDiv w:val="1"/>
      <w:marLeft w:val="0"/>
      <w:marRight w:val="0"/>
      <w:marTop w:val="0"/>
      <w:marBottom w:val="0"/>
      <w:divBdr>
        <w:top w:val="none" w:sz="0" w:space="0" w:color="auto"/>
        <w:left w:val="none" w:sz="0" w:space="0" w:color="auto"/>
        <w:bottom w:val="none" w:sz="0" w:space="0" w:color="auto"/>
        <w:right w:val="none" w:sz="0" w:space="0" w:color="auto"/>
      </w:divBdr>
      <w:divsChild>
        <w:div w:id="1806655067">
          <w:marLeft w:val="0"/>
          <w:marRight w:val="0"/>
          <w:marTop w:val="0"/>
          <w:marBottom w:val="101"/>
          <w:divBdr>
            <w:top w:val="none" w:sz="0" w:space="0" w:color="auto"/>
            <w:left w:val="none" w:sz="0" w:space="0" w:color="auto"/>
            <w:bottom w:val="none" w:sz="0" w:space="0" w:color="auto"/>
            <w:right w:val="none" w:sz="0" w:space="0" w:color="auto"/>
          </w:divBdr>
        </w:div>
        <w:div w:id="1539270949">
          <w:marLeft w:val="864"/>
          <w:marRight w:val="0"/>
          <w:marTop w:val="0"/>
          <w:marBottom w:val="101"/>
          <w:divBdr>
            <w:top w:val="none" w:sz="0" w:space="0" w:color="auto"/>
            <w:left w:val="none" w:sz="0" w:space="0" w:color="auto"/>
            <w:bottom w:val="none" w:sz="0" w:space="0" w:color="auto"/>
            <w:right w:val="none" w:sz="0" w:space="0" w:color="auto"/>
          </w:divBdr>
        </w:div>
        <w:div w:id="1615480721">
          <w:marLeft w:val="864"/>
          <w:marRight w:val="0"/>
          <w:marTop w:val="0"/>
          <w:marBottom w:val="101"/>
          <w:divBdr>
            <w:top w:val="none" w:sz="0" w:space="0" w:color="auto"/>
            <w:left w:val="none" w:sz="0" w:space="0" w:color="auto"/>
            <w:bottom w:val="none" w:sz="0" w:space="0" w:color="auto"/>
            <w:right w:val="none" w:sz="0" w:space="0" w:color="auto"/>
          </w:divBdr>
        </w:div>
        <w:div w:id="388725487">
          <w:marLeft w:val="0"/>
          <w:marRight w:val="0"/>
          <w:marTop w:val="0"/>
          <w:marBottom w:val="101"/>
          <w:divBdr>
            <w:top w:val="none" w:sz="0" w:space="0" w:color="auto"/>
            <w:left w:val="none" w:sz="0" w:space="0" w:color="auto"/>
            <w:bottom w:val="none" w:sz="0" w:space="0" w:color="auto"/>
            <w:right w:val="none" w:sz="0" w:space="0" w:color="auto"/>
          </w:divBdr>
        </w:div>
        <w:div w:id="1525022728">
          <w:marLeft w:val="864"/>
          <w:marRight w:val="0"/>
          <w:marTop w:val="0"/>
          <w:marBottom w:val="101"/>
          <w:divBdr>
            <w:top w:val="none" w:sz="0" w:space="0" w:color="auto"/>
            <w:left w:val="none" w:sz="0" w:space="0" w:color="auto"/>
            <w:bottom w:val="none" w:sz="0" w:space="0" w:color="auto"/>
            <w:right w:val="none" w:sz="0" w:space="0" w:color="auto"/>
          </w:divBdr>
        </w:div>
        <w:div w:id="692919067">
          <w:marLeft w:val="864"/>
          <w:marRight w:val="0"/>
          <w:marTop w:val="0"/>
          <w:marBottom w:val="101"/>
          <w:divBdr>
            <w:top w:val="none" w:sz="0" w:space="0" w:color="auto"/>
            <w:left w:val="none" w:sz="0" w:space="0" w:color="auto"/>
            <w:bottom w:val="none" w:sz="0" w:space="0" w:color="auto"/>
            <w:right w:val="none" w:sz="0" w:space="0" w:color="auto"/>
          </w:divBdr>
        </w:div>
        <w:div w:id="1951160991">
          <w:marLeft w:val="864"/>
          <w:marRight w:val="0"/>
          <w:marTop w:val="0"/>
          <w:marBottom w:val="101"/>
          <w:divBdr>
            <w:top w:val="none" w:sz="0" w:space="0" w:color="auto"/>
            <w:left w:val="none" w:sz="0" w:space="0" w:color="auto"/>
            <w:bottom w:val="none" w:sz="0" w:space="0" w:color="auto"/>
            <w:right w:val="none" w:sz="0" w:space="0" w:color="auto"/>
          </w:divBdr>
        </w:div>
        <w:div w:id="465705112">
          <w:marLeft w:val="864"/>
          <w:marRight w:val="0"/>
          <w:marTop w:val="0"/>
          <w:marBottom w:val="101"/>
          <w:divBdr>
            <w:top w:val="none" w:sz="0" w:space="0" w:color="auto"/>
            <w:left w:val="none" w:sz="0" w:space="0" w:color="auto"/>
            <w:bottom w:val="none" w:sz="0" w:space="0" w:color="auto"/>
            <w:right w:val="none" w:sz="0" w:space="0" w:color="auto"/>
          </w:divBdr>
        </w:div>
        <w:div w:id="304354991">
          <w:marLeft w:val="0"/>
          <w:marRight w:val="0"/>
          <w:marTop w:val="0"/>
          <w:marBottom w:val="101"/>
          <w:divBdr>
            <w:top w:val="none" w:sz="0" w:space="0" w:color="auto"/>
            <w:left w:val="none" w:sz="0" w:space="0" w:color="auto"/>
            <w:bottom w:val="none" w:sz="0" w:space="0" w:color="auto"/>
            <w:right w:val="none" w:sz="0" w:space="0" w:color="auto"/>
          </w:divBdr>
        </w:div>
        <w:div w:id="1125082335">
          <w:marLeft w:val="0"/>
          <w:marRight w:val="0"/>
          <w:marTop w:val="0"/>
          <w:marBottom w:val="101"/>
          <w:divBdr>
            <w:top w:val="none" w:sz="0" w:space="0" w:color="auto"/>
            <w:left w:val="none" w:sz="0" w:space="0" w:color="auto"/>
            <w:bottom w:val="none" w:sz="0" w:space="0" w:color="auto"/>
            <w:right w:val="none" w:sz="0" w:space="0" w:color="auto"/>
          </w:divBdr>
        </w:div>
        <w:div w:id="1442070731">
          <w:marLeft w:val="864"/>
          <w:marRight w:val="0"/>
          <w:marTop w:val="0"/>
          <w:marBottom w:val="101"/>
          <w:divBdr>
            <w:top w:val="none" w:sz="0" w:space="0" w:color="auto"/>
            <w:left w:val="none" w:sz="0" w:space="0" w:color="auto"/>
            <w:bottom w:val="none" w:sz="0" w:space="0" w:color="auto"/>
            <w:right w:val="none" w:sz="0" w:space="0" w:color="auto"/>
          </w:divBdr>
        </w:div>
        <w:div w:id="1358845520">
          <w:marLeft w:val="864"/>
          <w:marRight w:val="0"/>
          <w:marTop w:val="0"/>
          <w:marBottom w:val="101"/>
          <w:divBdr>
            <w:top w:val="none" w:sz="0" w:space="0" w:color="auto"/>
            <w:left w:val="none" w:sz="0" w:space="0" w:color="auto"/>
            <w:bottom w:val="none" w:sz="0" w:space="0" w:color="auto"/>
            <w:right w:val="none" w:sz="0" w:space="0" w:color="auto"/>
          </w:divBdr>
        </w:div>
        <w:div w:id="1799181150">
          <w:marLeft w:val="0"/>
          <w:marRight w:val="0"/>
          <w:marTop w:val="0"/>
          <w:marBottom w:val="101"/>
          <w:divBdr>
            <w:top w:val="none" w:sz="0" w:space="0" w:color="auto"/>
            <w:left w:val="none" w:sz="0" w:space="0" w:color="auto"/>
            <w:bottom w:val="none" w:sz="0" w:space="0" w:color="auto"/>
            <w:right w:val="none" w:sz="0" w:space="0" w:color="auto"/>
          </w:divBdr>
        </w:div>
        <w:div w:id="1343702039">
          <w:marLeft w:val="0"/>
          <w:marRight w:val="0"/>
          <w:marTop w:val="0"/>
          <w:marBottom w:val="101"/>
          <w:divBdr>
            <w:top w:val="none" w:sz="0" w:space="0" w:color="auto"/>
            <w:left w:val="none" w:sz="0" w:space="0" w:color="auto"/>
            <w:bottom w:val="none" w:sz="0" w:space="0" w:color="auto"/>
            <w:right w:val="none" w:sz="0" w:space="0" w:color="auto"/>
          </w:divBdr>
        </w:div>
        <w:div w:id="800463518">
          <w:marLeft w:val="0"/>
          <w:marRight w:val="0"/>
          <w:marTop w:val="0"/>
          <w:marBottom w:val="101"/>
          <w:divBdr>
            <w:top w:val="none" w:sz="0" w:space="0" w:color="auto"/>
            <w:left w:val="none" w:sz="0" w:space="0" w:color="auto"/>
            <w:bottom w:val="none" w:sz="0" w:space="0" w:color="auto"/>
            <w:right w:val="none" w:sz="0" w:space="0" w:color="auto"/>
          </w:divBdr>
        </w:div>
        <w:div w:id="910964638">
          <w:marLeft w:val="0"/>
          <w:marRight w:val="0"/>
          <w:marTop w:val="0"/>
          <w:marBottom w:val="101"/>
          <w:divBdr>
            <w:top w:val="none" w:sz="0" w:space="0" w:color="auto"/>
            <w:left w:val="none" w:sz="0" w:space="0" w:color="auto"/>
            <w:bottom w:val="none" w:sz="0" w:space="0" w:color="auto"/>
            <w:right w:val="none" w:sz="0" w:space="0" w:color="auto"/>
          </w:divBdr>
        </w:div>
        <w:div w:id="1217202012">
          <w:marLeft w:val="0"/>
          <w:marRight w:val="0"/>
          <w:marTop w:val="0"/>
          <w:marBottom w:val="101"/>
          <w:divBdr>
            <w:top w:val="none" w:sz="0" w:space="0" w:color="auto"/>
            <w:left w:val="none" w:sz="0" w:space="0" w:color="auto"/>
            <w:bottom w:val="none" w:sz="0" w:space="0" w:color="auto"/>
            <w:right w:val="none" w:sz="0" w:space="0" w:color="auto"/>
          </w:divBdr>
        </w:div>
        <w:div w:id="1634873289">
          <w:marLeft w:val="0"/>
          <w:marRight w:val="0"/>
          <w:marTop w:val="0"/>
          <w:marBottom w:val="101"/>
          <w:divBdr>
            <w:top w:val="none" w:sz="0" w:space="0" w:color="auto"/>
            <w:left w:val="none" w:sz="0" w:space="0" w:color="auto"/>
            <w:bottom w:val="none" w:sz="0" w:space="0" w:color="auto"/>
            <w:right w:val="none" w:sz="0" w:space="0" w:color="auto"/>
          </w:divBdr>
        </w:div>
        <w:div w:id="1407654097">
          <w:marLeft w:val="0"/>
          <w:marRight w:val="0"/>
          <w:marTop w:val="0"/>
          <w:marBottom w:val="82"/>
          <w:divBdr>
            <w:top w:val="none" w:sz="0" w:space="0" w:color="auto"/>
            <w:left w:val="none" w:sz="0" w:space="0" w:color="auto"/>
            <w:bottom w:val="none" w:sz="0" w:space="0" w:color="auto"/>
            <w:right w:val="none" w:sz="0" w:space="0" w:color="auto"/>
          </w:divBdr>
        </w:div>
      </w:divsChild>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85877829">
      <w:bodyDiv w:val="1"/>
      <w:marLeft w:val="0"/>
      <w:marRight w:val="0"/>
      <w:marTop w:val="0"/>
      <w:marBottom w:val="0"/>
      <w:divBdr>
        <w:top w:val="none" w:sz="0" w:space="0" w:color="auto"/>
        <w:left w:val="none" w:sz="0" w:space="0" w:color="auto"/>
        <w:bottom w:val="none" w:sz="0" w:space="0" w:color="auto"/>
        <w:right w:val="none" w:sz="0" w:space="0" w:color="auto"/>
      </w:divBdr>
    </w:div>
    <w:div w:id="416904205">
      <w:bodyDiv w:val="1"/>
      <w:marLeft w:val="0"/>
      <w:marRight w:val="0"/>
      <w:marTop w:val="0"/>
      <w:marBottom w:val="0"/>
      <w:divBdr>
        <w:top w:val="none" w:sz="0" w:space="0" w:color="auto"/>
        <w:left w:val="none" w:sz="0" w:space="0" w:color="auto"/>
        <w:bottom w:val="none" w:sz="0" w:space="0" w:color="auto"/>
        <w:right w:val="none" w:sz="0" w:space="0" w:color="auto"/>
      </w:divBdr>
    </w:div>
    <w:div w:id="45082410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998520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5167">
      <w:bodyDiv w:val="1"/>
      <w:marLeft w:val="0"/>
      <w:marRight w:val="0"/>
      <w:marTop w:val="0"/>
      <w:marBottom w:val="0"/>
      <w:divBdr>
        <w:top w:val="none" w:sz="0" w:space="0" w:color="auto"/>
        <w:left w:val="none" w:sz="0" w:space="0" w:color="auto"/>
        <w:bottom w:val="none" w:sz="0" w:space="0" w:color="auto"/>
        <w:right w:val="none" w:sz="0" w:space="0" w:color="auto"/>
      </w:divBdr>
      <w:divsChild>
        <w:div w:id="586884496">
          <w:marLeft w:val="0"/>
          <w:marRight w:val="0"/>
          <w:marTop w:val="0"/>
          <w:marBottom w:val="101"/>
          <w:divBdr>
            <w:top w:val="none" w:sz="0" w:space="0" w:color="auto"/>
            <w:left w:val="none" w:sz="0" w:space="0" w:color="auto"/>
            <w:bottom w:val="none" w:sz="0" w:space="0" w:color="auto"/>
            <w:right w:val="none" w:sz="0" w:space="0" w:color="auto"/>
          </w:divBdr>
        </w:div>
        <w:div w:id="328406640">
          <w:marLeft w:val="864"/>
          <w:marRight w:val="0"/>
          <w:marTop w:val="0"/>
          <w:marBottom w:val="101"/>
          <w:divBdr>
            <w:top w:val="none" w:sz="0" w:space="0" w:color="auto"/>
            <w:left w:val="none" w:sz="0" w:space="0" w:color="auto"/>
            <w:bottom w:val="none" w:sz="0" w:space="0" w:color="auto"/>
            <w:right w:val="none" w:sz="0" w:space="0" w:color="auto"/>
          </w:divBdr>
        </w:div>
        <w:div w:id="1277642951">
          <w:marLeft w:val="864"/>
          <w:marRight w:val="0"/>
          <w:marTop w:val="0"/>
          <w:marBottom w:val="101"/>
          <w:divBdr>
            <w:top w:val="none" w:sz="0" w:space="0" w:color="auto"/>
            <w:left w:val="none" w:sz="0" w:space="0" w:color="auto"/>
            <w:bottom w:val="none" w:sz="0" w:space="0" w:color="auto"/>
            <w:right w:val="none" w:sz="0" w:space="0" w:color="auto"/>
          </w:divBdr>
        </w:div>
        <w:div w:id="437453341">
          <w:marLeft w:val="864"/>
          <w:marRight w:val="0"/>
          <w:marTop w:val="0"/>
          <w:marBottom w:val="101"/>
          <w:divBdr>
            <w:top w:val="none" w:sz="0" w:space="0" w:color="auto"/>
            <w:left w:val="none" w:sz="0" w:space="0" w:color="auto"/>
            <w:bottom w:val="none" w:sz="0" w:space="0" w:color="auto"/>
            <w:right w:val="none" w:sz="0" w:space="0" w:color="auto"/>
          </w:divBdr>
        </w:div>
        <w:div w:id="227813202">
          <w:marLeft w:val="864"/>
          <w:marRight w:val="0"/>
          <w:marTop w:val="0"/>
          <w:marBottom w:val="101"/>
          <w:divBdr>
            <w:top w:val="none" w:sz="0" w:space="0" w:color="auto"/>
            <w:left w:val="none" w:sz="0" w:space="0" w:color="auto"/>
            <w:bottom w:val="none" w:sz="0" w:space="0" w:color="auto"/>
            <w:right w:val="none" w:sz="0" w:space="0" w:color="auto"/>
          </w:divBdr>
        </w:div>
        <w:div w:id="2079284169">
          <w:marLeft w:val="864"/>
          <w:marRight w:val="0"/>
          <w:marTop w:val="0"/>
          <w:marBottom w:val="101"/>
          <w:divBdr>
            <w:top w:val="none" w:sz="0" w:space="0" w:color="auto"/>
            <w:left w:val="none" w:sz="0" w:space="0" w:color="auto"/>
            <w:bottom w:val="none" w:sz="0" w:space="0" w:color="auto"/>
            <w:right w:val="none" w:sz="0" w:space="0" w:color="auto"/>
          </w:divBdr>
        </w:div>
        <w:div w:id="1540971303">
          <w:marLeft w:val="864"/>
          <w:marRight w:val="0"/>
          <w:marTop w:val="0"/>
          <w:marBottom w:val="101"/>
          <w:divBdr>
            <w:top w:val="none" w:sz="0" w:space="0" w:color="auto"/>
            <w:left w:val="none" w:sz="0" w:space="0" w:color="auto"/>
            <w:bottom w:val="none" w:sz="0" w:space="0" w:color="auto"/>
            <w:right w:val="none" w:sz="0" w:space="0" w:color="auto"/>
          </w:divBdr>
        </w:div>
        <w:div w:id="366488029">
          <w:marLeft w:val="864"/>
          <w:marRight w:val="0"/>
          <w:marTop w:val="0"/>
          <w:marBottom w:val="101"/>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147681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637580">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3709312">
      <w:bodyDiv w:val="1"/>
      <w:marLeft w:val="0"/>
      <w:marRight w:val="0"/>
      <w:marTop w:val="0"/>
      <w:marBottom w:val="0"/>
      <w:divBdr>
        <w:top w:val="none" w:sz="0" w:space="0" w:color="auto"/>
        <w:left w:val="none" w:sz="0" w:space="0" w:color="auto"/>
        <w:bottom w:val="none" w:sz="0" w:space="0" w:color="auto"/>
        <w:right w:val="none" w:sz="0" w:space="0" w:color="auto"/>
      </w:divBdr>
      <w:divsChild>
        <w:div w:id="1034036589">
          <w:marLeft w:val="0"/>
          <w:marRight w:val="0"/>
          <w:marTop w:val="0"/>
          <w:marBottom w:val="82"/>
          <w:divBdr>
            <w:top w:val="none" w:sz="0" w:space="0" w:color="auto"/>
            <w:left w:val="none" w:sz="0" w:space="0" w:color="auto"/>
            <w:bottom w:val="none" w:sz="0" w:space="0" w:color="auto"/>
            <w:right w:val="none" w:sz="0" w:space="0" w:color="auto"/>
          </w:divBdr>
        </w:div>
        <w:div w:id="1332365940">
          <w:marLeft w:val="864"/>
          <w:marRight w:val="0"/>
          <w:marTop w:val="0"/>
          <w:marBottom w:val="82"/>
          <w:divBdr>
            <w:top w:val="none" w:sz="0" w:space="0" w:color="auto"/>
            <w:left w:val="none" w:sz="0" w:space="0" w:color="auto"/>
            <w:bottom w:val="none" w:sz="0" w:space="0" w:color="auto"/>
            <w:right w:val="none" w:sz="0" w:space="0" w:color="auto"/>
          </w:divBdr>
        </w:div>
        <w:div w:id="1448350120">
          <w:marLeft w:val="864"/>
          <w:marRight w:val="0"/>
          <w:marTop w:val="0"/>
          <w:marBottom w:val="82"/>
          <w:divBdr>
            <w:top w:val="none" w:sz="0" w:space="0" w:color="auto"/>
            <w:left w:val="none" w:sz="0" w:space="0" w:color="auto"/>
            <w:bottom w:val="none" w:sz="0" w:space="0" w:color="auto"/>
            <w:right w:val="none" w:sz="0" w:space="0" w:color="auto"/>
          </w:divBdr>
        </w:div>
        <w:div w:id="1634479390">
          <w:marLeft w:val="864"/>
          <w:marRight w:val="0"/>
          <w:marTop w:val="0"/>
          <w:marBottom w:val="82"/>
          <w:divBdr>
            <w:top w:val="none" w:sz="0" w:space="0" w:color="auto"/>
            <w:left w:val="none" w:sz="0" w:space="0" w:color="auto"/>
            <w:bottom w:val="none" w:sz="0" w:space="0" w:color="auto"/>
            <w:right w:val="none" w:sz="0" w:space="0" w:color="auto"/>
          </w:divBdr>
        </w:div>
        <w:div w:id="1748451562">
          <w:marLeft w:val="864"/>
          <w:marRight w:val="0"/>
          <w:marTop w:val="0"/>
          <w:marBottom w:val="82"/>
          <w:divBdr>
            <w:top w:val="none" w:sz="0" w:space="0" w:color="auto"/>
            <w:left w:val="none" w:sz="0" w:space="0" w:color="auto"/>
            <w:bottom w:val="none" w:sz="0" w:space="0" w:color="auto"/>
            <w:right w:val="none" w:sz="0" w:space="0" w:color="auto"/>
          </w:divBdr>
        </w:div>
        <w:div w:id="1708987212">
          <w:marLeft w:val="864"/>
          <w:marRight w:val="0"/>
          <w:marTop w:val="0"/>
          <w:marBottom w:val="82"/>
          <w:divBdr>
            <w:top w:val="none" w:sz="0" w:space="0" w:color="auto"/>
            <w:left w:val="none" w:sz="0" w:space="0" w:color="auto"/>
            <w:bottom w:val="none" w:sz="0" w:space="0" w:color="auto"/>
            <w:right w:val="none" w:sz="0" w:space="0" w:color="auto"/>
          </w:divBdr>
        </w:div>
        <w:div w:id="1431121603">
          <w:marLeft w:val="864"/>
          <w:marRight w:val="0"/>
          <w:marTop w:val="0"/>
          <w:marBottom w:val="82"/>
          <w:divBdr>
            <w:top w:val="none" w:sz="0" w:space="0" w:color="auto"/>
            <w:left w:val="none" w:sz="0" w:space="0" w:color="auto"/>
            <w:bottom w:val="none" w:sz="0" w:space="0" w:color="auto"/>
            <w:right w:val="none" w:sz="0" w:space="0" w:color="auto"/>
          </w:divBdr>
        </w:div>
        <w:div w:id="1910115914">
          <w:marLeft w:val="864"/>
          <w:marRight w:val="0"/>
          <w:marTop w:val="0"/>
          <w:marBottom w:val="82"/>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995471">
      <w:bodyDiv w:val="1"/>
      <w:marLeft w:val="0"/>
      <w:marRight w:val="0"/>
      <w:marTop w:val="0"/>
      <w:marBottom w:val="0"/>
      <w:divBdr>
        <w:top w:val="none" w:sz="0" w:space="0" w:color="auto"/>
        <w:left w:val="none" w:sz="0" w:space="0" w:color="auto"/>
        <w:bottom w:val="none" w:sz="0" w:space="0" w:color="auto"/>
        <w:right w:val="none" w:sz="0" w:space="0" w:color="auto"/>
      </w:divBdr>
      <w:divsChild>
        <w:div w:id="1524200260">
          <w:marLeft w:val="0"/>
          <w:marRight w:val="0"/>
          <w:marTop w:val="0"/>
          <w:marBottom w:val="82"/>
          <w:divBdr>
            <w:top w:val="none" w:sz="0" w:space="0" w:color="auto"/>
            <w:left w:val="none" w:sz="0" w:space="0" w:color="auto"/>
            <w:bottom w:val="none" w:sz="0" w:space="0" w:color="auto"/>
            <w:right w:val="none" w:sz="0" w:space="0" w:color="auto"/>
          </w:divBdr>
        </w:div>
        <w:div w:id="484199057">
          <w:marLeft w:val="0"/>
          <w:marRight w:val="0"/>
          <w:marTop w:val="0"/>
          <w:marBottom w:val="101"/>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1852824">
      <w:bodyDiv w:val="1"/>
      <w:marLeft w:val="0"/>
      <w:marRight w:val="0"/>
      <w:marTop w:val="0"/>
      <w:marBottom w:val="0"/>
      <w:divBdr>
        <w:top w:val="none" w:sz="0" w:space="0" w:color="auto"/>
        <w:left w:val="none" w:sz="0" w:space="0" w:color="auto"/>
        <w:bottom w:val="none" w:sz="0" w:space="0" w:color="auto"/>
        <w:right w:val="none" w:sz="0" w:space="0" w:color="auto"/>
      </w:divBdr>
      <w:divsChild>
        <w:div w:id="1404376417">
          <w:marLeft w:val="0"/>
          <w:marRight w:val="0"/>
          <w:marTop w:val="0"/>
          <w:marBottom w:val="82"/>
          <w:divBdr>
            <w:top w:val="none" w:sz="0" w:space="0" w:color="auto"/>
            <w:left w:val="none" w:sz="0" w:space="0" w:color="auto"/>
            <w:bottom w:val="none" w:sz="0" w:space="0" w:color="auto"/>
            <w:right w:val="none" w:sz="0" w:space="0" w:color="auto"/>
          </w:divBdr>
        </w:div>
        <w:div w:id="846017384">
          <w:marLeft w:val="864"/>
          <w:marRight w:val="0"/>
          <w:marTop w:val="0"/>
          <w:marBottom w:val="82"/>
          <w:divBdr>
            <w:top w:val="none" w:sz="0" w:space="0" w:color="auto"/>
            <w:left w:val="none" w:sz="0" w:space="0" w:color="auto"/>
            <w:bottom w:val="none" w:sz="0" w:space="0" w:color="auto"/>
            <w:right w:val="none" w:sz="0" w:space="0" w:color="auto"/>
          </w:divBdr>
        </w:div>
        <w:div w:id="586228647">
          <w:marLeft w:val="864"/>
          <w:marRight w:val="0"/>
          <w:marTop w:val="0"/>
          <w:marBottom w:val="82"/>
          <w:divBdr>
            <w:top w:val="none" w:sz="0" w:space="0" w:color="auto"/>
            <w:left w:val="none" w:sz="0" w:space="0" w:color="auto"/>
            <w:bottom w:val="none" w:sz="0" w:space="0" w:color="auto"/>
            <w:right w:val="none" w:sz="0" w:space="0" w:color="auto"/>
          </w:divBdr>
        </w:div>
        <w:div w:id="1066102864">
          <w:marLeft w:val="864"/>
          <w:marRight w:val="0"/>
          <w:marTop w:val="0"/>
          <w:marBottom w:val="82"/>
          <w:divBdr>
            <w:top w:val="none" w:sz="0" w:space="0" w:color="auto"/>
            <w:left w:val="none" w:sz="0" w:space="0" w:color="auto"/>
            <w:bottom w:val="none" w:sz="0" w:space="0" w:color="auto"/>
            <w:right w:val="none" w:sz="0" w:space="0" w:color="auto"/>
          </w:divBdr>
        </w:div>
        <w:div w:id="1170220780">
          <w:marLeft w:val="864"/>
          <w:marRight w:val="0"/>
          <w:marTop w:val="0"/>
          <w:marBottom w:val="82"/>
          <w:divBdr>
            <w:top w:val="none" w:sz="0" w:space="0" w:color="auto"/>
            <w:left w:val="none" w:sz="0" w:space="0" w:color="auto"/>
            <w:bottom w:val="none" w:sz="0" w:space="0" w:color="auto"/>
            <w:right w:val="none" w:sz="0" w:space="0" w:color="auto"/>
          </w:divBdr>
        </w:div>
        <w:div w:id="1075006244">
          <w:marLeft w:val="864"/>
          <w:marRight w:val="0"/>
          <w:marTop w:val="0"/>
          <w:marBottom w:val="82"/>
          <w:divBdr>
            <w:top w:val="none" w:sz="0" w:space="0" w:color="auto"/>
            <w:left w:val="none" w:sz="0" w:space="0" w:color="auto"/>
            <w:bottom w:val="none" w:sz="0" w:space="0" w:color="auto"/>
            <w:right w:val="none" w:sz="0" w:space="0" w:color="auto"/>
          </w:divBdr>
        </w:div>
        <w:div w:id="1029843617">
          <w:marLeft w:val="864"/>
          <w:marRight w:val="0"/>
          <w:marTop w:val="0"/>
          <w:marBottom w:val="82"/>
          <w:divBdr>
            <w:top w:val="none" w:sz="0" w:space="0" w:color="auto"/>
            <w:left w:val="none" w:sz="0" w:space="0" w:color="auto"/>
            <w:bottom w:val="none" w:sz="0" w:space="0" w:color="auto"/>
            <w:right w:val="none" w:sz="0" w:space="0" w:color="auto"/>
          </w:divBdr>
        </w:div>
        <w:div w:id="1806435326">
          <w:marLeft w:val="864"/>
          <w:marRight w:val="0"/>
          <w:marTop w:val="0"/>
          <w:marBottom w:val="82"/>
          <w:divBdr>
            <w:top w:val="none" w:sz="0" w:space="0" w:color="auto"/>
            <w:left w:val="none" w:sz="0" w:space="0" w:color="auto"/>
            <w:bottom w:val="none" w:sz="0" w:space="0" w:color="auto"/>
            <w:right w:val="none" w:sz="0" w:space="0" w:color="auto"/>
          </w:divBdr>
        </w:div>
      </w:divsChild>
    </w:div>
    <w:div w:id="1067000030">
      <w:bodyDiv w:val="1"/>
      <w:marLeft w:val="0"/>
      <w:marRight w:val="0"/>
      <w:marTop w:val="0"/>
      <w:marBottom w:val="0"/>
      <w:divBdr>
        <w:top w:val="none" w:sz="0" w:space="0" w:color="auto"/>
        <w:left w:val="none" w:sz="0" w:space="0" w:color="auto"/>
        <w:bottom w:val="none" w:sz="0" w:space="0" w:color="auto"/>
        <w:right w:val="none" w:sz="0" w:space="0" w:color="auto"/>
      </w:divBdr>
      <w:divsChild>
        <w:div w:id="982660518">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1039473933">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92671054">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636642611">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2001155413">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565916285">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22483681">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sChild>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93810310">
      <w:bodyDiv w:val="1"/>
      <w:marLeft w:val="0"/>
      <w:marRight w:val="0"/>
      <w:marTop w:val="0"/>
      <w:marBottom w:val="0"/>
      <w:divBdr>
        <w:top w:val="none" w:sz="0" w:space="0" w:color="auto"/>
        <w:left w:val="none" w:sz="0" w:space="0" w:color="auto"/>
        <w:bottom w:val="none" w:sz="0" w:space="0" w:color="auto"/>
        <w:right w:val="none" w:sz="0" w:space="0" w:color="auto"/>
      </w:divBdr>
      <w:divsChild>
        <w:div w:id="230117815">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1962107030">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191504634">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757288807">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858008278">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1722290381">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93596176">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sChild>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6400448">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07783030">
      <w:bodyDiv w:val="1"/>
      <w:marLeft w:val="0"/>
      <w:marRight w:val="0"/>
      <w:marTop w:val="0"/>
      <w:marBottom w:val="0"/>
      <w:divBdr>
        <w:top w:val="none" w:sz="0" w:space="0" w:color="auto"/>
        <w:left w:val="none" w:sz="0" w:space="0" w:color="auto"/>
        <w:bottom w:val="none" w:sz="0" w:space="0" w:color="auto"/>
        <w:right w:val="none" w:sz="0" w:space="0" w:color="auto"/>
      </w:divBdr>
      <w:divsChild>
        <w:div w:id="465196892">
          <w:marLeft w:val="0"/>
          <w:marRight w:val="0"/>
          <w:marTop w:val="0"/>
          <w:marBottom w:val="101"/>
          <w:divBdr>
            <w:top w:val="none" w:sz="0" w:space="0" w:color="auto"/>
            <w:left w:val="none" w:sz="0" w:space="0" w:color="auto"/>
            <w:bottom w:val="none" w:sz="0" w:space="0" w:color="auto"/>
            <w:right w:val="none" w:sz="0" w:space="0" w:color="auto"/>
          </w:divBdr>
        </w:div>
        <w:div w:id="241178729">
          <w:marLeft w:val="0"/>
          <w:marRight w:val="0"/>
          <w:marTop w:val="0"/>
          <w:marBottom w:val="101"/>
          <w:divBdr>
            <w:top w:val="none" w:sz="0" w:space="0" w:color="auto"/>
            <w:left w:val="none" w:sz="0" w:space="0" w:color="auto"/>
            <w:bottom w:val="none" w:sz="0" w:space="0" w:color="auto"/>
            <w:right w:val="none" w:sz="0" w:space="0" w:color="auto"/>
          </w:divBdr>
        </w:div>
        <w:div w:id="167407615">
          <w:marLeft w:val="864"/>
          <w:marRight w:val="0"/>
          <w:marTop w:val="0"/>
          <w:marBottom w:val="101"/>
          <w:divBdr>
            <w:top w:val="none" w:sz="0" w:space="0" w:color="auto"/>
            <w:left w:val="none" w:sz="0" w:space="0" w:color="auto"/>
            <w:bottom w:val="none" w:sz="0" w:space="0" w:color="auto"/>
            <w:right w:val="none" w:sz="0" w:space="0" w:color="auto"/>
          </w:divBdr>
        </w:div>
        <w:div w:id="800340790">
          <w:marLeft w:val="864"/>
          <w:marRight w:val="0"/>
          <w:marTop w:val="0"/>
          <w:marBottom w:val="101"/>
          <w:divBdr>
            <w:top w:val="none" w:sz="0" w:space="0" w:color="auto"/>
            <w:left w:val="none" w:sz="0" w:space="0" w:color="auto"/>
            <w:bottom w:val="none" w:sz="0" w:space="0" w:color="auto"/>
            <w:right w:val="none" w:sz="0" w:space="0" w:color="auto"/>
          </w:divBdr>
        </w:div>
        <w:div w:id="592011368">
          <w:marLeft w:val="864"/>
          <w:marRight w:val="0"/>
          <w:marTop w:val="0"/>
          <w:marBottom w:val="101"/>
          <w:divBdr>
            <w:top w:val="none" w:sz="0" w:space="0" w:color="auto"/>
            <w:left w:val="none" w:sz="0" w:space="0" w:color="auto"/>
            <w:bottom w:val="none" w:sz="0" w:space="0" w:color="auto"/>
            <w:right w:val="none" w:sz="0" w:space="0" w:color="auto"/>
          </w:divBdr>
        </w:div>
        <w:div w:id="175198819">
          <w:marLeft w:val="864"/>
          <w:marRight w:val="0"/>
          <w:marTop w:val="0"/>
          <w:marBottom w:val="101"/>
          <w:divBdr>
            <w:top w:val="none" w:sz="0" w:space="0" w:color="auto"/>
            <w:left w:val="none" w:sz="0" w:space="0" w:color="auto"/>
            <w:bottom w:val="none" w:sz="0" w:space="0" w:color="auto"/>
            <w:right w:val="none" w:sz="0" w:space="0" w:color="auto"/>
          </w:divBdr>
        </w:div>
      </w:divsChild>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77012282">
      <w:bodyDiv w:val="1"/>
      <w:marLeft w:val="0"/>
      <w:marRight w:val="0"/>
      <w:marTop w:val="0"/>
      <w:marBottom w:val="0"/>
      <w:divBdr>
        <w:top w:val="none" w:sz="0" w:space="0" w:color="auto"/>
        <w:left w:val="none" w:sz="0" w:space="0" w:color="auto"/>
        <w:bottom w:val="none" w:sz="0" w:space="0" w:color="auto"/>
        <w:right w:val="none" w:sz="0" w:space="0" w:color="auto"/>
      </w:divBdr>
    </w:div>
    <w:div w:id="1596280150">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7680930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8108293">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4569539">
      <w:bodyDiv w:val="1"/>
      <w:marLeft w:val="0"/>
      <w:marRight w:val="0"/>
      <w:marTop w:val="0"/>
      <w:marBottom w:val="0"/>
      <w:divBdr>
        <w:top w:val="none" w:sz="0" w:space="0" w:color="auto"/>
        <w:left w:val="none" w:sz="0" w:space="0" w:color="auto"/>
        <w:bottom w:val="none" w:sz="0" w:space="0" w:color="auto"/>
        <w:right w:val="none" w:sz="0" w:space="0" w:color="auto"/>
      </w:divBdr>
      <w:divsChild>
        <w:div w:id="920455096">
          <w:marLeft w:val="0"/>
          <w:marRight w:val="0"/>
          <w:marTop w:val="0"/>
          <w:marBottom w:val="101"/>
          <w:divBdr>
            <w:top w:val="none" w:sz="0" w:space="0" w:color="auto"/>
            <w:left w:val="none" w:sz="0" w:space="0" w:color="auto"/>
            <w:bottom w:val="none" w:sz="0" w:space="0" w:color="auto"/>
            <w:right w:val="none" w:sz="0" w:space="0" w:color="auto"/>
          </w:divBdr>
        </w:div>
        <w:div w:id="483668074">
          <w:marLeft w:val="864"/>
          <w:marRight w:val="0"/>
          <w:marTop w:val="0"/>
          <w:marBottom w:val="101"/>
          <w:divBdr>
            <w:top w:val="none" w:sz="0" w:space="0" w:color="auto"/>
            <w:left w:val="none" w:sz="0" w:space="0" w:color="auto"/>
            <w:bottom w:val="none" w:sz="0" w:space="0" w:color="auto"/>
            <w:right w:val="none" w:sz="0" w:space="0" w:color="auto"/>
          </w:divBdr>
        </w:div>
        <w:div w:id="1921014289">
          <w:marLeft w:val="864"/>
          <w:marRight w:val="0"/>
          <w:marTop w:val="0"/>
          <w:marBottom w:val="101"/>
          <w:divBdr>
            <w:top w:val="none" w:sz="0" w:space="0" w:color="auto"/>
            <w:left w:val="none" w:sz="0" w:space="0" w:color="auto"/>
            <w:bottom w:val="none" w:sz="0" w:space="0" w:color="auto"/>
            <w:right w:val="none" w:sz="0" w:space="0" w:color="auto"/>
          </w:divBdr>
        </w:div>
        <w:div w:id="1574773398">
          <w:marLeft w:val="0"/>
          <w:marRight w:val="0"/>
          <w:marTop w:val="0"/>
          <w:marBottom w:val="101"/>
          <w:divBdr>
            <w:top w:val="none" w:sz="0" w:space="0" w:color="auto"/>
            <w:left w:val="none" w:sz="0" w:space="0" w:color="auto"/>
            <w:bottom w:val="none" w:sz="0" w:space="0" w:color="auto"/>
            <w:right w:val="none" w:sz="0" w:space="0" w:color="auto"/>
          </w:divBdr>
        </w:div>
        <w:div w:id="1649628604">
          <w:marLeft w:val="864"/>
          <w:marRight w:val="0"/>
          <w:marTop w:val="0"/>
          <w:marBottom w:val="101"/>
          <w:divBdr>
            <w:top w:val="none" w:sz="0" w:space="0" w:color="auto"/>
            <w:left w:val="none" w:sz="0" w:space="0" w:color="auto"/>
            <w:bottom w:val="none" w:sz="0" w:space="0" w:color="auto"/>
            <w:right w:val="none" w:sz="0" w:space="0" w:color="auto"/>
          </w:divBdr>
        </w:div>
        <w:div w:id="804009774">
          <w:marLeft w:val="864"/>
          <w:marRight w:val="0"/>
          <w:marTop w:val="0"/>
          <w:marBottom w:val="101"/>
          <w:divBdr>
            <w:top w:val="none" w:sz="0" w:space="0" w:color="auto"/>
            <w:left w:val="none" w:sz="0" w:space="0" w:color="auto"/>
            <w:bottom w:val="none" w:sz="0" w:space="0" w:color="auto"/>
            <w:right w:val="none" w:sz="0" w:space="0" w:color="auto"/>
          </w:divBdr>
        </w:div>
        <w:div w:id="1870100870">
          <w:marLeft w:val="864"/>
          <w:marRight w:val="0"/>
          <w:marTop w:val="0"/>
          <w:marBottom w:val="101"/>
          <w:divBdr>
            <w:top w:val="none" w:sz="0" w:space="0" w:color="auto"/>
            <w:left w:val="none" w:sz="0" w:space="0" w:color="auto"/>
            <w:bottom w:val="none" w:sz="0" w:space="0" w:color="auto"/>
            <w:right w:val="none" w:sz="0" w:space="0" w:color="auto"/>
          </w:divBdr>
        </w:div>
        <w:div w:id="777681220">
          <w:marLeft w:val="864"/>
          <w:marRight w:val="0"/>
          <w:marTop w:val="0"/>
          <w:marBottom w:val="101"/>
          <w:divBdr>
            <w:top w:val="none" w:sz="0" w:space="0" w:color="auto"/>
            <w:left w:val="none" w:sz="0" w:space="0" w:color="auto"/>
            <w:bottom w:val="none" w:sz="0" w:space="0" w:color="auto"/>
            <w:right w:val="none" w:sz="0" w:space="0" w:color="auto"/>
          </w:divBdr>
        </w:div>
        <w:div w:id="1426608376">
          <w:marLeft w:val="0"/>
          <w:marRight w:val="0"/>
          <w:marTop w:val="0"/>
          <w:marBottom w:val="101"/>
          <w:divBdr>
            <w:top w:val="none" w:sz="0" w:space="0" w:color="auto"/>
            <w:left w:val="none" w:sz="0" w:space="0" w:color="auto"/>
            <w:bottom w:val="none" w:sz="0" w:space="0" w:color="auto"/>
            <w:right w:val="none" w:sz="0" w:space="0" w:color="auto"/>
          </w:divBdr>
        </w:div>
        <w:div w:id="1793015178">
          <w:marLeft w:val="0"/>
          <w:marRight w:val="0"/>
          <w:marTop w:val="0"/>
          <w:marBottom w:val="101"/>
          <w:divBdr>
            <w:top w:val="none" w:sz="0" w:space="0" w:color="auto"/>
            <w:left w:val="none" w:sz="0" w:space="0" w:color="auto"/>
            <w:bottom w:val="none" w:sz="0" w:space="0" w:color="auto"/>
            <w:right w:val="none" w:sz="0" w:space="0" w:color="auto"/>
          </w:divBdr>
        </w:div>
        <w:div w:id="1816490335">
          <w:marLeft w:val="864"/>
          <w:marRight w:val="0"/>
          <w:marTop w:val="0"/>
          <w:marBottom w:val="101"/>
          <w:divBdr>
            <w:top w:val="none" w:sz="0" w:space="0" w:color="auto"/>
            <w:left w:val="none" w:sz="0" w:space="0" w:color="auto"/>
            <w:bottom w:val="none" w:sz="0" w:space="0" w:color="auto"/>
            <w:right w:val="none" w:sz="0" w:space="0" w:color="auto"/>
          </w:divBdr>
        </w:div>
        <w:div w:id="1683238233">
          <w:marLeft w:val="864"/>
          <w:marRight w:val="0"/>
          <w:marTop w:val="0"/>
          <w:marBottom w:val="101"/>
          <w:divBdr>
            <w:top w:val="none" w:sz="0" w:space="0" w:color="auto"/>
            <w:left w:val="none" w:sz="0" w:space="0" w:color="auto"/>
            <w:bottom w:val="none" w:sz="0" w:space="0" w:color="auto"/>
            <w:right w:val="none" w:sz="0" w:space="0" w:color="auto"/>
          </w:divBdr>
        </w:div>
        <w:div w:id="850948221">
          <w:marLeft w:val="0"/>
          <w:marRight w:val="0"/>
          <w:marTop w:val="0"/>
          <w:marBottom w:val="101"/>
          <w:divBdr>
            <w:top w:val="none" w:sz="0" w:space="0" w:color="auto"/>
            <w:left w:val="none" w:sz="0" w:space="0" w:color="auto"/>
            <w:bottom w:val="none" w:sz="0" w:space="0" w:color="auto"/>
            <w:right w:val="none" w:sz="0" w:space="0" w:color="auto"/>
          </w:divBdr>
        </w:div>
        <w:div w:id="565918592">
          <w:marLeft w:val="0"/>
          <w:marRight w:val="0"/>
          <w:marTop w:val="0"/>
          <w:marBottom w:val="101"/>
          <w:divBdr>
            <w:top w:val="none" w:sz="0" w:space="0" w:color="auto"/>
            <w:left w:val="none" w:sz="0" w:space="0" w:color="auto"/>
            <w:bottom w:val="none" w:sz="0" w:space="0" w:color="auto"/>
            <w:right w:val="none" w:sz="0" w:space="0" w:color="auto"/>
          </w:divBdr>
        </w:div>
        <w:div w:id="940143429">
          <w:marLeft w:val="0"/>
          <w:marRight w:val="0"/>
          <w:marTop w:val="0"/>
          <w:marBottom w:val="101"/>
          <w:divBdr>
            <w:top w:val="none" w:sz="0" w:space="0" w:color="auto"/>
            <w:left w:val="none" w:sz="0" w:space="0" w:color="auto"/>
            <w:bottom w:val="none" w:sz="0" w:space="0" w:color="auto"/>
            <w:right w:val="none" w:sz="0" w:space="0" w:color="auto"/>
          </w:divBdr>
        </w:div>
        <w:div w:id="1162159689">
          <w:marLeft w:val="0"/>
          <w:marRight w:val="0"/>
          <w:marTop w:val="0"/>
          <w:marBottom w:val="101"/>
          <w:divBdr>
            <w:top w:val="none" w:sz="0" w:space="0" w:color="auto"/>
            <w:left w:val="none" w:sz="0" w:space="0" w:color="auto"/>
            <w:bottom w:val="none" w:sz="0" w:space="0" w:color="auto"/>
            <w:right w:val="none" w:sz="0" w:space="0" w:color="auto"/>
          </w:divBdr>
        </w:div>
        <w:div w:id="1396007875">
          <w:marLeft w:val="0"/>
          <w:marRight w:val="0"/>
          <w:marTop w:val="0"/>
          <w:marBottom w:val="101"/>
          <w:divBdr>
            <w:top w:val="none" w:sz="0" w:space="0" w:color="auto"/>
            <w:left w:val="none" w:sz="0" w:space="0" w:color="auto"/>
            <w:bottom w:val="none" w:sz="0" w:space="0" w:color="auto"/>
            <w:right w:val="none" w:sz="0" w:space="0" w:color="auto"/>
          </w:divBdr>
        </w:div>
        <w:div w:id="1387728016">
          <w:marLeft w:val="0"/>
          <w:marRight w:val="0"/>
          <w:marTop w:val="0"/>
          <w:marBottom w:val="101"/>
          <w:divBdr>
            <w:top w:val="none" w:sz="0" w:space="0" w:color="auto"/>
            <w:left w:val="none" w:sz="0" w:space="0" w:color="auto"/>
            <w:bottom w:val="none" w:sz="0" w:space="0" w:color="auto"/>
            <w:right w:val="none" w:sz="0" w:space="0" w:color="auto"/>
          </w:divBdr>
        </w:div>
        <w:div w:id="2121417055">
          <w:marLeft w:val="0"/>
          <w:marRight w:val="0"/>
          <w:marTop w:val="0"/>
          <w:marBottom w:val="82"/>
          <w:divBdr>
            <w:top w:val="none" w:sz="0" w:space="0" w:color="auto"/>
            <w:left w:val="none" w:sz="0" w:space="0" w:color="auto"/>
            <w:bottom w:val="none" w:sz="0" w:space="0" w:color="auto"/>
            <w:right w:val="none" w:sz="0" w:space="0" w:color="auto"/>
          </w:divBdr>
        </w:div>
      </w:divsChild>
    </w:div>
    <w:div w:id="1791700381">
      <w:bodyDiv w:val="1"/>
      <w:marLeft w:val="0"/>
      <w:marRight w:val="0"/>
      <w:marTop w:val="0"/>
      <w:marBottom w:val="0"/>
      <w:divBdr>
        <w:top w:val="none" w:sz="0" w:space="0" w:color="auto"/>
        <w:left w:val="none" w:sz="0" w:space="0" w:color="auto"/>
        <w:bottom w:val="none" w:sz="0" w:space="0" w:color="auto"/>
        <w:right w:val="none" w:sz="0" w:space="0" w:color="auto"/>
      </w:divBdr>
      <w:divsChild>
        <w:div w:id="2026595708">
          <w:marLeft w:val="0"/>
          <w:marRight w:val="0"/>
          <w:marTop w:val="0"/>
          <w:marBottom w:val="101"/>
          <w:divBdr>
            <w:top w:val="none" w:sz="0" w:space="0" w:color="auto"/>
            <w:left w:val="none" w:sz="0" w:space="0" w:color="auto"/>
            <w:bottom w:val="none" w:sz="0" w:space="0" w:color="auto"/>
            <w:right w:val="none" w:sz="0" w:space="0" w:color="auto"/>
          </w:divBdr>
        </w:div>
        <w:div w:id="1918056305">
          <w:marLeft w:val="0"/>
          <w:marRight w:val="0"/>
          <w:marTop w:val="0"/>
          <w:marBottom w:val="101"/>
          <w:divBdr>
            <w:top w:val="none" w:sz="0" w:space="0" w:color="auto"/>
            <w:left w:val="none" w:sz="0" w:space="0" w:color="auto"/>
            <w:bottom w:val="none" w:sz="0" w:space="0" w:color="auto"/>
            <w:right w:val="none" w:sz="0" w:space="0" w:color="auto"/>
          </w:divBdr>
        </w:div>
        <w:div w:id="81340641">
          <w:marLeft w:val="864"/>
          <w:marRight w:val="0"/>
          <w:marTop w:val="0"/>
          <w:marBottom w:val="101"/>
          <w:divBdr>
            <w:top w:val="none" w:sz="0" w:space="0" w:color="auto"/>
            <w:left w:val="none" w:sz="0" w:space="0" w:color="auto"/>
            <w:bottom w:val="none" w:sz="0" w:space="0" w:color="auto"/>
            <w:right w:val="none" w:sz="0" w:space="0" w:color="auto"/>
          </w:divBdr>
        </w:div>
        <w:div w:id="1110004165">
          <w:marLeft w:val="864"/>
          <w:marRight w:val="0"/>
          <w:marTop w:val="0"/>
          <w:marBottom w:val="101"/>
          <w:divBdr>
            <w:top w:val="none" w:sz="0" w:space="0" w:color="auto"/>
            <w:left w:val="none" w:sz="0" w:space="0" w:color="auto"/>
            <w:bottom w:val="none" w:sz="0" w:space="0" w:color="auto"/>
            <w:right w:val="none" w:sz="0" w:space="0" w:color="auto"/>
          </w:divBdr>
        </w:div>
        <w:div w:id="351684707">
          <w:marLeft w:val="864"/>
          <w:marRight w:val="0"/>
          <w:marTop w:val="0"/>
          <w:marBottom w:val="101"/>
          <w:divBdr>
            <w:top w:val="none" w:sz="0" w:space="0" w:color="auto"/>
            <w:left w:val="none" w:sz="0" w:space="0" w:color="auto"/>
            <w:bottom w:val="none" w:sz="0" w:space="0" w:color="auto"/>
            <w:right w:val="none" w:sz="0" w:space="0" w:color="auto"/>
          </w:divBdr>
        </w:div>
        <w:div w:id="550457609">
          <w:marLeft w:val="864"/>
          <w:marRight w:val="0"/>
          <w:marTop w:val="0"/>
          <w:marBottom w:val="101"/>
          <w:divBdr>
            <w:top w:val="none" w:sz="0" w:space="0" w:color="auto"/>
            <w:left w:val="none" w:sz="0" w:space="0" w:color="auto"/>
            <w:bottom w:val="none" w:sz="0" w:space="0" w:color="auto"/>
            <w:right w:val="none" w:sz="0" w:space="0" w:color="auto"/>
          </w:divBdr>
        </w:div>
      </w:divsChild>
    </w:div>
    <w:div w:id="1814566585">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2588581">
      <w:bodyDiv w:val="1"/>
      <w:marLeft w:val="0"/>
      <w:marRight w:val="0"/>
      <w:marTop w:val="0"/>
      <w:marBottom w:val="0"/>
      <w:divBdr>
        <w:top w:val="none" w:sz="0" w:space="0" w:color="auto"/>
        <w:left w:val="none" w:sz="0" w:space="0" w:color="auto"/>
        <w:bottom w:val="none" w:sz="0" w:space="0" w:color="auto"/>
        <w:right w:val="none" w:sz="0" w:space="0" w:color="auto"/>
      </w:divBdr>
      <w:divsChild>
        <w:div w:id="1446391276">
          <w:marLeft w:val="0"/>
          <w:marRight w:val="0"/>
          <w:marTop w:val="0"/>
          <w:marBottom w:val="101"/>
          <w:divBdr>
            <w:top w:val="none" w:sz="0" w:space="0" w:color="auto"/>
            <w:left w:val="none" w:sz="0" w:space="0" w:color="auto"/>
            <w:bottom w:val="none" w:sz="0" w:space="0" w:color="auto"/>
            <w:right w:val="none" w:sz="0" w:space="0" w:color="auto"/>
          </w:divBdr>
        </w:div>
        <w:div w:id="1012729487">
          <w:marLeft w:val="864"/>
          <w:marRight w:val="0"/>
          <w:marTop w:val="0"/>
          <w:marBottom w:val="101"/>
          <w:divBdr>
            <w:top w:val="none" w:sz="0" w:space="0" w:color="auto"/>
            <w:left w:val="none" w:sz="0" w:space="0" w:color="auto"/>
            <w:bottom w:val="none" w:sz="0" w:space="0" w:color="auto"/>
            <w:right w:val="none" w:sz="0" w:space="0" w:color="auto"/>
          </w:divBdr>
        </w:div>
        <w:div w:id="568228990">
          <w:marLeft w:val="864"/>
          <w:marRight w:val="0"/>
          <w:marTop w:val="0"/>
          <w:marBottom w:val="101"/>
          <w:divBdr>
            <w:top w:val="none" w:sz="0" w:space="0" w:color="auto"/>
            <w:left w:val="none" w:sz="0" w:space="0" w:color="auto"/>
            <w:bottom w:val="none" w:sz="0" w:space="0" w:color="auto"/>
            <w:right w:val="none" w:sz="0" w:space="0" w:color="auto"/>
          </w:divBdr>
        </w:div>
        <w:div w:id="271672726">
          <w:marLeft w:val="864"/>
          <w:marRight w:val="0"/>
          <w:marTop w:val="0"/>
          <w:marBottom w:val="101"/>
          <w:divBdr>
            <w:top w:val="none" w:sz="0" w:space="0" w:color="auto"/>
            <w:left w:val="none" w:sz="0" w:space="0" w:color="auto"/>
            <w:bottom w:val="none" w:sz="0" w:space="0" w:color="auto"/>
            <w:right w:val="none" w:sz="0" w:space="0" w:color="auto"/>
          </w:divBdr>
        </w:div>
        <w:div w:id="1150367205">
          <w:marLeft w:val="864"/>
          <w:marRight w:val="0"/>
          <w:marTop w:val="0"/>
          <w:marBottom w:val="101"/>
          <w:divBdr>
            <w:top w:val="none" w:sz="0" w:space="0" w:color="auto"/>
            <w:left w:val="none" w:sz="0" w:space="0" w:color="auto"/>
            <w:bottom w:val="none" w:sz="0" w:space="0" w:color="auto"/>
            <w:right w:val="none" w:sz="0" w:space="0" w:color="auto"/>
          </w:divBdr>
        </w:div>
        <w:div w:id="504370569">
          <w:marLeft w:val="864"/>
          <w:marRight w:val="0"/>
          <w:marTop w:val="0"/>
          <w:marBottom w:val="101"/>
          <w:divBdr>
            <w:top w:val="none" w:sz="0" w:space="0" w:color="auto"/>
            <w:left w:val="none" w:sz="0" w:space="0" w:color="auto"/>
            <w:bottom w:val="none" w:sz="0" w:space="0" w:color="auto"/>
            <w:right w:val="none" w:sz="0" w:space="0" w:color="auto"/>
          </w:divBdr>
        </w:div>
        <w:div w:id="1205942811">
          <w:marLeft w:val="864"/>
          <w:marRight w:val="0"/>
          <w:marTop w:val="0"/>
          <w:marBottom w:val="101"/>
          <w:divBdr>
            <w:top w:val="none" w:sz="0" w:space="0" w:color="auto"/>
            <w:left w:val="none" w:sz="0" w:space="0" w:color="auto"/>
            <w:bottom w:val="none" w:sz="0" w:space="0" w:color="auto"/>
            <w:right w:val="none" w:sz="0" w:space="0" w:color="auto"/>
          </w:divBdr>
        </w:div>
        <w:div w:id="1053502880">
          <w:marLeft w:val="864"/>
          <w:marRight w:val="0"/>
          <w:marTop w:val="0"/>
          <w:marBottom w:val="101"/>
          <w:divBdr>
            <w:top w:val="none" w:sz="0" w:space="0" w:color="auto"/>
            <w:left w:val="none" w:sz="0" w:space="0" w:color="auto"/>
            <w:bottom w:val="none" w:sz="0" w:space="0" w:color="auto"/>
            <w:right w:val="none" w:sz="0" w:space="0" w:color="auto"/>
          </w:divBdr>
        </w:div>
      </w:divsChild>
    </w:div>
    <w:div w:id="2055150837">
      <w:bodyDiv w:val="1"/>
      <w:marLeft w:val="0"/>
      <w:marRight w:val="0"/>
      <w:marTop w:val="0"/>
      <w:marBottom w:val="0"/>
      <w:divBdr>
        <w:top w:val="none" w:sz="0" w:space="0" w:color="auto"/>
        <w:left w:val="none" w:sz="0" w:space="0" w:color="auto"/>
        <w:bottom w:val="none" w:sz="0" w:space="0" w:color="auto"/>
        <w:right w:val="none" w:sz="0" w:space="0" w:color="auto"/>
      </w:divBdr>
    </w:div>
    <w:div w:id="2082948251">
      <w:bodyDiv w:val="1"/>
      <w:marLeft w:val="0"/>
      <w:marRight w:val="0"/>
      <w:marTop w:val="0"/>
      <w:marBottom w:val="0"/>
      <w:divBdr>
        <w:top w:val="none" w:sz="0" w:space="0" w:color="auto"/>
        <w:left w:val="none" w:sz="0" w:space="0" w:color="auto"/>
        <w:bottom w:val="none" w:sz="0" w:space="0" w:color="auto"/>
        <w:right w:val="none" w:sz="0" w:space="0" w:color="auto"/>
      </w:divBdr>
    </w:div>
    <w:div w:id="2133133055">
      <w:bodyDiv w:val="1"/>
      <w:marLeft w:val="0"/>
      <w:marRight w:val="0"/>
      <w:marTop w:val="0"/>
      <w:marBottom w:val="0"/>
      <w:divBdr>
        <w:top w:val="none" w:sz="0" w:space="0" w:color="auto"/>
        <w:left w:val="none" w:sz="0" w:space="0" w:color="auto"/>
        <w:bottom w:val="none" w:sz="0" w:space="0" w:color="auto"/>
        <w:right w:val="none" w:sz="0" w:space="0" w:color="auto"/>
      </w:divBdr>
    </w:div>
    <w:div w:id="2136098151">
      <w:bodyDiv w:val="1"/>
      <w:marLeft w:val="0"/>
      <w:marRight w:val="0"/>
      <w:marTop w:val="0"/>
      <w:marBottom w:val="0"/>
      <w:divBdr>
        <w:top w:val="none" w:sz="0" w:space="0" w:color="auto"/>
        <w:left w:val="none" w:sz="0" w:space="0" w:color="auto"/>
        <w:bottom w:val="none" w:sz="0" w:space="0" w:color="auto"/>
        <w:right w:val="none" w:sz="0" w:space="0" w:color="auto"/>
      </w:divBdr>
      <w:divsChild>
        <w:div w:id="876772717">
          <w:marLeft w:val="0"/>
          <w:marRight w:val="0"/>
          <w:marTop w:val="0"/>
          <w:marBottom w:val="82"/>
          <w:divBdr>
            <w:top w:val="none" w:sz="0" w:space="0" w:color="auto"/>
            <w:left w:val="none" w:sz="0" w:space="0" w:color="auto"/>
            <w:bottom w:val="none" w:sz="0" w:space="0" w:color="auto"/>
            <w:right w:val="none" w:sz="0" w:space="0" w:color="auto"/>
          </w:divBdr>
        </w:div>
        <w:div w:id="1614509464">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9C6F1-C75F-4A90-A86B-8655F0FE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Pages>
  <Words>31288</Words>
  <Characters>172087</Characters>
  <Application>Microsoft Office Word</Application>
  <DocSecurity>0</DocSecurity>
  <Lines>1434</Lines>
  <Paragraphs>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27</cp:revision>
  <cp:lastPrinted>2022-04-21T22:20:00Z</cp:lastPrinted>
  <dcterms:created xsi:type="dcterms:W3CDTF">2022-04-14T21:50:00Z</dcterms:created>
  <dcterms:modified xsi:type="dcterms:W3CDTF">2022-06-22T18:36:00Z</dcterms:modified>
</cp:coreProperties>
</file>