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1259622C" w:rsidR="00B86D2D" w:rsidRPr="0010425E"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10425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10425E">
        <w:rPr>
          <w:rFonts w:ascii="Palatino Linotype" w:eastAsiaTheme="minorEastAsia" w:hAnsi="Palatino Linotype" w:cstheme="minorBidi"/>
          <w:color w:val="000000" w:themeColor="text1"/>
          <w:lang w:val="es-ES_tradnl"/>
        </w:rPr>
        <w:t xml:space="preserve">n Metepec, Estado </w:t>
      </w:r>
      <w:r w:rsidR="00433114" w:rsidRPr="0010425E">
        <w:rPr>
          <w:rFonts w:ascii="Palatino Linotype" w:eastAsiaTheme="minorEastAsia" w:hAnsi="Palatino Linotype" w:cstheme="minorBidi"/>
          <w:color w:val="000000" w:themeColor="text1"/>
          <w:lang w:val="es-ES_tradnl"/>
        </w:rPr>
        <w:t>de México; de cinco</w:t>
      </w:r>
      <w:r w:rsidRPr="0010425E">
        <w:rPr>
          <w:rFonts w:ascii="Palatino Linotype" w:eastAsiaTheme="minorEastAsia" w:hAnsi="Palatino Linotype" w:cstheme="minorBidi"/>
          <w:color w:val="000000" w:themeColor="text1"/>
          <w:lang w:val="es-MX"/>
        </w:rPr>
        <w:t xml:space="preserve"> (</w:t>
      </w:r>
      <w:r w:rsidR="00433114" w:rsidRPr="0010425E">
        <w:rPr>
          <w:rFonts w:ascii="Palatino Linotype" w:eastAsiaTheme="minorEastAsia" w:hAnsi="Palatino Linotype" w:cstheme="minorBidi"/>
          <w:color w:val="000000" w:themeColor="text1"/>
          <w:lang w:val="es-MX"/>
        </w:rPr>
        <w:t>05</w:t>
      </w:r>
      <w:r w:rsidRPr="0010425E">
        <w:rPr>
          <w:rFonts w:ascii="Palatino Linotype" w:eastAsiaTheme="minorEastAsia" w:hAnsi="Palatino Linotype" w:cstheme="minorBidi"/>
          <w:color w:val="000000" w:themeColor="text1"/>
          <w:lang w:val="es-MX"/>
        </w:rPr>
        <w:t>) de</w:t>
      </w:r>
      <w:r w:rsidR="00433114" w:rsidRPr="0010425E">
        <w:rPr>
          <w:rFonts w:ascii="Palatino Linotype" w:eastAsiaTheme="minorEastAsia" w:hAnsi="Palatino Linotype" w:cstheme="minorBidi"/>
          <w:color w:val="000000" w:themeColor="text1"/>
          <w:lang w:val="es-MX"/>
        </w:rPr>
        <w:t xml:space="preserve"> octubre</w:t>
      </w:r>
      <w:r w:rsidR="00197171" w:rsidRPr="0010425E">
        <w:rPr>
          <w:rFonts w:ascii="Palatino Linotype" w:eastAsiaTheme="minorEastAsia" w:hAnsi="Palatino Linotype" w:cstheme="minorBidi"/>
          <w:color w:val="000000" w:themeColor="text1"/>
          <w:lang w:val="es-MX"/>
        </w:rPr>
        <w:t xml:space="preserve"> </w:t>
      </w:r>
      <w:r w:rsidR="00E82231" w:rsidRPr="0010425E">
        <w:rPr>
          <w:rFonts w:ascii="Palatino Linotype" w:eastAsiaTheme="minorEastAsia" w:hAnsi="Palatino Linotype" w:cstheme="minorBidi"/>
          <w:color w:val="000000" w:themeColor="text1"/>
          <w:lang w:val="es-MX"/>
        </w:rPr>
        <w:t>de dos mil veintidós</w:t>
      </w:r>
      <w:r w:rsidRPr="0010425E">
        <w:rPr>
          <w:rFonts w:ascii="Palatino Linotype" w:eastAsiaTheme="minorEastAsia" w:hAnsi="Palatino Linotype" w:cstheme="minorBidi"/>
          <w:color w:val="000000" w:themeColor="text1"/>
          <w:lang w:val="es-ES_tradnl"/>
        </w:rPr>
        <w:t xml:space="preserve">. </w:t>
      </w:r>
    </w:p>
    <w:p w14:paraId="4CD92C47" w14:textId="5F4501CD" w:rsidR="001B067D" w:rsidRPr="0010425E" w:rsidRDefault="001B067D" w:rsidP="00342812">
      <w:pPr>
        <w:tabs>
          <w:tab w:val="left" w:pos="3465"/>
        </w:tabs>
        <w:spacing w:before="240" w:after="360" w:line="360" w:lineRule="auto"/>
        <w:jc w:val="both"/>
        <w:rPr>
          <w:rFonts w:ascii="Palatino Linotype" w:hAnsi="Palatino Linotype"/>
        </w:rPr>
      </w:pPr>
      <w:r w:rsidRPr="0010425E">
        <w:rPr>
          <w:rFonts w:ascii="Palatino Linotype" w:eastAsiaTheme="minorEastAsia" w:hAnsi="Palatino Linotype" w:cstheme="minorBidi"/>
          <w:b/>
          <w:color w:val="000000" w:themeColor="text1"/>
          <w:lang w:val="es-ES_tradnl"/>
        </w:rPr>
        <w:t>VISTO</w:t>
      </w:r>
      <w:r w:rsidRPr="0010425E">
        <w:rPr>
          <w:rFonts w:ascii="Palatino Linotype" w:eastAsiaTheme="minorEastAsia" w:hAnsi="Palatino Linotype" w:cstheme="minorBidi"/>
          <w:color w:val="000000" w:themeColor="text1"/>
          <w:lang w:val="es-ES_tradnl"/>
        </w:rPr>
        <w:t xml:space="preserve"> el expediente electrónico formado con motivo del recurso de revisión</w:t>
      </w:r>
      <w:r w:rsidR="006E050D" w:rsidRPr="0010425E">
        <w:rPr>
          <w:rFonts w:ascii="Palatino Linotype" w:eastAsiaTheme="minorEastAsia" w:hAnsi="Palatino Linotype" w:cstheme="minorBidi"/>
          <w:color w:val="000000" w:themeColor="text1"/>
          <w:lang w:val="es-ES_tradnl"/>
        </w:rPr>
        <w:t xml:space="preserve"> </w:t>
      </w:r>
      <w:r w:rsidR="00433114" w:rsidRPr="0010425E">
        <w:rPr>
          <w:rFonts w:ascii="Palatino Linotype" w:eastAsiaTheme="minorEastAsia" w:hAnsi="Palatino Linotype" w:cstheme="minorBidi"/>
          <w:b/>
          <w:color w:val="000000" w:themeColor="text1"/>
          <w:lang w:val="es-ES_tradnl"/>
        </w:rPr>
        <w:t>10378/INFOEM/IP/RR/2022</w:t>
      </w:r>
      <w:r w:rsidRPr="0010425E">
        <w:rPr>
          <w:rFonts w:ascii="Palatino Linotype" w:eastAsiaTheme="minorEastAsia" w:hAnsi="Palatino Linotype" w:cstheme="minorBidi"/>
          <w:b/>
          <w:bCs/>
          <w:color w:val="000000" w:themeColor="text1"/>
          <w:lang w:val="es-ES_tradnl"/>
        </w:rPr>
        <w:t xml:space="preserve">, </w:t>
      </w:r>
      <w:r w:rsidRPr="0010425E">
        <w:rPr>
          <w:rFonts w:ascii="Palatino Linotype" w:eastAsiaTheme="minorEastAsia" w:hAnsi="Palatino Linotype" w:cstheme="minorBidi"/>
          <w:color w:val="000000" w:themeColor="text1"/>
          <w:lang w:val="es-ES_tradnl"/>
        </w:rPr>
        <w:t xml:space="preserve">promovido por </w:t>
      </w:r>
      <w:r w:rsidR="0010425E" w:rsidRPr="0010425E">
        <w:rPr>
          <w:rFonts w:ascii="Palatino Linotype" w:eastAsiaTheme="minorEastAsia" w:hAnsi="Palatino Linotype" w:cstheme="minorBidi"/>
          <w:b/>
          <w:color w:val="000000" w:themeColor="text1"/>
          <w:lang w:val="es-ES_tradnl"/>
        </w:rPr>
        <w:t>XXXX XXXX XXXXX</w:t>
      </w:r>
      <w:r w:rsidR="00433114" w:rsidRPr="0010425E">
        <w:rPr>
          <w:rFonts w:ascii="Palatino Linotype" w:eastAsiaTheme="minorEastAsia" w:hAnsi="Palatino Linotype" w:cstheme="minorBidi"/>
          <w:color w:val="000000" w:themeColor="text1"/>
          <w:lang w:val="es-ES_tradnl"/>
        </w:rPr>
        <w:t xml:space="preserve"> </w:t>
      </w:r>
      <w:r w:rsidRPr="0010425E">
        <w:rPr>
          <w:rFonts w:ascii="Palatino Linotype" w:eastAsiaTheme="minorEastAsia" w:hAnsi="Palatino Linotype" w:cstheme="minorBidi"/>
          <w:color w:val="000000" w:themeColor="text1"/>
          <w:lang w:val="es-ES_tradnl"/>
        </w:rPr>
        <w:t xml:space="preserve">en su calidad de </w:t>
      </w:r>
      <w:r w:rsidRPr="0010425E">
        <w:rPr>
          <w:rFonts w:ascii="Palatino Linotype" w:eastAsiaTheme="minorEastAsia" w:hAnsi="Palatino Linotype" w:cstheme="minorBidi"/>
          <w:b/>
          <w:color w:val="000000" w:themeColor="text1"/>
          <w:lang w:val="es-ES_tradnl"/>
        </w:rPr>
        <w:t>RECURRENTE</w:t>
      </w:r>
      <w:r w:rsidRPr="0010425E">
        <w:rPr>
          <w:rFonts w:ascii="Palatino Linotype" w:eastAsiaTheme="minorEastAsia" w:hAnsi="Palatino Linotype" w:cstheme="minorBidi"/>
          <w:color w:val="000000" w:themeColor="text1"/>
          <w:lang w:val="es-ES_tradnl"/>
        </w:rPr>
        <w:t>, en contra de las respuestas de</w:t>
      </w:r>
      <w:r w:rsidR="00C16849" w:rsidRPr="0010425E">
        <w:rPr>
          <w:rFonts w:ascii="Palatino Linotype" w:eastAsiaTheme="minorEastAsia" w:hAnsi="Palatino Linotype" w:cstheme="minorBidi"/>
          <w:color w:val="000000" w:themeColor="text1"/>
          <w:lang w:val="es-ES_tradnl"/>
        </w:rPr>
        <w:t>l</w:t>
      </w:r>
      <w:r w:rsidR="00C16849" w:rsidRPr="0010425E">
        <w:rPr>
          <w:rFonts w:ascii="Palatino Linotype" w:hAnsi="Palatino Linotype"/>
        </w:rPr>
        <w:t xml:space="preserve"> </w:t>
      </w:r>
      <w:r w:rsidR="00433114" w:rsidRPr="0010425E">
        <w:rPr>
          <w:rFonts w:ascii="Palatino Linotype" w:hAnsi="Palatino Linotype"/>
          <w:b/>
        </w:rPr>
        <w:t>Ayuntamiento de Ecatepec de Morelos</w:t>
      </w:r>
      <w:r w:rsidR="00433114" w:rsidRPr="0010425E">
        <w:rPr>
          <w:rFonts w:ascii="Palatino Linotype" w:hAnsi="Palatino Linotype"/>
        </w:rPr>
        <w:t xml:space="preserve"> </w:t>
      </w:r>
      <w:r w:rsidRPr="0010425E">
        <w:rPr>
          <w:rFonts w:ascii="Palatino Linotype" w:eastAsiaTheme="minorEastAsia" w:hAnsi="Palatino Linotype" w:cstheme="minorBidi"/>
          <w:color w:val="000000" w:themeColor="text1"/>
          <w:lang w:val="es-ES_tradnl"/>
        </w:rPr>
        <w:t>en lo sucesivo el</w:t>
      </w:r>
      <w:r w:rsidRPr="0010425E">
        <w:rPr>
          <w:rFonts w:ascii="Palatino Linotype" w:eastAsiaTheme="minorEastAsia" w:hAnsi="Palatino Linotype" w:cstheme="minorBidi"/>
          <w:b/>
          <w:color w:val="000000" w:themeColor="text1"/>
          <w:lang w:val="es-ES_tradnl"/>
        </w:rPr>
        <w:t xml:space="preserve"> SUJETO OBLIGADO, </w:t>
      </w:r>
      <w:r w:rsidRPr="0010425E">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10425E"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3" w:name="_Toc110470202"/>
      <w:r w:rsidRPr="0010425E">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049F3572" w:rsidR="00132CE1" w:rsidRPr="0010425E" w:rsidRDefault="00EA0165" w:rsidP="008E625F">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10425E">
        <w:rPr>
          <w:rFonts w:ascii="Palatino Linotype" w:eastAsia="Calibri" w:hAnsi="Palatino Linotype" w:cs="Arial"/>
          <w:color w:val="000000" w:themeColor="text1"/>
        </w:rPr>
        <w:t>El</w:t>
      </w:r>
      <w:r w:rsidR="00F216D7" w:rsidRPr="0010425E">
        <w:rPr>
          <w:rFonts w:ascii="Palatino Linotype" w:eastAsia="Calibri" w:hAnsi="Palatino Linotype" w:cs="Arial"/>
          <w:color w:val="000000" w:themeColor="text1"/>
        </w:rPr>
        <w:t xml:space="preserve"> </w:t>
      </w:r>
      <w:r w:rsidR="00433114" w:rsidRPr="0010425E">
        <w:rPr>
          <w:rFonts w:ascii="Palatino Linotype" w:eastAsia="Calibri" w:hAnsi="Palatino Linotype" w:cs="Arial"/>
          <w:color w:val="000000" w:themeColor="text1"/>
        </w:rPr>
        <w:t>ocho</w:t>
      </w:r>
      <w:r w:rsidR="00416E00" w:rsidRPr="0010425E">
        <w:rPr>
          <w:rFonts w:ascii="Palatino Linotype" w:eastAsia="Calibri" w:hAnsi="Palatino Linotype" w:cs="Arial"/>
          <w:color w:val="000000" w:themeColor="text1"/>
        </w:rPr>
        <w:t xml:space="preserve"> </w:t>
      </w:r>
      <w:r w:rsidRPr="0010425E">
        <w:rPr>
          <w:rFonts w:ascii="Palatino Linotype" w:eastAsia="Calibri" w:hAnsi="Palatino Linotype" w:cs="Arial"/>
          <w:color w:val="000000" w:themeColor="text1"/>
        </w:rPr>
        <w:t>(</w:t>
      </w:r>
      <w:r w:rsidR="00433114" w:rsidRPr="0010425E">
        <w:rPr>
          <w:rFonts w:ascii="Palatino Linotype" w:eastAsia="Calibri" w:hAnsi="Palatino Linotype" w:cs="Arial"/>
          <w:color w:val="000000" w:themeColor="text1"/>
        </w:rPr>
        <w:t>08</w:t>
      </w:r>
      <w:r w:rsidRPr="0010425E">
        <w:rPr>
          <w:rFonts w:ascii="Palatino Linotype" w:eastAsia="Calibri" w:hAnsi="Palatino Linotype" w:cs="Arial"/>
          <w:color w:val="000000" w:themeColor="text1"/>
        </w:rPr>
        <w:t>) de</w:t>
      </w:r>
      <w:r w:rsidR="008E625F" w:rsidRPr="0010425E">
        <w:rPr>
          <w:rFonts w:ascii="Palatino Linotype" w:eastAsia="Calibri" w:hAnsi="Palatino Linotype" w:cs="Arial"/>
          <w:color w:val="000000" w:themeColor="text1"/>
        </w:rPr>
        <w:t xml:space="preserve"> diciembre</w:t>
      </w:r>
      <w:r w:rsidR="00197171" w:rsidRPr="0010425E">
        <w:rPr>
          <w:rFonts w:ascii="Palatino Linotype" w:eastAsia="Calibri" w:hAnsi="Palatino Linotype" w:cs="Arial"/>
          <w:color w:val="000000" w:themeColor="text1"/>
        </w:rPr>
        <w:t xml:space="preserve"> </w:t>
      </w:r>
      <w:r w:rsidR="008E625F" w:rsidRPr="0010425E">
        <w:rPr>
          <w:rFonts w:ascii="Palatino Linotype" w:eastAsia="Calibri" w:hAnsi="Palatino Linotype" w:cs="Arial"/>
          <w:color w:val="000000" w:themeColor="text1"/>
        </w:rPr>
        <w:t>de dos mil veintiuno</w:t>
      </w:r>
      <w:r w:rsidRPr="0010425E">
        <w:rPr>
          <w:rFonts w:ascii="Palatino Linotype" w:eastAsia="Calibri" w:hAnsi="Palatino Linotype" w:cs="Arial"/>
          <w:color w:val="000000" w:themeColor="text1"/>
        </w:rPr>
        <w:t xml:space="preserve">, </w:t>
      </w:r>
      <w:r w:rsidRPr="0010425E">
        <w:rPr>
          <w:rFonts w:ascii="Palatino Linotype" w:eastAsiaTheme="minorEastAsia" w:hAnsi="Palatino Linotype" w:cstheme="minorBidi"/>
          <w:color w:val="000000" w:themeColor="text1"/>
          <w:lang w:val="es-ES_tradnl"/>
        </w:rPr>
        <w:t>el particular presentó</w:t>
      </w:r>
      <w:r w:rsidR="004E2BC2" w:rsidRPr="0010425E">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10425E">
        <w:rPr>
          <w:rFonts w:ascii="Palatino Linotype" w:eastAsiaTheme="minorEastAsia" w:hAnsi="Palatino Linotype" w:cstheme="minorBidi"/>
          <w:b/>
          <w:bCs/>
          <w:color w:val="000000" w:themeColor="text1"/>
          <w:lang w:val="es-ES_tradnl"/>
        </w:rPr>
        <w:t>SAIMEX</w:t>
      </w:r>
      <w:r w:rsidR="004E2BC2" w:rsidRPr="0010425E">
        <w:rPr>
          <w:rFonts w:ascii="Palatino Linotype" w:eastAsiaTheme="minorEastAsia" w:hAnsi="Palatino Linotype" w:cstheme="minorBidi"/>
          <w:bCs/>
          <w:color w:val="000000" w:themeColor="text1"/>
          <w:lang w:val="es-ES_tradnl"/>
        </w:rPr>
        <w:t>)</w:t>
      </w:r>
      <w:r w:rsidRPr="0010425E">
        <w:rPr>
          <w:rFonts w:ascii="Palatino Linotype" w:eastAsia="Calibri" w:hAnsi="Palatino Linotype" w:cs="Arial"/>
          <w:b/>
          <w:color w:val="000000" w:themeColor="text1"/>
        </w:rPr>
        <w:t xml:space="preserve">, </w:t>
      </w:r>
      <w:r w:rsidRPr="0010425E">
        <w:rPr>
          <w:rFonts w:ascii="Palatino Linotype" w:eastAsia="Calibri" w:hAnsi="Palatino Linotype" w:cs="Arial"/>
          <w:color w:val="000000" w:themeColor="text1"/>
        </w:rPr>
        <w:t>la solicitud de información pública registrada con el número</w:t>
      </w:r>
      <w:r w:rsidR="00205107" w:rsidRPr="0010425E">
        <w:rPr>
          <w:rFonts w:ascii="Palatino Linotype" w:eastAsia="Calibri" w:hAnsi="Palatino Linotype" w:cs="Arial"/>
          <w:color w:val="000000" w:themeColor="text1"/>
        </w:rPr>
        <w:t xml:space="preserve"> </w:t>
      </w:r>
      <w:r w:rsidR="008E625F" w:rsidRPr="0010425E">
        <w:rPr>
          <w:rFonts w:ascii="Palatino Linotype" w:eastAsia="Calibri" w:hAnsi="Palatino Linotype" w:cs="Arial"/>
          <w:b/>
          <w:color w:val="000000" w:themeColor="text1"/>
        </w:rPr>
        <w:t>00984/ECATEPEC/IP/2021</w:t>
      </w:r>
      <w:r w:rsidR="000965A1" w:rsidRPr="0010425E">
        <w:rPr>
          <w:rFonts w:ascii="Palatino Linotype" w:eastAsia="Calibri" w:hAnsi="Palatino Linotype" w:cs="Arial"/>
          <w:b/>
          <w:bCs/>
          <w:color w:val="000000" w:themeColor="text1"/>
        </w:rPr>
        <w:t>,</w:t>
      </w:r>
      <w:r w:rsidRPr="0010425E">
        <w:rPr>
          <w:rFonts w:ascii="Palatino Linotype" w:eastAsia="Calibri" w:hAnsi="Palatino Linotype" w:cs="Arial"/>
          <w:color w:val="000000" w:themeColor="text1"/>
        </w:rPr>
        <w:t xml:space="preserve"> mediante la cual requirió:</w:t>
      </w:r>
    </w:p>
    <w:p w14:paraId="05E88F19" w14:textId="206F8C48" w:rsidR="009E192F" w:rsidRPr="0010425E" w:rsidRDefault="00EA0165" w:rsidP="006E050D">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10425E">
        <w:rPr>
          <w:rFonts w:ascii="Palatino Linotype" w:eastAsiaTheme="minorEastAsia" w:hAnsi="Palatino Linotype" w:cstheme="minorBidi"/>
          <w:i/>
          <w:color w:val="000000" w:themeColor="text1"/>
          <w:lang w:val="es-ES_tradnl"/>
        </w:rPr>
        <w:t>“</w:t>
      </w:r>
      <w:r w:rsidR="008E625F" w:rsidRPr="0010425E">
        <w:rPr>
          <w:rFonts w:ascii="Palatino Linotype" w:eastAsiaTheme="minorEastAsia" w:hAnsi="Palatino Linotype" w:cstheme="minorBidi"/>
          <w:i/>
          <w:color w:val="000000" w:themeColor="text1"/>
          <w:lang w:val="es-ES_tradnl"/>
        </w:rPr>
        <w:t>solicito información sobre si se le a otorgado permiso alguno al COPACI de Valle de Ecatepec CTM XIII para construir en el área publica (parque) ubicado en calle Trueno S/N de la Unidad Habitacional Valle de Ecatepec CTM XIII C.P. 55119, al igual si se le otorgo permiso alguno a mencionado COPACI para el derribo de arboles en el parque de la unidad Habitacional Valle de Ecatepec CTM XIII.</w:t>
      </w:r>
      <w:r w:rsidR="00197171" w:rsidRPr="0010425E">
        <w:rPr>
          <w:rFonts w:ascii="Palatino Linotype" w:eastAsiaTheme="minorEastAsia" w:hAnsi="Palatino Linotype" w:cstheme="minorBidi"/>
          <w:i/>
          <w:color w:val="000000" w:themeColor="text1"/>
          <w:lang w:val="es-ES_tradnl"/>
        </w:rPr>
        <w:t>.</w:t>
      </w:r>
      <w:r w:rsidRPr="0010425E">
        <w:rPr>
          <w:rFonts w:ascii="Palatino Linotype" w:eastAsiaTheme="minorEastAsia" w:hAnsi="Palatino Linotype" w:cstheme="minorBidi"/>
          <w:i/>
          <w:color w:val="000000" w:themeColor="text1"/>
          <w:lang w:val="es-ES_tradnl"/>
        </w:rPr>
        <w:t xml:space="preserve">.” </w:t>
      </w:r>
      <w:r w:rsidRPr="0010425E">
        <w:rPr>
          <w:rFonts w:ascii="Palatino Linotype" w:eastAsiaTheme="minorEastAsia" w:hAnsi="Palatino Linotype" w:cstheme="minorBidi"/>
          <w:color w:val="000000" w:themeColor="text1"/>
          <w:lang w:val="es-ES_tradnl"/>
        </w:rPr>
        <w:t>(Sic).</w:t>
      </w:r>
    </w:p>
    <w:p w14:paraId="7404BF9F" w14:textId="5D0C52B3" w:rsidR="008E625F" w:rsidRPr="0010425E" w:rsidRDefault="00A91CCB" w:rsidP="008E625F">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10425E">
        <w:rPr>
          <w:rFonts w:ascii="Palatino Linotype" w:eastAsia="Calibri" w:hAnsi="Palatino Linotype" w:cs="Arial"/>
          <w:lang w:val="es-AR"/>
        </w:rPr>
        <w:lastRenderedPageBreak/>
        <w:t xml:space="preserve">De las constancias </w:t>
      </w:r>
      <w:r w:rsidRPr="0010425E">
        <w:rPr>
          <w:rFonts w:ascii="Palatino Linotype" w:hAnsi="Palatino Linotype" w:cs="Arial"/>
        </w:rPr>
        <w:t xml:space="preserve">que obran en el expediente, se aprecia que el entonces </w:t>
      </w:r>
      <w:r w:rsidRPr="0010425E">
        <w:rPr>
          <w:rFonts w:ascii="Palatino Linotype" w:hAnsi="Palatino Linotype" w:cs="Arial"/>
          <w:b/>
        </w:rPr>
        <w:t>SOLICITANTE</w:t>
      </w:r>
      <w:r w:rsidRPr="0010425E">
        <w:rPr>
          <w:rFonts w:ascii="Palatino Linotype" w:hAnsi="Palatino Linotype" w:cs="Arial"/>
        </w:rPr>
        <w:t xml:space="preserve"> señaló como modalidad de entrega de la información:</w:t>
      </w:r>
      <w:r w:rsidRPr="0010425E">
        <w:rPr>
          <w:rFonts w:ascii="Palatino Linotype" w:hAnsi="Palatino Linotype" w:cs="Arial"/>
          <w:b/>
        </w:rPr>
        <w:t xml:space="preserve"> </w:t>
      </w:r>
      <w:r w:rsidRPr="0010425E">
        <w:rPr>
          <w:rFonts w:ascii="Palatino Linotype" w:eastAsiaTheme="minorEastAsia" w:hAnsi="Palatino Linotype" w:cstheme="minorBidi"/>
          <w:b/>
          <w:lang w:val="es-ES_tradnl"/>
        </w:rPr>
        <w:t>A través del SAIMEX.</w:t>
      </w:r>
    </w:p>
    <w:p w14:paraId="3CCD87CD" w14:textId="77777777" w:rsidR="008E625F" w:rsidRPr="0010425E" w:rsidRDefault="008E625F" w:rsidP="008E625F">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052DE61C" w14:textId="5E9FC554" w:rsidR="008E625F" w:rsidRPr="0010425E" w:rsidRDefault="008E625F" w:rsidP="008E625F">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10425E">
        <w:rPr>
          <w:rFonts w:ascii="Palatino Linotype" w:hAnsi="Palatino Linotype" w:cs="Arial"/>
          <w:lang w:val="es-ES_tradnl"/>
        </w:rPr>
        <w:t xml:space="preserve">El </w:t>
      </w:r>
      <w:r w:rsidRPr="0010425E">
        <w:rPr>
          <w:rFonts w:ascii="Palatino Linotype" w:hAnsi="Palatino Linotype" w:cs="Arial"/>
          <w:b/>
        </w:rPr>
        <w:t xml:space="preserve">SUJETO OBLIGADO </w:t>
      </w:r>
      <w:r w:rsidRPr="0010425E">
        <w:rPr>
          <w:rFonts w:ascii="Palatino Linotype" w:hAnsi="Palatino Linotype" w:cs="Arial"/>
        </w:rPr>
        <w:t>no dio respuestas a las solicitudes de información.</w:t>
      </w:r>
    </w:p>
    <w:p w14:paraId="32620C25" w14:textId="77777777" w:rsidR="008E625F" w:rsidRPr="0010425E" w:rsidRDefault="008E625F" w:rsidP="008E625F">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429294BE" w14:textId="77777777" w:rsidR="003338F6" w:rsidRPr="0010425E" w:rsidRDefault="00EA0165" w:rsidP="00731DB4">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0425E">
        <w:rPr>
          <w:rFonts w:ascii="Palatino Linotype" w:hAnsi="Palatino Linotype" w:cs="Arial"/>
          <w:color w:val="000000" w:themeColor="text1"/>
        </w:rPr>
        <w:t xml:space="preserve">Derivado de la respuesta emitida por el </w:t>
      </w:r>
      <w:r w:rsidRPr="0010425E">
        <w:rPr>
          <w:rFonts w:ascii="Palatino Linotype" w:hAnsi="Palatino Linotype" w:cs="Arial"/>
          <w:b/>
          <w:color w:val="000000" w:themeColor="text1"/>
        </w:rPr>
        <w:t>SUJETO OBLIGADO</w:t>
      </w:r>
      <w:r w:rsidRPr="0010425E">
        <w:rPr>
          <w:rFonts w:ascii="Palatino Linotype" w:hAnsi="Palatino Linotype" w:cs="Arial"/>
          <w:color w:val="000000" w:themeColor="text1"/>
        </w:rPr>
        <w:t>, e</w:t>
      </w:r>
      <w:r w:rsidR="00394E20" w:rsidRPr="0010425E">
        <w:rPr>
          <w:rFonts w:ascii="Palatino Linotype" w:hAnsi="Palatino Linotype" w:cs="Arial"/>
          <w:color w:val="000000" w:themeColor="text1"/>
        </w:rPr>
        <w:t>l</w:t>
      </w:r>
      <w:r w:rsidR="00197171" w:rsidRPr="0010425E">
        <w:rPr>
          <w:rFonts w:ascii="Palatino Linotype" w:hAnsi="Palatino Linotype" w:cs="Arial"/>
          <w:color w:val="000000" w:themeColor="text1"/>
        </w:rPr>
        <w:t xml:space="preserve"> treinta y uno (31</w:t>
      </w:r>
      <w:r w:rsidR="00C6721C" w:rsidRPr="0010425E">
        <w:rPr>
          <w:rFonts w:ascii="Palatino Linotype" w:hAnsi="Palatino Linotype" w:cs="Arial"/>
          <w:color w:val="000000" w:themeColor="text1"/>
        </w:rPr>
        <w:t>)</w:t>
      </w:r>
      <w:r w:rsidR="00394E20" w:rsidRPr="0010425E">
        <w:rPr>
          <w:rFonts w:ascii="Palatino Linotype" w:hAnsi="Palatino Linotype" w:cs="Arial"/>
          <w:color w:val="000000" w:themeColor="text1"/>
        </w:rPr>
        <w:t xml:space="preserve"> </w:t>
      </w:r>
      <w:r w:rsidR="00C6721C" w:rsidRPr="0010425E">
        <w:rPr>
          <w:rFonts w:ascii="Palatino Linotype" w:hAnsi="Palatino Linotype" w:cs="Arial"/>
          <w:color w:val="000000" w:themeColor="text1"/>
        </w:rPr>
        <w:t>de</w:t>
      </w:r>
      <w:r w:rsidR="00197171" w:rsidRPr="0010425E">
        <w:rPr>
          <w:rFonts w:ascii="Palatino Linotype" w:hAnsi="Palatino Linotype" w:cs="Arial"/>
          <w:color w:val="000000" w:themeColor="text1"/>
        </w:rPr>
        <w:t xml:space="preserve"> julio </w:t>
      </w:r>
      <w:r w:rsidRPr="0010425E">
        <w:rPr>
          <w:rFonts w:ascii="Palatino Linotype" w:hAnsi="Palatino Linotype" w:cs="Arial"/>
          <w:color w:val="000000" w:themeColor="text1"/>
        </w:rPr>
        <w:t xml:space="preserve">de dos mil </w:t>
      </w:r>
      <w:r w:rsidR="00C6721C" w:rsidRPr="0010425E">
        <w:rPr>
          <w:rFonts w:ascii="Palatino Linotype" w:hAnsi="Palatino Linotype" w:cs="Arial"/>
          <w:color w:val="000000" w:themeColor="text1"/>
        </w:rPr>
        <w:t>veintidós,</w:t>
      </w:r>
      <w:r w:rsidRPr="0010425E">
        <w:rPr>
          <w:rFonts w:ascii="Palatino Linotype" w:hAnsi="Palatino Linotype" w:cs="Arial"/>
          <w:color w:val="000000" w:themeColor="text1"/>
        </w:rPr>
        <w:t xml:space="preserve"> el particular interpuso el recurso de revisión</w:t>
      </w:r>
      <w:r w:rsidR="00205107" w:rsidRPr="0010425E">
        <w:rPr>
          <w:rFonts w:ascii="Verdana" w:hAnsi="Verdana"/>
          <w:color w:val="000000"/>
          <w:sz w:val="15"/>
          <w:szCs w:val="15"/>
        </w:rPr>
        <w:t xml:space="preserve"> </w:t>
      </w:r>
    </w:p>
    <w:p w14:paraId="4BB5C5BA" w14:textId="6B0CC9D2" w:rsidR="00EA0165" w:rsidRPr="0010425E" w:rsidRDefault="003338F6" w:rsidP="003338F6">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10425E">
        <w:rPr>
          <w:rFonts w:ascii="Palatino Linotype" w:eastAsiaTheme="minorEastAsia" w:hAnsi="Palatino Linotype" w:cstheme="minorBidi"/>
          <w:b/>
          <w:color w:val="000000" w:themeColor="text1"/>
          <w:lang w:val="es-ES_tradnl"/>
        </w:rPr>
        <w:t>10378/INFOEM/IP/RR/2022</w:t>
      </w:r>
      <w:r w:rsidR="00EA0165" w:rsidRPr="0010425E">
        <w:rPr>
          <w:rFonts w:ascii="Palatino Linotype" w:eastAsia="Calibri" w:hAnsi="Palatino Linotype" w:cs="Arial"/>
          <w:b/>
          <w:color w:val="000000" w:themeColor="text1"/>
        </w:rPr>
        <w:t>;</w:t>
      </w:r>
      <w:r w:rsidR="00EA0165" w:rsidRPr="0010425E">
        <w:rPr>
          <w:rFonts w:ascii="Palatino Linotype" w:hAnsi="Palatino Linotype" w:cs="Arial"/>
          <w:color w:val="000000" w:themeColor="text1"/>
        </w:rPr>
        <w:t xml:space="preserve"> impugnación en la que refirió lo siguiente:</w:t>
      </w:r>
    </w:p>
    <w:p w14:paraId="176F4252" w14:textId="77777777" w:rsidR="00EA0165" w:rsidRPr="0010425E" w:rsidRDefault="00EA0165" w:rsidP="00342812">
      <w:pPr>
        <w:tabs>
          <w:tab w:val="left" w:pos="426"/>
        </w:tabs>
        <w:spacing w:line="360" w:lineRule="auto"/>
        <w:ind w:left="284"/>
        <w:contextualSpacing/>
        <w:jc w:val="both"/>
        <w:rPr>
          <w:rFonts w:ascii="Palatino Linotype" w:hAnsi="Palatino Linotype" w:cs="Arial"/>
          <w:color w:val="000000" w:themeColor="text1"/>
        </w:rPr>
      </w:pPr>
    </w:p>
    <w:p w14:paraId="224FFDC9" w14:textId="1D09BAB9" w:rsidR="00EA0165" w:rsidRPr="0010425E" w:rsidRDefault="00EA0165" w:rsidP="008E625F">
      <w:pPr>
        <w:numPr>
          <w:ilvl w:val="0"/>
          <w:numId w:val="1"/>
        </w:numPr>
        <w:tabs>
          <w:tab w:val="left" w:pos="426"/>
          <w:tab w:val="left" w:pos="567"/>
        </w:tabs>
        <w:spacing w:line="360" w:lineRule="auto"/>
        <w:ind w:left="990" w:right="909" w:hanging="270"/>
        <w:contextualSpacing/>
        <w:jc w:val="both"/>
        <w:rPr>
          <w:rFonts w:ascii="Palatino Linotype" w:hAnsi="Palatino Linotype" w:cs="Arial"/>
          <w:color w:val="000000" w:themeColor="text1"/>
        </w:rPr>
      </w:pPr>
      <w:r w:rsidRPr="0010425E">
        <w:rPr>
          <w:rFonts w:ascii="Palatino Linotype" w:hAnsi="Palatino Linotype" w:cs="Arial"/>
          <w:b/>
          <w:color w:val="000000" w:themeColor="text1"/>
        </w:rPr>
        <w:t>Acto impugnado:</w:t>
      </w:r>
      <w:r w:rsidRPr="0010425E">
        <w:rPr>
          <w:rFonts w:ascii="Palatino Linotype" w:hAnsi="Palatino Linotype" w:cs="Arial"/>
          <w:color w:val="000000" w:themeColor="text1"/>
        </w:rPr>
        <w:t xml:space="preserve"> </w:t>
      </w:r>
      <w:r w:rsidRPr="0010425E">
        <w:rPr>
          <w:rFonts w:ascii="Palatino Linotype" w:hAnsi="Palatino Linotype" w:cs="Arial"/>
          <w:i/>
          <w:color w:val="000000" w:themeColor="text1"/>
        </w:rPr>
        <w:t>“</w:t>
      </w:r>
      <w:r w:rsidR="008E625F" w:rsidRPr="0010425E">
        <w:rPr>
          <w:rFonts w:ascii="Palatino Linotype" w:hAnsi="Palatino Linotype" w:cs="Arial"/>
          <w:i/>
          <w:color w:val="000000" w:themeColor="text1"/>
        </w:rPr>
        <w:t>negación a consulta de información publica</w:t>
      </w:r>
      <w:r w:rsidR="00197171" w:rsidRPr="0010425E">
        <w:rPr>
          <w:rFonts w:ascii="Palatino Linotype" w:hAnsi="Palatino Linotype" w:cs="Arial"/>
          <w:i/>
          <w:color w:val="000000" w:themeColor="text1"/>
        </w:rPr>
        <w:t>.</w:t>
      </w:r>
      <w:r w:rsidR="00205107" w:rsidRPr="0010425E">
        <w:rPr>
          <w:rFonts w:ascii="Palatino Linotype" w:hAnsi="Palatino Linotype" w:cs="Arial"/>
          <w:i/>
          <w:color w:val="000000" w:themeColor="text1"/>
        </w:rPr>
        <w:t>.</w:t>
      </w:r>
      <w:r w:rsidRPr="0010425E">
        <w:rPr>
          <w:rFonts w:ascii="Palatino Linotype" w:hAnsi="Palatino Linotype" w:cs="Arial"/>
          <w:i/>
          <w:color w:val="000000" w:themeColor="text1"/>
        </w:rPr>
        <w:t>”</w:t>
      </w:r>
      <w:r w:rsidRPr="0010425E">
        <w:rPr>
          <w:rFonts w:ascii="Palatino Linotype" w:hAnsi="Palatino Linotype" w:cs="Arial"/>
          <w:color w:val="000000" w:themeColor="text1"/>
        </w:rPr>
        <w:t xml:space="preserve"> (Sic).</w:t>
      </w:r>
    </w:p>
    <w:p w14:paraId="71C7D21F" w14:textId="77777777" w:rsidR="00EA0165" w:rsidRPr="0010425E" w:rsidRDefault="00EA0165" w:rsidP="008E625F">
      <w:pPr>
        <w:tabs>
          <w:tab w:val="left" w:pos="0"/>
        </w:tabs>
        <w:spacing w:line="360" w:lineRule="auto"/>
        <w:ind w:left="990" w:right="909" w:hanging="270"/>
        <w:contextualSpacing/>
        <w:jc w:val="both"/>
        <w:rPr>
          <w:rFonts w:ascii="Palatino Linotype" w:hAnsi="Palatino Linotype" w:cs="Arial"/>
          <w:color w:val="000000" w:themeColor="text1"/>
        </w:rPr>
      </w:pPr>
    </w:p>
    <w:p w14:paraId="16E57192" w14:textId="77C5F095" w:rsidR="00EA0165" w:rsidRPr="0010425E" w:rsidRDefault="00EA0165" w:rsidP="008E625F">
      <w:pPr>
        <w:numPr>
          <w:ilvl w:val="0"/>
          <w:numId w:val="1"/>
        </w:numPr>
        <w:tabs>
          <w:tab w:val="left" w:pos="0"/>
        </w:tabs>
        <w:spacing w:line="360" w:lineRule="auto"/>
        <w:ind w:left="990" w:right="909" w:hanging="270"/>
        <w:contextualSpacing/>
        <w:jc w:val="both"/>
        <w:rPr>
          <w:rFonts w:ascii="Palatino Linotype" w:hAnsi="Palatino Linotype" w:cs="Arial"/>
          <w:color w:val="000000" w:themeColor="text1"/>
        </w:rPr>
      </w:pPr>
      <w:r w:rsidRPr="0010425E">
        <w:rPr>
          <w:rFonts w:ascii="Palatino Linotype" w:hAnsi="Palatino Linotype" w:cs="Arial"/>
          <w:b/>
          <w:color w:val="000000" w:themeColor="text1"/>
        </w:rPr>
        <w:t>Razones o motivos de inconformidad:</w:t>
      </w:r>
      <w:r w:rsidRPr="0010425E">
        <w:rPr>
          <w:rFonts w:ascii="Palatino Linotype" w:hAnsi="Palatino Linotype" w:cs="Arial"/>
          <w:color w:val="000000" w:themeColor="text1"/>
        </w:rPr>
        <w:t xml:space="preserve"> </w:t>
      </w:r>
      <w:r w:rsidRPr="0010425E">
        <w:rPr>
          <w:rFonts w:ascii="Palatino Linotype" w:hAnsi="Palatino Linotype" w:cs="Arial"/>
          <w:i/>
          <w:color w:val="000000" w:themeColor="text1"/>
        </w:rPr>
        <w:t>“</w:t>
      </w:r>
      <w:r w:rsidR="008E625F" w:rsidRPr="0010425E">
        <w:rPr>
          <w:rFonts w:ascii="Palatino Linotype" w:hAnsi="Palatino Linotype" w:cs="Arial"/>
          <w:i/>
          <w:color w:val="000000" w:themeColor="text1"/>
        </w:rPr>
        <w:t>desde el año pasado no han entregado información sencilla</w:t>
      </w:r>
      <w:r w:rsidR="00205107" w:rsidRPr="0010425E">
        <w:rPr>
          <w:rFonts w:ascii="Palatino Linotype" w:hAnsi="Palatino Linotype" w:cs="Arial"/>
          <w:i/>
          <w:color w:val="000000" w:themeColor="text1"/>
        </w:rPr>
        <w:t>.</w:t>
      </w:r>
      <w:r w:rsidRPr="0010425E">
        <w:rPr>
          <w:rFonts w:ascii="Palatino Linotype" w:hAnsi="Palatino Linotype" w:cs="Arial"/>
          <w:i/>
          <w:color w:val="000000" w:themeColor="text1"/>
        </w:rPr>
        <w:t xml:space="preserve">” </w:t>
      </w:r>
      <w:r w:rsidRPr="0010425E">
        <w:rPr>
          <w:rFonts w:ascii="Palatino Linotype" w:hAnsi="Palatino Linotype" w:cs="Arial"/>
          <w:color w:val="000000" w:themeColor="text1"/>
        </w:rPr>
        <w:t>(Sic).</w:t>
      </w:r>
    </w:p>
    <w:p w14:paraId="552C6645" w14:textId="77777777" w:rsidR="001B234C" w:rsidRPr="0010425E" w:rsidRDefault="001B234C" w:rsidP="00342812">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10425E" w:rsidRDefault="00EA0165" w:rsidP="0034281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0425E">
        <w:rPr>
          <w:rFonts w:ascii="Palatino Linotype" w:hAnsi="Palatino Linotype" w:cs="Arial"/>
          <w:color w:val="000000" w:themeColor="text1"/>
        </w:rPr>
        <w:t xml:space="preserve">Se registró el recurso de revisión bajo el número de expediente </w:t>
      </w:r>
      <w:r w:rsidRPr="0010425E">
        <w:rPr>
          <w:rFonts w:ascii="Palatino Linotype" w:eastAsiaTheme="minorEastAsia" w:hAnsi="Palatino Linotype" w:cs="Arial"/>
          <w:bCs/>
          <w:color w:val="000000" w:themeColor="text1"/>
          <w:lang w:val="es-ES_tradnl"/>
        </w:rPr>
        <w:t xml:space="preserve">al rubro indicado, asimismo, con fundamento en lo dispuesto por el </w:t>
      </w:r>
      <w:r w:rsidRPr="0010425E">
        <w:rPr>
          <w:rFonts w:ascii="Palatino Linotype" w:eastAsia="Calibri" w:hAnsi="Palatino Linotype" w:cs="Arial"/>
          <w:color w:val="000000" w:themeColor="text1"/>
        </w:rPr>
        <w:t xml:space="preserve">artículo 185 fracción I de la </w:t>
      </w:r>
      <w:r w:rsidRPr="0010425E">
        <w:rPr>
          <w:rFonts w:ascii="Palatino Linotype" w:eastAsia="Calibri" w:hAnsi="Palatino Linotype" w:cs="Arial"/>
          <w:b/>
          <w:color w:val="000000" w:themeColor="text1"/>
        </w:rPr>
        <w:t xml:space="preserve">Ley de Transparencia y Acceso a la Información Pública del Estado de México y Municipios </w:t>
      </w:r>
      <w:r w:rsidR="005E6282" w:rsidRPr="0010425E">
        <w:rPr>
          <w:rFonts w:ascii="Palatino Linotype" w:hAnsi="Palatino Linotype" w:cs="Arial"/>
          <w:color w:val="000000" w:themeColor="text1"/>
        </w:rPr>
        <w:t>se turnó a</w:t>
      </w:r>
      <w:r w:rsidR="00351568" w:rsidRPr="0010425E">
        <w:rPr>
          <w:rFonts w:ascii="Palatino Linotype" w:hAnsi="Palatino Linotype" w:cs="Arial"/>
          <w:color w:val="000000" w:themeColor="text1"/>
        </w:rPr>
        <w:t xml:space="preserve"> la </w:t>
      </w:r>
      <w:r w:rsidR="00E3149E" w:rsidRPr="0010425E">
        <w:rPr>
          <w:rFonts w:ascii="Palatino Linotype" w:hAnsi="Palatino Linotype" w:cs="Arial"/>
          <w:b/>
          <w:color w:val="000000" w:themeColor="text1"/>
        </w:rPr>
        <w:t>C</w:t>
      </w:r>
      <w:r w:rsidR="00351568" w:rsidRPr="0010425E">
        <w:rPr>
          <w:rFonts w:ascii="Palatino Linotype" w:hAnsi="Palatino Linotype" w:cs="Arial"/>
          <w:b/>
          <w:color w:val="000000" w:themeColor="text1"/>
        </w:rPr>
        <w:t>omisionada María del Rosario Mejía Ayala</w:t>
      </w:r>
      <w:r w:rsidRPr="0010425E">
        <w:rPr>
          <w:rFonts w:ascii="Palatino Linotype" w:hAnsi="Palatino Linotype" w:cs="Arial"/>
          <w:b/>
          <w:color w:val="000000" w:themeColor="text1"/>
        </w:rPr>
        <w:t xml:space="preserve">, </w:t>
      </w:r>
      <w:r w:rsidRPr="0010425E">
        <w:rPr>
          <w:rFonts w:ascii="Palatino Linotype" w:hAnsi="Palatino Linotype" w:cs="Arial"/>
          <w:color w:val="000000" w:themeColor="text1"/>
        </w:rPr>
        <w:t xml:space="preserve">con el objeto de </w:t>
      </w:r>
      <w:r w:rsidRPr="0010425E">
        <w:rPr>
          <w:rFonts w:ascii="Palatino Linotype" w:hAnsi="Palatino Linotype" w:cs="Arial"/>
          <w:color w:val="000000" w:themeColor="text1"/>
          <w:lang w:val="es-MX"/>
        </w:rPr>
        <w:t>su análisis.</w:t>
      </w:r>
    </w:p>
    <w:p w14:paraId="49F28BD1" w14:textId="77777777" w:rsidR="00EA0165" w:rsidRPr="0010425E" w:rsidRDefault="00EA0165" w:rsidP="00342812">
      <w:pPr>
        <w:tabs>
          <w:tab w:val="left" w:pos="426"/>
        </w:tabs>
        <w:spacing w:line="360" w:lineRule="auto"/>
        <w:contextualSpacing/>
        <w:jc w:val="both"/>
        <w:rPr>
          <w:rFonts w:ascii="Palatino Linotype" w:eastAsia="Calibri" w:hAnsi="Palatino Linotype" w:cs="Arial"/>
          <w:color w:val="000000" w:themeColor="text1"/>
        </w:rPr>
      </w:pPr>
    </w:p>
    <w:p w14:paraId="27FA277D" w14:textId="3E7C2807" w:rsidR="00E16895" w:rsidRPr="0010425E" w:rsidRDefault="00351568"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0425E">
        <w:rPr>
          <w:rFonts w:ascii="Palatino Linotype" w:hAnsi="Palatino Linotype" w:cs="Arial"/>
          <w:color w:val="000000" w:themeColor="text1"/>
        </w:rPr>
        <w:t xml:space="preserve">La </w:t>
      </w:r>
      <w:r w:rsidRPr="0010425E">
        <w:rPr>
          <w:rFonts w:ascii="Palatino Linotype" w:hAnsi="Palatino Linotype" w:cs="Arial"/>
          <w:b/>
          <w:color w:val="000000" w:themeColor="text1"/>
        </w:rPr>
        <w:t>Comisionada María del Rosario Mejía Ayala</w:t>
      </w:r>
      <w:r w:rsidR="00EA0165" w:rsidRPr="0010425E">
        <w:rPr>
          <w:rFonts w:ascii="Palatino Linotype" w:eastAsia="Calibri" w:hAnsi="Palatino Linotype" w:cs="Arial"/>
          <w:color w:val="000000" w:themeColor="text1"/>
        </w:rPr>
        <w:t>, con fundamento en lo dispuesto por el artículo 185 fracción II de la ley de la materia, a</w:t>
      </w:r>
      <w:r w:rsidR="008D7419" w:rsidRPr="0010425E">
        <w:rPr>
          <w:rFonts w:ascii="Palatino Linotype" w:eastAsia="Calibri" w:hAnsi="Palatino Linotype" w:cs="Arial"/>
          <w:color w:val="000000" w:themeColor="text1"/>
        </w:rPr>
        <w:t xml:space="preserve"> través del acuerdo </w:t>
      </w:r>
      <w:r w:rsidR="008D7419" w:rsidRPr="0010425E">
        <w:rPr>
          <w:rFonts w:ascii="Palatino Linotype" w:eastAsia="Calibri" w:hAnsi="Palatino Linotype" w:cs="Arial"/>
          <w:color w:val="000000" w:themeColor="text1"/>
        </w:rPr>
        <w:lastRenderedPageBreak/>
        <w:t xml:space="preserve">de admisión </w:t>
      </w:r>
      <w:r w:rsidR="00EA0165" w:rsidRPr="0010425E">
        <w:rPr>
          <w:rFonts w:ascii="Palatino Linotype" w:eastAsia="Calibri" w:hAnsi="Palatino Linotype" w:cs="Arial"/>
          <w:color w:val="000000" w:themeColor="text1"/>
        </w:rPr>
        <w:t>de</w:t>
      </w:r>
      <w:r w:rsidR="008E625F" w:rsidRPr="0010425E">
        <w:rPr>
          <w:rFonts w:ascii="Palatino Linotype" w:eastAsia="Calibri" w:hAnsi="Palatino Linotype" w:cs="Arial"/>
          <w:color w:val="000000" w:themeColor="text1"/>
        </w:rPr>
        <w:t xml:space="preserve"> siete</w:t>
      </w:r>
      <w:r w:rsidR="00FC5933" w:rsidRPr="0010425E">
        <w:rPr>
          <w:rFonts w:ascii="Palatino Linotype" w:eastAsia="Calibri" w:hAnsi="Palatino Linotype" w:cs="Arial"/>
          <w:color w:val="000000" w:themeColor="text1"/>
        </w:rPr>
        <w:t xml:space="preserve"> </w:t>
      </w:r>
      <w:r w:rsidR="00EA0165" w:rsidRPr="0010425E">
        <w:rPr>
          <w:rFonts w:ascii="Palatino Linotype" w:eastAsia="Calibri" w:hAnsi="Palatino Linotype" w:cs="Arial"/>
          <w:color w:val="000000" w:themeColor="text1"/>
        </w:rPr>
        <w:t>(</w:t>
      </w:r>
      <w:r w:rsidR="008E625F" w:rsidRPr="0010425E">
        <w:rPr>
          <w:rFonts w:ascii="Palatino Linotype" w:eastAsia="Calibri" w:hAnsi="Palatino Linotype" w:cs="Arial"/>
          <w:color w:val="000000" w:themeColor="text1"/>
        </w:rPr>
        <w:t>07</w:t>
      </w:r>
      <w:r w:rsidR="00EA0165" w:rsidRPr="0010425E">
        <w:rPr>
          <w:rFonts w:ascii="Palatino Linotype" w:eastAsia="Calibri" w:hAnsi="Palatino Linotype" w:cs="Arial"/>
          <w:color w:val="000000" w:themeColor="text1"/>
        </w:rPr>
        <w:t>) de</w:t>
      </w:r>
      <w:r w:rsidR="008E625F" w:rsidRPr="0010425E">
        <w:rPr>
          <w:rFonts w:ascii="Palatino Linotype" w:eastAsia="Calibri" w:hAnsi="Palatino Linotype" w:cs="Arial"/>
          <w:color w:val="000000" w:themeColor="text1"/>
        </w:rPr>
        <w:t xml:space="preserve"> junio</w:t>
      </w:r>
      <w:r w:rsidR="00132CE1" w:rsidRPr="0010425E">
        <w:rPr>
          <w:rFonts w:ascii="Palatino Linotype" w:eastAsia="Calibri" w:hAnsi="Palatino Linotype" w:cs="Arial"/>
          <w:color w:val="000000" w:themeColor="text1"/>
        </w:rPr>
        <w:t xml:space="preserve"> de dos mil </w:t>
      </w:r>
      <w:r w:rsidR="00966711" w:rsidRPr="0010425E">
        <w:rPr>
          <w:rFonts w:ascii="Palatino Linotype" w:eastAsia="Calibri" w:hAnsi="Palatino Linotype" w:cs="Arial"/>
          <w:color w:val="000000" w:themeColor="text1"/>
        </w:rPr>
        <w:t>veintidós</w:t>
      </w:r>
      <w:r w:rsidR="00EA0165" w:rsidRPr="0010425E">
        <w:rPr>
          <w:rFonts w:ascii="Palatino Linotype" w:eastAsia="Calibri" w:hAnsi="Palatino Linotype" w:cs="Arial"/>
          <w:color w:val="000000" w:themeColor="text1"/>
        </w:rPr>
        <w:t xml:space="preserve">, puso a disposición de las partes el expediente electrónico </w:t>
      </w:r>
      <w:r w:rsidR="00EA0165" w:rsidRPr="0010425E">
        <w:rPr>
          <w:rFonts w:ascii="Palatino Linotype" w:eastAsia="Calibri" w:hAnsi="Palatino Linotype" w:cs="Arial"/>
          <w:color w:val="000000" w:themeColor="text1"/>
          <w:lang w:val="es-ES_tradnl"/>
        </w:rPr>
        <w:t xml:space="preserve">vía </w:t>
      </w:r>
      <w:r w:rsidR="00EA0165" w:rsidRPr="0010425E">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10425E">
        <w:rPr>
          <w:rFonts w:ascii="Palatino Linotype" w:eastAsia="Calibri" w:hAnsi="Palatino Linotype" w:cs="Arial"/>
          <w:b/>
          <w:color w:val="000000" w:themeColor="text1"/>
        </w:rPr>
        <w:t>SUJETO OBLIGADO</w:t>
      </w:r>
      <w:r w:rsidR="00EA0165" w:rsidRPr="0010425E">
        <w:rPr>
          <w:rFonts w:ascii="Palatino Linotype" w:eastAsia="Calibri" w:hAnsi="Palatino Linotype" w:cs="Arial"/>
          <w:color w:val="000000" w:themeColor="text1"/>
        </w:rPr>
        <w:t xml:space="preserve"> presentara el</w:t>
      </w:r>
      <w:r w:rsidR="00266490" w:rsidRPr="0010425E">
        <w:rPr>
          <w:rFonts w:ascii="Palatino Linotype" w:eastAsia="Calibri" w:hAnsi="Palatino Linotype" w:cs="Arial"/>
          <w:color w:val="000000" w:themeColor="text1"/>
        </w:rPr>
        <w:t xml:space="preserve"> </w:t>
      </w:r>
      <w:r w:rsidR="00770DBB" w:rsidRPr="0010425E">
        <w:rPr>
          <w:rFonts w:ascii="Palatino Linotype" w:eastAsia="Calibri" w:hAnsi="Palatino Linotype" w:cs="Arial"/>
          <w:color w:val="000000" w:themeColor="text1"/>
        </w:rPr>
        <w:t>i</w:t>
      </w:r>
      <w:r w:rsidR="006401B8" w:rsidRPr="0010425E">
        <w:rPr>
          <w:rFonts w:ascii="Palatino Linotype" w:eastAsia="Calibri" w:hAnsi="Palatino Linotype" w:cs="Arial"/>
          <w:color w:val="000000" w:themeColor="text1"/>
        </w:rPr>
        <w:t xml:space="preserve">nforme justificado procedente, situación que no aconteció por ninguna de las partes. </w:t>
      </w:r>
      <w:bookmarkStart w:id="4" w:name="_Toc461555889"/>
      <w:bookmarkStart w:id="5" w:name="_Toc466371858"/>
    </w:p>
    <w:p w14:paraId="15359848" w14:textId="77777777" w:rsidR="00E16895" w:rsidRPr="0010425E" w:rsidRDefault="00E16895" w:rsidP="00E16895">
      <w:pPr>
        <w:pStyle w:val="Prrafodelista"/>
        <w:rPr>
          <w:rFonts w:ascii="Palatino Linotype" w:eastAsia="Calibri" w:hAnsi="Palatino Linotype" w:cs="Arial"/>
          <w:color w:val="000000"/>
        </w:rPr>
      </w:pPr>
    </w:p>
    <w:p w14:paraId="08B94448" w14:textId="2AF54083" w:rsidR="00E16895" w:rsidRPr="0010425E" w:rsidRDefault="008E625F"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0425E">
        <w:rPr>
          <w:rFonts w:ascii="Palatino Linotype" w:eastAsia="Calibri" w:hAnsi="Palatino Linotype" w:cs="Arial"/>
          <w:color w:val="000000"/>
        </w:rPr>
        <w:t>En fechas veinticuatro y veintisiete (24</w:t>
      </w:r>
      <w:r w:rsidR="00E16895" w:rsidRPr="0010425E">
        <w:rPr>
          <w:rFonts w:ascii="Palatino Linotype" w:eastAsia="Calibri" w:hAnsi="Palatino Linotype" w:cs="Arial"/>
          <w:color w:val="000000"/>
        </w:rPr>
        <w:t>)</w:t>
      </w:r>
      <w:r w:rsidRPr="0010425E">
        <w:rPr>
          <w:rFonts w:ascii="Palatino Linotype" w:eastAsia="Calibri" w:hAnsi="Palatino Linotype" w:cs="Arial"/>
          <w:color w:val="000000"/>
        </w:rPr>
        <w:t xml:space="preserve"> y (27) de junio</w:t>
      </w:r>
      <w:r w:rsidR="00E16895" w:rsidRPr="0010425E">
        <w:rPr>
          <w:rFonts w:ascii="Palatino Linotype" w:eastAsia="Calibri" w:hAnsi="Palatino Linotype" w:cs="Arial"/>
          <w:color w:val="000000"/>
        </w:rPr>
        <w:t xml:space="preserve"> de dos mil veintidós el </w:t>
      </w:r>
      <w:r w:rsidR="00E16895" w:rsidRPr="0010425E">
        <w:rPr>
          <w:rFonts w:ascii="Palatino Linotype" w:eastAsia="Calibri" w:hAnsi="Palatino Linotype" w:cs="Arial"/>
          <w:b/>
          <w:color w:val="000000"/>
        </w:rPr>
        <w:t xml:space="preserve">SUJETO OBLIGADO </w:t>
      </w:r>
      <w:r w:rsidR="00E16895" w:rsidRPr="0010425E">
        <w:rPr>
          <w:rFonts w:ascii="Palatino Linotype" w:eastAsia="Calibri" w:hAnsi="Palatino Linotype" w:cs="Arial"/>
          <w:color w:val="000000"/>
        </w:rPr>
        <w:t xml:space="preserve">realizó entrega de </w:t>
      </w:r>
      <w:r w:rsidRPr="0010425E">
        <w:rPr>
          <w:rFonts w:ascii="Palatino Linotype" w:eastAsia="Calibri" w:hAnsi="Palatino Linotype" w:cs="Arial"/>
          <w:color w:val="000000"/>
        </w:rPr>
        <w:t>do</w:t>
      </w:r>
      <w:r w:rsidR="00E16895" w:rsidRPr="0010425E">
        <w:rPr>
          <w:rFonts w:ascii="Palatino Linotype" w:eastAsia="Calibri" w:hAnsi="Palatino Linotype" w:cs="Arial"/>
          <w:color w:val="000000"/>
        </w:rPr>
        <w:t xml:space="preserve"> documento</w:t>
      </w:r>
      <w:r w:rsidRPr="0010425E">
        <w:rPr>
          <w:rFonts w:ascii="Palatino Linotype" w:eastAsia="Calibri" w:hAnsi="Palatino Linotype" w:cs="Arial"/>
          <w:color w:val="000000"/>
        </w:rPr>
        <w:t>s</w:t>
      </w:r>
      <w:r w:rsidR="00E16895" w:rsidRPr="0010425E">
        <w:rPr>
          <w:rFonts w:ascii="Palatino Linotype" w:eastAsia="Calibri" w:hAnsi="Palatino Linotype" w:cs="Arial"/>
          <w:color w:val="000000"/>
        </w:rPr>
        <w:t xml:space="preserve"> en calidad de informe justificado, mismo</w:t>
      </w:r>
      <w:r w:rsidRPr="0010425E">
        <w:rPr>
          <w:rFonts w:ascii="Palatino Linotype" w:eastAsia="Calibri" w:hAnsi="Palatino Linotype" w:cs="Arial"/>
          <w:color w:val="000000"/>
        </w:rPr>
        <w:t>s</w:t>
      </w:r>
      <w:r w:rsidR="00E16895" w:rsidRPr="0010425E">
        <w:rPr>
          <w:rFonts w:ascii="Palatino Linotype" w:eastAsia="Calibri" w:hAnsi="Palatino Linotype" w:cs="Arial"/>
          <w:color w:val="000000"/>
        </w:rPr>
        <w:t xml:space="preserve"> que se hizo de conocimiento del Recurrente mediante acuerdo de fecha </w:t>
      </w:r>
      <w:r w:rsidRPr="0010425E">
        <w:rPr>
          <w:rFonts w:ascii="Palatino Linotype" w:eastAsia="Calibri" w:hAnsi="Palatino Linotype" w:cs="Arial"/>
          <w:color w:val="000000"/>
        </w:rPr>
        <w:t>veintiuno</w:t>
      </w:r>
      <w:r w:rsidR="00914D14" w:rsidRPr="0010425E">
        <w:rPr>
          <w:rFonts w:ascii="Palatino Linotype" w:eastAsia="Calibri" w:hAnsi="Palatino Linotype" w:cs="Arial"/>
          <w:color w:val="000000"/>
        </w:rPr>
        <w:t xml:space="preserve"> (21</w:t>
      </w:r>
      <w:r w:rsidR="00E16895" w:rsidRPr="0010425E">
        <w:rPr>
          <w:rFonts w:ascii="Palatino Linotype" w:eastAsia="Calibri" w:hAnsi="Palatino Linotype" w:cs="Arial"/>
          <w:color w:val="000000"/>
        </w:rPr>
        <w:t xml:space="preserve">) de septiembre de dos mil veintidós, no obstante, y afecto de que no exista opacidad en la determinación se describe a continuación: </w:t>
      </w:r>
    </w:p>
    <w:p w14:paraId="467D4437" w14:textId="77777777" w:rsidR="00E16895" w:rsidRPr="0010425E" w:rsidRDefault="00E16895" w:rsidP="00E16895">
      <w:pPr>
        <w:spacing w:line="360" w:lineRule="auto"/>
        <w:ind w:left="567" w:right="616"/>
        <w:rPr>
          <w:rFonts w:ascii="Palatino Linotype" w:eastAsia="Calibri" w:hAnsi="Palatino Linotype" w:cs="Arial"/>
          <w:b/>
          <w:color w:val="000000"/>
        </w:rPr>
      </w:pPr>
    </w:p>
    <w:p w14:paraId="4201DDF6" w14:textId="5F20EA04" w:rsidR="003A39AD" w:rsidRPr="0010425E" w:rsidRDefault="001F1BB9" w:rsidP="003A39AD">
      <w:pPr>
        <w:pStyle w:val="Prrafodelista"/>
        <w:numPr>
          <w:ilvl w:val="0"/>
          <w:numId w:val="42"/>
        </w:numPr>
        <w:tabs>
          <w:tab w:val="left" w:pos="284"/>
        </w:tabs>
        <w:spacing w:line="360" w:lineRule="auto"/>
        <w:ind w:left="540" w:right="1111" w:firstLine="0"/>
        <w:contextualSpacing/>
        <w:jc w:val="both"/>
        <w:rPr>
          <w:rFonts w:ascii="Palatino Linotype" w:eastAsia="Calibri" w:hAnsi="Palatino Linotype" w:cs="Arial"/>
          <w:b/>
          <w:color w:val="000000"/>
        </w:rPr>
      </w:pPr>
      <w:hyperlink r:id="rId8" w:history="1">
        <w:r w:rsidR="008E625F" w:rsidRPr="0010425E">
          <w:rPr>
            <w:rStyle w:val="Hipervnculo"/>
            <w:b/>
            <w:bCs/>
            <w:color w:val="000000" w:themeColor="text1"/>
            <w:u w:val="none"/>
          </w:rPr>
          <w:t>553-2022.pdf</w:t>
        </w:r>
      </w:hyperlink>
      <w:hyperlink r:id="rId9" w:history="1"/>
      <w:r w:rsidR="00E16895" w:rsidRPr="0010425E">
        <w:rPr>
          <w:rFonts w:ascii="Palatino Linotype" w:eastAsia="Calibri" w:hAnsi="Palatino Linotype" w:cs="Arial"/>
          <w:b/>
          <w:color w:val="000000"/>
        </w:rPr>
        <w:t xml:space="preserve">: </w:t>
      </w:r>
      <w:r w:rsidR="00E16895" w:rsidRPr="0010425E">
        <w:rPr>
          <w:rFonts w:ascii="Palatino Linotype" w:eastAsia="Calibri" w:hAnsi="Palatino Linotype" w:cs="Arial"/>
          <w:color w:val="000000"/>
        </w:rPr>
        <w:t>Documento elec</w:t>
      </w:r>
      <w:r w:rsidR="008E625F" w:rsidRPr="0010425E">
        <w:rPr>
          <w:rFonts w:ascii="Palatino Linotype" w:eastAsia="Calibri" w:hAnsi="Palatino Linotype" w:cs="Arial"/>
          <w:color w:val="000000"/>
        </w:rPr>
        <w:t>trónico que en siete (07</w:t>
      </w:r>
      <w:r w:rsidR="00E16895" w:rsidRPr="0010425E">
        <w:rPr>
          <w:rFonts w:ascii="Palatino Linotype" w:eastAsia="Calibri" w:hAnsi="Palatino Linotype" w:cs="Arial"/>
          <w:color w:val="000000"/>
        </w:rPr>
        <w:t>) hoja</w:t>
      </w:r>
      <w:r w:rsidR="008E625F" w:rsidRPr="0010425E">
        <w:rPr>
          <w:rFonts w:ascii="Palatino Linotype" w:eastAsia="Calibri" w:hAnsi="Palatino Linotype" w:cs="Arial"/>
          <w:color w:val="000000"/>
        </w:rPr>
        <w:t>s</w:t>
      </w:r>
      <w:r w:rsidR="00E16895" w:rsidRPr="0010425E">
        <w:rPr>
          <w:rFonts w:ascii="Palatino Linotype" w:eastAsia="Calibri" w:hAnsi="Palatino Linotype" w:cs="Arial"/>
          <w:color w:val="000000"/>
        </w:rPr>
        <w:t xml:space="preserve"> contie</w:t>
      </w:r>
      <w:r w:rsidR="008E625F" w:rsidRPr="0010425E">
        <w:rPr>
          <w:rFonts w:ascii="Palatino Linotype" w:eastAsia="Calibri" w:hAnsi="Palatino Linotype" w:cs="Arial"/>
          <w:color w:val="000000"/>
        </w:rPr>
        <w:t xml:space="preserve">ne los oficios </w:t>
      </w:r>
      <w:r w:rsidR="003A39AD" w:rsidRPr="0010425E">
        <w:rPr>
          <w:rFonts w:ascii="Palatino Linotype" w:eastAsia="Calibri" w:hAnsi="Palatino Linotype" w:cs="Arial"/>
          <w:color w:val="000000"/>
        </w:rPr>
        <w:t xml:space="preserve">el oficio de fecha veinticuatro de junio del 2022 suscrito por el Secretario Técnico de Gabinete y el Titular de la Unidad de Transparencia; y el oficio </w:t>
      </w:r>
      <w:r w:rsidR="003A39AD" w:rsidRPr="0010425E">
        <w:rPr>
          <w:rFonts w:ascii="Palatino Linotype" w:eastAsia="Calibri" w:hAnsi="Palatino Linotype" w:cs="Arial"/>
          <w:b/>
          <w:color w:val="000000"/>
        </w:rPr>
        <w:t>SHA/ECA/2293/2022</w:t>
      </w:r>
      <w:r w:rsidR="003A39AD" w:rsidRPr="0010425E">
        <w:rPr>
          <w:rFonts w:ascii="Palatino Linotype" w:eastAsia="Calibri" w:hAnsi="Palatino Linotype" w:cs="Arial"/>
          <w:color w:val="000000"/>
        </w:rPr>
        <w:t xml:space="preserve"> suscrito por la Secretaría del H. Ayuntamiento, mediante el cual se pretende atender el recurso de revisión </w:t>
      </w:r>
      <w:r w:rsidR="003A39AD" w:rsidRPr="0010425E">
        <w:rPr>
          <w:rFonts w:ascii="Palatino Linotype" w:eastAsia="Calibri" w:hAnsi="Palatino Linotype" w:cs="Arial"/>
          <w:b/>
          <w:color w:val="000000"/>
        </w:rPr>
        <w:t xml:space="preserve">11835/INFOEM/IP/RR/2022 derivado de la </w:t>
      </w:r>
      <w:r w:rsidR="003A39AD" w:rsidRPr="0010425E">
        <w:rPr>
          <w:rFonts w:ascii="Palatino Linotype" w:eastAsia="Calibri" w:hAnsi="Palatino Linotype" w:cs="Arial"/>
          <w:color w:val="000000"/>
        </w:rPr>
        <w:t xml:space="preserve">solicitud de información </w:t>
      </w:r>
      <w:r w:rsidR="003A39AD" w:rsidRPr="0010425E">
        <w:rPr>
          <w:rFonts w:ascii="Palatino Linotype" w:eastAsia="Calibri" w:hAnsi="Palatino Linotype" w:cs="Arial"/>
          <w:b/>
          <w:color w:val="000000"/>
        </w:rPr>
        <w:t xml:space="preserve">00553/ECATEPEC/IP/2022, </w:t>
      </w:r>
      <w:r w:rsidR="003A39AD" w:rsidRPr="0010425E">
        <w:rPr>
          <w:rFonts w:ascii="Palatino Linotype" w:eastAsia="Calibri" w:hAnsi="Palatino Linotype" w:cs="Arial"/>
          <w:color w:val="000000"/>
        </w:rPr>
        <w:t xml:space="preserve">que no corresponde con el recurso </w:t>
      </w:r>
      <w:r w:rsidR="00CA4EA9" w:rsidRPr="0010425E">
        <w:rPr>
          <w:rFonts w:ascii="Palatino Linotype" w:eastAsia="Calibri" w:hAnsi="Palatino Linotype" w:cs="Arial"/>
          <w:b/>
          <w:color w:val="000000"/>
        </w:rPr>
        <w:t>10378</w:t>
      </w:r>
      <w:r w:rsidR="003A39AD" w:rsidRPr="0010425E">
        <w:rPr>
          <w:rFonts w:ascii="Palatino Linotype" w:eastAsia="Calibri" w:hAnsi="Palatino Linotype" w:cs="Arial"/>
          <w:b/>
          <w:color w:val="000000"/>
        </w:rPr>
        <w:t>/INFOEM/IP/RR/2022</w:t>
      </w:r>
      <w:r w:rsidR="003338F6" w:rsidRPr="0010425E">
        <w:rPr>
          <w:rFonts w:ascii="Palatino Linotype" w:eastAsia="Calibri" w:hAnsi="Palatino Linotype" w:cs="Arial"/>
          <w:b/>
          <w:color w:val="000000"/>
        </w:rPr>
        <w:t xml:space="preserve">, por lo que no se hizo del conocimiento del recurrente. </w:t>
      </w:r>
    </w:p>
    <w:p w14:paraId="5145F12D" w14:textId="77777777" w:rsidR="003A39AD" w:rsidRPr="0010425E" w:rsidRDefault="003A39AD" w:rsidP="003A39AD">
      <w:pPr>
        <w:pStyle w:val="Prrafodelista"/>
        <w:tabs>
          <w:tab w:val="left" w:pos="284"/>
        </w:tabs>
        <w:spacing w:line="360" w:lineRule="auto"/>
        <w:ind w:left="709" w:right="1111"/>
        <w:contextualSpacing/>
        <w:jc w:val="both"/>
        <w:rPr>
          <w:rFonts w:ascii="Palatino Linotype" w:eastAsia="Calibri" w:hAnsi="Palatino Linotype" w:cs="Arial"/>
          <w:b/>
          <w:color w:val="000000"/>
        </w:rPr>
      </w:pPr>
    </w:p>
    <w:p w14:paraId="3F2F2774" w14:textId="6546FD46" w:rsidR="00525DDC" w:rsidRPr="0010425E" w:rsidRDefault="00E16895" w:rsidP="00E16895">
      <w:pPr>
        <w:pStyle w:val="Prrafodelista"/>
        <w:numPr>
          <w:ilvl w:val="0"/>
          <w:numId w:val="42"/>
        </w:numPr>
        <w:tabs>
          <w:tab w:val="left" w:pos="284"/>
        </w:tabs>
        <w:spacing w:line="360" w:lineRule="auto"/>
        <w:ind w:left="709" w:right="1111" w:hanging="283"/>
        <w:contextualSpacing/>
        <w:jc w:val="both"/>
        <w:rPr>
          <w:rFonts w:ascii="Palatino Linotype" w:eastAsia="Calibri" w:hAnsi="Palatino Linotype" w:cs="Arial"/>
          <w:b/>
          <w:color w:val="000000"/>
        </w:rPr>
      </w:pPr>
      <w:r w:rsidRPr="0010425E">
        <w:rPr>
          <w:rFonts w:ascii="Palatino Linotype" w:eastAsia="Calibri" w:hAnsi="Palatino Linotype" w:cs="Arial"/>
          <w:color w:val="000000"/>
        </w:rPr>
        <w:lastRenderedPageBreak/>
        <w:t xml:space="preserve"> </w:t>
      </w:r>
      <w:hyperlink r:id="rId10" w:history="1">
        <w:r w:rsidR="00525DDC" w:rsidRPr="0010425E">
          <w:rPr>
            <w:rStyle w:val="Hipervnculo"/>
            <w:rFonts w:ascii="Palatino Linotype" w:eastAsia="Calibri" w:hAnsi="Palatino Linotype" w:cs="Arial"/>
            <w:b/>
            <w:bCs/>
            <w:color w:val="000000" w:themeColor="text1"/>
            <w:u w:val="none"/>
          </w:rPr>
          <w:t>984-10378.pdf</w:t>
        </w:r>
      </w:hyperlink>
      <w:r w:rsidR="00525DDC" w:rsidRPr="0010425E">
        <w:rPr>
          <w:rFonts w:ascii="Palatino Linotype" w:eastAsia="Calibri" w:hAnsi="Palatino Linotype" w:cs="Arial"/>
          <w:color w:val="000000"/>
        </w:rPr>
        <w:t>: Documento electrónico que en cuatro (04) hojas contiene:</w:t>
      </w:r>
    </w:p>
    <w:p w14:paraId="5FBF54F8" w14:textId="77777777" w:rsidR="00525DDC" w:rsidRPr="0010425E" w:rsidRDefault="00525DDC" w:rsidP="00525DDC">
      <w:pPr>
        <w:pStyle w:val="Prrafodelista"/>
        <w:rPr>
          <w:rFonts w:ascii="Palatino Linotype" w:eastAsia="Calibri" w:hAnsi="Palatino Linotype" w:cs="Arial"/>
          <w:b/>
          <w:color w:val="000000"/>
        </w:rPr>
      </w:pPr>
    </w:p>
    <w:p w14:paraId="2729D51F" w14:textId="7245703D" w:rsidR="00BC3EE4" w:rsidRPr="0010425E" w:rsidRDefault="00525DDC" w:rsidP="00525DDC">
      <w:pPr>
        <w:pStyle w:val="Prrafodelista"/>
        <w:numPr>
          <w:ilvl w:val="0"/>
          <w:numId w:val="48"/>
        </w:numPr>
        <w:tabs>
          <w:tab w:val="left" w:pos="284"/>
        </w:tabs>
        <w:spacing w:line="360" w:lineRule="auto"/>
        <w:ind w:left="360" w:right="1111" w:firstLine="0"/>
        <w:contextualSpacing/>
        <w:jc w:val="both"/>
        <w:rPr>
          <w:rFonts w:ascii="Palatino Linotype" w:eastAsia="Calibri" w:hAnsi="Palatino Linotype" w:cs="Arial"/>
          <w:color w:val="000000"/>
        </w:rPr>
      </w:pPr>
      <w:r w:rsidRPr="0010425E">
        <w:rPr>
          <w:rFonts w:ascii="Palatino Linotype" w:eastAsia="Calibri" w:hAnsi="Palatino Linotype" w:cs="Arial"/>
          <w:color w:val="000000"/>
        </w:rPr>
        <w:t>Oficio de veintisiete de junio de dos mil veintidós dirigido al solicítate y suscrito por la Secretario Técnico de Gabinete y la Titular de la Unidad de Transparencia, mediante el</w:t>
      </w:r>
      <w:r w:rsidR="00BC3EE4" w:rsidRPr="0010425E">
        <w:rPr>
          <w:rFonts w:ascii="Palatino Linotype" w:eastAsia="Calibri" w:hAnsi="Palatino Linotype" w:cs="Arial"/>
          <w:color w:val="000000"/>
        </w:rPr>
        <w:t xml:space="preserve"> cual, se refiere que se pone a disposición la información emitida por la Dirección de Desarrollo Urbano y Obras Pública y Dirección de Medio Ambiente y Ecología. </w:t>
      </w:r>
    </w:p>
    <w:p w14:paraId="6CEFCAEB" w14:textId="77777777" w:rsidR="00BC3EE4" w:rsidRPr="0010425E" w:rsidRDefault="00BC3EE4" w:rsidP="00BC3EE4">
      <w:pPr>
        <w:pStyle w:val="Prrafodelista"/>
        <w:tabs>
          <w:tab w:val="left" w:pos="284"/>
        </w:tabs>
        <w:spacing w:line="360" w:lineRule="auto"/>
        <w:ind w:left="360" w:right="1111"/>
        <w:contextualSpacing/>
        <w:jc w:val="both"/>
        <w:rPr>
          <w:rFonts w:ascii="Palatino Linotype" w:eastAsia="Calibri" w:hAnsi="Palatino Linotype" w:cs="Arial"/>
          <w:color w:val="000000"/>
        </w:rPr>
      </w:pPr>
    </w:p>
    <w:p w14:paraId="491CA4F3" w14:textId="77777777" w:rsidR="00151FF0" w:rsidRPr="0010425E" w:rsidRDefault="00BC3EE4" w:rsidP="00525DDC">
      <w:pPr>
        <w:pStyle w:val="Prrafodelista"/>
        <w:numPr>
          <w:ilvl w:val="0"/>
          <w:numId w:val="48"/>
        </w:numPr>
        <w:tabs>
          <w:tab w:val="left" w:pos="284"/>
        </w:tabs>
        <w:spacing w:line="360" w:lineRule="auto"/>
        <w:ind w:left="360" w:right="1111" w:firstLine="0"/>
        <w:contextualSpacing/>
        <w:jc w:val="both"/>
        <w:rPr>
          <w:rFonts w:ascii="Palatino Linotype" w:eastAsia="Calibri" w:hAnsi="Palatino Linotype" w:cs="Arial"/>
          <w:i/>
          <w:color w:val="000000"/>
        </w:rPr>
      </w:pPr>
      <w:r w:rsidRPr="0010425E">
        <w:rPr>
          <w:rFonts w:ascii="Palatino Linotype" w:eastAsia="Calibri" w:hAnsi="Palatino Linotype" w:cs="Arial"/>
          <w:color w:val="000000"/>
        </w:rPr>
        <w:t xml:space="preserve">  Oficio DDUyOP/ECA/09005/2021 dirigido</w:t>
      </w:r>
      <w:r w:rsidR="00E67DA2" w:rsidRPr="0010425E">
        <w:rPr>
          <w:rFonts w:ascii="Palatino Linotype" w:eastAsia="Calibri" w:hAnsi="Palatino Linotype" w:cs="Arial"/>
          <w:color w:val="000000"/>
        </w:rPr>
        <w:t xml:space="preserve"> al Titular de la Unidad de Transparencia del Municipio de Ecatepec de Morelos y suscrito por el Director de Desarrollo Urbano y Obras Públicas mediante el cual se refiere que</w:t>
      </w:r>
      <w:r w:rsidR="00151FF0" w:rsidRPr="0010425E">
        <w:rPr>
          <w:rFonts w:ascii="Palatino Linotype" w:eastAsia="Calibri" w:hAnsi="Palatino Linotype" w:cs="Arial"/>
          <w:color w:val="000000"/>
        </w:rPr>
        <w:t>: “</w:t>
      </w:r>
      <w:r w:rsidR="00151FF0" w:rsidRPr="0010425E">
        <w:rPr>
          <w:rFonts w:ascii="Palatino Linotype" w:eastAsia="Calibri" w:hAnsi="Palatino Linotype" w:cs="Arial"/>
          <w:i/>
          <w:color w:val="000000"/>
        </w:rPr>
        <w:t xml:space="preserve">dicho permiso se otorga mediante oficio DDUyOP/SDU/AC/ECA/1686/2021 de fecha de abril del presente año, precisado en el oficio el NO INCONVENIENTE para llevar a cabo los trabajos que se realizarán, no prejuzgando los derechos de propiedad o posesión del solicitante con respecto al predio para el cual se expide, por lo que se dejan a salvo los derechos a terceros.” (Sic)  </w:t>
      </w:r>
    </w:p>
    <w:p w14:paraId="5E2465F7" w14:textId="77777777" w:rsidR="00151FF0" w:rsidRPr="0010425E" w:rsidRDefault="00151FF0" w:rsidP="00151FF0">
      <w:pPr>
        <w:pStyle w:val="Prrafodelista"/>
        <w:rPr>
          <w:rFonts w:ascii="Palatino Linotype" w:eastAsia="Calibri" w:hAnsi="Palatino Linotype" w:cs="Arial"/>
          <w:i/>
          <w:color w:val="000000"/>
        </w:rPr>
      </w:pPr>
    </w:p>
    <w:p w14:paraId="6F6F61AF" w14:textId="7B4ED8AA" w:rsidR="00525DDC" w:rsidRPr="0010425E" w:rsidRDefault="00E67DA2" w:rsidP="00151FF0">
      <w:pPr>
        <w:pStyle w:val="Prrafodelista"/>
        <w:numPr>
          <w:ilvl w:val="0"/>
          <w:numId w:val="48"/>
        </w:numPr>
        <w:tabs>
          <w:tab w:val="left" w:pos="284"/>
        </w:tabs>
        <w:spacing w:line="360" w:lineRule="auto"/>
        <w:ind w:left="540" w:right="1111" w:hanging="180"/>
        <w:contextualSpacing/>
        <w:jc w:val="both"/>
        <w:rPr>
          <w:rFonts w:ascii="Palatino Linotype" w:eastAsia="Calibri" w:hAnsi="Palatino Linotype" w:cs="Arial"/>
          <w:i/>
          <w:color w:val="000000"/>
        </w:rPr>
      </w:pPr>
      <w:r w:rsidRPr="0010425E">
        <w:rPr>
          <w:rFonts w:ascii="Palatino Linotype" w:eastAsia="Calibri" w:hAnsi="Palatino Linotype" w:cs="Arial"/>
          <w:i/>
          <w:color w:val="000000"/>
        </w:rPr>
        <w:t xml:space="preserve">     </w:t>
      </w:r>
      <w:r w:rsidR="00BC3EE4" w:rsidRPr="0010425E">
        <w:rPr>
          <w:rFonts w:ascii="Palatino Linotype" w:eastAsia="Calibri" w:hAnsi="Palatino Linotype" w:cs="Arial"/>
          <w:i/>
          <w:color w:val="000000"/>
        </w:rPr>
        <w:t xml:space="preserve"> </w:t>
      </w:r>
      <w:r w:rsidR="00151FF0" w:rsidRPr="0010425E">
        <w:rPr>
          <w:rFonts w:ascii="Palatino Linotype" w:eastAsia="Calibri" w:hAnsi="Palatino Linotype" w:cs="Arial"/>
          <w:color w:val="000000"/>
        </w:rPr>
        <w:t>Oficio DMAYE7ECA/0346/2022 dirigido a la Titular de la Unidad de Transparencia y suscrito por la Encargada de Despacho de la Dirección de Medio Ambiente y Ecología mediante el cual refiere que: “</w:t>
      </w:r>
      <w:r w:rsidR="00151FF0" w:rsidRPr="0010425E">
        <w:rPr>
          <w:rFonts w:ascii="Palatino Linotype" w:eastAsia="Calibri" w:hAnsi="Palatino Linotype" w:cs="Arial"/>
          <w:i/>
          <w:color w:val="000000"/>
        </w:rPr>
        <w:t xml:space="preserve">Hago de su conocimiento que esta Dirección NO CUENTA con permiso al que se hace referencia” </w:t>
      </w:r>
    </w:p>
    <w:p w14:paraId="46676646" w14:textId="77777777" w:rsidR="00525DDC" w:rsidRPr="0010425E" w:rsidRDefault="00525DDC" w:rsidP="00525DDC">
      <w:pPr>
        <w:pStyle w:val="Prrafodelista"/>
        <w:rPr>
          <w:rFonts w:ascii="Palatino Linotype" w:eastAsia="Calibri" w:hAnsi="Palatino Linotype" w:cs="Arial"/>
          <w:color w:val="000000"/>
        </w:rPr>
      </w:pPr>
    </w:p>
    <w:p w14:paraId="46EA47D5" w14:textId="649E08C4" w:rsidR="00BA09D6" w:rsidRPr="0010425E" w:rsidRDefault="00BA09D6" w:rsidP="00151FF0">
      <w:pPr>
        <w:rPr>
          <w:rFonts w:ascii="Palatino Linotype" w:eastAsia="Calibri" w:hAnsi="Palatino Linotype" w:cs="Arial"/>
          <w:color w:val="000000" w:themeColor="text1"/>
          <w:lang w:val="es-MX"/>
        </w:rPr>
      </w:pPr>
    </w:p>
    <w:p w14:paraId="4FD2D38B" w14:textId="4CD51CFB" w:rsidR="00BA09D6" w:rsidRPr="0010425E" w:rsidRDefault="00914D14" w:rsidP="00BA09D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0425E">
        <w:rPr>
          <w:rFonts w:ascii="Palatino Linotype" w:eastAsia="Calibri" w:hAnsi="Palatino Linotype" w:cs="Arial"/>
          <w:color w:val="000000" w:themeColor="text1"/>
          <w:lang w:val="es-MX"/>
        </w:rPr>
        <w:t xml:space="preserve">El </w:t>
      </w:r>
      <w:r w:rsidR="004218A7" w:rsidRPr="0010425E">
        <w:rPr>
          <w:rFonts w:ascii="Palatino Linotype" w:eastAsia="Calibri" w:hAnsi="Palatino Linotype" w:cs="Arial"/>
          <w:color w:val="000000" w:themeColor="text1"/>
          <w:lang w:val="es-MX"/>
        </w:rPr>
        <w:t>veintinueve (29</w:t>
      </w:r>
      <w:r w:rsidR="00BA09D6" w:rsidRPr="0010425E">
        <w:rPr>
          <w:rFonts w:ascii="Palatino Linotype" w:eastAsia="Calibri" w:hAnsi="Palatino Linotype" w:cs="Arial"/>
          <w:color w:val="000000" w:themeColor="text1"/>
          <w:lang w:val="es-MX"/>
        </w:rPr>
        <w:t>) de</w:t>
      </w:r>
      <w:r w:rsidR="00205107" w:rsidRPr="0010425E">
        <w:rPr>
          <w:rFonts w:ascii="Palatino Linotype" w:eastAsia="Calibri" w:hAnsi="Palatino Linotype" w:cs="Arial"/>
          <w:color w:val="000000" w:themeColor="text1"/>
          <w:lang w:val="es-MX"/>
        </w:rPr>
        <w:t xml:space="preserve"> </w:t>
      </w:r>
      <w:r w:rsidRPr="0010425E">
        <w:rPr>
          <w:rFonts w:ascii="Palatino Linotype" w:eastAsia="Calibri" w:hAnsi="Palatino Linotype" w:cs="Arial"/>
          <w:color w:val="000000" w:themeColor="text1"/>
          <w:lang w:val="es-MX"/>
        </w:rPr>
        <w:t>septiembre</w:t>
      </w:r>
      <w:r w:rsidR="00205107" w:rsidRPr="0010425E">
        <w:rPr>
          <w:rFonts w:ascii="Palatino Linotype" w:eastAsia="Calibri" w:hAnsi="Palatino Linotype" w:cs="Arial"/>
          <w:color w:val="000000" w:themeColor="text1"/>
          <w:lang w:val="es-MX"/>
        </w:rPr>
        <w:t xml:space="preserve"> </w:t>
      </w:r>
      <w:r w:rsidR="00BA09D6" w:rsidRPr="0010425E">
        <w:rPr>
          <w:rFonts w:ascii="Palatino Linotype" w:eastAsia="Calibri" w:hAnsi="Palatino Linotype" w:cs="Arial"/>
          <w:color w:val="000000" w:themeColor="text1"/>
          <w:lang w:val="es-MX"/>
        </w:rPr>
        <w:t xml:space="preserve">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0BB3BAD3" w14:textId="77777777" w:rsidR="006401B8" w:rsidRPr="0010425E" w:rsidRDefault="006401B8" w:rsidP="006401B8">
      <w:pPr>
        <w:pStyle w:val="Prrafodelista"/>
        <w:rPr>
          <w:rFonts w:ascii="Palatino Linotype" w:eastAsiaTheme="minorEastAsia" w:hAnsi="Palatino Linotype" w:cstheme="minorBidi"/>
          <w:color w:val="000000" w:themeColor="text1"/>
        </w:rPr>
      </w:pPr>
    </w:p>
    <w:p w14:paraId="63617732" w14:textId="0303EDED" w:rsidR="00205107" w:rsidRPr="0010425E" w:rsidRDefault="00205107" w:rsidP="00205107">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10425E">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D26B10D" w14:textId="77777777" w:rsidR="00205107" w:rsidRPr="0010425E" w:rsidRDefault="00205107" w:rsidP="00205107">
      <w:pPr>
        <w:ind w:left="708"/>
        <w:rPr>
          <w:rFonts w:ascii="Palatino Linotype" w:hAnsi="Palatino Linotype"/>
          <w:lang w:val="es-ES_tradnl" w:eastAsia="en-US"/>
        </w:rPr>
      </w:pPr>
    </w:p>
    <w:p w14:paraId="40630B2D" w14:textId="77777777" w:rsidR="00205107" w:rsidRPr="0010425E"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0425E">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2B093D1" w14:textId="77777777" w:rsidR="00205107" w:rsidRPr="0010425E" w:rsidRDefault="00205107" w:rsidP="00205107">
      <w:pPr>
        <w:ind w:left="708"/>
        <w:rPr>
          <w:rFonts w:ascii="Palatino Linotype" w:hAnsi="Palatino Linotype"/>
          <w:lang w:val="es-ES_tradnl" w:eastAsia="en-US"/>
        </w:rPr>
      </w:pPr>
    </w:p>
    <w:p w14:paraId="3B2383EE" w14:textId="77777777" w:rsidR="00205107" w:rsidRPr="0010425E"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0425E">
        <w:rPr>
          <w:rFonts w:ascii="Palatino Linotype" w:hAnsi="Palatino Linotype"/>
          <w:lang w:val="es-ES_tradnl"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89147B" w14:textId="77777777" w:rsidR="00205107" w:rsidRPr="0010425E" w:rsidRDefault="00205107" w:rsidP="00205107">
      <w:pPr>
        <w:ind w:left="708"/>
        <w:rPr>
          <w:rFonts w:ascii="Palatino Linotype" w:hAnsi="Palatino Linotype"/>
          <w:lang w:val="es-ES_tradnl" w:eastAsia="en-US"/>
        </w:rPr>
      </w:pPr>
    </w:p>
    <w:p w14:paraId="11E3966B" w14:textId="77777777" w:rsidR="00205107" w:rsidRPr="0010425E"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0425E">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0E3147" w14:textId="77777777" w:rsidR="00205107" w:rsidRPr="0010425E" w:rsidRDefault="00205107" w:rsidP="00205107">
      <w:pPr>
        <w:ind w:left="708"/>
        <w:rPr>
          <w:rFonts w:ascii="Palatino Linotype" w:hAnsi="Palatino Linotype"/>
          <w:lang w:val="es-ES_tradnl" w:eastAsia="en-US"/>
        </w:rPr>
      </w:pPr>
    </w:p>
    <w:p w14:paraId="328569A7" w14:textId="77777777" w:rsidR="00205107" w:rsidRPr="0010425E"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0425E">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433304FC" w14:textId="77777777" w:rsidR="00205107" w:rsidRPr="0010425E" w:rsidRDefault="00205107" w:rsidP="00205107">
      <w:pPr>
        <w:spacing w:line="360" w:lineRule="auto"/>
        <w:rPr>
          <w:rFonts w:ascii="Palatino Linotype" w:hAnsi="Palatino Linotype"/>
          <w:lang w:val="es-ES_tradnl" w:eastAsia="en-US"/>
        </w:rPr>
      </w:pPr>
    </w:p>
    <w:p w14:paraId="1752FECE" w14:textId="77777777" w:rsidR="00205107" w:rsidRPr="0010425E"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10425E">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6605F4B5" w14:textId="77777777" w:rsidR="00205107" w:rsidRPr="0010425E" w:rsidRDefault="00205107" w:rsidP="00205107">
      <w:pPr>
        <w:spacing w:line="360" w:lineRule="auto"/>
        <w:ind w:left="990" w:right="918" w:hanging="270"/>
        <w:jc w:val="both"/>
        <w:rPr>
          <w:rFonts w:ascii="Palatino Linotype" w:hAnsi="Palatino Linotype"/>
          <w:lang w:val="es-MX" w:eastAsia="en-US"/>
        </w:rPr>
      </w:pPr>
    </w:p>
    <w:p w14:paraId="0D89B5B9" w14:textId="77777777" w:rsidR="00205107" w:rsidRPr="0010425E"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10425E">
        <w:rPr>
          <w:rFonts w:ascii="Palatino Linotype" w:hAnsi="Palatino Linotype"/>
          <w:b/>
          <w:lang w:val="es-MX" w:eastAsia="en-US"/>
        </w:rPr>
        <w:t>Actividad Procesal del interesado. Acciones u omisiones del interesado.</w:t>
      </w:r>
    </w:p>
    <w:p w14:paraId="770D383F" w14:textId="77777777" w:rsidR="00205107" w:rsidRPr="0010425E" w:rsidRDefault="00205107" w:rsidP="00205107">
      <w:pPr>
        <w:spacing w:line="360" w:lineRule="auto"/>
        <w:ind w:left="990" w:right="918" w:hanging="270"/>
        <w:jc w:val="both"/>
        <w:rPr>
          <w:rFonts w:ascii="Palatino Linotype" w:hAnsi="Palatino Linotype"/>
          <w:b/>
          <w:lang w:val="es-ES_tradnl" w:eastAsia="en-US"/>
        </w:rPr>
      </w:pPr>
    </w:p>
    <w:p w14:paraId="5133B203" w14:textId="77777777" w:rsidR="00205107" w:rsidRPr="0010425E"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10425E">
        <w:rPr>
          <w:rFonts w:ascii="Palatino Linotype" w:hAnsi="Palatino Linotype"/>
          <w:b/>
          <w:lang w:val="es-MX" w:eastAsia="en-US"/>
        </w:rPr>
        <w:t>Conducta de la Autoridad: Las Acciones u omisiones realizadas en el procedimiento. Así como si la autoridad actuó con la debida diligencia.</w:t>
      </w:r>
    </w:p>
    <w:p w14:paraId="4740F0EF" w14:textId="77777777" w:rsidR="00205107" w:rsidRPr="0010425E" w:rsidRDefault="00205107" w:rsidP="00205107">
      <w:pPr>
        <w:spacing w:line="360" w:lineRule="auto"/>
        <w:ind w:left="990" w:right="918" w:hanging="270"/>
        <w:jc w:val="both"/>
        <w:rPr>
          <w:rFonts w:ascii="Palatino Linotype" w:hAnsi="Palatino Linotype"/>
          <w:b/>
          <w:lang w:val="es-MX" w:eastAsia="en-US"/>
        </w:rPr>
      </w:pPr>
    </w:p>
    <w:p w14:paraId="2167E47B" w14:textId="77777777" w:rsidR="00205107" w:rsidRPr="0010425E" w:rsidRDefault="00205107" w:rsidP="00205107">
      <w:pPr>
        <w:spacing w:line="360" w:lineRule="auto"/>
        <w:ind w:left="990" w:right="918" w:hanging="270"/>
        <w:jc w:val="both"/>
        <w:rPr>
          <w:rFonts w:ascii="Palatino Linotype" w:hAnsi="Palatino Linotype"/>
          <w:b/>
          <w:lang w:val="es-ES_tradnl" w:eastAsia="en-US"/>
        </w:rPr>
      </w:pPr>
      <w:r w:rsidRPr="0010425E">
        <w:rPr>
          <w:rFonts w:ascii="Palatino Linotype" w:hAnsi="Palatino Linotype"/>
          <w:b/>
          <w:lang w:val="es-ES_tradnl" w:eastAsia="en-US"/>
        </w:rPr>
        <w:lastRenderedPageBreak/>
        <w:t>d) La afectación generada en la situación jurídica de la persona involucrada en el proceso: Violación a sus derechos humanos.</w:t>
      </w:r>
    </w:p>
    <w:p w14:paraId="29B50C7D" w14:textId="77777777" w:rsidR="00205107" w:rsidRPr="0010425E" w:rsidRDefault="00205107" w:rsidP="00205107">
      <w:pPr>
        <w:spacing w:line="360" w:lineRule="auto"/>
        <w:rPr>
          <w:rFonts w:ascii="Palatino Linotype" w:hAnsi="Palatino Linotype"/>
          <w:lang w:val="es-ES_tradnl" w:eastAsia="en-US"/>
        </w:rPr>
      </w:pPr>
    </w:p>
    <w:p w14:paraId="21ACEE08" w14:textId="77777777" w:rsidR="00205107" w:rsidRPr="0010425E"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10425E">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345B7D" w14:textId="77777777" w:rsidR="00205107" w:rsidRPr="0010425E" w:rsidRDefault="00205107" w:rsidP="00205107">
      <w:pPr>
        <w:spacing w:line="360" w:lineRule="auto"/>
        <w:rPr>
          <w:rFonts w:ascii="Palatino Linotype" w:hAnsi="Palatino Linotype"/>
          <w:lang w:val="es-ES_tradnl" w:eastAsia="en-US"/>
        </w:rPr>
      </w:pPr>
    </w:p>
    <w:p w14:paraId="2DA66ED4" w14:textId="77777777" w:rsidR="00205107" w:rsidRPr="0010425E"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10425E">
        <w:rPr>
          <w:rFonts w:ascii="Palatino Linotype" w:hAnsi="Palatino Linotype"/>
          <w:lang w:val="es-ES_tradnl" w:eastAsia="en-US"/>
        </w:rPr>
        <w:t xml:space="preserve">Argumento que encuentra sustento en la jurisprudencia P./J. 32/92 emitida por el Pleno de la Suprema Corte de Justicia de la Nación de rubro </w:t>
      </w:r>
      <w:r w:rsidRPr="0010425E">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10425E">
        <w:rPr>
          <w:rFonts w:ascii="Palatino Linotype" w:hAnsi="Palatino Linotype"/>
          <w:lang w:val="es-ES_tradnl" w:eastAsia="en-US"/>
        </w:rPr>
        <w:t>, visible en la Gaceta del Seminario Judicial de la Federación con el registro digital 205635.</w:t>
      </w:r>
    </w:p>
    <w:p w14:paraId="64F67922" w14:textId="77777777" w:rsidR="00205107" w:rsidRPr="0010425E" w:rsidRDefault="00205107" w:rsidP="00205107">
      <w:pPr>
        <w:tabs>
          <w:tab w:val="left" w:pos="0"/>
        </w:tabs>
        <w:spacing w:line="360" w:lineRule="auto"/>
        <w:jc w:val="both"/>
        <w:rPr>
          <w:rFonts w:ascii="Palatino Linotype" w:hAnsi="Palatino Linotype"/>
          <w:lang w:val="es-ES_tradnl" w:eastAsia="en-US"/>
        </w:rPr>
      </w:pPr>
    </w:p>
    <w:p w14:paraId="5E91EE15" w14:textId="77777777" w:rsidR="00205107" w:rsidRPr="0010425E"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10425E">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10425E">
        <w:rPr>
          <w:rFonts w:ascii="Palatino Linotype" w:hAnsi="Palatino Linotype"/>
          <w:lang w:val="es-ES_tradnl" w:eastAsia="en-U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1F678894" w14:textId="77777777" w:rsidR="00205107" w:rsidRPr="0010425E" w:rsidRDefault="00205107" w:rsidP="00205107">
      <w:pPr>
        <w:tabs>
          <w:tab w:val="left" w:pos="0"/>
        </w:tabs>
        <w:spacing w:line="360" w:lineRule="auto"/>
        <w:jc w:val="both"/>
        <w:rPr>
          <w:rFonts w:ascii="Palatino Linotype" w:hAnsi="Palatino Linotype"/>
          <w:lang w:val="es-ES_tradnl" w:eastAsia="en-US"/>
        </w:rPr>
      </w:pPr>
    </w:p>
    <w:p w14:paraId="61EF4D49" w14:textId="77777777" w:rsidR="00205107" w:rsidRPr="0010425E"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10425E">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474DA36" w14:textId="77777777" w:rsidR="00205107" w:rsidRPr="0010425E" w:rsidRDefault="00205107" w:rsidP="00205107">
      <w:pPr>
        <w:spacing w:line="360" w:lineRule="auto"/>
        <w:rPr>
          <w:rFonts w:ascii="Palatino Linotype" w:hAnsi="Palatino Linotype"/>
          <w:lang w:val="es-ES_tradnl" w:eastAsia="en-US"/>
        </w:rPr>
      </w:pPr>
    </w:p>
    <w:p w14:paraId="01E42AA7" w14:textId="77777777" w:rsidR="00205107" w:rsidRPr="0010425E" w:rsidRDefault="00205107" w:rsidP="00205107">
      <w:pPr>
        <w:numPr>
          <w:ilvl w:val="0"/>
          <w:numId w:val="2"/>
        </w:numPr>
        <w:spacing w:line="360" w:lineRule="auto"/>
        <w:ind w:left="0" w:firstLine="0"/>
        <w:jc w:val="both"/>
        <w:rPr>
          <w:rFonts w:ascii="Palatino Linotype" w:hAnsi="Palatino Linotype"/>
          <w:lang w:val="es-ES_tradnl" w:eastAsia="en-US"/>
        </w:rPr>
      </w:pPr>
      <w:r w:rsidRPr="0010425E">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294504C3" w14:textId="77777777" w:rsidR="00205107" w:rsidRPr="0010425E" w:rsidRDefault="00205107" w:rsidP="00205107">
      <w:pPr>
        <w:spacing w:line="360" w:lineRule="auto"/>
        <w:rPr>
          <w:rFonts w:ascii="Palatino Linotype" w:hAnsi="Palatino Linotype"/>
          <w:lang w:val="es-ES_tradnl" w:eastAsia="en-US"/>
        </w:rPr>
      </w:pPr>
    </w:p>
    <w:p w14:paraId="57D47A3E" w14:textId="77777777" w:rsidR="00205107" w:rsidRPr="0010425E" w:rsidRDefault="00205107" w:rsidP="00205107">
      <w:pPr>
        <w:spacing w:line="360" w:lineRule="auto"/>
        <w:ind w:left="720" w:right="828"/>
        <w:jc w:val="both"/>
        <w:rPr>
          <w:rFonts w:ascii="Palatino Linotype" w:hAnsi="Palatino Linotype"/>
          <w:i/>
          <w:lang w:val="es-ES_tradnl" w:eastAsia="en-US"/>
        </w:rPr>
      </w:pPr>
      <w:r w:rsidRPr="0010425E">
        <w:rPr>
          <w:rFonts w:ascii="Palatino Linotype" w:hAnsi="Palatino Linotype"/>
          <w:lang w:val="es-ES_tradnl" w:eastAsia="en-US"/>
        </w:rPr>
        <w:t xml:space="preserve"> </w:t>
      </w:r>
      <w:r w:rsidRPr="0010425E">
        <w:rPr>
          <w:rFonts w:ascii="Palatino Linotype" w:hAnsi="Palatino Linotype"/>
          <w:i/>
          <w:lang w:val="es-ES_tradnl" w:eastAsia="en-US"/>
        </w:rPr>
        <w:t>“</w:t>
      </w:r>
      <w:r w:rsidRPr="0010425E">
        <w:rPr>
          <w:rFonts w:ascii="Palatino Linotype" w:hAnsi="Palatino Linotype"/>
          <w:b/>
          <w:i/>
          <w:lang w:val="es-ES_tradnl" w:eastAsia="en-US"/>
        </w:rPr>
        <w:t>PLAZO RAZONABLE PARA RESOLVER. DIMENSIÓN Y EFECTOS DE ESTE CONCEPTO CUANDO SE ADUCE EXCESIVA CARGA DE TRABAJO</w:t>
      </w:r>
      <w:r w:rsidRPr="0010425E">
        <w:rPr>
          <w:rFonts w:ascii="Palatino Linotype" w:hAnsi="Palatino Linotype"/>
          <w:i/>
          <w:lang w:val="es-ES_tradnl" w:eastAsia="en-US"/>
        </w:rPr>
        <w:t>.” consultable en el Seminario Judicial de la Federación y su gaceta, con el registro digital 2002351.</w:t>
      </w:r>
    </w:p>
    <w:p w14:paraId="0D627F5B" w14:textId="77777777" w:rsidR="00205107" w:rsidRPr="0010425E" w:rsidRDefault="00205107" w:rsidP="00205107">
      <w:pPr>
        <w:spacing w:line="360" w:lineRule="auto"/>
        <w:ind w:left="720" w:right="828"/>
        <w:jc w:val="both"/>
        <w:rPr>
          <w:rFonts w:ascii="Palatino Linotype" w:hAnsi="Palatino Linotype"/>
          <w:i/>
          <w:lang w:val="es-ES_tradnl" w:eastAsia="en-US"/>
        </w:rPr>
      </w:pPr>
    </w:p>
    <w:p w14:paraId="16BC8FF1" w14:textId="77777777" w:rsidR="00205107" w:rsidRPr="0010425E" w:rsidRDefault="00205107" w:rsidP="00205107">
      <w:pPr>
        <w:spacing w:line="360" w:lineRule="auto"/>
        <w:ind w:left="720" w:right="828"/>
        <w:jc w:val="both"/>
        <w:rPr>
          <w:rFonts w:ascii="Palatino Linotype" w:hAnsi="Palatino Linotype"/>
          <w:i/>
          <w:lang w:val="es-ES_tradnl" w:eastAsia="en-US"/>
        </w:rPr>
      </w:pPr>
      <w:r w:rsidRPr="0010425E">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w:t>
      </w:r>
      <w:r w:rsidRPr="0010425E">
        <w:rPr>
          <w:rFonts w:ascii="Palatino Linotype" w:hAnsi="Palatino Linotype"/>
          <w:i/>
          <w:lang w:eastAsia="en-US"/>
        </w:rPr>
        <w:lastRenderedPageBreak/>
        <w:t xml:space="preserve">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w:t>
      </w:r>
      <w:r w:rsidRPr="0010425E">
        <w:rPr>
          <w:rFonts w:ascii="Palatino Linotype" w:hAnsi="Palatino Linotype"/>
          <w:i/>
          <w:lang w:eastAsia="en-US"/>
        </w:rPr>
        <w:lastRenderedPageBreak/>
        <w:t>no sólo a las autoridades jurisdiccionales, sino también a todas aquellas que tienen injerencia en trámites análogos.”</w:t>
      </w:r>
    </w:p>
    <w:p w14:paraId="5AEAC7C6" w14:textId="77777777" w:rsidR="00205107" w:rsidRPr="0010425E" w:rsidRDefault="00205107" w:rsidP="00205107">
      <w:pPr>
        <w:spacing w:line="360" w:lineRule="auto"/>
        <w:ind w:left="720" w:right="828"/>
        <w:jc w:val="both"/>
        <w:rPr>
          <w:rFonts w:ascii="Palatino Linotype" w:hAnsi="Palatino Linotype"/>
          <w:b/>
          <w:i/>
          <w:lang w:val="es-ES_tradnl" w:eastAsia="en-US"/>
        </w:rPr>
      </w:pPr>
    </w:p>
    <w:p w14:paraId="7BFECBBF" w14:textId="77777777" w:rsidR="00205107" w:rsidRPr="0010425E" w:rsidRDefault="00205107" w:rsidP="00205107">
      <w:pPr>
        <w:spacing w:line="360" w:lineRule="auto"/>
        <w:ind w:left="720" w:right="828"/>
        <w:jc w:val="both"/>
        <w:rPr>
          <w:rFonts w:ascii="Palatino Linotype" w:hAnsi="Palatino Linotype"/>
          <w:i/>
          <w:lang w:val="es-ES_tradnl" w:eastAsia="en-US"/>
        </w:rPr>
      </w:pPr>
      <w:r w:rsidRPr="0010425E">
        <w:rPr>
          <w:rFonts w:ascii="Palatino Linotype" w:hAnsi="Palatino Linotype"/>
          <w:i/>
          <w:lang w:val="es-ES_tradnl" w:eastAsia="en-US"/>
        </w:rPr>
        <w:t>“</w:t>
      </w:r>
      <w:r w:rsidRPr="0010425E">
        <w:rPr>
          <w:rFonts w:ascii="Palatino Linotype" w:hAnsi="Palatino Linotype"/>
          <w:b/>
          <w:i/>
          <w:lang w:val="es-ES_tradnl" w:eastAsia="en-US"/>
        </w:rPr>
        <w:t>PLAZO RAZONABLE PARA RESOLVER. CONCEPTO Y ELEMENTOS QUE LO INTEGRAN A LA LUZ DEL DERECHO INTERNACIONAL DE LOS DERECHOS HUMANOS</w:t>
      </w:r>
      <w:r w:rsidRPr="0010425E">
        <w:rPr>
          <w:rFonts w:ascii="Palatino Linotype" w:hAnsi="Palatino Linotype"/>
          <w:i/>
          <w:lang w:val="es-ES_tradnl" w:eastAsia="en-US"/>
        </w:rPr>
        <w:t>.”, visible en el Seminario Judicial de la Federación y su gaceta, con el registro digital 2002350.</w:t>
      </w:r>
    </w:p>
    <w:p w14:paraId="78DB4FE6" w14:textId="77777777" w:rsidR="00205107" w:rsidRPr="0010425E" w:rsidRDefault="00205107" w:rsidP="00205107">
      <w:pPr>
        <w:spacing w:line="360" w:lineRule="auto"/>
        <w:ind w:left="720" w:right="828"/>
        <w:jc w:val="both"/>
        <w:rPr>
          <w:rFonts w:ascii="Palatino Linotype" w:hAnsi="Palatino Linotype"/>
          <w:i/>
          <w:lang w:val="es-ES_tradnl" w:eastAsia="en-US"/>
        </w:rPr>
      </w:pPr>
    </w:p>
    <w:p w14:paraId="109531F4" w14:textId="77777777" w:rsidR="00205107" w:rsidRPr="0010425E" w:rsidRDefault="00205107" w:rsidP="00205107">
      <w:pPr>
        <w:spacing w:line="360" w:lineRule="auto"/>
        <w:ind w:left="720" w:right="828"/>
        <w:jc w:val="both"/>
        <w:rPr>
          <w:rFonts w:ascii="Palatino Linotype" w:hAnsi="Palatino Linotype"/>
          <w:i/>
          <w:lang w:eastAsia="en-US"/>
        </w:rPr>
      </w:pPr>
      <w:r w:rsidRPr="0010425E">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w:t>
      </w:r>
      <w:r w:rsidRPr="0010425E">
        <w:rPr>
          <w:rFonts w:ascii="Palatino Linotype" w:hAnsi="Palatino Linotype"/>
          <w:i/>
          <w:lang w:eastAsia="en-US"/>
        </w:rPr>
        <w:lastRenderedPageBreak/>
        <w:t>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46AA19CF" w14:textId="77777777" w:rsidR="00205107" w:rsidRPr="0010425E" w:rsidRDefault="00205107" w:rsidP="00205107">
      <w:pPr>
        <w:spacing w:line="360" w:lineRule="auto"/>
        <w:rPr>
          <w:rFonts w:ascii="Palatino Linotype" w:hAnsi="Palatino Linotype"/>
          <w:i/>
          <w:lang w:eastAsia="en-US"/>
        </w:rPr>
      </w:pPr>
    </w:p>
    <w:p w14:paraId="3B4041AB" w14:textId="2222D382" w:rsidR="00731DB4" w:rsidRPr="0010425E" w:rsidRDefault="00205107" w:rsidP="00731DB4">
      <w:pPr>
        <w:numPr>
          <w:ilvl w:val="0"/>
          <w:numId w:val="2"/>
        </w:numPr>
        <w:spacing w:line="360" w:lineRule="auto"/>
        <w:ind w:left="0" w:firstLine="0"/>
        <w:rPr>
          <w:rFonts w:ascii="Palatino Linotype" w:hAnsi="Palatino Linotype"/>
          <w:lang w:val="es-ES_tradnl" w:eastAsia="en-US"/>
        </w:rPr>
      </w:pPr>
      <w:r w:rsidRPr="0010425E">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2D18DF38" w14:textId="77777777" w:rsidR="004218A7" w:rsidRPr="0010425E" w:rsidRDefault="004218A7" w:rsidP="004218A7">
      <w:pPr>
        <w:spacing w:line="360" w:lineRule="auto"/>
        <w:rPr>
          <w:rFonts w:ascii="Palatino Linotype" w:hAnsi="Palatino Linotype"/>
          <w:lang w:val="es-ES_tradnl" w:eastAsia="en-US"/>
        </w:rPr>
      </w:pPr>
    </w:p>
    <w:p w14:paraId="0F7813FC" w14:textId="5B64BCB0" w:rsidR="00731DB4" w:rsidRPr="0010425E" w:rsidRDefault="00731DB4" w:rsidP="00731DB4">
      <w:pPr>
        <w:numPr>
          <w:ilvl w:val="0"/>
          <w:numId w:val="2"/>
        </w:numPr>
        <w:spacing w:line="360" w:lineRule="auto"/>
        <w:ind w:left="0" w:firstLine="0"/>
        <w:rPr>
          <w:rFonts w:ascii="Palatino Linotype" w:hAnsi="Palatino Linotype"/>
          <w:lang w:val="es-ES_tradnl" w:eastAsia="en-US"/>
        </w:rPr>
      </w:pPr>
      <w:r w:rsidRPr="0010425E">
        <w:rPr>
          <w:rFonts w:ascii="Palatino Linotype" w:eastAsiaTheme="minorEastAsia" w:hAnsi="Palatino Linotype" w:cstheme="minorBidi"/>
          <w:color w:val="000000" w:themeColor="text1"/>
          <w:lang w:val="es-ES_tradnl"/>
        </w:rPr>
        <w:lastRenderedPageBreak/>
        <w:t>Así las cosas, la</w:t>
      </w:r>
      <w:r w:rsidRPr="0010425E">
        <w:rPr>
          <w:rFonts w:ascii="Palatino Linotype" w:eastAsiaTheme="minorEastAsia" w:hAnsi="Palatino Linotype" w:cstheme="minorBidi"/>
          <w:b/>
          <w:color w:val="000000" w:themeColor="text1"/>
          <w:lang w:val="es-ES_tradnl"/>
        </w:rPr>
        <w:t xml:space="preserve"> Comisionada María del Rosario Mejía Ayala</w:t>
      </w:r>
      <w:r w:rsidRPr="0010425E">
        <w:rPr>
          <w:rFonts w:ascii="Palatino Linotype" w:eastAsiaTheme="minorEastAsia" w:hAnsi="Palatino Linotype" w:cstheme="minorBidi"/>
          <w:color w:val="000000" w:themeColor="text1"/>
          <w:lang w:val="es-ES_tradnl"/>
        </w:rPr>
        <w:t xml:space="preserve"> decretó el cierre de instrucción mediante </w:t>
      </w:r>
      <w:r w:rsidR="004218A7" w:rsidRPr="0010425E">
        <w:rPr>
          <w:rFonts w:ascii="Palatino Linotype" w:eastAsiaTheme="minorEastAsia" w:hAnsi="Palatino Linotype" w:cstheme="minorBidi"/>
          <w:color w:val="000000" w:themeColor="text1"/>
          <w:lang w:val="es-ES_tradnl"/>
        </w:rPr>
        <w:t>acuerdo de fecha veintinueve (29</w:t>
      </w:r>
      <w:r w:rsidRPr="0010425E">
        <w:rPr>
          <w:rFonts w:ascii="Palatino Linotype" w:eastAsiaTheme="minorEastAsia" w:hAnsi="Palatino Linotype" w:cstheme="minorBidi"/>
          <w:color w:val="000000" w:themeColor="text1"/>
          <w:lang w:val="es-ES_tradnl"/>
        </w:rPr>
        <w:t>) de septiembre de dos mil veintidós.</w:t>
      </w:r>
    </w:p>
    <w:p w14:paraId="1A06EC63" w14:textId="62BD69F5" w:rsidR="0028674A" w:rsidRPr="0010425E" w:rsidRDefault="0028674A" w:rsidP="00342812">
      <w:pPr>
        <w:spacing w:line="360" w:lineRule="auto"/>
        <w:jc w:val="both"/>
        <w:rPr>
          <w:rFonts w:ascii="Palatino Linotype" w:hAnsi="Palatino Linotype"/>
          <w:lang w:val="es-ES_tradnl" w:eastAsia="en-US"/>
        </w:rPr>
      </w:pPr>
    </w:p>
    <w:p w14:paraId="494F97AD" w14:textId="77777777" w:rsidR="00EA0165" w:rsidRPr="0010425E"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7" w:name="_Toc110470203"/>
      <w:r w:rsidRPr="0010425E">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10425E"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10425E"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470204"/>
      <w:r w:rsidRPr="0010425E">
        <w:rPr>
          <w:rFonts w:ascii="Palatino Linotype" w:hAnsi="Palatino Linotype"/>
          <w:b/>
          <w:color w:val="000000" w:themeColor="text1"/>
          <w:sz w:val="24"/>
          <w:szCs w:val="24"/>
          <w:lang w:val="es-MX" w:eastAsia="en-US"/>
        </w:rPr>
        <w:t>PRIMERO. De la competencia</w:t>
      </w:r>
      <w:bookmarkEnd w:id="8"/>
      <w:bookmarkEnd w:id="9"/>
      <w:bookmarkEnd w:id="10"/>
      <w:r w:rsidR="00537427" w:rsidRPr="0010425E">
        <w:rPr>
          <w:rFonts w:ascii="Palatino Linotype" w:hAnsi="Palatino Linotype"/>
          <w:b/>
          <w:color w:val="000000" w:themeColor="text1"/>
          <w:sz w:val="24"/>
          <w:szCs w:val="24"/>
          <w:lang w:val="es-MX" w:eastAsia="en-US"/>
        </w:rPr>
        <w:t>.</w:t>
      </w:r>
      <w:bookmarkEnd w:id="11"/>
    </w:p>
    <w:p w14:paraId="341F67EC" w14:textId="77777777" w:rsidR="00EA0165" w:rsidRPr="0010425E"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15D1D21E" w14:textId="5AD63EA4" w:rsidR="00EA0165" w:rsidRPr="0010425E" w:rsidRDefault="00EA0165" w:rsidP="00731DB4">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10425E">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0425E">
        <w:rPr>
          <w:rFonts w:ascii="Palatino Linotype" w:eastAsia="Calibri" w:hAnsi="Palatino Linotype"/>
          <w:b/>
        </w:rPr>
        <w:t>Constitución Política de los Estados Unidos Mexicanos</w:t>
      </w:r>
      <w:r w:rsidRPr="0010425E">
        <w:rPr>
          <w:rFonts w:ascii="Palatino Linotype" w:eastAsia="Calibri" w:hAnsi="Palatino Linotype"/>
        </w:rPr>
        <w:t xml:space="preserve">; </w:t>
      </w:r>
      <w:r w:rsidRPr="0010425E">
        <w:rPr>
          <w:rFonts w:ascii="Palatino Linotype" w:eastAsia="Calibri" w:hAnsi="Palatino Linotype" w:cs="Arial"/>
          <w:bCs/>
          <w:color w:val="222222"/>
          <w:shd w:val="clear" w:color="auto" w:fill="FFFFFF"/>
          <w:lang w:eastAsia="en-US"/>
        </w:rPr>
        <w:t>5, párrafo</w:t>
      </w:r>
      <w:r w:rsidR="00543BF9" w:rsidRPr="0010425E">
        <w:rPr>
          <w:rFonts w:ascii="Palatino Linotype" w:eastAsia="Calibri" w:hAnsi="Palatino Linotype"/>
          <w:lang w:val="es-MX" w:eastAsia="en-US"/>
        </w:rPr>
        <w:t xml:space="preserve"> trigésimo, trigésimo primero y trigésimo segundo, fracciones I, II, III, IV y V</w:t>
      </w:r>
      <w:r w:rsidR="00543BF9" w:rsidRPr="0010425E">
        <w:rPr>
          <w:rFonts w:ascii="Palatino Linotype" w:eastAsia="MS Mincho" w:hAnsi="Palatino Linotype"/>
          <w:lang w:val="es-ES_tradnl"/>
        </w:rPr>
        <w:t xml:space="preserve"> </w:t>
      </w:r>
      <w:r w:rsidRPr="0010425E">
        <w:rPr>
          <w:rFonts w:ascii="Palatino Linotype" w:eastAsia="Calibri" w:hAnsi="Palatino Linotype"/>
        </w:rPr>
        <w:t xml:space="preserve">de la </w:t>
      </w:r>
      <w:r w:rsidRPr="0010425E">
        <w:rPr>
          <w:rFonts w:ascii="Palatino Linotype" w:eastAsia="Calibri" w:hAnsi="Palatino Linotype"/>
          <w:b/>
        </w:rPr>
        <w:t>Constitución Política del Estado Libre y Soberano de México</w:t>
      </w:r>
      <w:r w:rsidRPr="0010425E">
        <w:rPr>
          <w:rFonts w:ascii="Palatino Linotype" w:eastAsia="Calibri" w:hAnsi="Palatino Linotype"/>
        </w:rPr>
        <w:t xml:space="preserve">; artículos 1, 2 fracción II, 13, 29, 36 fracciones I y II, 176, 178, 179, 181 párrafo tercero y 185 </w:t>
      </w:r>
      <w:r w:rsidRPr="0010425E">
        <w:rPr>
          <w:rFonts w:ascii="Palatino Linotype" w:eastAsia="Calibri" w:hAnsi="Palatino Linotype" w:cs="Arial"/>
        </w:rPr>
        <w:t xml:space="preserve">de la </w:t>
      </w:r>
      <w:r w:rsidRPr="0010425E">
        <w:rPr>
          <w:rFonts w:ascii="Palatino Linotype" w:eastAsia="Calibri" w:hAnsi="Palatino Linotype" w:cs="Arial"/>
          <w:b/>
        </w:rPr>
        <w:t>Ley de Transparencia y Acceso a la Información Pública del Estado de México y Municipios</w:t>
      </w:r>
      <w:r w:rsidRPr="0010425E">
        <w:rPr>
          <w:rFonts w:ascii="Palatino Linotype" w:eastAsia="Calibri" w:hAnsi="Palatino Linotype" w:cs="Arial"/>
        </w:rPr>
        <w:t xml:space="preserve">; </w:t>
      </w:r>
      <w:r w:rsidRPr="0010425E">
        <w:rPr>
          <w:rFonts w:ascii="Palatino Linotype" w:eastAsia="Calibri" w:hAnsi="Palatino Linotype" w:cs="Arial"/>
          <w:b/>
        </w:rPr>
        <w:t>7, 9 fracciones I y XXIV, y 11</w:t>
      </w:r>
      <w:r w:rsidRPr="0010425E">
        <w:rPr>
          <w:rFonts w:ascii="Palatino Linotype" w:eastAsia="Calibri" w:hAnsi="Palatino Linotype" w:cs="Arial"/>
        </w:rPr>
        <w:t xml:space="preserve"> del </w:t>
      </w:r>
      <w:r w:rsidRPr="0010425E">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10425E">
        <w:rPr>
          <w:rFonts w:ascii="Palatino Linotype" w:eastAsia="Calibri" w:hAnsi="Palatino Linotype" w:cs="Arial"/>
          <w:b/>
        </w:rPr>
        <w:t>.</w:t>
      </w:r>
    </w:p>
    <w:p w14:paraId="343B0FCF" w14:textId="413622B7" w:rsidR="00EA0165" w:rsidRPr="0010425E"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470205"/>
      <w:r w:rsidRPr="0010425E">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BF268E4" w14:textId="05EECFC0" w:rsidR="004218A7" w:rsidRPr="0010425E" w:rsidRDefault="004218A7" w:rsidP="004218A7">
      <w:pPr>
        <w:pStyle w:val="Prrafodelista"/>
        <w:keepNext/>
        <w:keepLines/>
        <w:numPr>
          <w:ilvl w:val="0"/>
          <w:numId w:val="49"/>
        </w:numPr>
        <w:suppressAutoHyphens/>
        <w:spacing w:before="240" w:line="360" w:lineRule="auto"/>
        <w:ind w:left="0" w:firstLine="0"/>
        <w:outlineLvl w:val="0"/>
        <w:rPr>
          <w:rFonts w:ascii="Palatino Linotype" w:hAnsi="Palatino Linotype"/>
          <w:color w:val="2E74B5"/>
          <w:lang w:eastAsia="en-US"/>
        </w:rPr>
      </w:pPr>
      <w:bookmarkStart w:id="16" w:name="_Toc104470944"/>
      <w:bookmarkStart w:id="17" w:name="_Toc110976863"/>
      <w:r w:rsidRPr="0010425E">
        <w:rPr>
          <w:rFonts w:ascii="Palatino Linotype" w:hAnsi="Palatino Linotype"/>
          <w:b/>
          <w:color w:val="000000"/>
        </w:rPr>
        <w:t>De la interposición del recurso</w:t>
      </w:r>
      <w:r w:rsidRPr="0010425E">
        <w:rPr>
          <w:rFonts w:ascii="Palatino Linotype" w:hAnsi="Palatino Linotype"/>
          <w:color w:val="2E74B5"/>
        </w:rPr>
        <w:t>.</w:t>
      </w:r>
      <w:bookmarkEnd w:id="16"/>
      <w:bookmarkEnd w:id="17"/>
      <w:r w:rsidRPr="0010425E">
        <w:rPr>
          <w:rFonts w:ascii="Palatino Linotype" w:hAnsi="Palatino Linotype"/>
          <w:color w:val="2E74B5"/>
        </w:rPr>
        <w:t xml:space="preserve"> </w:t>
      </w:r>
    </w:p>
    <w:p w14:paraId="7DAED282" w14:textId="77777777" w:rsidR="004218A7" w:rsidRPr="0010425E" w:rsidRDefault="004218A7" w:rsidP="004218A7">
      <w:pPr>
        <w:spacing w:line="360" w:lineRule="auto"/>
        <w:rPr>
          <w:rFonts w:ascii="Palatino Linotype" w:hAnsi="Palatino Linotype"/>
          <w:lang w:val="es-MX" w:eastAsia="en-US"/>
        </w:rPr>
      </w:pPr>
    </w:p>
    <w:p w14:paraId="36CEC3B5" w14:textId="0CE443A0" w:rsidR="004218A7" w:rsidRPr="0010425E" w:rsidRDefault="004218A7" w:rsidP="004218A7">
      <w:pPr>
        <w:pStyle w:val="Prrafodelista"/>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10425E">
        <w:rPr>
          <w:rFonts w:ascii="Palatino Linotype" w:eastAsia="Calibri" w:hAnsi="Palatino Linotype" w:cs="Arial"/>
          <w:lang w:eastAsia="en-US"/>
        </w:rPr>
        <w:lastRenderedPageBreak/>
        <w:t xml:space="preserve">Es de precisar, que la Ley de Transparencia y Acceso a la Información Pública del Estado de México y Municipios, en el artículo 178 describe la procedencia del recurso de revisión, asimismo señala que el plazo del </w:t>
      </w:r>
      <w:r w:rsidRPr="0010425E">
        <w:rPr>
          <w:rFonts w:ascii="Palatino Linotype" w:eastAsia="Calibri" w:hAnsi="Palatino Linotype" w:cs="Arial"/>
          <w:b/>
          <w:lang w:eastAsia="en-US"/>
        </w:rPr>
        <w:t>SUJETO OBLIGADO</w:t>
      </w:r>
      <w:r w:rsidRPr="0010425E">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los recursos de revisión previsto en el ordenamiento en cita.  </w:t>
      </w:r>
    </w:p>
    <w:p w14:paraId="3536C19C" w14:textId="77777777" w:rsidR="004218A7" w:rsidRPr="0010425E" w:rsidRDefault="004218A7" w:rsidP="004218A7">
      <w:pPr>
        <w:tabs>
          <w:tab w:val="left" w:pos="426"/>
        </w:tabs>
        <w:spacing w:line="360" w:lineRule="auto"/>
        <w:contextualSpacing/>
        <w:jc w:val="both"/>
        <w:rPr>
          <w:rFonts w:ascii="Palatino Linotype" w:hAnsi="Palatino Linotype" w:cs="Arial"/>
          <w:color w:val="000000"/>
          <w:lang w:val="es-ES_tradnl"/>
        </w:rPr>
      </w:pPr>
    </w:p>
    <w:p w14:paraId="10AE42C2" w14:textId="77777777" w:rsidR="004218A7" w:rsidRPr="0010425E" w:rsidRDefault="004218A7" w:rsidP="004218A7">
      <w:pPr>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10425E">
        <w:rPr>
          <w:rFonts w:ascii="Palatino Linotype" w:eastAsia="Calibri" w:hAnsi="Palatino Linotype" w:cs="Arial"/>
        </w:rPr>
        <w:t xml:space="preserve">Por ende, se constituye la figura jurídica de la </w:t>
      </w:r>
      <w:r w:rsidRPr="0010425E">
        <w:rPr>
          <w:rFonts w:ascii="Palatino Linotype" w:eastAsia="Calibri" w:hAnsi="Palatino Linotype" w:cs="Arial"/>
          <w:i/>
        </w:rPr>
        <w:t>negativa ficta</w:t>
      </w:r>
      <w:r w:rsidRPr="0010425E">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10425E">
        <w:rPr>
          <w:rFonts w:ascii="Palatino Linotype" w:eastAsia="Calibri" w:hAnsi="Palatino Linotype" w:cs="Arial"/>
          <w:b/>
        </w:rPr>
        <w:t>178</w:t>
      </w:r>
      <w:r w:rsidRPr="0010425E">
        <w:rPr>
          <w:rFonts w:ascii="Palatino Linotype" w:eastAsia="Calibri" w:hAnsi="Palatino Linotype" w:cs="Arial"/>
        </w:rPr>
        <w:t xml:space="preserve"> segundo párrafo de </w:t>
      </w:r>
      <w:r w:rsidRPr="0010425E">
        <w:rPr>
          <w:rFonts w:ascii="Palatino Linotype" w:eastAsia="Calibri" w:hAnsi="Palatino Linotype" w:cs="Arial"/>
          <w:b/>
        </w:rPr>
        <w:t>Ley de Transparencia y Acceso a la Información Pública del Estado de México y Municipios</w:t>
      </w:r>
      <w:r w:rsidRPr="0010425E">
        <w:rPr>
          <w:rFonts w:ascii="Palatino Linotype" w:eastAsia="Calibri" w:hAnsi="Palatino Linotype"/>
          <w:color w:val="000000"/>
          <w:shd w:val="clear" w:color="auto" w:fill="FFFFFF"/>
          <w:lang w:val="es-MX" w:eastAsia="en-US"/>
        </w:rPr>
        <w:t xml:space="preserve">, que dispone; ante la falta de respuesta del </w:t>
      </w:r>
      <w:r w:rsidRPr="0010425E">
        <w:rPr>
          <w:rFonts w:ascii="Palatino Linotype" w:eastAsia="Calibri" w:hAnsi="Palatino Linotype"/>
          <w:b/>
          <w:color w:val="000000"/>
          <w:shd w:val="clear" w:color="auto" w:fill="FFFFFF"/>
          <w:lang w:val="es-MX" w:eastAsia="en-US"/>
        </w:rPr>
        <w:t>SUJETO OBLIGADO,</w:t>
      </w:r>
      <w:r w:rsidRPr="0010425E">
        <w:rPr>
          <w:rFonts w:ascii="Palatino Linotype" w:eastAsia="Calibri" w:hAnsi="Palatino Linotype"/>
          <w:color w:val="000000"/>
          <w:shd w:val="clear" w:color="auto" w:fill="FFFFFF"/>
          <w:lang w:val="es-MX" w:eastAsia="en-US"/>
        </w:rPr>
        <w:t xml:space="preserve"> dentro de los plazos establecidos en esta Ley, a una solicitud de acceso a la información pública, el recurso </w:t>
      </w:r>
      <w:r w:rsidRPr="0010425E">
        <w:rPr>
          <w:rFonts w:ascii="Palatino Linotype" w:eastAsia="Calibri" w:hAnsi="Palatino Linotype"/>
          <w:b/>
          <w:color w:val="000000"/>
          <w:shd w:val="clear" w:color="auto" w:fill="FFFFFF"/>
          <w:lang w:val="es-MX" w:eastAsia="en-US"/>
        </w:rPr>
        <w:t xml:space="preserve">podrá ser interpuesto en cualquier momento. </w:t>
      </w:r>
    </w:p>
    <w:p w14:paraId="0843D217" w14:textId="77777777" w:rsidR="004218A7" w:rsidRPr="0010425E" w:rsidRDefault="004218A7" w:rsidP="004218A7">
      <w:pPr>
        <w:tabs>
          <w:tab w:val="left" w:pos="426"/>
        </w:tabs>
        <w:spacing w:line="360" w:lineRule="auto"/>
        <w:contextualSpacing/>
        <w:rPr>
          <w:rFonts w:ascii="Palatino Linotype" w:hAnsi="Palatino Linotype" w:cs="Arial"/>
          <w:color w:val="000000"/>
          <w:lang w:val="es-ES_tradnl"/>
        </w:rPr>
      </w:pPr>
    </w:p>
    <w:p w14:paraId="2CDF6604" w14:textId="77777777" w:rsidR="004218A7" w:rsidRPr="0010425E" w:rsidRDefault="004218A7" w:rsidP="004218A7">
      <w:pPr>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10425E">
        <w:rPr>
          <w:rFonts w:ascii="Palatino Linotype" w:eastAsia="Calibri" w:hAnsi="Palatino Linotype" w:cs="Arial"/>
        </w:rPr>
        <w:t xml:space="preserve">Por lo que, tratándose de la </w:t>
      </w:r>
      <w:r w:rsidRPr="0010425E">
        <w:rPr>
          <w:rFonts w:ascii="Palatino Linotype" w:eastAsia="Calibri" w:hAnsi="Palatino Linotype" w:cs="Arial"/>
          <w:i/>
        </w:rPr>
        <w:t>negativa ficta</w:t>
      </w:r>
      <w:r w:rsidRPr="0010425E">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w:t>
      </w:r>
      <w:r w:rsidRPr="0010425E">
        <w:rPr>
          <w:rFonts w:ascii="Palatino Linotype" w:eastAsia="Calibri" w:hAnsi="Palatino Linotype" w:cs="Arial"/>
        </w:rPr>
        <w:lastRenderedPageBreak/>
        <w:t xml:space="preserve">Pública del Estado de México y Municipios, en la Sexta Sesión Ordinaria, y publicada en el Periódico Oficial “Gaceta del Gobierno” el veintitrés (23) de abril de dos mil quince, relativo a la interposición de los recursos de revisión en cualquier tiempo cuando exista </w:t>
      </w:r>
      <w:r w:rsidRPr="0010425E">
        <w:rPr>
          <w:rFonts w:ascii="Palatino Linotype" w:eastAsia="Calibri" w:hAnsi="Palatino Linotype" w:cs="Arial"/>
          <w:i/>
        </w:rPr>
        <w:t>negativa ficta</w:t>
      </w:r>
      <w:r w:rsidRPr="0010425E">
        <w:rPr>
          <w:rFonts w:ascii="Palatino Linotype" w:eastAsia="Calibri" w:hAnsi="Palatino Linotype" w:cs="Arial"/>
        </w:rPr>
        <w:t>, que señala:</w:t>
      </w:r>
    </w:p>
    <w:p w14:paraId="115980FF" w14:textId="77777777" w:rsidR="004218A7" w:rsidRPr="0010425E" w:rsidRDefault="004218A7" w:rsidP="004218A7">
      <w:pPr>
        <w:spacing w:line="360" w:lineRule="auto"/>
        <w:contextualSpacing/>
        <w:jc w:val="both"/>
        <w:rPr>
          <w:rFonts w:ascii="Palatino Linotype" w:hAnsi="Palatino Linotype" w:cs="Arial"/>
          <w:color w:val="000000"/>
          <w:lang w:val="es-ES_tradnl"/>
        </w:rPr>
      </w:pPr>
    </w:p>
    <w:p w14:paraId="31B66C70" w14:textId="77777777" w:rsidR="004218A7" w:rsidRPr="0010425E" w:rsidRDefault="004218A7" w:rsidP="004218A7">
      <w:pPr>
        <w:tabs>
          <w:tab w:val="left" w:pos="7655"/>
        </w:tabs>
        <w:spacing w:after="240" w:line="360" w:lineRule="auto"/>
        <w:ind w:left="567" w:right="567"/>
        <w:jc w:val="center"/>
        <w:rPr>
          <w:rFonts w:ascii="Palatino Linotype" w:eastAsia="Calibri" w:hAnsi="Palatino Linotype" w:cs="Arial"/>
          <w:b/>
        </w:rPr>
      </w:pPr>
      <w:r w:rsidRPr="0010425E">
        <w:rPr>
          <w:rFonts w:ascii="Palatino Linotype" w:eastAsia="Calibri" w:hAnsi="Palatino Linotype" w:cs="Arial"/>
          <w:b/>
        </w:rPr>
        <w:t>Criterio 0001-15</w:t>
      </w:r>
    </w:p>
    <w:p w14:paraId="3E6AC833" w14:textId="77777777" w:rsidR="004218A7" w:rsidRPr="0010425E" w:rsidRDefault="004218A7" w:rsidP="004218A7">
      <w:pPr>
        <w:tabs>
          <w:tab w:val="left" w:pos="7655"/>
        </w:tabs>
        <w:spacing w:before="240" w:after="240" w:line="360" w:lineRule="auto"/>
        <w:ind w:left="567" w:right="567"/>
        <w:jc w:val="both"/>
        <w:rPr>
          <w:rFonts w:ascii="Palatino Linotype" w:eastAsia="Calibri" w:hAnsi="Palatino Linotype" w:cs="Arial"/>
          <w:i/>
        </w:rPr>
      </w:pPr>
      <w:r w:rsidRPr="0010425E">
        <w:rPr>
          <w:rFonts w:ascii="Palatino Linotype" w:eastAsia="Calibri" w:hAnsi="Palatino Linotype" w:cs="Arial"/>
          <w:b/>
          <w:i/>
        </w:rPr>
        <w:t>NEGATIVA FICTA. PLAZO PARA INTERPONER EL RECURSO DE REVISIÓN TRATÁNDOSE DE.</w:t>
      </w:r>
      <w:r w:rsidRPr="0010425E">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18F1942" w14:textId="77777777" w:rsidR="004218A7" w:rsidRPr="0010425E" w:rsidRDefault="004218A7" w:rsidP="004218A7">
      <w:pPr>
        <w:tabs>
          <w:tab w:val="left" w:pos="7655"/>
        </w:tabs>
        <w:spacing w:line="360" w:lineRule="auto"/>
        <w:ind w:left="567" w:right="567"/>
        <w:jc w:val="both"/>
        <w:rPr>
          <w:rFonts w:ascii="Palatino Linotype" w:eastAsia="Calibri" w:hAnsi="Palatino Linotype" w:cs="Arial"/>
          <w:i/>
        </w:rPr>
      </w:pPr>
    </w:p>
    <w:p w14:paraId="09C8AC75" w14:textId="50C60439" w:rsidR="004218A7" w:rsidRPr="0010425E" w:rsidRDefault="004218A7" w:rsidP="004218A7">
      <w:pPr>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10425E">
        <w:rPr>
          <w:rFonts w:ascii="Palatino Linotype" w:hAnsi="Palatino Linotype" w:cs="Arial"/>
          <w:color w:val="000000"/>
          <w:lang w:eastAsia="es-MX"/>
        </w:rPr>
        <w:lastRenderedPageBreak/>
        <w:t xml:space="preserve">Lo anterior, se explica porque la </w:t>
      </w:r>
      <w:r w:rsidRPr="0010425E">
        <w:rPr>
          <w:rFonts w:ascii="Palatino Linotype" w:hAnsi="Palatino Linotype" w:cs="Arial"/>
          <w:b/>
          <w:color w:val="000000"/>
          <w:lang w:eastAsia="es-MX"/>
        </w:rPr>
        <w:t>ausencia</w:t>
      </w:r>
      <w:r w:rsidRPr="0010425E">
        <w:rPr>
          <w:rFonts w:ascii="Palatino Linotype" w:hAnsi="Palatino Linotype" w:cs="Arial"/>
          <w:color w:val="000000"/>
          <w:lang w:eastAsia="es-MX"/>
        </w:rPr>
        <w:t xml:space="preserve"> de una respuesta en las solicitudes constituye un acto que vulnera el derecho de manera continua y actualizable cada día, en tanto no se emita la respuesta a la que esté impuesto el </w:t>
      </w:r>
      <w:r w:rsidRPr="0010425E">
        <w:rPr>
          <w:rFonts w:ascii="Palatino Linotype" w:hAnsi="Palatino Linotype" w:cs="Arial"/>
          <w:b/>
          <w:color w:val="000000"/>
          <w:lang w:eastAsia="es-MX"/>
        </w:rPr>
        <w:t>SUJETO OBLIGADO</w:t>
      </w:r>
      <w:r w:rsidRPr="0010425E">
        <w:rPr>
          <w:rFonts w:ascii="Palatino Linotype" w:hAnsi="Palatino Linotype" w:cs="Arial"/>
          <w:color w:val="000000"/>
          <w:lang w:eastAsia="es-MX"/>
        </w:rPr>
        <w:t>.</w:t>
      </w:r>
    </w:p>
    <w:p w14:paraId="579CD540" w14:textId="77777777" w:rsidR="004218A7" w:rsidRPr="0010425E" w:rsidRDefault="004218A7" w:rsidP="004218A7">
      <w:pPr>
        <w:tabs>
          <w:tab w:val="left" w:pos="426"/>
        </w:tabs>
        <w:suppressAutoHyphens/>
        <w:spacing w:after="160" w:line="360" w:lineRule="auto"/>
        <w:contextualSpacing/>
        <w:jc w:val="both"/>
        <w:rPr>
          <w:rFonts w:ascii="Palatino Linotype" w:hAnsi="Palatino Linotype" w:cs="Arial"/>
          <w:color w:val="000000"/>
          <w:lang w:eastAsia="es-MX"/>
        </w:rPr>
      </w:pPr>
    </w:p>
    <w:p w14:paraId="728CAFCF" w14:textId="77777777" w:rsidR="004218A7" w:rsidRPr="0010425E" w:rsidRDefault="004218A7" w:rsidP="004218A7">
      <w:pPr>
        <w:keepNext/>
        <w:keepLines/>
        <w:suppressAutoHyphens/>
        <w:spacing w:before="240" w:line="360" w:lineRule="auto"/>
        <w:outlineLvl w:val="0"/>
        <w:rPr>
          <w:rFonts w:ascii="Palatino Linotype" w:hAnsi="Palatino Linotype"/>
          <w:b/>
          <w:color w:val="000000"/>
        </w:rPr>
      </w:pPr>
      <w:bookmarkStart w:id="18" w:name="_Toc104470945"/>
      <w:bookmarkStart w:id="19" w:name="_Toc110976864"/>
      <w:r w:rsidRPr="0010425E">
        <w:rPr>
          <w:rFonts w:ascii="Palatino Linotype" w:hAnsi="Palatino Linotype"/>
          <w:b/>
          <w:color w:val="000000"/>
        </w:rPr>
        <w:t>II. De la determinación sobre la procedibilidad de los recursos.</w:t>
      </w:r>
      <w:bookmarkEnd w:id="18"/>
      <w:bookmarkEnd w:id="19"/>
    </w:p>
    <w:p w14:paraId="1A4197F4" w14:textId="77777777" w:rsidR="004218A7" w:rsidRPr="0010425E" w:rsidRDefault="004218A7" w:rsidP="004218A7">
      <w:pPr>
        <w:tabs>
          <w:tab w:val="left" w:pos="426"/>
        </w:tabs>
        <w:spacing w:line="360" w:lineRule="auto"/>
        <w:ind w:right="49"/>
        <w:contextualSpacing/>
        <w:jc w:val="both"/>
        <w:rPr>
          <w:rFonts w:ascii="Palatino Linotype" w:hAnsi="Palatino Linotype" w:cs="Arial"/>
          <w:b/>
          <w:lang w:val="es-ES_tradnl"/>
        </w:rPr>
      </w:pPr>
    </w:p>
    <w:p w14:paraId="7DF2873B" w14:textId="3D6A752D" w:rsidR="00EA0165" w:rsidRPr="0010425E" w:rsidRDefault="004218A7" w:rsidP="004218A7">
      <w:pPr>
        <w:numPr>
          <w:ilvl w:val="0"/>
          <w:numId w:val="2"/>
        </w:numPr>
        <w:tabs>
          <w:tab w:val="left" w:pos="426"/>
        </w:tabs>
        <w:suppressAutoHyphens/>
        <w:spacing w:after="160" w:line="360" w:lineRule="auto"/>
        <w:ind w:left="0" w:right="49" w:firstLine="0"/>
        <w:contextualSpacing/>
        <w:jc w:val="both"/>
        <w:rPr>
          <w:rFonts w:ascii="Palatino Linotype" w:hAnsi="Palatino Linotype" w:cs="Arial"/>
          <w:b/>
          <w:lang w:val="es-ES_tradnl"/>
        </w:rPr>
      </w:pPr>
      <w:r w:rsidRPr="0010425E">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5162A17C" w14:textId="0739E958" w:rsidR="00286C23" w:rsidRPr="0010425E" w:rsidRDefault="00992BC7" w:rsidP="00342812">
      <w:pPr>
        <w:pStyle w:val="Ttulo1"/>
        <w:spacing w:line="360" w:lineRule="auto"/>
        <w:jc w:val="both"/>
        <w:rPr>
          <w:rFonts w:ascii="Palatino Linotype" w:hAnsi="Palatino Linotype" w:cs="Times New Roman"/>
          <w:b/>
          <w:color w:val="000000" w:themeColor="text1"/>
          <w:sz w:val="24"/>
          <w:szCs w:val="24"/>
        </w:rPr>
      </w:pPr>
      <w:bookmarkStart w:id="20" w:name="_Toc110470209"/>
      <w:r w:rsidRPr="0010425E">
        <w:rPr>
          <w:rFonts w:ascii="Palatino Linotype" w:eastAsia="MS Mincho" w:hAnsi="Palatino Linotype"/>
          <w:b/>
          <w:color w:val="000000" w:themeColor="text1"/>
          <w:sz w:val="24"/>
          <w:szCs w:val="24"/>
          <w:lang w:val="es-ES_tradnl"/>
        </w:rPr>
        <w:t>TERCERO</w:t>
      </w:r>
      <w:r w:rsidRPr="0010425E">
        <w:rPr>
          <w:rFonts w:ascii="Palatino Linotype" w:hAnsi="Palatino Linotype" w:cs="Times New Roman"/>
          <w:b/>
          <w:color w:val="000000" w:themeColor="text1"/>
          <w:sz w:val="24"/>
          <w:szCs w:val="24"/>
        </w:rPr>
        <w:t>.</w:t>
      </w:r>
      <w:bookmarkStart w:id="21" w:name="_Toc67587990"/>
      <w:bookmarkStart w:id="22" w:name="_Toc68804766"/>
      <w:bookmarkStart w:id="23" w:name="_Toc455991148"/>
      <w:bookmarkStart w:id="24" w:name="_Toc450120669"/>
      <w:bookmarkStart w:id="25" w:name="_Toc461555896"/>
      <w:bookmarkStart w:id="26" w:name="_Toc462154385"/>
      <w:bookmarkStart w:id="27" w:name="_Toc462660376"/>
      <w:bookmarkStart w:id="28" w:name="_Toc462660687"/>
      <w:bookmarkStart w:id="29" w:name="_Toc462660766"/>
      <w:bookmarkStart w:id="30" w:name="_Toc465264624"/>
      <w:bookmarkStart w:id="31" w:name="_Toc465264870"/>
      <w:bookmarkStart w:id="32" w:name="_Toc465266520"/>
      <w:bookmarkStart w:id="33" w:name="_Toc466302258"/>
      <w:bookmarkStart w:id="34" w:name="_Toc466371866"/>
      <w:bookmarkStart w:id="35" w:name="_Toc466371925"/>
      <w:bookmarkStart w:id="36" w:name="_Toc466377654"/>
      <w:bookmarkStart w:id="37" w:name="_Toc478549736"/>
      <w:bookmarkStart w:id="38" w:name="_Toc478572850"/>
      <w:bookmarkStart w:id="39" w:name="_Toc479238537"/>
      <w:r w:rsidR="0065578F" w:rsidRPr="0010425E">
        <w:rPr>
          <w:rFonts w:ascii="Palatino Linotype" w:hAnsi="Palatino Linotype" w:cs="Times New Roman"/>
          <w:b/>
          <w:color w:val="000000" w:themeColor="text1"/>
          <w:sz w:val="24"/>
          <w:szCs w:val="24"/>
        </w:rPr>
        <w:t xml:space="preserve"> </w:t>
      </w:r>
      <w:bookmarkStart w:id="40" w:name="_Toc459174366"/>
      <w:bookmarkStart w:id="41" w:name="_Toc459659884"/>
      <w:bookmarkStart w:id="42" w:name="_Toc461687280"/>
      <w:bookmarkStart w:id="43" w:name="_Toc462771051"/>
      <w:bookmarkStart w:id="44" w:name="_Toc46413920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C20E77" w:rsidRPr="0010425E">
        <w:rPr>
          <w:rFonts w:ascii="Palatino Linotype" w:hAnsi="Palatino Linotype" w:cs="Times New Roman"/>
          <w:b/>
          <w:color w:val="000000" w:themeColor="text1"/>
          <w:sz w:val="24"/>
          <w:szCs w:val="24"/>
        </w:rPr>
        <w:t>De las causales del sobreseimiento.</w:t>
      </w:r>
    </w:p>
    <w:p w14:paraId="78D440FF" w14:textId="77777777" w:rsidR="00C20E77" w:rsidRPr="0010425E" w:rsidRDefault="00C20E77" w:rsidP="00C20E77">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p>
    <w:p w14:paraId="01CE6C5A" w14:textId="652029F0" w:rsidR="00C20E77" w:rsidRPr="0010425E" w:rsidRDefault="00C20E77" w:rsidP="004218A7">
      <w:pPr>
        <w:pStyle w:val="Prrafodelista"/>
        <w:numPr>
          <w:ilvl w:val="0"/>
          <w:numId w:val="2"/>
        </w:numPr>
        <w:spacing w:line="360" w:lineRule="auto"/>
        <w:ind w:left="0" w:right="49" w:firstLine="0"/>
        <w:contextualSpacing/>
        <w:jc w:val="both"/>
        <w:rPr>
          <w:rFonts w:ascii="Palatino Linotype" w:eastAsiaTheme="minorEastAsia" w:hAnsi="Palatino Linotype" w:cs="Arial"/>
          <w:lang w:val="es-ES_tradnl"/>
        </w:rPr>
      </w:pPr>
      <w:bookmarkStart w:id="45" w:name="_Toc466371865"/>
      <w:bookmarkStart w:id="46" w:name="_Toc466377653"/>
      <w:bookmarkStart w:id="47" w:name="_Toc495427547"/>
      <w:bookmarkStart w:id="48" w:name="_Toc497905366"/>
      <w:r w:rsidRPr="0010425E">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10425E">
        <w:rPr>
          <w:rFonts w:ascii="Palatino Linotype" w:eastAsia="Calibri" w:hAnsi="Palatino Linotype" w:cs="Arial"/>
          <w:lang w:val="es-ES_tradnl"/>
        </w:rPr>
        <w:t>Transparencia, Acceso a la Información Pública del Estado de México y Municipios</w:t>
      </w:r>
      <w:r w:rsidRPr="0010425E">
        <w:rPr>
          <w:rFonts w:ascii="Palatino Linotype" w:eastAsiaTheme="minorEastAsia" w:hAnsi="Palatino Linotype" w:cs="Arial"/>
          <w:lang w:val="es-ES_tradnl"/>
        </w:rPr>
        <w:t xml:space="preserve">, y determinar la confirmación; revocación o modificación; desechamiento o </w:t>
      </w:r>
      <w:r w:rsidRPr="0010425E">
        <w:rPr>
          <w:rFonts w:ascii="Palatino Linotype" w:eastAsiaTheme="minorEastAsia" w:hAnsi="Palatino Linotype" w:cs="Arial"/>
          <w:b/>
          <w:lang w:val="es-ES_tradnl"/>
        </w:rPr>
        <w:t>sobreseimiento</w:t>
      </w:r>
      <w:r w:rsidRPr="0010425E">
        <w:rPr>
          <w:rFonts w:ascii="Palatino Linotype" w:eastAsiaTheme="minorEastAsia" w:hAnsi="Palatino Linotype" w:cs="Arial"/>
          <w:lang w:val="es-ES_tradnl"/>
        </w:rPr>
        <w:t xml:space="preserve">; y en su caso ordenar la entrega de la información con respecto a la respuesta emitida por el </w:t>
      </w:r>
      <w:r w:rsidRPr="0010425E">
        <w:rPr>
          <w:rFonts w:ascii="Palatino Linotype" w:eastAsiaTheme="minorEastAsia" w:hAnsi="Palatino Linotype" w:cs="Arial"/>
          <w:b/>
          <w:lang w:val="es-ES_tradnl"/>
        </w:rPr>
        <w:t>SUJETO</w:t>
      </w:r>
      <w:r w:rsidRPr="0010425E">
        <w:rPr>
          <w:rFonts w:ascii="Palatino Linotype" w:eastAsiaTheme="minorEastAsia" w:hAnsi="Palatino Linotype" w:cs="Arial"/>
          <w:lang w:val="es-ES_tradnl"/>
        </w:rPr>
        <w:t xml:space="preserve"> </w:t>
      </w:r>
      <w:r w:rsidRPr="0010425E">
        <w:rPr>
          <w:rFonts w:ascii="Palatino Linotype" w:eastAsiaTheme="minorEastAsia" w:hAnsi="Palatino Linotype" w:cs="Arial"/>
          <w:b/>
          <w:lang w:val="es-ES_tradnl"/>
        </w:rPr>
        <w:t>OBLIGADO</w:t>
      </w:r>
      <w:r w:rsidRPr="0010425E">
        <w:rPr>
          <w:rFonts w:ascii="Palatino Linotype" w:eastAsiaTheme="minorEastAsia" w:hAnsi="Palatino Linotype" w:cs="Arial"/>
          <w:lang w:val="es-ES_tradnl"/>
        </w:rPr>
        <w:t>.</w:t>
      </w:r>
    </w:p>
    <w:p w14:paraId="671F79F5" w14:textId="77777777" w:rsidR="00C20E77" w:rsidRPr="0010425E" w:rsidRDefault="00C20E77" w:rsidP="00C20E77">
      <w:pPr>
        <w:spacing w:line="360" w:lineRule="auto"/>
        <w:ind w:right="49"/>
        <w:contextualSpacing/>
        <w:jc w:val="both"/>
        <w:rPr>
          <w:rFonts w:ascii="Palatino Linotype" w:eastAsiaTheme="minorEastAsia" w:hAnsi="Palatino Linotype" w:cs="Arial"/>
          <w:lang w:val="es-ES_tradnl"/>
        </w:rPr>
      </w:pPr>
    </w:p>
    <w:p w14:paraId="7D9E48AE" w14:textId="672C9C45" w:rsidR="00C20E77" w:rsidRPr="0010425E" w:rsidRDefault="00C20E77" w:rsidP="00D10950">
      <w:pPr>
        <w:pStyle w:val="Prrafodelista"/>
        <w:numPr>
          <w:ilvl w:val="0"/>
          <w:numId w:val="2"/>
        </w:numPr>
        <w:spacing w:line="360" w:lineRule="auto"/>
        <w:ind w:left="0" w:right="49" w:firstLine="0"/>
        <w:contextualSpacing/>
        <w:jc w:val="both"/>
        <w:rPr>
          <w:rFonts w:ascii="Palatino Linotype" w:eastAsiaTheme="minorEastAsia" w:hAnsi="Palatino Linotype" w:cs="Arial"/>
          <w:lang w:val="es-ES_tradnl"/>
        </w:rPr>
      </w:pPr>
      <w:r w:rsidRPr="0010425E">
        <w:rPr>
          <w:rFonts w:ascii="Palatino Linotype" w:eastAsia="Calibri" w:hAnsi="Palatino Linotype" w:cs="Arial"/>
          <w:color w:val="000000" w:themeColor="text1"/>
          <w:lang w:val="es-MX" w:eastAsia="en-US"/>
        </w:rPr>
        <w:lastRenderedPageBreak/>
        <w:t xml:space="preserve">En el caso concreto y derivado del razonamiento lógico-jurídico de las constancias que obran en el expediente electrónico al rubro indicado, es de señalar que la parte </w:t>
      </w:r>
      <w:r w:rsidRPr="0010425E">
        <w:rPr>
          <w:rFonts w:ascii="Palatino Linotype" w:eastAsiaTheme="minorEastAsia" w:hAnsi="Palatino Linotype" w:cs="Arial"/>
          <w:color w:val="000000" w:themeColor="text1"/>
          <w:lang w:val="es-ES_tradnl"/>
        </w:rPr>
        <w:t xml:space="preserve">recurrente, solicitó acceso al </w:t>
      </w:r>
      <w:r w:rsidRPr="0010425E">
        <w:rPr>
          <w:rFonts w:ascii="Palatino Linotype" w:eastAsiaTheme="minorEastAsia" w:hAnsi="Palatino Linotype" w:cs="Arial"/>
          <w:i/>
          <w:color w:val="000000" w:themeColor="text1"/>
          <w:lang w:val="es-ES_tradnl"/>
        </w:rPr>
        <w:t>“…</w:t>
      </w:r>
      <w:r w:rsidR="00D10950" w:rsidRPr="0010425E">
        <w:rPr>
          <w:rFonts w:ascii="Palatino Linotype" w:eastAsiaTheme="minorEastAsia" w:hAnsi="Palatino Linotype" w:cs="Arial"/>
          <w:i/>
          <w:color w:val="000000" w:themeColor="text1"/>
          <w:lang w:val="es-ES_tradnl"/>
        </w:rPr>
        <w:t>solicito información sobre si se le a otorgado permiso alguno al COPACI de Valle de Ecatepec CTM XIII para construir en el área publica (parque) ubicado en calle Trueno S/N de la Unidad Habitacional Valle de Ecatepec CTM XIII C.P. 55119, al igual si se le otorgo permiso alguno a mencionado COPACI para el derribo de arboles en el parque de la unidad Habitacional Valle de Ecatepec CTM XIII.</w:t>
      </w:r>
      <w:r w:rsidRPr="0010425E">
        <w:rPr>
          <w:rFonts w:ascii="Palatino Linotype" w:eastAsiaTheme="minorEastAsia" w:hAnsi="Palatino Linotype" w:cs="Arial"/>
          <w:i/>
          <w:color w:val="000000" w:themeColor="text1"/>
          <w:lang w:val="es-ES_tradnl"/>
        </w:rPr>
        <w:t>..” (Sic)</w:t>
      </w:r>
    </w:p>
    <w:p w14:paraId="1F10ECCE" w14:textId="77777777" w:rsidR="00C20E77" w:rsidRPr="0010425E" w:rsidRDefault="00C20E77" w:rsidP="00C20E77">
      <w:pPr>
        <w:pStyle w:val="Prrafodelista"/>
        <w:rPr>
          <w:rFonts w:ascii="Palatino Linotype" w:eastAsiaTheme="minorEastAsia" w:hAnsi="Palatino Linotype" w:cs="Arial"/>
          <w:lang w:val="es-ES_tradnl"/>
        </w:rPr>
      </w:pPr>
    </w:p>
    <w:p w14:paraId="20ABCF36" w14:textId="711254E4" w:rsidR="00C20E77" w:rsidRPr="0010425E" w:rsidRDefault="00D10950" w:rsidP="004218A7">
      <w:pPr>
        <w:pStyle w:val="Prrafodelista"/>
        <w:numPr>
          <w:ilvl w:val="0"/>
          <w:numId w:val="2"/>
        </w:numPr>
        <w:spacing w:line="360" w:lineRule="auto"/>
        <w:ind w:left="0" w:right="49" w:firstLine="0"/>
        <w:contextualSpacing/>
        <w:jc w:val="both"/>
        <w:rPr>
          <w:rFonts w:ascii="Palatino Linotype" w:eastAsiaTheme="minorEastAsia" w:hAnsi="Palatino Linotype" w:cs="Arial"/>
          <w:lang w:val="es-ES_tradnl"/>
        </w:rPr>
      </w:pPr>
      <w:r w:rsidRPr="0010425E">
        <w:rPr>
          <w:rFonts w:ascii="Palatino Linotype" w:eastAsiaTheme="minorEastAsia" w:hAnsi="Palatino Linotype" w:cs="Arial"/>
          <w:lang w:val="es-ES_tradnl"/>
        </w:rPr>
        <w:t xml:space="preserve">Ante la ya referida falta de respuesta del </w:t>
      </w:r>
      <w:r w:rsidR="00C20E77" w:rsidRPr="0010425E">
        <w:rPr>
          <w:rFonts w:ascii="Palatino Linotype" w:eastAsiaTheme="minorEastAsia" w:hAnsi="Palatino Linotype" w:cs="Arial"/>
          <w:b/>
          <w:lang w:val="es-ES_tradnl"/>
        </w:rPr>
        <w:t xml:space="preserve">SUJETO OBLIGADO </w:t>
      </w:r>
      <w:r w:rsidR="00C20E77" w:rsidRPr="0010425E">
        <w:rPr>
          <w:rFonts w:ascii="Palatino Linotype" w:eastAsiaTheme="minorEastAsia" w:hAnsi="Palatino Linotype" w:cs="Arial"/>
          <w:lang w:val="es-ES_tradnl"/>
        </w:rPr>
        <w:t>el particular presentó el Recurso de Revisión de mérito, en el que señaló como inconformidad la</w:t>
      </w:r>
      <w:r w:rsidRPr="0010425E">
        <w:rPr>
          <w:rFonts w:ascii="Palatino Linotype" w:eastAsiaTheme="minorEastAsia" w:hAnsi="Palatino Linotype" w:cs="Arial"/>
          <w:lang w:val="es-ES_tradnl"/>
        </w:rPr>
        <w:t xml:space="preserve"> negativa de la información solicitada</w:t>
      </w:r>
      <w:r w:rsidR="00C20E77" w:rsidRPr="0010425E">
        <w:rPr>
          <w:rFonts w:ascii="Palatino Linotype" w:eastAsiaTheme="minorEastAsia" w:hAnsi="Palatino Linotype" w:cs="Arial"/>
          <w:lang w:val="es-ES_tradnl"/>
        </w:rPr>
        <w:t xml:space="preserve">, en ese sentido, </w:t>
      </w:r>
      <w:r w:rsidR="00C20E77" w:rsidRPr="0010425E">
        <w:rPr>
          <w:rFonts w:ascii="Palatino Linotype" w:eastAsia="Calibri" w:hAnsi="Palatino Linotype" w:cs="Arial"/>
          <w:bCs/>
          <w:lang w:val="es-MX" w:eastAsia="en-US"/>
        </w:rPr>
        <w:t xml:space="preserve">resulta trascendente el estudio del artículo 11 de la Ley de Transparencia y Acceso a la Información del Estado de México, mismo que señala que en la entrega de la información se deberá garantizar que esta sea completa, confiable, verificable e integral, como a continuación se observa: </w:t>
      </w:r>
    </w:p>
    <w:p w14:paraId="7A3905F5" w14:textId="77777777" w:rsidR="00C20E77" w:rsidRPr="0010425E" w:rsidRDefault="00C20E77" w:rsidP="00C20E77">
      <w:pPr>
        <w:spacing w:line="360" w:lineRule="auto"/>
        <w:ind w:right="49"/>
        <w:contextualSpacing/>
        <w:jc w:val="both"/>
        <w:rPr>
          <w:rFonts w:ascii="Palatino Linotype" w:eastAsiaTheme="minorEastAsia" w:hAnsi="Palatino Linotype" w:cstheme="minorBidi"/>
          <w:b/>
          <w:lang w:val="es-ES_tradnl"/>
        </w:rPr>
      </w:pPr>
    </w:p>
    <w:p w14:paraId="78A682CF" w14:textId="77777777" w:rsidR="00C20E77" w:rsidRPr="0010425E" w:rsidRDefault="00C20E77" w:rsidP="00C20E77">
      <w:pPr>
        <w:spacing w:line="360" w:lineRule="auto"/>
        <w:ind w:right="49"/>
        <w:contextualSpacing/>
        <w:jc w:val="both"/>
        <w:rPr>
          <w:rFonts w:ascii="Palatino Linotype" w:eastAsia="Calibri" w:hAnsi="Palatino Linotype" w:cs="Arial"/>
          <w:bCs/>
          <w:lang w:val="es-MX" w:eastAsia="en-US"/>
        </w:rPr>
      </w:pPr>
    </w:p>
    <w:p w14:paraId="26F53450" w14:textId="77777777" w:rsidR="00C20E77" w:rsidRPr="0010425E" w:rsidRDefault="00C20E77" w:rsidP="00C20E77">
      <w:pPr>
        <w:spacing w:line="360" w:lineRule="auto"/>
        <w:ind w:left="567" w:right="616"/>
        <w:contextualSpacing/>
        <w:jc w:val="both"/>
        <w:rPr>
          <w:rFonts w:ascii="Palatino Linotype" w:eastAsiaTheme="minorEastAsia" w:hAnsi="Palatino Linotype" w:cstheme="minorBidi"/>
          <w:i/>
        </w:rPr>
      </w:pPr>
      <w:r w:rsidRPr="0010425E">
        <w:rPr>
          <w:rFonts w:ascii="Palatino Linotype" w:eastAsiaTheme="minorEastAsia" w:hAnsi="Palatino Linotype" w:cstheme="minorBidi"/>
          <w:b/>
          <w:i/>
        </w:rPr>
        <w:t>“Artículo 11.</w:t>
      </w:r>
      <w:r w:rsidRPr="0010425E">
        <w:rPr>
          <w:rFonts w:ascii="Palatino Linotype" w:eastAsiaTheme="minorEastAsia" w:hAnsi="Palatino Linotype" w:cstheme="minorBidi"/>
          <w:i/>
        </w:rPr>
        <w:t xml:space="preserve"> En la generación, publicación y entrega de información se deberá garantizar que ésta sea accesible, actualizada, completa</w:t>
      </w:r>
      <w:r w:rsidRPr="0010425E">
        <w:rPr>
          <w:rFonts w:ascii="Palatino Linotype" w:eastAsiaTheme="minorEastAsia" w:hAnsi="Palatino Linotype" w:cstheme="minorBidi"/>
          <w:b/>
          <w:i/>
        </w:rPr>
        <w:t>,</w:t>
      </w:r>
      <w:r w:rsidRPr="0010425E">
        <w:rPr>
          <w:rFonts w:ascii="Palatino Linotype" w:eastAsiaTheme="minorEastAsia" w:hAnsi="Palatino Linotype" w:cstheme="minorBidi"/>
          <w:i/>
        </w:rPr>
        <w:t xml:space="preserve"> congruente, confiable, verificable, veraz, integral, </w:t>
      </w:r>
      <w:r w:rsidRPr="0010425E">
        <w:rPr>
          <w:rFonts w:ascii="Palatino Linotype" w:eastAsiaTheme="minorEastAsia" w:hAnsi="Palatino Linotype" w:cstheme="minorBidi"/>
          <w:b/>
          <w:i/>
        </w:rPr>
        <w:t xml:space="preserve">oportuna </w:t>
      </w:r>
      <w:r w:rsidRPr="0010425E">
        <w:rPr>
          <w:rFonts w:ascii="Palatino Linotype" w:eastAsiaTheme="minorEastAsia" w:hAnsi="Palatino Linotype" w:cstheme="minorBidi"/>
          <w:i/>
        </w:rPr>
        <w:t xml:space="preserve">y expedita, sujeta a un claro régimen de excepciones que deberá estar definido y ser además legítima y estrictamente necesaria en una sociedad democrática, por lo que atenderá las necesidades del derecho de acceso a la información de toda persona. </w:t>
      </w:r>
    </w:p>
    <w:p w14:paraId="27E4B74F" w14:textId="77777777" w:rsidR="00C20E77" w:rsidRPr="0010425E" w:rsidRDefault="00C20E77" w:rsidP="00C20E77">
      <w:pPr>
        <w:spacing w:line="360" w:lineRule="auto"/>
        <w:ind w:left="567" w:right="616"/>
        <w:contextualSpacing/>
        <w:jc w:val="both"/>
        <w:rPr>
          <w:rFonts w:ascii="Palatino Linotype" w:eastAsiaTheme="minorEastAsia" w:hAnsi="Palatino Linotype" w:cstheme="minorBidi"/>
          <w:i/>
        </w:rPr>
      </w:pPr>
    </w:p>
    <w:p w14:paraId="0C5907CD" w14:textId="77777777" w:rsidR="00C20E77" w:rsidRPr="0010425E" w:rsidRDefault="00C20E77" w:rsidP="00C20E77">
      <w:pPr>
        <w:spacing w:line="360" w:lineRule="auto"/>
        <w:ind w:left="567" w:right="616"/>
        <w:contextualSpacing/>
        <w:jc w:val="both"/>
        <w:rPr>
          <w:rFonts w:ascii="Palatino Linotype" w:eastAsiaTheme="minorEastAsia" w:hAnsi="Palatino Linotype" w:cstheme="minorBidi"/>
          <w:i/>
        </w:rPr>
      </w:pPr>
      <w:r w:rsidRPr="0010425E">
        <w:rPr>
          <w:rFonts w:ascii="Palatino Linotype" w:eastAsiaTheme="minorEastAsia" w:hAnsi="Palatino Linotype" w:cstheme="minorBidi"/>
          <w:i/>
        </w:rPr>
        <w:t>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4E8CFC7E" w14:textId="77777777" w:rsidR="00C20E77" w:rsidRPr="0010425E" w:rsidRDefault="00C20E77" w:rsidP="00C20E77">
      <w:pPr>
        <w:spacing w:line="360" w:lineRule="auto"/>
        <w:ind w:left="567" w:right="616"/>
        <w:contextualSpacing/>
        <w:jc w:val="both"/>
        <w:rPr>
          <w:rFonts w:ascii="Palatino Linotype" w:eastAsiaTheme="minorEastAsia" w:hAnsi="Palatino Linotype" w:cstheme="minorBidi"/>
          <w:i/>
        </w:rPr>
      </w:pPr>
    </w:p>
    <w:p w14:paraId="11BF5062" w14:textId="77777777" w:rsidR="00C20E77" w:rsidRPr="0010425E" w:rsidRDefault="00C20E77" w:rsidP="00C20E77">
      <w:pPr>
        <w:spacing w:line="360" w:lineRule="auto"/>
        <w:ind w:left="567" w:right="616"/>
        <w:contextualSpacing/>
        <w:jc w:val="both"/>
        <w:rPr>
          <w:rFonts w:ascii="Palatino Linotype" w:eastAsiaTheme="minorEastAsia" w:hAnsi="Palatino Linotype" w:cstheme="minorBidi"/>
          <w:i/>
          <w:lang w:val="es-ES_tradnl"/>
        </w:rPr>
      </w:pPr>
      <w:r w:rsidRPr="0010425E">
        <w:rPr>
          <w:rFonts w:ascii="Palatino Linotype" w:eastAsiaTheme="minorEastAsia" w:hAnsi="Palatino Linotype" w:cstheme="minorBidi"/>
          <w:i/>
        </w:rPr>
        <w:t>(Énfasis añadido)</w:t>
      </w:r>
    </w:p>
    <w:p w14:paraId="737B7493" w14:textId="77777777" w:rsidR="00C20E77" w:rsidRPr="0010425E" w:rsidRDefault="00C20E77" w:rsidP="00C20E77">
      <w:pPr>
        <w:spacing w:line="360" w:lineRule="auto"/>
        <w:rPr>
          <w:rFonts w:ascii="Palatino Linotype" w:eastAsiaTheme="minorEastAsia" w:hAnsi="Palatino Linotype" w:cstheme="minorBidi"/>
          <w:color w:val="000000" w:themeColor="text1"/>
          <w:lang w:val="es-MX"/>
        </w:rPr>
      </w:pPr>
    </w:p>
    <w:p w14:paraId="6333CDD0" w14:textId="3BAD3075" w:rsidR="00D10950" w:rsidRPr="0010425E" w:rsidRDefault="00C20E77" w:rsidP="00153AB3">
      <w:pPr>
        <w:numPr>
          <w:ilvl w:val="0"/>
          <w:numId w:val="2"/>
        </w:numPr>
        <w:spacing w:before="240" w:after="360" w:line="360" w:lineRule="auto"/>
        <w:ind w:left="0" w:firstLine="0"/>
        <w:contextualSpacing/>
        <w:jc w:val="both"/>
        <w:rPr>
          <w:rFonts w:ascii="Palatino Linotype" w:eastAsia="MS Mincho" w:hAnsi="Palatino Linotype" w:cs="Arial"/>
          <w:lang w:val="es-MX"/>
        </w:rPr>
      </w:pPr>
      <w:r w:rsidRPr="0010425E">
        <w:rPr>
          <w:rFonts w:ascii="Palatino Linotype" w:eastAsiaTheme="minorEastAsia" w:hAnsi="Palatino Linotype" w:cstheme="minorBidi"/>
          <w:color w:val="000000" w:themeColor="text1"/>
          <w:lang w:val="es-MX"/>
        </w:rPr>
        <w:t xml:space="preserve">Expuesto lo anterior </w:t>
      </w:r>
      <w:r w:rsidR="003338F6" w:rsidRPr="0010425E">
        <w:rPr>
          <w:rFonts w:ascii="Palatino Linotype" w:eastAsiaTheme="minorEastAsia" w:hAnsi="Palatino Linotype" w:cstheme="minorBidi"/>
          <w:color w:val="000000" w:themeColor="text1"/>
          <w:lang w:val="es-MX"/>
        </w:rPr>
        <w:t>y</w:t>
      </w:r>
      <w:r w:rsidRPr="0010425E">
        <w:rPr>
          <w:rFonts w:ascii="Palatino Linotype" w:eastAsiaTheme="minorEastAsia" w:hAnsi="Palatino Linotype" w:cstheme="minorBidi"/>
          <w:color w:val="000000" w:themeColor="text1"/>
          <w:lang w:val="es-MX"/>
        </w:rPr>
        <w:t xml:space="preserve"> derivado de un análisis a la</w:t>
      </w:r>
      <w:r w:rsidR="00D10950" w:rsidRPr="0010425E">
        <w:rPr>
          <w:rFonts w:ascii="Palatino Linotype" w:eastAsiaTheme="minorEastAsia" w:hAnsi="Palatino Linotype" w:cstheme="minorBidi"/>
          <w:color w:val="000000" w:themeColor="text1"/>
          <w:lang w:val="es-MX"/>
        </w:rPr>
        <w:t>s constancias que integran el expediente materia de la presente resolución</w:t>
      </w:r>
      <w:r w:rsidRPr="0010425E">
        <w:rPr>
          <w:rFonts w:ascii="Palatino Linotype" w:eastAsiaTheme="minorEastAsia" w:hAnsi="Palatino Linotype" w:cstheme="minorBidi"/>
          <w:b/>
          <w:color w:val="000000" w:themeColor="text1"/>
          <w:lang w:val="es-MX"/>
        </w:rPr>
        <w:t xml:space="preserve">, </w:t>
      </w:r>
      <w:r w:rsidRPr="0010425E">
        <w:rPr>
          <w:rFonts w:ascii="Palatino Linotype" w:eastAsiaTheme="minorEastAsia" w:hAnsi="Palatino Linotype" w:cstheme="minorBidi"/>
          <w:color w:val="000000" w:themeColor="text1"/>
          <w:lang w:val="es-MX"/>
        </w:rPr>
        <w:t>se advirtió que no se remitió la información solicitada</w:t>
      </w:r>
      <w:r w:rsidRPr="0010425E">
        <w:rPr>
          <w:rFonts w:ascii="Palatino Linotype" w:eastAsiaTheme="minorEastAsia" w:hAnsi="Palatino Linotype" w:cstheme="minorBidi"/>
          <w:b/>
          <w:color w:val="000000" w:themeColor="text1"/>
          <w:lang w:val="es-MX"/>
        </w:rPr>
        <w:t>, no obstante</w:t>
      </w:r>
      <w:r w:rsidRPr="0010425E">
        <w:rPr>
          <w:rFonts w:ascii="Palatino Linotype" w:eastAsia="MS Mincho" w:hAnsi="Palatino Linotype"/>
          <w:lang w:val="es-ES_tradnl"/>
        </w:rPr>
        <w:t xml:space="preserve">, este Órgano Garante advierte que los documentos remitidos por el </w:t>
      </w:r>
      <w:r w:rsidR="00D10950" w:rsidRPr="0010425E">
        <w:rPr>
          <w:rFonts w:ascii="Palatino Linotype" w:eastAsia="MS Mincho" w:hAnsi="Palatino Linotype" w:cs="Arial"/>
          <w:b/>
          <w:lang w:val="es-MX"/>
        </w:rPr>
        <w:t>Ayuntamiento de Ecatepec de Morelos</w:t>
      </w:r>
      <w:r w:rsidRPr="0010425E">
        <w:rPr>
          <w:rFonts w:ascii="Palatino Linotype" w:eastAsia="MS Mincho" w:hAnsi="Palatino Linotype"/>
          <w:b/>
          <w:lang w:val="es-ES_tradnl"/>
        </w:rPr>
        <w:t xml:space="preserve">, </w:t>
      </w:r>
      <w:r w:rsidRPr="0010425E">
        <w:rPr>
          <w:rFonts w:ascii="Palatino Linotype" w:eastAsia="MS Mincho" w:hAnsi="Palatino Linotype"/>
          <w:lang w:val="es-ES_tradnl"/>
        </w:rPr>
        <w:t>mediante informe justificado, subsanan la inconsistencia de la respuesta inicialmente otorgada</w:t>
      </w:r>
      <w:r w:rsidR="00D10950" w:rsidRPr="0010425E">
        <w:rPr>
          <w:rFonts w:ascii="Palatino Linotype" w:eastAsia="MS Mincho" w:hAnsi="Palatino Linotype"/>
          <w:lang w:val="es-ES_tradnl"/>
        </w:rPr>
        <w:t xml:space="preserve">, al remitir el documento </w:t>
      </w:r>
      <w:r w:rsidR="00D10950" w:rsidRPr="0010425E">
        <w:rPr>
          <w:rFonts w:ascii="Palatino Linotype" w:eastAsia="MS Mincho" w:hAnsi="Palatino Linotype" w:cs="Arial"/>
          <w:b/>
          <w:lang w:val="es-MX"/>
        </w:rPr>
        <w:t>984-10378.pdf</w:t>
      </w:r>
      <w:r w:rsidR="00153AB3" w:rsidRPr="0010425E">
        <w:rPr>
          <w:rFonts w:ascii="Palatino Linotype" w:eastAsia="MS Mincho" w:hAnsi="Palatino Linotype" w:cs="Arial"/>
          <w:lang w:val="es-MX"/>
        </w:rPr>
        <w:t>.</w:t>
      </w:r>
    </w:p>
    <w:p w14:paraId="0F572E00" w14:textId="77777777" w:rsidR="00153AB3" w:rsidRPr="0010425E" w:rsidRDefault="00153AB3" w:rsidP="00153AB3">
      <w:pPr>
        <w:spacing w:before="240" w:after="360" w:line="360" w:lineRule="auto"/>
        <w:contextualSpacing/>
        <w:jc w:val="both"/>
        <w:rPr>
          <w:rFonts w:ascii="Palatino Linotype" w:eastAsia="MS Mincho" w:hAnsi="Palatino Linotype" w:cs="Arial"/>
          <w:lang w:val="es-MX"/>
        </w:rPr>
      </w:pPr>
    </w:p>
    <w:p w14:paraId="4F47997C" w14:textId="06C40A19" w:rsidR="00B53FE5" w:rsidRPr="0010425E" w:rsidRDefault="00153AB3" w:rsidP="00153AB3">
      <w:pPr>
        <w:numPr>
          <w:ilvl w:val="0"/>
          <w:numId w:val="2"/>
        </w:numPr>
        <w:spacing w:before="240" w:after="360" w:line="360" w:lineRule="auto"/>
        <w:ind w:left="0" w:firstLine="0"/>
        <w:contextualSpacing/>
        <w:jc w:val="both"/>
        <w:rPr>
          <w:rFonts w:ascii="Palatino Linotype" w:eastAsia="MS Mincho" w:hAnsi="Palatino Linotype" w:cs="Arial"/>
          <w:lang w:val="es-MX"/>
        </w:rPr>
      </w:pPr>
      <w:r w:rsidRPr="0010425E">
        <w:rPr>
          <w:rFonts w:ascii="Palatino Linotype" w:eastAsia="Calibri" w:hAnsi="Palatino Linotype"/>
          <w:lang w:val="es-MX"/>
        </w:rPr>
        <w:t>En efecto, por cuanto hace al requerimiento consístete en “</w:t>
      </w:r>
      <w:r w:rsidRPr="0010425E">
        <w:rPr>
          <w:rFonts w:ascii="Palatino Linotype" w:eastAsia="Calibri" w:hAnsi="Palatino Linotype"/>
          <w:i/>
          <w:lang w:val="es-MX"/>
        </w:rPr>
        <w:t>solicito información sobre si se le a otorgado permiso alguno al COPACI de Valle de Ecatepec CTM XIII para construir en el área publica (parque) ubicado en calle Trueno S/N de la Unidad Habitacional Valle de Ecatepec CTM XIII C.P. 55119”</w:t>
      </w:r>
      <w:r w:rsidRPr="0010425E">
        <w:rPr>
          <w:rFonts w:ascii="Palatino Linotype" w:eastAsia="Calibri" w:hAnsi="Palatino Linotype"/>
          <w:lang w:val="es-MX"/>
        </w:rPr>
        <w:t xml:space="preserve"> </w:t>
      </w:r>
      <w:r w:rsidR="00C20E77" w:rsidRPr="0010425E">
        <w:rPr>
          <w:rFonts w:ascii="Palatino Linotype" w:eastAsia="Calibri" w:hAnsi="Palatino Linotype"/>
          <w:lang w:val="es-MX"/>
        </w:rPr>
        <w:t xml:space="preserve">, es necesario referir que </w:t>
      </w:r>
      <w:r w:rsidR="00B53FE5" w:rsidRPr="0010425E">
        <w:rPr>
          <w:rFonts w:ascii="Palatino Linotype" w:eastAsia="Calibri" w:hAnsi="Palatino Linotype"/>
          <w:lang w:val="es-MX"/>
        </w:rPr>
        <w:t xml:space="preserve">el Director de Desarrollo Urbano y Obras Públicas refiere que existió una solicitud por parte del Presidente del Consejo de Participación Ciudadana de la Unidad Habitacional Valle de Ecatepec CTM XIII donde se solicita el no inconveniente para llevar a cabo trabajos de mejoras en diversas áreas de la citada colonia, siendo los trabajos a </w:t>
      </w:r>
      <w:r w:rsidR="00B53FE5" w:rsidRPr="0010425E">
        <w:rPr>
          <w:rFonts w:ascii="Palatino Linotype" w:eastAsia="Calibri" w:hAnsi="Palatino Linotype"/>
          <w:lang w:val="es-MX"/>
        </w:rPr>
        <w:lastRenderedPageBreak/>
        <w:t xml:space="preserve">realizar la situación de malla ciclónica por barda en el deportivo principal de la unidad, como a continuación se observa:   </w:t>
      </w:r>
    </w:p>
    <w:p w14:paraId="5D9E2036" w14:textId="0903C42C" w:rsidR="00B53FE5" w:rsidRPr="0010425E" w:rsidRDefault="00B53FE5" w:rsidP="00B53FE5">
      <w:pPr>
        <w:spacing w:before="240" w:after="360" w:line="360" w:lineRule="auto"/>
        <w:contextualSpacing/>
        <w:jc w:val="both"/>
        <w:rPr>
          <w:rFonts w:ascii="Palatino Linotype" w:eastAsia="MS Mincho" w:hAnsi="Palatino Linotype" w:cs="Arial"/>
          <w:lang w:val="es-MX"/>
        </w:rPr>
      </w:pPr>
    </w:p>
    <w:p w14:paraId="70898A79" w14:textId="13119581" w:rsidR="00B53FE5" w:rsidRPr="0010425E" w:rsidRDefault="00153AB3" w:rsidP="00B53FE5">
      <w:pPr>
        <w:spacing w:before="240" w:after="360" w:line="360" w:lineRule="auto"/>
        <w:contextualSpacing/>
        <w:jc w:val="center"/>
        <w:rPr>
          <w:rFonts w:ascii="Palatino Linotype" w:eastAsia="MS Mincho" w:hAnsi="Palatino Linotype" w:cs="Arial"/>
          <w:lang w:val="es-MX"/>
        </w:rPr>
      </w:pPr>
      <w:r w:rsidRPr="0010425E">
        <w:rPr>
          <w:noProof/>
          <w:lang w:val="es-MX" w:eastAsia="es-MX"/>
        </w:rPr>
        <mc:AlternateContent>
          <mc:Choice Requires="wps">
            <w:drawing>
              <wp:anchor distT="0" distB="0" distL="114300" distR="114300" simplePos="0" relativeHeight="251659264" behindDoc="0" locked="0" layoutInCell="1" allowOverlap="1" wp14:anchorId="24A11F60" wp14:editId="08B15180">
                <wp:simplePos x="0" y="0"/>
                <wp:positionH relativeFrom="column">
                  <wp:posOffset>596266</wp:posOffset>
                </wp:positionH>
                <wp:positionV relativeFrom="paragraph">
                  <wp:posOffset>111760</wp:posOffset>
                </wp:positionV>
                <wp:extent cx="4210050" cy="1578610"/>
                <wp:effectExtent l="57150" t="19050" r="76200" b="97790"/>
                <wp:wrapNone/>
                <wp:docPr id="3" name="Rectángulo 3"/>
                <wp:cNvGraphicFramePr/>
                <a:graphic xmlns:a="http://schemas.openxmlformats.org/drawingml/2006/main">
                  <a:graphicData uri="http://schemas.microsoft.com/office/word/2010/wordprocessingShape">
                    <wps:wsp>
                      <wps:cNvSpPr/>
                      <wps:spPr>
                        <a:xfrm>
                          <a:off x="0" y="0"/>
                          <a:ext cx="4210050" cy="157861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2EE3AAC1" id="Rectángulo 3" o:spid="_x0000_s1026" style="position:absolute;margin-left:46.95pt;margin-top:8.8pt;width:331.5pt;height:12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" filled="f" strokecolor="red">
                <v:shadow on="t" color="black" opacity="22937f" origin=",.5" offset="0,.63889mm"/>
              </v:rect>
            </w:pict>
          </mc:Fallback>
        </mc:AlternateContent>
      </w:r>
      <w:r w:rsidR="00B53FE5" w:rsidRPr="0010425E">
        <w:rPr>
          <w:noProof/>
          <w:lang w:val="es-MX" w:eastAsia="es-MX"/>
        </w:rPr>
        <w:drawing>
          <wp:inline distT="0" distB="0" distL="0" distR="0" wp14:anchorId="42CF59D5" wp14:editId="1B4B42E0">
            <wp:extent cx="4419600" cy="169308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274" t="47724" r="7577" b="29018"/>
                    <a:stretch/>
                  </pic:blipFill>
                  <pic:spPr bwMode="auto">
                    <a:xfrm>
                      <a:off x="0" y="0"/>
                      <a:ext cx="4436648" cy="1699612"/>
                    </a:xfrm>
                    <a:prstGeom prst="rect">
                      <a:avLst/>
                    </a:prstGeom>
                    <a:ln>
                      <a:noFill/>
                    </a:ln>
                    <a:extLst>
                      <a:ext uri="{53640926-AAD7-44D8-BBD7-CCE9431645EC}">
                        <a14:shadowObscured xmlns:a14="http://schemas.microsoft.com/office/drawing/2010/main"/>
                      </a:ext>
                    </a:extLst>
                  </pic:spPr>
                </pic:pic>
              </a:graphicData>
            </a:graphic>
          </wp:inline>
        </w:drawing>
      </w:r>
    </w:p>
    <w:p w14:paraId="567C5389" w14:textId="77777777" w:rsidR="00B53FE5" w:rsidRPr="0010425E" w:rsidRDefault="00B53FE5" w:rsidP="00B53FE5">
      <w:pPr>
        <w:spacing w:before="240" w:after="360" w:line="360" w:lineRule="auto"/>
        <w:contextualSpacing/>
        <w:jc w:val="both"/>
        <w:rPr>
          <w:rFonts w:ascii="Palatino Linotype" w:eastAsia="MS Mincho" w:hAnsi="Palatino Linotype" w:cs="Arial"/>
          <w:lang w:val="es-MX"/>
        </w:rPr>
      </w:pPr>
    </w:p>
    <w:p w14:paraId="59E1AB0F" w14:textId="1EF5C3F4" w:rsidR="00B53FE5" w:rsidRPr="0010425E" w:rsidRDefault="00B53FE5" w:rsidP="00153AB3">
      <w:pPr>
        <w:numPr>
          <w:ilvl w:val="0"/>
          <w:numId w:val="2"/>
        </w:numPr>
        <w:spacing w:before="240" w:after="360" w:line="360" w:lineRule="auto"/>
        <w:ind w:left="0" w:firstLine="0"/>
        <w:contextualSpacing/>
        <w:jc w:val="both"/>
        <w:rPr>
          <w:rFonts w:ascii="Palatino Linotype" w:eastAsia="MS Mincho" w:hAnsi="Palatino Linotype" w:cs="Arial"/>
          <w:lang w:val="es-MX"/>
        </w:rPr>
      </w:pPr>
      <w:r w:rsidRPr="0010425E">
        <w:rPr>
          <w:rFonts w:ascii="Palatino Linotype" w:eastAsia="MS Mincho" w:hAnsi="Palatino Linotype" w:cs="Arial"/>
          <w:lang w:val="es-MX"/>
        </w:rPr>
        <w:t xml:space="preserve">Por otro lado, </w:t>
      </w:r>
      <w:r w:rsidR="00153AB3" w:rsidRPr="0010425E">
        <w:rPr>
          <w:rFonts w:ascii="Palatino Linotype" w:eastAsia="MS Mincho" w:hAnsi="Palatino Linotype" w:cs="Arial"/>
          <w:lang w:val="es-MX"/>
        </w:rPr>
        <w:t>y en relación al requerimiento “</w:t>
      </w:r>
      <w:r w:rsidR="00153AB3" w:rsidRPr="0010425E">
        <w:rPr>
          <w:rFonts w:ascii="Palatino Linotype" w:eastAsia="MS Mincho" w:hAnsi="Palatino Linotype" w:cs="Arial"/>
          <w:i/>
          <w:lang w:val="es-MX"/>
        </w:rPr>
        <w:t>si se le otorgo permiso alguno a mencionado COPACI para el derribo de árboles en el parque de la unidad Habitacional Valle de Ecatepec CTM XIII</w:t>
      </w:r>
      <w:r w:rsidR="00153AB3" w:rsidRPr="0010425E">
        <w:rPr>
          <w:rFonts w:ascii="Palatino Linotype" w:eastAsia="MS Mincho" w:hAnsi="Palatino Linotype" w:cs="Arial"/>
          <w:lang w:val="es-MX"/>
        </w:rPr>
        <w:t xml:space="preserve">.” </w:t>
      </w:r>
      <w:r w:rsidRPr="0010425E">
        <w:rPr>
          <w:rFonts w:ascii="Palatino Linotype" w:eastAsia="MS Mincho" w:hAnsi="Palatino Linotype" w:cs="Arial"/>
          <w:lang w:val="es-MX"/>
        </w:rPr>
        <w:t xml:space="preserve">la Encargada de Despacho de la Dirección de Medio Ambiente y Ecología señaló que no cuenta con algún permiso para realizar el derribo de árboles, como a continuación se observa:   </w:t>
      </w:r>
    </w:p>
    <w:p w14:paraId="1EF510BB" w14:textId="781C2256" w:rsidR="00B53FE5" w:rsidRPr="0010425E" w:rsidRDefault="00B53FE5" w:rsidP="00B53FE5">
      <w:pPr>
        <w:spacing w:before="240" w:after="360" w:line="360" w:lineRule="auto"/>
        <w:contextualSpacing/>
        <w:jc w:val="both"/>
        <w:rPr>
          <w:rFonts w:ascii="Palatino Linotype" w:eastAsia="MS Mincho" w:hAnsi="Palatino Linotype" w:cs="Arial"/>
          <w:lang w:val="es-MX"/>
        </w:rPr>
      </w:pPr>
    </w:p>
    <w:p w14:paraId="6A5E320E" w14:textId="01A60EC2" w:rsidR="00B53FE5" w:rsidRPr="0010425E" w:rsidRDefault="00153AB3" w:rsidP="00B53FE5">
      <w:pPr>
        <w:spacing w:before="240" w:after="360" w:line="360" w:lineRule="auto"/>
        <w:contextualSpacing/>
        <w:jc w:val="center"/>
        <w:rPr>
          <w:rFonts w:ascii="Palatino Linotype" w:eastAsia="MS Mincho" w:hAnsi="Palatino Linotype" w:cs="Arial"/>
          <w:lang w:val="es-MX"/>
        </w:rPr>
      </w:pPr>
      <w:r w:rsidRPr="0010425E">
        <w:rPr>
          <w:noProof/>
          <w:lang w:val="es-MX" w:eastAsia="es-MX"/>
        </w:rPr>
        <mc:AlternateContent>
          <mc:Choice Requires="wps">
            <w:drawing>
              <wp:anchor distT="0" distB="0" distL="114300" distR="114300" simplePos="0" relativeHeight="251660288" behindDoc="0" locked="0" layoutInCell="1" allowOverlap="1" wp14:anchorId="5A90C9D2" wp14:editId="40220315">
                <wp:simplePos x="0" y="0"/>
                <wp:positionH relativeFrom="column">
                  <wp:posOffset>415290</wp:posOffset>
                </wp:positionH>
                <wp:positionV relativeFrom="paragraph">
                  <wp:posOffset>846455</wp:posOffset>
                </wp:positionV>
                <wp:extent cx="4038600" cy="333375"/>
                <wp:effectExtent l="57150" t="19050" r="76200" b="104775"/>
                <wp:wrapNone/>
                <wp:docPr id="4" name="Rectángulo 4"/>
                <wp:cNvGraphicFramePr/>
                <a:graphic xmlns:a="http://schemas.openxmlformats.org/drawingml/2006/main">
                  <a:graphicData uri="http://schemas.microsoft.com/office/word/2010/wordprocessingShape">
                    <wps:wsp>
                      <wps:cNvSpPr/>
                      <wps:spPr>
                        <a:xfrm>
                          <a:off x="0" y="0"/>
                          <a:ext cx="4038600" cy="3333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F23A417" id="Rectángulo 4" o:spid="_x0000_s1026" style="position:absolute;margin-left:32.7pt;margin-top:66.65pt;width:318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" filled="f" strokecolor="red">
                <v:shadow on="t" color="black" opacity="22937f" origin=",.5" offset="0,.63889mm"/>
              </v:rect>
            </w:pict>
          </mc:Fallback>
        </mc:AlternateContent>
      </w:r>
      <w:r w:rsidR="00B53FE5" w:rsidRPr="0010425E">
        <w:rPr>
          <w:noProof/>
          <w:lang w:val="es-MX" w:eastAsia="es-MX"/>
        </w:rPr>
        <w:drawing>
          <wp:inline distT="0" distB="0" distL="0" distR="0" wp14:anchorId="7B75CECC" wp14:editId="715449E2">
            <wp:extent cx="4962525" cy="22886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934" t="34132" r="4859" b="35361"/>
                    <a:stretch/>
                  </pic:blipFill>
                  <pic:spPr bwMode="auto">
                    <a:xfrm>
                      <a:off x="0" y="0"/>
                      <a:ext cx="4977773" cy="2295685"/>
                    </a:xfrm>
                    <a:prstGeom prst="rect">
                      <a:avLst/>
                    </a:prstGeom>
                    <a:ln>
                      <a:noFill/>
                    </a:ln>
                    <a:extLst>
                      <a:ext uri="{53640926-AAD7-44D8-BBD7-CCE9431645EC}">
                        <a14:shadowObscured xmlns:a14="http://schemas.microsoft.com/office/drawing/2010/main"/>
                      </a:ext>
                    </a:extLst>
                  </pic:spPr>
                </pic:pic>
              </a:graphicData>
            </a:graphic>
          </wp:inline>
        </w:drawing>
      </w:r>
    </w:p>
    <w:p w14:paraId="336A49C5" w14:textId="77777777" w:rsidR="00B53FE5" w:rsidRPr="0010425E" w:rsidRDefault="00B53FE5" w:rsidP="00B53FE5">
      <w:pPr>
        <w:spacing w:before="240" w:after="360" w:line="360" w:lineRule="auto"/>
        <w:contextualSpacing/>
        <w:jc w:val="center"/>
        <w:rPr>
          <w:rFonts w:ascii="Palatino Linotype" w:eastAsia="MS Mincho" w:hAnsi="Palatino Linotype" w:cs="Arial"/>
          <w:lang w:val="es-MX"/>
        </w:rPr>
      </w:pPr>
    </w:p>
    <w:p w14:paraId="14F61ECA" w14:textId="651EC248" w:rsidR="00C20E77" w:rsidRPr="0010425E" w:rsidRDefault="00153AB3" w:rsidP="004218A7">
      <w:pPr>
        <w:numPr>
          <w:ilvl w:val="0"/>
          <w:numId w:val="2"/>
        </w:numPr>
        <w:spacing w:before="240" w:after="360" w:line="360" w:lineRule="auto"/>
        <w:ind w:left="0" w:firstLine="0"/>
        <w:contextualSpacing/>
        <w:jc w:val="both"/>
        <w:rPr>
          <w:rFonts w:ascii="Palatino Linotype" w:eastAsia="MS Mincho" w:hAnsi="Palatino Linotype" w:cs="Arial"/>
          <w:lang w:val="es-MX"/>
        </w:rPr>
      </w:pPr>
      <w:r w:rsidRPr="0010425E">
        <w:rPr>
          <w:rFonts w:ascii="Palatino Linotype" w:eastAsia="MS Mincho" w:hAnsi="Palatino Linotype"/>
          <w:lang w:val="es-ES_tradnl" w:eastAsia="es-ES_tradnl"/>
        </w:rPr>
        <w:t xml:space="preserve">En ese contexto, </w:t>
      </w:r>
      <w:r w:rsidR="00C20E77" w:rsidRPr="0010425E">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C20E77" w:rsidRPr="0010425E">
        <w:rPr>
          <w:rFonts w:ascii="Palatino Linotype" w:eastAsia="MS Mincho" w:hAnsi="Palatino Linotype"/>
          <w:b/>
          <w:lang w:val="es-ES_tradnl" w:eastAsia="es-ES_tradnl"/>
        </w:rPr>
        <w:t>(SAIMEX).</w:t>
      </w:r>
    </w:p>
    <w:p w14:paraId="04FF216B" w14:textId="77777777" w:rsidR="00B53FE5" w:rsidRPr="0010425E" w:rsidRDefault="00B53FE5" w:rsidP="00B53FE5">
      <w:pPr>
        <w:spacing w:before="240" w:after="360" w:line="360" w:lineRule="auto"/>
        <w:contextualSpacing/>
        <w:jc w:val="both"/>
        <w:rPr>
          <w:rFonts w:ascii="Palatino Linotype" w:eastAsia="MS Mincho" w:hAnsi="Palatino Linotype" w:cs="Arial"/>
          <w:lang w:val="es-MX"/>
        </w:rPr>
      </w:pPr>
    </w:p>
    <w:p w14:paraId="4107F531" w14:textId="77777777" w:rsidR="00C20E77" w:rsidRPr="0010425E" w:rsidRDefault="00C20E77" w:rsidP="004218A7">
      <w:pPr>
        <w:numPr>
          <w:ilvl w:val="0"/>
          <w:numId w:val="2"/>
        </w:numPr>
        <w:spacing w:line="360" w:lineRule="auto"/>
        <w:ind w:left="0" w:right="49" w:firstLine="0"/>
        <w:contextualSpacing/>
        <w:jc w:val="both"/>
        <w:rPr>
          <w:rFonts w:ascii="Palatino Linotype" w:eastAsia="MS Mincho" w:hAnsi="Palatino Linotype" w:cs="Arial"/>
          <w:lang w:val="es-ES_tradnl"/>
        </w:rPr>
      </w:pPr>
      <w:r w:rsidRPr="0010425E">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6956200E" w14:textId="77777777" w:rsidR="00C20E77" w:rsidRPr="0010425E" w:rsidRDefault="00C20E77" w:rsidP="00C20E77">
      <w:pPr>
        <w:spacing w:line="360" w:lineRule="auto"/>
        <w:ind w:right="49"/>
        <w:contextualSpacing/>
        <w:jc w:val="both"/>
        <w:rPr>
          <w:rFonts w:ascii="Palatino Linotype" w:eastAsia="MS Mincho" w:hAnsi="Palatino Linotype" w:cs="Arial"/>
          <w:lang w:val="es-ES_tradnl"/>
        </w:rPr>
      </w:pPr>
    </w:p>
    <w:p w14:paraId="2818AF53" w14:textId="77777777" w:rsidR="00C20E77" w:rsidRPr="0010425E" w:rsidRDefault="00C20E77" w:rsidP="00C20E77">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10425E">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10425E">
        <w:rPr>
          <w:rFonts w:ascii="Palatino Linotype" w:eastAsia="MS Mincho" w:hAnsi="Palatino Linotype"/>
          <w:i/>
          <w:lang w:val="es-ES_tradnl" w:eastAsia="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sidRPr="0010425E">
        <w:rPr>
          <w:rFonts w:ascii="Palatino Linotype" w:eastAsia="MS Mincho" w:hAnsi="Palatino Linotype"/>
          <w:i/>
          <w:lang w:val="es-ES_tradnl" w:eastAsia="es-ES_tradnl"/>
        </w:rPr>
        <w:lastRenderedPageBreak/>
        <w:t>artículos 49 y 50 de la Ley Federal de Transparencia y Acceso a la Información Pública Gubernamental no se prevé una causal que permita al Instituto Federal de Acceso a la Información y Protección de Datos conocer, vía recurso revisión, al respecto.”</w:t>
      </w:r>
    </w:p>
    <w:p w14:paraId="560ACEC1" w14:textId="77777777" w:rsidR="00C20E77" w:rsidRPr="0010425E" w:rsidRDefault="00C20E77" w:rsidP="004218A7">
      <w:pPr>
        <w:widowControl w:val="0"/>
        <w:numPr>
          <w:ilvl w:val="0"/>
          <w:numId w:val="2"/>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10425E">
        <w:rPr>
          <w:rFonts w:ascii="Palatino Linotype" w:eastAsia="MS Mincho" w:hAnsi="Palatino Linotype"/>
          <w:lang w:val="es-ES_tradnl" w:eastAsia="es-ES_tradnl"/>
        </w:rPr>
        <w:t xml:space="preserve">Numerales que compelen al </w:t>
      </w:r>
      <w:r w:rsidRPr="0010425E">
        <w:rPr>
          <w:rFonts w:ascii="Palatino Linotype" w:eastAsia="MS Mincho" w:hAnsi="Palatino Linotype"/>
          <w:b/>
          <w:lang w:val="es-ES_tradnl" w:eastAsia="es-ES_tradnl"/>
        </w:rPr>
        <w:t>SUJETO OBLIGADO</w:t>
      </w:r>
      <w:r w:rsidRPr="0010425E">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77AAA684" w14:textId="77777777" w:rsidR="00C20E77" w:rsidRPr="0010425E" w:rsidRDefault="00C20E77" w:rsidP="00C20E77">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68C2FF13" w14:textId="77777777" w:rsidR="00C20E77" w:rsidRPr="0010425E" w:rsidRDefault="00C20E77" w:rsidP="004218A7">
      <w:pPr>
        <w:numPr>
          <w:ilvl w:val="0"/>
          <w:numId w:val="2"/>
        </w:numPr>
        <w:spacing w:line="360" w:lineRule="auto"/>
        <w:ind w:left="0" w:firstLine="0"/>
        <w:contextualSpacing/>
        <w:jc w:val="both"/>
        <w:rPr>
          <w:rFonts w:ascii="Palatino Linotype" w:eastAsia="Calibri" w:hAnsi="Palatino Linotype"/>
        </w:rPr>
      </w:pPr>
      <w:r w:rsidRPr="0010425E">
        <w:rPr>
          <w:rFonts w:ascii="Palatino Linotype" w:eastAsia="Calibri" w:hAnsi="Palatino Linotype"/>
          <w:lang w:val="es-MX"/>
        </w:rPr>
        <w:t xml:space="preserve">Así, </w:t>
      </w:r>
      <w:r w:rsidRPr="0010425E">
        <w:rPr>
          <w:rFonts w:ascii="Palatino Linotype" w:eastAsia="Calibri" w:hAnsi="Palatino Linotype"/>
          <w:lang w:val="es-ES_tradnl"/>
        </w:rPr>
        <w:t>por cuanto hace a las causas de sobreseimiento contenidas en la fracción III del artículo 192</w:t>
      </w:r>
      <w:r w:rsidRPr="0010425E">
        <w:rPr>
          <w:rFonts w:ascii="Palatino Linotype" w:eastAsia="Calibri" w:hAnsi="Palatino Linotype"/>
          <w:vertAlign w:val="superscript"/>
          <w:lang w:val="es-ES_tradnl"/>
        </w:rPr>
        <w:footnoteReference w:id="1"/>
      </w:r>
      <w:r w:rsidRPr="0010425E">
        <w:rPr>
          <w:rFonts w:ascii="Palatino Linotype" w:eastAsia="Calibri" w:hAnsi="Palatino Linotype"/>
          <w:lang w:val="es-ES_tradnl"/>
        </w:rPr>
        <w:t xml:space="preserve"> de la </w:t>
      </w:r>
      <w:r w:rsidRPr="0010425E">
        <w:rPr>
          <w:rFonts w:ascii="Palatino Linotype" w:eastAsia="Calibri" w:hAnsi="Palatino Linotype"/>
          <w:b/>
          <w:lang w:val="es-ES_tradnl"/>
        </w:rPr>
        <w:t>Ley de Transparencia y Acceso a la Información Pública del Estado de México y Municipios</w:t>
      </w:r>
      <w:r w:rsidRPr="0010425E">
        <w:rPr>
          <w:rFonts w:ascii="Palatino Linotype" w:eastAsia="Calibri" w:hAnsi="Palatino Linotype"/>
          <w:lang w:val="es-ES_tradnl"/>
        </w:rPr>
        <w:t xml:space="preserve">, es oportuno señalar que estos requisitos privilegian la existencia de elementos de fondo, tales como el desistimiento o fallecimiento del </w:t>
      </w:r>
      <w:r w:rsidRPr="0010425E">
        <w:rPr>
          <w:rFonts w:ascii="Palatino Linotype" w:eastAsia="Calibri" w:hAnsi="Palatino Linotype"/>
          <w:b/>
          <w:lang w:val="es-ES_tradnl"/>
        </w:rPr>
        <w:t>RECURRENTE</w:t>
      </w:r>
      <w:r w:rsidRPr="0010425E">
        <w:rPr>
          <w:rFonts w:ascii="Palatino Linotype" w:eastAsia="Calibri" w:hAnsi="Palatino Linotype"/>
          <w:lang w:val="es-ES_tradnl"/>
        </w:rPr>
        <w:t xml:space="preserve"> o que el </w:t>
      </w:r>
      <w:r w:rsidRPr="0010425E">
        <w:rPr>
          <w:rFonts w:ascii="Palatino Linotype" w:eastAsia="Calibri" w:hAnsi="Palatino Linotype"/>
          <w:b/>
          <w:lang w:val="es-ES_tradnl"/>
        </w:rPr>
        <w:t>SUJETO OBLIGADO</w:t>
      </w:r>
      <w:r w:rsidRPr="0010425E">
        <w:rPr>
          <w:rFonts w:ascii="Palatino Linotype" w:eastAsia="Calibri" w:hAnsi="Palatino Linotype"/>
          <w:lang w:val="es-ES_tradnl"/>
        </w:rPr>
        <w:t xml:space="preserve"> </w:t>
      </w:r>
      <w:r w:rsidRPr="0010425E">
        <w:rPr>
          <w:rFonts w:ascii="Palatino Linotype" w:eastAsia="Calibri" w:hAnsi="Palatino Linotype"/>
          <w:b/>
          <w:u w:val="single"/>
          <w:lang w:val="es-ES_tradnl"/>
        </w:rPr>
        <w:t>modifique o revoque el acto</w:t>
      </w:r>
      <w:r w:rsidRPr="0010425E">
        <w:rPr>
          <w:rFonts w:ascii="Palatino Linotype" w:eastAsia="Calibri" w:hAnsi="Palatino Linotype"/>
          <w:lang w:val="es-ES_tradnl"/>
        </w:rPr>
        <w:t>; de ahí que la actualización de alguno de éstos trae como consecuencia que el medio de impugnación se concluya sin que se analice el objeto de estudio planteado, es decir se sobresea.</w:t>
      </w:r>
    </w:p>
    <w:p w14:paraId="1BC0761D" w14:textId="77777777" w:rsidR="00C20E77" w:rsidRPr="0010425E" w:rsidRDefault="00C20E77" w:rsidP="00C02E60">
      <w:pPr>
        <w:spacing w:line="360" w:lineRule="auto"/>
        <w:jc w:val="both"/>
        <w:rPr>
          <w:rFonts w:ascii="Palatino Linotype" w:eastAsia="Calibri" w:hAnsi="Palatino Linotype"/>
        </w:rPr>
      </w:pPr>
    </w:p>
    <w:p w14:paraId="417FF3D4" w14:textId="77777777" w:rsidR="00C20E77" w:rsidRPr="0010425E" w:rsidRDefault="00C20E77" w:rsidP="004218A7">
      <w:pPr>
        <w:numPr>
          <w:ilvl w:val="0"/>
          <w:numId w:val="2"/>
        </w:numPr>
        <w:spacing w:line="360" w:lineRule="auto"/>
        <w:ind w:left="0" w:firstLine="0"/>
        <w:contextualSpacing/>
        <w:jc w:val="both"/>
        <w:rPr>
          <w:rFonts w:ascii="Palatino Linotype" w:eastAsia="Calibri" w:hAnsi="Palatino Linotype"/>
        </w:rPr>
      </w:pPr>
      <w:r w:rsidRPr="0010425E">
        <w:rPr>
          <w:rFonts w:ascii="Palatino Linotype" w:eastAsia="Calibri" w:hAnsi="Palatino Linotype"/>
          <w:lang w:val="es-ES_tradnl"/>
        </w:rPr>
        <w:t xml:space="preserve">Para los efectos de esta resolución, es oportuno precisar los alcances jurídicos de la fracción III de la disposición legal transcrita. Así, procede el sobreseimiento del recurso de revisión cuando el </w:t>
      </w:r>
      <w:r w:rsidRPr="0010425E">
        <w:rPr>
          <w:rFonts w:ascii="Palatino Linotype" w:eastAsia="Calibri" w:hAnsi="Palatino Linotype"/>
          <w:b/>
          <w:lang w:val="es-ES_tradnl"/>
        </w:rPr>
        <w:t>SUJETO OBLIGADO</w:t>
      </w:r>
      <w:r w:rsidRPr="0010425E">
        <w:rPr>
          <w:rFonts w:ascii="Palatino Linotype" w:eastAsia="Calibri" w:hAnsi="Palatino Linotype"/>
          <w:lang w:val="es-ES_tradnl"/>
        </w:rPr>
        <w:t>:</w:t>
      </w:r>
    </w:p>
    <w:p w14:paraId="64B9D5D1" w14:textId="77777777" w:rsidR="00C20E77" w:rsidRPr="0010425E" w:rsidRDefault="00C20E77" w:rsidP="00C20E77">
      <w:pPr>
        <w:spacing w:line="360" w:lineRule="auto"/>
        <w:jc w:val="both"/>
        <w:rPr>
          <w:rFonts w:ascii="Palatino Linotype" w:eastAsia="Calibri" w:hAnsi="Palatino Linotype"/>
        </w:rPr>
      </w:pPr>
    </w:p>
    <w:p w14:paraId="484CAFE8" w14:textId="77777777" w:rsidR="00C20E77" w:rsidRPr="0010425E" w:rsidRDefault="00C20E77" w:rsidP="00C20E77">
      <w:pPr>
        <w:numPr>
          <w:ilvl w:val="0"/>
          <w:numId w:val="44"/>
        </w:numPr>
        <w:spacing w:line="360" w:lineRule="auto"/>
        <w:ind w:left="567" w:right="616"/>
        <w:contextualSpacing/>
        <w:jc w:val="both"/>
        <w:rPr>
          <w:rFonts w:ascii="Palatino Linotype" w:eastAsia="MS Mincho" w:hAnsi="Palatino Linotype" w:cs="Arial"/>
          <w:lang w:val="es-ES_tradnl"/>
        </w:rPr>
      </w:pPr>
      <w:r w:rsidRPr="0010425E">
        <w:rPr>
          <w:rFonts w:ascii="Palatino Linotype" w:eastAsia="MS Mincho" w:hAnsi="Palatino Linotype" w:cs="Arial"/>
          <w:b/>
          <w:lang w:val="es-ES_tradnl"/>
        </w:rPr>
        <w:t>Modifique el acto impugnado:</w:t>
      </w:r>
      <w:r w:rsidRPr="0010425E">
        <w:rPr>
          <w:rFonts w:ascii="Palatino Linotype" w:eastAsia="MS Mincho" w:hAnsi="Palatino Linotype" w:cs="Arial"/>
          <w:lang w:val="es-ES_tradnl"/>
        </w:rPr>
        <w:t xml:space="preserve"> Se actualiza cuando el </w:t>
      </w:r>
      <w:r w:rsidRPr="0010425E">
        <w:rPr>
          <w:rFonts w:ascii="Palatino Linotype" w:eastAsia="MS Mincho" w:hAnsi="Palatino Linotype" w:cs="Arial"/>
          <w:b/>
          <w:lang w:val="es-ES_tradnl"/>
        </w:rPr>
        <w:t>SUJETO OBLIGADO</w:t>
      </w:r>
      <w:r w:rsidRPr="0010425E">
        <w:rPr>
          <w:rFonts w:ascii="Palatino Linotype" w:eastAsia="MS Mincho" w:hAnsi="Palatino Linotype" w:cs="Arial"/>
          <w:lang w:val="es-ES_tradnl"/>
        </w:rPr>
        <w:t xml:space="preserve"> después de haber otorgado una respuesta y hasta antes de dictada la resolución del recurso de revisión, emite una diversa en la que subsane las deficiencias que hubiera tenido.</w:t>
      </w:r>
    </w:p>
    <w:p w14:paraId="41053039" w14:textId="77777777" w:rsidR="00C20E77" w:rsidRPr="0010425E" w:rsidRDefault="00C20E77" w:rsidP="00C20E77">
      <w:pPr>
        <w:spacing w:line="360" w:lineRule="auto"/>
        <w:ind w:left="1068" w:right="567"/>
        <w:contextualSpacing/>
        <w:jc w:val="both"/>
        <w:rPr>
          <w:rFonts w:ascii="Palatino Linotype" w:eastAsia="MS Mincho" w:hAnsi="Palatino Linotype" w:cs="Arial"/>
          <w:lang w:val="es-ES_tradnl"/>
        </w:rPr>
      </w:pPr>
    </w:p>
    <w:p w14:paraId="7F17C57B" w14:textId="77777777" w:rsidR="00C20E77" w:rsidRPr="0010425E" w:rsidRDefault="00C20E77" w:rsidP="00C20E77">
      <w:pPr>
        <w:numPr>
          <w:ilvl w:val="0"/>
          <w:numId w:val="44"/>
        </w:numPr>
        <w:spacing w:line="360" w:lineRule="auto"/>
        <w:ind w:left="567" w:right="616"/>
        <w:contextualSpacing/>
        <w:jc w:val="both"/>
        <w:rPr>
          <w:rFonts w:ascii="Palatino Linotype" w:eastAsia="MS Mincho" w:hAnsi="Palatino Linotype" w:cs="Arial"/>
          <w:lang w:val="es-ES_tradnl"/>
        </w:rPr>
      </w:pPr>
      <w:r w:rsidRPr="0010425E">
        <w:rPr>
          <w:rFonts w:ascii="Palatino Linotype" w:eastAsia="MS Mincho" w:hAnsi="Palatino Linotype" w:cs="Arial"/>
          <w:b/>
          <w:lang w:val="es-ES_tradnl"/>
        </w:rPr>
        <w:t>Revoque el acto impugnado:</w:t>
      </w:r>
      <w:r w:rsidRPr="0010425E">
        <w:rPr>
          <w:rFonts w:ascii="Palatino Linotype" w:eastAsia="MS Mincho" w:hAnsi="Palatino Linotype" w:cs="Arial"/>
          <w:lang w:val="es-ES_tradnl"/>
        </w:rPr>
        <w:t xml:space="preserve"> En este supuesto, el </w:t>
      </w:r>
      <w:r w:rsidRPr="0010425E">
        <w:rPr>
          <w:rFonts w:ascii="Palatino Linotype" w:eastAsia="MS Mincho" w:hAnsi="Palatino Linotype" w:cs="Arial"/>
          <w:b/>
          <w:lang w:val="es-ES_tradnl"/>
        </w:rPr>
        <w:t>SUJETO OBLIGADO</w:t>
      </w:r>
      <w:r w:rsidRPr="0010425E">
        <w:rPr>
          <w:rFonts w:ascii="Palatino Linotype" w:eastAsia="MS Mincho" w:hAnsi="Palatino Linotype" w:cs="Arial"/>
          <w:lang w:val="es-ES_tradnl"/>
        </w:rPr>
        <w:t xml:space="preserve"> deja sin efectos la primera respuesta y en su lugar emite otra que satisfaga lo solicitado por el particular en un primer momento.</w:t>
      </w:r>
    </w:p>
    <w:p w14:paraId="4E000A86" w14:textId="77777777" w:rsidR="00C20E77" w:rsidRPr="0010425E" w:rsidRDefault="00C20E77" w:rsidP="00C20E77">
      <w:pPr>
        <w:spacing w:line="360" w:lineRule="auto"/>
        <w:ind w:right="616"/>
        <w:contextualSpacing/>
        <w:jc w:val="both"/>
        <w:rPr>
          <w:rFonts w:ascii="Palatino Linotype" w:eastAsia="MS Mincho" w:hAnsi="Palatino Linotype" w:cs="Arial"/>
          <w:lang w:val="es-ES_tradnl"/>
        </w:rPr>
      </w:pPr>
    </w:p>
    <w:p w14:paraId="72A0A6D8" w14:textId="77777777"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ES_tradn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182DA974" w14:textId="77777777" w:rsidR="00C20E77" w:rsidRPr="0010425E" w:rsidRDefault="00C20E77" w:rsidP="00C20E77">
      <w:pPr>
        <w:spacing w:line="360" w:lineRule="auto"/>
        <w:jc w:val="both"/>
        <w:rPr>
          <w:rFonts w:ascii="Palatino Linotype" w:eastAsia="Calibri" w:hAnsi="Palatino Linotype"/>
          <w:lang w:val="es-ES_tradnl"/>
        </w:rPr>
      </w:pPr>
    </w:p>
    <w:p w14:paraId="2ACA79B8" w14:textId="77777777"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ES_tradnl"/>
        </w:rPr>
        <w:t xml:space="preserve">En el presente asunto, este Pleno advierte que el </w:t>
      </w:r>
      <w:r w:rsidRPr="0010425E">
        <w:rPr>
          <w:rFonts w:ascii="Palatino Linotype" w:eastAsia="Calibri" w:hAnsi="Palatino Linotype"/>
          <w:b/>
          <w:lang w:val="es-ES_tradnl"/>
        </w:rPr>
        <w:t>SUJETO OBLIGADO</w:t>
      </w:r>
      <w:r w:rsidRPr="0010425E">
        <w:rPr>
          <w:rFonts w:ascii="Palatino Linotype" w:eastAsia="Calibri" w:hAnsi="Palatino Linotype"/>
          <w:lang w:val="es-ES_tradnl"/>
        </w:rPr>
        <w:t xml:space="preserve"> con la información enviada a través del informe de justificación, </w:t>
      </w:r>
      <w:r w:rsidRPr="0010425E">
        <w:rPr>
          <w:rFonts w:ascii="Palatino Linotype" w:eastAsia="Calibri" w:hAnsi="Palatino Linotype"/>
          <w:b/>
          <w:lang w:val="es-ES_tradnl"/>
        </w:rPr>
        <w:t>modifica</w:t>
      </w:r>
      <w:r w:rsidRPr="0010425E">
        <w:rPr>
          <w:rFonts w:ascii="Palatino Linotype" w:eastAsia="Calibri" w:hAnsi="Palatino Linotype"/>
          <w:lang w:val="es-ES_tradnl"/>
        </w:rPr>
        <w:t xml:space="preserve"> el acto que le dio origen al recurso de revisión, lo que trae como consecuencia que el mismo quede sin materia, actualizándose de este modo, la hipótesis jurídica contenida en la fracción III del citado artículo.</w:t>
      </w:r>
    </w:p>
    <w:p w14:paraId="34AC52A0" w14:textId="77777777" w:rsidR="00C20E77" w:rsidRPr="0010425E" w:rsidRDefault="00C20E77" w:rsidP="00C20E77">
      <w:pPr>
        <w:spacing w:line="360" w:lineRule="auto"/>
        <w:ind w:left="720"/>
        <w:contextualSpacing/>
        <w:rPr>
          <w:rFonts w:ascii="Palatino Linotype" w:eastAsia="Calibri" w:hAnsi="Palatino Linotype"/>
          <w:lang w:val="es-ES_tradnl"/>
        </w:rPr>
      </w:pPr>
    </w:p>
    <w:p w14:paraId="51EA823D" w14:textId="77777777"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ES_tradnl"/>
        </w:rPr>
        <w:lastRenderedPageBreak/>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10425E">
        <w:rPr>
          <w:rFonts w:ascii="Palatino Linotype" w:eastAsia="Calibri" w:hAnsi="Palatino Linotype"/>
          <w:b/>
          <w:lang w:val="es-ES_tradnl"/>
        </w:rPr>
        <w:t>SUJETOS OBLIGADOS</w:t>
      </w:r>
      <w:r w:rsidRPr="0010425E">
        <w:rPr>
          <w:rFonts w:ascii="Palatino Linotype" w:eastAsia="Calibri" w:hAnsi="Palatino Linotype"/>
          <w:lang w:val="es-ES_tradnl"/>
        </w:rPr>
        <w:t xml:space="preserve"> o la negativa de entrega de la misma, derivada de la solicitud de información pública.</w:t>
      </w:r>
    </w:p>
    <w:p w14:paraId="2C934E41" w14:textId="77777777" w:rsidR="00C20E77" w:rsidRPr="0010425E" w:rsidRDefault="00C20E77" w:rsidP="00C20E77">
      <w:pPr>
        <w:spacing w:line="360" w:lineRule="auto"/>
        <w:rPr>
          <w:rFonts w:ascii="Palatino Linotype" w:eastAsia="Calibri" w:hAnsi="Palatino Linotype"/>
          <w:lang w:val="es-ES_tradnl"/>
        </w:rPr>
      </w:pPr>
    </w:p>
    <w:p w14:paraId="2A2DE344" w14:textId="77777777"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ES_tradnl"/>
        </w:rPr>
        <w:t xml:space="preserve">De este modo, cuando el </w:t>
      </w:r>
      <w:r w:rsidRPr="0010425E">
        <w:rPr>
          <w:rFonts w:ascii="Palatino Linotype" w:eastAsia="Calibri" w:hAnsi="Palatino Linotype"/>
          <w:b/>
          <w:lang w:val="es-ES_tradnl"/>
        </w:rPr>
        <w:t xml:space="preserve">SUJETO OBLIGADO, </w:t>
      </w:r>
      <w:r w:rsidRPr="0010425E">
        <w:rPr>
          <w:rFonts w:ascii="Palatino Linotype" w:eastAsia="Calibri" w:hAnsi="Palatino Linotype"/>
          <w:lang w:val="es-ES_tradn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10425E">
        <w:rPr>
          <w:rFonts w:ascii="Palatino Linotype" w:eastAsia="Calibri" w:hAnsi="Palatino Linotype"/>
          <w:i/>
          <w:lang w:val="es-ES_tradnl"/>
        </w:rPr>
        <w:t>litis</w:t>
      </w:r>
      <w:r w:rsidRPr="0010425E">
        <w:rPr>
          <w:rFonts w:ascii="Palatino Linotype" w:eastAsia="Calibri" w:hAnsi="Palatino Linotype"/>
          <w:lang w:val="es-ES_tradnl"/>
        </w:rPr>
        <w:t xml:space="preserve"> planteada, debido a que la afectación en su esfera de derechos fue restituida por la propia autoridad que emitió el acto motivo de impugnación.</w:t>
      </w:r>
    </w:p>
    <w:p w14:paraId="3D745E67" w14:textId="77777777" w:rsidR="00C20E77" w:rsidRPr="0010425E" w:rsidRDefault="00C20E77" w:rsidP="00C20E77">
      <w:pPr>
        <w:spacing w:line="360" w:lineRule="auto"/>
        <w:rPr>
          <w:rFonts w:ascii="Palatino Linotype" w:eastAsia="Calibri" w:hAnsi="Palatino Linotype"/>
          <w:lang w:val="es-ES_tradnl"/>
        </w:rPr>
      </w:pPr>
    </w:p>
    <w:p w14:paraId="34565FD3" w14:textId="77777777"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ES_tradnl"/>
        </w:rPr>
        <w:t>Sirve de sustento a lo anterior la siguiente jurisprudencia por contradicción, cuyo rubro, texto y datos de identificación son los siguientes:</w:t>
      </w:r>
    </w:p>
    <w:p w14:paraId="70A6E349" w14:textId="77777777" w:rsidR="00C20E77" w:rsidRPr="0010425E" w:rsidRDefault="00C20E77" w:rsidP="00C20E77">
      <w:pPr>
        <w:spacing w:line="360" w:lineRule="auto"/>
        <w:ind w:left="567" w:right="616"/>
        <w:contextualSpacing/>
        <w:jc w:val="both"/>
        <w:rPr>
          <w:rFonts w:ascii="Palatino Linotype" w:eastAsia="Calibri" w:hAnsi="Palatino Linotype"/>
          <w:lang w:val="es-ES_tradnl"/>
        </w:rPr>
      </w:pPr>
    </w:p>
    <w:p w14:paraId="4D6A6C38" w14:textId="77777777" w:rsidR="00C20E77" w:rsidRPr="0010425E" w:rsidRDefault="00C20E77" w:rsidP="00C20E77">
      <w:pPr>
        <w:spacing w:line="360" w:lineRule="auto"/>
        <w:ind w:left="567" w:right="616"/>
        <w:contextualSpacing/>
        <w:jc w:val="both"/>
        <w:rPr>
          <w:rFonts w:ascii="Palatino Linotype" w:eastAsia="Calibri" w:hAnsi="Palatino Linotype"/>
          <w:i/>
          <w:lang w:val="es-ES_tradnl"/>
        </w:rPr>
      </w:pPr>
      <w:r w:rsidRPr="0010425E">
        <w:rPr>
          <w:rFonts w:ascii="Palatino Linotype" w:eastAsia="Calibri" w:hAnsi="Palatino Linotype"/>
          <w:b/>
          <w:i/>
          <w:lang w:val="es-ES_tradnl"/>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w:t>
      </w:r>
      <w:r w:rsidRPr="0010425E">
        <w:rPr>
          <w:rFonts w:ascii="Palatino Linotype" w:eastAsia="Calibri" w:hAnsi="Palatino Linotype"/>
          <w:b/>
          <w:i/>
          <w:lang w:val="es-ES_tradnl"/>
        </w:rPr>
        <w:lastRenderedPageBreak/>
        <w:t>QUEJOSO PARA AMPLIAR SU DEMANDA INICIAL, PROMOVER OTRO JUICIO DE AMPARO O EL MEDIO ORDINARIO DE DEFENSA QUE PROCEDA.</w:t>
      </w:r>
      <w:r w:rsidRPr="0010425E">
        <w:rPr>
          <w:rFonts w:ascii="Palatino Linotype" w:eastAsia="Calibri" w:hAnsi="Palatino Linotype"/>
          <w:i/>
          <w:lang w:val="es-ES_tradnl"/>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06C66E33" w14:textId="77777777" w:rsidR="00C20E77" w:rsidRPr="0010425E" w:rsidRDefault="00C20E77" w:rsidP="00C20E77">
      <w:pPr>
        <w:spacing w:line="360" w:lineRule="auto"/>
        <w:ind w:left="708"/>
        <w:contextualSpacing/>
        <w:jc w:val="both"/>
        <w:rPr>
          <w:rFonts w:ascii="Palatino Linotype" w:eastAsia="Calibri" w:hAnsi="Palatino Linotype"/>
          <w:i/>
          <w:lang w:val="es-ES_tradnl"/>
        </w:rPr>
      </w:pPr>
    </w:p>
    <w:p w14:paraId="057E4371" w14:textId="77777777"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ES_tradnl"/>
        </w:rPr>
        <w:t>La anterior jurisprudencia resulta aplicable al presente asunto, en dos aspectos:</w:t>
      </w:r>
    </w:p>
    <w:p w14:paraId="57EE0045" w14:textId="77777777" w:rsidR="00C20E77" w:rsidRPr="0010425E" w:rsidRDefault="00C20E77" w:rsidP="00C20E77">
      <w:pPr>
        <w:spacing w:line="360" w:lineRule="auto"/>
        <w:ind w:left="426"/>
        <w:contextualSpacing/>
        <w:jc w:val="both"/>
        <w:rPr>
          <w:rFonts w:ascii="Palatino Linotype" w:eastAsia="Calibri" w:hAnsi="Palatino Linotype"/>
          <w:lang w:val="es-ES_tradnl"/>
        </w:rPr>
      </w:pPr>
    </w:p>
    <w:p w14:paraId="608D3613" w14:textId="77777777" w:rsidR="00C20E77" w:rsidRPr="0010425E" w:rsidRDefault="00C20E77" w:rsidP="00C20E77">
      <w:pPr>
        <w:numPr>
          <w:ilvl w:val="0"/>
          <w:numId w:val="45"/>
        </w:numPr>
        <w:spacing w:line="360" w:lineRule="auto"/>
        <w:ind w:left="567" w:right="616"/>
        <w:contextualSpacing/>
        <w:jc w:val="both"/>
        <w:rPr>
          <w:rFonts w:ascii="Palatino Linotype" w:eastAsia="Calibri" w:hAnsi="Palatino Linotype"/>
          <w:lang w:val="es-ES_tradnl"/>
        </w:rPr>
      </w:pPr>
      <w:r w:rsidRPr="0010425E">
        <w:rPr>
          <w:rFonts w:ascii="Palatino Linotype" w:eastAsia="Calibri" w:hAnsi="Palatino Linotype"/>
          <w:b/>
          <w:lang w:val="es-ES_tradnl"/>
        </w:rPr>
        <w:t>La cesación de los efectos perniciosos del acto de autoridad:</w:t>
      </w:r>
      <w:r w:rsidRPr="0010425E">
        <w:rPr>
          <w:rFonts w:ascii="Palatino Linotype" w:eastAsia="Calibri" w:hAnsi="Palatino Linotype"/>
          <w:lang w:val="es-ES_tradnl"/>
        </w:rPr>
        <w:t xml:space="preserve"> Al respecto, la Ley de Transparencia contempla la figura jurídica del sobreseimiento cuando el </w:t>
      </w:r>
      <w:r w:rsidRPr="0010425E">
        <w:rPr>
          <w:rFonts w:ascii="Palatino Linotype" w:eastAsia="Calibri" w:hAnsi="Palatino Linotype"/>
          <w:b/>
          <w:lang w:val="es-ES_tradnl"/>
        </w:rPr>
        <w:t>SUJETO OBLIGADO</w:t>
      </w:r>
      <w:r w:rsidRPr="0010425E">
        <w:rPr>
          <w:rFonts w:ascii="Palatino Linotype" w:eastAsia="Calibri" w:hAnsi="Palatino Linotype"/>
          <w:lang w:val="es-ES_tradnl"/>
        </w:rPr>
        <w:t xml:space="preserve"> de </w:t>
      </w:r>
      <w:r w:rsidRPr="0010425E">
        <w:rPr>
          <w:rFonts w:ascii="Palatino Linotype" w:eastAsia="Calibri" w:hAnsi="Palatino Linotype"/>
          <w:i/>
          <w:lang w:val="es-ES_tradnl"/>
        </w:rPr>
        <w:t>motu proprio</w:t>
      </w:r>
      <w:r w:rsidRPr="0010425E">
        <w:rPr>
          <w:rFonts w:ascii="Palatino Linotype" w:eastAsia="Calibri" w:hAnsi="Palatino Linotype"/>
          <w:lang w:val="es-ES_tradnl"/>
        </w:rPr>
        <w:t xml:space="preserve"> </w:t>
      </w:r>
      <w:r w:rsidRPr="0010425E">
        <w:rPr>
          <w:rFonts w:ascii="Palatino Linotype" w:eastAsia="Calibri" w:hAnsi="Palatino Linotype"/>
          <w:lang w:val="es-ES_tradnl"/>
        </w:rPr>
        <w:lastRenderedPageBreak/>
        <w:t>modifica o revoca de tal manera el acto motivo de la impugnación que lo deja sin materia; es decir, cesan los efectos de éste y el derecho de acceso a la información pública se encuentra satisfecho.</w:t>
      </w:r>
    </w:p>
    <w:p w14:paraId="24605D08" w14:textId="77777777" w:rsidR="00C20E77" w:rsidRPr="0010425E" w:rsidRDefault="00C20E77" w:rsidP="00C20E77">
      <w:pPr>
        <w:spacing w:line="360" w:lineRule="auto"/>
        <w:ind w:left="567" w:right="616"/>
        <w:contextualSpacing/>
        <w:rPr>
          <w:rFonts w:ascii="Palatino Linotype" w:eastAsia="Calibri" w:hAnsi="Palatino Linotype"/>
          <w:lang w:val="es-ES_tradnl"/>
        </w:rPr>
      </w:pPr>
    </w:p>
    <w:p w14:paraId="1FDDC57D" w14:textId="77777777" w:rsidR="00C20E77" w:rsidRPr="0010425E" w:rsidRDefault="00C20E77" w:rsidP="00C20E77">
      <w:pPr>
        <w:numPr>
          <w:ilvl w:val="0"/>
          <w:numId w:val="45"/>
        </w:numPr>
        <w:spacing w:line="360" w:lineRule="auto"/>
        <w:ind w:left="567" w:right="616"/>
        <w:contextualSpacing/>
        <w:jc w:val="both"/>
        <w:rPr>
          <w:rFonts w:ascii="Palatino Linotype" w:eastAsia="Calibri" w:hAnsi="Palatino Linotype"/>
          <w:lang w:val="es-ES_tradnl"/>
        </w:rPr>
      </w:pPr>
      <w:r w:rsidRPr="0010425E">
        <w:rPr>
          <w:rFonts w:ascii="Palatino Linotype" w:eastAsia="Calibri" w:hAnsi="Palatino Linotype"/>
          <w:b/>
          <w:lang w:val="es-ES_tradnl"/>
        </w:rPr>
        <w:t>El momento procesal para modificar el acto impugnado:</w:t>
      </w:r>
      <w:r w:rsidRPr="0010425E">
        <w:rPr>
          <w:rFonts w:ascii="Palatino Linotype" w:eastAsia="Calibri" w:hAnsi="Palatino Linotype"/>
          <w:lang w:val="es-ES_tradnl"/>
        </w:rPr>
        <w:t xml:space="preserve"> Para que se actualice el sobreseimiento de un recurso de revisión, el </w:t>
      </w:r>
      <w:r w:rsidRPr="0010425E">
        <w:rPr>
          <w:rFonts w:ascii="Palatino Linotype" w:eastAsia="Calibri" w:hAnsi="Palatino Linotype"/>
          <w:b/>
          <w:lang w:val="es-ES_tradnl"/>
        </w:rPr>
        <w:t>SUJETO OBLIGADO</w:t>
      </w:r>
      <w:r w:rsidRPr="0010425E">
        <w:rPr>
          <w:rFonts w:ascii="Palatino Linotype" w:eastAsia="Calibri" w:hAnsi="Palatino Linotype"/>
          <w:lang w:val="es-ES_tradnl"/>
        </w:rPr>
        <w:t xml:space="preserve"> puede entregar o completar la información al momento de rendir su informe de justificación o </w:t>
      </w:r>
      <w:r w:rsidRPr="0010425E">
        <w:rPr>
          <w:rFonts w:ascii="Palatino Linotype" w:eastAsia="Calibri" w:hAnsi="Palatino Linotype"/>
          <w:b/>
          <w:u w:val="single"/>
          <w:lang w:val="es-ES_tradnl"/>
        </w:rPr>
        <w:t>posteriormente</w:t>
      </w:r>
      <w:r w:rsidRPr="0010425E">
        <w:rPr>
          <w:rFonts w:ascii="Palatino Linotype" w:eastAsia="Calibri" w:hAnsi="Palatino Linotype"/>
          <w:lang w:val="es-ES_tradnl"/>
        </w:rPr>
        <w:t xml:space="preserve"> a éste, siempre y cuando el Pleno del Instituto no haya dictado resolución definitiva.</w:t>
      </w:r>
    </w:p>
    <w:p w14:paraId="19EE0E20" w14:textId="77777777" w:rsidR="00C20E77" w:rsidRPr="0010425E" w:rsidRDefault="00C20E77" w:rsidP="00C20E77">
      <w:pPr>
        <w:spacing w:line="360" w:lineRule="auto"/>
        <w:jc w:val="both"/>
        <w:rPr>
          <w:rFonts w:ascii="Palatino Linotype" w:eastAsia="Calibri" w:hAnsi="Palatino Linotype"/>
          <w:lang w:val="es-ES_tradnl"/>
        </w:rPr>
      </w:pPr>
    </w:p>
    <w:p w14:paraId="5CA0A090" w14:textId="77777777"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ES_tradnl"/>
        </w:rPr>
        <w:t xml:space="preserve">Además, de acuerdo con el procesalista Niceto Alcalá-Zamora y Castillo en su obra </w:t>
      </w:r>
      <w:r w:rsidRPr="0010425E">
        <w:rPr>
          <w:rFonts w:ascii="Palatino Linotype" w:eastAsia="Calibri" w:hAnsi="Palatino Linotype"/>
          <w:i/>
          <w:lang w:val="es-ES_tradnl"/>
        </w:rPr>
        <w:t>“Cuestiones de Terminología Procesal”</w:t>
      </w:r>
      <w:r w:rsidRPr="0010425E">
        <w:rPr>
          <w:rFonts w:ascii="Palatino Linotype" w:eastAsia="Calibri" w:hAnsi="Palatino Linotype"/>
          <w:lang w:val="es-ES_tradnl"/>
        </w:rPr>
        <w:t xml:space="preserve">, el sobreseimiento es </w:t>
      </w:r>
      <w:r w:rsidRPr="0010425E">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193CA455" w14:textId="77777777" w:rsidR="00C20E77" w:rsidRPr="0010425E" w:rsidRDefault="00C20E77" w:rsidP="00C20E77">
      <w:pPr>
        <w:spacing w:line="360" w:lineRule="auto"/>
        <w:jc w:val="both"/>
        <w:rPr>
          <w:rFonts w:ascii="Palatino Linotype" w:eastAsia="Calibri" w:hAnsi="Palatino Linotype"/>
          <w:lang w:val="es-ES_tradnl"/>
        </w:rPr>
      </w:pPr>
    </w:p>
    <w:p w14:paraId="4679198F" w14:textId="4D2E45B1"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ES_tradnl"/>
        </w:rPr>
        <w:t xml:space="preserve">Eduardo Pallares, en su artículo </w:t>
      </w:r>
      <w:r w:rsidRPr="0010425E">
        <w:rPr>
          <w:rFonts w:ascii="Palatino Linotype" w:eastAsia="Calibri" w:hAnsi="Palatino Linotype"/>
          <w:i/>
          <w:lang w:val="es-ES_tradnl"/>
        </w:rPr>
        <w:t>“La caducidad y el sobreseimiento en el amparo”</w:t>
      </w:r>
      <w:r w:rsidRPr="0010425E">
        <w:rPr>
          <w:rFonts w:ascii="Palatino Linotype" w:eastAsia="Calibri" w:hAnsi="Palatino Linotype"/>
          <w:lang w:val="es-ES_tradnl"/>
        </w:rPr>
        <w:t xml:space="preserve">, cita la definición de Aguilera Paz, aduciendo que se </w:t>
      </w:r>
      <w:r w:rsidRPr="0010425E">
        <w:rPr>
          <w:rFonts w:ascii="Palatino Linotype" w:eastAsia="Calibri" w:hAnsi="Palatino Linotype"/>
          <w:i/>
          <w:lang w:val="es-ES_tradnl"/>
        </w:rPr>
        <w:t>“...entiende por sobreseimiento en el tecnicismo forense, el hecho de cesar en el procedimiento o curso de la causa, por no existir méritos bastantes para entrar en un juicio o para entablar la contienda judicial que debe ser objeto del mismo...”</w:t>
      </w:r>
      <w:r w:rsidRPr="0010425E">
        <w:rPr>
          <w:rFonts w:ascii="Palatino Linotype" w:eastAsia="Calibri" w:hAnsi="Palatino Linotype"/>
          <w:lang w:val="es-ES_tradnl"/>
        </w:rPr>
        <w:t xml:space="preserve">. </w:t>
      </w:r>
      <w:r w:rsidR="00337048" w:rsidRPr="0010425E">
        <w:rPr>
          <w:rFonts w:ascii="Palatino Linotype" w:eastAsia="Calibri" w:hAnsi="Palatino Linotype"/>
          <w:lang w:val="es-ES_tradnl"/>
        </w:rPr>
        <w:t>Asimismo,</w:t>
      </w:r>
      <w:r w:rsidRPr="0010425E">
        <w:rPr>
          <w:rFonts w:ascii="Palatino Linotype" w:eastAsia="Calibri" w:hAnsi="Palatino Linotype"/>
          <w:lang w:val="es-ES_tradnl"/>
        </w:rPr>
        <w:t xml:space="preserve"> señala que existe el sobreseimiento provisional y el definitivo</w:t>
      </w:r>
      <w:r w:rsidRPr="0010425E">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2ED66422" w14:textId="77777777" w:rsidR="00C20E77" w:rsidRPr="0010425E" w:rsidRDefault="00C20E77" w:rsidP="00C20E77">
      <w:pPr>
        <w:spacing w:line="360" w:lineRule="auto"/>
        <w:jc w:val="both"/>
        <w:rPr>
          <w:rFonts w:ascii="Palatino Linotype" w:eastAsia="Calibri" w:hAnsi="Palatino Linotype"/>
          <w:lang w:val="es-ES_tradnl"/>
        </w:rPr>
      </w:pPr>
    </w:p>
    <w:p w14:paraId="71CC3661" w14:textId="77777777"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ES_tradnl"/>
        </w:rPr>
        <w:t xml:space="preserve">Así, para la doctrina el sobreseimiento provoca que un procedimiento se suspenda o se resuelva en definitiva </w:t>
      </w:r>
      <w:r w:rsidRPr="0010425E">
        <w:rPr>
          <w:rFonts w:ascii="Palatino Linotype" w:eastAsia="Calibri" w:hAnsi="Palatino Linotype"/>
          <w:b/>
          <w:u w:val="single"/>
          <w:lang w:val="es-ES_tradnl"/>
        </w:rPr>
        <w:t xml:space="preserve">sin que se entre al estudio de los agravios o motivos de inconformidad. </w:t>
      </w:r>
      <w:r w:rsidRPr="0010425E">
        <w:rPr>
          <w:rFonts w:ascii="Palatino Linotype" w:eastAsia="Calibri" w:hAnsi="Palatino Linotype"/>
          <w:lang w:val="es-ES_tradnl"/>
        </w:rPr>
        <w:t>Este mismo criterio es compartido por el más alto tribunal del país en múltiples jurisprudencias, por lo que a continuación se agrega una de ellas que sirve como orientador en esta resolución:</w:t>
      </w:r>
    </w:p>
    <w:p w14:paraId="424F12C3" w14:textId="77777777" w:rsidR="00C20E77" w:rsidRPr="0010425E" w:rsidRDefault="00C20E77" w:rsidP="00C20E77">
      <w:pPr>
        <w:spacing w:line="360" w:lineRule="auto"/>
        <w:ind w:left="426"/>
        <w:contextualSpacing/>
        <w:jc w:val="both"/>
        <w:rPr>
          <w:rFonts w:ascii="Palatino Linotype" w:eastAsia="Calibri" w:hAnsi="Palatino Linotype"/>
          <w:lang w:val="es-ES_tradnl"/>
        </w:rPr>
      </w:pPr>
    </w:p>
    <w:p w14:paraId="6E8F8F7D" w14:textId="77777777" w:rsidR="00C20E77" w:rsidRPr="0010425E" w:rsidRDefault="00C20E77" w:rsidP="00C20E77">
      <w:pPr>
        <w:spacing w:line="360" w:lineRule="auto"/>
        <w:ind w:left="567" w:right="616"/>
        <w:contextualSpacing/>
        <w:jc w:val="both"/>
        <w:rPr>
          <w:rFonts w:ascii="Palatino Linotype" w:eastAsia="Calibri" w:hAnsi="Palatino Linotype"/>
          <w:i/>
          <w:lang w:val="es-AR"/>
        </w:rPr>
      </w:pPr>
      <w:r w:rsidRPr="0010425E">
        <w:rPr>
          <w:rFonts w:ascii="Palatino Linotype" w:eastAsia="Calibri" w:hAnsi="Palatino Linotype"/>
          <w:b/>
          <w:i/>
          <w:lang w:val="es-AR"/>
        </w:rPr>
        <w:t>SOBRESEIMIENTO EN EL JUICIO DE AMPARO DIRECTO. IMPIDE EL ESTUDIO DE LAS VIOLACIONES PROCESALES PLANTEADAS EN LOS CONCEPTOS DE VIOLACIÓN. El sobreseimiento</w:t>
      </w:r>
      <w:r w:rsidRPr="0010425E">
        <w:rPr>
          <w:rFonts w:ascii="Palatino Linotype" w:eastAsia="Calibri" w:hAnsi="Palatino Linotype"/>
          <w:i/>
          <w:lang w:val="es-AR"/>
        </w:rPr>
        <w:t xml:space="preserve"> en el juicio de amparo directo </w:t>
      </w:r>
      <w:r w:rsidRPr="0010425E">
        <w:rPr>
          <w:rFonts w:ascii="Palatino Linotype" w:eastAsia="Calibri" w:hAnsi="Palatino Linotype"/>
          <w:b/>
          <w:i/>
          <w:lang w:val="es-AR"/>
        </w:rPr>
        <w:t>provoca la terminación de la controversia planteada</w:t>
      </w:r>
      <w:r w:rsidRPr="0010425E">
        <w:rPr>
          <w:rFonts w:ascii="Palatino Linotype" w:eastAsia="Calibri" w:hAnsi="Palatino Linotype"/>
          <w:i/>
          <w:lang w:val="es-AR"/>
        </w:rPr>
        <w:t xml:space="preserve"> por el quejoso en la demanda de amparo</w:t>
      </w:r>
      <w:r w:rsidRPr="0010425E">
        <w:rPr>
          <w:rFonts w:ascii="Palatino Linotype" w:eastAsia="Calibri" w:hAnsi="Palatino Linotype"/>
          <w:b/>
          <w:i/>
          <w:lang w:val="es-AR"/>
        </w:rPr>
        <w:t>, sin hacer un pronunciamiento de fondo sobre la legalidad o ilegalidad de la sentencia reclamada</w:t>
      </w:r>
      <w:r w:rsidRPr="0010425E">
        <w:rPr>
          <w:rFonts w:ascii="Palatino Linotype" w:eastAsia="Calibri" w:hAnsi="Palatino Linotype"/>
          <w:i/>
          <w:lang w:val="es-AR"/>
        </w:rPr>
        <w:t xml:space="preserve">. </w:t>
      </w:r>
      <w:r w:rsidRPr="0010425E">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0425E">
        <w:rPr>
          <w:rFonts w:ascii="Palatino Linotype" w:eastAsia="Calibri" w:hAnsi="Palatino Linotype"/>
          <w:i/>
          <w:lang w:val="es-AR"/>
        </w:rPr>
        <w:t>.</w:t>
      </w:r>
    </w:p>
    <w:p w14:paraId="1480A7A6" w14:textId="77777777" w:rsidR="00C20E77" w:rsidRPr="0010425E" w:rsidRDefault="00C20E77" w:rsidP="00C20E77">
      <w:pPr>
        <w:spacing w:line="360" w:lineRule="auto"/>
        <w:ind w:left="567" w:right="616"/>
        <w:contextualSpacing/>
        <w:jc w:val="both"/>
        <w:rPr>
          <w:rFonts w:ascii="Palatino Linotype" w:eastAsia="Calibri" w:hAnsi="Palatino Linotype"/>
          <w:i/>
          <w:lang w:val="es-AR"/>
        </w:rPr>
      </w:pPr>
      <w:r w:rsidRPr="0010425E">
        <w:rPr>
          <w:rFonts w:ascii="Palatino Linotype" w:eastAsia="Calibri" w:hAnsi="Palatino Linotype"/>
          <w:i/>
          <w:lang w:val="es-AR"/>
        </w:rPr>
        <w:t>SÉPTIMO TRIBUNAL COLEGIADO EN MATERIA CIVIL DEL PRIMER CIRCUITO.</w:t>
      </w:r>
    </w:p>
    <w:p w14:paraId="26AC3AE3" w14:textId="77777777" w:rsidR="00C20E77" w:rsidRPr="0010425E" w:rsidRDefault="00C20E77" w:rsidP="00C20E77">
      <w:pPr>
        <w:spacing w:line="360" w:lineRule="auto"/>
        <w:ind w:left="567" w:right="616"/>
        <w:contextualSpacing/>
        <w:jc w:val="both"/>
        <w:rPr>
          <w:rFonts w:ascii="Palatino Linotype" w:eastAsia="Calibri" w:hAnsi="Palatino Linotype"/>
          <w:b/>
          <w:i/>
          <w:lang w:val="es-AR"/>
        </w:rPr>
      </w:pPr>
      <w:r w:rsidRPr="0010425E">
        <w:rPr>
          <w:rFonts w:ascii="Palatino Linotype" w:eastAsia="Calibri" w:hAnsi="Palatino Linotype"/>
          <w:i/>
          <w:lang w:val="es-AR"/>
        </w:rPr>
        <w:t>Amparo directo 699/2008. Mariana Leticia González Steele. 13 de noviembre de 2008. Unanimidad de votos. Ponente: Sara Judith Montalvo Trejo. Secretario: Arnulfo Mateos García.</w:t>
      </w:r>
    </w:p>
    <w:p w14:paraId="385BD70E" w14:textId="77777777" w:rsidR="00C20E77" w:rsidRPr="0010425E" w:rsidRDefault="00C20E77" w:rsidP="00C20E77">
      <w:pPr>
        <w:spacing w:line="360" w:lineRule="auto"/>
        <w:ind w:left="567" w:right="616"/>
        <w:contextualSpacing/>
        <w:jc w:val="both"/>
        <w:rPr>
          <w:rFonts w:ascii="Palatino Linotype" w:eastAsia="Calibri" w:hAnsi="Palatino Linotype"/>
          <w:i/>
          <w:lang w:val="es-AR"/>
        </w:rPr>
      </w:pPr>
    </w:p>
    <w:p w14:paraId="3655FD97" w14:textId="77777777" w:rsidR="00C20E77" w:rsidRPr="0010425E" w:rsidRDefault="00C20E77" w:rsidP="00C20E77">
      <w:pPr>
        <w:spacing w:line="360" w:lineRule="auto"/>
        <w:ind w:left="567" w:right="616"/>
        <w:contextualSpacing/>
        <w:jc w:val="both"/>
        <w:rPr>
          <w:rFonts w:ascii="Palatino Linotype" w:eastAsia="Calibri" w:hAnsi="Palatino Linotype"/>
          <w:lang w:val="es-AR"/>
        </w:rPr>
      </w:pPr>
      <w:r w:rsidRPr="0010425E">
        <w:rPr>
          <w:rFonts w:ascii="Palatino Linotype" w:eastAsia="Calibri" w:hAnsi="Palatino Linotype"/>
          <w:lang w:val="es-AR"/>
        </w:rPr>
        <w:t>(Énfasis añadido)</w:t>
      </w:r>
    </w:p>
    <w:p w14:paraId="1BEE6AF7" w14:textId="77777777" w:rsidR="00C20E77" w:rsidRPr="0010425E" w:rsidRDefault="00C20E77" w:rsidP="00C20E77">
      <w:pPr>
        <w:spacing w:line="360" w:lineRule="auto"/>
        <w:ind w:left="426"/>
        <w:contextualSpacing/>
        <w:jc w:val="both"/>
        <w:rPr>
          <w:rFonts w:ascii="Palatino Linotype" w:eastAsia="Calibri" w:hAnsi="Palatino Linotype"/>
          <w:lang w:val="es-ES_tradnl"/>
        </w:rPr>
      </w:pPr>
    </w:p>
    <w:p w14:paraId="248A48CB" w14:textId="77777777"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ES_tradnl"/>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68175D06" w14:textId="77777777" w:rsidR="00C20E77" w:rsidRPr="0010425E" w:rsidRDefault="00C20E77" w:rsidP="00C20E77">
      <w:pPr>
        <w:spacing w:line="360" w:lineRule="auto"/>
        <w:jc w:val="both"/>
        <w:rPr>
          <w:rFonts w:ascii="Palatino Linotype" w:eastAsia="Calibri" w:hAnsi="Palatino Linotype"/>
          <w:lang w:val="es-ES_tradnl"/>
        </w:rPr>
      </w:pPr>
    </w:p>
    <w:p w14:paraId="6358A1BE" w14:textId="29699B0A"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ES_tradnl"/>
        </w:rPr>
        <w:t xml:space="preserve">Por lo que para que se actualice el sobreseimiento de un recurso de revisión, el </w:t>
      </w:r>
      <w:r w:rsidRPr="0010425E">
        <w:rPr>
          <w:rFonts w:ascii="Palatino Linotype" w:eastAsia="Calibri" w:hAnsi="Palatino Linotype"/>
          <w:b/>
          <w:lang w:val="es-ES_tradnl"/>
        </w:rPr>
        <w:t>SUJETO OBLIGADO</w:t>
      </w:r>
      <w:r w:rsidRPr="0010425E">
        <w:rPr>
          <w:rFonts w:ascii="Palatino Linotype" w:eastAsia="Calibri" w:hAnsi="Palatino Linotype"/>
          <w:lang w:val="es-ES_tradnl"/>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w:t>
      </w:r>
      <w:r w:rsidR="00C02E60" w:rsidRPr="0010425E">
        <w:rPr>
          <w:rFonts w:ascii="Palatino Linotype" w:eastAsia="Calibri" w:hAnsi="Palatino Linotype"/>
          <w:lang w:val="es-ES_tradnl"/>
        </w:rPr>
        <w:t>lapso,</w:t>
      </w:r>
      <w:r w:rsidRPr="0010425E">
        <w:rPr>
          <w:rFonts w:ascii="Palatino Linotype" w:eastAsia="Calibri" w:hAnsi="Palatino Linotype"/>
          <w:lang w:val="es-ES_tradnl"/>
        </w:rPr>
        <w:t xml:space="preserve"> pero antes del cierre de instrucción.</w:t>
      </w:r>
    </w:p>
    <w:p w14:paraId="5A41EBCF" w14:textId="77777777" w:rsidR="00C20E77" w:rsidRPr="0010425E" w:rsidRDefault="00C20E77" w:rsidP="00C20E77">
      <w:pPr>
        <w:spacing w:line="360" w:lineRule="auto"/>
        <w:jc w:val="both"/>
        <w:rPr>
          <w:rFonts w:ascii="Palatino Linotype" w:eastAsia="Calibri" w:hAnsi="Palatino Linotype"/>
          <w:lang w:val="es-ES_tradnl"/>
        </w:rPr>
      </w:pPr>
    </w:p>
    <w:p w14:paraId="2E0052B8" w14:textId="77777777" w:rsidR="00C20E77" w:rsidRPr="0010425E"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10425E">
        <w:rPr>
          <w:rFonts w:ascii="Palatino Linotype" w:eastAsia="Calibri" w:hAnsi="Palatino Linotype"/>
          <w:lang w:val="es-CO"/>
        </w:rPr>
        <w:t xml:space="preserve">Bajo ese tenor y en términos del artículo 186 fracción I este Pleno determina el </w:t>
      </w:r>
      <w:r w:rsidRPr="0010425E">
        <w:rPr>
          <w:rFonts w:ascii="Palatino Linotype" w:eastAsia="Calibri" w:hAnsi="Palatino Linotype"/>
          <w:b/>
          <w:lang w:val="es-CO"/>
        </w:rPr>
        <w:t xml:space="preserve">SOBRESEIMIENTO </w:t>
      </w:r>
      <w:r w:rsidRPr="0010425E">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5D72339C" w14:textId="77777777" w:rsidR="00C20E77" w:rsidRPr="0010425E" w:rsidRDefault="00C20E77" w:rsidP="00C20E77">
      <w:pPr>
        <w:spacing w:line="360" w:lineRule="auto"/>
        <w:jc w:val="both"/>
        <w:rPr>
          <w:rFonts w:ascii="Palatino Linotype" w:eastAsia="Calibri" w:hAnsi="Palatino Linotype"/>
          <w:lang w:val="es-ES_tradnl"/>
        </w:rPr>
      </w:pPr>
    </w:p>
    <w:p w14:paraId="23252CB5" w14:textId="6718345F" w:rsidR="00C20E77" w:rsidRPr="0010425E" w:rsidRDefault="003C46D6" w:rsidP="00C20E77">
      <w:pPr>
        <w:keepNext/>
        <w:keepLines/>
        <w:suppressAutoHyphens/>
        <w:spacing w:before="240" w:line="360" w:lineRule="auto"/>
        <w:outlineLvl w:val="0"/>
        <w:rPr>
          <w:rFonts w:ascii="Palatino Linotype" w:hAnsi="Palatino Linotype"/>
          <w:b/>
          <w:color w:val="000000"/>
        </w:rPr>
      </w:pPr>
      <w:bookmarkStart w:id="49" w:name="_Toc99999256"/>
      <w:bookmarkStart w:id="50" w:name="_Toc108631024"/>
      <w:r w:rsidRPr="0010425E">
        <w:rPr>
          <w:rFonts w:ascii="Palatino Linotype" w:hAnsi="Palatino Linotype"/>
          <w:b/>
          <w:color w:val="000000"/>
        </w:rPr>
        <w:t xml:space="preserve">CUARTO. </w:t>
      </w:r>
      <w:r w:rsidR="00C20E77" w:rsidRPr="0010425E">
        <w:rPr>
          <w:rFonts w:ascii="Palatino Linotype" w:hAnsi="Palatino Linotype"/>
          <w:b/>
          <w:color w:val="000000"/>
        </w:rPr>
        <w:t>De la decisión.</w:t>
      </w:r>
      <w:bookmarkEnd w:id="49"/>
      <w:bookmarkEnd w:id="50"/>
      <w:r w:rsidR="00C20E77" w:rsidRPr="0010425E">
        <w:rPr>
          <w:rFonts w:ascii="Palatino Linotype" w:hAnsi="Palatino Linotype"/>
          <w:b/>
          <w:color w:val="000000"/>
        </w:rPr>
        <w:t xml:space="preserve"> </w:t>
      </w:r>
    </w:p>
    <w:p w14:paraId="6430E9F1" w14:textId="77777777" w:rsidR="00C20E77" w:rsidRPr="0010425E" w:rsidRDefault="00C20E77" w:rsidP="00C20E77">
      <w:pPr>
        <w:keepNext/>
        <w:keepLines/>
        <w:suppressAutoHyphens/>
        <w:spacing w:line="360" w:lineRule="auto"/>
        <w:outlineLvl w:val="0"/>
        <w:rPr>
          <w:rFonts w:ascii="Palatino Linotype" w:hAnsi="Palatino Linotype"/>
          <w:b/>
          <w:color w:val="000000"/>
        </w:rPr>
      </w:pPr>
    </w:p>
    <w:p w14:paraId="438B9E00" w14:textId="77777777" w:rsidR="00C20E77" w:rsidRPr="0010425E" w:rsidRDefault="00C20E77" w:rsidP="00C20E77">
      <w:pPr>
        <w:numPr>
          <w:ilvl w:val="0"/>
          <w:numId w:val="47"/>
        </w:numPr>
        <w:suppressAutoHyphens/>
        <w:spacing w:before="240" w:after="240" w:line="360" w:lineRule="auto"/>
        <w:ind w:left="0" w:right="49" w:firstLine="0"/>
        <w:contextualSpacing/>
        <w:jc w:val="both"/>
        <w:rPr>
          <w:rFonts w:ascii="Palatino Linotype" w:hAnsi="Palatino Linotype" w:cs="Arial"/>
          <w:lang w:val="es-MX" w:eastAsia="es-ES_tradnl"/>
        </w:rPr>
      </w:pPr>
      <w:r w:rsidRPr="0010425E">
        <w:rPr>
          <w:rFonts w:ascii="Palatino Linotype" w:hAnsi="Palatino Linotype" w:cs="Tahoma"/>
          <w:lang w:val="es-MX"/>
        </w:rPr>
        <w:t xml:space="preserve">Con base en todo lo expuesto, con fundamento en el artículo 186, fracción I, en relación con la fracción III del artículo 192 de la Ley de Transparencia y Acceso </w:t>
      </w:r>
      <w:r w:rsidRPr="0010425E">
        <w:rPr>
          <w:rFonts w:ascii="Palatino Linotype" w:hAnsi="Palatino Linotype" w:cs="Tahoma"/>
          <w:lang w:val="es-MX"/>
        </w:rPr>
        <w:lastRenderedPageBreak/>
        <w:t xml:space="preserve">a la Información Pública del Estado de México y Municipios, este Instituto considera procedente </w:t>
      </w:r>
      <w:r w:rsidRPr="0010425E">
        <w:rPr>
          <w:rFonts w:ascii="Palatino Linotype" w:hAnsi="Palatino Linotype" w:cs="Tahoma"/>
          <w:b/>
          <w:lang w:val="es-MX"/>
        </w:rPr>
        <w:t xml:space="preserve">SOBRESEER </w:t>
      </w:r>
      <w:r w:rsidRPr="0010425E">
        <w:rPr>
          <w:rFonts w:ascii="Palatino Linotype" w:hAnsi="Palatino Linotype" w:cs="Tahoma"/>
          <w:lang w:val="es-MX"/>
        </w:rPr>
        <w:t>el presente recurso de revisión.</w:t>
      </w:r>
      <w:r w:rsidRPr="0010425E">
        <w:rPr>
          <w:rFonts w:ascii="Palatino Linotype" w:hAnsi="Palatino Linotype" w:cs="Tahoma"/>
          <w:b/>
          <w:lang w:val="es-MX"/>
        </w:rPr>
        <w:t xml:space="preserve"> </w:t>
      </w:r>
    </w:p>
    <w:p w14:paraId="5E394741" w14:textId="77777777" w:rsidR="00C20E77" w:rsidRPr="0010425E" w:rsidRDefault="00C20E77" w:rsidP="00C20E77">
      <w:pPr>
        <w:suppressAutoHyphens/>
        <w:spacing w:before="240" w:after="240" w:line="360" w:lineRule="auto"/>
        <w:ind w:right="49"/>
        <w:contextualSpacing/>
        <w:jc w:val="both"/>
        <w:rPr>
          <w:rFonts w:ascii="Palatino Linotype" w:hAnsi="Palatino Linotype" w:cs="Arial"/>
          <w:lang w:val="es-MX" w:eastAsia="es-ES_tradnl"/>
        </w:rPr>
      </w:pPr>
    </w:p>
    <w:p w14:paraId="566F7FF9" w14:textId="77777777" w:rsidR="00C20E77" w:rsidRPr="0010425E" w:rsidRDefault="00C20E77" w:rsidP="00C20E77">
      <w:pPr>
        <w:numPr>
          <w:ilvl w:val="0"/>
          <w:numId w:val="47"/>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10425E">
        <w:rPr>
          <w:rFonts w:ascii="Palatino Linotype" w:hAnsi="Palatino Linotype" w:cs="Arial"/>
          <w:color w:val="000000"/>
          <w:lang w:val="es-ES_tradnl"/>
        </w:rPr>
        <w:t xml:space="preserve">Por lo anteriormente expuesto y fundado, este </w:t>
      </w:r>
      <w:r w:rsidRPr="0010425E">
        <w:rPr>
          <w:rFonts w:ascii="Palatino Linotype" w:hAnsi="Palatino Linotype" w:cs="Arial"/>
          <w:b/>
          <w:color w:val="000000"/>
          <w:lang w:val="es-ES_tradnl"/>
        </w:rPr>
        <w:t>ÓRGANO GARANTE</w:t>
      </w:r>
      <w:r w:rsidRPr="0010425E">
        <w:rPr>
          <w:rFonts w:ascii="Palatino Linotype" w:hAnsi="Palatino Linotype" w:cs="Arial"/>
          <w:color w:val="000000"/>
          <w:lang w:val="es-ES_tradnl"/>
        </w:rPr>
        <w:t xml:space="preserve"> emite los siguientes: </w:t>
      </w:r>
    </w:p>
    <w:p w14:paraId="0E8D5ADD" w14:textId="77777777" w:rsidR="00C20E77" w:rsidRPr="0010425E" w:rsidRDefault="00C20E77" w:rsidP="00C20E77">
      <w:pPr>
        <w:spacing w:line="360" w:lineRule="auto"/>
        <w:rPr>
          <w:rFonts w:ascii="Palatino Linotype" w:hAnsi="Palatino Linotype" w:cs="Arial"/>
          <w:lang w:val="es-ES_tradnl"/>
        </w:rPr>
      </w:pPr>
    </w:p>
    <w:p w14:paraId="5FE376DF" w14:textId="77777777" w:rsidR="00C20E77" w:rsidRPr="0010425E" w:rsidRDefault="00C20E77" w:rsidP="00C20E77">
      <w:pPr>
        <w:keepNext/>
        <w:keepLines/>
        <w:spacing w:before="240" w:line="360" w:lineRule="auto"/>
        <w:jc w:val="center"/>
        <w:outlineLvl w:val="0"/>
        <w:rPr>
          <w:rFonts w:ascii="Palatino Linotype" w:eastAsia="MS Gothic" w:hAnsi="Palatino Linotype"/>
          <w:b/>
          <w:color w:val="000000" w:themeColor="text1"/>
          <w:lang w:val="es-MX" w:eastAsia="en-US"/>
        </w:rPr>
      </w:pPr>
      <w:bookmarkStart w:id="51" w:name="_Toc99999257"/>
      <w:bookmarkStart w:id="52" w:name="_Toc108631025"/>
      <w:r w:rsidRPr="0010425E">
        <w:rPr>
          <w:rFonts w:ascii="Palatino Linotype" w:eastAsia="MS Gothic" w:hAnsi="Palatino Linotype"/>
          <w:b/>
          <w:color w:val="000000" w:themeColor="text1"/>
          <w:lang w:val="es-MX" w:eastAsia="en-US"/>
        </w:rPr>
        <w:t>R E S O L U T I V O S</w:t>
      </w:r>
      <w:bookmarkEnd w:id="51"/>
      <w:bookmarkEnd w:id="52"/>
    </w:p>
    <w:p w14:paraId="345437C2" w14:textId="77777777" w:rsidR="00C20E77" w:rsidRPr="0010425E" w:rsidRDefault="00C20E77" w:rsidP="00C20E77">
      <w:pPr>
        <w:spacing w:line="360" w:lineRule="auto"/>
        <w:rPr>
          <w:rFonts w:ascii="Palatino Linotype" w:eastAsia="MS Mincho" w:hAnsi="Palatino Linotype"/>
          <w:lang w:val="es-MX" w:eastAsia="en-US"/>
        </w:rPr>
      </w:pPr>
    </w:p>
    <w:p w14:paraId="1DEBD2CA" w14:textId="06020616" w:rsidR="00C20E77" w:rsidRPr="0010425E" w:rsidRDefault="00C20E77" w:rsidP="00C20E77">
      <w:pPr>
        <w:spacing w:line="360" w:lineRule="auto"/>
        <w:jc w:val="both"/>
        <w:rPr>
          <w:rFonts w:ascii="Palatino Linotype" w:eastAsia="MS Gothic" w:hAnsi="Palatino Linotype"/>
          <w:lang w:val="es-MX" w:eastAsia="en-US"/>
        </w:rPr>
      </w:pPr>
      <w:bookmarkStart w:id="53" w:name="_Toc528153793"/>
      <w:bookmarkStart w:id="54" w:name="_Toc514231051"/>
      <w:bookmarkStart w:id="55" w:name="_Toc512329343"/>
      <w:bookmarkStart w:id="56" w:name="_Toc503290282"/>
      <w:bookmarkStart w:id="57" w:name="_Toc500264545"/>
      <w:bookmarkStart w:id="58" w:name="_Toc500245736"/>
      <w:bookmarkStart w:id="59" w:name="_Toc499757019"/>
      <w:bookmarkStart w:id="60" w:name="_Toc499756976"/>
      <w:bookmarkStart w:id="61" w:name="_Toc496100164"/>
      <w:bookmarkStart w:id="62" w:name="_Toc496099787"/>
      <w:bookmarkStart w:id="63" w:name="_Toc462228127"/>
      <w:bookmarkStart w:id="64" w:name="_Toc462228047"/>
      <w:bookmarkStart w:id="65" w:name="_Toc461648680"/>
      <w:bookmarkStart w:id="66" w:name="_Toc461648588"/>
      <w:r w:rsidRPr="0010425E">
        <w:rPr>
          <w:rFonts w:ascii="Palatino Linotype" w:eastAsia="MS Gothic" w:hAnsi="Palatino Linotype"/>
          <w:b/>
          <w:lang w:val="es-MX" w:eastAsia="en-US"/>
        </w:rPr>
        <w:t xml:space="preserve">PRIMERO. </w:t>
      </w:r>
      <w:r w:rsidRPr="0010425E">
        <w:rPr>
          <w:rFonts w:ascii="Palatino Linotype" w:eastAsia="MS Gothic" w:hAnsi="Palatino Linotype"/>
          <w:lang w:val="es-MX" w:eastAsia="en-US"/>
        </w:rPr>
        <w:t>Se</w:t>
      </w:r>
      <w:r w:rsidRPr="0010425E">
        <w:rPr>
          <w:rFonts w:ascii="Palatino Linotype" w:eastAsia="MS Gothic" w:hAnsi="Palatino Linotype"/>
          <w:b/>
          <w:lang w:val="es-MX" w:eastAsia="en-US"/>
        </w:rPr>
        <w:t xml:space="preserve"> SOBRESEE </w:t>
      </w:r>
      <w:r w:rsidRPr="0010425E">
        <w:rPr>
          <w:rFonts w:ascii="Palatino Linotype" w:eastAsia="MS Gothic" w:hAnsi="Palatino Linotype"/>
          <w:lang w:val="es-MX" w:eastAsia="en-US"/>
        </w:rPr>
        <w:t xml:space="preserve">el recurso de revisión número </w:t>
      </w:r>
      <w:r w:rsidR="00153AB3" w:rsidRPr="0010425E">
        <w:rPr>
          <w:rFonts w:ascii="Palatino Linotype" w:eastAsia="MS Gothic" w:hAnsi="Palatino Linotype"/>
          <w:b/>
          <w:bCs/>
          <w:lang w:eastAsia="en-US"/>
        </w:rPr>
        <w:t>10378/INFOEM/IP/RR/2022</w:t>
      </w:r>
      <w:r w:rsidR="00153AB3" w:rsidRPr="0010425E">
        <w:rPr>
          <w:rFonts w:ascii="Palatino Linotype" w:eastAsia="MS Gothic" w:hAnsi="Palatino Linotype"/>
          <w:lang w:val="es-MX" w:eastAsia="en-US"/>
        </w:rPr>
        <w:t xml:space="preserve"> </w:t>
      </w:r>
      <w:r w:rsidRPr="0010425E">
        <w:rPr>
          <w:rFonts w:ascii="Palatino Linotype" w:eastAsia="MS Gothic" w:hAnsi="Palatino Linotype"/>
          <w:lang w:val="es-MX" w:eastAsia="en-US"/>
        </w:rPr>
        <w:t>conforme al artículo 192 fracción III</w:t>
      </w:r>
      <w:r w:rsidR="002D4B5F" w:rsidRPr="0010425E">
        <w:rPr>
          <w:rFonts w:ascii="Palatino Linotype" w:hAnsi="Palatino Linotype" w:cs="Arial"/>
          <w:color w:val="000000" w:themeColor="text1"/>
        </w:rPr>
        <w:t xml:space="preserve"> </w:t>
      </w:r>
      <w:r w:rsidR="002D4B5F" w:rsidRPr="0010425E">
        <w:rPr>
          <w:rFonts w:ascii="Palatino Linotype" w:eastAsia="Batang" w:hAnsi="Palatino Linotype" w:cs="Arial"/>
          <w:color w:val="000000" w:themeColor="text1"/>
        </w:rPr>
        <w:t>de la Ley de Transparencia y Acceso a la Información Pública del Estado de México y Municipios</w:t>
      </w:r>
      <w:r w:rsidRPr="0010425E">
        <w:rPr>
          <w:rFonts w:ascii="Palatino Linotype" w:eastAsia="MS Gothic" w:hAnsi="Palatino Linotype"/>
          <w:lang w:val="es-MX" w:eastAsia="en-US"/>
        </w:rPr>
        <w:t xml:space="preserve">, en razón de que, al </w:t>
      </w:r>
      <w:r w:rsidRPr="0010425E">
        <w:rPr>
          <w:rFonts w:ascii="Palatino Linotype" w:eastAsia="MS Gothic" w:hAnsi="Palatino Linotype"/>
          <w:b/>
          <w:lang w:val="es-MX" w:eastAsia="en-US"/>
        </w:rPr>
        <w:t>MODIFICAR</w:t>
      </w:r>
      <w:r w:rsidRPr="0010425E">
        <w:rPr>
          <w:rFonts w:ascii="Palatino Linotype" w:eastAsia="MS Gothic" w:hAnsi="Palatino Linotype"/>
          <w:lang w:val="es-MX" w:eastAsia="en-US"/>
        </w:rPr>
        <w:t xml:space="preserve"> la respuesta inicial, el recurso de revisión quedó sin materia en términos del Considerando </w:t>
      </w:r>
      <w:r w:rsidR="00C02E60" w:rsidRPr="0010425E">
        <w:rPr>
          <w:rFonts w:ascii="Palatino Linotype" w:eastAsia="MS Gothic" w:hAnsi="Palatino Linotype"/>
          <w:b/>
          <w:lang w:val="es-MX" w:eastAsia="en-US"/>
        </w:rPr>
        <w:t>TERCERO</w:t>
      </w:r>
      <w:r w:rsidRPr="0010425E">
        <w:rPr>
          <w:rFonts w:ascii="Palatino Linotype" w:eastAsia="MS Gothic" w:hAnsi="Palatino Linotype"/>
          <w:lang w:val="es-MX" w:eastAsia="en-US"/>
        </w:rPr>
        <w:t xml:space="preserve"> de la presente resolución.    </w:t>
      </w:r>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7B024388" w14:textId="77777777" w:rsidR="00C20E77" w:rsidRPr="0010425E" w:rsidRDefault="00C20E77" w:rsidP="00C20E77">
      <w:pPr>
        <w:spacing w:line="360" w:lineRule="auto"/>
        <w:jc w:val="both"/>
        <w:rPr>
          <w:rFonts w:ascii="Palatino Linotype" w:eastAsia="MS Mincho" w:hAnsi="Palatino Linotype"/>
          <w:lang w:val="es-ES_tradnl"/>
        </w:rPr>
      </w:pPr>
    </w:p>
    <w:p w14:paraId="20E5A26F" w14:textId="77777777" w:rsidR="00C20E77" w:rsidRPr="0010425E" w:rsidRDefault="00C20E77" w:rsidP="00C20E77">
      <w:pPr>
        <w:spacing w:line="360" w:lineRule="auto"/>
        <w:jc w:val="both"/>
        <w:rPr>
          <w:rFonts w:ascii="Palatino Linotype" w:eastAsia="Calibri" w:hAnsi="Palatino Linotype" w:cs="Arial"/>
          <w:b/>
          <w:bCs/>
        </w:rPr>
      </w:pPr>
      <w:r w:rsidRPr="0010425E">
        <w:rPr>
          <w:rFonts w:ascii="Palatino Linotype" w:eastAsia="Calibri" w:hAnsi="Palatino Linotype" w:cs="Arial"/>
          <w:b/>
          <w:bCs/>
        </w:rPr>
        <w:t xml:space="preserve">SEGUNDO. Notifíquese </w:t>
      </w:r>
      <w:r w:rsidRPr="0010425E">
        <w:rPr>
          <w:rFonts w:ascii="Palatino Linotype" w:eastAsia="Calibri" w:hAnsi="Palatino Linotype" w:cs="Arial"/>
          <w:bCs/>
        </w:rPr>
        <w:t xml:space="preserve">a través del Sistema de Acceso a la Información Mexiquense </w:t>
      </w:r>
      <w:r w:rsidRPr="0010425E">
        <w:rPr>
          <w:rFonts w:ascii="Palatino Linotype" w:eastAsia="Calibri" w:hAnsi="Palatino Linotype" w:cs="Arial"/>
          <w:b/>
          <w:bCs/>
        </w:rPr>
        <w:t xml:space="preserve">(SAIMEX) </w:t>
      </w:r>
      <w:r w:rsidRPr="0010425E">
        <w:rPr>
          <w:rFonts w:ascii="Palatino Linotype" w:eastAsia="Calibri" w:hAnsi="Palatino Linotype" w:cs="Arial"/>
          <w:bCs/>
        </w:rPr>
        <w:t>la presente resolución a la Titular de la Unidad de Transparencia del</w:t>
      </w:r>
      <w:r w:rsidRPr="0010425E">
        <w:rPr>
          <w:rFonts w:ascii="Palatino Linotype" w:eastAsia="Calibri" w:hAnsi="Palatino Linotype" w:cs="Arial"/>
          <w:b/>
          <w:bCs/>
        </w:rPr>
        <w:t xml:space="preserve"> SUJETO OBLIGADO. </w:t>
      </w:r>
    </w:p>
    <w:p w14:paraId="249530B3" w14:textId="77777777" w:rsidR="00C20E77" w:rsidRPr="0010425E" w:rsidRDefault="00C20E77" w:rsidP="00C20E77">
      <w:pPr>
        <w:spacing w:line="360" w:lineRule="auto"/>
        <w:jc w:val="both"/>
        <w:rPr>
          <w:rFonts w:ascii="Palatino Linotype" w:eastAsia="Calibri" w:hAnsi="Palatino Linotype" w:cs="Arial"/>
          <w:b/>
          <w:bCs/>
        </w:rPr>
      </w:pPr>
    </w:p>
    <w:p w14:paraId="0A7A1B99" w14:textId="77777777" w:rsidR="00C20E77" w:rsidRPr="0010425E" w:rsidRDefault="00C20E77" w:rsidP="00C20E77">
      <w:pPr>
        <w:spacing w:line="360" w:lineRule="auto"/>
        <w:jc w:val="both"/>
        <w:rPr>
          <w:rFonts w:ascii="Palatino Linotype" w:hAnsi="Palatino Linotype"/>
          <w:color w:val="222222"/>
          <w:lang w:eastAsia="es-MX"/>
        </w:rPr>
      </w:pPr>
      <w:r w:rsidRPr="0010425E">
        <w:rPr>
          <w:rFonts w:ascii="Palatino Linotype" w:hAnsi="Palatino Linotype" w:cs="Arial"/>
          <w:b/>
          <w:lang w:val="es-ES_tradnl"/>
        </w:rPr>
        <w:t xml:space="preserve">TERCERO. </w:t>
      </w:r>
      <w:r w:rsidRPr="0010425E">
        <w:rPr>
          <w:rFonts w:ascii="Palatino Linotype" w:hAnsi="Palatino Linotype"/>
          <w:b/>
          <w:bCs/>
          <w:color w:val="222222"/>
        </w:rPr>
        <w:t xml:space="preserve">Notifíquese </w:t>
      </w:r>
      <w:r w:rsidRPr="0010425E">
        <w:rPr>
          <w:rFonts w:ascii="Palatino Linotype" w:hAnsi="Palatino Linotype"/>
          <w:bCs/>
          <w:color w:val="222222"/>
        </w:rPr>
        <w:t xml:space="preserve">al </w:t>
      </w:r>
      <w:r w:rsidRPr="0010425E">
        <w:rPr>
          <w:rFonts w:ascii="Palatino Linotype" w:eastAsia="MS Mincho" w:hAnsi="Palatino Linotype"/>
          <w:b/>
          <w:lang w:val="es-ES_tradnl"/>
        </w:rPr>
        <w:t xml:space="preserve">RECURRENTE </w:t>
      </w:r>
      <w:r w:rsidRPr="0010425E">
        <w:rPr>
          <w:rFonts w:ascii="Palatino Linotype" w:eastAsia="Calibri" w:hAnsi="Palatino Linotype" w:cs="Arial"/>
          <w:bCs/>
        </w:rPr>
        <w:t xml:space="preserve">a través del Sistema de Acceso a la Información Mexiquense </w:t>
      </w:r>
      <w:r w:rsidRPr="0010425E">
        <w:rPr>
          <w:rFonts w:ascii="Palatino Linotype" w:eastAsia="Calibri" w:hAnsi="Palatino Linotype" w:cs="Arial"/>
          <w:b/>
          <w:bCs/>
        </w:rPr>
        <w:t xml:space="preserve">(SAIMEX) </w:t>
      </w:r>
      <w:r w:rsidRPr="0010425E">
        <w:rPr>
          <w:rFonts w:ascii="Palatino Linotype" w:hAnsi="Palatino Linotype"/>
          <w:color w:val="222222"/>
          <w:lang w:eastAsia="es-MX"/>
        </w:rPr>
        <w:t>la presente resolución.</w:t>
      </w:r>
    </w:p>
    <w:p w14:paraId="09816486" w14:textId="77777777" w:rsidR="00C20E77" w:rsidRPr="0010425E" w:rsidRDefault="00C20E77" w:rsidP="00C20E77">
      <w:pPr>
        <w:spacing w:line="360" w:lineRule="auto"/>
        <w:jc w:val="both"/>
        <w:rPr>
          <w:rFonts w:ascii="Palatino Linotype" w:hAnsi="Palatino Linotype"/>
          <w:color w:val="222222"/>
          <w:lang w:eastAsia="es-MX"/>
        </w:rPr>
      </w:pPr>
    </w:p>
    <w:p w14:paraId="43FA150A" w14:textId="77777777" w:rsidR="00C20E77" w:rsidRPr="0010425E" w:rsidRDefault="00C20E77" w:rsidP="00C20E77">
      <w:pPr>
        <w:spacing w:line="360" w:lineRule="auto"/>
        <w:jc w:val="both"/>
        <w:rPr>
          <w:rFonts w:ascii="Palatino Linotype" w:eastAsia="MS Mincho" w:hAnsi="Palatino Linotype"/>
        </w:rPr>
      </w:pPr>
      <w:r w:rsidRPr="0010425E">
        <w:rPr>
          <w:rFonts w:ascii="Palatino Linotype" w:eastAsia="MS Mincho" w:hAnsi="Palatino Linotype"/>
          <w:b/>
          <w:lang w:val="es-MX"/>
        </w:rPr>
        <w:t>CUARTO.</w:t>
      </w:r>
      <w:r w:rsidRPr="0010425E">
        <w:rPr>
          <w:rFonts w:ascii="Palatino Linotype" w:eastAsia="MS Mincho" w:hAnsi="Palatino Linotype"/>
          <w:lang w:val="es-MX"/>
        </w:rPr>
        <w:t xml:space="preserve"> </w:t>
      </w:r>
      <w:r w:rsidRPr="0010425E">
        <w:rPr>
          <w:rFonts w:ascii="Palatino Linotype" w:eastAsia="MS Mincho" w:hAnsi="Palatino Linotype"/>
        </w:rPr>
        <w:t xml:space="preserve">Se hace del conocimiento del </w:t>
      </w:r>
      <w:r w:rsidRPr="0010425E">
        <w:rPr>
          <w:rFonts w:ascii="Palatino Linotype" w:eastAsia="MS Mincho" w:hAnsi="Palatino Linotype"/>
          <w:b/>
          <w:lang w:val="es-ES_tradnl"/>
        </w:rPr>
        <w:t xml:space="preserve">RECURRENTE </w:t>
      </w:r>
      <w:r w:rsidRPr="0010425E">
        <w:rPr>
          <w:rFonts w:ascii="Palatino Linotype" w:eastAsia="MS Mincho" w:hAnsi="Palatino Linotype"/>
        </w:rPr>
        <w:t xml:space="preserve">que, de conformidad con lo establecido en el artículo 196 de la Ley de Transparencia y Acceso a la Información </w:t>
      </w:r>
      <w:r w:rsidRPr="0010425E">
        <w:rPr>
          <w:rFonts w:ascii="Palatino Linotype" w:eastAsia="MS Mincho" w:hAnsi="Palatino Linotype"/>
        </w:rPr>
        <w:lastRenderedPageBreak/>
        <w:t xml:space="preserve">Pública del Estado de México y Municipios, en caso de que considere que la resolución le cause algún perjuicio podrá impugnarla </w:t>
      </w:r>
      <w:r w:rsidRPr="0010425E">
        <w:rPr>
          <w:rFonts w:ascii="Palatino Linotype" w:eastAsia="MS Mincho" w:hAnsi="Palatino Linotype"/>
          <w:bCs/>
        </w:rPr>
        <w:t xml:space="preserve">vía juicio de amparo </w:t>
      </w:r>
      <w:r w:rsidRPr="0010425E">
        <w:rPr>
          <w:rFonts w:ascii="Palatino Linotype" w:eastAsia="MS Mincho" w:hAnsi="Palatino Linotype"/>
        </w:rPr>
        <w:t>en los términos de las leyes aplicables.</w:t>
      </w:r>
    </w:p>
    <w:p w14:paraId="6C05E87D" w14:textId="77777777" w:rsidR="00C20E77" w:rsidRPr="0010425E" w:rsidRDefault="00C20E77" w:rsidP="00C20E77">
      <w:pPr>
        <w:spacing w:line="360" w:lineRule="auto"/>
        <w:jc w:val="both"/>
        <w:rPr>
          <w:rFonts w:ascii="Palatino Linotype" w:eastAsia="MS Mincho" w:hAnsi="Palatino Linotype"/>
        </w:rPr>
      </w:pPr>
    </w:p>
    <w:p w14:paraId="12F4D761" w14:textId="77777777" w:rsidR="00B72C97" w:rsidRDefault="00B72C97" w:rsidP="00B72C97">
      <w:pPr>
        <w:spacing w:before="240" w:after="240" w:line="360" w:lineRule="auto"/>
        <w:jc w:val="both"/>
        <w:rPr>
          <w:rFonts w:ascii="Palatino Linotype" w:hAnsi="Palatino Linotype"/>
        </w:rPr>
      </w:pPr>
      <w:r w:rsidRPr="0010425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CINCO (05) DE OCTUBRE DE DOS MIL VEINTIDÓS, ANTE EL SECRETARIO TÉCNICO DEL PLENO ALEXIS TAPIA RAMÍREZ.</w:t>
      </w:r>
      <w:bookmarkStart w:id="67" w:name="_GoBack"/>
      <w:bookmarkEnd w:id="67"/>
      <w:r w:rsidRPr="00624AAD">
        <w:rPr>
          <w:rFonts w:ascii="Palatino Linotype" w:hAnsi="Palatino Linotype"/>
        </w:rPr>
        <w:t xml:space="preserve"> </w:t>
      </w:r>
    </w:p>
    <w:p w14:paraId="6BB54544" w14:textId="77777777" w:rsidR="00C20E77" w:rsidRPr="00C20E77" w:rsidRDefault="00C20E77" w:rsidP="00C20E77">
      <w:pPr>
        <w:spacing w:line="360" w:lineRule="auto"/>
        <w:rPr>
          <w:rFonts w:ascii="Palatino Linotype" w:hAnsi="Palatino Linotype"/>
        </w:rPr>
      </w:pPr>
    </w:p>
    <w:p w14:paraId="242F370B" w14:textId="77777777" w:rsidR="00C20E77" w:rsidRPr="00C20E77" w:rsidRDefault="00C20E77" w:rsidP="00C20E77">
      <w:pPr>
        <w:spacing w:before="240" w:after="360" w:line="360" w:lineRule="auto"/>
        <w:contextualSpacing/>
        <w:jc w:val="both"/>
        <w:rPr>
          <w:rFonts w:ascii="Palatino Linotype" w:eastAsia="MS Mincho" w:hAnsi="Palatino Linotype" w:cs="Arial"/>
          <w:i/>
          <w:lang w:val="es-MX"/>
        </w:rPr>
      </w:pPr>
    </w:p>
    <w:bookmarkEnd w:id="45"/>
    <w:bookmarkEnd w:id="46"/>
    <w:bookmarkEnd w:id="47"/>
    <w:bookmarkEnd w:id="48"/>
    <w:p w14:paraId="425F65DB" w14:textId="77777777" w:rsidR="00C20E77" w:rsidRPr="00C20E77" w:rsidRDefault="00C20E77" w:rsidP="00C20E77">
      <w:pPr>
        <w:spacing w:line="360" w:lineRule="auto"/>
        <w:rPr>
          <w:rFonts w:ascii="Palatino Linotype" w:hAnsi="Palatino Linotype"/>
        </w:rPr>
      </w:pPr>
    </w:p>
    <w:bookmarkEnd w:id="40"/>
    <w:bookmarkEnd w:id="41"/>
    <w:bookmarkEnd w:id="42"/>
    <w:bookmarkEnd w:id="43"/>
    <w:bookmarkEnd w:id="44"/>
    <w:p w14:paraId="53B9993A" w14:textId="77777777" w:rsidR="00C20E77" w:rsidRPr="00C20E77" w:rsidRDefault="00C20E77" w:rsidP="00C20E77"/>
    <w:sectPr w:rsidR="00C20E77" w:rsidRPr="00C20E77" w:rsidSect="00130703">
      <w:headerReference w:type="default" r:id="rId13"/>
      <w:footerReference w:type="default" r:id="rId14"/>
      <w:headerReference w:type="first" r:id="rId15"/>
      <w:footerReference w:type="first" r:id="rId16"/>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FDD0C" w14:textId="77777777" w:rsidR="001F1BB9" w:rsidRDefault="001F1BB9" w:rsidP="00C80F8C">
      <w:r>
        <w:separator/>
      </w:r>
    </w:p>
  </w:endnote>
  <w:endnote w:type="continuationSeparator" w:id="0">
    <w:p w14:paraId="136C0D07" w14:textId="77777777" w:rsidR="001F1BB9" w:rsidRDefault="001F1BB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F7763DF" w:rsidR="00397F6B" w:rsidRPr="00817AAB" w:rsidRDefault="00397F6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10425E">
      <w:rPr>
        <w:rFonts w:ascii="Palatino Linotype" w:hAnsi="Palatino Linotype" w:cs="Arial"/>
        <w:b/>
        <w:bCs/>
        <w:noProof/>
      </w:rPr>
      <w:t>28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10425E">
      <w:rPr>
        <w:rFonts w:ascii="Palatino Linotype" w:hAnsi="Palatino Linotype" w:cs="Arial"/>
        <w:b/>
        <w:bCs/>
        <w:noProof/>
      </w:rPr>
      <w:t>28</w:t>
    </w:r>
    <w:r w:rsidRPr="00817AAB">
      <w:rPr>
        <w:rFonts w:ascii="Palatino Linotype" w:hAnsi="Palatino Linotype" w:cs="Arial"/>
        <w:b/>
        <w:bCs/>
      </w:rPr>
      <w:fldChar w:fldCharType="end"/>
    </w:r>
  </w:p>
  <w:p w14:paraId="1192A578" w14:textId="77777777" w:rsidR="00397F6B" w:rsidRDefault="00397F6B" w:rsidP="00935A0D">
    <w:pPr>
      <w:pStyle w:val="Piedepgina"/>
      <w:rPr>
        <w:rFonts w:ascii="Times New Roman" w:hAnsi="Times New Roman" w:cs="Times New Roman"/>
      </w:rPr>
    </w:pPr>
  </w:p>
  <w:p w14:paraId="14A770F8" w14:textId="77777777" w:rsidR="00397F6B" w:rsidRDefault="00397F6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E77C825" w:rsidR="00397F6B" w:rsidRDefault="00397F6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0425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0425E">
      <w:rPr>
        <w:rFonts w:ascii="Arial" w:hAnsi="Arial" w:cs="Arial"/>
        <w:b/>
        <w:bCs/>
        <w:noProof/>
        <w:sz w:val="20"/>
        <w:szCs w:val="20"/>
      </w:rPr>
      <w:t>28</w:t>
    </w:r>
    <w:r>
      <w:rPr>
        <w:rFonts w:ascii="Arial" w:hAnsi="Arial" w:cs="Arial"/>
        <w:b/>
        <w:bCs/>
        <w:sz w:val="20"/>
        <w:szCs w:val="20"/>
      </w:rPr>
      <w:fldChar w:fldCharType="end"/>
    </w:r>
  </w:p>
  <w:p w14:paraId="5D98ABD5" w14:textId="77777777" w:rsidR="00397F6B" w:rsidRDefault="00397F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CCF72" w14:textId="77777777" w:rsidR="001F1BB9" w:rsidRDefault="001F1BB9" w:rsidP="00C80F8C">
      <w:r>
        <w:separator/>
      </w:r>
    </w:p>
  </w:footnote>
  <w:footnote w:type="continuationSeparator" w:id="0">
    <w:p w14:paraId="7BD80A72" w14:textId="77777777" w:rsidR="001F1BB9" w:rsidRDefault="001F1BB9" w:rsidP="00C80F8C">
      <w:r>
        <w:continuationSeparator/>
      </w:r>
    </w:p>
  </w:footnote>
  <w:footnote w:id="1">
    <w:p w14:paraId="60D359A0" w14:textId="77777777" w:rsidR="00C20E77" w:rsidRDefault="00C20E77" w:rsidP="00C20E77">
      <w:pPr>
        <w:pStyle w:val="Textonotapie"/>
        <w:rPr>
          <w:lang w:val="es-ES"/>
        </w:rPr>
      </w:pPr>
      <w:r>
        <w:rPr>
          <w:rStyle w:val="Refdenotaalpie"/>
        </w:rPr>
        <w:footnoteRef/>
      </w:r>
      <w:r>
        <w:t xml:space="preserve"> </w:t>
      </w:r>
      <w:r w:rsidRPr="006B2677">
        <w:rPr>
          <w:lang w:val="es-ES"/>
        </w:rPr>
        <w:t>Artículo 192. El recurso será sobreseído, en todo o en parte, cuando una vez admitido, se actualicen</w:t>
      </w:r>
      <w:r>
        <w:rPr>
          <w:lang w:val="es-ES"/>
        </w:rPr>
        <w:t xml:space="preserve"> </w:t>
      </w:r>
      <w:r w:rsidRPr="006B2677">
        <w:rPr>
          <w:lang w:val="es-ES"/>
        </w:rPr>
        <w:t>alguno de los siguientes supuestos:</w:t>
      </w:r>
    </w:p>
    <w:p w14:paraId="27222B83" w14:textId="77777777" w:rsidR="00C20E77" w:rsidRDefault="00C20E77" w:rsidP="00C20E77">
      <w:pPr>
        <w:pStyle w:val="Textonotapie"/>
        <w:rPr>
          <w:lang w:val="es-ES"/>
        </w:rPr>
      </w:pPr>
      <w:r>
        <w:rPr>
          <w:lang w:val="es-ES"/>
        </w:rPr>
        <w:t>(…)</w:t>
      </w:r>
    </w:p>
    <w:p w14:paraId="64EC1901" w14:textId="77777777" w:rsidR="00C20E77" w:rsidRDefault="00C20E77" w:rsidP="00C20E77">
      <w:pPr>
        <w:pStyle w:val="Textonotapie"/>
        <w:rPr>
          <w:lang w:val="es-ES"/>
        </w:rPr>
      </w:pPr>
      <w:r w:rsidRPr="006B2677">
        <w:rPr>
          <w:lang w:val="es-ES"/>
        </w:rPr>
        <w:t>III. El sujeto obligado responsable del acto lo modifique o revoque de tal manera que el recurso de revisión quede sin materia;</w:t>
      </w:r>
    </w:p>
    <w:p w14:paraId="50882217" w14:textId="77777777" w:rsidR="00C20E77" w:rsidRDefault="00C20E77" w:rsidP="00C20E77">
      <w:pPr>
        <w:pStyle w:val="Textonotapie"/>
      </w:pPr>
      <w:r>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397F6B" w14:paraId="6B4E3B81" w14:textId="77777777" w:rsidTr="00B4299A">
      <w:tc>
        <w:tcPr>
          <w:tcW w:w="2701" w:type="dxa"/>
          <w:vAlign w:val="center"/>
          <w:hideMark/>
        </w:tcPr>
        <w:p w14:paraId="0ABBC6C0" w14:textId="1226DAAF" w:rsidR="00397F6B" w:rsidRPr="00B4299A" w:rsidRDefault="00397F6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81F1B2D" w:rsidR="00397F6B" w:rsidRPr="00B4299A" w:rsidRDefault="00D10950" w:rsidP="006E011A">
          <w:pPr>
            <w:rPr>
              <w:rFonts w:ascii="Palatino Linotype" w:hAnsi="Palatino Linotype"/>
              <w:b/>
              <w:szCs w:val="22"/>
              <w:lang w:val="es-ES_tradnl"/>
            </w:rPr>
          </w:pPr>
          <w:r w:rsidRPr="00D10950">
            <w:rPr>
              <w:rFonts w:ascii="Palatino Linotype" w:hAnsi="Palatino Linotype"/>
              <w:b/>
              <w:szCs w:val="22"/>
            </w:rPr>
            <w:t>10378/INFOEM/IP/RR/2022</w:t>
          </w:r>
        </w:p>
      </w:tc>
    </w:tr>
    <w:tr w:rsidR="00397F6B" w14:paraId="31CB780F" w14:textId="77777777" w:rsidTr="00B4299A">
      <w:trPr>
        <w:trHeight w:val="228"/>
      </w:trPr>
      <w:tc>
        <w:tcPr>
          <w:tcW w:w="2701" w:type="dxa"/>
          <w:vAlign w:val="center"/>
          <w:hideMark/>
        </w:tcPr>
        <w:p w14:paraId="4F49CB4A" w14:textId="6966D32E" w:rsidR="00397F6B" w:rsidRPr="00B4299A" w:rsidRDefault="00397F6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A89014F" w:rsidR="00397F6B" w:rsidRPr="00B4299A" w:rsidRDefault="00D10950" w:rsidP="00EA0165">
          <w:pPr>
            <w:jc w:val="both"/>
            <w:rPr>
              <w:rFonts w:ascii="Palatino Linotype" w:hAnsi="Palatino Linotype"/>
              <w:b/>
              <w:szCs w:val="22"/>
              <w:lang w:val="es-ES_tradnl"/>
            </w:rPr>
          </w:pPr>
          <w:r w:rsidRPr="00D10950">
            <w:rPr>
              <w:rFonts w:ascii="Palatino Linotype" w:hAnsi="Palatino Linotype"/>
              <w:b/>
              <w:bCs/>
              <w:szCs w:val="22"/>
            </w:rPr>
            <w:t>Ayuntamiento de Ecatepec de Morelos</w:t>
          </w:r>
          <w:r w:rsidR="00F971FA">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tc>
    </w:tr>
    <w:tr w:rsidR="00397F6B" w14:paraId="69050F56" w14:textId="77777777" w:rsidTr="00B4299A">
      <w:tc>
        <w:tcPr>
          <w:tcW w:w="2701" w:type="dxa"/>
          <w:vAlign w:val="center"/>
          <w:hideMark/>
        </w:tcPr>
        <w:p w14:paraId="65C9B735" w14:textId="75C78F81" w:rsidR="00397F6B" w:rsidRPr="00B4299A" w:rsidRDefault="00397F6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397F6B" w:rsidRPr="00B4299A" w:rsidRDefault="00397F6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397F6B" w:rsidRDefault="00397F6B" w:rsidP="006F30F8">
    <w:pPr>
      <w:pStyle w:val="Encabezado"/>
      <w:tabs>
        <w:tab w:val="clear" w:pos="4252"/>
        <w:tab w:val="clear" w:pos="8504"/>
        <w:tab w:val="left" w:pos="2326"/>
      </w:tabs>
    </w:pPr>
    <w:r>
      <w:tab/>
    </w:r>
  </w:p>
  <w:p w14:paraId="23403E59" w14:textId="77777777" w:rsidR="00397F6B" w:rsidRDefault="00397F6B"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397F6B" w:rsidRDefault="00397F6B"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97F6B" w14:paraId="477E149B" w14:textId="77777777" w:rsidTr="00CB57FD">
      <w:trPr>
        <w:trHeight w:val="277"/>
      </w:trPr>
      <w:tc>
        <w:tcPr>
          <w:tcW w:w="2693" w:type="dxa"/>
          <w:vAlign w:val="center"/>
          <w:hideMark/>
        </w:tcPr>
        <w:p w14:paraId="5C0586E4" w14:textId="77777777" w:rsidR="00397F6B" w:rsidRPr="009B3353" w:rsidRDefault="00397F6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1FBF31F" w:rsidR="00397F6B" w:rsidRPr="009B3353" w:rsidRDefault="00433114" w:rsidP="00B86D2D">
          <w:pPr>
            <w:rPr>
              <w:rFonts w:ascii="Palatino Linotype" w:hAnsi="Palatino Linotype"/>
              <w:b/>
              <w:szCs w:val="22"/>
              <w:lang w:val="es-ES_tradnl"/>
            </w:rPr>
          </w:pPr>
          <w:r w:rsidRPr="00433114">
            <w:rPr>
              <w:rFonts w:ascii="Palatino Linotype" w:hAnsi="Palatino Linotype"/>
              <w:b/>
              <w:szCs w:val="22"/>
              <w:lang w:val="es-ES_tradnl"/>
            </w:rPr>
            <w:t>10378/INFOEM/IP/RR/2022</w:t>
          </w:r>
        </w:p>
      </w:tc>
    </w:tr>
    <w:tr w:rsidR="00397F6B" w14:paraId="5B5BE21C" w14:textId="77777777" w:rsidTr="00CB57FD">
      <w:tc>
        <w:tcPr>
          <w:tcW w:w="2693" w:type="dxa"/>
          <w:vAlign w:val="center"/>
          <w:hideMark/>
        </w:tcPr>
        <w:p w14:paraId="4AE96902" w14:textId="4E063913" w:rsidR="00397F6B" w:rsidRPr="009B3353" w:rsidRDefault="00397F6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16541EB" w:rsidR="00397F6B" w:rsidRPr="009B3353" w:rsidRDefault="0010425E" w:rsidP="00AC6228">
          <w:pPr>
            <w:rPr>
              <w:rFonts w:ascii="Palatino Linotype" w:hAnsi="Palatino Linotype"/>
              <w:b/>
              <w:szCs w:val="22"/>
              <w:lang w:val="es-ES_tradnl"/>
            </w:rPr>
          </w:pPr>
          <w:r>
            <w:rPr>
              <w:rFonts w:ascii="Palatino Linotype" w:hAnsi="Palatino Linotype"/>
              <w:b/>
              <w:szCs w:val="22"/>
              <w:lang w:val="es-ES_tradnl"/>
            </w:rPr>
            <w:t>XXXX XXXX XXXX</w:t>
          </w:r>
        </w:p>
      </w:tc>
    </w:tr>
    <w:tr w:rsidR="00397F6B" w14:paraId="22601A11" w14:textId="77777777" w:rsidTr="00CB57FD">
      <w:trPr>
        <w:trHeight w:val="228"/>
      </w:trPr>
      <w:tc>
        <w:tcPr>
          <w:tcW w:w="2693" w:type="dxa"/>
          <w:vAlign w:val="center"/>
          <w:hideMark/>
        </w:tcPr>
        <w:p w14:paraId="6EFE221D" w14:textId="49C5F800" w:rsidR="00397F6B" w:rsidRPr="009B3353" w:rsidRDefault="00397F6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05B7A08" w:rsidR="00397F6B" w:rsidRPr="009B3353" w:rsidRDefault="00433114" w:rsidP="006E050D">
          <w:pPr>
            <w:jc w:val="both"/>
            <w:rPr>
              <w:rFonts w:ascii="Palatino Linotype" w:eastAsia="Calibri" w:hAnsi="Palatino Linotype"/>
              <w:b/>
              <w:szCs w:val="22"/>
              <w:lang w:val="es-MX" w:eastAsia="en-US"/>
            </w:rPr>
          </w:pPr>
          <w:r w:rsidRPr="00433114">
            <w:rPr>
              <w:rFonts w:ascii="Palatino Linotype" w:eastAsia="Calibri" w:hAnsi="Palatino Linotype"/>
              <w:b/>
              <w:szCs w:val="22"/>
              <w:lang w:val="es-MX" w:eastAsia="en-US"/>
            </w:rPr>
            <w:t>Ayuntamiento de Ecatepec de Morelos</w:t>
          </w:r>
        </w:p>
      </w:tc>
    </w:tr>
    <w:tr w:rsidR="00397F6B" w14:paraId="2D6C630E" w14:textId="77777777" w:rsidTr="00CB57FD">
      <w:tc>
        <w:tcPr>
          <w:tcW w:w="2693" w:type="dxa"/>
          <w:vAlign w:val="center"/>
          <w:hideMark/>
        </w:tcPr>
        <w:p w14:paraId="5BD4C6DB" w14:textId="7CF21504" w:rsidR="00397F6B" w:rsidRPr="009B3353" w:rsidRDefault="00397F6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97F6B" w:rsidRPr="009B3353" w:rsidRDefault="00397F6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97F6B" w:rsidRDefault="00397F6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57B5C56"/>
    <w:multiLevelType w:val="hybridMultilevel"/>
    <w:tmpl w:val="DEB424E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9011BF3"/>
    <w:multiLevelType w:val="hybridMultilevel"/>
    <w:tmpl w:val="092C27DC"/>
    <w:lvl w:ilvl="0" w:tplc="EED621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3">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2C5F89"/>
    <w:multiLevelType w:val="hybridMultilevel"/>
    <w:tmpl w:val="E8F82C2C"/>
    <w:lvl w:ilvl="0" w:tplc="30F46082">
      <w:start w:val="26"/>
      <w:numFmt w:val="bullet"/>
      <w:lvlText w:val="-"/>
      <w:lvlJc w:val="left"/>
      <w:pPr>
        <w:ind w:left="1069" w:hanging="360"/>
      </w:pPr>
      <w:rPr>
        <w:rFonts w:ascii="Palatino Linotype" w:eastAsia="Calibri" w:hAnsi="Palatino Linotype"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nsid w:val="6F112F62"/>
    <w:multiLevelType w:val="hybridMultilevel"/>
    <w:tmpl w:val="7722E99A"/>
    <w:lvl w:ilvl="0" w:tplc="B29EDD8A">
      <w:start w:val="1"/>
      <w:numFmt w:val="upperRoman"/>
      <w:lvlText w:val="%1."/>
      <w:lvlJc w:val="left"/>
      <w:pPr>
        <w:ind w:left="1080" w:hanging="72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6">
    <w:nsid w:val="7DC13741"/>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38"/>
  </w:num>
  <w:num w:numId="3">
    <w:abstractNumId w:val="5"/>
  </w:num>
  <w:num w:numId="4">
    <w:abstractNumId w:val="1"/>
  </w:num>
  <w:num w:numId="5">
    <w:abstractNumId w:val="13"/>
  </w:num>
  <w:num w:numId="6">
    <w:abstractNumId w:val="11"/>
  </w:num>
  <w:num w:numId="7">
    <w:abstractNumId w:val="10"/>
  </w:num>
  <w:num w:numId="8">
    <w:abstractNumId w:val="23"/>
  </w:num>
  <w:num w:numId="9">
    <w:abstractNumId w:val="26"/>
  </w:num>
  <w:num w:numId="10">
    <w:abstractNumId w:val="12"/>
  </w:num>
  <w:num w:numId="11">
    <w:abstractNumId w:val="35"/>
  </w:num>
  <w:num w:numId="12">
    <w:abstractNumId w:val="16"/>
  </w:num>
  <w:num w:numId="13">
    <w:abstractNumId w:val="37"/>
  </w:num>
  <w:num w:numId="14">
    <w:abstractNumId w:val="44"/>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4"/>
  </w:num>
  <w:num w:numId="18">
    <w:abstractNumId w:val="4"/>
  </w:num>
  <w:num w:numId="19">
    <w:abstractNumId w:val="20"/>
  </w:num>
  <w:num w:numId="20">
    <w:abstractNumId w:val="42"/>
  </w:num>
  <w:num w:numId="21">
    <w:abstractNumId w:val="7"/>
  </w:num>
  <w:num w:numId="22">
    <w:abstractNumId w:val="39"/>
  </w:num>
  <w:num w:numId="23">
    <w:abstractNumId w:val="36"/>
  </w:num>
  <w:num w:numId="24">
    <w:abstractNumId w:val="25"/>
  </w:num>
  <w:num w:numId="25">
    <w:abstractNumId w:val="28"/>
  </w:num>
  <w:num w:numId="26">
    <w:abstractNumId w:val="40"/>
  </w:num>
  <w:num w:numId="27">
    <w:abstractNumId w:val="30"/>
  </w:num>
  <w:num w:numId="28">
    <w:abstractNumId w:val="41"/>
  </w:num>
  <w:num w:numId="29">
    <w:abstractNumId w:val="24"/>
  </w:num>
  <w:num w:numId="30">
    <w:abstractNumId w:val="15"/>
  </w:num>
  <w:num w:numId="31">
    <w:abstractNumId w:val="0"/>
  </w:num>
  <w:num w:numId="32">
    <w:abstractNumId w:val="3"/>
  </w:num>
  <w:num w:numId="33">
    <w:abstractNumId w:val="2"/>
  </w:num>
  <w:num w:numId="34">
    <w:abstractNumId w:val="29"/>
  </w:num>
  <w:num w:numId="35">
    <w:abstractNumId w:val="31"/>
  </w:num>
  <w:num w:numId="36">
    <w:abstractNumId w:val="18"/>
  </w:num>
  <w:num w:numId="37">
    <w:abstractNumId w:val="43"/>
  </w:num>
  <w:num w:numId="38">
    <w:abstractNumId w:val="27"/>
  </w:num>
  <w:num w:numId="39">
    <w:abstractNumId w:val="8"/>
  </w:num>
  <w:num w:numId="40">
    <w:abstractNumId w:val="21"/>
  </w:num>
  <w:num w:numId="41">
    <w:abstractNumId w:val="47"/>
  </w:num>
  <w:num w:numId="42">
    <w:abstractNumId w:val="19"/>
  </w:num>
  <w:num w:numId="43">
    <w:abstractNumId w:val="46"/>
  </w:num>
  <w:num w:numId="44">
    <w:abstractNumId w:val="45"/>
  </w:num>
  <w:num w:numId="45">
    <w:abstractNumId w:val="14"/>
  </w:num>
  <w:num w:numId="46">
    <w:abstractNumId w:val="2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641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25E"/>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967"/>
    <w:rsid w:val="001445AB"/>
    <w:rsid w:val="0014506E"/>
    <w:rsid w:val="00147E1D"/>
    <w:rsid w:val="00150789"/>
    <w:rsid w:val="00150C0D"/>
    <w:rsid w:val="001516D4"/>
    <w:rsid w:val="00151A0D"/>
    <w:rsid w:val="00151D19"/>
    <w:rsid w:val="00151FF0"/>
    <w:rsid w:val="00152866"/>
    <w:rsid w:val="0015311F"/>
    <w:rsid w:val="001539B3"/>
    <w:rsid w:val="00153A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856"/>
    <w:rsid w:val="001D6A83"/>
    <w:rsid w:val="001E0ACB"/>
    <w:rsid w:val="001E0E98"/>
    <w:rsid w:val="001E1C02"/>
    <w:rsid w:val="001E39C4"/>
    <w:rsid w:val="001E3CA0"/>
    <w:rsid w:val="001E3D98"/>
    <w:rsid w:val="001E5309"/>
    <w:rsid w:val="001E54C9"/>
    <w:rsid w:val="001E64BE"/>
    <w:rsid w:val="001E766B"/>
    <w:rsid w:val="001F05C9"/>
    <w:rsid w:val="001F07FA"/>
    <w:rsid w:val="001F174A"/>
    <w:rsid w:val="001F1B46"/>
    <w:rsid w:val="001F1BB9"/>
    <w:rsid w:val="001F1F7D"/>
    <w:rsid w:val="001F20AB"/>
    <w:rsid w:val="001F2107"/>
    <w:rsid w:val="001F21C4"/>
    <w:rsid w:val="001F2CA8"/>
    <w:rsid w:val="001F41FB"/>
    <w:rsid w:val="001F465A"/>
    <w:rsid w:val="001F4E10"/>
    <w:rsid w:val="001F501F"/>
    <w:rsid w:val="001F6D50"/>
    <w:rsid w:val="0020054B"/>
    <w:rsid w:val="00201E21"/>
    <w:rsid w:val="00203E4E"/>
    <w:rsid w:val="00204C2A"/>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A7982"/>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B5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8F6"/>
    <w:rsid w:val="003339C3"/>
    <w:rsid w:val="00333C7C"/>
    <w:rsid w:val="003349F4"/>
    <w:rsid w:val="00335047"/>
    <w:rsid w:val="0033544E"/>
    <w:rsid w:val="00337048"/>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2E2B"/>
    <w:rsid w:val="00394E20"/>
    <w:rsid w:val="00397F6B"/>
    <w:rsid w:val="003A0C73"/>
    <w:rsid w:val="003A11DD"/>
    <w:rsid w:val="003A19EE"/>
    <w:rsid w:val="003A2B96"/>
    <w:rsid w:val="003A2E5E"/>
    <w:rsid w:val="003A3683"/>
    <w:rsid w:val="003A39AD"/>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6D6"/>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18A7"/>
    <w:rsid w:val="00422DF8"/>
    <w:rsid w:val="00422FA0"/>
    <w:rsid w:val="0042327C"/>
    <w:rsid w:val="004235DA"/>
    <w:rsid w:val="00423786"/>
    <w:rsid w:val="00423D1D"/>
    <w:rsid w:val="00423FC1"/>
    <w:rsid w:val="00424241"/>
    <w:rsid w:val="00425620"/>
    <w:rsid w:val="0042586A"/>
    <w:rsid w:val="00425AD4"/>
    <w:rsid w:val="004315B7"/>
    <w:rsid w:val="00431E02"/>
    <w:rsid w:val="00433114"/>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37FC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A8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5DDC"/>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7C7"/>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1D75"/>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0B2"/>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29A7"/>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625F"/>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52E1"/>
    <w:rsid w:val="00905508"/>
    <w:rsid w:val="0090585F"/>
    <w:rsid w:val="00905A0D"/>
    <w:rsid w:val="0090665D"/>
    <w:rsid w:val="00906AA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3FE5"/>
    <w:rsid w:val="00B5510F"/>
    <w:rsid w:val="00B55D8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2C97"/>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2D"/>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EE4"/>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4EA9"/>
    <w:rsid w:val="00CA666E"/>
    <w:rsid w:val="00CA66DF"/>
    <w:rsid w:val="00CA7476"/>
    <w:rsid w:val="00CA7C1E"/>
    <w:rsid w:val="00CA7FE3"/>
    <w:rsid w:val="00CB0565"/>
    <w:rsid w:val="00CB14AA"/>
    <w:rsid w:val="00CB1D5A"/>
    <w:rsid w:val="00CB2A57"/>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0950"/>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67DA2"/>
    <w:rsid w:val="00E70E38"/>
    <w:rsid w:val="00E70F66"/>
    <w:rsid w:val="00E71476"/>
    <w:rsid w:val="00E733A6"/>
    <w:rsid w:val="00E7373D"/>
    <w:rsid w:val="00E742B9"/>
    <w:rsid w:val="00E747D5"/>
    <w:rsid w:val="00E74EB3"/>
    <w:rsid w:val="00E75465"/>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571"/>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797407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91712.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aimex.org.mx/saimex/solicitud/downloadAttach/1492968.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222653.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30CB4-92E3-4E4B-9FE4-C1DCD46A8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5753</Words>
  <Characters>31646</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2021-10-21T22:39:00Z</cp:lastPrinted>
  <dcterms:created xsi:type="dcterms:W3CDTF">2022-09-28T23:49:00Z</dcterms:created>
  <dcterms:modified xsi:type="dcterms:W3CDTF">2022-10-19T19:23:00Z</dcterms:modified>
</cp:coreProperties>
</file>