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53BE41A0"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7D6D9F">
        <w:rPr>
          <w:rFonts w:ascii="Palatino Linotype" w:hAnsi="Palatino Linotype"/>
          <w:color w:val="000000" w:themeColor="text1"/>
        </w:rPr>
        <w:t>cuatro</w:t>
      </w:r>
      <w:r w:rsidR="00505F85">
        <w:rPr>
          <w:rFonts w:ascii="Palatino Linotype" w:hAnsi="Palatino Linotype"/>
          <w:color w:val="000000" w:themeColor="text1"/>
        </w:rPr>
        <w:t xml:space="preserve"> (0</w:t>
      </w:r>
      <w:r w:rsidR="007D6D9F">
        <w:rPr>
          <w:rFonts w:ascii="Palatino Linotype" w:hAnsi="Palatino Linotype"/>
          <w:color w:val="000000" w:themeColor="text1"/>
        </w:rPr>
        <w:t>4</w:t>
      </w:r>
      <w:r w:rsidR="00505F85">
        <w:rPr>
          <w:rFonts w:ascii="Palatino Linotype" w:hAnsi="Palatino Linotype"/>
          <w:color w:val="000000" w:themeColor="text1"/>
        </w:rPr>
        <w:t>) de febrero de dos mil veintidós</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1CB2BE28"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00772245">
        <w:rPr>
          <w:rFonts w:ascii="Palatino Linotype" w:hAnsi="Palatino Linotype"/>
          <w:b/>
          <w:color w:val="000000" w:themeColor="text1"/>
        </w:rPr>
        <w:t>S</w:t>
      </w:r>
      <w:r w:rsidRPr="00A85CB7">
        <w:rPr>
          <w:rFonts w:ascii="Palatino Linotype" w:hAnsi="Palatino Linotype"/>
          <w:color w:val="000000" w:themeColor="text1"/>
        </w:rPr>
        <w:t xml:space="preserve"> </w:t>
      </w:r>
      <w:r w:rsidR="00772245">
        <w:rPr>
          <w:rFonts w:ascii="Palatino Linotype" w:hAnsi="Palatino Linotype"/>
          <w:color w:val="000000" w:themeColor="text1"/>
        </w:rPr>
        <w:t>los</w:t>
      </w:r>
      <w:r w:rsidRPr="00A85CB7">
        <w:rPr>
          <w:rFonts w:ascii="Palatino Linotype" w:hAnsi="Palatino Linotype"/>
          <w:color w:val="000000" w:themeColor="text1"/>
        </w:rPr>
        <w:t xml:space="preserve"> expediente</w:t>
      </w:r>
      <w:r w:rsidR="00772245">
        <w:rPr>
          <w:rFonts w:ascii="Palatino Linotype" w:hAnsi="Palatino Linotype"/>
          <w:color w:val="000000" w:themeColor="text1"/>
        </w:rPr>
        <w:t>s</w:t>
      </w:r>
      <w:r w:rsidRPr="00A85CB7">
        <w:rPr>
          <w:rFonts w:ascii="Palatino Linotype" w:hAnsi="Palatino Linotype"/>
          <w:color w:val="000000" w:themeColor="text1"/>
        </w:rPr>
        <w:t xml:space="preserve"> electrónico</w:t>
      </w:r>
      <w:r w:rsidR="00772245">
        <w:rPr>
          <w:rFonts w:ascii="Palatino Linotype" w:hAnsi="Palatino Linotype"/>
          <w:color w:val="000000" w:themeColor="text1"/>
        </w:rPr>
        <w:t>s</w:t>
      </w:r>
      <w:r w:rsidRPr="00A85CB7">
        <w:rPr>
          <w:rFonts w:ascii="Palatino Linotype" w:hAnsi="Palatino Linotype"/>
          <w:color w:val="000000" w:themeColor="text1"/>
        </w:rPr>
        <w:t xml:space="preserve"> for</w:t>
      </w:r>
      <w:r w:rsidR="00D37494" w:rsidRPr="00A85CB7">
        <w:rPr>
          <w:rFonts w:ascii="Palatino Linotype" w:hAnsi="Palatino Linotype"/>
          <w:color w:val="000000" w:themeColor="text1"/>
        </w:rPr>
        <w:t>mado</w:t>
      </w:r>
      <w:r w:rsidR="00772245">
        <w:rPr>
          <w:rFonts w:ascii="Palatino Linotype" w:hAnsi="Palatino Linotype"/>
          <w:color w:val="000000" w:themeColor="text1"/>
        </w:rPr>
        <w:t>s</w:t>
      </w:r>
      <w:r w:rsidR="00D37494" w:rsidRPr="00A85CB7">
        <w:rPr>
          <w:rFonts w:ascii="Palatino Linotype" w:hAnsi="Palatino Linotype"/>
          <w:color w:val="000000" w:themeColor="text1"/>
        </w:rPr>
        <w:t xml:space="preserve"> con motivo de</w:t>
      </w:r>
      <w:r w:rsidR="00772245">
        <w:rPr>
          <w:rFonts w:ascii="Palatino Linotype" w:hAnsi="Palatino Linotype"/>
          <w:color w:val="000000" w:themeColor="text1"/>
        </w:rPr>
        <w:t xml:space="preserve"> </w:t>
      </w:r>
      <w:r w:rsidR="00D37494" w:rsidRPr="00A85CB7">
        <w:rPr>
          <w:rFonts w:ascii="Palatino Linotype" w:hAnsi="Palatino Linotype"/>
          <w:color w:val="000000" w:themeColor="text1"/>
        </w:rPr>
        <w:t>l</w:t>
      </w:r>
      <w:r w:rsidR="00772245">
        <w:rPr>
          <w:rFonts w:ascii="Palatino Linotype" w:hAnsi="Palatino Linotype"/>
          <w:color w:val="000000" w:themeColor="text1"/>
        </w:rPr>
        <w:t>os</w:t>
      </w:r>
      <w:r w:rsidRPr="00A85CB7">
        <w:rPr>
          <w:rFonts w:ascii="Palatino Linotype" w:hAnsi="Palatino Linotype"/>
          <w:color w:val="000000" w:themeColor="text1"/>
        </w:rPr>
        <w:t xml:space="preserve"> recurso</w:t>
      </w:r>
      <w:r w:rsidR="00772245">
        <w:rPr>
          <w:rFonts w:ascii="Palatino Linotype" w:hAnsi="Palatino Linotype"/>
          <w:color w:val="000000" w:themeColor="text1"/>
        </w:rPr>
        <w:t>s</w:t>
      </w:r>
      <w:r w:rsidRPr="00A85CB7">
        <w:rPr>
          <w:rFonts w:ascii="Palatino Linotype" w:hAnsi="Palatino Linotype"/>
          <w:color w:val="000000" w:themeColor="text1"/>
        </w:rPr>
        <w:t xml:space="preserve"> de revisión </w:t>
      </w:r>
      <w:r w:rsidR="00505F85">
        <w:rPr>
          <w:rFonts w:ascii="Palatino Linotype" w:hAnsi="Palatino Linotype"/>
          <w:b/>
          <w:bCs/>
          <w:color w:val="000000" w:themeColor="text1"/>
        </w:rPr>
        <w:t>05498</w:t>
      </w:r>
      <w:r w:rsidR="009E58CA">
        <w:rPr>
          <w:rFonts w:ascii="Palatino Linotype" w:hAnsi="Palatino Linotype"/>
          <w:b/>
          <w:bCs/>
          <w:color w:val="000000" w:themeColor="text1"/>
        </w:rPr>
        <w:t xml:space="preserve">/INFOEM/IP/RR/2021 </w:t>
      </w:r>
      <w:r w:rsidR="009E58CA" w:rsidRPr="00F638B9">
        <w:rPr>
          <w:rFonts w:ascii="Palatino Linotype" w:hAnsi="Palatino Linotype"/>
          <w:bCs/>
          <w:color w:val="000000" w:themeColor="text1"/>
        </w:rPr>
        <w:t>y</w:t>
      </w:r>
      <w:r w:rsidR="009E58CA">
        <w:rPr>
          <w:rFonts w:ascii="Palatino Linotype" w:hAnsi="Palatino Linotype"/>
          <w:b/>
          <w:bCs/>
          <w:color w:val="000000" w:themeColor="text1"/>
        </w:rPr>
        <w:t xml:space="preserve"> </w:t>
      </w:r>
      <w:r w:rsidR="00505F85">
        <w:rPr>
          <w:rFonts w:ascii="Palatino Linotype" w:hAnsi="Palatino Linotype"/>
          <w:b/>
          <w:bCs/>
          <w:color w:val="000000" w:themeColor="text1"/>
        </w:rPr>
        <w:t>05516</w:t>
      </w:r>
      <w:r w:rsidR="009E58CA">
        <w:rPr>
          <w:rFonts w:ascii="Palatino Linotype" w:hAnsi="Palatino Linotype"/>
          <w:b/>
          <w:bCs/>
          <w:color w:val="000000" w:themeColor="text1"/>
        </w:rPr>
        <w:t>/INFOEM/IP/RR/2021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w:t>
      </w:r>
      <w:r w:rsidR="00772245">
        <w:rPr>
          <w:rFonts w:ascii="Palatino Linotype" w:eastAsia="Times New Roman" w:hAnsi="Palatino Linotype" w:cs="Times New Roman"/>
          <w:color w:val="000000" w:themeColor="text1"/>
        </w:rPr>
        <w:t>s</w:t>
      </w:r>
      <w:r w:rsidR="006B31E7" w:rsidRPr="006B31E7">
        <w:rPr>
          <w:rFonts w:ascii="Palatino Linotype" w:eastAsia="Times New Roman" w:hAnsi="Palatino Linotype" w:cs="Times New Roman"/>
          <w:color w:val="000000" w:themeColor="text1"/>
        </w:rPr>
        <w:t xml:space="preserve"> por</w:t>
      </w:r>
      <w:r w:rsidR="0078249C">
        <w:rPr>
          <w:rFonts w:ascii="Palatino Linotype" w:eastAsia="Times New Roman" w:hAnsi="Palatino Linotype" w:cs="Times New Roman"/>
          <w:color w:val="000000" w:themeColor="text1"/>
        </w:rPr>
        <w:t xml:space="preserve"> </w:t>
      </w:r>
      <w:r w:rsidR="00505F85">
        <w:rPr>
          <w:rFonts w:ascii="Palatino Linotype" w:eastAsia="Times New Roman" w:hAnsi="Palatino Linotype" w:cs="Times New Roman"/>
          <w:bCs/>
          <w:color w:val="000000" w:themeColor="text1"/>
        </w:rPr>
        <w:t>un usuario del Sistema de Acceso a la Información Pública Mexiquense (SAIMEX) quien no señaló ningún nombre, seudónimo o carácter para ser identificado</w:t>
      </w:r>
      <w:r w:rsidR="00F17EFA">
        <w:rPr>
          <w:rFonts w:ascii="Palatino Linotype" w:eastAsia="Times New Roman" w:hAnsi="Palatino Linotype" w:cs="Times New Roman"/>
          <w:color w:val="000000" w:themeColor="text1"/>
        </w:rPr>
        <w:t>,</w:t>
      </w:r>
      <w:r w:rsidR="00505F85">
        <w:rPr>
          <w:rFonts w:ascii="Palatino Linotype" w:eastAsia="Times New Roman" w:hAnsi="Palatino Linotype" w:cs="Times New Roman"/>
          <w:color w:val="000000" w:themeColor="text1"/>
        </w:rPr>
        <w:t xml:space="preserve"> por lo que</w:t>
      </w:r>
      <w:r w:rsidR="00F17EFA">
        <w:rPr>
          <w:rFonts w:ascii="Palatino Linotype" w:eastAsia="Times New Roman" w:hAnsi="Palatino Linotype" w:cs="Times New Roman"/>
          <w:color w:val="000000" w:themeColor="text1"/>
        </w:rPr>
        <w:t xml:space="preserve"> en lo sucesivo</w:t>
      </w:r>
      <w:r w:rsidR="00505F85">
        <w:rPr>
          <w:rFonts w:ascii="Palatino Linotype" w:eastAsia="Times New Roman" w:hAnsi="Palatino Linotype" w:cs="Times New Roman"/>
          <w:color w:val="000000" w:themeColor="text1"/>
        </w:rPr>
        <w:t xml:space="preserve"> se le denominará como</w:t>
      </w:r>
      <w:r w:rsidR="00F17EFA">
        <w:rPr>
          <w:rFonts w:ascii="Palatino Linotype" w:eastAsia="Times New Roman" w:hAnsi="Palatino Linotype" w:cs="Times New Roman"/>
          <w:color w:val="000000" w:themeColor="text1"/>
        </w:rPr>
        <w:t xml:space="preserve"> </w:t>
      </w:r>
      <w:r w:rsidR="00B67B60">
        <w:rPr>
          <w:rFonts w:ascii="Palatino Linotype" w:eastAsia="Times New Roman" w:hAnsi="Palatino Linotype" w:cs="Times New Roman"/>
          <w:color w:val="000000" w:themeColor="text1"/>
        </w:rPr>
        <w:t>el</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respuesta</w:t>
      </w:r>
      <w:r w:rsidR="00772245">
        <w:rPr>
          <w:rFonts w:ascii="Palatino Linotype" w:eastAsia="Times New Roman" w:hAnsi="Palatino Linotype" w:cs="Arial"/>
          <w:color w:val="000000" w:themeColor="text1"/>
        </w:rPr>
        <w:t>s</w:t>
      </w:r>
      <w:r w:rsidR="005F1362" w:rsidRPr="00A85CB7">
        <w:rPr>
          <w:rFonts w:ascii="Palatino Linotype" w:eastAsia="Times New Roman" w:hAnsi="Palatino Linotype" w:cs="Arial"/>
          <w:color w:val="000000" w:themeColor="text1"/>
        </w:rPr>
        <w:t xml:space="preserve"> del</w:t>
      </w:r>
      <w:r w:rsidR="002C1007" w:rsidRPr="00A85CB7">
        <w:rPr>
          <w:rFonts w:ascii="Palatino Linotype" w:eastAsia="Times New Roman" w:hAnsi="Palatino Linotype" w:cs="Arial"/>
          <w:color w:val="000000" w:themeColor="text1"/>
        </w:rPr>
        <w:t xml:space="preserve"> </w:t>
      </w:r>
      <w:r w:rsidR="00505F85">
        <w:rPr>
          <w:rFonts w:ascii="Palatino Linotype" w:eastAsia="Times New Roman" w:hAnsi="Palatino Linotype" w:cs="Arial"/>
          <w:b/>
          <w:color w:val="000000" w:themeColor="text1"/>
        </w:rPr>
        <w:t>Ayuntamiento de Atizapán</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395F5B5E" w:rsidR="00587366" w:rsidRPr="00A85CB7"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A85CB7">
        <w:rPr>
          <w:b/>
          <w:color w:val="000000" w:themeColor="text1"/>
        </w:rPr>
        <w:t>ANTECEDENTES</w:t>
      </w:r>
      <w:bookmarkEnd w:id="0"/>
      <w:bookmarkEnd w:id="1"/>
      <w:bookmarkEnd w:id="2"/>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01C00958"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215DFB">
        <w:rPr>
          <w:rFonts w:ascii="Palatino Linotype" w:eastAsia="Calibri" w:hAnsi="Palatino Linotype" w:cs="Arial"/>
          <w:color w:val="000000" w:themeColor="text1"/>
          <w:lang w:val="es-ES"/>
        </w:rPr>
        <w:t>trece (13</w:t>
      </w:r>
      <w:r w:rsidR="009E58CA">
        <w:rPr>
          <w:rFonts w:ascii="Palatino Linotype" w:eastAsia="Calibri" w:hAnsi="Palatino Linotype" w:cs="Arial"/>
          <w:color w:val="000000" w:themeColor="text1"/>
          <w:lang w:val="es-ES"/>
        </w:rPr>
        <w:t>) de octubre</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67B60">
        <w:rPr>
          <w:rFonts w:ascii="Palatino Linotype" w:hAnsi="Palatino Linotype"/>
          <w:color w:val="000000" w:themeColor="text1"/>
        </w:rPr>
        <w:t>el</w:t>
      </w:r>
      <w:r w:rsidR="00B31E90">
        <w:rPr>
          <w:rFonts w:ascii="Palatino Linotype" w:hAnsi="Palatino Linotype"/>
          <w:color w:val="000000" w:themeColor="text1"/>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215DFB">
        <w:rPr>
          <w:rFonts w:ascii="Palatino Linotype" w:hAnsi="Palatino Linotype"/>
          <w:bCs/>
          <w:color w:val="000000" w:themeColor="text1"/>
        </w:rPr>
        <w:t xml:space="preserve"> SAIMEX</w:t>
      </w:r>
      <w:r w:rsidR="005F1362" w:rsidRPr="00A85CB7">
        <w:rPr>
          <w:rFonts w:ascii="Palatino Linotype" w:eastAsia="Calibri" w:hAnsi="Palatino Linotype" w:cs="Arial"/>
          <w:color w:val="000000" w:themeColor="text1"/>
          <w:lang w:val="es-ES"/>
        </w:rPr>
        <w:t>, la</w:t>
      </w:r>
      <w:r w:rsidR="00772245">
        <w:rPr>
          <w:rFonts w:ascii="Palatino Linotype" w:eastAsia="Calibri" w:hAnsi="Palatino Linotype" w:cs="Arial"/>
          <w:color w:val="000000" w:themeColor="text1"/>
          <w:lang w:val="es-ES"/>
        </w:rPr>
        <w:t>s</w:t>
      </w:r>
      <w:r w:rsidR="005F1362" w:rsidRPr="00A85CB7">
        <w:rPr>
          <w:rFonts w:ascii="Palatino Linotype" w:eastAsia="Calibri" w:hAnsi="Palatino Linotype" w:cs="Arial"/>
          <w:color w:val="000000" w:themeColor="text1"/>
          <w:lang w:val="es-ES"/>
        </w:rPr>
        <w:t xml:space="preserve"> solicitud</w:t>
      </w:r>
      <w:r w:rsidR="00772245">
        <w:rPr>
          <w:rFonts w:ascii="Palatino Linotype" w:eastAsia="Calibri" w:hAnsi="Palatino Linotype" w:cs="Arial"/>
          <w:color w:val="000000" w:themeColor="text1"/>
          <w:lang w:val="es-ES"/>
        </w:rPr>
        <w:t>es</w:t>
      </w:r>
      <w:r w:rsidR="005F1362" w:rsidRPr="00A85CB7">
        <w:rPr>
          <w:rFonts w:ascii="Palatino Linotype" w:eastAsia="Calibri" w:hAnsi="Palatino Linotype" w:cs="Arial"/>
          <w:color w:val="000000" w:themeColor="text1"/>
          <w:lang w:val="es-ES"/>
        </w:rPr>
        <w:t xml:space="preserve"> de información pública registrada</w:t>
      </w:r>
      <w:r w:rsidR="00772245">
        <w:rPr>
          <w:rFonts w:ascii="Palatino Linotype" w:eastAsia="Calibri" w:hAnsi="Palatino Linotype" w:cs="Arial"/>
          <w:color w:val="000000" w:themeColor="text1"/>
          <w:lang w:val="es-ES"/>
        </w:rPr>
        <w:t>s con los</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s </w:t>
      </w:r>
      <w:r w:rsidR="00215DFB">
        <w:rPr>
          <w:rFonts w:ascii="Palatino Linotype" w:eastAsia="Calibri" w:hAnsi="Palatino Linotype" w:cs="Arial"/>
          <w:b/>
          <w:color w:val="000000" w:themeColor="text1"/>
          <w:lang w:val="es-ES"/>
        </w:rPr>
        <w:t>00112/ATIZAPAN/IP/2021 y 00131/ATIZAPAN/IP/2021</w:t>
      </w:r>
      <w:r w:rsidR="005F1362" w:rsidRPr="00A85CB7">
        <w:rPr>
          <w:rFonts w:ascii="Palatino Linotype" w:hAnsi="Palatino Linotype"/>
          <w:b/>
          <w:bCs/>
          <w:color w:val="000000" w:themeColor="text1"/>
        </w:rPr>
        <w:t>,</w:t>
      </w:r>
      <w:r w:rsidR="00772245">
        <w:rPr>
          <w:rFonts w:ascii="Palatino Linotype" w:eastAsia="Calibri" w:hAnsi="Palatino Linotype" w:cs="Arial"/>
          <w:color w:val="000000" w:themeColor="text1"/>
          <w:lang w:val="es-ES"/>
        </w:rPr>
        <w:t xml:space="preserve"> mediante las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4B2D6726" w14:textId="663E7701" w:rsidR="00772245" w:rsidRPr="00772245" w:rsidRDefault="00772245" w:rsidP="00B31E90">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15DFB">
        <w:rPr>
          <w:rFonts w:ascii="Palatino Linotype" w:hAnsi="Palatino Linotype"/>
          <w:b/>
          <w:color w:val="000000" w:themeColor="text1"/>
          <w:sz w:val="22"/>
          <w:szCs w:val="22"/>
        </w:rPr>
        <w:t>00112/ATIZAPAN/IP/2021</w:t>
      </w:r>
      <w:r w:rsidR="009E58CA">
        <w:rPr>
          <w:rFonts w:ascii="Palatino Linotype" w:hAnsi="Palatino Linotype"/>
          <w:b/>
          <w:color w:val="000000" w:themeColor="text1"/>
          <w:sz w:val="22"/>
          <w:szCs w:val="22"/>
        </w:rPr>
        <w:t>:</w:t>
      </w:r>
    </w:p>
    <w:p w14:paraId="605C5067" w14:textId="0761E1CA" w:rsidR="0097210F"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w:t>
      </w:r>
      <w:r w:rsidR="00215DFB" w:rsidRPr="00215DFB">
        <w:rPr>
          <w:rFonts w:ascii="Palatino Linotype" w:hAnsi="Palatino Linotype"/>
          <w:i/>
          <w:iCs/>
          <w:color w:val="000000" w:themeColor="text1"/>
          <w:sz w:val="22"/>
          <w:szCs w:val="22"/>
        </w:rPr>
        <w:t>Solicito el currículum del personal de la Contraloría Municipal.</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4A4828CC" w14:textId="77777777" w:rsidR="00772245" w:rsidRDefault="00772245" w:rsidP="00B31E90">
      <w:pPr>
        <w:pStyle w:val="Prrafodelista"/>
        <w:spacing w:line="276" w:lineRule="auto"/>
        <w:ind w:left="567" w:right="567"/>
        <w:jc w:val="both"/>
        <w:rPr>
          <w:rFonts w:ascii="Palatino Linotype" w:hAnsi="Palatino Linotype"/>
          <w:i/>
          <w:color w:val="000000" w:themeColor="text1"/>
          <w:szCs w:val="22"/>
        </w:rPr>
      </w:pPr>
    </w:p>
    <w:p w14:paraId="5AEECF9F" w14:textId="454CC86A" w:rsidR="00772245" w:rsidRPr="00772245" w:rsidRDefault="00772245" w:rsidP="00772245">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 xml:space="preserve">Solicitud </w:t>
      </w:r>
      <w:r w:rsidR="00215DFB">
        <w:rPr>
          <w:rFonts w:ascii="Palatino Linotype" w:hAnsi="Palatino Linotype"/>
          <w:b/>
          <w:color w:val="000000" w:themeColor="text1"/>
          <w:sz w:val="22"/>
          <w:szCs w:val="22"/>
        </w:rPr>
        <w:t>00131/ATIZAPAN/IP/2021</w:t>
      </w:r>
      <w:r w:rsidR="009E58CA">
        <w:rPr>
          <w:rFonts w:ascii="Palatino Linotype" w:hAnsi="Palatino Linotype"/>
          <w:b/>
          <w:color w:val="000000" w:themeColor="text1"/>
          <w:sz w:val="22"/>
          <w:szCs w:val="22"/>
        </w:rPr>
        <w:t>:</w:t>
      </w:r>
    </w:p>
    <w:p w14:paraId="169FF462" w14:textId="0AD3388E" w:rsidR="00772245" w:rsidRPr="00A85CB7" w:rsidRDefault="00772245" w:rsidP="00772245">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215DFB" w:rsidRPr="00215DFB">
        <w:rPr>
          <w:rFonts w:ascii="Palatino Linotype" w:hAnsi="Palatino Linotype"/>
          <w:i/>
          <w:color w:val="000000" w:themeColor="text1"/>
          <w:sz w:val="22"/>
          <w:szCs w:val="22"/>
        </w:rPr>
        <w:t>Solicito el grado de estudios del presidente municipal y el documento que lo acredite.</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7E2F397C"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lastRenderedPageBreak/>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000E096F">
        <w:rPr>
          <w:rFonts w:ascii="Palatino Linotype" w:eastAsia="Times New Roman" w:hAnsi="Palatino Linotype" w:cs="Arial"/>
          <w:color w:val="000000" w:themeColor="text1"/>
          <w:lang w:val="es-ES"/>
        </w:rPr>
        <w:t>, para ambas solicitudes</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32F7278"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215DFB">
        <w:rPr>
          <w:rFonts w:ascii="Palatino Linotype" w:eastAsia="MS Mincho" w:hAnsi="Palatino Linotype" w:cs="Times New Roman"/>
          <w:color w:val="000000" w:themeColor="text1"/>
        </w:rPr>
        <w:t>veinte (20) y veintiséis (26</w:t>
      </w:r>
      <w:r w:rsidR="009E58CA">
        <w:rPr>
          <w:rFonts w:ascii="Palatino Linotype" w:eastAsia="MS Mincho" w:hAnsi="Palatino Linotype" w:cs="Times New Roman"/>
          <w:color w:val="000000" w:themeColor="text1"/>
        </w:rPr>
        <w:t>) de octubre</w:t>
      </w:r>
      <w:r w:rsidR="00762697" w:rsidRPr="00022D89">
        <w:rPr>
          <w:rFonts w:ascii="Palatino Linotype" w:eastAsia="MS Mincho" w:hAnsi="Palatino Linotype" w:cs="Times New Roman"/>
          <w:color w:val="000000" w:themeColor="text1"/>
        </w:rPr>
        <w:t xml:space="preserve"> de dos mil </w:t>
      </w:r>
      <w:r w:rsidR="000411E2" w:rsidRPr="00022D89">
        <w:rPr>
          <w:rFonts w:ascii="Palatino Linotype" w:eastAsia="MS Mincho" w:hAnsi="Palatino Linotype" w:cs="Times New Roman"/>
          <w:color w:val="000000" w:themeColor="text1"/>
        </w:rPr>
        <w:t xml:space="preserve">veintiuno, </w:t>
      </w:r>
      <w:r w:rsidR="000411E2" w:rsidRPr="00022D89">
        <w:rPr>
          <w:rFonts w:ascii="Palatino Linotype" w:hAnsi="Palatino Linotype"/>
          <w:color w:val="000000" w:themeColor="text1"/>
          <w:szCs w:val="14"/>
        </w:rPr>
        <w:t xml:space="preserve">el </w:t>
      </w:r>
      <w:r w:rsidR="000411E2" w:rsidRPr="00022D89">
        <w:rPr>
          <w:rFonts w:ascii="Palatino Linotype" w:hAnsi="Palatino Linotype"/>
          <w:b/>
          <w:color w:val="000000" w:themeColor="text1"/>
          <w:szCs w:val="14"/>
        </w:rPr>
        <w:t>SUJETO OBLIGADO</w:t>
      </w:r>
      <w:r w:rsidR="000411E2" w:rsidRPr="00022D89">
        <w:rPr>
          <w:rFonts w:ascii="Palatino Linotype" w:hAnsi="Palatino Linotype"/>
          <w:color w:val="000000" w:themeColor="text1"/>
          <w:szCs w:val="14"/>
        </w:rPr>
        <w:t xml:space="preserve"> dio respuesta a la</w:t>
      </w:r>
      <w:r w:rsidR="000E096F">
        <w:rPr>
          <w:rFonts w:ascii="Palatino Linotype" w:hAnsi="Palatino Linotype"/>
          <w:color w:val="000000" w:themeColor="text1"/>
          <w:szCs w:val="14"/>
        </w:rPr>
        <w:t>s</w:t>
      </w:r>
      <w:r w:rsidR="000411E2" w:rsidRPr="00022D89">
        <w:rPr>
          <w:rFonts w:ascii="Palatino Linotype" w:hAnsi="Palatino Linotype"/>
          <w:color w:val="000000" w:themeColor="text1"/>
          <w:szCs w:val="14"/>
        </w:rPr>
        <w:t xml:space="preserve"> solicitud</w:t>
      </w:r>
      <w:r w:rsidR="000E096F">
        <w:rPr>
          <w:rFonts w:ascii="Palatino Linotype" w:hAnsi="Palatino Linotype"/>
          <w:color w:val="000000" w:themeColor="text1"/>
          <w:szCs w:val="14"/>
        </w:rPr>
        <w:t>es</w:t>
      </w:r>
      <w:r w:rsidR="000411E2" w:rsidRPr="00022D89">
        <w:rPr>
          <w:rFonts w:ascii="Palatino Linotype" w:hAnsi="Palatino Linotype"/>
          <w:color w:val="000000" w:themeColor="text1"/>
          <w:szCs w:val="14"/>
        </w:rPr>
        <w:t xml:space="preserve">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0829081D" w14:textId="0627ADF6" w:rsidR="00215DFB" w:rsidRPr="00772245" w:rsidRDefault="00215DFB" w:rsidP="00215DFB">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Respuesta a la solicitud 00112/ATIZAPAN/IP/2021:</w:t>
      </w:r>
    </w:p>
    <w:p w14:paraId="036D24FF" w14:textId="77777777" w:rsidR="00215DFB" w:rsidRPr="00215DFB" w:rsidRDefault="00215DFB" w:rsidP="00215DFB">
      <w:pPr>
        <w:pStyle w:val="Prrafodelista"/>
        <w:spacing w:line="276" w:lineRule="auto"/>
        <w:ind w:left="567" w:right="567"/>
        <w:jc w:val="both"/>
        <w:rPr>
          <w:rFonts w:ascii="Palatino Linotype" w:hAnsi="Palatino Linotype"/>
          <w:i/>
          <w:color w:val="000000" w:themeColor="text1"/>
          <w:sz w:val="22"/>
          <w:szCs w:val="22"/>
        </w:rPr>
      </w:pPr>
      <w:r w:rsidRPr="00A85CB7">
        <w:rPr>
          <w:rFonts w:ascii="Palatino Linotype" w:hAnsi="Palatino Linotype"/>
          <w:i/>
          <w:color w:val="000000" w:themeColor="text1"/>
          <w:sz w:val="22"/>
          <w:szCs w:val="22"/>
        </w:rPr>
        <w:t>“</w:t>
      </w:r>
      <w:r w:rsidRPr="00215DFB">
        <w:rPr>
          <w:rFonts w:ascii="Palatino Linotype" w:hAnsi="Palatino Linotype"/>
          <w:i/>
          <w:color w:val="000000" w:themeColor="text1"/>
          <w:sz w:val="22"/>
          <w:szCs w:val="22"/>
        </w:rPr>
        <w:t xml:space="preserve">Se da respuesta por parte del Contralor Interno del H. Ayuntamiento de Atizapán Santa Cruz, Estado de México, donde mediante oficio se </w:t>
      </w:r>
      <w:proofErr w:type="spellStart"/>
      <w:r w:rsidRPr="00215DFB">
        <w:rPr>
          <w:rFonts w:ascii="Palatino Linotype" w:hAnsi="Palatino Linotype"/>
          <w:i/>
          <w:color w:val="000000" w:themeColor="text1"/>
          <w:sz w:val="22"/>
          <w:szCs w:val="22"/>
        </w:rPr>
        <w:t>giro</w:t>
      </w:r>
      <w:proofErr w:type="spellEnd"/>
      <w:r w:rsidRPr="00215DFB">
        <w:rPr>
          <w:rFonts w:ascii="Palatino Linotype" w:hAnsi="Palatino Linotype"/>
          <w:i/>
          <w:color w:val="000000" w:themeColor="text1"/>
          <w:sz w:val="22"/>
          <w:szCs w:val="22"/>
        </w:rPr>
        <w:t xml:space="preserve"> la solicitud para que diera cumplimiento a su solicitud a lo que contesto mediante oficio ATZ/CM/597/2021 en fecha 20 de octubre el presente año, y se demuestra mediante anexo en </w:t>
      </w:r>
      <w:proofErr w:type="spellStart"/>
      <w:r w:rsidRPr="00215DFB">
        <w:rPr>
          <w:rFonts w:ascii="Palatino Linotype" w:hAnsi="Palatino Linotype"/>
          <w:i/>
          <w:color w:val="000000" w:themeColor="text1"/>
          <w:sz w:val="22"/>
          <w:szCs w:val="22"/>
        </w:rPr>
        <w:t>pdf</w:t>
      </w:r>
      <w:proofErr w:type="spellEnd"/>
      <w:r w:rsidRPr="00215DFB">
        <w:rPr>
          <w:rFonts w:ascii="Palatino Linotype" w:hAnsi="Palatino Linotype"/>
          <w:i/>
          <w:color w:val="000000" w:themeColor="text1"/>
          <w:sz w:val="22"/>
          <w:szCs w:val="22"/>
        </w:rPr>
        <w:t xml:space="preserve"> y que se pone a su disposición a usted RECURRENTE.</w:t>
      </w:r>
    </w:p>
    <w:p w14:paraId="79367F66" w14:textId="77777777" w:rsidR="00215DFB" w:rsidRDefault="00215DFB" w:rsidP="00215DFB">
      <w:pPr>
        <w:pStyle w:val="Prrafodelista"/>
        <w:spacing w:line="276" w:lineRule="auto"/>
        <w:ind w:left="567" w:right="567"/>
        <w:jc w:val="both"/>
        <w:rPr>
          <w:rFonts w:ascii="Palatino Linotype" w:hAnsi="Palatino Linotype"/>
          <w:i/>
          <w:color w:val="000000" w:themeColor="text1"/>
          <w:sz w:val="22"/>
          <w:szCs w:val="22"/>
        </w:rPr>
      </w:pPr>
    </w:p>
    <w:p w14:paraId="0D30F43A" w14:textId="293BE114" w:rsidR="00215DFB" w:rsidRPr="00215DFB" w:rsidRDefault="00215DFB" w:rsidP="00215DFB">
      <w:pPr>
        <w:pStyle w:val="Prrafodelista"/>
        <w:spacing w:line="276" w:lineRule="auto"/>
        <w:ind w:left="567" w:right="567"/>
        <w:jc w:val="both"/>
        <w:rPr>
          <w:rFonts w:ascii="Palatino Linotype" w:hAnsi="Palatino Linotype"/>
          <w:i/>
          <w:color w:val="000000" w:themeColor="text1"/>
          <w:sz w:val="22"/>
          <w:szCs w:val="22"/>
        </w:rPr>
      </w:pPr>
      <w:r w:rsidRPr="00215DFB">
        <w:rPr>
          <w:rFonts w:ascii="Palatino Linotype" w:hAnsi="Palatino Linotype"/>
          <w:i/>
          <w:color w:val="000000" w:themeColor="text1"/>
          <w:sz w:val="22"/>
          <w:szCs w:val="22"/>
        </w:rPr>
        <w:t>ATENTAMENTE</w:t>
      </w:r>
    </w:p>
    <w:p w14:paraId="2928EBB3" w14:textId="2A160148" w:rsidR="00215DFB" w:rsidRDefault="00215DFB" w:rsidP="00215DFB">
      <w:pPr>
        <w:pStyle w:val="Prrafodelista"/>
        <w:spacing w:line="276" w:lineRule="auto"/>
        <w:ind w:left="567" w:right="567"/>
        <w:jc w:val="both"/>
        <w:rPr>
          <w:rFonts w:ascii="Palatino Linotype" w:hAnsi="Palatino Linotype"/>
          <w:color w:val="000000" w:themeColor="text1"/>
          <w:sz w:val="22"/>
          <w:szCs w:val="22"/>
        </w:rPr>
      </w:pPr>
      <w:r w:rsidRPr="00215DFB">
        <w:rPr>
          <w:rFonts w:ascii="Palatino Linotype" w:hAnsi="Palatino Linotype"/>
          <w:i/>
          <w:color w:val="000000" w:themeColor="text1"/>
          <w:sz w:val="22"/>
          <w:szCs w:val="22"/>
        </w:rPr>
        <w:t>ALEJANDRO REYES ESQUIVE</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21E6EE1D" w14:textId="77777777" w:rsidR="00215DFB" w:rsidRDefault="00215DFB" w:rsidP="00215DFB">
      <w:pPr>
        <w:pStyle w:val="Prrafodelista"/>
        <w:spacing w:line="276" w:lineRule="auto"/>
        <w:ind w:left="567" w:right="567"/>
        <w:jc w:val="both"/>
        <w:rPr>
          <w:rFonts w:ascii="Palatino Linotype" w:hAnsi="Palatino Linotype"/>
          <w:i/>
          <w:color w:val="000000" w:themeColor="text1"/>
          <w:szCs w:val="22"/>
        </w:rPr>
      </w:pPr>
    </w:p>
    <w:p w14:paraId="33498CB0" w14:textId="78A64D95" w:rsidR="00215DFB" w:rsidRPr="00772245" w:rsidRDefault="00215DFB" w:rsidP="00215DFB">
      <w:pPr>
        <w:pStyle w:val="Prrafodelista"/>
        <w:spacing w:line="276" w:lineRule="auto"/>
        <w:ind w:left="567" w:right="567"/>
        <w:jc w:val="both"/>
        <w:rPr>
          <w:rFonts w:ascii="Palatino Linotype" w:hAnsi="Palatino Linotype"/>
          <w:b/>
          <w:color w:val="000000" w:themeColor="text1"/>
          <w:sz w:val="22"/>
          <w:szCs w:val="22"/>
        </w:rPr>
      </w:pPr>
      <w:r>
        <w:rPr>
          <w:rFonts w:ascii="Palatino Linotype" w:hAnsi="Palatino Linotype"/>
          <w:b/>
          <w:color w:val="000000" w:themeColor="text1"/>
          <w:sz w:val="22"/>
          <w:szCs w:val="22"/>
        </w:rPr>
        <w:t>Respuesta a la solicitud 00131/ATIZAPAN/IP/2021:</w:t>
      </w:r>
    </w:p>
    <w:p w14:paraId="0D0AEF41" w14:textId="77777777" w:rsidR="00940402" w:rsidRPr="00940402" w:rsidRDefault="00215DFB" w:rsidP="00940402">
      <w:pPr>
        <w:pStyle w:val="Prrafodelista"/>
        <w:spacing w:line="276" w:lineRule="auto"/>
        <w:ind w:left="567" w:right="567"/>
        <w:jc w:val="both"/>
        <w:rPr>
          <w:rFonts w:ascii="Palatino Linotype" w:hAnsi="Palatino Linotype"/>
          <w:i/>
          <w:color w:val="000000" w:themeColor="text1"/>
          <w:sz w:val="22"/>
          <w:szCs w:val="22"/>
        </w:rPr>
      </w:pPr>
      <w:r w:rsidRPr="00A85CB7">
        <w:rPr>
          <w:rFonts w:ascii="Palatino Linotype" w:hAnsi="Palatino Linotype"/>
          <w:i/>
          <w:color w:val="000000" w:themeColor="text1"/>
          <w:sz w:val="22"/>
          <w:szCs w:val="22"/>
        </w:rPr>
        <w:t>“</w:t>
      </w:r>
      <w:r w:rsidR="00940402" w:rsidRPr="00940402">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B5426F7" w14:textId="77777777" w:rsidR="00940402" w:rsidRDefault="00940402" w:rsidP="00940402">
      <w:pPr>
        <w:pStyle w:val="Prrafodelista"/>
        <w:spacing w:line="276" w:lineRule="auto"/>
        <w:ind w:left="567" w:right="567"/>
        <w:jc w:val="both"/>
        <w:rPr>
          <w:rFonts w:ascii="Palatino Linotype" w:hAnsi="Palatino Linotype"/>
          <w:i/>
          <w:color w:val="000000" w:themeColor="text1"/>
          <w:sz w:val="22"/>
          <w:szCs w:val="22"/>
        </w:rPr>
      </w:pPr>
    </w:p>
    <w:p w14:paraId="77894D87" w14:textId="3B920199" w:rsidR="00940402" w:rsidRPr="00940402" w:rsidRDefault="00940402" w:rsidP="00940402">
      <w:pPr>
        <w:pStyle w:val="Prrafodelista"/>
        <w:spacing w:line="276" w:lineRule="auto"/>
        <w:ind w:left="567" w:right="567"/>
        <w:jc w:val="both"/>
        <w:rPr>
          <w:rFonts w:ascii="Palatino Linotype" w:hAnsi="Palatino Linotype"/>
          <w:i/>
          <w:color w:val="000000" w:themeColor="text1"/>
          <w:sz w:val="22"/>
          <w:szCs w:val="22"/>
        </w:rPr>
      </w:pPr>
      <w:r w:rsidRPr="00940402">
        <w:rPr>
          <w:rFonts w:ascii="Palatino Linotype" w:hAnsi="Palatino Linotype"/>
          <w:i/>
          <w:color w:val="000000" w:themeColor="text1"/>
          <w:sz w:val="22"/>
          <w:szCs w:val="22"/>
        </w:rPr>
        <w:t>DICHA INFORMACION DENTRO DE MIS ARCHIVOS DE LA DIRECCION QUE SE ME ENCOMIENDA LA CUAL LO ES ADMINISTRACIÓN, NO SE ENCONTRO DICHOS DOCUMENTOS UNICAMENTE SE PUEDE MANIFESTAR QUE CUENTA CON LICENCIATURA EN DERECHO.</w:t>
      </w:r>
    </w:p>
    <w:p w14:paraId="27B6F1F4" w14:textId="77777777" w:rsidR="00940402" w:rsidRDefault="00940402" w:rsidP="00940402">
      <w:pPr>
        <w:pStyle w:val="Prrafodelista"/>
        <w:spacing w:line="276" w:lineRule="auto"/>
        <w:ind w:left="567" w:right="567"/>
        <w:jc w:val="both"/>
        <w:rPr>
          <w:rFonts w:ascii="Palatino Linotype" w:hAnsi="Palatino Linotype"/>
          <w:i/>
          <w:color w:val="000000" w:themeColor="text1"/>
          <w:sz w:val="22"/>
          <w:szCs w:val="22"/>
        </w:rPr>
      </w:pPr>
    </w:p>
    <w:p w14:paraId="697027BB" w14:textId="1667D083" w:rsidR="00940402" w:rsidRPr="00940402" w:rsidRDefault="00940402" w:rsidP="00940402">
      <w:pPr>
        <w:pStyle w:val="Prrafodelista"/>
        <w:spacing w:line="276" w:lineRule="auto"/>
        <w:ind w:left="567" w:right="567"/>
        <w:jc w:val="both"/>
        <w:rPr>
          <w:rFonts w:ascii="Palatino Linotype" w:hAnsi="Palatino Linotype"/>
          <w:i/>
          <w:color w:val="000000" w:themeColor="text1"/>
          <w:sz w:val="22"/>
          <w:szCs w:val="22"/>
        </w:rPr>
      </w:pPr>
      <w:r w:rsidRPr="00940402">
        <w:rPr>
          <w:rFonts w:ascii="Palatino Linotype" w:hAnsi="Palatino Linotype"/>
          <w:i/>
          <w:color w:val="000000" w:themeColor="text1"/>
          <w:sz w:val="22"/>
          <w:szCs w:val="22"/>
        </w:rPr>
        <w:t>ATENTAMENTE</w:t>
      </w:r>
    </w:p>
    <w:p w14:paraId="27A71C56" w14:textId="0EB11C29" w:rsidR="00215DFB" w:rsidRPr="00A85CB7" w:rsidRDefault="00940402" w:rsidP="00940402">
      <w:pPr>
        <w:pStyle w:val="Prrafodelista"/>
        <w:spacing w:line="276" w:lineRule="auto"/>
        <w:ind w:left="567" w:right="567"/>
        <w:jc w:val="both"/>
        <w:rPr>
          <w:rFonts w:ascii="Palatino Linotype" w:hAnsi="Palatino Linotype"/>
          <w:i/>
          <w:color w:val="000000" w:themeColor="text1"/>
          <w:szCs w:val="22"/>
        </w:rPr>
      </w:pPr>
      <w:r w:rsidRPr="00940402">
        <w:rPr>
          <w:rFonts w:ascii="Palatino Linotype" w:hAnsi="Palatino Linotype"/>
          <w:i/>
          <w:color w:val="000000" w:themeColor="text1"/>
          <w:sz w:val="22"/>
          <w:szCs w:val="22"/>
        </w:rPr>
        <w:t>ALEJANDRO REYES ESQUIVE</w:t>
      </w:r>
      <w:r w:rsidR="00215DFB" w:rsidRPr="00A85CB7">
        <w:rPr>
          <w:rFonts w:ascii="Palatino Linotype" w:hAnsi="Palatino Linotype"/>
          <w:i/>
          <w:color w:val="000000" w:themeColor="text1"/>
          <w:sz w:val="22"/>
          <w:szCs w:val="22"/>
        </w:rPr>
        <w:t xml:space="preserve">” </w:t>
      </w:r>
      <w:r w:rsidR="00215DFB" w:rsidRPr="00A85CB7">
        <w:rPr>
          <w:rFonts w:ascii="Palatino Linotype" w:hAnsi="Palatino Linotype"/>
          <w:color w:val="000000" w:themeColor="text1"/>
          <w:sz w:val="22"/>
          <w:szCs w:val="22"/>
        </w:rPr>
        <w:t>(Sic).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104432A2"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lastRenderedPageBreak/>
        <w:t xml:space="preserve">Adjunto </w:t>
      </w:r>
      <w:r w:rsidR="00E85FF3">
        <w:rPr>
          <w:rFonts w:ascii="Palatino Linotype" w:hAnsi="Palatino Linotype"/>
          <w:color w:val="000000" w:themeColor="text1"/>
          <w:szCs w:val="22"/>
        </w:rPr>
        <w:t xml:space="preserve">al acuse de respuesta </w:t>
      </w:r>
      <w:r w:rsidR="00940402">
        <w:rPr>
          <w:rFonts w:ascii="Palatino Linotype" w:hAnsi="Palatino Linotype"/>
          <w:color w:val="000000" w:themeColor="text1"/>
          <w:szCs w:val="22"/>
        </w:rPr>
        <w:t xml:space="preserve">otorgado a la solicitud de información </w:t>
      </w:r>
      <w:r w:rsidR="00940402">
        <w:rPr>
          <w:rFonts w:ascii="Palatino Linotype" w:hAnsi="Palatino Linotype"/>
          <w:b/>
          <w:bCs/>
          <w:color w:val="000000" w:themeColor="text1"/>
          <w:szCs w:val="22"/>
        </w:rPr>
        <w:t>00112/ATIZAPAN/IP/2021</w:t>
      </w:r>
      <w:r>
        <w:rPr>
          <w:rFonts w:ascii="Palatino Linotype" w:hAnsi="Palatino Linotype"/>
          <w:color w:val="000000" w:themeColor="text1"/>
          <w:szCs w:val="22"/>
        </w:rPr>
        <w:t xml:space="preserve">,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B67B60">
        <w:rPr>
          <w:rFonts w:ascii="Palatino Linotype" w:hAnsi="Palatino Linotype"/>
          <w:color w:val="000000" w:themeColor="text1"/>
          <w:szCs w:val="22"/>
        </w:rPr>
        <w:t>el</w:t>
      </w:r>
      <w:r>
        <w:rPr>
          <w:rFonts w:ascii="Palatino Linotype" w:hAnsi="Palatino Linotype"/>
          <w:color w:val="000000" w:themeColor="text1"/>
          <w:szCs w:val="22"/>
        </w:rPr>
        <w:t xml:space="preserve"> documento</w:t>
      </w:r>
      <w:r w:rsidR="00B67B60">
        <w:rPr>
          <w:rFonts w:ascii="Palatino Linotype" w:hAnsi="Palatino Linotype"/>
          <w:color w:val="000000" w:themeColor="text1"/>
          <w:szCs w:val="22"/>
        </w:rPr>
        <w:t xml:space="preserve"> cuyo contenido</w:t>
      </w:r>
      <w:r>
        <w:rPr>
          <w:rFonts w:ascii="Palatino Linotype" w:hAnsi="Palatino Linotype"/>
          <w:color w:val="000000" w:themeColor="text1"/>
          <w:szCs w:val="22"/>
        </w:rPr>
        <w:t xml:space="preserve"> se describe a continuación:</w:t>
      </w:r>
    </w:p>
    <w:p w14:paraId="2C96932A" w14:textId="5849040A" w:rsidR="00C80729" w:rsidRDefault="006B31E7" w:rsidP="00577C3F">
      <w:pPr>
        <w:pStyle w:val="Prrafodelista"/>
        <w:numPr>
          <w:ilvl w:val="0"/>
          <w:numId w:val="4"/>
        </w:numPr>
        <w:spacing w:line="360" w:lineRule="auto"/>
        <w:ind w:left="993"/>
        <w:contextualSpacing w:val="0"/>
        <w:jc w:val="both"/>
        <w:rPr>
          <w:rFonts w:ascii="Palatino Linotype" w:hAnsi="Palatino Linotype" w:cs="Arial"/>
        </w:rPr>
      </w:pPr>
      <w:r>
        <w:rPr>
          <w:rFonts w:ascii="Palatino Linotype" w:hAnsi="Palatino Linotype" w:cs="Arial"/>
          <w:b/>
          <w:i/>
        </w:rPr>
        <w:t>“</w:t>
      </w:r>
      <w:r w:rsidR="00940402">
        <w:rPr>
          <w:rFonts w:ascii="Palatino Linotype" w:hAnsi="Palatino Linotype" w:cs="Arial"/>
          <w:b/>
          <w:i/>
        </w:rPr>
        <w:t>IMG_20211026_0001</w:t>
      </w:r>
      <w:r>
        <w:rPr>
          <w:rFonts w:ascii="Palatino Linotype" w:hAnsi="Palatino Linotype" w:cs="Arial"/>
          <w:b/>
          <w:i/>
        </w:rPr>
        <w:t>.pdf”</w:t>
      </w:r>
      <w:r>
        <w:rPr>
          <w:rFonts w:ascii="Palatino Linotype" w:hAnsi="Palatino Linotype" w:cs="Arial"/>
        </w:rPr>
        <w:t xml:space="preserve">: </w:t>
      </w:r>
      <w:r w:rsidRPr="00B67B60">
        <w:rPr>
          <w:rFonts w:ascii="Palatino Linotype" w:hAnsi="Palatino Linotype" w:cs="Arial"/>
        </w:rPr>
        <w:t>Documento</w:t>
      </w:r>
      <w:r w:rsidR="000411E2">
        <w:rPr>
          <w:rFonts w:ascii="Palatino Linotype" w:hAnsi="Palatino Linotype" w:cs="Arial"/>
        </w:rPr>
        <w:t xml:space="preserve"> </w:t>
      </w:r>
      <w:r w:rsidR="00B67B60">
        <w:rPr>
          <w:rFonts w:ascii="Palatino Linotype" w:hAnsi="Palatino Linotype" w:cs="Arial"/>
        </w:rPr>
        <w:t>de</w:t>
      </w:r>
      <w:r w:rsidR="00940402">
        <w:rPr>
          <w:rFonts w:ascii="Palatino Linotype" w:hAnsi="Palatino Linotype" w:cs="Arial"/>
        </w:rPr>
        <w:t xml:space="preserve"> una foja consistente en el oficio número ATZ/CM/597/2021, de veinte (20) de octubre de dos mil veintiuno, emitido por el Contralor Interno Municipal, y dirigido al Titular de la Unidad de Transparencia del </w:t>
      </w:r>
      <w:r w:rsidR="00940402">
        <w:rPr>
          <w:rFonts w:ascii="Palatino Linotype" w:hAnsi="Palatino Linotype" w:cs="Arial"/>
          <w:b/>
          <w:bCs/>
        </w:rPr>
        <w:t>SUJETO OBLIGADO</w:t>
      </w:r>
      <w:r w:rsidR="00940402">
        <w:rPr>
          <w:rFonts w:ascii="Palatino Linotype" w:hAnsi="Palatino Linotype" w:cs="Arial"/>
        </w:rPr>
        <w:t xml:space="preserve">, por medio del cual, manifiesta que la información requerida en la solicitud de información </w:t>
      </w:r>
      <w:r w:rsidR="00940402">
        <w:rPr>
          <w:rFonts w:ascii="Palatino Linotype" w:hAnsi="Palatino Linotype"/>
          <w:b/>
          <w:bCs/>
          <w:color w:val="000000" w:themeColor="text1"/>
          <w:szCs w:val="22"/>
        </w:rPr>
        <w:t>00112/ATIZAPAN/IP/2021</w:t>
      </w:r>
      <w:r w:rsidR="00940402">
        <w:rPr>
          <w:rFonts w:ascii="Palatino Linotype" w:hAnsi="Palatino Linotype"/>
          <w:color w:val="000000" w:themeColor="text1"/>
          <w:szCs w:val="22"/>
        </w:rPr>
        <w:t>, y otra, es de carácter confidencial.</w:t>
      </w:r>
    </w:p>
    <w:p w14:paraId="5D34ABFE" w14:textId="77777777" w:rsidR="00B67B60" w:rsidRPr="00B67B60" w:rsidRDefault="00B67B60" w:rsidP="00B67B60">
      <w:pPr>
        <w:spacing w:line="360" w:lineRule="auto"/>
        <w:jc w:val="both"/>
        <w:rPr>
          <w:rFonts w:ascii="Palatino Linotype" w:hAnsi="Palatino Linotype" w:cs="Arial"/>
        </w:rPr>
      </w:pPr>
    </w:p>
    <w:p w14:paraId="272B63B3" w14:textId="5A38FB63"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respuesta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emitida</w:t>
      </w:r>
      <w:r w:rsidR="000E096F">
        <w:rPr>
          <w:rFonts w:ascii="Palatino Linotype" w:eastAsia="Times New Roman" w:hAnsi="Palatino Linotype" w:cs="Arial"/>
          <w:color w:val="000000" w:themeColor="text1"/>
          <w:lang w:val="es-ES"/>
        </w:rPr>
        <w:t>s</w:t>
      </w:r>
      <w:r w:rsidR="00561ED1" w:rsidRPr="00A85CB7">
        <w:rPr>
          <w:rFonts w:ascii="Palatino Linotype" w:eastAsia="Times New Roman" w:hAnsi="Palatino Linotype" w:cs="Arial"/>
          <w:color w:val="000000" w:themeColor="text1"/>
          <w:lang w:val="es-ES"/>
        </w:rPr>
        <w:t xml:space="preserve">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940402">
        <w:rPr>
          <w:rFonts w:ascii="Palatino Linotype" w:eastAsia="Times New Roman" w:hAnsi="Palatino Linotype" w:cs="Arial"/>
          <w:color w:val="000000" w:themeColor="text1"/>
          <w:lang w:val="es-ES"/>
        </w:rPr>
        <w:t>once (11) de noviembre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l</w:t>
      </w:r>
      <w:r w:rsidR="000E096F">
        <w:rPr>
          <w:rFonts w:ascii="Palatino Linotype" w:eastAsia="Times New Roman" w:hAnsi="Palatino Linotype" w:cs="Arial"/>
          <w:color w:val="000000" w:themeColor="text1"/>
          <w:lang w:val="es-ES"/>
        </w:rPr>
        <w:t>os</w:t>
      </w:r>
      <w:r w:rsidR="004D68F8" w:rsidRPr="00A85CB7">
        <w:rPr>
          <w:rFonts w:ascii="Palatino Linotype" w:eastAsia="Times New Roman" w:hAnsi="Palatino Linotype" w:cs="Arial"/>
          <w:color w:val="000000" w:themeColor="text1"/>
          <w:lang w:val="es-ES"/>
        </w:rPr>
        <w:t xml:space="preserve"> recurso</w:t>
      </w:r>
      <w:r w:rsidR="000E096F">
        <w:rPr>
          <w:rFonts w:ascii="Palatino Linotype" w:eastAsia="Times New Roman" w:hAnsi="Palatino Linotype" w:cs="Arial"/>
          <w:color w:val="000000" w:themeColor="text1"/>
          <w:lang w:val="es-ES"/>
        </w:rPr>
        <w:t>s</w:t>
      </w:r>
      <w:r w:rsidR="004D68F8" w:rsidRPr="00A85CB7">
        <w:rPr>
          <w:rFonts w:ascii="Palatino Linotype" w:eastAsia="Times New Roman" w:hAnsi="Palatino Linotype" w:cs="Arial"/>
          <w:color w:val="000000" w:themeColor="text1"/>
          <w:lang w:val="es-ES"/>
        </w:rPr>
        <w:t xml:space="preserve"> de revisión </w:t>
      </w:r>
      <w:r w:rsidR="00940402">
        <w:rPr>
          <w:rFonts w:ascii="Palatino Linotype" w:eastAsia="Calibri" w:hAnsi="Palatino Linotype" w:cs="Arial"/>
          <w:b/>
          <w:color w:val="000000" w:themeColor="text1"/>
          <w:lang w:val="es-ES"/>
        </w:rPr>
        <w:t>05498</w:t>
      </w:r>
      <w:r w:rsidR="009E58CA">
        <w:rPr>
          <w:rFonts w:ascii="Palatino Linotype" w:eastAsia="Calibri" w:hAnsi="Palatino Linotype" w:cs="Arial"/>
          <w:b/>
          <w:color w:val="000000" w:themeColor="text1"/>
          <w:lang w:val="es-ES"/>
        </w:rPr>
        <w:t xml:space="preserve">/INFOEM/IP/RR/2021 </w:t>
      </w:r>
      <w:r w:rsidR="009E58CA" w:rsidRPr="00E85FF3">
        <w:rPr>
          <w:rFonts w:ascii="Palatino Linotype" w:eastAsia="Calibri" w:hAnsi="Palatino Linotype" w:cs="Arial"/>
          <w:color w:val="000000" w:themeColor="text1"/>
          <w:lang w:val="es-ES"/>
        </w:rPr>
        <w:t>y</w:t>
      </w:r>
      <w:r w:rsidR="009E58CA">
        <w:rPr>
          <w:rFonts w:ascii="Palatino Linotype" w:eastAsia="Calibri" w:hAnsi="Palatino Linotype" w:cs="Arial"/>
          <w:b/>
          <w:color w:val="000000" w:themeColor="text1"/>
          <w:lang w:val="es-ES"/>
        </w:rPr>
        <w:t xml:space="preserve"> </w:t>
      </w:r>
      <w:r w:rsidR="00940402">
        <w:rPr>
          <w:rFonts w:ascii="Palatino Linotype" w:eastAsia="Calibri" w:hAnsi="Palatino Linotype" w:cs="Arial"/>
          <w:b/>
          <w:color w:val="000000" w:themeColor="text1"/>
          <w:lang w:val="es-ES"/>
        </w:rPr>
        <w:t>05516</w:t>
      </w:r>
      <w:r w:rsidR="009E58CA">
        <w:rPr>
          <w:rFonts w:ascii="Palatino Linotype" w:eastAsia="Calibri" w:hAnsi="Palatino Linotype" w:cs="Arial"/>
          <w:b/>
          <w:color w:val="000000" w:themeColor="text1"/>
          <w:lang w:val="es-ES"/>
        </w:rPr>
        <w:t>/INFOEM/IP/RR/2021</w:t>
      </w:r>
      <w:r w:rsidR="009A0461" w:rsidRPr="000E096F">
        <w:rPr>
          <w:rFonts w:ascii="Palatino Linotype" w:eastAsia="Calibri" w:hAnsi="Palatino Linotype" w:cs="Arial"/>
          <w:color w:val="000000" w:themeColor="text1"/>
          <w:lang w:val="es-ES"/>
        </w:rPr>
        <w:t>;</w:t>
      </w:r>
      <w:r w:rsidR="00102D65" w:rsidRPr="000E096F">
        <w:rPr>
          <w:rFonts w:ascii="Palatino Linotype" w:eastAsia="Times New Roman" w:hAnsi="Palatino Linotype" w:cs="Arial"/>
          <w:color w:val="000000" w:themeColor="text1"/>
          <w:lang w:val="es-ES"/>
        </w:rPr>
        <w:t xml:space="preserve"> </w:t>
      </w:r>
      <w:r w:rsidR="000E096F">
        <w:rPr>
          <w:rFonts w:ascii="Palatino Linotype" w:eastAsia="Times New Roman" w:hAnsi="Palatino Linotype" w:cs="Arial"/>
          <w:color w:val="000000" w:themeColor="text1"/>
          <w:lang w:val="es-ES"/>
        </w:rPr>
        <w:t>impugnacio</w:t>
      </w:r>
      <w:r w:rsidR="00102D65" w:rsidRPr="00A85CB7">
        <w:rPr>
          <w:rFonts w:ascii="Palatino Linotype" w:eastAsia="Times New Roman" w:hAnsi="Palatino Linotype" w:cs="Arial"/>
          <w:color w:val="000000" w:themeColor="text1"/>
          <w:lang w:val="es-ES"/>
        </w:rPr>
        <w:t>n</w:t>
      </w:r>
      <w:r w:rsidR="000E096F">
        <w:rPr>
          <w:rFonts w:ascii="Palatino Linotype" w:eastAsia="Times New Roman" w:hAnsi="Palatino Linotype" w:cs="Arial"/>
          <w:color w:val="000000" w:themeColor="text1"/>
          <w:lang w:val="es-ES"/>
        </w:rPr>
        <w:t>es</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0E096F">
        <w:rPr>
          <w:rFonts w:ascii="Palatino Linotype" w:eastAsia="Times New Roman" w:hAnsi="Palatino Linotype" w:cs="Arial"/>
          <w:color w:val="000000" w:themeColor="text1"/>
          <w:lang w:val="es-ES"/>
        </w:rPr>
        <w:t>s</w:t>
      </w:r>
      <w:r w:rsidR="00A45546" w:rsidRPr="00A85CB7">
        <w:rPr>
          <w:rFonts w:ascii="Palatino Linotype" w:eastAsia="Times New Roman" w:hAnsi="Palatino Linotype" w:cs="Arial"/>
          <w:color w:val="000000" w:themeColor="text1"/>
          <w:lang w:val="es-ES"/>
        </w:rPr>
        <w:t xml:space="preserve"> que refirió</w:t>
      </w:r>
      <w:r w:rsidR="00451204">
        <w:rPr>
          <w:rFonts w:ascii="Palatino Linotype" w:eastAsia="Times New Roman" w:hAnsi="Palatino Linotype" w:cs="Arial"/>
          <w:color w:val="000000" w:themeColor="text1"/>
          <w:lang w:val="es-ES"/>
        </w:rPr>
        <w:t>, para ambos escritos recursales,</w:t>
      </w:r>
      <w:r w:rsidR="00A45546" w:rsidRPr="00A85CB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68575A8" w:rsidR="00E34622" w:rsidRP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451204" w:rsidRPr="00451204">
        <w:rPr>
          <w:rFonts w:ascii="Palatino Linotype" w:eastAsia="Times New Roman" w:hAnsi="Palatino Linotype" w:cs="Arial"/>
          <w:i/>
          <w:iCs/>
          <w:color w:val="000000" w:themeColor="text1"/>
          <w:sz w:val="22"/>
          <w:lang w:val="es-ES"/>
        </w:rPr>
        <w:t xml:space="preserve">Solicito recurso de revisión por la forma de clasificación de la </w:t>
      </w:r>
      <w:proofErr w:type="spellStart"/>
      <w:r w:rsidR="00451204" w:rsidRPr="00451204">
        <w:rPr>
          <w:rFonts w:ascii="Palatino Linotype" w:eastAsia="Times New Roman" w:hAnsi="Palatino Linotype" w:cs="Arial"/>
          <w:i/>
          <w:iCs/>
          <w:color w:val="000000" w:themeColor="text1"/>
          <w:sz w:val="22"/>
          <w:lang w:val="es-ES"/>
        </w:rPr>
        <w:t>informacion</w:t>
      </w:r>
      <w:proofErr w:type="spellEnd"/>
      <w:r w:rsidR="00451204" w:rsidRPr="00451204">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E23C82" w14:textId="77777777" w:rsidR="00E85FF3" w:rsidRDefault="00E85FF3" w:rsidP="000E096F">
      <w:pPr>
        <w:pStyle w:val="Prrafodelista"/>
        <w:tabs>
          <w:tab w:val="left" w:pos="426"/>
        </w:tabs>
        <w:spacing w:line="276" w:lineRule="auto"/>
        <w:ind w:left="567" w:right="567"/>
        <w:jc w:val="both"/>
        <w:rPr>
          <w:rFonts w:ascii="Palatino Linotype" w:eastAsia="Times New Roman" w:hAnsi="Palatino Linotype" w:cs="Arial"/>
          <w:b/>
          <w:color w:val="000000" w:themeColor="text1"/>
          <w:sz w:val="22"/>
          <w:lang w:val="es-ES"/>
        </w:rPr>
      </w:pPr>
    </w:p>
    <w:p w14:paraId="7DB0260F" w14:textId="4D43599E" w:rsidR="000E096F" w:rsidRDefault="00E34622" w:rsidP="000E096F">
      <w:pPr>
        <w:pStyle w:val="Prrafodelista"/>
        <w:tabs>
          <w:tab w:val="left" w:pos="426"/>
        </w:tabs>
        <w:spacing w:line="276" w:lineRule="auto"/>
        <w:ind w:left="567"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00451204" w:rsidRPr="00451204">
        <w:rPr>
          <w:rFonts w:ascii="Palatino Linotype" w:eastAsia="Times New Roman" w:hAnsi="Palatino Linotype" w:cs="Arial"/>
          <w:i/>
          <w:iCs/>
          <w:color w:val="000000" w:themeColor="text1"/>
          <w:sz w:val="22"/>
          <w:lang w:val="es-ES"/>
        </w:rPr>
        <w:t xml:space="preserve">Solicito recurso de revisión por la forma de clasificación de la </w:t>
      </w:r>
      <w:proofErr w:type="spellStart"/>
      <w:r w:rsidR="00451204" w:rsidRPr="00451204">
        <w:rPr>
          <w:rFonts w:ascii="Palatino Linotype" w:eastAsia="Times New Roman" w:hAnsi="Palatino Linotype" w:cs="Arial"/>
          <w:i/>
          <w:iCs/>
          <w:color w:val="000000" w:themeColor="text1"/>
          <w:sz w:val="22"/>
          <w:lang w:val="es-ES"/>
        </w:rPr>
        <w:t>informacion</w:t>
      </w:r>
      <w:proofErr w:type="spellEnd"/>
      <w:r w:rsidR="00451204" w:rsidRPr="00451204">
        <w:rPr>
          <w:rFonts w:ascii="Palatino Linotype" w:eastAsia="Times New Roman" w:hAnsi="Palatino Linotype" w:cs="Arial"/>
          <w:color w:val="000000" w:themeColor="text1"/>
          <w:sz w:val="22"/>
          <w:lang w:val="es-ES"/>
        </w:rPr>
        <w:t>.</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E85FF3">
      <w:pPr>
        <w:tabs>
          <w:tab w:val="left" w:pos="426"/>
        </w:tabs>
        <w:spacing w:line="360" w:lineRule="auto"/>
        <w:jc w:val="both"/>
        <w:rPr>
          <w:rFonts w:ascii="Palatino Linotype" w:hAnsi="Palatino Linotype"/>
          <w:color w:val="000000" w:themeColor="text1"/>
          <w:szCs w:val="22"/>
        </w:rPr>
      </w:pPr>
    </w:p>
    <w:p w14:paraId="3F0AFD31" w14:textId="450BC460" w:rsidR="005C7898"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Pr>
          <w:rFonts w:ascii="Palatino Linotype" w:eastAsia="Times New Roman" w:hAnsi="Palatino Linotype" w:cs="Arial"/>
          <w:color w:val="000000" w:themeColor="text1"/>
          <w:lang w:val="es-ES"/>
        </w:rPr>
        <w:t xml:space="preserve">registraron </w:t>
      </w:r>
      <w:r w:rsidRPr="00A85CB7">
        <w:rPr>
          <w:rFonts w:ascii="Palatino Linotype" w:eastAsia="Times New Roman" w:hAnsi="Palatino Linotype" w:cs="Arial"/>
          <w:color w:val="000000" w:themeColor="text1"/>
          <w:lang w:val="es-ES"/>
        </w:rPr>
        <w:t>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recurso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revisión bajo l</w:t>
      </w:r>
      <w:r>
        <w:rPr>
          <w:rFonts w:ascii="Palatino Linotype" w:eastAsia="Times New Roman" w:hAnsi="Palatino Linotype" w:cs="Arial"/>
          <w:color w:val="000000" w:themeColor="text1"/>
          <w:lang w:val="es-ES"/>
        </w:rPr>
        <w:t>os</w:t>
      </w:r>
      <w:r w:rsidRPr="00A85CB7">
        <w:rPr>
          <w:rFonts w:ascii="Palatino Linotype" w:eastAsia="Times New Roman" w:hAnsi="Palatino Linotype" w:cs="Arial"/>
          <w:color w:val="000000" w:themeColor="text1"/>
          <w:lang w:val="es-ES"/>
        </w:rPr>
        <w:t xml:space="preserve"> número</w:t>
      </w:r>
      <w:r>
        <w:rPr>
          <w:rFonts w:ascii="Palatino Linotype" w:eastAsia="Times New Roman" w:hAnsi="Palatino Linotype" w:cs="Arial"/>
          <w:color w:val="000000" w:themeColor="text1"/>
          <w:lang w:val="es-ES"/>
        </w:rPr>
        <w:t>s</w:t>
      </w:r>
      <w:r w:rsidRPr="00A85CB7">
        <w:rPr>
          <w:rFonts w:ascii="Palatino Linotype" w:eastAsia="Times New Roman" w:hAnsi="Palatino Linotype" w:cs="Arial"/>
          <w:color w:val="000000" w:themeColor="text1"/>
          <w:lang w:val="es-ES"/>
        </w:rPr>
        <w:t xml:space="preserve"> de expediente</w:t>
      </w:r>
      <w:r>
        <w:rPr>
          <w:rFonts w:ascii="Palatino Linotype" w:eastAsia="Times New Roman" w:hAnsi="Palatino Linotype" w:cs="Arial"/>
          <w:color w:val="000000" w:themeColor="text1"/>
          <w:lang w:val="es-ES"/>
        </w:rPr>
        <w:t xml:space="preserve"> </w:t>
      </w:r>
      <w:r w:rsidR="00451204">
        <w:rPr>
          <w:rFonts w:ascii="Palatino Linotype" w:eastAsia="Times New Roman" w:hAnsi="Palatino Linotype" w:cs="Arial"/>
          <w:b/>
          <w:color w:val="000000" w:themeColor="text1"/>
          <w:lang w:val="es-ES"/>
        </w:rPr>
        <w:t>05498</w:t>
      </w:r>
      <w:r w:rsidR="009E58CA">
        <w:rPr>
          <w:rFonts w:ascii="Palatino Linotype" w:eastAsia="Times New Roman" w:hAnsi="Palatino Linotype" w:cs="Arial"/>
          <w:b/>
          <w:color w:val="000000" w:themeColor="text1"/>
          <w:lang w:val="es-ES"/>
        </w:rPr>
        <w:t xml:space="preserve">/INFOEM/IP/RR/2021 </w:t>
      </w:r>
      <w:r w:rsidR="009E58CA" w:rsidRPr="00E85FF3">
        <w:rPr>
          <w:rFonts w:ascii="Palatino Linotype" w:eastAsia="Times New Roman" w:hAnsi="Palatino Linotype" w:cs="Arial"/>
          <w:color w:val="000000" w:themeColor="text1"/>
          <w:lang w:val="es-ES"/>
        </w:rPr>
        <w:t>y</w:t>
      </w:r>
      <w:r w:rsidR="009E58CA">
        <w:rPr>
          <w:rFonts w:ascii="Palatino Linotype" w:eastAsia="Times New Roman" w:hAnsi="Palatino Linotype" w:cs="Arial"/>
          <w:b/>
          <w:color w:val="000000" w:themeColor="text1"/>
          <w:lang w:val="es-ES"/>
        </w:rPr>
        <w:t xml:space="preserve"> </w:t>
      </w:r>
      <w:r w:rsidR="00451204">
        <w:rPr>
          <w:rFonts w:ascii="Palatino Linotype" w:eastAsia="Times New Roman" w:hAnsi="Palatino Linotype" w:cs="Arial"/>
          <w:b/>
          <w:color w:val="000000" w:themeColor="text1"/>
          <w:lang w:val="es-ES"/>
        </w:rPr>
        <w:t>05516</w:t>
      </w:r>
      <w:r w:rsidR="009E58CA">
        <w:rPr>
          <w:rFonts w:ascii="Palatino Linotype" w:eastAsia="Times New Roman" w:hAnsi="Palatino Linotype" w:cs="Arial"/>
          <w:b/>
          <w:color w:val="000000" w:themeColor="text1"/>
          <w:lang w:val="es-ES"/>
        </w:rPr>
        <w:t>/INFOEM/IP/RR/2021</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Pr>
          <w:rFonts w:ascii="Palatino Linotype" w:eastAsia="Times New Roman" w:hAnsi="Palatino Linotype" w:cs="Arial"/>
          <w:bCs/>
          <w:color w:val="000000" w:themeColor="text1"/>
          <w:lang w:val="es-ES"/>
        </w:rPr>
        <w:t>se turnaron</w:t>
      </w:r>
      <w:r w:rsidRPr="000A45FD">
        <w:rPr>
          <w:rFonts w:ascii="Palatino Linotype" w:eastAsia="Times New Roman" w:hAnsi="Palatino Linotype" w:cs="Arial"/>
          <w:bCs/>
          <w:color w:val="000000" w:themeColor="text1"/>
          <w:lang w:val="es-ES"/>
        </w:rPr>
        <w:t xml:space="preserve"> </w:t>
      </w:r>
      <w:r>
        <w:rPr>
          <w:rFonts w:ascii="Palatino Linotype" w:eastAsia="Times New Roman" w:hAnsi="Palatino Linotype" w:cs="Arial"/>
          <w:bCs/>
          <w:color w:val="000000" w:themeColor="text1"/>
          <w:lang w:val="es-ES"/>
        </w:rPr>
        <w:t xml:space="preserve">a </w:t>
      </w:r>
      <w:r>
        <w:rPr>
          <w:rFonts w:ascii="Palatino Linotype" w:eastAsia="Times New Roman" w:hAnsi="Palatino Linotype" w:cs="Arial"/>
          <w:bCs/>
          <w:color w:val="000000" w:themeColor="text1"/>
          <w:lang w:val="es-ES"/>
        </w:rPr>
        <w:lastRenderedPageBreak/>
        <w:t>l</w:t>
      </w:r>
      <w:r w:rsidR="00451204">
        <w:rPr>
          <w:rFonts w:ascii="Palatino Linotype" w:eastAsia="Times New Roman" w:hAnsi="Palatino Linotype" w:cs="Arial"/>
          <w:bCs/>
          <w:color w:val="000000" w:themeColor="text1"/>
          <w:lang w:val="es-ES"/>
        </w:rPr>
        <w:t>o</w:t>
      </w:r>
      <w:r>
        <w:rPr>
          <w:rFonts w:ascii="Palatino Linotype" w:eastAsia="Times New Roman" w:hAnsi="Palatino Linotype" w:cs="Arial"/>
          <w:bCs/>
          <w:color w:val="000000" w:themeColor="text1"/>
          <w:lang w:val="es-ES"/>
        </w:rPr>
        <w:t xml:space="preserve">s </w:t>
      </w:r>
      <w:r w:rsidRPr="005C7898">
        <w:rPr>
          <w:rFonts w:ascii="Palatino Linotype" w:eastAsia="Times New Roman" w:hAnsi="Palatino Linotype" w:cs="Arial"/>
          <w:b/>
          <w:bCs/>
          <w:color w:val="000000" w:themeColor="text1"/>
          <w:lang w:val="es-ES"/>
        </w:rPr>
        <w:t>Comisionad</w:t>
      </w:r>
      <w:r w:rsidR="00451204">
        <w:rPr>
          <w:rFonts w:ascii="Palatino Linotype" w:eastAsia="Times New Roman" w:hAnsi="Palatino Linotype" w:cs="Arial"/>
          <w:b/>
          <w:bCs/>
          <w:color w:val="000000" w:themeColor="text1"/>
          <w:lang w:val="es-ES"/>
        </w:rPr>
        <w:t>o</w:t>
      </w:r>
      <w:r w:rsidRPr="005C7898">
        <w:rPr>
          <w:rFonts w:ascii="Palatino Linotype" w:eastAsia="Times New Roman" w:hAnsi="Palatino Linotype" w:cs="Arial"/>
          <w:b/>
          <w:bCs/>
          <w:color w:val="000000" w:themeColor="text1"/>
          <w:lang w:val="es-ES"/>
        </w:rPr>
        <w:t>s María del Rosario Mejía Ayala</w:t>
      </w:r>
      <w:r>
        <w:rPr>
          <w:rFonts w:ascii="Palatino Linotype" w:eastAsia="Times New Roman" w:hAnsi="Palatino Linotype" w:cs="Arial"/>
          <w:bCs/>
          <w:color w:val="000000" w:themeColor="text1"/>
          <w:lang w:val="es-ES"/>
        </w:rPr>
        <w:t xml:space="preserve"> y </w:t>
      </w:r>
      <w:r w:rsidR="00451204">
        <w:rPr>
          <w:rFonts w:ascii="Palatino Linotype" w:eastAsia="Times New Roman" w:hAnsi="Palatino Linotype" w:cs="Arial"/>
          <w:b/>
          <w:bCs/>
          <w:color w:val="000000" w:themeColor="text1"/>
          <w:lang w:val="es-ES"/>
        </w:rPr>
        <w:t>Luis Gustavo Parra Noriega</w:t>
      </w:r>
      <w:r>
        <w:rPr>
          <w:rFonts w:ascii="Palatino Linotype" w:eastAsia="Times New Roman" w:hAnsi="Palatino Linotype" w:cs="Arial"/>
          <w:bCs/>
          <w:color w:val="000000" w:themeColor="text1"/>
          <w:lang w:val="es-ES"/>
        </w:rPr>
        <w:t xml:space="preserve"> respectivamente</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646169C3" w:rsidR="00473F11" w:rsidRPr="00473F11" w:rsidRDefault="00473F1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w:t>
      </w:r>
      <w:r w:rsidR="005C7898">
        <w:rPr>
          <w:rFonts w:ascii="Palatino Linotype" w:eastAsia="Times New Roman" w:hAnsi="Palatino Linotype" w:cs="Arial"/>
          <w:color w:val="000000" w:themeColor="text1"/>
          <w:lang w:val="es-ES"/>
        </w:rPr>
        <w:t>a</w:t>
      </w:r>
      <w:r>
        <w:rPr>
          <w:rFonts w:ascii="Palatino Linotype" w:eastAsia="Times New Roman" w:hAnsi="Palatino Linotype" w:cs="Arial"/>
          <w:color w:val="000000" w:themeColor="text1"/>
          <w:lang w:val="es-ES"/>
        </w:rPr>
        <w:t xml:space="preserve">s </w:t>
      </w:r>
      <w:bookmarkStart w:id="3" w:name="_Hlk74251533"/>
      <w:r w:rsidRPr="001D52C3">
        <w:rPr>
          <w:rFonts w:ascii="Palatino Linotype" w:eastAsia="Calibri" w:hAnsi="Palatino Linotype" w:cs="Arial"/>
          <w:color w:val="000000" w:themeColor="text1"/>
          <w:lang w:val="es-ES"/>
        </w:rPr>
        <w:t>Comisionados Ponentes, con fundamento en lo dispuesto por el artículo 185</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Pr="001D52C3">
        <w:rPr>
          <w:rFonts w:ascii="Palatino Linotype" w:eastAsia="Calibri" w:hAnsi="Palatino Linotype" w:cs="Arial"/>
          <w:color w:val="000000" w:themeColor="text1"/>
          <w:lang w:val="es-ES"/>
        </w:rPr>
        <w:t xml:space="preserve"> de la ley de la materia, a través de los acuerdos de admisión de</w:t>
      </w:r>
      <w:r w:rsidR="007E5A30">
        <w:rPr>
          <w:rFonts w:ascii="Palatino Linotype" w:eastAsia="Calibri" w:hAnsi="Palatino Linotype" w:cs="Arial"/>
          <w:color w:val="000000" w:themeColor="text1"/>
          <w:lang w:val="es-ES"/>
        </w:rPr>
        <w:t xml:space="preserve"> </w:t>
      </w:r>
      <w:r w:rsidR="00451204">
        <w:rPr>
          <w:rFonts w:ascii="Palatino Linotype" w:eastAsia="Calibri" w:hAnsi="Palatino Linotype" w:cs="Arial"/>
          <w:color w:val="000000" w:themeColor="text1"/>
          <w:lang w:val="es-ES"/>
        </w:rPr>
        <w:t>diecisiete (17) de noviembre</w:t>
      </w:r>
      <w:r>
        <w:rPr>
          <w:rFonts w:ascii="Palatino Linotype" w:eastAsia="Calibri" w:hAnsi="Palatino Linotype" w:cs="Arial"/>
          <w:color w:val="000000" w:themeColor="text1"/>
          <w:lang w:val="es-ES"/>
        </w:rPr>
        <w:t xml:space="preserve"> de dos mil veintiuno</w:t>
      </w:r>
      <w:r w:rsidRPr="001D52C3">
        <w:rPr>
          <w:rFonts w:ascii="Palatino Linotype" w:eastAsia="Calibri" w:hAnsi="Palatino Linotype" w:cs="Arial"/>
          <w:color w:val="000000" w:themeColor="text1"/>
          <w:lang w:val="es-ES"/>
        </w:rPr>
        <w:t xml:space="preserve">, pusieron a disposición de las partes los expedientes electrónicos </w:t>
      </w:r>
      <w:r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Pr="001D52C3">
        <w:rPr>
          <w:rFonts w:ascii="Palatino Linotype" w:eastAsia="Calibri" w:hAnsi="Palatino Linotype" w:cs="Arial"/>
          <w:b/>
          <w:color w:val="000000" w:themeColor="text1"/>
          <w:lang w:val="es-ES"/>
        </w:rPr>
        <w:t>SUJETO OBLIGADO</w:t>
      </w:r>
      <w:r w:rsidRPr="001D52C3">
        <w:rPr>
          <w:rFonts w:ascii="Palatino Linotype" w:eastAsia="Calibri" w:hAnsi="Palatino Linotype" w:cs="Arial"/>
          <w:color w:val="000000" w:themeColor="text1"/>
          <w:lang w:val="es-ES"/>
        </w:rPr>
        <w:t xml:space="preserve"> presentara los Informes Justificados procedentes.</w:t>
      </w:r>
      <w:bookmarkEnd w:id="3"/>
    </w:p>
    <w:p w14:paraId="59E772B8" w14:textId="77777777" w:rsidR="00473F11" w:rsidRPr="00473F11" w:rsidRDefault="00473F11" w:rsidP="00473F11">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5357276" w14:textId="25790D04" w:rsidR="007263AA" w:rsidRPr="00F67164" w:rsidRDefault="00F67164" w:rsidP="00F67164">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eastAsia="Calibri" w:hAnsi="Palatino Linotype" w:cs="Arial"/>
          <w:color w:val="000000" w:themeColor="text1"/>
          <w:lang w:val="es-ES"/>
        </w:rPr>
        <w:t xml:space="preserve">De las constancias </w:t>
      </w:r>
      <w:r w:rsidRPr="00F67164">
        <w:rPr>
          <w:rFonts w:ascii="Palatino Linotype" w:eastAsia="Calibri" w:hAnsi="Palatino Linotype" w:cs="Arial"/>
          <w:color w:val="000000" w:themeColor="text1"/>
          <w:lang w:val="es-ES_tradnl"/>
        </w:rPr>
        <w:t xml:space="preserve">que obran en </w:t>
      </w:r>
      <w:r>
        <w:rPr>
          <w:rFonts w:ascii="Palatino Linotype" w:eastAsia="Calibri" w:hAnsi="Palatino Linotype" w:cs="Arial"/>
          <w:color w:val="000000" w:themeColor="text1"/>
          <w:lang w:val="es-ES_tradnl"/>
        </w:rPr>
        <w:t>los</w:t>
      </w:r>
      <w:r w:rsidRPr="00F67164">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digital</w:t>
      </w:r>
      <w:r>
        <w:rPr>
          <w:rFonts w:ascii="Palatino Linotype" w:eastAsia="Calibri" w:hAnsi="Palatino Linotype" w:cs="Arial"/>
          <w:color w:val="000000" w:themeColor="text1"/>
          <w:lang w:val="es-ES_tradnl"/>
        </w:rPr>
        <w:t>es</w:t>
      </w:r>
      <w:r w:rsidRPr="00F67164">
        <w:rPr>
          <w:rFonts w:ascii="Palatino Linotype" w:eastAsia="Calibri" w:hAnsi="Palatino Linotype" w:cs="Arial"/>
          <w:color w:val="000000" w:themeColor="text1"/>
          <w:lang w:val="es-ES_tradnl"/>
        </w:rPr>
        <w:t xml:space="preserve"> de</w:t>
      </w:r>
      <w:r>
        <w:rPr>
          <w:rFonts w:ascii="Palatino Linotype" w:eastAsia="Calibri" w:hAnsi="Palatino Linotype" w:cs="Arial"/>
          <w:color w:val="000000" w:themeColor="text1"/>
          <w:lang w:val="es-ES_tradnl"/>
        </w:rPr>
        <w:t xml:space="preserve"> </w:t>
      </w:r>
      <w:r w:rsidRPr="00F67164">
        <w:rPr>
          <w:rFonts w:ascii="Palatino Linotype" w:eastAsia="Calibri" w:hAnsi="Palatino Linotype" w:cs="Arial"/>
          <w:color w:val="000000" w:themeColor="text1"/>
          <w:lang w:val="es-ES_tradnl"/>
        </w:rPr>
        <w:t>l</w:t>
      </w:r>
      <w:r>
        <w:rPr>
          <w:rFonts w:ascii="Palatino Linotype" w:eastAsia="Calibri" w:hAnsi="Palatino Linotype" w:cs="Arial"/>
          <w:color w:val="000000" w:themeColor="text1"/>
          <w:lang w:val="es-ES_tradnl"/>
        </w:rPr>
        <w:t>os</w:t>
      </w:r>
      <w:r w:rsidRPr="00F67164">
        <w:rPr>
          <w:rFonts w:ascii="Palatino Linotype" w:eastAsia="Calibri" w:hAnsi="Palatino Linotype" w:cs="Arial"/>
          <w:color w:val="000000" w:themeColor="text1"/>
          <w:lang w:val="es-ES_tradnl"/>
        </w:rPr>
        <w:t xml:space="preserve"> recurso</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de revisión</w:t>
      </w:r>
      <w:r>
        <w:rPr>
          <w:rFonts w:ascii="Palatino Linotype" w:eastAsia="Calibri" w:hAnsi="Palatino Linotype" w:cs="Arial"/>
          <w:color w:val="000000" w:themeColor="text1"/>
          <w:lang w:val="es-ES_tradnl"/>
        </w:rPr>
        <w:t xml:space="preserve"> acumulados</w:t>
      </w:r>
      <w:r w:rsidRPr="00F67164">
        <w:rPr>
          <w:rFonts w:ascii="Palatino Linotype" w:eastAsia="Calibri" w:hAnsi="Palatino Linotype" w:cs="Arial"/>
          <w:color w:val="000000" w:themeColor="text1"/>
          <w:lang w:val="es-ES_tradnl"/>
        </w:rPr>
        <w:t xml:space="preserve"> que hoy se resuelve</w:t>
      </w:r>
      <w:r>
        <w:rPr>
          <w:rFonts w:ascii="Palatino Linotype" w:eastAsia="Calibri" w:hAnsi="Palatino Linotype" w:cs="Arial"/>
          <w:color w:val="000000" w:themeColor="text1"/>
          <w:lang w:val="es-ES_tradnl"/>
        </w:rPr>
        <w:t>n</w:t>
      </w:r>
      <w:r w:rsidRPr="00F67164">
        <w:rPr>
          <w:rFonts w:ascii="Palatino Linotype" w:eastAsia="Calibri" w:hAnsi="Palatino Linotype" w:cs="Arial"/>
          <w:color w:val="000000" w:themeColor="text1"/>
          <w:lang w:val="es-ES_tradnl"/>
        </w:rPr>
        <w:t xml:space="preserve">, se aprecia que el </w:t>
      </w:r>
      <w:r w:rsidRPr="00F67164">
        <w:rPr>
          <w:rFonts w:ascii="Palatino Linotype" w:eastAsia="Calibri" w:hAnsi="Palatino Linotype" w:cs="Arial"/>
          <w:b/>
          <w:color w:val="000000" w:themeColor="text1"/>
          <w:lang w:val="es-ES_tradnl"/>
        </w:rPr>
        <w:t xml:space="preserve">SUJETO OBLIGADO </w:t>
      </w:r>
      <w:r w:rsidRPr="00F67164">
        <w:rPr>
          <w:rFonts w:ascii="Palatino Linotype" w:eastAsia="Calibri" w:hAnsi="Palatino Linotype" w:cs="Arial"/>
          <w:color w:val="000000" w:themeColor="text1"/>
          <w:lang w:val="es-ES_tradnl"/>
        </w:rPr>
        <w:t>no rindió su</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informe</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justificado</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para manifestar lo que a su derecho conviniera; por su parte, el </w:t>
      </w:r>
      <w:r w:rsidRPr="00F67164">
        <w:rPr>
          <w:rFonts w:ascii="Palatino Linotype" w:eastAsia="Calibri" w:hAnsi="Palatino Linotype" w:cs="Arial"/>
          <w:b/>
          <w:color w:val="000000" w:themeColor="text1"/>
          <w:lang w:val="es-ES_tradnl"/>
        </w:rPr>
        <w:t xml:space="preserve">RECURRENTE </w:t>
      </w:r>
      <w:r w:rsidRPr="00F67164">
        <w:rPr>
          <w:rFonts w:ascii="Palatino Linotype" w:eastAsia="Calibri" w:hAnsi="Palatino Linotype" w:cs="Arial"/>
          <w:color w:val="000000" w:themeColor="text1"/>
          <w:lang w:val="es-ES_tradnl"/>
        </w:rPr>
        <w:t>no presentó alegatos ni ofreció medios de prueba. Se adjunta</w:t>
      </w:r>
      <w:r>
        <w:rPr>
          <w:rFonts w:ascii="Palatino Linotype" w:eastAsia="Calibri" w:hAnsi="Palatino Linotype" w:cs="Arial"/>
          <w:color w:val="000000" w:themeColor="text1"/>
          <w:lang w:val="es-ES_tradnl"/>
        </w:rPr>
        <w:t>n</w:t>
      </w:r>
      <w:r w:rsidRPr="00F67164">
        <w:rPr>
          <w:rFonts w:ascii="Palatino Linotype" w:eastAsia="Calibri" w:hAnsi="Palatino Linotype" w:cs="Arial"/>
          <w:color w:val="000000" w:themeColor="text1"/>
          <w:lang w:val="es-ES_tradnl"/>
        </w:rPr>
        <w:t xml:space="preserve"> capturas del apartado de </w:t>
      </w:r>
      <w:r w:rsidRPr="00F67164">
        <w:rPr>
          <w:rFonts w:ascii="Palatino Linotype" w:eastAsia="Calibri" w:hAnsi="Palatino Linotype" w:cs="Arial"/>
          <w:i/>
          <w:iCs/>
          <w:color w:val="000000" w:themeColor="text1"/>
          <w:lang w:val="es-ES_tradnl"/>
        </w:rPr>
        <w:t>Manifestaciones</w:t>
      </w:r>
      <w:r w:rsidRPr="00F67164">
        <w:rPr>
          <w:rFonts w:ascii="Palatino Linotype" w:eastAsia="Calibri" w:hAnsi="Palatino Linotype" w:cs="Arial"/>
          <w:color w:val="000000" w:themeColor="text1"/>
          <w:lang w:val="es-ES_tradnl"/>
        </w:rPr>
        <w:t xml:space="preserve"> del SAIMEX de</w:t>
      </w:r>
      <w:r>
        <w:rPr>
          <w:rFonts w:ascii="Palatino Linotype" w:eastAsia="Calibri" w:hAnsi="Palatino Linotype" w:cs="Arial"/>
          <w:color w:val="000000" w:themeColor="text1"/>
          <w:lang w:val="es-ES_tradnl"/>
        </w:rPr>
        <w:t xml:space="preserve"> ambos</w:t>
      </w:r>
      <w:r w:rsidRPr="00F67164">
        <w:rPr>
          <w:rFonts w:ascii="Palatino Linotype" w:eastAsia="Calibri" w:hAnsi="Palatino Linotype" w:cs="Arial"/>
          <w:color w:val="000000" w:themeColor="text1"/>
          <w:lang w:val="es-ES_tradnl"/>
        </w:rPr>
        <w:t xml:space="preserve"> expediente</w:t>
      </w:r>
      <w:r>
        <w:rPr>
          <w:rFonts w:ascii="Palatino Linotype" w:eastAsia="Calibri" w:hAnsi="Palatino Linotype" w:cs="Arial"/>
          <w:color w:val="000000" w:themeColor="text1"/>
          <w:lang w:val="es-ES_tradnl"/>
        </w:rPr>
        <w:t>s</w:t>
      </w:r>
      <w:r w:rsidRPr="00F67164">
        <w:rPr>
          <w:rFonts w:ascii="Palatino Linotype" w:eastAsia="Calibri" w:hAnsi="Palatino Linotype" w:cs="Arial"/>
          <w:color w:val="000000" w:themeColor="text1"/>
          <w:lang w:val="es-ES_tradnl"/>
        </w:rPr>
        <w:t xml:space="preserve"> a modo de referencia:</w:t>
      </w:r>
    </w:p>
    <w:p w14:paraId="6BC87796" w14:textId="2FF524A7" w:rsidR="00F67164" w:rsidRDefault="00F67164" w:rsidP="00F67164">
      <w:pPr>
        <w:pStyle w:val="Prrafodelista"/>
        <w:tabs>
          <w:tab w:val="left" w:pos="426"/>
        </w:tabs>
        <w:spacing w:line="360" w:lineRule="auto"/>
        <w:ind w:left="0"/>
        <w:jc w:val="both"/>
        <w:rPr>
          <w:rFonts w:ascii="Palatino Linotype" w:hAnsi="Palatino Linotype"/>
          <w:color w:val="000000" w:themeColor="text1"/>
        </w:rPr>
      </w:pPr>
    </w:p>
    <w:p w14:paraId="31A6EA2C" w14:textId="11F050E0" w:rsidR="00F67164" w:rsidRDefault="00F67164" w:rsidP="00F67164">
      <w:pPr>
        <w:pStyle w:val="Prrafodelista"/>
        <w:tabs>
          <w:tab w:val="left" w:pos="426"/>
        </w:tabs>
        <w:spacing w:line="360" w:lineRule="auto"/>
        <w:ind w:left="0"/>
        <w:jc w:val="center"/>
      </w:pPr>
      <w:r>
        <w:object w:dxaOrig="13065" w:dyaOrig="3195" w14:anchorId="380813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2pt;height:94.05pt" o:ole="" o:bordertopcolor="this" o:borderleftcolor="this" o:borderbottomcolor="this" o:borderrightcolor="this">
            <v:imagedata r:id="rId8" o:title=""/>
            <w10:bordertop type="single" width="8"/>
            <w10:borderleft type="single" width="8"/>
            <w10:borderbottom type="single" width="8"/>
            <w10:borderright type="single" width="8"/>
          </v:shape>
          <o:OLEObject Type="Embed" ProgID="Paint.Picture" ShapeID="_x0000_i1025" DrawAspect="Content" ObjectID="_1708282836" r:id="rId9"/>
        </w:object>
      </w:r>
    </w:p>
    <w:p w14:paraId="4B5B6350" w14:textId="21EAF2F0" w:rsidR="00F67164" w:rsidRDefault="00F67164" w:rsidP="00F67164">
      <w:pPr>
        <w:pStyle w:val="Prrafodelista"/>
        <w:tabs>
          <w:tab w:val="left" w:pos="426"/>
        </w:tabs>
        <w:spacing w:line="360" w:lineRule="auto"/>
        <w:ind w:left="0"/>
        <w:jc w:val="center"/>
        <w:rPr>
          <w:rFonts w:ascii="Palatino Linotype" w:hAnsi="Palatino Linotype"/>
          <w:color w:val="000000" w:themeColor="text1"/>
        </w:rPr>
      </w:pPr>
      <w:r>
        <w:object w:dxaOrig="13080" w:dyaOrig="3240" w14:anchorId="0BFDC7E9">
          <v:shape id="_x0000_i1026" type="#_x0000_t75" style="width:387.4pt;height:95.1pt" o:ole="" o:bordertopcolor="this" o:borderleftcolor="this" o:borderbottomcolor="this" o:borderrightcolor="this">
            <v:imagedata r:id="rId10" o:title=""/>
            <w10:bordertop type="single" width="8"/>
            <w10:borderleft type="single" width="8"/>
            <w10:borderbottom type="single" width="8"/>
            <w10:borderright type="single" width="8"/>
          </v:shape>
          <o:OLEObject Type="Embed" ProgID="Paint.Picture" ShapeID="_x0000_i1026" DrawAspect="Content" ObjectID="_1708282837" r:id="rId11"/>
        </w:object>
      </w:r>
    </w:p>
    <w:p w14:paraId="05FABC63" w14:textId="77777777" w:rsidR="00F67164" w:rsidRDefault="00F67164" w:rsidP="00F67164">
      <w:pPr>
        <w:pStyle w:val="Prrafodelista"/>
        <w:tabs>
          <w:tab w:val="left" w:pos="426"/>
        </w:tabs>
        <w:spacing w:line="360" w:lineRule="auto"/>
        <w:ind w:left="0"/>
        <w:jc w:val="both"/>
        <w:rPr>
          <w:rFonts w:ascii="Palatino Linotype" w:hAnsi="Palatino Linotype"/>
          <w:color w:val="000000" w:themeColor="text1"/>
        </w:rPr>
      </w:pPr>
    </w:p>
    <w:p w14:paraId="229553BD" w14:textId="4ED04726" w:rsidR="005C7898" w:rsidRPr="00473F11" w:rsidRDefault="00F02219"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250"/>
      <w:bookmarkStart w:id="5" w:name="_Toc461555889"/>
      <w:bookmarkStart w:id="6" w:name="_Toc466371858"/>
      <w:r>
        <w:rPr>
          <w:rFonts w:ascii="Palatino Linotype" w:eastAsia="Times New Roman" w:hAnsi="Palatino Linotype" w:cs="Arial"/>
          <w:color w:val="000000" w:themeColor="text1"/>
        </w:rPr>
        <w:t>E</w:t>
      </w:r>
      <w:r w:rsidR="005C7898" w:rsidRPr="009B19D3">
        <w:rPr>
          <w:rFonts w:ascii="Palatino Linotype" w:eastAsia="Times New Roman" w:hAnsi="Palatino Linotype" w:cs="Arial"/>
          <w:color w:val="000000" w:themeColor="text1"/>
        </w:rPr>
        <w:t>n la</w:t>
      </w:r>
      <w:r w:rsidR="005C7898" w:rsidRPr="009B19D3">
        <w:rPr>
          <w:rFonts w:ascii="Palatino Linotype" w:eastAsia="Times New Roman" w:hAnsi="Palatino Linotype" w:cs="Arial"/>
          <w:b/>
          <w:color w:val="000000" w:themeColor="text1"/>
        </w:rPr>
        <w:t xml:space="preserve"> </w:t>
      </w:r>
      <w:r w:rsidR="007263AA">
        <w:rPr>
          <w:rFonts w:ascii="Palatino Linotype" w:eastAsia="Times New Roman" w:hAnsi="Palatino Linotype" w:cs="Arial"/>
          <w:b/>
          <w:color w:val="000000" w:themeColor="text1"/>
        </w:rPr>
        <w:t>Cuadragésima</w:t>
      </w:r>
      <w:r w:rsidR="005C7898" w:rsidRPr="009B19D3">
        <w:rPr>
          <w:rFonts w:ascii="Palatino Linotype" w:eastAsia="Times New Roman" w:hAnsi="Palatino Linotype" w:cs="Arial"/>
          <w:b/>
          <w:color w:val="000000" w:themeColor="text1"/>
        </w:rPr>
        <w:t xml:space="preserve"> </w:t>
      </w:r>
      <w:r>
        <w:rPr>
          <w:rFonts w:ascii="Palatino Linotype" w:eastAsia="Times New Roman" w:hAnsi="Palatino Linotype" w:cs="Arial"/>
          <w:b/>
          <w:color w:val="000000" w:themeColor="text1"/>
        </w:rPr>
        <w:t xml:space="preserve">Segunda </w:t>
      </w:r>
      <w:r w:rsidR="005C7898" w:rsidRPr="009B19D3">
        <w:rPr>
          <w:rFonts w:ascii="Palatino Linotype" w:eastAsia="Times New Roman" w:hAnsi="Palatino Linotype" w:cs="Arial"/>
          <w:b/>
          <w:color w:val="000000" w:themeColor="text1"/>
        </w:rPr>
        <w:t>Sesión Ordinaria</w:t>
      </w:r>
      <w:r w:rsidR="005C7898" w:rsidRPr="007C417A">
        <w:rPr>
          <w:rFonts w:ascii="Palatino Linotype" w:eastAsia="Times New Roman" w:hAnsi="Palatino Linotype" w:cs="Arial"/>
          <w:b/>
          <w:color w:val="000000" w:themeColor="text1"/>
        </w:rPr>
        <w:t xml:space="preserve">, </w:t>
      </w:r>
      <w:r w:rsidR="005C7898" w:rsidRPr="007C417A">
        <w:rPr>
          <w:rFonts w:ascii="Palatino Linotype" w:eastAsia="Times New Roman" w:hAnsi="Palatino Linotype" w:cs="Arial"/>
          <w:color w:val="000000" w:themeColor="text1"/>
        </w:rPr>
        <w:t xml:space="preserve">celebrada el </w:t>
      </w:r>
      <w:r>
        <w:rPr>
          <w:rFonts w:ascii="Palatino Linotype" w:eastAsia="Times New Roman" w:hAnsi="Palatino Linotype" w:cs="Arial"/>
          <w:color w:val="000000" w:themeColor="text1"/>
        </w:rPr>
        <w:t>veinticuatro (24</w:t>
      </w:r>
      <w:r w:rsidR="005C7898">
        <w:rPr>
          <w:rFonts w:ascii="Palatino Linotype" w:eastAsia="Times New Roman" w:hAnsi="Palatino Linotype" w:cs="Arial"/>
          <w:color w:val="000000" w:themeColor="text1"/>
        </w:rPr>
        <w:t>) de noviembre</w:t>
      </w:r>
      <w:r w:rsidR="005C7898" w:rsidRPr="007C417A">
        <w:rPr>
          <w:rFonts w:ascii="Palatino Linotype" w:eastAsia="Times New Roman" w:hAnsi="Palatino Linotype" w:cs="Arial"/>
          <w:color w:val="000000" w:themeColor="text1"/>
        </w:rPr>
        <w:t xml:space="preserve"> de dos mil veintiuno, </w:t>
      </w:r>
      <w:r w:rsidR="007263AA" w:rsidRPr="009B19D3">
        <w:rPr>
          <w:rFonts w:ascii="Palatino Linotype" w:eastAsia="Times New Roman" w:hAnsi="Palatino Linotype" w:cs="Arial"/>
          <w:color w:val="000000" w:themeColor="text1"/>
        </w:rPr>
        <w:t>el</w:t>
      </w:r>
      <w:r w:rsidR="007263AA">
        <w:rPr>
          <w:rFonts w:ascii="Palatino Linotype" w:eastAsia="Times New Roman" w:hAnsi="Palatino Linotype" w:cs="Arial"/>
          <w:color w:val="000000" w:themeColor="text1"/>
        </w:rPr>
        <w:t xml:space="preserve"> Pleno de este Órgano Autónomo </w:t>
      </w:r>
      <w:r w:rsidR="005C7898" w:rsidRPr="007C417A">
        <w:rPr>
          <w:rFonts w:ascii="Palatino Linotype" w:eastAsia="Times New Roman" w:hAnsi="Palatino Linotype" w:cs="Arial"/>
          <w:color w:val="000000" w:themeColor="text1"/>
        </w:rPr>
        <w:t>ordenó la acumulación del recurso de revisión</w:t>
      </w:r>
      <w:r w:rsidR="005C7898">
        <w:rPr>
          <w:rFonts w:ascii="Palatino Linotype" w:eastAsia="Times New Roman" w:hAnsi="Palatino Linotype" w:cs="Arial"/>
          <w:color w:val="000000" w:themeColor="text1"/>
        </w:rPr>
        <w:t xml:space="preserve"> </w:t>
      </w:r>
      <w:r>
        <w:rPr>
          <w:rFonts w:ascii="Palatino Linotype" w:eastAsia="Times New Roman" w:hAnsi="Palatino Linotype" w:cs="Arial"/>
          <w:b/>
          <w:color w:val="000000" w:themeColor="text1"/>
        </w:rPr>
        <w:t>05516</w:t>
      </w:r>
      <w:r w:rsidR="005C7898">
        <w:rPr>
          <w:rFonts w:ascii="Palatino Linotype" w:eastAsia="Times New Roman" w:hAnsi="Palatino Linotype" w:cs="Arial"/>
          <w:b/>
          <w:color w:val="000000" w:themeColor="text1"/>
        </w:rPr>
        <w:t>/INFOEM/IP/RR/2021</w:t>
      </w:r>
      <w:r w:rsidR="005C7898">
        <w:rPr>
          <w:rFonts w:ascii="Palatino Linotype" w:eastAsia="Times New Roman" w:hAnsi="Palatino Linotype" w:cs="Arial"/>
          <w:color w:val="000000" w:themeColor="text1"/>
        </w:rPr>
        <w:t>, turnado</w:t>
      </w:r>
      <w:r w:rsidR="005C7898" w:rsidRPr="007C417A">
        <w:rPr>
          <w:rFonts w:ascii="Palatino Linotype" w:eastAsia="Times New Roman" w:hAnsi="Palatino Linotype" w:cs="Arial"/>
          <w:b/>
          <w:bCs/>
          <w:color w:val="000000" w:themeColor="text1"/>
        </w:rPr>
        <w:t xml:space="preserve"> </w:t>
      </w:r>
      <w:r w:rsidR="005C7898" w:rsidRPr="007C417A">
        <w:rPr>
          <w:rFonts w:ascii="Palatino Linotype" w:eastAsia="Times New Roman" w:hAnsi="Palatino Linotype" w:cs="Arial"/>
          <w:bCs/>
          <w:color w:val="000000" w:themeColor="text1"/>
        </w:rPr>
        <w:t>originalmente</w:t>
      </w:r>
      <w:r w:rsidR="005C7898">
        <w:rPr>
          <w:rFonts w:ascii="Palatino Linotype" w:eastAsia="Times New Roman" w:hAnsi="Palatino Linotype" w:cs="Arial"/>
          <w:bCs/>
          <w:color w:val="000000" w:themeColor="text1"/>
        </w:rPr>
        <w:t xml:space="preserve"> al </w:t>
      </w:r>
      <w:r w:rsidR="005C7898" w:rsidRPr="00473F11">
        <w:rPr>
          <w:rFonts w:ascii="Palatino Linotype" w:eastAsia="Times New Roman" w:hAnsi="Palatino Linotype" w:cs="Arial"/>
          <w:b/>
          <w:bCs/>
          <w:color w:val="000000" w:themeColor="text1"/>
        </w:rPr>
        <w:t>Comisionad</w:t>
      </w:r>
      <w:r>
        <w:rPr>
          <w:rFonts w:ascii="Palatino Linotype" w:eastAsia="Times New Roman" w:hAnsi="Palatino Linotype" w:cs="Arial"/>
          <w:b/>
          <w:bCs/>
          <w:color w:val="000000" w:themeColor="text1"/>
        </w:rPr>
        <w:t>o</w:t>
      </w:r>
      <w:r w:rsidR="005C7898" w:rsidRPr="00473F11">
        <w:rPr>
          <w:rFonts w:ascii="Palatino Linotype" w:eastAsia="Times New Roman" w:hAnsi="Palatino Linotype" w:cs="Arial"/>
          <w:b/>
          <w:bCs/>
          <w:color w:val="000000" w:themeColor="text1"/>
        </w:rPr>
        <w:t xml:space="preserve"> </w:t>
      </w:r>
      <w:r>
        <w:rPr>
          <w:rFonts w:ascii="Palatino Linotype" w:eastAsia="Times New Roman" w:hAnsi="Palatino Linotype" w:cs="Arial"/>
          <w:b/>
          <w:bCs/>
          <w:color w:val="000000" w:themeColor="text1"/>
        </w:rPr>
        <w:t>Luis Gustavo Parra Noriega</w:t>
      </w:r>
      <w:r w:rsidR="005C7898">
        <w:rPr>
          <w:rFonts w:ascii="Palatino Linotype" w:eastAsia="Times New Roman" w:hAnsi="Palatino Linotype" w:cs="Arial"/>
          <w:bCs/>
          <w:color w:val="000000" w:themeColor="text1"/>
        </w:rPr>
        <w:t>,</w:t>
      </w:r>
      <w:r w:rsidR="005C7898" w:rsidRPr="007C417A">
        <w:rPr>
          <w:rFonts w:ascii="Palatino Linotype" w:eastAsia="Times New Roman" w:hAnsi="Palatino Linotype" w:cs="Arial"/>
          <w:b/>
          <w:bCs/>
          <w:color w:val="000000" w:themeColor="text1"/>
        </w:rPr>
        <w:t xml:space="preserve"> </w:t>
      </w:r>
      <w:r w:rsidR="005C7898" w:rsidRPr="007C417A">
        <w:rPr>
          <w:rFonts w:ascii="Palatino Linotype" w:eastAsia="Times New Roman" w:hAnsi="Palatino Linotype" w:cs="Arial"/>
          <w:b/>
          <w:color w:val="000000" w:themeColor="text1"/>
        </w:rPr>
        <w:t xml:space="preserve"> </w:t>
      </w:r>
      <w:r w:rsidR="005C7898">
        <w:rPr>
          <w:rFonts w:ascii="Palatino Linotype" w:eastAsia="Times New Roman" w:hAnsi="Palatino Linotype" w:cs="Arial"/>
          <w:color w:val="000000" w:themeColor="text1"/>
        </w:rPr>
        <w:t xml:space="preserve">al diverso </w:t>
      </w:r>
      <w:r>
        <w:rPr>
          <w:rFonts w:ascii="Palatino Linotype" w:eastAsia="Times New Roman" w:hAnsi="Palatino Linotype" w:cs="Arial"/>
          <w:b/>
          <w:color w:val="000000" w:themeColor="text1"/>
        </w:rPr>
        <w:t>05498</w:t>
      </w:r>
      <w:r w:rsidR="005C7898">
        <w:rPr>
          <w:rFonts w:ascii="Palatino Linotype" w:eastAsia="Times New Roman" w:hAnsi="Palatino Linotype" w:cs="Arial"/>
          <w:b/>
          <w:color w:val="000000" w:themeColor="text1"/>
        </w:rPr>
        <w:t>/INFOEM/IP/RR/2021</w:t>
      </w:r>
      <w:r w:rsidR="005C7898">
        <w:rPr>
          <w:rFonts w:ascii="Palatino Linotype" w:eastAsia="Times New Roman" w:hAnsi="Palatino Linotype" w:cs="Arial"/>
          <w:color w:val="000000" w:themeColor="text1"/>
        </w:rPr>
        <w:t xml:space="preserve">, </w:t>
      </w:r>
      <w:r w:rsidR="002B0692">
        <w:rPr>
          <w:rFonts w:ascii="Palatino Linotype" w:eastAsia="Times New Roman" w:hAnsi="Palatino Linotype" w:cs="Arial"/>
          <w:color w:val="000000" w:themeColor="text1"/>
        </w:rPr>
        <w:t xml:space="preserve">a efecto de que </w:t>
      </w:r>
      <w:r>
        <w:rPr>
          <w:rFonts w:ascii="Palatino Linotype" w:eastAsia="Times New Roman" w:hAnsi="Palatino Linotype" w:cs="Arial"/>
          <w:color w:val="000000" w:themeColor="text1"/>
        </w:rPr>
        <w:t xml:space="preserve">la Ponencia de la </w:t>
      </w:r>
      <w:r>
        <w:rPr>
          <w:rFonts w:ascii="Palatino Linotype" w:eastAsia="Times New Roman" w:hAnsi="Palatino Linotype" w:cs="Arial"/>
          <w:b/>
          <w:bCs/>
          <w:color w:val="000000" w:themeColor="text1"/>
        </w:rPr>
        <w:t>Comisionada María del Rosario Mejía Ayala</w:t>
      </w:r>
      <w:r w:rsidR="002B0692">
        <w:rPr>
          <w:rFonts w:ascii="Palatino Linotype" w:eastAsia="Times New Roman" w:hAnsi="Palatino Linotype" w:cs="Arial"/>
          <w:color w:val="000000" w:themeColor="text1"/>
        </w:rPr>
        <w:t xml:space="preserve"> </w:t>
      </w:r>
      <w:r w:rsidR="005C7898" w:rsidRPr="007C417A">
        <w:rPr>
          <w:rFonts w:ascii="Palatino Linotype" w:eastAsia="Times New Roman" w:hAnsi="Palatino Linotype" w:cs="Arial"/>
          <w:color w:val="000000" w:themeColor="text1"/>
        </w:rPr>
        <w:t xml:space="preserve">formulara y presentara el proyecto de resolución correspondiente, de conformidad con el numeral ONCE incisos b) y c) de los </w:t>
      </w:r>
      <w:r w:rsidR="005C7898" w:rsidRPr="00473F11">
        <w:rPr>
          <w:rFonts w:ascii="Palatino Linotype" w:eastAsia="Times New Roman" w:hAnsi="Palatino Linotype" w:cs="Arial"/>
          <w:color w:val="000000" w:themeColor="text1"/>
        </w:rPr>
        <w:t>Lineamientos para la Recepción, Trámite y Resolución de las Solicitudes de Acceso a la Información Pública, así como de los Recursos de Revisión que deberán observar los Sujetos Obligados por la Ley de Transparencia Estatal</w:t>
      </w:r>
      <w:r w:rsidR="005C7898" w:rsidRPr="00473F11">
        <w:rPr>
          <w:rFonts w:ascii="Palatino Linotype" w:eastAsia="Times New Roman" w:hAnsi="Palatino Linotype" w:cs="Arial"/>
          <w:i/>
          <w:color w:val="000000" w:themeColor="text1"/>
          <w:vertAlign w:val="superscript"/>
        </w:rPr>
        <w:footnoteReference w:id="1"/>
      </w:r>
      <w:r w:rsidR="005C7898" w:rsidRPr="007C417A">
        <w:rPr>
          <w:rFonts w:ascii="Palatino Linotype" w:eastAsia="Times New Roman" w:hAnsi="Palatino Linotype" w:cs="Arial"/>
          <w:color w:val="000000" w:themeColor="text1"/>
        </w:rPr>
        <w:t>, que señala:</w:t>
      </w:r>
      <w:bookmarkEnd w:id="4"/>
    </w:p>
    <w:p w14:paraId="55BA50E0" w14:textId="77777777" w:rsidR="005C7898"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7BD8BB2"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bookmarkStart w:id="7" w:name="_Hlk74251499"/>
      <w:r w:rsidRPr="00496E5D">
        <w:rPr>
          <w:rFonts w:ascii="Palatino Linotype" w:eastAsia="Times New Roman" w:hAnsi="Palatino Linotype" w:cs="Arial"/>
          <w:b/>
          <w:i/>
          <w:sz w:val="22"/>
          <w:szCs w:val="22"/>
        </w:rPr>
        <w:t>“ONCE.</w:t>
      </w:r>
      <w:r w:rsidRPr="00496E5D">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6DA52233"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p w14:paraId="731DE600" w14:textId="77777777" w:rsidR="005C7898" w:rsidRPr="00496E5D" w:rsidRDefault="005C7898" w:rsidP="005C7898">
      <w:pPr>
        <w:spacing w:line="276" w:lineRule="auto"/>
        <w:ind w:left="567" w:right="567"/>
        <w:jc w:val="both"/>
        <w:rPr>
          <w:rFonts w:ascii="Palatino Linotype" w:eastAsia="Times New Roman" w:hAnsi="Palatino Linotype" w:cs="Times New Roman"/>
          <w:i/>
          <w:color w:val="000000"/>
          <w:sz w:val="22"/>
          <w:szCs w:val="22"/>
        </w:rPr>
      </w:pPr>
      <w:r w:rsidRPr="00496E5D">
        <w:rPr>
          <w:rFonts w:ascii="Palatino Linotype" w:eastAsia="Times New Roman" w:hAnsi="Palatino Linotype" w:cs="Times New Roman"/>
          <w:b/>
          <w:i/>
          <w:color w:val="000000"/>
          <w:sz w:val="22"/>
          <w:szCs w:val="22"/>
        </w:rPr>
        <w:t>b)</w:t>
      </w:r>
      <w:r w:rsidRPr="00496E5D">
        <w:rPr>
          <w:rFonts w:ascii="Palatino Linotype" w:eastAsia="Times New Roman" w:hAnsi="Palatino Linotype" w:cs="Times New Roman"/>
          <w:i/>
          <w:color w:val="000000"/>
          <w:sz w:val="22"/>
          <w:szCs w:val="22"/>
        </w:rPr>
        <w:t xml:space="preserve"> Las partes o los actos impugnados sean iguales</w:t>
      </w:r>
    </w:p>
    <w:p w14:paraId="5D0D885B" w14:textId="77777777" w:rsidR="005C7898" w:rsidRPr="00496E5D"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b/>
          <w:i/>
          <w:sz w:val="22"/>
          <w:szCs w:val="22"/>
        </w:rPr>
        <w:t>c)</w:t>
      </w:r>
      <w:r w:rsidRPr="00496E5D">
        <w:rPr>
          <w:rFonts w:ascii="Palatino Linotype" w:eastAsia="Times New Roman" w:hAnsi="Palatino Linotype" w:cs="Arial"/>
          <w:i/>
          <w:sz w:val="22"/>
          <w:szCs w:val="22"/>
        </w:rPr>
        <w:t xml:space="preserve"> Cuando se trate del mismo solicitante, el mismo SUJETO OBLIGADO, aunque se trate de solicitudes diversas;</w:t>
      </w:r>
    </w:p>
    <w:p w14:paraId="6B34FCB9" w14:textId="77777777" w:rsidR="005C7898" w:rsidRDefault="005C7898" w:rsidP="005C7898">
      <w:pPr>
        <w:autoSpaceDE w:val="0"/>
        <w:autoSpaceDN w:val="0"/>
        <w:adjustRightInd w:val="0"/>
        <w:spacing w:line="276" w:lineRule="auto"/>
        <w:ind w:left="567" w:right="567"/>
        <w:contextualSpacing/>
        <w:jc w:val="both"/>
        <w:rPr>
          <w:rFonts w:ascii="Palatino Linotype" w:eastAsia="Times New Roman" w:hAnsi="Palatino Linotype" w:cs="Arial"/>
          <w:i/>
          <w:sz w:val="22"/>
          <w:szCs w:val="22"/>
        </w:rPr>
      </w:pPr>
      <w:r w:rsidRPr="00496E5D">
        <w:rPr>
          <w:rFonts w:ascii="Palatino Linotype" w:eastAsia="Times New Roman" w:hAnsi="Palatino Linotype" w:cs="Arial"/>
          <w:i/>
          <w:sz w:val="22"/>
          <w:szCs w:val="22"/>
        </w:rPr>
        <w:t>(…)”</w:t>
      </w:r>
    </w:p>
    <w:bookmarkEnd w:id="7"/>
    <w:p w14:paraId="6AD03419" w14:textId="77777777" w:rsidR="005C7898" w:rsidRPr="00473F11"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6B9CB1" w14:textId="77777777" w:rsidR="005C7898" w:rsidRPr="001E0672" w:rsidRDefault="005C7898" w:rsidP="005C789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 xml:space="preserve">En </w:t>
      </w:r>
      <w:bookmarkStart w:id="8" w:name="_Hlk74251510"/>
      <w:r w:rsidRPr="00496E5D">
        <w:rPr>
          <w:rFonts w:ascii="Palatino Linotype" w:eastAsia="Times New Roman" w:hAnsi="Palatino Linotype" w:cs="Arial"/>
          <w:color w:val="000000" w:themeColor="text1"/>
        </w:rPr>
        <w:t>ese tenor</w:t>
      </w:r>
      <w:r>
        <w:rPr>
          <w:rFonts w:ascii="Palatino Linotype" w:eastAsia="Times New Roman" w:hAnsi="Palatino Linotype" w:cs="Arial"/>
          <w:color w:val="000000" w:themeColor="text1"/>
        </w:rPr>
        <w:t>,</w:t>
      </w:r>
      <w:r w:rsidRPr="00496E5D">
        <w:rPr>
          <w:rFonts w:ascii="Palatino Linotype" w:eastAsia="Times New Roman" w:hAnsi="Palatino Linotype" w:cs="Arial"/>
          <w:color w:val="000000" w:themeColor="text1"/>
        </w:rPr>
        <w:t xml:space="preserve"> al resultar conveniente su trámite de forma unificada para mejor resolver y así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bookmarkEnd w:id="8"/>
    </w:p>
    <w:p w14:paraId="5BF28471" w14:textId="77777777" w:rsidR="001E0672" w:rsidRDefault="001E0672" w:rsidP="001E0672">
      <w:pPr>
        <w:pStyle w:val="Prrafodelista"/>
        <w:tabs>
          <w:tab w:val="left" w:pos="426"/>
        </w:tabs>
        <w:spacing w:line="360" w:lineRule="auto"/>
        <w:ind w:left="0"/>
        <w:jc w:val="both"/>
        <w:rPr>
          <w:rFonts w:ascii="Palatino Linotype" w:eastAsia="Times New Roman" w:hAnsi="Palatino Linotype" w:cs="Arial"/>
          <w:color w:val="000000" w:themeColor="text1"/>
        </w:rPr>
      </w:pPr>
    </w:p>
    <w:p w14:paraId="6000C1AF"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bookmarkStart w:id="9" w:name="_Hlk74251520"/>
      <w:r w:rsidRPr="00496E5D">
        <w:rPr>
          <w:rFonts w:ascii="Palatino Linotype" w:hAnsi="Palatino Linotype"/>
          <w:b/>
          <w:i/>
          <w:sz w:val="22"/>
          <w:szCs w:val="22"/>
        </w:rPr>
        <w:t>Código de Procedimientos Administrativos del Estado de México.</w:t>
      </w:r>
    </w:p>
    <w:p w14:paraId="181350C9"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80EEC50"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r w:rsidRPr="00496E5D">
        <w:rPr>
          <w:rFonts w:ascii="Palatino Linotype" w:hAnsi="Palatino Linotype"/>
          <w:b/>
          <w:i/>
          <w:sz w:val="22"/>
          <w:szCs w:val="22"/>
        </w:rPr>
        <w:t>“Artículo 18.-</w:t>
      </w:r>
      <w:r w:rsidRPr="00496E5D">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F8C82DE" w14:textId="77777777" w:rsidR="001E0672" w:rsidRPr="00496E5D" w:rsidRDefault="001E0672" w:rsidP="001E0672">
      <w:pPr>
        <w:spacing w:line="276" w:lineRule="auto"/>
        <w:ind w:left="567" w:right="567"/>
        <w:contextualSpacing/>
        <w:jc w:val="both"/>
        <w:rPr>
          <w:rFonts w:ascii="Palatino Linotype" w:hAnsi="Palatino Linotype"/>
          <w:i/>
          <w:sz w:val="22"/>
          <w:szCs w:val="22"/>
        </w:rPr>
      </w:pPr>
    </w:p>
    <w:p w14:paraId="3C85554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r w:rsidRPr="00496E5D">
        <w:rPr>
          <w:rFonts w:ascii="Palatino Linotype" w:hAnsi="Palatino Linotype"/>
          <w:b/>
          <w:i/>
          <w:sz w:val="22"/>
          <w:szCs w:val="22"/>
        </w:rPr>
        <w:t>Ley de Transparencia y Acceso a la Información Pública del Estado de México y Municipios</w:t>
      </w:r>
    </w:p>
    <w:p w14:paraId="6224EAA4" w14:textId="77777777" w:rsidR="001E0672" w:rsidRPr="00496E5D" w:rsidRDefault="001E0672" w:rsidP="001E0672">
      <w:pPr>
        <w:spacing w:line="276" w:lineRule="auto"/>
        <w:ind w:left="567" w:right="567"/>
        <w:contextualSpacing/>
        <w:jc w:val="center"/>
        <w:rPr>
          <w:rFonts w:ascii="Palatino Linotype" w:hAnsi="Palatino Linotype"/>
          <w:b/>
          <w:i/>
          <w:sz w:val="22"/>
          <w:szCs w:val="22"/>
        </w:rPr>
      </w:pPr>
    </w:p>
    <w:p w14:paraId="3D4A86B8" w14:textId="77777777" w:rsidR="001E0672" w:rsidRPr="00496E5D" w:rsidRDefault="001E0672" w:rsidP="001E0672">
      <w:pPr>
        <w:tabs>
          <w:tab w:val="left" w:pos="0"/>
          <w:tab w:val="left" w:pos="426"/>
        </w:tabs>
        <w:spacing w:line="276" w:lineRule="auto"/>
        <w:ind w:left="567" w:right="567"/>
        <w:contextualSpacing/>
        <w:jc w:val="both"/>
        <w:rPr>
          <w:rFonts w:ascii="Palatino Linotype" w:eastAsia="Calibri" w:hAnsi="Palatino Linotype" w:cs="Arial"/>
          <w:sz w:val="22"/>
          <w:szCs w:val="22"/>
          <w:lang w:val="es-ES"/>
        </w:rPr>
      </w:pPr>
      <w:r w:rsidRPr="00496E5D">
        <w:rPr>
          <w:rFonts w:ascii="Palatino Linotype" w:hAnsi="Palatino Linotype"/>
          <w:b/>
          <w:i/>
          <w:sz w:val="22"/>
          <w:szCs w:val="22"/>
        </w:rPr>
        <w:t>“Artículo 195.</w:t>
      </w:r>
      <w:r w:rsidRPr="00496E5D">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bookmarkEnd w:id="9"/>
    <w:p w14:paraId="1B4614B7" w14:textId="77777777" w:rsidR="001E0672" w:rsidRPr="001E0672" w:rsidRDefault="001E0672" w:rsidP="001E067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A83221D" w14:textId="3F01DF7F" w:rsidR="00AA7986" w:rsidRPr="008965EF" w:rsidRDefault="00AA7986" w:rsidP="00AA7986">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r w:rsidR="00F02219">
        <w:rPr>
          <w:rFonts w:ascii="Palatino Linotype" w:eastAsia="Calibri" w:hAnsi="Palatino Linotype" w:cs="Arial"/>
          <w:color w:val="000000" w:themeColor="text1"/>
          <w:lang w:val="es-ES"/>
        </w:rPr>
        <w:t xml:space="preserve"> catorce (14) de enero de dos mil </w:t>
      </w:r>
      <w:r w:rsidR="004C3D61">
        <w:rPr>
          <w:rFonts w:ascii="Palatino Linotype" w:eastAsia="Calibri" w:hAnsi="Palatino Linotype" w:cs="Arial"/>
          <w:color w:val="000000" w:themeColor="text1"/>
          <w:lang w:val="es-ES"/>
        </w:rPr>
        <w:t>veintidós</w:t>
      </w:r>
      <w:r w:rsidR="00F02219">
        <w:rPr>
          <w:rFonts w:ascii="Palatino Linotype" w:eastAsia="Calibri" w:hAnsi="Palatino Linotype" w:cs="Arial"/>
          <w:color w:val="000000" w:themeColor="text1"/>
          <w:lang w:val="es-ES"/>
        </w:rPr>
        <w:t xml:space="preserve">, se notificó en el SAIMEX el acuerdo de acumulación de los recursos de revisión </w:t>
      </w:r>
      <w:r w:rsidR="00F02219">
        <w:rPr>
          <w:rFonts w:ascii="Palatino Linotype" w:eastAsia="Calibri" w:hAnsi="Palatino Linotype" w:cs="Arial"/>
          <w:b/>
          <w:bCs/>
          <w:color w:val="000000" w:themeColor="text1"/>
          <w:lang w:val="es-ES"/>
        </w:rPr>
        <w:t>05498/INFOEM/IP/RR/2021</w:t>
      </w:r>
      <w:r w:rsidR="00F02219">
        <w:rPr>
          <w:rFonts w:ascii="Palatino Linotype" w:eastAsia="Calibri" w:hAnsi="Palatino Linotype" w:cs="Arial"/>
          <w:color w:val="000000" w:themeColor="text1"/>
          <w:lang w:val="es-ES"/>
        </w:rPr>
        <w:t xml:space="preserve"> y </w:t>
      </w:r>
      <w:r w:rsidR="00F02219">
        <w:rPr>
          <w:rFonts w:ascii="Palatino Linotype" w:eastAsia="Calibri" w:hAnsi="Palatino Linotype" w:cs="Arial"/>
          <w:b/>
          <w:bCs/>
          <w:color w:val="000000" w:themeColor="text1"/>
          <w:lang w:val="es-ES"/>
        </w:rPr>
        <w:t>05516/INFOEM/IP/RR/2021</w:t>
      </w:r>
      <w:r w:rsidR="00F02219">
        <w:rPr>
          <w:rFonts w:ascii="Palatino Linotype" w:eastAsia="Calibri" w:hAnsi="Palatino Linotype" w:cs="Arial"/>
          <w:color w:val="000000" w:themeColor="text1"/>
          <w:lang w:val="es-ES"/>
        </w:rPr>
        <w:t>; y, en misma fecha, la</w:t>
      </w:r>
      <w:r>
        <w:rPr>
          <w:rFonts w:ascii="Palatino Linotype" w:hAnsi="Palatino Linotype" w:cs="Arial"/>
          <w:color w:val="000000" w:themeColor="text1"/>
        </w:rPr>
        <w:t xml:space="preserve"> </w:t>
      </w:r>
      <w:r w:rsidRPr="00A85CB7">
        <w:rPr>
          <w:rFonts w:ascii="Palatino Linotype" w:hAnsi="Palatino Linotype" w:cs="Arial"/>
          <w:color w:val="000000" w:themeColor="text1"/>
        </w:rPr>
        <w:t>Comisionad</w:t>
      </w:r>
      <w:r>
        <w:rPr>
          <w:rFonts w:ascii="Palatino Linotype" w:hAnsi="Palatino Linotype" w:cs="Arial"/>
          <w:color w:val="000000" w:themeColor="text1"/>
        </w:rPr>
        <w:t>a</w:t>
      </w:r>
      <w:r w:rsidRPr="00A85CB7">
        <w:rPr>
          <w:rFonts w:ascii="Palatino Linotype" w:hAnsi="Palatino Linotype" w:cs="Arial"/>
          <w:color w:val="000000" w:themeColor="text1"/>
        </w:rPr>
        <w:t xml:space="preserve"> Ponente</w:t>
      </w:r>
      <w:r>
        <w:rPr>
          <w:rFonts w:ascii="Palatino Linotype" w:hAnsi="Palatino Linotype" w:cs="Arial"/>
          <w:color w:val="000000" w:themeColor="text1"/>
        </w:rPr>
        <w:t xml:space="preserve"> decret</w:t>
      </w:r>
      <w:r w:rsidR="00F02219">
        <w:rPr>
          <w:rFonts w:ascii="Palatino Linotype" w:hAnsi="Palatino Linotype" w:cs="Arial"/>
          <w:color w:val="000000" w:themeColor="text1"/>
        </w:rPr>
        <w:t>ó</w:t>
      </w:r>
      <w:r w:rsidRPr="00A85CB7">
        <w:rPr>
          <w:rFonts w:ascii="Palatino Linotype" w:hAnsi="Palatino Linotype" w:cs="Arial"/>
          <w:color w:val="000000" w:themeColor="text1"/>
        </w:rPr>
        <w:t xml:space="preserve"> </w:t>
      </w:r>
      <w:r w:rsidR="004C3D61">
        <w:rPr>
          <w:rFonts w:ascii="Palatino Linotype" w:hAnsi="Palatino Linotype" w:cs="Arial"/>
          <w:color w:val="000000" w:themeColor="text1"/>
        </w:rPr>
        <w:t>el</w:t>
      </w:r>
      <w:r w:rsidRPr="00A85CB7">
        <w:rPr>
          <w:rFonts w:ascii="Palatino Linotype" w:hAnsi="Palatino Linotype" w:cs="Arial"/>
          <w:color w:val="000000" w:themeColor="text1"/>
        </w:rPr>
        <w:t xml:space="preserve"> </w:t>
      </w:r>
      <w:r w:rsidRPr="00A85CB7">
        <w:rPr>
          <w:rFonts w:ascii="Palatino Linotype" w:hAnsi="Palatino Linotype" w:cs="Arial"/>
          <w:color w:val="000000" w:themeColor="text1"/>
        </w:rPr>
        <w:lastRenderedPageBreak/>
        <w:t>cierre de</w:t>
      </w:r>
      <w:r w:rsidR="004C3D61">
        <w:rPr>
          <w:rFonts w:ascii="Palatino Linotype" w:hAnsi="Palatino Linotype" w:cs="Arial"/>
          <w:color w:val="000000" w:themeColor="text1"/>
        </w:rPr>
        <w:t xml:space="preserve"> </w:t>
      </w:r>
      <w:r w:rsidRPr="00A85CB7">
        <w:rPr>
          <w:rFonts w:ascii="Palatino Linotype" w:hAnsi="Palatino Linotype" w:cs="Arial"/>
          <w:color w:val="000000" w:themeColor="text1"/>
        </w:rPr>
        <w:t>l</w:t>
      </w:r>
      <w:r w:rsidR="004C3D61">
        <w:rPr>
          <w:rFonts w:ascii="Palatino Linotype" w:hAnsi="Palatino Linotype" w:cs="Arial"/>
          <w:color w:val="000000" w:themeColor="text1"/>
        </w:rPr>
        <w:t>os</w:t>
      </w:r>
      <w:r w:rsidRPr="00A85CB7">
        <w:rPr>
          <w:rFonts w:ascii="Palatino Linotype" w:hAnsi="Palatino Linotype" w:cs="Arial"/>
          <w:color w:val="000000" w:themeColor="text1"/>
        </w:rPr>
        <w:t xml:space="preserve"> periodo</w:t>
      </w:r>
      <w:r w:rsidR="004C3D61">
        <w:rPr>
          <w:rFonts w:ascii="Palatino Linotype" w:hAnsi="Palatino Linotype" w:cs="Arial"/>
          <w:color w:val="000000" w:themeColor="text1"/>
        </w:rPr>
        <w:t>s</w:t>
      </w:r>
      <w:r w:rsidRPr="00A85CB7">
        <w:rPr>
          <w:rFonts w:ascii="Palatino Linotype" w:hAnsi="Palatino Linotype" w:cs="Arial"/>
          <w:color w:val="000000" w:themeColor="text1"/>
        </w:rPr>
        <w:t xml:space="preserve"> d</w:t>
      </w:r>
      <w:r>
        <w:rPr>
          <w:rFonts w:ascii="Palatino Linotype" w:hAnsi="Palatino Linotype" w:cs="Arial"/>
          <w:color w:val="000000" w:themeColor="text1"/>
        </w:rPr>
        <w:t>e instrucción, por lo que orden</w:t>
      </w:r>
      <w:r w:rsidR="004C3D61">
        <w:rPr>
          <w:rFonts w:ascii="Palatino Linotype" w:hAnsi="Palatino Linotype" w:cs="Arial"/>
          <w:color w:val="000000" w:themeColor="text1"/>
        </w:rPr>
        <w:t>ó</w:t>
      </w:r>
      <w:r w:rsidRPr="00A85CB7">
        <w:rPr>
          <w:rFonts w:ascii="Palatino Linotype" w:hAnsi="Palatino Linotype" w:cs="Arial"/>
          <w:color w:val="000000" w:themeColor="text1"/>
        </w:rPr>
        <w:t xml:space="preserve"> turnar </w:t>
      </w:r>
      <w:r>
        <w:rPr>
          <w:rFonts w:ascii="Palatino Linotype" w:hAnsi="Palatino Linotype" w:cs="Arial"/>
          <w:color w:val="000000" w:themeColor="text1"/>
        </w:rPr>
        <w:t>los</w:t>
      </w:r>
      <w:r w:rsidRPr="00A85CB7">
        <w:rPr>
          <w:rFonts w:ascii="Palatino Linotype" w:hAnsi="Palatino Linotype" w:cs="Arial"/>
          <w:color w:val="000000" w:themeColor="text1"/>
        </w:rPr>
        <w:t xml:space="preserve"> expediente</w:t>
      </w:r>
      <w:r>
        <w:rPr>
          <w:rFonts w:ascii="Palatino Linotype" w:hAnsi="Palatino Linotype" w:cs="Arial"/>
          <w:color w:val="000000" w:themeColor="text1"/>
        </w:rPr>
        <w:t>s</w:t>
      </w:r>
      <w:r w:rsidR="004C3D61">
        <w:rPr>
          <w:rFonts w:ascii="Palatino Linotype" w:hAnsi="Palatino Linotype" w:cs="Arial"/>
          <w:color w:val="000000" w:themeColor="text1"/>
        </w:rPr>
        <w:t xml:space="preserve"> acumulados</w:t>
      </w:r>
      <w:r w:rsidRPr="00A85CB7">
        <w:rPr>
          <w:rFonts w:ascii="Palatino Linotype" w:hAnsi="Palatino Linotype" w:cs="Arial"/>
          <w:color w:val="000000" w:themeColor="text1"/>
        </w:rPr>
        <w:t xml:space="preserve"> para su resolución, misma que ahora se pronuncia</w:t>
      </w:r>
      <w:r>
        <w:rPr>
          <w:rFonts w:ascii="Palatino Linotype" w:hAnsi="Palatino Linotype" w:cs="Arial"/>
          <w:color w:val="000000" w:themeColor="text1"/>
        </w:rPr>
        <w:t>.</w:t>
      </w:r>
    </w:p>
    <w:p w14:paraId="248B9941" w14:textId="77777777" w:rsidR="00AA7986" w:rsidRPr="00AA7986" w:rsidRDefault="00AA7986" w:rsidP="00AA7986">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8B04BD4" w14:textId="10CCF2E8" w:rsidR="00F638B9" w:rsidRPr="00D429E4" w:rsidRDefault="004C3D61" w:rsidP="00E23556">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rPr>
        <w:t xml:space="preserve">Luego, el </w:t>
      </w:r>
      <w:r w:rsidR="0068224A">
        <w:rPr>
          <w:rFonts w:ascii="Palatino Linotype" w:eastAsia="Times New Roman" w:hAnsi="Palatino Linotype" w:cs="Arial"/>
          <w:color w:val="000000" w:themeColor="text1"/>
        </w:rPr>
        <w:t>veintiséis (26</w:t>
      </w:r>
      <w:r>
        <w:rPr>
          <w:rFonts w:ascii="Palatino Linotype" w:eastAsia="Times New Roman" w:hAnsi="Palatino Linotype" w:cs="Arial"/>
          <w:color w:val="000000" w:themeColor="text1"/>
        </w:rPr>
        <w:t>) de enero de dos mil veintidós</w:t>
      </w:r>
      <w:r w:rsidR="001E0672" w:rsidRPr="00D429E4">
        <w:rPr>
          <w:rFonts w:ascii="Palatino Linotype" w:eastAsia="Times New Roman" w:hAnsi="Palatino Linotype" w:cs="Arial"/>
          <w:color w:val="000000" w:themeColor="text1"/>
        </w:rPr>
        <w:t xml:space="preserve">, </w:t>
      </w:r>
      <w:r w:rsidR="00F638B9" w:rsidRPr="00D429E4">
        <w:rPr>
          <w:rFonts w:ascii="Palatino Linotype" w:hAnsi="Palatino Linotype" w:cs="Arial"/>
          <w:color w:val="000000" w:themeColor="text1"/>
          <w:lang w:val="es-ES"/>
        </w:rPr>
        <w:t>con fundamento en el artículo 181</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tercer párrafo</w:t>
      </w:r>
      <w:r>
        <w:rPr>
          <w:rFonts w:ascii="Palatino Linotype" w:hAnsi="Palatino Linotype" w:cs="Arial"/>
          <w:color w:val="000000" w:themeColor="text1"/>
          <w:lang w:val="es-ES"/>
        </w:rPr>
        <w:t>,</w:t>
      </w:r>
      <w:r w:rsidR="00F638B9" w:rsidRPr="00D429E4">
        <w:rPr>
          <w:rFonts w:ascii="Palatino Linotype" w:hAnsi="Palatino Linotype" w:cs="Arial"/>
          <w:color w:val="000000" w:themeColor="text1"/>
          <w:lang w:val="es-ES"/>
        </w:rPr>
        <w:t xml:space="preserve"> de la Ley de Transparencia y Acceso a la Información Pública del Estado de México y Municipios</w:t>
      </w:r>
      <w:r>
        <w:rPr>
          <w:rFonts w:ascii="Palatino Linotype" w:hAnsi="Palatino Linotype" w:cs="Arial"/>
          <w:color w:val="000000" w:themeColor="text1"/>
          <w:lang w:val="es-ES"/>
        </w:rPr>
        <w:t>,</w:t>
      </w:r>
      <w:r w:rsidR="00F638B9" w:rsidRPr="00D429E4">
        <w:rPr>
          <w:rFonts w:ascii="Palatino Linotype" w:hAnsi="Palatino Linotype" w:cs="Arial"/>
          <w:bCs/>
          <w:color w:val="000000" w:themeColor="text1"/>
          <w:lang w:val="es-ES"/>
        </w:rPr>
        <w:t xml:space="preserve"> </w:t>
      </w:r>
      <w:r w:rsidR="00F638B9" w:rsidRPr="00D429E4">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 y ---------------------------------------------</w:t>
      </w:r>
    </w:p>
    <w:p w14:paraId="1F1CC116"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2D281E58" w14:textId="77777777" w:rsidR="008A74F2" w:rsidRDefault="008A74F2" w:rsidP="00B31E90">
      <w:pPr>
        <w:pStyle w:val="Prrafodelista"/>
        <w:tabs>
          <w:tab w:val="left" w:pos="426"/>
        </w:tabs>
        <w:spacing w:line="360" w:lineRule="auto"/>
        <w:ind w:left="0"/>
        <w:jc w:val="both"/>
        <w:rPr>
          <w:rFonts w:ascii="Palatino Linotype" w:hAnsi="Palatino Linotype"/>
          <w:color w:val="000000" w:themeColor="text1"/>
        </w:rPr>
      </w:pPr>
    </w:p>
    <w:p w14:paraId="5CB47E4D" w14:textId="0D508B51" w:rsidR="00C33279" w:rsidRPr="00A85CB7" w:rsidRDefault="007C0013" w:rsidP="00B31E90">
      <w:pPr>
        <w:pStyle w:val="Ttulo1"/>
        <w:spacing w:before="0"/>
        <w:jc w:val="center"/>
        <w:rPr>
          <w:b/>
          <w:color w:val="000000" w:themeColor="text1"/>
        </w:rPr>
      </w:pPr>
      <w:bookmarkStart w:id="10" w:name="_Toc88071777"/>
      <w:r w:rsidRPr="00A85CB7">
        <w:rPr>
          <w:b/>
          <w:color w:val="000000" w:themeColor="text1"/>
        </w:rPr>
        <w:t>CONSIDERANDO</w:t>
      </w:r>
      <w:bookmarkEnd w:id="5"/>
      <w:bookmarkEnd w:id="6"/>
      <w:bookmarkEnd w:id="10"/>
    </w:p>
    <w:p w14:paraId="435CF9A4" w14:textId="77777777" w:rsidR="00FC1DA7" w:rsidRPr="00A85CB7" w:rsidRDefault="00FC1DA7" w:rsidP="00B31E90">
      <w:pPr>
        <w:rPr>
          <w:color w:val="000000" w:themeColor="text1"/>
          <w:lang w:eastAsia="en-US"/>
        </w:rPr>
      </w:pPr>
    </w:p>
    <w:p w14:paraId="629A5BE2" w14:textId="1FC05436" w:rsidR="007C0013" w:rsidRPr="00A85CB7" w:rsidRDefault="007C0013" w:rsidP="00B31E90">
      <w:pPr>
        <w:pStyle w:val="Ttulo2"/>
        <w:spacing w:before="0"/>
        <w:rPr>
          <w:rFonts w:ascii="Palatino Linotype" w:hAnsi="Palatino Linotype"/>
          <w:b/>
          <w:color w:val="000000" w:themeColor="text1"/>
          <w:sz w:val="24"/>
        </w:rPr>
      </w:pPr>
      <w:bookmarkStart w:id="11" w:name="_Toc461555890"/>
      <w:bookmarkStart w:id="12" w:name="_Toc466371859"/>
      <w:bookmarkStart w:id="13" w:name="_Toc88071778"/>
      <w:r w:rsidRPr="00A85CB7">
        <w:rPr>
          <w:rFonts w:ascii="Palatino Linotype" w:hAnsi="Palatino Linotype"/>
          <w:b/>
          <w:color w:val="000000" w:themeColor="text1"/>
          <w:sz w:val="24"/>
        </w:rPr>
        <w:t>PRIMERO. De la competencia</w:t>
      </w:r>
      <w:bookmarkEnd w:id="11"/>
      <w:bookmarkEnd w:id="12"/>
      <w:bookmarkEnd w:id="13"/>
    </w:p>
    <w:p w14:paraId="60FBD8C7" w14:textId="77777777" w:rsidR="00FC1DA7" w:rsidRPr="00826F38" w:rsidRDefault="00FC1DA7" w:rsidP="00B31E90">
      <w:pPr>
        <w:rPr>
          <w:rFonts w:ascii="Palatino Linotype" w:hAnsi="Palatino Linotype"/>
          <w:color w:val="000000" w:themeColor="text1"/>
          <w:lang w:eastAsia="en-US"/>
        </w:rPr>
      </w:pPr>
    </w:p>
    <w:p w14:paraId="0BF52B18" w14:textId="2D570B6F"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005C7898">
        <w:rPr>
          <w:rFonts w:ascii="Palatino Linotype" w:eastAsia="Calibri" w:hAnsi="Palatino Linotype" w:cs="Times New Roman"/>
          <w:color w:val="000000" w:themeColor="text1"/>
          <w:lang w:val="es-ES"/>
        </w:rPr>
        <w:t>los</w:t>
      </w:r>
      <w:r w:rsidRPr="00A85CB7">
        <w:rPr>
          <w:rFonts w:ascii="Palatino Linotype" w:eastAsia="Calibri" w:hAnsi="Palatino Linotype" w:cs="Times New Roman"/>
          <w:color w:val="000000" w:themeColor="text1"/>
          <w:lang w:val="es-ES"/>
        </w:rPr>
        <w:t xml:space="preserve"> presente</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recurso</w:t>
      </w:r>
      <w:r w:rsidR="005C7898">
        <w:rPr>
          <w:rFonts w:ascii="Palatino Linotype" w:eastAsia="Calibri" w:hAnsi="Palatino Linotype" w:cs="Times New Roman"/>
          <w:color w:val="000000" w:themeColor="text1"/>
          <w:lang w:val="es-ES"/>
        </w:rPr>
        <w:t>s</w:t>
      </w:r>
      <w:r w:rsidRPr="00A85CB7">
        <w:rPr>
          <w:rFonts w:ascii="Palatino Linotype" w:eastAsia="Calibri" w:hAnsi="Palatino Linotype" w:cs="Times New Roman"/>
          <w:color w:val="000000" w:themeColor="text1"/>
          <w:lang w:val="es-ES"/>
        </w:rPr>
        <w:t xml:space="preserve">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956B329" w14:textId="77777777" w:rsidR="00B76C73" w:rsidRPr="00751061"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4" w:name="_Toc461555891"/>
      <w:bookmarkStart w:id="15" w:name="_Toc466371860"/>
      <w:bookmarkStart w:id="16"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4"/>
      <w:bookmarkEnd w:id="15"/>
      <w:bookmarkEnd w:id="16"/>
    </w:p>
    <w:p w14:paraId="18E22450" w14:textId="77777777" w:rsidR="00C6440A" w:rsidRPr="00A85CB7" w:rsidRDefault="00C6440A" w:rsidP="00B31E90">
      <w:pPr>
        <w:rPr>
          <w:color w:val="000000" w:themeColor="text1"/>
          <w:lang w:eastAsia="en-US"/>
        </w:rPr>
      </w:pPr>
    </w:p>
    <w:p w14:paraId="63E5A495" w14:textId="18467E64" w:rsidR="009E360A" w:rsidRPr="00740BA4" w:rsidRDefault="005C7898"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Los</w:t>
      </w:r>
      <w:r w:rsidR="003E6D0F" w:rsidRPr="00A85CB7">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medio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impugnación fue</w:t>
      </w:r>
      <w:r>
        <w:rPr>
          <w:rFonts w:ascii="Palatino Linotype" w:eastAsia="Calibri" w:hAnsi="Palatino Linotype" w:cs="Arial"/>
          <w:color w:val="000000" w:themeColor="text1"/>
        </w:rPr>
        <w:t>ron</w:t>
      </w:r>
      <w:r w:rsidR="00740BA4" w:rsidRPr="00740BA4">
        <w:rPr>
          <w:rFonts w:ascii="Palatino Linotype" w:eastAsia="Calibri" w:hAnsi="Palatino Linotype" w:cs="Arial"/>
          <w:color w:val="000000" w:themeColor="text1"/>
        </w:rPr>
        <w:t xml:space="preserve"> presentado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el </w:t>
      </w:r>
      <w:r w:rsidR="00D1251A">
        <w:rPr>
          <w:rFonts w:ascii="Palatino Linotype" w:eastAsia="Calibri" w:hAnsi="Palatino Linotype" w:cs="Arial"/>
          <w:color w:val="000000" w:themeColor="text1"/>
        </w:rPr>
        <w:t>veinte (20) y veintiséis (26</w:t>
      </w:r>
      <w:r w:rsidR="00645E03">
        <w:rPr>
          <w:rFonts w:ascii="Palatino Linotype" w:eastAsia="Calibri" w:hAnsi="Palatino Linotype" w:cs="Arial"/>
          <w:color w:val="000000" w:themeColor="text1"/>
        </w:rPr>
        <w:t>) de octubre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w:t>
      </w:r>
      <w:r>
        <w:rPr>
          <w:rFonts w:ascii="Palatino Linotype" w:eastAsia="Calibri" w:hAnsi="Palatino Linotype" w:cs="Arial"/>
          <w:color w:val="000000" w:themeColor="text1"/>
        </w:rPr>
        <w:t>los</w:t>
      </w:r>
      <w:r w:rsidR="00740BA4" w:rsidRPr="00740BA4">
        <w:rPr>
          <w:rFonts w:ascii="Palatino Linotype" w:eastAsia="Calibri" w:hAnsi="Palatino Linotype" w:cs="Arial"/>
          <w:color w:val="000000" w:themeColor="text1"/>
        </w:rPr>
        <w:t xml:space="preserve"> recurso</w:t>
      </w:r>
      <w:r>
        <w:rPr>
          <w:rFonts w:ascii="Palatino Linotype" w:eastAsia="Calibri" w:hAnsi="Palatino Linotype" w:cs="Arial"/>
          <w:color w:val="000000" w:themeColor="text1"/>
        </w:rPr>
        <w:t>s</w:t>
      </w:r>
      <w:r w:rsidR="00740BA4" w:rsidRPr="00740BA4">
        <w:rPr>
          <w:rFonts w:ascii="Palatino Linotype" w:eastAsia="Calibri" w:hAnsi="Palatino Linotype" w:cs="Arial"/>
          <w:color w:val="000000" w:themeColor="text1"/>
        </w:rPr>
        <w:t xml:space="preserve"> de revisión transcurrió</w:t>
      </w:r>
      <w:r w:rsidR="00D1251A">
        <w:rPr>
          <w:rFonts w:ascii="Palatino Linotype" w:eastAsia="Calibri" w:hAnsi="Palatino Linotype" w:cs="Arial"/>
          <w:color w:val="000000" w:themeColor="text1"/>
        </w:rPr>
        <w:t>, por un lado,</w:t>
      </w:r>
      <w:r w:rsidR="00740BA4" w:rsidRPr="00740BA4">
        <w:rPr>
          <w:rFonts w:ascii="Palatino Linotype" w:eastAsia="Calibri" w:hAnsi="Palatino Linotype" w:cs="Arial"/>
          <w:color w:val="000000" w:themeColor="text1"/>
        </w:rPr>
        <w:t xml:space="preserve"> del </w:t>
      </w:r>
      <w:r w:rsidR="006B12FF">
        <w:rPr>
          <w:rFonts w:ascii="Palatino Linotype" w:eastAsia="Calibri" w:hAnsi="Palatino Linotype" w:cs="Arial"/>
          <w:color w:val="000000" w:themeColor="text1"/>
        </w:rPr>
        <w:t>veintiuno (21) de octubre al once (11) de noviembre; y, por otro lado, del veintisiete (27) de octubre al dieciocho (18) de noviembre</w:t>
      </w:r>
      <w:r w:rsidR="00740BA4">
        <w:rPr>
          <w:rFonts w:ascii="Palatino Linotype" w:eastAsia="Calibri" w:hAnsi="Palatino Linotype" w:cs="Arial"/>
          <w:color w:val="000000" w:themeColor="text1"/>
        </w:rPr>
        <w:t xml:space="preserve"> de dos mil veintiuno</w:t>
      </w:r>
      <w:r w:rsidR="00740BA4" w:rsidRPr="00740BA4">
        <w:rPr>
          <w:rFonts w:ascii="Palatino Linotype" w:eastAsia="Calibri" w:hAnsi="Palatino Linotype" w:cs="Arial"/>
          <w:color w:val="000000" w:themeColor="text1"/>
        </w:rPr>
        <w:t>, sin contemplar en el cómputo los días</w:t>
      </w:r>
      <w:r w:rsidR="00774AB3">
        <w:rPr>
          <w:rFonts w:ascii="Palatino Linotype" w:eastAsia="Calibri" w:hAnsi="Palatino Linotype" w:cs="Arial"/>
          <w:color w:val="000000" w:themeColor="text1"/>
        </w:rPr>
        <w:t xml:space="preserve"> </w:t>
      </w:r>
      <w:r w:rsidR="00645E03">
        <w:rPr>
          <w:rFonts w:ascii="Palatino Linotype" w:eastAsia="Calibri" w:hAnsi="Palatino Linotype" w:cs="Arial"/>
          <w:color w:val="000000" w:themeColor="text1"/>
        </w:rPr>
        <w:t>veintitrés (23), veinticuatro (24), treinta (30) y treinta y uno (31) de octubre, así como el dos (02), seis (06)</w:t>
      </w:r>
      <w:r w:rsidR="006B12FF">
        <w:rPr>
          <w:rFonts w:ascii="Palatino Linotype" w:eastAsia="Calibri" w:hAnsi="Palatino Linotype" w:cs="Arial"/>
          <w:color w:val="000000" w:themeColor="text1"/>
        </w:rPr>
        <w:t>,</w:t>
      </w:r>
      <w:r w:rsidR="00645E03">
        <w:rPr>
          <w:rFonts w:ascii="Palatino Linotype" w:eastAsia="Calibri" w:hAnsi="Palatino Linotype" w:cs="Arial"/>
          <w:color w:val="000000" w:themeColor="text1"/>
        </w:rPr>
        <w:t xml:space="preserve"> siete (07)</w:t>
      </w:r>
      <w:r w:rsidR="006B12FF">
        <w:rPr>
          <w:rFonts w:ascii="Palatino Linotype" w:eastAsia="Calibri" w:hAnsi="Palatino Linotype" w:cs="Arial"/>
          <w:color w:val="000000" w:themeColor="text1"/>
        </w:rPr>
        <w:t>, trece (13), catorce (14) y quince (15)</w:t>
      </w:r>
      <w:r w:rsidR="00645E03">
        <w:rPr>
          <w:rFonts w:ascii="Palatino Linotype" w:eastAsia="Calibri" w:hAnsi="Palatino Linotype" w:cs="Arial"/>
          <w:color w:val="000000" w:themeColor="text1"/>
        </w:rPr>
        <w:t xml:space="preserve"> de noviembre</w:t>
      </w:r>
      <w:r w:rsidR="00B76C73">
        <w:rPr>
          <w:rFonts w:ascii="Palatino Linotype" w:eastAsia="Calibri" w:hAnsi="Palatino Linotype" w:cs="Arial"/>
          <w:color w:val="000000" w:themeColor="text1"/>
        </w:rPr>
        <w:t xml:space="preserve">, </w:t>
      </w:r>
      <w:r w:rsidR="00740BA4" w:rsidRPr="00740BA4">
        <w:rPr>
          <w:rFonts w:ascii="Palatino Linotype" w:eastAsia="Calibri" w:hAnsi="Palatino Linotype" w:cs="Arial"/>
          <w:color w:val="000000" w:themeColor="text1"/>
        </w:rPr>
        <w:t>por corresponder a sábados</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w:t>
      </w:r>
      <w:r w:rsidR="00645E03">
        <w:rPr>
          <w:rFonts w:ascii="Palatino Linotype" w:eastAsia="Calibri" w:hAnsi="Palatino Linotype" w:cs="Arial"/>
          <w:color w:val="000000" w:themeColor="text1"/>
        </w:rPr>
        <w:t xml:space="preserve"> e inhábiles,</w:t>
      </w:r>
      <w:r w:rsidR="00740BA4" w:rsidRPr="00740BA4">
        <w:rPr>
          <w:rFonts w:ascii="Palatino Linotype" w:eastAsia="Calibri" w:hAnsi="Palatino Linotype" w:cs="Arial"/>
          <w:color w:val="000000" w:themeColor="text1"/>
        </w:rPr>
        <w:t xml:space="preserve"> en términos del artículo 3</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45E03">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52350C71" w:rsidR="00740BA4" w:rsidRPr="006B12FF"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w:t>
      </w:r>
      <w:r w:rsidR="005C7898">
        <w:rPr>
          <w:rFonts w:ascii="Palatino Linotype" w:hAnsi="Palatino Linotype"/>
          <w:color w:val="000000" w:themeColor="text1"/>
        </w:rPr>
        <w:t>los</w:t>
      </w:r>
      <w:r w:rsidRPr="00A85CB7">
        <w:rPr>
          <w:rFonts w:ascii="Palatino Linotype" w:hAnsi="Palatino Linotype"/>
          <w:color w:val="000000" w:themeColor="text1"/>
        </w:rPr>
        <w:t xml:space="preserve"> presente</w:t>
      </w:r>
      <w:r w:rsidR="005C7898">
        <w:rPr>
          <w:rFonts w:ascii="Palatino Linotype" w:hAnsi="Palatino Linotype"/>
          <w:color w:val="000000" w:themeColor="text1"/>
        </w:rPr>
        <w:t>s</w:t>
      </w:r>
      <w:r w:rsidRPr="00A85CB7">
        <w:rPr>
          <w:rFonts w:ascii="Palatino Linotype" w:hAnsi="Palatino Linotype"/>
          <w:color w:val="000000" w:themeColor="text1"/>
        </w:rPr>
        <w:t xml:space="preserve"> recurso</w:t>
      </w:r>
      <w:r w:rsidR="005C7898">
        <w:rPr>
          <w:rFonts w:ascii="Palatino Linotype" w:hAnsi="Palatino Linotype"/>
          <w:color w:val="000000" w:themeColor="text1"/>
        </w:rPr>
        <w:t>s</w:t>
      </w:r>
      <w:r w:rsidRPr="00A85CB7">
        <w:rPr>
          <w:rFonts w:ascii="Palatino Linotype" w:hAnsi="Palatino Linotype"/>
          <w:color w:val="000000" w:themeColor="text1"/>
        </w:rPr>
        <w:t xml:space="preserve"> de revisión fue</w:t>
      </w:r>
      <w:r w:rsidR="005C7898">
        <w:rPr>
          <w:rFonts w:ascii="Palatino Linotype" w:hAnsi="Palatino Linotype"/>
          <w:color w:val="000000" w:themeColor="text1"/>
        </w:rPr>
        <w:t>ron</w:t>
      </w:r>
      <w:r w:rsidRPr="00A85CB7">
        <w:rPr>
          <w:rFonts w:ascii="Palatino Linotype" w:hAnsi="Palatino Linotype"/>
          <w:color w:val="000000" w:themeColor="text1"/>
        </w:rPr>
        <w:t xml:space="preserve"> interpuesto</w:t>
      </w:r>
      <w:r w:rsidR="005C7898">
        <w:rPr>
          <w:rFonts w:ascii="Palatino Linotype" w:hAnsi="Palatino Linotype"/>
          <w:color w:val="000000" w:themeColor="text1"/>
        </w:rPr>
        <w:t>s</w:t>
      </w:r>
      <w:r w:rsidRPr="00A85CB7">
        <w:rPr>
          <w:rFonts w:ascii="Palatino Linotype" w:hAnsi="Palatino Linotype"/>
          <w:color w:val="000000" w:themeColor="text1"/>
        </w:rPr>
        <w:t xml:space="preserve"> el </w:t>
      </w:r>
      <w:r w:rsidR="006B12FF">
        <w:rPr>
          <w:rFonts w:ascii="Palatino Linotype" w:hAnsi="Palatino Linotype"/>
          <w:color w:val="000000" w:themeColor="text1"/>
        </w:rPr>
        <w:t>once (11) de noviembre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w:t>
      </w:r>
      <w:r w:rsidR="005C7898">
        <w:rPr>
          <w:rFonts w:ascii="Palatino Linotype" w:hAnsi="Palatino Linotype"/>
          <w:color w:val="000000" w:themeColor="text1"/>
        </w:rPr>
        <w:t>os</w:t>
      </w:r>
      <w:r w:rsidRPr="00A85CB7">
        <w:rPr>
          <w:rFonts w:ascii="Palatino Linotype" w:hAnsi="Palatino Linotype" w:cs="Arial"/>
          <w:color w:val="000000" w:themeColor="text1"/>
        </w:rPr>
        <w:t xml:space="preserve"> se encuentra</w:t>
      </w:r>
      <w:r w:rsidR="005C7898">
        <w:rPr>
          <w:rFonts w:ascii="Palatino Linotype" w:hAnsi="Palatino Linotype" w:cs="Arial"/>
          <w:color w:val="000000" w:themeColor="text1"/>
        </w:rPr>
        <w:t>n</w:t>
      </w:r>
      <w:r w:rsidRPr="00A85CB7">
        <w:rPr>
          <w:rFonts w:ascii="Palatino Linotype" w:hAnsi="Palatino Linotype" w:cs="Arial"/>
          <w:color w:val="000000" w:themeColor="text1"/>
        </w:rPr>
        <w:t xml:space="preserve">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582B281C" w14:textId="77777777"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69E2E20" w14:textId="0AED24C5" w:rsidR="006B12FF" w:rsidRPr="006B12FF" w:rsidRDefault="006B12F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Por otro lado</w:t>
      </w:r>
      <w:r w:rsidR="00E04DCE">
        <w:rPr>
          <w:rFonts w:ascii="Palatino Linotype" w:hAnsi="Palatino Linotype" w:cs="Arial"/>
          <w:color w:val="000000" w:themeColor="text1"/>
        </w:rPr>
        <w:t xml:space="preserve">, </w:t>
      </w:r>
      <w:r w:rsidR="00E04DCE" w:rsidRPr="00E04DCE">
        <w:rPr>
          <w:rFonts w:ascii="Palatino Linotype" w:hAnsi="Palatino Linotype" w:cs="Arial"/>
          <w:color w:val="000000" w:themeColor="text1"/>
          <w:lang w:val="es-ES"/>
        </w:rPr>
        <w:t xml:space="preserve">de las constancias que obran en </w:t>
      </w:r>
      <w:r w:rsidR="00E04DCE">
        <w:rPr>
          <w:rFonts w:ascii="Palatino Linotype" w:hAnsi="Palatino Linotype" w:cs="Arial"/>
          <w:color w:val="000000" w:themeColor="text1"/>
          <w:lang w:val="es-ES"/>
        </w:rPr>
        <w:t>los</w:t>
      </w:r>
      <w:r w:rsidR="00E04DCE" w:rsidRPr="00E04DCE">
        <w:rPr>
          <w:rFonts w:ascii="Palatino Linotype" w:hAnsi="Palatino Linotype" w:cs="Arial"/>
          <w:color w:val="000000" w:themeColor="text1"/>
          <w:lang w:val="es-ES"/>
        </w:rPr>
        <w:t xml:space="preserve"> expediente</w:t>
      </w:r>
      <w:r w:rsidR="00E04DCE">
        <w:rPr>
          <w:rFonts w:ascii="Palatino Linotype" w:hAnsi="Palatino Linotype" w:cs="Arial"/>
          <w:color w:val="000000" w:themeColor="text1"/>
          <w:lang w:val="es-ES"/>
        </w:rPr>
        <w:t>s</w:t>
      </w:r>
      <w:r w:rsidR="00E04DCE" w:rsidRPr="00E04DCE">
        <w:rPr>
          <w:rFonts w:ascii="Palatino Linotype" w:hAnsi="Palatino Linotype" w:cs="Arial"/>
          <w:color w:val="000000" w:themeColor="text1"/>
          <w:lang w:val="es-ES"/>
        </w:rPr>
        <w:t xml:space="preserve"> digital</w:t>
      </w:r>
      <w:r w:rsidR="00E04DCE">
        <w:rPr>
          <w:rFonts w:ascii="Palatino Linotype" w:hAnsi="Palatino Linotype" w:cs="Arial"/>
          <w:color w:val="000000" w:themeColor="text1"/>
          <w:lang w:val="es-ES"/>
        </w:rPr>
        <w:t>es</w:t>
      </w:r>
      <w:r w:rsidR="00E04DCE" w:rsidRPr="00E04DCE">
        <w:rPr>
          <w:rFonts w:ascii="Palatino Linotype" w:hAnsi="Palatino Linotype" w:cs="Arial"/>
          <w:color w:val="000000" w:themeColor="text1"/>
          <w:lang w:val="es-ES"/>
        </w:rPr>
        <w:t xml:space="preserve"> formado</w:t>
      </w:r>
      <w:r w:rsidR="00E04DCE">
        <w:rPr>
          <w:rFonts w:ascii="Palatino Linotype" w:hAnsi="Palatino Linotype" w:cs="Arial"/>
          <w:color w:val="000000" w:themeColor="text1"/>
          <w:lang w:val="es-ES"/>
        </w:rPr>
        <w:t>s</w:t>
      </w:r>
      <w:r w:rsidR="00E04DCE" w:rsidRPr="00E04DCE">
        <w:rPr>
          <w:rFonts w:ascii="Palatino Linotype" w:hAnsi="Palatino Linotype" w:cs="Arial"/>
          <w:color w:val="000000" w:themeColor="text1"/>
          <w:lang w:val="es-ES"/>
        </w:rPr>
        <w:t xml:space="preserve"> en el SAIMEX</w:t>
      </w:r>
      <w:r w:rsidR="00E04DCE" w:rsidRPr="00E04DCE">
        <w:rPr>
          <w:rFonts w:ascii="Palatino Linotype" w:hAnsi="Palatino Linotype" w:cs="Arial"/>
          <w:b/>
          <w:color w:val="000000" w:themeColor="text1"/>
          <w:lang w:val="es-ES"/>
        </w:rPr>
        <w:t>,</w:t>
      </w:r>
      <w:r w:rsidR="00E04DCE" w:rsidRPr="00E04DCE">
        <w:rPr>
          <w:rFonts w:ascii="Palatino Linotype" w:hAnsi="Palatino Linotype" w:cs="Arial"/>
          <w:color w:val="000000" w:themeColor="text1"/>
          <w:lang w:val="es-ES"/>
        </w:rPr>
        <w:t xml:space="preserve"> se desprende que la parte solicitante, tanto en la</w:t>
      </w:r>
      <w:r w:rsidR="00E04DCE">
        <w:rPr>
          <w:rFonts w:ascii="Palatino Linotype" w:hAnsi="Palatino Linotype" w:cs="Arial"/>
          <w:color w:val="000000" w:themeColor="text1"/>
          <w:lang w:val="es-ES"/>
        </w:rPr>
        <w:t>s</w:t>
      </w:r>
      <w:r w:rsidR="00E04DCE" w:rsidRPr="00E04DCE">
        <w:rPr>
          <w:rFonts w:ascii="Palatino Linotype" w:hAnsi="Palatino Linotype" w:cs="Arial"/>
          <w:color w:val="000000" w:themeColor="text1"/>
          <w:lang w:val="es-ES"/>
        </w:rPr>
        <w:t xml:space="preserve"> solicitud</w:t>
      </w:r>
      <w:r w:rsidR="00E04DCE">
        <w:rPr>
          <w:rFonts w:ascii="Palatino Linotype" w:hAnsi="Palatino Linotype" w:cs="Arial"/>
          <w:color w:val="000000" w:themeColor="text1"/>
          <w:lang w:val="es-ES"/>
        </w:rPr>
        <w:t>es</w:t>
      </w:r>
      <w:r w:rsidR="00E04DCE" w:rsidRPr="00E04DCE">
        <w:rPr>
          <w:rFonts w:ascii="Palatino Linotype" w:hAnsi="Palatino Linotype" w:cs="Arial"/>
          <w:color w:val="000000" w:themeColor="text1"/>
          <w:lang w:val="es-ES"/>
        </w:rPr>
        <w:t xml:space="preserve"> de información como en </w:t>
      </w:r>
      <w:r w:rsidR="00E04DCE">
        <w:rPr>
          <w:rFonts w:ascii="Palatino Linotype" w:hAnsi="Palatino Linotype" w:cs="Arial"/>
          <w:color w:val="000000" w:themeColor="text1"/>
          <w:lang w:val="es-ES"/>
        </w:rPr>
        <w:t>los</w:t>
      </w:r>
      <w:r w:rsidR="00E04DCE" w:rsidRPr="00E04DCE">
        <w:rPr>
          <w:rFonts w:ascii="Palatino Linotype" w:hAnsi="Palatino Linotype" w:cs="Arial"/>
          <w:color w:val="000000" w:themeColor="text1"/>
          <w:lang w:val="es-ES"/>
        </w:rPr>
        <w:t xml:space="preserve"> posterior</w:t>
      </w:r>
      <w:r w:rsidR="00E04DCE">
        <w:rPr>
          <w:rFonts w:ascii="Palatino Linotype" w:hAnsi="Palatino Linotype" w:cs="Arial"/>
          <w:color w:val="000000" w:themeColor="text1"/>
          <w:lang w:val="es-ES"/>
        </w:rPr>
        <w:t>es</w:t>
      </w:r>
      <w:r w:rsidR="00E04DCE" w:rsidRPr="00E04DCE">
        <w:rPr>
          <w:rFonts w:ascii="Palatino Linotype" w:hAnsi="Palatino Linotype" w:cs="Arial"/>
          <w:color w:val="000000" w:themeColor="text1"/>
          <w:lang w:val="es-ES"/>
        </w:rPr>
        <w:t xml:space="preserve"> recurso</w:t>
      </w:r>
      <w:r w:rsidR="00E04DCE">
        <w:rPr>
          <w:rFonts w:ascii="Palatino Linotype" w:hAnsi="Palatino Linotype" w:cs="Arial"/>
          <w:color w:val="000000" w:themeColor="text1"/>
          <w:lang w:val="es-ES"/>
        </w:rPr>
        <w:t>s</w:t>
      </w:r>
      <w:r w:rsidR="00E04DCE" w:rsidRPr="00E04DCE">
        <w:rPr>
          <w:rFonts w:ascii="Palatino Linotype" w:hAnsi="Palatino Linotype" w:cs="Arial"/>
          <w:color w:val="000000" w:themeColor="text1"/>
          <w:lang w:val="es-ES"/>
        </w:rPr>
        <w:t xml:space="preserve"> de revisión, </w:t>
      </w:r>
      <w:r w:rsidR="00E04DCE" w:rsidRPr="00E04DCE">
        <w:rPr>
          <w:rFonts w:ascii="Palatino Linotype" w:hAnsi="Palatino Linotype" w:cs="Arial"/>
          <w:b/>
          <w:color w:val="000000" w:themeColor="text1"/>
          <w:lang w:val="es-ES"/>
        </w:rPr>
        <w:t xml:space="preserve">no señaló ningún nombre, seudónimo o carácter para identificarse, ni se tiene certeza sobre </w:t>
      </w:r>
      <w:r w:rsidR="00E04DCE" w:rsidRPr="00E04DCE">
        <w:rPr>
          <w:rFonts w:ascii="Palatino Linotype" w:hAnsi="Palatino Linotype" w:cs="Arial"/>
          <w:b/>
          <w:color w:val="000000" w:themeColor="text1"/>
          <w:lang w:val="es-ES"/>
        </w:rPr>
        <w:lastRenderedPageBreak/>
        <w:t>su identidad.</w:t>
      </w:r>
      <w:r w:rsidR="00E04DCE" w:rsidRPr="00E04DCE">
        <w:rPr>
          <w:rFonts w:ascii="Palatino Linotype" w:hAnsi="Palatino Linotype" w:cs="Arial"/>
          <w:color w:val="000000" w:themeColor="text1"/>
          <w:lang w:val="es-ES"/>
        </w:rPr>
        <w:t xml:space="preserve"> Sin embargo, es importante señalar que </w:t>
      </w:r>
      <w:r w:rsidR="00E04DCE" w:rsidRPr="00E04DCE">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9E0A130" w14:textId="77777777"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D743FCA" w14:textId="22C0EF9C" w:rsidR="006B12FF" w:rsidRPr="006B12FF" w:rsidRDefault="00E04DC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5F1BAD">
        <w:rPr>
          <w:rFonts w:ascii="Palatino Linotype" w:hAnsi="Palatino Linotype" w:cs="Arial"/>
          <w:color w:val="000000" w:themeColor="text1"/>
          <w:lang w:val="es-ES"/>
        </w:rPr>
        <w:t xml:space="preserve">es así, ya que de conformidad con los artículos 6, apartado A, fracciones III y IV de la </w:t>
      </w:r>
      <w:r w:rsidRPr="005F1BAD">
        <w:rPr>
          <w:rFonts w:ascii="Palatino Linotype" w:hAnsi="Palatino Linotype" w:cs="Arial"/>
          <w:b/>
          <w:color w:val="000000" w:themeColor="text1"/>
          <w:lang w:val="es-ES"/>
        </w:rPr>
        <w:t>Constitución Política de los Estados Unidos Mexicanos</w:t>
      </w:r>
      <w:r w:rsidRPr="005F1BAD">
        <w:rPr>
          <w:rFonts w:ascii="Palatino Linotype" w:hAnsi="Palatino Linotype" w:cs="Arial"/>
          <w:color w:val="000000" w:themeColor="text1"/>
          <w:lang w:val="es-ES"/>
        </w:rPr>
        <w:t xml:space="preserve">; 5, párrafos vigésimo segundo, vigésimo tercero y vigésimo cuarto, fracciones III, IV y V, de la </w:t>
      </w:r>
      <w:r w:rsidRPr="005F1BAD">
        <w:rPr>
          <w:rFonts w:ascii="Palatino Linotype" w:hAnsi="Palatino Linotype" w:cs="Arial"/>
          <w:b/>
          <w:color w:val="000000" w:themeColor="text1"/>
          <w:lang w:val="es-ES"/>
        </w:rPr>
        <w:t>Constitución Política del Estado Libre y Soberano de México</w:t>
      </w:r>
      <w:r w:rsidRPr="005F1BAD">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02E955B6" w14:textId="77777777"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F0B9D30" w14:textId="65678357" w:rsidR="006B12FF" w:rsidRPr="006B12FF" w:rsidRDefault="00E04DC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w:t>
      </w:r>
      <w:r w:rsidRPr="00F43C60">
        <w:rPr>
          <w:rFonts w:ascii="Palatino Linotype" w:eastAsia="Times New Roman" w:hAnsi="Palatino Linotype" w:cs="Arial"/>
          <w:color w:val="000000" w:themeColor="text1"/>
          <w:lang w:val="es-ES" w:eastAsia="es-MX"/>
        </w:rPr>
        <w:lastRenderedPageBreak/>
        <w:t>pueda ser anónima o no contener un nombre que identifique al Solicitante o que permita tener certeza sobre su identidad.</w:t>
      </w:r>
    </w:p>
    <w:p w14:paraId="5CF32927" w14:textId="77777777"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35CF58B" w14:textId="0CE17BEC" w:rsidR="006B12FF" w:rsidRPr="006B12FF" w:rsidRDefault="00E04DC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29E696B" w14:textId="67E0D9BC"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AAF8DF6" w14:textId="52EA656F" w:rsidR="006B12FF" w:rsidRPr="006B12FF" w:rsidRDefault="00E04DC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94E805A" w14:textId="77777777" w:rsidR="006B12FF" w:rsidRPr="006B12FF" w:rsidRDefault="006B12FF" w:rsidP="006B12FF">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5E2C0F6" w14:textId="2441C4CF" w:rsidR="006B12FF" w:rsidRPr="006B12FF" w:rsidRDefault="00E04DCE"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Pr>
          <w:rFonts w:ascii="Palatino Linotype" w:eastAsia="Calibri" w:hAnsi="Palatino Linotype" w:cs="Arial"/>
        </w:rPr>
        <w:t xml:space="preserve">lo tanto, </w:t>
      </w:r>
      <w:r w:rsidRPr="00F43C60">
        <w:rPr>
          <w:rFonts w:ascii="Palatino Linotype" w:eastAsia="Times New Roman" w:hAnsi="Palatino Linotype" w:cs="Arial"/>
          <w:color w:val="000000" w:themeColor="text1"/>
          <w:lang w:val="es-ES" w:eastAsia="es-MX"/>
        </w:rPr>
        <w:t xml:space="preserve">el nombre </w:t>
      </w:r>
      <w:r>
        <w:rPr>
          <w:rFonts w:ascii="Palatino Linotype" w:eastAsia="Times New Roman" w:hAnsi="Palatino Linotype" w:cs="Arial"/>
          <w:color w:val="000000" w:themeColor="text1"/>
          <w:lang w:val="es-ES" w:eastAsia="es-MX"/>
        </w:rPr>
        <w:t>del</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w:t>
      </w:r>
      <w:r>
        <w:rPr>
          <w:rFonts w:ascii="Palatino Linotype" w:eastAsia="Times New Roman" w:hAnsi="Palatino Linotype" w:cs="Arial"/>
          <w:color w:val="000000" w:themeColor="text1"/>
          <w:lang w:val="es-ES" w:eastAsia="es-MX"/>
        </w:rPr>
        <w:t xml:space="preserve">como </w:t>
      </w:r>
      <w:r w:rsidRPr="00F43C60">
        <w:rPr>
          <w:rFonts w:ascii="Palatino Linotype" w:eastAsia="Times New Roman" w:hAnsi="Palatino Linotype" w:cs="Arial"/>
          <w:color w:val="000000" w:themeColor="text1"/>
          <w:lang w:val="es-ES" w:eastAsia="es-MX"/>
        </w:rPr>
        <w:t>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774AB3"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7DFE8653" w:rsidR="005F1362" w:rsidRPr="00710B50"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escrito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contiene</w:t>
      </w:r>
      <w:r w:rsidR="000B2BA0">
        <w:rPr>
          <w:rFonts w:ascii="Palatino Linotype" w:eastAsia="Calibri" w:hAnsi="Palatino Linotype" w:cs="Arial"/>
          <w:color w:val="000000" w:themeColor="text1"/>
        </w:rPr>
        <w:t>n</w:t>
      </w:r>
      <w:r w:rsidR="00540208" w:rsidRPr="00A85CB7">
        <w:rPr>
          <w:rFonts w:ascii="Palatino Linotype" w:eastAsia="Calibri" w:hAnsi="Palatino Linotype" w:cs="Arial"/>
          <w:color w:val="000000" w:themeColor="text1"/>
        </w:rPr>
        <w:t xml:space="preserv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540208" w:rsidRPr="00A85CB7">
        <w:rPr>
          <w:rFonts w:ascii="Palatino Linotype" w:eastAsia="Calibri" w:hAnsi="Palatino Linotype" w:cs="Arial"/>
          <w:color w:val="000000" w:themeColor="text1"/>
        </w:rPr>
        <w:t>l</w:t>
      </w:r>
      <w:r w:rsidR="000B2BA0">
        <w:rPr>
          <w:rFonts w:ascii="Palatino Linotype" w:eastAsia="Calibri" w:hAnsi="Palatino Linotype" w:cs="Arial"/>
          <w:color w:val="000000" w:themeColor="text1"/>
        </w:rPr>
        <w:t>os</w:t>
      </w:r>
      <w:r w:rsidR="00540208" w:rsidRPr="00A85CB7">
        <w:rPr>
          <w:rFonts w:ascii="Palatino Linotype" w:eastAsia="Calibri" w:hAnsi="Palatino Linotype" w:cs="Arial"/>
          <w:color w:val="000000" w:themeColor="text1"/>
        </w:rPr>
        <w:t xml:space="preserve"> presente</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 xml:space="preserve"> recurso</w:t>
      </w:r>
      <w:r w:rsidR="000B2BA0">
        <w:rPr>
          <w:rFonts w:ascii="Palatino Linotype" w:eastAsia="Calibri" w:hAnsi="Palatino Linotype" w:cs="Arial"/>
          <w:color w:val="000000" w:themeColor="text1"/>
        </w:rPr>
        <w:t>s</w:t>
      </w:r>
      <w:r w:rsidR="00540208" w:rsidRPr="00A85CB7">
        <w:rPr>
          <w:rFonts w:ascii="Palatino Linotype" w:eastAsia="Calibri" w:hAnsi="Palatino Linotype" w:cs="Arial"/>
          <w:color w:val="000000" w:themeColor="text1"/>
        </w:rPr>
        <w:t>.</w:t>
      </w:r>
    </w:p>
    <w:p w14:paraId="11A9FB70" w14:textId="21257BAF" w:rsidR="00710B50" w:rsidRPr="00710B50"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7"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7"/>
    </w:p>
    <w:p w14:paraId="4FB84CAD" w14:textId="77777777" w:rsidR="00CA62D4" w:rsidRPr="00710B50"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6137E4C" w14:textId="0892174C" w:rsidR="0056788F" w:rsidRPr="00CA0640" w:rsidRDefault="0012112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8" w:name="_Toc459174366"/>
      <w:bookmarkStart w:id="19" w:name="_Toc459659884"/>
      <w:bookmarkStart w:id="20" w:name="_Toc461687280"/>
      <w:bookmarkStart w:id="21" w:name="_Toc462771051"/>
      <w:bookmarkStart w:id="22" w:name="_Toc464139201"/>
      <w:r>
        <w:rPr>
          <w:rFonts w:ascii="Palatino Linotype" w:hAnsi="Palatino Linotype" w:cs="Arial"/>
          <w:color w:val="000000" w:themeColor="text1"/>
        </w:rPr>
        <w:t xml:space="preserve">A través de dos solicitudes de información, se requirió conocer lo siguiente: </w:t>
      </w:r>
      <w:r>
        <w:rPr>
          <w:rFonts w:ascii="Palatino Linotype" w:hAnsi="Palatino Linotype" w:cs="Arial"/>
          <w:b/>
          <w:bCs/>
          <w:color w:val="000000" w:themeColor="text1"/>
        </w:rPr>
        <w:t>a)</w:t>
      </w:r>
      <w:r>
        <w:rPr>
          <w:rFonts w:ascii="Palatino Linotype" w:hAnsi="Palatino Linotype" w:cs="Arial"/>
          <w:color w:val="000000" w:themeColor="text1"/>
        </w:rPr>
        <w:t xml:space="preserve"> el grado de estudios del Presidente Municipal, y el </w:t>
      </w:r>
      <w:r w:rsidR="00686AB3">
        <w:rPr>
          <w:rFonts w:ascii="Palatino Linotype" w:hAnsi="Palatino Linotype" w:cs="Arial"/>
          <w:color w:val="000000" w:themeColor="text1"/>
        </w:rPr>
        <w:t xml:space="preserve">documento que lo acredite; y, </w:t>
      </w:r>
      <w:r w:rsidR="00686AB3">
        <w:rPr>
          <w:rFonts w:ascii="Palatino Linotype" w:hAnsi="Palatino Linotype" w:cs="Arial"/>
          <w:b/>
          <w:bCs/>
          <w:color w:val="000000" w:themeColor="text1"/>
        </w:rPr>
        <w:t>b)</w:t>
      </w:r>
      <w:r w:rsidR="00686AB3">
        <w:rPr>
          <w:rFonts w:ascii="Palatino Linotype" w:hAnsi="Palatino Linotype" w:cs="Arial"/>
          <w:color w:val="000000" w:themeColor="text1"/>
        </w:rPr>
        <w:t xml:space="preserve"> el currículum del personal adscrito a la Contraloría Municipal</w:t>
      </w:r>
      <w:r w:rsidR="007E64B6">
        <w:rPr>
          <w:rFonts w:ascii="Palatino Linotype" w:hAnsi="Palatino Linotype" w:cs="Arial"/>
          <w:color w:val="000000" w:themeColor="text1"/>
        </w:rPr>
        <w:t>.</w:t>
      </w:r>
      <w:r w:rsidR="00910076">
        <w:rPr>
          <w:rFonts w:ascii="Palatino Linotype" w:hAnsi="Palatino Linotype" w:cs="Arial"/>
          <w:color w:val="000000" w:themeColor="text1"/>
        </w:rPr>
        <w:t xml:space="preserve"> </w:t>
      </w:r>
      <w:r w:rsidR="00E50385">
        <w:rPr>
          <w:rFonts w:ascii="Palatino Linotype" w:hAnsi="Palatino Linotype" w:cs="Arial"/>
          <w:color w:val="000000" w:themeColor="text1"/>
        </w:rPr>
        <w:t>En su</w:t>
      </w:r>
      <w:r w:rsidR="001E0672">
        <w:rPr>
          <w:rFonts w:ascii="Palatino Linotype" w:hAnsi="Palatino Linotype" w:cs="Arial"/>
          <w:color w:val="000000" w:themeColor="text1"/>
        </w:rPr>
        <w:t>s</w:t>
      </w:r>
      <w:r w:rsidR="00E50385">
        <w:rPr>
          <w:rFonts w:ascii="Palatino Linotype" w:hAnsi="Palatino Linotype" w:cs="Arial"/>
          <w:color w:val="000000" w:themeColor="text1"/>
        </w:rPr>
        <w:t xml:space="preserve"> respuesta</w:t>
      </w:r>
      <w:r w:rsidR="001E0672">
        <w:rPr>
          <w:rFonts w:ascii="Palatino Linotype" w:hAnsi="Palatino Linotype" w:cs="Arial"/>
          <w:color w:val="000000" w:themeColor="text1"/>
        </w:rPr>
        <w:t>s</w:t>
      </w:r>
      <w:r w:rsidR="00E50385">
        <w:rPr>
          <w:rFonts w:ascii="Palatino Linotype" w:hAnsi="Palatino Linotype" w:cs="Arial"/>
          <w:color w:val="000000" w:themeColor="text1"/>
        </w:rPr>
        <w:t xml:space="preserve">, el </w:t>
      </w:r>
      <w:r w:rsidR="00E50385">
        <w:rPr>
          <w:rFonts w:ascii="Palatino Linotype" w:hAnsi="Palatino Linotype" w:cs="Arial"/>
          <w:b/>
          <w:color w:val="000000" w:themeColor="text1"/>
        </w:rPr>
        <w:t>SUJETO OBLIGADO</w:t>
      </w:r>
      <w:r w:rsidR="00E50385">
        <w:rPr>
          <w:rFonts w:ascii="Palatino Linotype" w:hAnsi="Palatino Linotype" w:cs="Arial"/>
          <w:color w:val="000000" w:themeColor="text1"/>
        </w:rPr>
        <w:t xml:space="preserve"> </w:t>
      </w:r>
      <w:r w:rsidR="00686AB3">
        <w:rPr>
          <w:rFonts w:ascii="Palatino Linotype" w:hAnsi="Palatino Linotype" w:cs="Arial"/>
          <w:color w:val="000000" w:themeColor="text1"/>
        </w:rPr>
        <w:t>informó que el Presidente Municipal contaba con Licenciatura en Derecho; mientras que, por cuanto hace a los currículums del personal adscrito a la Contraloría Municipal, informó que éstos eran confidenciales</w:t>
      </w:r>
      <w:r w:rsidR="00CA4CF0">
        <w:rPr>
          <w:rFonts w:ascii="Palatino Linotype" w:hAnsi="Palatino Linotype" w:cs="Arial"/>
          <w:color w:val="000000" w:themeColor="text1"/>
        </w:rPr>
        <w:t>.</w:t>
      </w:r>
      <w:r w:rsidR="007758D3">
        <w:rPr>
          <w:rFonts w:ascii="Palatino Linotype" w:hAnsi="Palatino Linotype" w:cs="Arial"/>
          <w:color w:val="000000" w:themeColor="text1"/>
        </w:rPr>
        <w:t xml:space="preserve"> </w:t>
      </w:r>
      <w:r w:rsidR="00E50385">
        <w:rPr>
          <w:rFonts w:ascii="Palatino Linotype" w:hAnsi="Palatino Linotype" w:cs="Arial"/>
          <w:color w:val="000000" w:themeColor="text1"/>
        </w:rPr>
        <w:t>El</w:t>
      </w:r>
      <w:r w:rsidR="007758D3">
        <w:rPr>
          <w:rFonts w:ascii="Palatino Linotype" w:hAnsi="Palatino Linotype" w:cs="Arial"/>
          <w:color w:val="000000" w:themeColor="text1"/>
        </w:rPr>
        <w:t xml:space="preserve"> particular impugnó la</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respuesta</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del </w:t>
      </w:r>
      <w:r w:rsidR="007758D3">
        <w:rPr>
          <w:rFonts w:ascii="Palatino Linotype" w:hAnsi="Palatino Linotype" w:cs="Arial"/>
          <w:b/>
          <w:color w:val="000000" w:themeColor="text1"/>
        </w:rPr>
        <w:t>SUJETO OBLIGADO</w:t>
      </w:r>
      <w:r w:rsidR="007758D3">
        <w:rPr>
          <w:rFonts w:ascii="Palatino Linotype" w:hAnsi="Palatino Linotype" w:cs="Arial"/>
          <w:color w:val="000000" w:themeColor="text1"/>
        </w:rPr>
        <w:t xml:space="preserve"> mediante recurso</w:t>
      </w:r>
      <w:r w:rsidR="00CA4CF0">
        <w:rPr>
          <w:rFonts w:ascii="Palatino Linotype" w:hAnsi="Palatino Linotype" w:cs="Arial"/>
          <w:color w:val="000000" w:themeColor="text1"/>
        </w:rPr>
        <w:t>s</w:t>
      </w:r>
      <w:r w:rsidR="007758D3">
        <w:rPr>
          <w:rFonts w:ascii="Palatino Linotype" w:hAnsi="Palatino Linotype" w:cs="Arial"/>
          <w:color w:val="000000" w:themeColor="text1"/>
        </w:rPr>
        <w:t xml:space="preserve"> de revisión en </w:t>
      </w:r>
      <w:r w:rsidR="00CA4CF0">
        <w:rPr>
          <w:rFonts w:ascii="Palatino Linotype" w:hAnsi="Palatino Linotype" w:cs="Arial"/>
          <w:color w:val="000000" w:themeColor="text1"/>
        </w:rPr>
        <w:t>los</w:t>
      </w:r>
      <w:r w:rsidR="006015F0">
        <w:rPr>
          <w:rFonts w:ascii="Palatino Linotype" w:hAnsi="Palatino Linotype" w:cs="Arial"/>
          <w:color w:val="000000" w:themeColor="text1"/>
        </w:rPr>
        <w:t xml:space="preserve"> que señaló, por agravios, </w:t>
      </w:r>
      <w:r w:rsidR="00686AB3">
        <w:rPr>
          <w:rFonts w:ascii="Palatino Linotype" w:hAnsi="Palatino Linotype" w:cs="Arial"/>
          <w:color w:val="000000" w:themeColor="text1"/>
        </w:rPr>
        <w:t>la clasificación de la información</w:t>
      </w:r>
      <w:r w:rsidR="007409D8">
        <w:rPr>
          <w:rFonts w:ascii="Palatino Linotype" w:hAnsi="Palatino Linotype" w:cs="Arial"/>
          <w:color w:val="000000" w:themeColor="text1"/>
        </w:rPr>
        <w:t>.</w:t>
      </w:r>
    </w:p>
    <w:p w14:paraId="52493E42" w14:textId="77777777" w:rsidR="0056788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65DEB3DE" w:rsidR="001A032D" w:rsidRPr="0056788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6788F">
        <w:rPr>
          <w:rFonts w:ascii="Palatino Linotype" w:hAnsi="Palatino Linotype" w:cs="Arial"/>
          <w:color w:val="000000" w:themeColor="text1"/>
        </w:rPr>
        <w:t xml:space="preserve">En ese sentido, </w:t>
      </w:r>
      <w:r w:rsidR="00566BC5">
        <w:rPr>
          <w:rFonts w:ascii="Palatino Linotype" w:hAnsi="Palatino Linotype" w:cs="Arial"/>
          <w:color w:val="000000" w:themeColor="text1"/>
        </w:rPr>
        <w:t>este Órgano Garante</w:t>
      </w:r>
      <w:r w:rsidR="002E160F" w:rsidRPr="0056788F">
        <w:rPr>
          <w:rFonts w:ascii="Palatino Linotype" w:hAnsi="Palatino Linotype" w:cs="Arial"/>
          <w:color w:val="000000" w:themeColor="text1"/>
        </w:rPr>
        <w:t xml:space="preserve"> advierte que las razones o motivos de inconformidad manifestados por el </w:t>
      </w:r>
      <w:r w:rsidRPr="0056788F">
        <w:rPr>
          <w:rFonts w:ascii="Palatino Linotype" w:hAnsi="Palatino Linotype" w:cs="Arial"/>
          <w:b/>
          <w:bCs/>
          <w:color w:val="000000" w:themeColor="text1"/>
        </w:rPr>
        <w:t>RECURRENTE</w:t>
      </w:r>
      <w:r w:rsidRPr="0056788F">
        <w:rPr>
          <w:rFonts w:ascii="Palatino Linotype" w:hAnsi="Palatino Linotype" w:cs="Arial"/>
          <w:color w:val="000000" w:themeColor="text1"/>
        </w:rPr>
        <w:t xml:space="preserve"> </w:t>
      </w:r>
      <w:r w:rsidR="002E160F" w:rsidRPr="0056788F">
        <w:rPr>
          <w:rFonts w:ascii="Palatino Linotype" w:hAnsi="Palatino Linotype" w:cs="Arial"/>
          <w:color w:val="000000" w:themeColor="text1"/>
        </w:rPr>
        <w:t>sugieren que la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respuesta</w:t>
      </w:r>
      <w:r w:rsidR="007409D8">
        <w:rPr>
          <w:rFonts w:ascii="Palatino Linotype" w:hAnsi="Palatino Linotype" w:cs="Arial"/>
          <w:color w:val="000000" w:themeColor="text1"/>
        </w:rPr>
        <w:t>s</w:t>
      </w:r>
      <w:r w:rsidR="002E160F" w:rsidRPr="0056788F">
        <w:rPr>
          <w:rFonts w:ascii="Palatino Linotype" w:hAnsi="Palatino Linotype" w:cs="Arial"/>
          <w:color w:val="000000" w:themeColor="text1"/>
        </w:rPr>
        <w:t xml:space="preserve"> proporcionada</w:t>
      </w:r>
      <w:r w:rsidR="007409D8">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por el </w:t>
      </w:r>
      <w:r w:rsidR="00B855AA" w:rsidRPr="0056788F">
        <w:rPr>
          <w:rFonts w:ascii="Palatino Linotype" w:hAnsi="Palatino Linotype" w:cs="Arial"/>
          <w:b/>
          <w:bCs/>
          <w:color w:val="000000" w:themeColor="text1"/>
        </w:rPr>
        <w:t>SUJETO OBLIGADO</w:t>
      </w:r>
      <w:r w:rsidR="007409D8">
        <w:rPr>
          <w:rFonts w:ascii="Palatino Linotype" w:hAnsi="Palatino Linotype" w:cs="Arial"/>
          <w:color w:val="000000" w:themeColor="text1"/>
        </w:rPr>
        <w:t xml:space="preserve"> no cumplieron</w:t>
      </w:r>
      <w:r w:rsidR="00B855AA" w:rsidRPr="0056788F">
        <w:rPr>
          <w:rFonts w:ascii="Palatino Linotype" w:hAnsi="Palatino Linotype" w:cs="Arial"/>
          <w:color w:val="000000" w:themeColor="text1"/>
        </w:rPr>
        <w:t xml:space="preserve"> con </w:t>
      </w:r>
      <w:r w:rsidR="008F7752">
        <w:rPr>
          <w:rFonts w:ascii="Palatino Linotype" w:hAnsi="Palatino Linotype" w:cs="Arial"/>
          <w:color w:val="000000" w:themeColor="text1"/>
        </w:rPr>
        <w:t>los</w:t>
      </w:r>
      <w:r w:rsidR="00B855AA" w:rsidRPr="0056788F">
        <w:rPr>
          <w:rFonts w:ascii="Palatino Linotype" w:hAnsi="Palatino Linotype" w:cs="Arial"/>
          <w:color w:val="000000" w:themeColor="text1"/>
        </w:rPr>
        <w:t xml:space="preserve"> principio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contendido</w:t>
      </w:r>
      <w:r w:rsidR="008F7752">
        <w:rPr>
          <w:rFonts w:ascii="Palatino Linotype" w:hAnsi="Palatino Linotype" w:cs="Arial"/>
          <w:color w:val="000000" w:themeColor="text1"/>
        </w:rPr>
        <w:t>s</w:t>
      </w:r>
      <w:r w:rsidR="00B855AA" w:rsidRPr="0056788F">
        <w:rPr>
          <w:rFonts w:ascii="Palatino Linotype" w:hAnsi="Palatino Linotype" w:cs="Arial"/>
          <w:color w:val="000000" w:themeColor="text1"/>
        </w:rPr>
        <w:t xml:space="preserve"> en el artículo 11 de la Ley de Transparencia y Acceso a la Información Pública del Estado de México y Municipios, l</w:t>
      </w:r>
      <w:r w:rsidR="008F7752">
        <w:rPr>
          <w:rFonts w:ascii="Palatino Linotype" w:hAnsi="Palatino Linotype" w:cs="Arial"/>
          <w:color w:val="000000" w:themeColor="text1"/>
        </w:rPr>
        <w:t>os</w:t>
      </w:r>
      <w:r w:rsidR="00B855AA" w:rsidRPr="0056788F">
        <w:rPr>
          <w:rFonts w:ascii="Palatino Linotype" w:hAnsi="Palatino Linotype" w:cs="Arial"/>
          <w:color w:val="000000" w:themeColor="text1"/>
        </w:rPr>
        <w:t xml:space="preserve"> cual</w:t>
      </w:r>
      <w:r w:rsidR="008F7752">
        <w:rPr>
          <w:rFonts w:ascii="Palatino Linotype" w:hAnsi="Palatino Linotype" w:cs="Arial"/>
          <w:color w:val="000000" w:themeColor="text1"/>
        </w:rPr>
        <w:t>es</w:t>
      </w:r>
      <w:r w:rsidR="00B855AA" w:rsidRPr="0056788F">
        <w:rPr>
          <w:rFonts w:ascii="Palatino Linotype" w:hAnsi="Palatino Linotype" w:cs="Arial"/>
          <w:color w:val="000000" w:themeColor="text1"/>
        </w:rPr>
        <w:t xml:space="preserve"> señala</w:t>
      </w:r>
      <w:r w:rsidR="008F7752">
        <w:rPr>
          <w:rFonts w:ascii="Palatino Linotype" w:hAnsi="Palatino Linotype" w:cs="Arial"/>
          <w:color w:val="000000" w:themeColor="text1"/>
        </w:rPr>
        <w:t>n</w:t>
      </w:r>
      <w:r w:rsidR="00B855AA" w:rsidRPr="0056788F">
        <w:rPr>
          <w:rFonts w:ascii="Palatino Linotype" w:hAnsi="Palatino Linotype" w:cs="Arial"/>
          <w:color w:val="000000" w:themeColor="text1"/>
        </w:rPr>
        <w:t xml:space="preserve"> que en la generación, publicación y entrega de información se deberá garantizar que ésta </w:t>
      </w:r>
      <w:r w:rsidR="00686AB3">
        <w:rPr>
          <w:rFonts w:ascii="Palatino Linotype" w:hAnsi="Palatino Linotype" w:cs="Arial"/>
          <w:color w:val="000000" w:themeColor="text1"/>
        </w:rPr>
        <w:t xml:space="preserve">esté </w:t>
      </w:r>
      <w:r w:rsidR="00686AB3">
        <w:rPr>
          <w:rFonts w:ascii="Palatino Linotype" w:hAnsi="Palatino Linotype" w:cs="Arial"/>
          <w:b/>
          <w:bCs/>
          <w:color w:val="000000" w:themeColor="text1"/>
        </w:rPr>
        <w:t>sujeta a un régimen limitado de restricciones</w:t>
      </w:r>
      <w:r w:rsidR="00B855AA" w:rsidRPr="0056788F">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C0701A0"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respuesta</w:t>
      </w:r>
      <w:r w:rsidR="007409D8">
        <w:rPr>
          <w:rFonts w:ascii="Palatino Linotype" w:hAnsi="Palatino Linotype" w:cs="Arial"/>
          <w:color w:val="000000" w:themeColor="text1"/>
          <w:szCs w:val="23"/>
        </w:rPr>
        <w:t>s</w:t>
      </w:r>
      <w:r w:rsidR="004B0EB6">
        <w:rPr>
          <w:rFonts w:ascii="Palatino Linotype" w:hAnsi="Palatino Linotype" w:cs="Arial"/>
          <w:color w:val="000000" w:themeColor="text1"/>
          <w:szCs w:val="23"/>
        </w:rPr>
        <w:t xml:space="preserve">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colma</w:t>
      </w:r>
      <w:r w:rsidR="007409D8">
        <w:rPr>
          <w:rFonts w:ascii="Palatino Linotype" w:hAnsi="Palatino Linotype" w:cs="Arial"/>
          <w:color w:val="000000" w:themeColor="text1"/>
          <w:szCs w:val="23"/>
        </w:rPr>
        <w:t>n</w:t>
      </w:r>
      <w:r w:rsidR="004B0EB6">
        <w:rPr>
          <w:rFonts w:ascii="Palatino Linotype" w:hAnsi="Palatino Linotype" w:cs="Arial"/>
          <w:color w:val="000000" w:themeColor="text1"/>
          <w:szCs w:val="23"/>
        </w:rPr>
        <w:t xml:space="preserve">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o</w:t>
      </w:r>
      <w:r w:rsidR="00686AB3">
        <w:rPr>
          <w:rFonts w:ascii="Palatino Linotype" w:hAnsi="Palatino Linotype" w:cs="Arial"/>
          <w:color w:val="000000" w:themeColor="text1"/>
          <w:szCs w:val="23"/>
        </w:rPr>
        <w:t>,</w:t>
      </w:r>
      <w:r w:rsidR="002C6561">
        <w:rPr>
          <w:rFonts w:ascii="Palatino Linotype" w:hAnsi="Palatino Linotype" w:cs="Arial"/>
          <w:color w:val="000000" w:themeColor="text1"/>
          <w:szCs w:val="23"/>
        </w:rPr>
        <w:t xml:space="preserve">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w:t>
      </w:r>
      <w:r w:rsidR="00686AB3">
        <w:rPr>
          <w:rFonts w:ascii="Palatino Linotype" w:hAnsi="Palatino Linotype" w:cs="Arial"/>
          <w:color w:val="000000" w:themeColor="text1"/>
          <w:szCs w:val="23"/>
        </w:rPr>
        <w:t>,</w:t>
      </w:r>
      <w:r w:rsidR="00E66A80" w:rsidRPr="00A85CB7">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lastRenderedPageBreak/>
        <w:t>fracciones</w:t>
      </w:r>
      <w:r w:rsidR="00E66A80" w:rsidRPr="00A85CB7">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F637D3">
        <w:rPr>
          <w:rFonts w:ascii="Palatino Linotype" w:hAnsi="Palatino Linotype" w:cs="Arial"/>
          <w:color w:val="000000" w:themeColor="text1"/>
          <w:szCs w:val="23"/>
        </w:rPr>
        <w:t>,</w:t>
      </w:r>
      <w:r w:rsidR="00C51671">
        <w:rPr>
          <w:rFonts w:ascii="Palatino Linotype" w:hAnsi="Palatino Linotype" w:cs="Arial"/>
          <w:color w:val="000000" w:themeColor="text1"/>
          <w:szCs w:val="23"/>
        </w:rPr>
        <w:t xml:space="preserve"> </w:t>
      </w:r>
      <w:r w:rsidR="006015F0">
        <w:rPr>
          <w:rFonts w:ascii="Palatino Linotype" w:hAnsi="Palatino Linotype" w:cs="Arial"/>
          <w:color w:val="000000" w:themeColor="text1"/>
          <w:szCs w:val="23"/>
        </w:rPr>
        <w:t>I</w:t>
      </w:r>
      <w:r w:rsidR="00686AB3">
        <w:rPr>
          <w:rFonts w:ascii="Palatino Linotype" w:hAnsi="Palatino Linotype" w:cs="Arial"/>
          <w:color w:val="000000" w:themeColor="text1"/>
          <w:szCs w:val="23"/>
        </w:rPr>
        <w:t>I</w:t>
      </w:r>
      <w:r w:rsidR="00F637D3">
        <w:rPr>
          <w:rFonts w:ascii="Palatino Linotype" w:hAnsi="Palatino Linotype" w:cs="Arial"/>
          <w:color w:val="000000" w:themeColor="text1"/>
          <w:szCs w:val="23"/>
        </w:rPr>
        <w:t xml:space="preserve"> y III</w:t>
      </w:r>
      <w:r w:rsidR="00686AB3">
        <w:rPr>
          <w:rFonts w:ascii="Palatino Linotype" w:hAnsi="Palatino Linotype" w:cs="Arial"/>
          <w:color w:val="000000" w:themeColor="text1"/>
          <w:szCs w:val="23"/>
        </w:rPr>
        <w:t>,</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5D251E5B" w14:textId="77777777" w:rsidR="002630E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10528129" w:rsidR="00E02DA3" w:rsidRDefault="007409D8"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bCs/>
          <w:i/>
          <w:color w:val="000000" w:themeColor="text1"/>
          <w:sz w:val="22"/>
        </w:rPr>
        <w:t>I.</w:t>
      </w:r>
      <w:r>
        <w:rPr>
          <w:rFonts w:ascii="Palatino Linotype" w:hAnsi="Palatino Linotype"/>
          <w:bCs/>
          <w:i/>
          <w:color w:val="000000" w:themeColor="text1"/>
          <w:sz w:val="22"/>
        </w:rPr>
        <w:t xml:space="preserve"> La negativa a la información solicitada;</w:t>
      </w:r>
    </w:p>
    <w:p w14:paraId="4831C09C" w14:textId="4D18B8AB" w:rsidR="00A641B9" w:rsidRPr="00A641B9" w:rsidRDefault="00A641B9" w:rsidP="00B31E90">
      <w:pPr>
        <w:pStyle w:val="Sinespaciado"/>
        <w:tabs>
          <w:tab w:val="left" w:pos="426"/>
        </w:tabs>
        <w:ind w:left="851" w:right="567"/>
        <w:jc w:val="both"/>
        <w:rPr>
          <w:rFonts w:ascii="Palatino Linotype" w:hAnsi="Palatino Linotype"/>
          <w:bCs/>
          <w:i/>
          <w:color w:val="000000" w:themeColor="text1"/>
          <w:sz w:val="22"/>
        </w:rPr>
      </w:pPr>
      <w:r>
        <w:rPr>
          <w:rFonts w:ascii="Palatino Linotype" w:hAnsi="Palatino Linotype"/>
          <w:b/>
          <w:i/>
          <w:color w:val="000000" w:themeColor="text1"/>
          <w:sz w:val="22"/>
        </w:rPr>
        <w:t>II.</w:t>
      </w:r>
      <w:r>
        <w:rPr>
          <w:rFonts w:ascii="Palatino Linotype" w:hAnsi="Palatino Linotype"/>
          <w:bCs/>
          <w:i/>
          <w:color w:val="000000" w:themeColor="text1"/>
          <w:sz w:val="22"/>
        </w:rPr>
        <w:t xml:space="preserve"> La clasificación de la información;</w:t>
      </w:r>
    </w:p>
    <w:p w14:paraId="6EC304A1" w14:textId="77777777" w:rsidR="00F637D3" w:rsidRDefault="00512E43" w:rsidP="00686AB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III.</w:t>
      </w:r>
      <w:r>
        <w:rPr>
          <w:rFonts w:ascii="Palatino Linotype" w:hAnsi="Palatino Linotype"/>
          <w:i/>
          <w:color w:val="000000" w:themeColor="text1"/>
          <w:sz w:val="22"/>
        </w:rPr>
        <w:t xml:space="preserve"> La </w:t>
      </w:r>
      <w:r w:rsidR="00F637D3">
        <w:rPr>
          <w:rFonts w:ascii="Palatino Linotype" w:hAnsi="Palatino Linotype"/>
          <w:i/>
          <w:color w:val="000000" w:themeColor="text1"/>
          <w:sz w:val="22"/>
        </w:rPr>
        <w:t>declaración de inexistencia de la información;</w:t>
      </w:r>
    </w:p>
    <w:p w14:paraId="4FCA9B3F" w14:textId="441EDAF7" w:rsidR="00515DEC" w:rsidRPr="00A85CB7" w:rsidRDefault="00515DEC" w:rsidP="00686AB3">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Pr="009F1566" w:rsidRDefault="009F1566" w:rsidP="00F96156">
      <w:pPr>
        <w:pStyle w:val="Ttulo2"/>
        <w:tabs>
          <w:tab w:val="left" w:pos="426"/>
        </w:tabs>
        <w:rPr>
          <w:rFonts w:ascii="Palatino Linotype" w:hAnsi="Palatino Linotype" w:cs="Arial"/>
          <w:b/>
          <w:color w:val="FF0000"/>
          <w:sz w:val="24"/>
        </w:rPr>
      </w:pPr>
    </w:p>
    <w:p w14:paraId="5CEC2F48" w14:textId="2B3EE412" w:rsidR="00EF014A" w:rsidRPr="00A85CB7" w:rsidRDefault="00094B41" w:rsidP="00F96156">
      <w:pPr>
        <w:pStyle w:val="Ttulo2"/>
        <w:tabs>
          <w:tab w:val="left" w:pos="426"/>
        </w:tabs>
        <w:rPr>
          <w:rFonts w:ascii="Palatino Linotype" w:hAnsi="Palatino Linotype" w:cs="Arial"/>
          <w:b/>
          <w:color w:val="000000" w:themeColor="text1"/>
          <w:sz w:val="24"/>
        </w:rPr>
      </w:pPr>
      <w:bookmarkStart w:id="23"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w:t>
      </w:r>
      <w:r w:rsidR="00C366F4">
        <w:rPr>
          <w:rFonts w:ascii="Palatino Linotype" w:hAnsi="Palatino Linotype" w:cs="Arial"/>
          <w:b/>
          <w:color w:val="000000" w:themeColor="text1"/>
          <w:sz w:val="24"/>
        </w:rPr>
        <w:t xml:space="preserve"> </w:t>
      </w:r>
      <w:r w:rsidR="00EF014A" w:rsidRPr="00A85CB7">
        <w:rPr>
          <w:rFonts w:ascii="Palatino Linotype" w:hAnsi="Palatino Linotype" w:cs="Arial"/>
          <w:b/>
          <w:color w:val="000000" w:themeColor="text1"/>
          <w:sz w:val="24"/>
        </w:rPr>
        <w:t>l</w:t>
      </w:r>
      <w:r w:rsidR="00C366F4">
        <w:rPr>
          <w:rFonts w:ascii="Palatino Linotype" w:hAnsi="Palatino Linotype" w:cs="Arial"/>
          <w:b/>
          <w:color w:val="000000" w:themeColor="text1"/>
          <w:sz w:val="24"/>
        </w:rPr>
        <w:t>os</w:t>
      </w:r>
      <w:r w:rsidR="00EF014A" w:rsidRPr="00A85CB7">
        <w:rPr>
          <w:rFonts w:ascii="Palatino Linotype" w:hAnsi="Palatino Linotype" w:cs="Arial"/>
          <w:b/>
          <w:color w:val="000000" w:themeColor="text1"/>
          <w:sz w:val="24"/>
        </w:rPr>
        <w:t xml:space="preserve"> asunto</w:t>
      </w:r>
      <w:r w:rsidR="00C366F4">
        <w:rPr>
          <w:rFonts w:ascii="Palatino Linotype" w:hAnsi="Palatino Linotype" w:cs="Arial"/>
          <w:b/>
          <w:color w:val="000000" w:themeColor="text1"/>
          <w:sz w:val="24"/>
        </w:rPr>
        <w:t>s</w:t>
      </w:r>
      <w:r w:rsidR="00EF014A" w:rsidRPr="00A85CB7">
        <w:rPr>
          <w:rFonts w:ascii="Palatino Linotype" w:hAnsi="Palatino Linotype" w:cs="Arial"/>
          <w:b/>
          <w:color w:val="000000" w:themeColor="text1"/>
          <w:sz w:val="24"/>
        </w:rPr>
        <w:t>.</w:t>
      </w:r>
      <w:bookmarkEnd w:id="23"/>
    </w:p>
    <w:p w14:paraId="6E979250" w14:textId="2A34D6B5" w:rsidR="00A55D2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58225AEF" w14:textId="72709795" w:rsidR="00167813" w:rsidRPr="00167813"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6" w:name="_Toc88071782"/>
      <w:r>
        <w:rPr>
          <w:rFonts w:ascii="Palatino Linotype" w:hAnsi="Palatino Linotype"/>
          <w:b/>
          <w:color w:val="000000" w:themeColor="text1"/>
        </w:rPr>
        <w:t xml:space="preserve">I. </w:t>
      </w:r>
      <w:r w:rsidR="008C33F9">
        <w:rPr>
          <w:rFonts w:ascii="Palatino Linotype" w:hAnsi="Palatino Linotype"/>
          <w:b/>
          <w:color w:val="000000" w:themeColor="text1"/>
        </w:rPr>
        <w:t>Del deber de las autoridades de promover, respetar, proteger y garantizar el derecho de acceso a la información pública</w:t>
      </w:r>
      <w:r w:rsidR="00167813">
        <w:rPr>
          <w:rFonts w:ascii="Palatino Linotype" w:hAnsi="Palatino Linotype"/>
          <w:b/>
          <w:color w:val="000000" w:themeColor="text1"/>
        </w:rPr>
        <w:t>.</w:t>
      </w:r>
      <w:bookmarkEnd w:id="26"/>
    </w:p>
    <w:p w14:paraId="126843D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7928796E"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Es elemental </w:t>
      </w:r>
      <w:r w:rsidRPr="008C33F9">
        <w:rPr>
          <w:rFonts w:ascii="Palatino Linotype" w:hAnsi="Palatino Linotype"/>
          <w:lang w:val="es-ES_tradnl"/>
        </w:rPr>
        <w:t>precisar</w:t>
      </w:r>
      <w:r w:rsidRPr="008C33F9">
        <w:rPr>
          <w:rFonts w:ascii="Palatino Linotype" w:hAnsi="Palatino Linotype"/>
          <w:bCs/>
        </w:rPr>
        <w:t xml:space="preserve"> que </w:t>
      </w:r>
      <w:r w:rsidRPr="008C33F9">
        <w:rPr>
          <w:rFonts w:ascii="Palatino Linotype" w:hAnsi="Palatino Linotype"/>
          <w:bCs/>
          <w:lang w:val="es-ES_tradnl"/>
        </w:rPr>
        <w:t xml:space="preserve">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8C33F9">
        <w:rPr>
          <w:rFonts w:ascii="Palatino Linotype" w:hAnsi="Palatino Linotype"/>
          <w:b/>
          <w:bCs/>
          <w:lang w:val="es-ES_tradnl"/>
        </w:rPr>
        <w:t>SUJETO OBLIGADO</w:t>
      </w:r>
      <w:r w:rsidRPr="008C33F9">
        <w:rPr>
          <w:rFonts w:ascii="Palatino Linotype" w:hAnsi="Palatino Linotype"/>
          <w:bCs/>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C33F9">
        <w:rPr>
          <w:rFonts w:ascii="Palatino Linotype" w:hAnsi="Palatino Linotype"/>
          <w:b/>
          <w:bCs/>
          <w:lang w:val="es-ES_tradnl"/>
        </w:rPr>
        <w:t xml:space="preserve">Constitución Política de los Estados Unidos Mexicanos </w:t>
      </w:r>
      <w:r w:rsidRPr="008C33F9">
        <w:rPr>
          <w:rFonts w:ascii="Palatino Linotype" w:hAnsi="Palatino Linotype"/>
          <w:bCs/>
          <w:lang w:val="es-ES_tradnl"/>
        </w:rPr>
        <w:t xml:space="preserve">al señalar la obligación de “promover, </w:t>
      </w:r>
      <w:r w:rsidRPr="008C33F9">
        <w:rPr>
          <w:rFonts w:ascii="Palatino Linotype" w:hAnsi="Palatino Linotype"/>
          <w:b/>
          <w:bCs/>
          <w:lang w:val="es-ES_tradnl"/>
        </w:rPr>
        <w:t>respetar</w:t>
      </w:r>
      <w:r w:rsidRPr="008C33F9">
        <w:rPr>
          <w:rFonts w:ascii="Palatino Linotype" w:hAnsi="Palatino Linotype"/>
          <w:bCs/>
          <w:lang w:val="es-ES_tradnl"/>
        </w:rPr>
        <w:t xml:space="preserve">, </w:t>
      </w:r>
      <w:r w:rsidRPr="008C33F9">
        <w:rPr>
          <w:rFonts w:ascii="Palatino Linotype" w:hAnsi="Palatino Linotype"/>
          <w:bCs/>
          <w:lang w:val="es-ES_tradnl"/>
        </w:rPr>
        <w:lastRenderedPageBreak/>
        <w:t xml:space="preserve">proteger y </w:t>
      </w:r>
      <w:r w:rsidRPr="008C33F9">
        <w:rPr>
          <w:rFonts w:ascii="Palatino Linotype" w:hAnsi="Palatino Linotype"/>
          <w:b/>
          <w:bCs/>
          <w:lang w:val="es-ES_tradnl"/>
        </w:rPr>
        <w:t>garantizar</w:t>
      </w:r>
      <w:r w:rsidRPr="008C33F9">
        <w:rPr>
          <w:rFonts w:ascii="Palatino Linotype" w:hAnsi="Palatino Linotype"/>
          <w:bCs/>
          <w:lang w:val="es-ES_tradnl"/>
        </w:rPr>
        <w:t xml:space="preserve"> los derechos humanos”, entre los cuales se encuentra dicho derecho.</w:t>
      </w:r>
    </w:p>
    <w:p w14:paraId="1F31B48B"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ende</w:t>
      </w:r>
      <w:r w:rsidRPr="00DA2D95">
        <w:rPr>
          <w:rFonts w:ascii="Palatino Linotype" w:hAnsi="Palatino Linotype"/>
          <w:color w:val="000000" w:themeColor="text1"/>
        </w:rPr>
        <w:t>,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Así las cosas, </w:t>
      </w:r>
      <w:r w:rsidRPr="00DA2D95">
        <w:rPr>
          <w:rFonts w:ascii="Palatino Linotype" w:hAnsi="Palatino Linotype"/>
          <w:color w:val="000000" w:themeColor="text1"/>
        </w:rPr>
        <w:t xml:space="preserve">podemos definir el Derecho de Acceso a la Información Pública como: </w:t>
      </w:r>
      <w:r w:rsidRPr="00DA2D95">
        <w:rPr>
          <w:rFonts w:ascii="Palatino Linotype" w:hAnsi="Palatino Linotype"/>
          <w:i/>
          <w:color w:val="000000" w:themeColor="text1"/>
        </w:rPr>
        <w:t>La igualdad de oportunidades para recibir, buscar e impartir información</w:t>
      </w:r>
      <w:r w:rsidRPr="00DA2D95">
        <w:rPr>
          <w:rFonts w:ascii="Palatino Linotype" w:hAnsi="Palatino Linotype"/>
          <w:i/>
          <w:color w:val="000000" w:themeColor="text1"/>
          <w:vertAlign w:val="superscript"/>
        </w:rPr>
        <w:footnoteReference w:id="2"/>
      </w:r>
      <w:r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A2D95">
        <w:rPr>
          <w:rFonts w:ascii="Palatino Linotype" w:hAnsi="Palatino Linotype"/>
          <w:i/>
          <w:color w:val="000000" w:themeColor="text1"/>
          <w:vertAlign w:val="superscript"/>
        </w:rPr>
        <w:footnoteReference w:id="3"/>
      </w:r>
      <w:r w:rsidRPr="00DA2D95">
        <w:rPr>
          <w:rFonts w:ascii="Palatino Linotype" w:hAnsi="Palatino Linotype"/>
          <w:color w:val="000000" w:themeColor="text1"/>
        </w:rPr>
        <w:t>que se constituye como una herramienta fundamental para ejercer</w:t>
      </w:r>
      <w:r w:rsidRPr="00DA2D95">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DA2D95">
        <w:rPr>
          <w:rFonts w:ascii="Palatino Linotype" w:hAnsi="Palatino Linotype"/>
          <w:i/>
          <w:color w:val="000000" w:themeColor="text1"/>
          <w:vertAlign w:val="superscript"/>
        </w:rPr>
        <w:footnoteReference w:id="4"/>
      </w:r>
      <w:r w:rsidRPr="00DA2D95">
        <w:rPr>
          <w:rFonts w:ascii="Palatino Linotype" w:hAnsi="Palatino Linotype"/>
          <w:i/>
          <w:color w:val="000000" w:themeColor="text1"/>
        </w:rPr>
        <w:t xml:space="preserve"> </w:t>
      </w:r>
      <w:r w:rsidRPr="00DA2D95">
        <w:rPr>
          <w:rFonts w:ascii="Palatino Linotype" w:hAnsi="Palatino Linotype"/>
          <w:color w:val="000000" w:themeColor="text1"/>
        </w:rPr>
        <w:t>fomentando</w:t>
      </w:r>
      <w:r w:rsidRPr="00DA2D95">
        <w:rPr>
          <w:rFonts w:ascii="Palatino Linotype" w:hAnsi="Palatino Linotype"/>
          <w:i/>
          <w:color w:val="000000" w:themeColor="text1"/>
        </w:rPr>
        <w:t xml:space="preserve"> la transparencia de las actividades estatales y </w:t>
      </w:r>
      <w:r w:rsidRPr="00DA2D95">
        <w:rPr>
          <w:rFonts w:ascii="Palatino Linotype" w:hAnsi="Palatino Linotype"/>
          <w:color w:val="000000" w:themeColor="text1"/>
        </w:rPr>
        <w:t>promoviendo</w:t>
      </w:r>
      <w:r w:rsidRPr="00DA2D95">
        <w:rPr>
          <w:rFonts w:ascii="Palatino Linotype" w:hAnsi="Palatino Linotype"/>
          <w:i/>
          <w:color w:val="000000" w:themeColor="text1"/>
        </w:rPr>
        <w:t xml:space="preserve"> la responsabilidad de los funcionarios sobre su gestión pública,</w:t>
      </w:r>
      <w:r w:rsidRPr="00DA2D95">
        <w:rPr>
          <w:rFonts w:ascii="Palatino Linotype" w:hAnsi="Palatino Linotype"/>
          <w:i/>
          <w:color w:val="000000" w:themeColor="text1"/>
          <w:vertAlign w:val="superscript"/>
        </w:rPr>
        <w:footnoteReference w:id="5"/>
      </w:r>
      <w:r w:rsidRPr="00DA2D95">
        <w:rPr>
          <w:rFonts w:ascii="Palatino Linotype" w:hAnsi="Palatino Linotype"/>
          <w:color w:val="000000" w:themeColor="text1"/>
        </w:rPr>
        <w:t>que permite</w:t>
      </w:r>
      <w:r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8C33F9"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7FC4E302" w:rsidR="008C33F9"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lang w:val="es-ES"/>
        </w:rPr>
        <w:t xml:space="preserve">Por </w:t>
      </w:r>
      <w:r>
        <w:rPr>
          <w:rFonts w:ascii="Palatino Linotype" w:hAnsi="Palatino Linotype"/>
          <w:color w:val="000000" w:themeColor="text1"/>
        </w:rPr>
        <w:t xml:space="preserve">otro lado, </w:t>
      </w:r>
      <w:r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Pr>
          <w:rFonts w:ascii="Palatino Linotype" w:hAnsi="Palatino Linotype"/>
          <w:color w:val="000000" w:themeColor="text1"/>
        </w:rPr>
        <w:t>,</w:t>
      </w:r>
      <w:r w:rsidRPr="0055159A">
        <w:rPr>
          <w:rFonts w:ascii="Palatino Linotype" w:hAnsi="Palatino Linotype"/>
          <w:color w:val="000000" w:themeColor="text1"/>
        </w:rPr>
        <w:t xml:space="preserve"> establece que </w:t>
      </w:r>
      <w:r w:rsidRPr="00E02DA3">
        <w:rPr>
          <w:rFonts w:ascii="Palatino Linotype" w:hAnsi="Palatino Linotype"/>
          <w:b/>
          <w:color w:val="000000" w:themeColor="text1"/>
        </w:rPr>
        <w:t>el recurso de revisión es la garantía secundaria mediante la cual se pretende reparar cualquier posible afectación al derecho de acceso a la información pública</w:t>
      </w:r>
      <w:r w:rsidRPr="0055159A">
        <w:rPr>
          <w:rFonts w:ascii="Palatino Linotype" w:hAnsi="Palatino Linotype"/>
          <w:color w:val="000000" w:themeColor="text1"/>
        </w:rPr>
        <w:t>,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16AA671E" w14:textId="77777777" w:rsidR="001C7733" w:rsidRDefault="001C7733" w:rsidP="001C7733">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5E45F14D" w:rsidR="009E260E" w:rsidRPr="009E260E" w:rsidRDefault="001C7733"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8071784"/>
      <w:r>
        <w:rPr>
          <w:rFonts w:ascii="Palatino Linotype" w:hAnsi="Palatino Linotype"/>
          <w:b/>
          <w:color w:val="000000" w:themeColor="text1"/>
        </w:rPr>
        <w:t>I</w:t>
      </w:r>
      <w:r w:rsidR="009E260E">
        <w:rPr>
          <w:rFonts w:ascii="Palatino Linotype" w:hAnsi="Palatino Linotype"/>
          <w:b/>
          <w:color w:val="000000" w:themeColor="text1"/>
        </w:rPr>
        <w:t>I. De la atención a la</w:t>
      </w:r>
      <w:r w:rsidR="00623C15">
        <w:rPr>
          <w:rFonts w:ascii="Palatino Linotype" w:hAnsi="Palatino Linotype"/>
          <w:b/>
          <w:color w:val="000000" w:themeColor="text1"/>
        </w:rPr>
        <w:t>s</w:t>
      </w:r>
      <w:r w:rsidR="009E260E">
        <w:rPr>
          <w:rFonts w:ascii="Palatino Linotype" w:hAnsi="Palatino Linotype"/>
          <w:b/>
          <w:color w:val="000000" w:themeColor="text1"/>
        </w:rPr>
        <w:t xml:space="preserve"> solicitud</w:t>
      </w:r>
      <w:r w:rsidR="00623C15">
        <w:rPr>
          <w:rFonts w:ascii="Palatino Linotype" w:hAnsi="Palatino Linotype"/>
          <w:b/>
          <w:color w:val="000000" w:themeColor="text1"/>
        </w:rPr>
        <w:t>es</w:t>
      </w:r>
      <w:r w:rsidR="009E260E">
        <w:rPr>
          <w:rFonts w:ascii="Palatino Linotype" w:hAnsi="Palatino Linotype"/>
          <w:b/>
          <w:color w:val="000000" w:themeColor="text1"/>
        </w:rPr>
        <w:t xml:space="preserve"> de información.</w:t>
      </w:r>
      <w:bookmarkEnd w:id="27"/>
    </w:p>
    <w:p w14:paraId="685478C4" w14:textId="77777777" w:rsidR="009E260E" w:rsidRDefault="009E260E" w:rsidP="003A63D9">
      <w:pPr>
        <w:pStyle w:val="Prrafodelista"/>
        <w:tabs>
          <w:tab w:val="left" w:pos="426"/>
        </w:tabs>
        <w:spacing w:before="240" w:after="240" w:line="360" w:lineRule="auto"/>
        <w:ind w:left="0" w:right="51"/>
        <w:jc w:val="both"/>
        <w:rPr>
          <w:rFonts w:ascii="Palatino Linotype" w:hAnsi="Palatino Linotype"/>
          <w:color w:val="000000" w:themeColor="text1"/>
        </w:rPr>
      </w:pPr>
    </w:p>
    <w:p w14:paraId="433F793A" w14:textId="6BF1D531" w:rsidR="00CC363A"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167813">
        <w:rPr>
          <w:rFonts w:ascii="Palatino Linotype" w:hAnsi="Palatino Linotype"/>
          <w:color w:val="000000" w:themeColor="text1"/>
        </w:rPr>
        <w:t>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7FBD160A" w14:textId="77777777" w:rsidR="00CC363A" w:rsidRDefault="00CC363A" w:rsidP="00CC363A">
      <w:pPr>
        <w:pStyle w:val="Prrafodelista"/>
        <w:tabs>
          <w:tab w:val="left" w:pos="426"/>
        </w:tabs>
        <w:spacing w:before="240" w:after="240" w:line="360" w:lineRule="auto"/>
        <w:ind w:left="0" w:right="51"/>
        <w:jc w:val="both"/>
        <w:rPr>
          <w:rFonts w:ascii="Palatino Linotype" w:hAnsi="Palatino Linotype"/>
          <w:color w:val="000000" w:themeColor="text1"/>
        </w:rPr>
      </w:pPr>
    </w:p>
    <w:p w14:paraId="3B2B936A" w14:textId="7534F5A2" w:rsidR="00CC363A"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6"/>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7"/>
      </w:r>
      <w:r w:rsidRPr="00956116">
        <w:rPr>
          <w:rFonts w:ascii="Palatino Linotype" w:hAnsi="Palatino Linotype" w:cs="Arial"/>
        </w:rPr>
        <w:t>.</w:t>
      </w:r>
    </w:p>
    <w:p w14:paraId="662A3F09" w14:textId="7936DFC1" w:rsidR="00CC363A" w:rsidRDefault="00CC363A" w:rsidP="00CC363A">
      <w:pPr>
        <w:pStyle w:val="Prrafodelista"/>
        <w:tabs>
          <w:tab w:val="left" w:pos="426"/>
        </w:tabs>
        <w:spacing w:before="240" w:after="240" w:line="360" w:lineRule="auto"/>
        <w:ind w:left="0" w:right="51"/>
        <w:jc w:val="both"/>
        <w:rPr>
          <w:rFonts w:ascii="Palatino Linotype" w:hAnsi="Palatino Linotype"/>
          <w:color w:val="000000" w:themeColor="text1"/>
        </w:rPr>
      </w:pPr>
    </w:p>
    <w:p w14:paraId="77B02107" w14:textId="44A96FCA" w:rsidR="00CC363A" w:rsidRPr="00CC363A"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52A3E1E8" w14:textId="77777777" w:rsidR="00CC363A" w:rsidRPr="00CC363A" w:rsidRDefault="00CC363A" w:rsidP="00CC363A">
      <w:pPr>
        <w:pStyle w:val="Prrafodelista"/>
        <w:numPr>
          <w:ilvl w:val="1"/>
          <w:numId w:val="18"/>
        </w:numPr>
        <w:tabs>
          <w:tab w:val="left" w:pos="426"/>
        </w:tabs>
        <w:spacing w:before="240" w:after="240" w:line="360" w:lineRule="auto"/>
        <w:ind w:left="1134" w:right="51" w:hanging="414"/>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CC363A">
        <w:rPr>
          <w:rFonts w:ascii="Palatino Linotype" w:hAnsi="Palatino Linotype" w:cs="Arial"/>
          <w:color w:val="000000" w:themeColor="text1"/>
        </w:rPr>
        <w:t>tramitar y dar respuesta a las solicitudes de acceso a la información;</w:t>
      </w:r>
    </w:p>
    <w:p w14:paraId="741E52E0" w14:textId="77777777" w:rsidR="00CC363A" w:rsidRPr="00CC363A" w:rsidRDefault="00CC363A" w:rsidP="00CC363A">
      <w:pPr>
        <w:pStyle w:val="Prrafodelista"/>
        <w:numPr>
          <w:ilvl w:val="1"/>
          <w:numId w:val="18"/>
        </w:numPr>
        <w:tabs>
          <w:tab w:val="left" w:pos="426"/>
        </w:tabs>
        <w:spacing w:before="240" w:after="240" w:line="360" w:lineRule="auto"/>
        <w:ind w:left="1134" w:right="51" w:hanging="414"/>
        <w:jc w:val="both"/>
        <w:rPr>
          <w:rFonts w:ascii="Palatino Linotype" w:hAnsi="Palatino Linotype" w:cs="Arial"/>
          <w:color w:val="000000" w:themeColor="text1"/>
        </w:rPr>
      </w:pPr>
      <w:r w:rsidRPr="00CC363A">
        <w:rPr>
          <w:rFonts w:ascii="Palatino Linotype" w:hAnsi="Palatino Linotype" w:cs="Arial"/>
          <w:color w:val="000000" w:themeColor="text1"/>
        </w:rPr>
        <w:t xml:space="preserve">Realizar, con efectividad, los trámites internos necesarios para la atención de las solicitudes de acceso a la información; </w:t>
      </w:r>
    </w:p>
    <w:p w14:paraId="4A5E5429" w14:textId="77777777" w:rsidR="00CC363A" w:rsidRPr="00CC363A" w:rsidRDefault="00CC363A" w:rsidP="00CC363A">
      <w:pPr>
        <w:pStyle w:val="Prrafodelista"/>
        <w:numPr>
          <w:ilvl w:val="1"/>
          <w:numId w:val="18"/>
        </w:numPr>
        <w:tabs>
          <w:tab w:val="left" w:pos="426"/>
        </w:tabs>
        <w:spacing w:before="240" w:after="240" w:line="360" w:lineRule="auto"/>
        <w:ind w:left="1134" w:right="51" w:hanging="414"/>
        <w:jc w:val="both"/>
        <w:rPr>
          <w:rFonts w:ascii="Palatino Linotype" w:hAnsi="Palatino Linotype" w:cs="Arial"/>
          <w:color w:val="000000" w:themeColor="text1"/>
        </w:rPr>
      </w:pPr>
      <w:r w:rsidRPr="00CC363A">
        <w:rPr>
          <w:rFonts w:ascii="Palatino Linotype" w:hAnsi="Palatino Linotype" w:cs="Arial"/>
          <w:color w:val="000000" w:themeColor="text1"/>
        </w:rPr>
        <w:t xml:space="preserve">Entregar, en su caso, a los particulares la información solicitada; y </w:t>
      </w:r>
    </w:p>
    <w:p w14:paraId="33327FC9" w14:textId="1FCF7B3E" w:rsidR="00CC363A" w:rsidRDefault="00CC363A" w:rsidP="00CC363A">
      <w:pPr>
        <w:pStyle w:val="Prrafodelista"/>
        <w:numPr>
          <w:ilvl w:val="1"/>
          <w:numId w:val="18"/>
        </w:numPr>
        <w:tabs>
          <w:tab w:val="left" w:pos="426"/>
        </w:tabs>
        <w:spacing w:before="240" w:after="240" w:line="360" w:lineRule="auto"/>
        <w:ind w:left="1134" w:right="51" w:hanging="414"/>
        <w:jc w:val="both"/>
        <w:rPr>
          <w:rFonts w:ascii="Palatino Linotype" w:hAnsi="Palatino Linotype"/>
          <w:color w:val="000000" w:themeColor="text1"/>
        </w:rPr>
      </w:pPr>
      <w:r w:rsidRPr="00CC363A">
        <w:rPr>
          <w:rFonts w:ascii="Palatino Linotype" w:hAnsi="Palatino Linotype" w:cs="Arial"/>
          <w:color w:val="000000" w:themeColor="text1"/>
        </w:rPr>
        <w:t>Efectuar las notificaciones a los solicitantes.</w:t>
      </w:r>
    </w:p>
    <w:p w14:paraId="42A381B5" w14:textId="77777777" w:rsidR="00CC363A" w:rsidRDefault="00CC363A" w:rsidP="00CC363A">
      <w:pPr>
        <w:pStyle w:val="Prrafodelista"/>
        <w:tabs>
          <w:tab w:val="left" w:pos="426"/>
        </w:tabs>
        <w:spacing w:before="240" w:after="240" w:line="360" w:lineRule="auto"/>
        <w:ind w:left="0" w:right="51"/>
        <w:jc w:val="both"/>
        <w:rPr>
          <w:rFonts w:ascii="Palatino Linotype" w:hAnsi="Palatino Linotype"/>
          <w:color w:val="000000" w:themeColor="text1"/>
        </w:rPr>
      </w:pPr>
    </w:p>
    <w:p w14:paraId="6B31AC57" w14:textId="3BB58067" w:rsidR="00CC363A" w:rsidRPr="00CC363A"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 xml:space="preserve">serán designados por el titular del </w:t>
      </w:r>
      <w:r w:rsidR="00286096" w:rsidRPr="00286096">
        <w:rPr>
          <w:rFonts w:ascii="Palatino Linotype" w:hAnsi="Palatino Linotype" w:cs="Arial"/>
          <w:b/>
          <w:bCs/>
          <w:color w:val="000000" w:themeColor="text1"/>
        </w:rPr>
        <w:t>SUJETO OBLIGADO</w:t>
      </w:r>
      <w:r w:rsidRPr="00A67297">
        <w:rPr>
          <w:rFonts w:ascii="Palatino Linotype" w:hAnsi="Palatino Linotype" w:cs="Arial"/>
          <w:color w:val="000000" w:themeColor="text1"/>
        </w:rPr>
        <w:t xml:space="preserve"> a propuesta del responsable de la Unidad de Transparencia</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9"/>
      </w:r>
      <w:r>
        <w:rPr>
          <w:rFonts w:ascii="Palatino Linotype" w:hAnsi="Palatino Linotype" w:cs="Arial"/>
          <w:color w:val="000000" w:themeColor="text1"/>
        </w:rPr>
        <w:t>:</w:t>
      </w:r>
    </w:p>
    <w:p w14:paraId="357C970C" w14:textId="180A583E" w:rsidR="00CC363A" w:rsidRPr="00CC363A" w:rsidRDefault="00CC363A" w:rsidP="00CC363A">
      <w:pPr>
        <w:pStyle w:val="Prrafodelista"/>
        <w:numPr>
          <w:ilvl w:val="1"/>
          <w:numId w:val="19"/>
        </w:numPr>
        <w:tabs>
          <w:tab w:val="left" w:pos="426"/>
        </w:tabs>
        <w:spacing w:before="240" w:after="240" w:line="360" w:lineRule="auto"/>
        <w:ind w:left="1134" w:right="51" w:hanging="360"/>
        <w:jc w:val="both"/>
        <w:rPr>
          <w:rFonts w:ascii="Palatino Linotype" w:hAnsi="Palatino Linotype"/>
          <w:color w:val="000000" w:themeColor="text1"/>
        </w:rPr>
      </w:pPr>
      <w:r>
        <w:rPr>
          <w:rFonts w:ascii="Palatino Linotype" w:hAnsi="Palatino Linotype" w:cs="Arial"/>
          <w:color w:val="000000" w:themeColor="text1"/>
        </w:rPr>
        <w:t>Localizar la información que le solicite la Unidad de Transparencia; y</w:t>
      </w:r>
    </w:p>
    <w:p w14:paraId="5FE7F3E6" w14:textId="1C4DADF9" w:rsidR="00CC363A" w:rsidRDefault="00CC363A" w:rsidP="00CC363A">
      <w:pPr>
        <w:pStyle w:val="Prrafodelista"/>
        <w:numPr>
          <w:ilvl w:val="1"/>
          <w:numId w:val="19"/>
        </w:numPr>
        <w:tabs>
          <w:tab w:val="left" w:pos="426"/>
        </w:tabs>
        <w:spacing w:before="240" w:after="240" w:line="360" w:lineRule="auto"/>
        <w:ind w:left="1134" w:right="51" w:hanging="360"/>
        <w:jc w:val="both"/>
        <w:rPr>
          <w:rFonts w:ascii="Palatino Linotype" w:hAnsi="Palatino Linotype"/>
          <w:color w:val="000000" w:themeColor="text1"/>
        </w:rPr>
      </w:pPr>
      <w:r>
        <w:rPr>
          <w:rFonts w:ascii="Palatino Linotype" w:hAnsi="Palatino Linotype" w:cs="Arial"/>
          <w:color w:val="000000" w:themeColor="text1"/>
        </w:rPr>
        <w:t>Proporcionar la información que obre en los archivos y que le sea solicitada por la Unidad de Transparencia.</w:t>
      </w:r>
    </w:p>
    <w:p w14:paraId="2E144436" w14:textId="77777777" w:rsidR="00CC363A" w:rsidRDefault="00CC363A" w:rsidP="00CC363A">
      <w:pPr>
        <w:pStyle w:val="Prrafodelista"/>
        <w:tabs>
          <w:tab w:val="left" w:pos="426"/>
        </w:tabs>
        <w:spacing w:before="240" w:after="240" w:line="360" w:lineRule="auto"/>
        <w:ind w:left="0" w:right="51"/>
        <w:jc w:val="both"/>
        <w:rPr>
          <w:rFonts w:ascii="Palatino Linotype" w:hAnsi="Palatino Linotype"/>
          <w:color w:val="000000" w:themeColor="text1"/>
        </w:rPr>
      </w:pPr>
    </w:p>
    <w:p w14:paraId="0ADBA2C8" w14:textId="1D5D01AD" w:rsidR="00CC363A"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50CA0477" w14:textId="77777777" w:rsidR="00CC363A" w:rsidRDefault="00CC363A" w:rsidP="00CC363A">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7D5785C6" w:rsidR="009E260E" w:rsidRPr="00910076" w:rsidRDefault="00CC363A" w:rsidP="009E260E">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rPr>
        <w:t>Una vez expuesto lo anterior</w:t>
      </w:r>
      <w:r w:rsidR="009E260E" w:rsidRPr="0053687A">
        <w:rPr>
          <w:rFonts w:ascii="Palatino Linotype" w:hAnsi="Palatino Linotype"/>
        </w:rPr>
        <w:t xml:space="preserve">, </w:t>
      </w:r>
      <w:r w:rsidR="009E260E">
        <w:rPr>
          <w:rFonts w:ascii="Palatino Linotype" w:hAnsi="Palatino Linotype"/>
        </w:rPr>
        <w:t xml:space="preserve">de la </w:t>
      </w:r>
      <w:r w:rsidR="009E260E" w:rsidRPr="00CC363A">
        <w:rPr>
          <w:rFonts w:ascii="Palatino Linotype" w:hAnsi="Palatino Linotype"/>
        </w:rPr>
        <w:t>lectura a la</w:t>
      </w:r>
      <w:r w:rsidR="007409D8" w:rsidRPr="00CC363A">
        <w:rPr>
          <w:rFonts w:ascii="Palatino Linotype" w:hAnsi="Palatino Linotype"/>
        </w:rPr>
        <w:t>s</w:t>
      </w:r>
      <w:r w:rsidR="009E260E" w:rsidRPr="00CC363A">
        <w:rPr>
          <w:rFonts w:ascii="Palatino Linotype" w:hAnsi="Palatino Linotype"/>
        </w:rPr>
        <w:t xml:space="preserve"> solicitud</w:t>
      </w:r>
      <w:r w:rsidR="007409D8" w:rsidRPr="00CC363A">
        <w:rPr>
          <w:rFonts w:ascii="Palatino Linotype" w:hAnsi="Palatino Linotype"/>
        </w:rPr>
        <w:t>es</w:t>
      </w:r>
      <w:r w:rsidR="009E260E" w:rsidRPr="00CC363A">
        <w:rPr>
          <w:rFonts w:ascii="Palatino Linotype" w:hAnsi="Palatino Linotype"/>
        </w:rPr>
        <w:t xml:space="preserve"> de información </w:t>
      </w:r>
      <w:r w:rsidR="00215DFB" w:rsidRPr="00CC363A">
        <w:rPr>
          <w:rFonts w:ascii="Palatino Linotype" w:hAnsi="Palatino Linotype"/>
          <w:b/>
        </w:rPr>
        <w:t>00112/ATIZAPAN/IP/2021 y 00131/ATIZAPAN/IP/2021</w:t>
      </w:r>
      <w:r w:rsidR="009E260E" w:rsidRPr="00CC363A">
        <w:rPr>
          <w:rFonts w:ascii="Palatino Linotype" w:hAnsi="Palatino Linotype"/>
        </w:rPr>
        <w:t xml:space="preserve">, y como fuera señalado en el </w:t>
      </w:r>
      <w:r w:rsidR="009E260E" w:rsidRPr="00CC363A">
        <w:rPr>
          <w:rFonts w:ascii="Palatino Linotype" w:hAnsi="Palatino Linotype"/>
          <w:i/>
          <w:iCs/>
        </w:rPr>
        <w:t>Planteamiento de la Litis</w:t>
      </w:r>
      <w:r w:rsidR="009E260E" w:rsidRPr="00CC363A">
        <w:rPr>
          <w:rFonts w:ascii="Palatino Linotype" w:hAnsi="Palatino Linotype"/>
        </w:rPr>
        <w:t xml:space="preserve"> de esta resolución, se advierte que el entonces </w:t>
      </w:r>
      <w:r w:rsidR="009E260E" w:rsidRPr="00CC363A">
        <w:rPr>
          <w:rFonts w:ascii="Palatino Linotype" w:hAnsi="Palatino Linotype"/>
          <w:b/>
        </w:rPr>
        <w:t>SOLICITANTE</w:t>
      </w:r>
      <w:r w:rsidR="009E260E" w:rsidRPr="00CC363A">
        <w:rPr>
          <w:rFonts w:ascii="Palatino Linotype" w:hAnsi="Palatino Linotype"/>
        </w:rPr>
        <w:t xml:space="preserve"> requirió acceder a la siguiente</w:t>
      </w:r>
      <w:r w:rsidR="009E260E">
        <w:rPr>
          <w:rFonts w:ascii="Palatino Linotype" w:hAnsi="Palatino Linotype"/>
        </w:rPr>
        <w:t xml:space="preserve"> información:</w:t>
      </w:r>
    </w:p>
    <w:p w14:paraId="3A9A8558" w14:textId="4BD3B747" w:rsidR="00327D27" w:rsidRDefault="00CC363A"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Documento que acredite el grado de estudios del Presidente Municipal; y</w:t>
      </w:r>
    </w:p>
    <w:p w14:paraId="142B0E5D" w14:textId="207D203B" w:rsidR="00CC363A" w:rsidRDefault="00CC363A" w:rsidP="00E609D1">
      <w:pPr>
        <w:pStyle w:val="Prrafodelista"/>
        <w:numPr>
          <w:ilvl w:val="1"/>
          <w:numId w:val="9"/>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Currículum del personal de la Contraloría Municipal.</w:t>
      </w:r>
    </w:p>
    <w:p w14:paraId="75954B38" w14:textId="77777777" w:rsidR="00E609D1" w:rsidRDefault="00E609D1" w:rsidP="00E609D1">
      <w:pPr>
        <w:pStyle w:val="Prrafodelista"/>
        <w:tabs>
          <w:tab w:val="left" w:pos="426"/>
        </w:tabs>
        <w:spacing w:before="240" w:after="240" w:line="360" w:lineRule="auto"/>
        <w:ind w:left="0" w:right="51"/>
        <w:jc w:val="both"/>
        <w:rPr>
          <w:rFonts w:ascii="Palatino Linotype" w:hAnsi="Palatino Linotype"/>
          <w:color w:val="000000" w:themeColor="text1"/>
        </w:rPr>
      </w:pPr>
    </w:p>
    <w:p w14:paraId="6BED05F9" w14:textId="7F50BF6B" w:rsidR="004B12CB" w:rsidRDefault="004B12CB"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constancias que obran en los expedientes formados de los recursos de revisión acumulados que hoy se resuelven, se aprecia que el </w:t>
      </w:r>
      <w:r>
        <w:rPr>
          <w:rFonts w:ascii="Palatino Linotype" w:hAnsi="Palatino Linotype"/>
          <w:b/>
          <w:bCs/>
          <w:color w:val="000000" w:themeColor="text1"/>
        </w:rPr>
        <w:t>SUJETO OBLIGADO</w:t>
      </w:r>
      <w:r>
        <w:rPr>
          <w:rFonts w:ascii="Palatino Linotype" w:hAnsi="Palatino Linotype"/>
          <w:color w:val="000000" w:themeColor="text1"/>
        </w:rPr>
        <w:t xml:space="preserve"> turnó la solicitud de información </w:t>
      </w:r>
      <w:r>
        <w:rPr>
          <w:rFonts w:ascii="Palatino Linotype" w:hAnsi="Palatino Linotype"/>
          <w:b/>
          <w:bCs/>
          <w:color w:val="000000" w:themeColor="text1"/>
        </w:rPr>
        <w:t>00131/ATIZAPAN/IP/2021</w:t>
      </w:r>
      <w:r>
        <w:rPr>
          <w:rFonts w:ascii="Palatino Linotype" w:hAnsi="Palatino Linotype"/>
          <w:color w:val="000000" w:themeColor="text1"/>
        </w:rPr>
        <w:t xml:space="preserve"> al Servidor Público Habilitado </w:t>
      </w:r>
      <w:r>
        <w:rPr>
          <w:rFonts w:ascii="Palatino Linotype" w:hAnsi="Palatino Linotype"/>
          <w:i/>
          <w:iCs/>
          <w:color w:val="000000" w:themeColor="text1"/>
        </w:rPr>
        <w:t xml:space="preserve">C. Marcos Delgadillo </w:t>
      </w:r>
      <w:proofErr w:type="spellStart"/>
      <w:r>
        <w:rPr>
          <w:rFonts w:ascii="Palatino Linotype" w:hAnsi="Palatino Linotype"/>
          <w:i/>
          <w:iCs/>
          <w:color w:val="000000" w:themeColor="text1"/>
        </w:rPr>
        <w:t>Mendizabal</w:t>
      </w:r>
      <w:proofErr w:type="spellEnd"/>
      <w:r>
        <w:rPr>
          <w:rFonts w:ascii="Palatino Linotype" w:hAnsi="Palatino Linotype"/>
          <w:color w:val="000000" w:themeColor="text1"/>
        </w:rPr>
        <w:t xml:space="preserve">, </w:t>
      </w:r>
      <w:r w:rsidR="00D00DE4">
        <w:rPr>
          <w:rFonts w:ascii="Palatino Linotype" w:hAnsi="Palatino Linotype"/>
          <w:color w:val="000000" w:themeColor="text1"/>
        </w:rPr>
        <w:t xml:space="preserve">quien </w:t>
      </w:r>
      <w:r w:rsidR="004F0D31">
        <w:rPr>
          <w:rFonts w:ascii="Palatino Linotype" w:hAnsi="Palatino Linotype"/>
          <w:color w:val="000000" w:themeColor="text1"/>
        </w:rPr>
        <w:t>manifestó</w:t>
      </w:r>
      <w:r w:rsidR="00D00DE4">
        <w:rPr>
          <w:rFonts w:ascii="Palatino Linotype" w:hAnsi="Palatino Linotype"/>
          <w:color w:val="000000" w:themeColor="text1"/>
        </w:rPr>
        <w:t xml:space="preserve"> lo siguiente:</w:t>
      </w:r>
    </w:p>
    <w:p w14:paraId="0A8FFEFA" w14:textId="687F726B" w:rsidR="004B12CB" w:rsidRDefault="004B12CB" w:rsidP="004B12CB">
      <w:pPr>
        <w:pStyle w:val="Prrafodelista"/>
        <w:tabs>
          <w:tab w:val="left" w:pos="426"/>
        </w:tabs>
        <w:spacing w:before="240" w:after="240" w:line="360" w:lineRule="auto"/>
        <w:ind w:left="0" w:right="51"/>
        <w:jc w:val="both"/>
        <w:rPr>
          <w:rFonts w:ascii="Palatino Linotype" w:hAnsi="Palatino Linotype"/>
          <w:color w:val="000000" w:themeColor="text1"/>
        </w:rPr>
      </w:pPr>
    </w:p>
    <w:p w14:paraId="7C555FE3" w14:textId="1633B6DC" w:rsidR="00D00DE4" w:rsidRPr="00D00DE4" w:rsidRDefault="00D00DE4" w:rsidP="00D00DE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Pr="00D00DE4">
        <w:rPr>
          <w:rFonts w:ascii="Palatino Linotype" w:hAnsi="Palatino Linotype"/>
          <w:i/>
          <w:iCs/>
          <w:color w:val="000000" w:themeColor="text1"/>
          <w:sz w:val="22"/>
          <w:szCs w:val="22"/>
        </w:rPr>
        <w:t>DICHA INFORMACION DENTRO DE MIS ARCHIVOS DE LA DIRECCION QUE SE ME ENCOMIENDA LA CUAL LO ES ADMINISTRACIÓN, NO SE ENCONTRO DICHOS DOCUMENTOS UNICAMENTE SE PUEDE MANIFESTAR QUE CUENTA CON LICENCIATURA EN DERECHO.</w:t>
      </w:r>
      <w:r>
        <w:rPr>
          <w:rFonts w:ascii="Palatino Linotype" w:hAnsi="Palatino Linotype"/>
          <w:i/>
          <w:iCs/>
          <w:color w:val="000000" w:themeColor="text1"/>
          <w:sz w:val="22"/>
          <w:szCs w:val="22"/>
        </w:rPr>
        <w:t>”</w:t>
      </w:r>
      <w:r>
        <w:rPr>
          <w:rFonts w:ascii="Palatino Linotype" w:hAnsi="Palatino Linotype"/>
          <w:color w:val="000000" w:themeColor="text1"/>
          <w:sz w:val="22"/>
          <w:szCs w:val="22"/>
        </w:rPr>
        <w:t xml:space="preserve"> (Sic)</w:t>
      </w:r>
    </w:p>
    <w:p w14:paraId="7EA409EE" w14:textId="77777777" w:rsidR="00D00DE4" w:rsidRDefault="00D00DE4" w:rsidP="004B12CB">
      <w:pPr>
        <w:pStyle w:val="Prrafodelista"/>
        <w:tabs>
          <w:tab w:val="left" w:pos="426"/>
        </w:tabs>
        <w:spacing w:before="240" w:after="240" w:line="360" w:lineRule="auto"/>
        <w:ind w:left="0" w:right="51"/>
        <w:jc w:val="both"/>
        <w:rPr>
          <w:rFonts w:ascii="Palatino Linotype" w:hAnsi="Palatino Linotype"/>
          <w:color w:val="000000" w:themeColor="text1"/>
        </w:rPr>
      </w:pPr>
    </w:p>
    <w:p w14:paraId="2926D30E" w14:textId="700A9BCA" w:rsidR="00D00DE4" w:rsidRDefault="00D00DE4"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Del pronunciamiento anterior, el cual fue transcrito dentro del acuse de respuesta a la solicitud de información </w:t>
      </w:r>
      <w:r>
        <w:rPr>
          <w:rFonts w:ascii="Palatino Linotype" w:hAnsi="Palatino Linotype"/>
          <w:b/>
          <w:bCs/>
          <w:color w:val="000000" w:themeColor="text1"/>
        </w:rPr>
        <w:t>00131/ATIZAPAN/IP/2021</w:t>
      </w:r>
      <w:r>
        <w:rPr>
          <w:rFonts w:ascii="Palatino Linotype" w:hAnsi="Palatino Linotype"/>
          <w:color w:val="000000" w:themeColor="text1"/>
        </w:rPr>
        <w:t xml:space="preserve">, podemos advertir que la </w:t>
      </w:r>
      <w:r w:rsidRPr="004F0D31">
        <w:rPr>
          <w:rFonts w:ascii="Palatino Linotype" w:hAnsi="Palatino Linotype"/>
          <w:b/>
          <w:bCs/>
          <w:color w:val="000000" w:themeColor="text1"/>
        </w:rPr>
        <w:t>Dirección de Administración</w:t>
      </w:r>
      <w:r>
        <w:rPr>
          <w:rFonts w:ascii="Palatino Linotype" w:hAnsi="Palatino Linotype"/>
          <w:color w:val="000000" w:themeColor="text1"/>
        </w:rPr>
        <w:t xml:space="preserve"> informó que el Presidente Municipal cuenta con el grado de Licenciatura en Derecho; </w:t>
      </w:r>
      <w:r w:rsidR="00E64A29">
        <w:rPr>
          <w:rFonts w:ascii="Palatino Linotype" w:hAnsi="Palatino Linotype"/>
          <w:color w:val="000000" w:themeColor="text1"/>
        </w:rPr>
        <w:t>asimismo, manifestó que no encontró en sus archivos el documento que lo acredite.</w:t>
      </w:r>
    </w:p>
    <w:p w14:paraId="3E440CEA" w14:textId="77777777" w:rsidR="00D00DE4" w:rsidRDefault="00D00DE4" w:rsidP="00D00DE4">
      <w:pPr>
        <w:pStyle w:val="Prrafodelista"/>
        <w:tabs>
          <w:tab w:val="left" w:pos="426"/>
        </w:tabs>
        <w:spacing w:before="240" w:after="240" w:line="360" w:lineRule="auto"/>
        <w:ind w:left="0" w:right="51"/>
        <w:jc w:val="both"/>
        <w:rPr>
          <w:rFonts w:ascii="Palatino Linotype" w:hAnsi="Palatino Linotype"/>
          <w:color w:val="000000" w:themeColor="text1"/>
        </w:rPr>
      </w:pPr>
    </w:p>
    <w:p w14:paraId="7F90154A" w14:textId="33CD0B09" w:rsidR="009E260E" w:rsidRDefault="00C63E17" w:rsidP="00F3117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en lo que corresponde al trámite y atención de la solicitud de información </w:t>
      </w:r>
      <w:r>
        <w:rPr>
          <w:rFonts w:ascii="Palatino Linotype" w:hAnsi="Palatino Linotype"/>
          <w:b/>
          <w:bCs/>
          <w:color w:val="000000" w:themeColor="text1"/>
        </w:rPr>
        <w:t>00112/ATIZAPAN/IP/2021</w:t>
      </w:r>
      <w:r w:rsidR="00913445">
        <w:rPr>
          <w:rFonts w:ascii="Palatino Linotype" w:hAnsi="Palatino Linotype"/>
          <w:color w:val="000000" w:themeColor="text1"/>
        </w:rPr>
        <w:t xml:space="preserve">, la Unidad de Transparencia no dio uso del sistema de turnos del SAIMEX, por lo que no es posible identificar a cuántas áreas administrativas se remitió la solicitud en comento para su atención. No obstante lo anterior, se advierte que, al menos, la solicitud se turnó a la Contraloría Municipal, pues acompañando al acuse de respuesta, la Unidad de Transparencia entregó al entonces </w:t>
      </w:r>
      <w:r w:rsidR="00913445">
        <w:rPr>
          <w:rFonts w:ascii="Palatino Linotype" w:hAnsi="Palatino Linotype"/>
          <w:b/>
          <w:bCs/>
          <w:color w:val="000000" w:themeColor="text1"/>
        </w:rPr>
        <w:t>SOLICITANTE</w:t>
      </w:r>
      <w:r w:rsidR="00913445">
        <w:rPr>
          <w:rFonts w:ascii="Palatino Linotype" w:hAnsi="Palatino Linotype"/>
          <w:color w:val="000000" w:themeColor="text1"/>
        </w:rPr>
        <w:t xml:space="preserve"> el archivo electrónico denominado </w:t>
      </w:r>
      <w:r w:rsidR="00913445">
        <w:rPr>
          <w:rFonts w:ascii="Palatino Linotype" w:hAnsi="Palatino Linotype"/>
          <w:b/>
          <w:bCs/>
          <w:i/>
          <w:iCs/>
          <w:color w:val="000000" w:themeColor="text1"/>
        </w:rPr>
        <w:t>“IMG_20211026_0001.pdf”</w:t>
      </w:r>
      <w:r w:rsidR="00913445">
        <w:rPr>
          <w:rFonts w:ascii="Palatino Linotype" w:hAnsi="Palatino Linotype"/>
          <w:color w:val="000000" w:themeColor="text1"/>
        </w:rPr>
        <w:t xml:space="preserve">, cuyo contenido muestra la copia digitalizada del oficio </w:t>
      </w:r>
      <w:r w:rsidR="00913445">
        <w:rPr>
          <w:rFonts w:ascii="Palatino Linotype" w:hAnsi="Palatino Linotype"/>
          <w:color w:val="000000" w:themeColor="text1"/>
        </w:rPr>
        <w:lastRenderedPageBreak/>
        <w:t>número ATZ/CM/597/2021, de veinte (20) de octubre de dos mil veintiuno, signado por el Contralor Interno y, mediante el cual, informó</w:t>
      </w:r>
      <w:r w:rsidR="00DB0549">
        <w:rPr>
          <w:rFonts w:ascii="Palatino Linotype" w:hAnsi="Palatino Linotype"/>
          <w:color w:val="000000" w:themeColor="text1"/>
        </w:rPr>
        <w:t xml:space="preserve"> esencialmente</w:t>
      </w:r>
      <w:r w:rsidR="00913445">
        <w:rPr>
          <w:rFonts w:ascii="Palatino Linotype" w:hAnsi="Palatino Linotype"/>
          <w:color w:val="000000" w:themeColor="text1"/>
        </w:rPr>
        <w:t xml:space="preserve"> lo siguiente:</w:t>
      </w:r>
    </w:p>
    <w:p w14:paraId="22524B26" w14:textId="2E4BCD60" w:rsidR="00E11294" w:rsidRDefault="00E11294" w:rsidP="00E11294">
      <w:pPr>
        <w:pStyle w:val="Prrafodelista"/>
        <w:tabs>
          <w:tab w:val="left" w:pos="426"/>
        </w:tabs>
        <w:spacing w:before="240" w:after="240" w:line="360" w:lineRule="auto"/>
        <w:ind w:left="0" w:right="51"/>
        <w:jc w:val="both"/>
        <w:rPr>
          <w:rFonts w:ascii="Palatino Linotype" w:hAnsi="Palatino Linotype"/>
          <w:color w:val="000000" w:themeColor="text1"/>
        </w:rPr>
      </w:pPr>
    </w:p>
    <w:p w14:paraId="683FAB5F" w14:textId="6C37C979" w:rsidR="00913445" w:rsidRPr="00D00DE4" w:rsidRDefault="00913445" w:rsidP="00913445">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Pr>
          <w:rFonts w:ascii="Palatino Linotype" w:hAnsi="Palatino Linotype"/>
          <w:i/>
          <w:iCs/>
          <w:color w:val="000000" w:themeColor="text1"/>
          <w:sz w:val="22"/>
          <w:szCs w:val="22"/>
        </w:rPr>
        <w:t>“</w:t>
      </w:r>
      <w:r w:rsidR="00DB0549">
        <w:rPr>
          <w:rFonts w:ascii="Palatino Linotype" w:hAnsi="Palatino Linotype"/>
          <w:i/>
          <w:iCs/>
          <w:color w:val="000000" w:themeColor="text1"/>
          <w:sz w:val="22"/>
          <w:szCs w:val="22"/>
        </w:rPr>
        <w:t xml:space="preserve">(…) de la información solicitada por </w:t>
      </w:r>
      <w:r w:rsidR="00DB0549">
        <w:rPr>
          <w:rFonts w:ascii="Palatino Linotype" w:hAnsi="Palatino Linotype"/>
          <w:color w:val="000000" w:themeColor="text1"/>
          <w:sz w:val="22"/>
          <w:szCs w:val="22"/>
        </w:rPr>
        <w:t>[el]</w:t>
      </w:r>
      <w:r w:rsidR="00DB0549">
        <w:rPr>
          <w:rFonts w:ascii="Palatino Linotype" w:hAnsi="Palatino Linotype"/>
          <w:i/>
          <w:iCs/>
          <w:color w:val="000000" w:themeColor="text1"/>
          <w:sz w:val="22"/>
          <w:szCs w:val="22"/>
        </w:rPr>
        <w:t xml:space="preserve"> recurrente, (…) le comento que dicha información es de carácter confidencial (…)</w:t>
      </w:r>
      <w:r>
        <w:rPr>
          <w:rFonts w:ascii="Palatino Linotype" w:hAnsi="Palatino Linotype"/>
          <w:i/>
          <w:iCs/>
          <w:color w:val="000000" w:themeColor="text1"/>
          <w:sz w:val="22"/>
          <w:szCs w:val="22"/>
        </w:rPr>
        <w:t>”</w:t>
      </w:r>
      <w:r>
        <w:rPr>
          <w:rFonts w:ascii="Palatino Linotype" w:hAnsi="Palatino Linotype"/>
          <w:color w:val="000000" w:themeColor="text1"/>
          <w:sz w:val="22"/>
          <w:szCs w:val="22"/>
        </w:rPr>
        <w:t xml:space="preserve"> (Sic)</w:t>
      </w:r>
    </w:p>
    <w:p w14:paraId="69CC708C" w14:textId="77777777" w:rsidR="00913445" w:rsidRDefault="00913445" w:rsidP="00E11294">
      <w:pPr>
        <w:pStyle w:val="Prrafodelista"/>
        <w:tabs>
          <w:tab w:val="left" w:pos="426"/>
        </w:tabs>
        <w:spacing w:before="240" w:after="240" w:line="360" w:lineRule="auto"/>
        <w:ind w:left="0" w:right="51"/>
        <w:jc w:val="both"/>
        <w:rPr>
          <w:rFonts w:ascii="Palatino Linotype" w:hAnsi="Palatino Linotype"/>
          <w:color w:val="000000" w:themeColor="text1"/>
        </w:rPr>
      </w:pPr>
    </w:p>
    <w:p w14:paraId="79C13A5C" w14:textId="4AF40D14" w:rsidR="009E260E" w:rsidRDefault="00DB0549" w:rsidP="00DB05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Consecuencia de lo anterior</w:t>
      </w:r>
      <w:r w:rsidR="009E260E">
        <w:rPr>
          <w:rFonts w:ascii="Palatino Linotype" w:hAnsi="Palatino Linotype"/>
          <w:color w:val="000000" w:themeColor="text1"/>
        </w:rPr>
        <w:t>, el</w:t>
      </w:r>
      <w:r w:rsidR="003B1857">
        <w:rPr>
          <w:rFonts w:ascii="Palatino Linotype" w:hAnsi="Palatino Linotype"/>
          <w:color w:val="000000" w:themeColor="text1"/>
        </w:rPr>
        <w:t xml:space="preserve"> ahora</w:t>
      </w:r>
      <w:r w:rsidR="009E260E">
        <w:rPr>
          <w:rFonts w:ascii="Palatino Linotype" w:hAnsi="Palatino Linotype"/>
          <w:color w:val="000000" w:themeColor="text1"/>
        </w:rPr>
        <w:t xml:space="preserve"> </w:t>
      </w:r>
      <w:r w:rsidR="009E260E">
        <w:rPr>
          <w:rFonts w:ascii="Palatino Linotype" w:hAnsi="Palatino Linotype"/>
          <w:b/>
          <w:color w:val="000000" w:themeColor="text1"/>
        </w:rPr>
        <w:t>RECURRENTE</w:t>
      </w:r>
      <w:r w:rsidR="009E260E">
        <w:rPr>
          <w:rFonts w:ascii="Palatino Linotype" w:hAnsi="Palatino Linotype"/>
          <w:color w:val="000000" w:themeColor="text1"/>
        </w:rPr>
        <w:t xml:space="preserve"> promovió l</w:t>
      </w:r>
      <w:r w:rsidR="00E11294">
        <w:rPr>
          <w:rFonts w:ascii="Palatino Linotype" w:hAnsi="Palatino Linotype"/>
          <w:color w:val="000000" w:themeColor="text1"/>
        </w:rPr>
        <w:t>os</w:t>
      </w:r>
      <w:r w:rsidR="009E260E">
        <w:rPr>
          <w:rFonts w:ascii="Palatino Linotype" w:hAnsi="Palatino Linotype"/>
          <w:color w:val="000000" w:themeColor="text1"/>
        </w:rPr>
        <w:t xml:space="preserve"> recurso</w:t>
      </w:r>
      <w:r w:rsidR="00E11294">
        <w:rPr>
          <w:rFonts w:ascii="Palatino Linotype" w:hAnsi="Palatino Linotype"/>
          <w:color w:val="000000" w:themeColor="text1"/>
        </w:rPr>
        <w:t>s</w:t>
      </w:r>
      <w:r w:rsidR="009E260E">
        <w:rPr>
          <w:rFonts w:ascii="Palatino Linotype" w:hAnsi="Palatino Linotype"/>
          <w:color w:val="000000" w:themeColor="text1"/>
        </w:rPr>
        <w:t xml:space="preserve"> de revisión con número</w:t>
      </w:r>
      <w:r w:rsidR="00E11294">
        <w:rPr>
          <w:rFonts w:ascii="Palatino Linotype" w:hAnsi="Palatino Linotype"/>
          <w:color w:val="000000" w:themeColor="text1"/>
        </w:rPr>
        <w:t>s</w:t>
      </w:r>
      <w:r w:rsidR="009E260E">
        <w:rPr>
          <w:rFonts w:ascii="Palatino Linotype" w:hAnsi="Palatino Linotype"/>
          <w:color w:val="000000" w:themeColor="text1"/>
        </w:rPr>
        <w:t xml:space="preserve"> al rubro indicado</w:t>
      </w:r>
      <w:r w:rsidR="005B4B08">
        <w:rPr>
          <w:rFonts w:ascii="Palatino Linotype" w:hAnsi="Palatino Linotype"/>
          <w:color w:val="000000" w:themeColor="text1"/>
        </w:rPr>
        <w:t>,</w:t>
      </w:r>
      <w:r w:rsidR="009E260E">
        <w:rPr>
          <w:rFonts w:ascii="Palatino Linotype" w:hAnsi="Palatino Linotype"/>
          <w:color w:val="000000" w:themeColor="text1"/>
        </w:rPr>
        <w:t xml:space="preserve"> en contra de la</w:t>
      </w:r>
      <w:r w:rsidR="00E11294">
        <w:rPr>
          <w:rFonts w:ascii="Palatino Linotype" w:hAnsi="Palatino Linotype"/>
          <w:color w:val="000000" w:themeColor="text1"/>
        </w:rPr>
        <w:t>s</w:t>
      </w:r>
      <w:r w:rsidR="009E260E">
        <w:rPr>
          <w:rFonts w:ascii="Palatino Linotype" w:hAnsi="Palatino Linotype"/>
          <w:color w:val="000000" w:themeColor="text1"/>
        </w:rPr>
        <w:t xml:space="preserve"> respuesta</w:t>
      </w:r>
      <w:r w:rsidR="00E11294">
        <w:rPr>
          <w:rFonts w:ascii="Palatino Linotype" w:hAnsi="Palatino Linotype"/>
          <w:color w:val="000000" w:themeColor="text1"/>
        </w:rPr>
        <w:t>s</w:t>
      </w:r>
      <w:r w:rsidR="009E260E">
        <w:rPr>
          <w:rFonts w:ascii="Palatino Linotype" w:hAnsi="Palatino Linotype"/>
          <w:color w:val="000000" w:themeColor="text1"/>
        </w:rPr>
        <w:t xml:space="preserve"> del </w:t>
      </w:r>
      <w:r w:rsidR="009E260E">
        <w:rPr>
          <w:rFonts w:ascii="Palatino Linotype" w:hAnsi="Palatino Linotype"/>
          <w:b/>
          <w:color w:val="000000" w:themeColor="text1"/>
        </w:rPr>
        <w:t>SUJETO OBLIGADO</w:t>
      </w:r>
      <w:r w:rsidR="005B4B08">
        <w:rPr>
          <w:rFonts w:ascii="Palatino Linotype" w:hAnsi="Palatino Linotype"/>
          <w:color w:val="000000" w:themeColor="text1"/>
        </w:rPr>
        <w:t>,</w:t>
      </w:r>
      <w:r w:rsidR="009E260E">
        <w:rPr>
          <w:rFonts w:ascii="Palatino Linotype" w:hAnsi="Palatino Linotype"/>
          <w:color w:val="000000" w:themeColor="text1"/>
        </w:rPr>
        <w:t xml:space="preserve"> y </w:t>
      </w:r>
      <w:r w:rsidR="009E260E" w:rsidRPr="00366861">
        <w:rPr>
          <w:rFonts w:ascii="Palatino Linotype" w:hAnsi="Palatino Linotype"/>
          <w:b/>
          <w:bCs/>
          <w:color w:val="000000" w:themeColor="text1"/>
        </w:rPr>
        <w:t xml:space="preserve">en </w:t>
      </w:r>
      <w:r w:rsidR="00E11294" w:rsidRPr="00366861">
        <w:rPr>
          <w:rFonts w:ascii="Palatino Linotype" w:hAnsi="Palatino Linotype"/>
          <w:b/>
          <w:bCs/>
          <w:color w:val="000000" w:themeColor="text1"/>
        </w:rPr>
        <w:t>los</w:t>
      </w:r>
      <w:r w:rsidR="009E260E" w:rsidRPr="00366861">
        <w:rPr>
          <w:rFonts w:ascii="Palatino Linotype" w:hAnsi="Palatino Linotype"/>
          <w:b/>
          <w:bCs/>
          <w:color w:val="000000" w:themeColor="text1"/>
        </w:rPr>
        <w:t xml:space="preserve"> que señaló por agravios,</w:t>
      </w:r>
      <w:r w:rsidRPr="00366861">
        <w:rPr>
          <w:rFonts w:ascii="Palatino Linotype" w:hAnsi="Palatino Linotype"/>
          <w:b/>
          <w:bCs/>
          <w:color w:val="000000" w:themeColor="text1"/>
        </w:rPr>
        <w:t xml:space="preserve"> en ambas impugnaciones,</w:t>
      </w:r>
      <w:r w:rsidR="009E260E" w:rsidRPr="00366861">
        <w:rPr>
          <w:rFonts w:ascii="Palatino Linotype" w:hAnsi="Palatino Linotype"/>
          <w:b/>
          <w:bCs/>
          <w:color w:val="000000" w:themeColor="text1"/>
        </w:rPr>
        <w:t xml:space="preserve"> </w:t>
      </w:r>
      <w:r w:rsidRPr="00366861">
        <w:rPr>
          <w:rFonts w:ascii="Palatino Linotype" w:hAnsi="Palatino Linotype"/>
          <w:b/>
          <w:bCs/>
          <w:color w:val="000000" w:themeColor="text1"/>
        </w:rPr>
        <w:t>la clasificación de la información</w:t>
      </w:r>
      <w:r>
        <w:rPr>
          <w:rFonts w:ascii="Palatino Linotype" w:hAnsi="Palatino Linotype"/>
          <w:color w:val="000000" w:themeColor="text1"/>
        </w:rPr>
        <w:t>.</w:t>
      </w:r>
    </w:p>
    <w:p w14:paraId="0FA6A4D7" w14:textId="0E7C74CA" w:rsidR="00C366F4" w:rsidRDefault="00C366F4" w:rsidP="00C366F4">
      <w:pPr>
        <w:pStyle w:val="Prrafodelista"/>
        <w:tabs>
          <w:tab w:val="left" w:pos="426"/>
        </w:tabs>
        <w:spacing w:before="240" w:after="240" w:line="360" w:lineRule="auto"/>
        <w:ind w:left="0" w:right="51"/>
        <w:jc w:val="both"/>
        <w:rPr>
          <w:rFonts w:ascii="Palatino Linotype" w:hAnsi="Palatino Linotype"/>
          <w:color w:val="000000" w:themeColor="text1"/>
        </w:rPr>
      </w:pPr>
    </w:p>
    <w:p w14:paraId="57992FE4" w14:textId="3DEAF94F" w:rsidR="00671285" w:rsidRPr="00671285" w:rsidRDefault="00671285" w:rsidP="0067128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671285">
        <w:rPr>
          <w:rFonts w:ascii="Palatino Linotype" w:hAnsi="Palatino Linotype"/>
          <w:b/>
          <w:bCs/>
          <w:color w:val="000000" w:themeColor="text1"/>
        </w:rPr>
        <w:t xml:space="preserve">III. Del sobreseimiento del recurso </w:t>
      </w:r>
      <w:r w:rsidR="00286096">
        <w:rPr>
          <w:rFonts w:ascii="Palatino Linotype" w:hAnsi="Palatino Linotype"/>
          <w:b/>
          <w:bCs/>
          <w:color w:val="000000" w:themeColor="text1"/>
        </w:rPr>
        <w:t>05498</w:t>
      </w:r>
      <w:r w:rsidRPr="00671285">
        <w:rPr>
          <w:rFonts w:ascii="Palatino Linotype" w:hAnsi="Palatino Linotype"/>
          <w:b/>
          <w:bCs/>
          <w:color w:val="000000" w:themeColor="text1"/>
        </w:rPr>
        <w:t>/INFOEM/IP/RR/2021.</w:t>
      </w:r>
    </w:p>
    <w:p w14:paraId="655BB1D6" w14:textId="77777777" w:rsidR="00671285" w:rsidRDefault="00671285" w:rsidP="00C366F4">
      <w:pPr>
        <w:pStyle w:val="Prrafodelista"/>
        <w:tabs>
          <w:tab w:val="left" w:pos="426"/>
        </w:tabs>
        <w:spacing w:before="240" w:after="240" w:line="360" w:lineRule="auto"/>
        <w:ind w:left="0" w:right="51"/>
        <w:jc w:val="both"/>
        <w:rPr>
          <w:rFonts w:ascii="Palatino Linotype" w:hAnsi="Palatino Linotype"/>
          <w:color w:val="000000" w:themeColor="text1"/>
        </w:rPr>
      </w:pPr>
    </w:p>
    <w:p w14:paraId="4EB90F20" w14:textId="1133BD04" w:rsidR="00E1691C" w:rsidRDefault="00E1691C" w:rsidP="00E169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imperativo mencionar que el </w:t>
      </w:r>
      <w:r w:rsidRPr="00DB0549">
        <w:rPr>
          <w:rFonts w:ascii="Palatino Linotype" w:hAnsi="Palatino Linotype"/>
          <w:color w:val="000000" w:themeColor="text1"/>
        </w:rPr>
        <w:t>recurso de revisión es la garantía secundaria mediante la cual se pretende reparar cualquier posible afectación al derecho de acceso a la información pública</w:t>
      </w:r>
      <w:r>
        <w:rPr>
          <w:rStyle w:val="Refdenotaalpie"/>
          <w:rFonts w:ascii="Palatino Linotype" w:hAnsi="Palatino Linotype"/>
          <w:color w:val="000000" w:themeColor="text1"/>
        </w:rPr>
        <w:footnoteReference w:id="10"/>
      </w:r>
      <w:r>
        <w:rPr>
          <w:rFonts w:ascii="Palatino Linotype" w:hAnsi="Palatino Linotype"/>
          <w:color w:val="000000" w:themeColor="text1"/>
        </w:rPr>
        <w:t>, el cual, de conformidad con lo establecido por el artículo 179 de la Ley de Transparencia y Acceso a la Información Pública del Estado de México y Municipios, procederá en contra de las siguientes causas:</w:t>
      </w:r>
    </w:p>
    <w:p w14:paraId="2C860C2D" w14:textId="77777777" w:rsidR="00E1691C" w:rsidRDefault="00E1691C" w:rsidP="00E1691C">
      <w:pPr>
        <w:pStyle w:val="Prrafodelista"/>
        <w:tabs>
          <w:tab w:val="left" w:pos="426"/>
        </w:tabs>
        <w:spacing w:line="360" w:lineRule="auto"/>
        <w:ind w:left="0" w:right="51"/>
        <w:jc w:val="both"/>
        <w:rPr>
          <w:rFonts w:ascii="Palatino Linotype" w:hAnsi="Palatino Linotype"/>
          <w:color w:val="000000" w:themeColor="text1"/>
        </w:rPr>
      </w:pPr>
    </w:p>
    <w:p w14:paraId="2D8DF41D"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632FC0">
        <w:rPr>
          <w:rFonts w:ascii="Palatino Linotype" w:hAnsi="Palatino Linotype"/>
          <w:b/>
          <w:bCs/>
          <w:i/>
          <w:iCs/>
          <w:sz w:val="22"/>
          <w:szCs w:val="22"/>
        </w:rPr>
        <w:t>Artículo 179.</w:t>
      </w:r>
      <w:r w:rsidRPr="00632FC0">
        <w:rPr>
          <w:rFonts w:ascii="Palatino Linotype" w:hAnsi="Palatino Linotype"/>
          <w:i/>
          <w:iCs/>
          <w:sz w:val="22"/>
          <w:szCs w:val="22"/>
        </w:rPr>
        <w:t xml:space="preserve"> El recurso de revisión es un medio de protección que la Ley otorga a los particulares, para hacer valer su derecho de acceso a la información pública, y procederá en contra de las siguientes causas: </w:t>
      </w:r>
    </w:p>
    <w:p w14:paraId="39DAC73D" w14:textId="77777777" w:rsidR="00E1691C" w:rsidRPr="00632FC0"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I.</w:t>
      </w:r>
      <w:r w:rsidRPr="00632FC0">
        <w:rPr>
          <w:rFonts w:ascii="Palatino Linotype" w:hAnsi="Palatino Linotype"/>
          <w:i/>
          <w:iCs/>
          <w:sz w:val="22"/>
          <w:szCs w:val="22"/>
        </w:rPr>
        <w:t xml:space="preserve"> La negativa a la información solicitada;</w:t>
      </w:r>
    </w:p>
    <w:p w14:paraId="191A4CAC"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II.</w:t>
      </w:r>
      <w:r w:rsidRPr="00632FC0">
        <w:rPr>
          <w:rFonts w:ascii="Palatino Linotype" w:hAnsi="Palatino Linotype"/>
          <w:i/>
          <w:iCs/>
          <w:sz w:val="22"/>
          <w:szCs w:val="22"/>
        </w:rPr>
        <w:t xml:space="preserve"> La clasificación de la información; </w:t>
      </w:r>
    </w:p>
    <w:p w14:paraId="20FC3056"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lastRenderedPageBreak/>
        <w:t>III.</w:t>
      </w:r>
      <w:r w:rsidRPr="00632FC0">
        <w:rPr>
          <w:rFonts w:ascii="Palatino Linotype" w:hAnsi="Palatino Linotype"/>
          <w:i/>
          <w:iCs/>
          <w:sz w:val="22"/>
          <w:szCs w:val="22"/>
        </w:rPr>
        <w:t xml:space="preserve"> La declaración de inexistencia de la información; </w:t>
      </w:r>
    </w:p>
    <w:p w14:paraId="05D72285"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IV.</w:t>
      </w:r>
      <w:r w:rsidRPr="00632FC0">
        <w:rPr>
          <w:rFonts w:ascii="Palatino Linotype" w:hAnsi="Palatino Linotype"/>
          <w:i/>
          <w:iCs/>
          <w:sz w:val="22"/>
          <w:szCs w:val="22"/>
        </w:rPr>
        <w:t xml:space="preserve"> La declaración de incompetencia por el sujeto obligado; </w:t>
      </w:r>
    </w:p>
    <w:p w14:paraId="2954028A"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V.</w:t>
      </w:r>
      <w:r w:rsidRPr="00632FC0">
        <w:rPr>
          <w:rFonts w:ascii="Palatino Linotype" w:hAnsi="Palatino Linotype"/>
          <w:i/>
          <w:iCs/>
          <w:sz w:val="22"/>
          <w:szCs w:val="22"/>
        </w:rPr>
        <w:t xml:space="preserve"> La entrega de información incompleta; </w:t>
      </w:r>
    </w:p>
    <w:p w14:paraId="16F220C8"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VI.</w:t>
      </w:r>
      <w:r w:rsidRPr="00632FC0">
        <w:rPr>
          <w:rFonts w:ascii="Palatino Linotype" w:hAnsi="Palatino Linotype"/>
          <w:i/>
          <w:iCs/>
          <w:sz w:val="22"/>
          <w:szCs w:val="22"/>
        </w:rPr>
        <w:t xml:space="preserve"> La entrega de información que no corresponda con lo solicitado; </w:t>
      </w:r>
    </w:p>
    <w:p w14:paraId="61E0586B"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VII.</w:t>
      </w:r>
      <w:r w:rsidRPr="00632FC0">
        <w:rPr>
          <w:rFonts w:ascii="Palatino Linotype" w:hAnsi="Palatino Linotype"/>
          <w:i/>
          <w:iCs/>
          <w:sz w:val="22"/>
          <w:szCs w:val="22"/>
        </w:rPr>
        <w:t xml:space="preserve"> La falta de respuesta a una solicitud de acceso a la información; </w:t>
      </w:r>
    </w:p>
    <w:p w14:paraId="76ACF0D0"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VIII.</w:t>
      </w:r>
      <w:r w:rsidRPr="00632FC0">
        <w:rPr>
          <w:rFonts w:ascii="Palatino Linotype" w:hAnsi="Palatino Linotype"/>
          <w:i/>
          <w:iCs/>
          <w:sz w:val="22"/>
          <w:szCs w:val="22"/>
        </w:rPr>
        <w:t xml:space="preserve"> La notificación, entrega o puesta a disposición de información en una modalidad o formato distinto al solicitado; </w:t>
      </w:r>
    </w:p>
    <w:p w14:paraId="639F43A3"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IX.</w:t>
      </w:r>
      <w:r w:rsidRPr="00632FC0">
        <w:rPr>
          <w:rFonts w:ascii="Palatino Linotype" w:hAnsi="Palatino Linotype"/>
          <w:i/>
          <w:iCs/>
          <w:sz w:val="22"/>
          <w:szCs w:val="22"/>
        </w:rPr>
        <w:t xml:space="preserve"> La entrega o puesta a disposición de información en un formato incomprensible y/o no accesible para el solicitante; </w:t>
      </w:r>
    </w:p>
    <w:p w14:paraId="6FF2A997"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X.</w:t>
      </w:r>
      <w:r w:rsidRPr="00632FC0">
        <w:rPr>
          <w:rFonts w:ascii="Palatino Linotype" w:hAnsi="Palatino Linotype"/>
          <w:i/>
          <w:iCs/>
          <w:sz w:val="22"/>
          <w:szCs w:val="22"/>
        </w:rPr>
        <w:t xml:space="preserve"> Los costos o tiempos de entrega de la información; </w:t>
      </w:r>
    </w:p>
    <w:p w14:paraId="4B60FCD7"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XI.</w:t>
      </w:r>
      <w:r w:rsidRPr="00632FC0">
        <w:rPr>
          <w:rFonts w:ascii="Palatino Linotype" w:hAnsi="Palatino Linotype"/>
          <w:i/>
          <w:iCs/>
          <w:sz w:val="22"/>
          <w:szCs w:val="22"/>
        </w:rPr>
        <w:t xml:space="preserve"> La falta de trámite a una solicitud; </w:t>
      </w:r>
    </w:p>
    <w:p w14:paraId="62D0AF07"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XII.</w:t>
      </w:r>
      <w:r w:rsidRPr="00632FC0">
        <w:rPr>
          <w:rFonts w:ascii="Palatino Linotype" w:hAnsi="Palatino Linotype"/>
          <w:i/>
          <w:iCs/>
          <w:sz w:val="22"/>
          <w:szCs w:val="22"/>
        </w:rPr>
        <w:t xml:space="preserve"> La negativa a permitir la consulta directa de la información; </w:t>
      </w:r>
    </w:p>
    <w:p w14:paraId="7AD78119" w14:textId="77777777" w:rsidR="00E1691C" w:rsidRDefault="00E1691C" w:rsidP="00E1691C">
      <w:pPr>
        <w:pStyle w:val="Prrafodelista"/>
        <w:tabs>
          <w:tab w:val="left" w:pos="426"/>
        </w:tabs>
        <w:spacing w:before="240" w:after="240" w:line="276" w:lineRule="auto"/>
        <w:ind w:left="567" w:right="567"/>
        <w:jc w:val="both"/>
        <w:rPr>
          <w:rFonts w:ascii="Palatino Linotype" w:hAnsi="Palatino Linotype"/>
          <w:i/>
          <w:iCs/>
          <w:sz w:val="22"/>
          <w:szCs w:val="22"/>
        </w:rPr>
      </w:pPr>
      <w:r w:rsidRPr="00632FC0">
        <w:rPr>
          <w:rFonts w:ascii="Palatino Linotype" w:hAnsi="Palatino Linotype"/>
          <w:b/>
          <w:bCs/>
          <w:i/>
          <w:iCs/>
          <w:sz w:val="22"/>
          <w:szCs w:val="22"/>
        </w:rPr>
        <w:t>XIII.</w:t>
      </w:r>
      <w:r w:rsidRPr="00632FC0">
        <w:rPr>
          <w:rFonts w:ascii="Palatino Linotype" w:hAnsi="Palatino Linotype"/>
          <w:i/>
          <w:iCs/>
          <w:sz w:val="22"/>
          <w:szCs w:val="22"/>
        </w:rPr>
        <w:t xml:space="preserve"> La falta, deficiencia o insuficiencia de la fundamentación y/o motivación en la respuesta; y </w:t>
      </w:r>
    </w:p>
    <w:p w14:paraId="388088F4" w14:textId="77777777" w:rsidR="00E1691C" w:rsidRPr="00632FC0" w:rsidRDefault="00E1691C" w:rsidP="00E1691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632FC0">
        <w:rPr>
          <w:rFonts w:ascii="Palatino Linotype" w:hAnsi="Palatino Linotype"/>
          <w:b/>
          <w:bCs/>
          <w:i/>
          <w:iCs/>
          <w:sz w:val="22"/>
          <w:szCs w:val="22"/>
        </w:rPr>
        <w:t>XIV.</w:t>
      </w:r>
      <w:r w:rsidRPr="00632FC0">
        <w:rPr>
          <w:rFonts w:ascii="Palatino Linotype" w:hAnsi="Palatino Linotype"/>
          <w:i/>
          <w:iCs/>
          <w:sz w:val="22"/>
          <w:szCs w:val="22"/>
        </w:rPr>
        <w:t xml:space="preserve"> La orientación a un trámite específico.</w:t>
      </w:r>
      <w:r>
        <w:rPr>
          <w:rFonts w:ascii="Palatino Linotype" w:hAnsi="Palatino Linotype"/>
          <w:i/>
          <w:iCs/>
          <w:sz w:val="22"/>
          <w:szCs w:val="22"/>
        </w:rPr>
        <w:t>”</w:t>
      </w:r>
    </w:p>
    <w:p w14:paraId="3612CFA2" w14:textId="77777777" w:rsidR="00E1691C" w:rsidRDefault="00E1691C" w:rsidP="00E1691C">
      <w:pPr>
        <w:pStyle w:val="Prrafodelista"/>
        <w:tabs>
          <w:tab w:val="left" w:pos="426"/>
        </w:tabs>
        <w:spacing w:before="240" w:after="240" w:line="360" w:lineRule="auto"/>
        <w:ind w:left="0" w:right="51"/>
        <w:jc w:val="both"/>
        <w:rPr>
          <w:rFonts w:ascii="Palatino Linotype" w:hAnsi="Palatino Linotype"/>
          <w:color w:val="000000" w:themeColor="text1"/>
        </w:rPr>
      </w:pPr>
    </w:p>
    <w:p w14:paraId="0AB44F46" w14:textId="77777777" w:rsidR="00E1691C" w:rsidRDefault="00E1691C" w:rsidP="00E1691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el numeral 191 de la Ley de la materia establece como una de las causales de desechamiento del recurso de revisión cuando no se actualice alguno de los supuestos establecidos </w:t>
      </w:r>
      <w:r>
        <w:rPr>
          <w:rFonts w:ascii="Palatino Linotype" w:hAnsi="Palatino Linotype"/>
          <w:i/>
          <w:iCs/>
          <w:color w:val="000000" w:themeColor="text1"/>
        </w:rPr>
        <w:t>supra</w:t>
      </w:r>
      <w:r>
        <w:rPr>
          <w:rFonts w:ascii="Palatino Linotype" w:hAnsi="Palatino Linotype"/>
          <w:color w:val="000000" w:themeColor="text1"/>
        </w:rPr>
        <w:t xml:space="preserve">. </w:t>
      </w:r>
    </w:p>
    <w:p w14:paraId="4251E69A" w14:textId="77777777" w:rsidR="00E1691C" w:rsidRDefault="00E1691C" w:rsidP="00E1691C">
      <w:pPr>
        <w:pStyle w:val="Prrafodelista"/>
        <w:tabs>
          <w:tab w:val="left" w:pos="426"/>
        </w:tabs>
        <w:spacing w:before="240" w:after="240" w:line="360" w:lineRule="auto"/>
        <w:ind w:left="0" w:right="51"/>
        <w:jc w:val="both"/>
        <w:rPr>
          <w:rFonts w:ascii="Palatino Linotype" w:hAnsi="Palatino Linotype"/>
          <w:color w:val="000000" w:themeColor="text1"/>
        </w:rPr>
      </w:pPr>
    </w:p>
    <w:p w14:paraId="4AC7366E" w14:textId="0E6EBDE0" w:rsidR="00E1691C" w:rsidRDefault="00E1691C" w:rsidP="009379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4CBA">
        <w:rPr>
          <w:rFonts w:ascii="Palatino Linotype" w:hAnsi="Palatino Linotype"/>
          <w:color w:val="000000" w:themeColor="text1"/>
        </w:rPr>
        <w:t xml:space="preserve">En el presente asunto hemos establecido que, por cuanto hace a la solicitud de información </w:t>
      </w:r>
      <w:r w:rsidRPr="00594CBA">
        <w:rPr>
          <w:rFonts w:ascii="Palatino Linotype" w:hAnsi="Palatino Linotype"/>
          <w:b/>
          <w:bCs/>
          <w:color w:val="000000" w:themeColor="text1"/>
        </w:rPr>
        <w:t>00131/ATIZAPAN/IP/2021</w:t>
      </w:r>
      <w:r w:rsidRPr="00594CBA">
        <w:rPr>
          <w:rFonts w:ascii="Palatino Linotype" w:hAnsi="Palatino Linotype"/>
          <w:color w:val="000000" w:themeColor="text1"/>
        </w:rPr>
        <w:t xml:space="preserve">, relacionada con el grado de estudios del Presidente Municipal, el Director de Administración informó que </w:t>
      </w:r>
      <w:r w:rsidR="00594CBA">
        <w:rPr>
          <w:rFonts w:ascii="Palatino Linotype" w:hAnsi="Palatino Linotype"/>
          <w:color w:val="000000" w:themeColor="text1"/>
        </w:rPr>
        <w:t>aquél</w:t>
      </w:r>
      <w:r w:rsidRPr="00594CBA">
        <w:rPr>
          <w:rFonts w:ascii="Palatino Linotype" w:hAnsi="Palatino Linotype"/>
          <w:color w:val="000000" w:themeColor="text1"/>
        </w:rPr>
        <w:t xml:space="preserve"> contaba con Licenciatura en Derecho, mas no </w:t>
      </w:r>
      <w:r w:rsidR="00286096">
        <w:rPr>
          <w:rFonts w:ascii="Palatino Linotype" w:hAnsi="Palatino Linotype"/>
          <w:color w:val="000000" w:themeColor="text1"/>
        </w:rPr>
        <w:t>poseía en sus archivos</w:t>
      </w:r>
      <w:r w:rsidRPr="00594CBA">
        <w:rPr>
          <w:rFonts w:ascii="Palatino Linotype" w:hAnsi="Palatino Linotype"/>
          <w:color w:val="000000" w:themeColor="text1"/>
        </w:rPr>
        <w:t xml:space="preserve"> el documento que corroborara el grado señalado. A pesar de lo anterior, el particular promovió el recurso de revisión </w:t>
      </w:r>
      <w:r w:rsidRPr="00594CBA">
        <w:rPr>
          <w:rFonts w:ascii="Palatino Linotype" w:hAnsi="Palatino Linotype"/>
          <w:b/>
          <w:bCs/>
          <w:color w:val="000000" w:themeColor="text1"/>
        </w:rPr>
        <w:t>05498/INFOEM/IP/RR/2021</w:t>
      </w:r>
      <w:r w:rsidRPr="00594CBA">
        <w:rPr>
          <w:rFonts w:ascii="Palatino Linotype" w:hAnsi="Palatino Linotype"/>
          <w:color w:val="000000" w:themeColor="text1"/>
        </w:rPr>
        <w:t>, en el que señaló por agravios</w:t>
      </w:r>
      <w:r w:rsidR="00594CBA">
        <w:rPr>
          <w:rFonts w:ascii="Palatino Linotype" w:hAnsi="Palatino Linotype"/>
          <w:color w:val="000000" w:themeColor="text1"/>
        </w:rPr>
        <w:t xml:space="preserve"> </w:t>
      </w:r>
      <w:r w:rsidRPr="00594CBA">
        <w:rPr>
          <w:rFonts w:ascii="Palatino Linotype" w:hAnsi="Palatino Linotype"/>
          <w:color w:val="000000" w:themeColor="text1"/>
        </w:rPr>
        <w:t xml:space="preserve">la clasificación de la información, </w:t>
      </w:r>
      <w:r w:rsidRPr="00594CBA">
        <w:rPr>
          <w:rFonts w:ascii="Palatino Linotype" w:hAnsi="Palatino Linotype"/>
          <w:b/>
          <w:bCs/>
          <w:color w:val="000000" w:themeColor="text1"/>
        </w:rPr>
        <w:t>cuando en el caso concreto el SUJETO OBLIGADO no negó la información por clasificación</w:t>
      </w:r>
      <w:r w:rsidR="00594CBA">
        <w:rPr>
          <w:rFonts w:ascii="Palatino Linotype" w:hAnsi="Palatino Linotype"/>
          <w:color w:val="000000" w:themeColor="text1"/>
        </w:rPr>
        <w:t>.</w:t>
      </w:r>
    </w:p>
    <w:p w14:paraId="41A14B7D" w14:textId="77777777" w:rsidR="00594CBA" w:rsidRDefault="00594CBA" w:rsidP="00594CBA">
      <w:pPr>
        <w:pStyle w:val="Prrafodelista"/>
        <w:tabs>
          <w:tab w:val="left" w:pos="426"/>
        </w:tabs>
        <w:spacing w:before="240" w:after="240" w:line="360" w:lineRule="auto"/>
        <w:ind w:left="0" w:right="51"/>
        <w:jc w:val="both"/>
        <w:rPr>
          <w:rFonts w:ascii="Palatino Linotype" w:hAnsi="Palatino Linotype"/>
          <w:color w:val="000000" w:themeColor="text1"/>
        </w:rPr>
      </w:pPr>
    </w:p>
    <w:p w14:paraId="34B77F7F" w14:textId="23BEA3FA" w:rsidR="00594CBA" w:rsidRDefault="00594CBA" w:rsidP="009379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w:t>
      </w:r>
      <w:r w:rsidRPr="00594CBA">
        <w:rPr>
          <w:rFonts w:ascii="Palatino Linotype" w:hAnsi="Palatino Linotype"/>
          <w:color w:val="000000" w:themeColor="text1"/>
          <w:lang w:val="es-ES_tradnl"/>
        </w:rPr>
        <w:t xml:space="preserve">se advierte que los motivos o razones de inconformidad no guardan relación ni con la solicitud de acceso a la información, ni con la respuesta emitida por el </w:t>
      </w:r>
      <w:r w:rsidRPr="00594CBA">
        <w:rPr>
          <w:rFonts w:ascii="Palatino Linotype" w:hAnsi="Palatino Linotype"/>
          <w:b/>
          <w:bCs/>
          <w:color w:val="000000" w:themeColor="text1"/>
          <w:lang w:val="es-ES_tradnl"/>
        </w:rPr>
        <w:t>SUJETO OBLIGADO</w:t>
      </w:r>
      <w:r w:rsidRPr="00594CBA">
        <w:rPr>
          <w:rFonts w:ascii="Palatino Linotype" w:hAnsi="Palatino Linotype"/>
          <w:color w:val="000000" w:themeColor="text1"/>
          <w:lang w:val="es-ES_tradnl"/>
        </w:rPr>
        <w:t xml:space="preserve">. Si bien es cierto, una inconformidad por la supuesta clasificación de la información, la Ley de Transparencia y Acceso a la Información Pública del Estado de México y Municipios en el artículo 179, la contempla </w:t>
      </w:r>
      <w:r>
        <w:rPr>
          <w:rFonts w:ascii="Palatino Linotype" w:hAnsi="Palatino Linotype"/>
          <w:color w:val="000000" w:themeColor="text1"/>
          <w:lang w:val="es-ES_tradnl"/>
        </w:rPr>
        <w:t xml:space="preserve">como </w:t>
      </w:r>
      <w:r w:rsidRPr="00594CBA">
        <w:rPr>
          <w:rFonts w:ascii="Palatino Linotype" w:hAnsi="Palatino Linotype"/>
          <w:color w:val="000000" w:themeColor="text1"/>
          <w:lang w:val="es-ES_tradnl"/>
        </w:rPr>
        <w:t>una causal de procedencia del recurso de revisión, también lo es que, para que resulte procedente</w:t>
      </w:r>
      <w:r>
        <w:rPr>
          <w:rFonts w:ascii="Palatino Linotype" w:hAnsi="Palatino Linotype"/>
          <w:color w:val="000000" w:themeColor="text1"/>
          <w:lang w:val="es-ES_tradnl"/>
        </w:rPr>
        <w:t>,</w:t>
      </w:r>
      <w:r w:rsidRPr="00594CBA">
        <w:rPr>
          <w:rFonts w:ascii="Palatino Linotype" w:hAnsi="Palatino Linotype"/>
          <w:color w:val="000000" w:themeColor="text1"/>
          <w:lang w:val="es-ES_tradnl"/>
        </w:rPr>
        <w:t xml:space="preserve"> debe mediar la manifestación por parte del </w:t>
      </w:r>
      <w:r w:rsidRPr="00594CBA">
        <w:rPr>
          <w:rFonts w:ascii="Palatino Linotype" w:hAnsi="Palatino Linotype"/>
          <w:b/>
          <w:bCs/>
          <w:color w:val="000000" w:themeColor="text1"/>
          <w:lang w:val="es-ES_tradnl"/>
        </w:rPr>
        <w:t>SUJETO OBLIGADO</w:t>
      </w:r>
      <w:r w:rsidRPr="00594CBA">
        <w:rPr>
          <w:rFonts w:ascii="Palatino Linotype" w:hAnsi="Palatino Linotype"/>
          <w:color w:val="000000" w:themeColor="text1"/>
          <w:lang w:val="es-ES_tradnl"/>
        </w:rPr>
        <w:t>, sobre dicha clasificación; de lo contrario, no hay razones subsistentes para la procedencia.</w:t>
      </w:r>
    </w:p>
    <w:p w14:paraId="2C56FD73" w14:textId="77777777" w:rsidR="00594CBA" w:rsidRDefault="00594CBA" w:rsidP="00594CBA">
      <w:pPr>
        <w:pStyle w:val="Prrafodelista"/>
        <w:tabs>
          <w:tab w:val="left" w:pos="426"/>
        </w:tabs>
        <w:spacing w:before="240" w:after="240" w:line="360" w:lineRule="auto"/>
        <w:ind w:left="0" w:right="51"/>
        <w:jc w:val="both"/>
        <w:rPr>
          <w:rFonts w:ascii="Palatino Linotype" w:hAnsi="Palatino Linotype"/>
          <w:color w:val="000000" w:themeColor="text1"/>
        </w:rPr>
      </w:pPr>
    </w:p>
    <w:p w14:paraId="2DE0EA3E" w14:textId="6159E625" w:rsidR="00594CBA" w:rsidRDefault="00594CBA" w:rsidP="009379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Sirve </w:t>
      </w:r>
      <w:r>
        <w:rPr>
          <w:rFonts w:ascii="Palatino Linotype" w:hAnsi="Palatino Linotype" w:cs="Arial"/>
          <w:color w:val="000000"/>
        </w:rPr>
        <w:t xml:space="preserve">de sustento </w:t>
      </w:r>
      <w:r w:rsidRPr="00F06E5B">
        <w:rPr>
          <w:rFonts w:ascii="Palatino Linotype" w:hAnsi="Palatino Linotype"/>
          <w:color w:val="000000"/>
          <w:lang w:eastAsia="es-MX"/>
        </w:rPr>
        <w:t>la Jurisprudencia No. 29 visible a foja 19 del Apéndice al Semanario Judicial de la Federación 1917-1995, Torno VI, Materia Común, Primera Parte, Tesis de la Suprema Corte de Justicia, que contiene:</w:t>
      </w:r>
    </w:p>
    <w:p w14:paraId="340FD592" w14:textId="66A511F5" w:rsidR="00594CBA" w:rsidRDefault="00594CBA" w:rsidP="00594CBA">
      <w:pPr>
        <w:pStyle w:val="Prrafodelista"/>
        <w:tabs>
          <w:tab w:val="left" w:pos="426"/>
        </w:tabs>
        <w:spacing w:before="240" w:line="360" w:lineRule="auto"/>
        <w:ind w:left="0" w:right="51"/>
        <w:jc w:val="both"/>
        <w:rPr>
          <w:rFonts w:ascii="Palatino Linotype" w:hAnsi="Palatino Linotype"/>
          <w:color w:val="000000" w:themeColor="text1"/>
        </w:rPr>
      </w:pPr>
    </w:p>
    <w:p w14:paraId="6DB3AAA9" w14:textId="16B8C864" w:rsidR="00594CBA" w:rsidRDefault="00594CBA" w:rsidP="00594CBA">
      <w:pPr>
        <w:shd w:val="clear" w:color="auto" w:fill="FFFFFF"/>
        <w:spacing w:before="240" w:after="240" w:line="360" w:lineRule="atLeast"/>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w:t>
      </w:r>
      <w:r>
        <w:rPr>
          <w:rFonts w:ascii="Palatino Linotype" w:hAnsi="Palatino Linotype"/>
          <w:i/>
          <w:iCs/>
          <w:color w:val="000000"/>
          <w:sz w:val="22"/>
          <w:szCs w:val="22"/>
        </w:rPr>
        <w:t>“</w:t>
      </w:r>
      <w:r w:rsidRPr="00B9068E">
        <w:rPr>
          <w:rFonts w:ascii="Palatino Linotype" w:hAnsi="Palatino Linotype"/>
          <w:i/>
          <w:iCs/>
          <w:color w:val="000000"/>
          <w:sz w:val="22"/>
          <w:szCs w:val="22"/>
        </w:rPr>
        <w:t>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i/>
          <w:iCs/>
          <w:color w:val="000000"/>
          <w:sz w:val="22"/>
          <w:szCs w:val="22"/>
        </w:rPr>
        <w:t>”</w:t>
      </w:r>
    </w:p>
    <w:p w14:paraId="7C8F2A0D" w14:textId="77777777" w:rsidR="00E1691C" w:rsidRDefault="00E1691C" w:rsidP="00E1691C">
      <w:pPr>
        <w:pStyle w:val="Prrafodelista"/>
        <w:tabs>
          <w:tab w:val="left" w:pos="426"/>
        </w:tabs>
        <w:spacing w:before="240" w:after="240" w:line="360" w:lineRule="auto"/>
        <w:ind w:left="0" w:right="51"/>
        <w:jc w:val="both"/>
        <w:rPr>
          <w:rFonts w:ascii="Palatino Linotype" w:hAnsi="Palatino Linotype"/>
          <w:color w:val="000000" w:themeColor="text1"/>
        </w:rPr>
      </w:pPr>
    </w:p>
    <w:p w14:paraId="780AF650" w14:textId="3343AC92" w:rsidR="00671285" w:rsidRDefault="00286096" w:rsidP="009379F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entonces</w:t>
      </w:r>
      <w:r w:rsidR="00E1691C" w:rsidRPr="008F4DB7">
        <w:rPr>
          <w:rFonts w:ascii="Palatino Linotype" w:hAnsi="Palatino Linotype"/>
          <w:color w:val="000000" w:themeColor="text1"/>
        </w:rPr>
        <w:t xml:space="preserve">, por cuanto hace al agravio señalado dentro del recurso de revisión </w:t>
      </w:r>
      <w:r w:rsidR="00E1691C" w:rsidRPr="008F4DB7">
        <w:rPr>
          <w:rFonts w:ascii="Palatino Linotype" w:hAnsi="Palatino Linotype"/>
          <w:b/>
          <w:bCs/>
          <w:color w:val="000000" w:themeColor="text1"/>
        </w:rPr>
        <w:t>05498/INFOEM/IP/RR/2021</w:t>
      </w:r>
      <w:r w:rsidR="00E1691C" w:rsidRPr="008F4DB7">
        <w:rPr>
          <w:rFonts w:ascii="Palatino Linotype" w:hAnsi="Palatino Linotype"/>
          <w:color w:val="000000" w:themeColor="text1"/>
        </w:rPr>
        <w:t xml:space="preserve">, debe determinarse como </w:t>
      </w:r>
      <w:r w:rsidR="00E1691C" w:rsidRPr="008F4DB7">
        <w:rPr>
          <w:rFonts w:ascii="Palatino Linotype" w:hAnsi="Palatino Linotype"/>
          <w:b/>
          <w:bCs/>
          <w:color w:val="000000" w:themeColor="text1"/>
        </w:rPr>
        <w:t>inoperante</w:t>
      </w:r>
      <w:r w:rsidR="00E1691C" w:rsidRPr="008F4DB7">
        <w:rPr>
          <w:rFonts w:ascii="Palatino Linotype" w:hAnsi="Palatino Linotype"/>
          <w:color w:val="000000" w:themeColor="text1"/>
        </w:rPr>
        <w:t xml:space="preserve"> pues el </w:t>
      </w:r>
      <w:r w:rsidR="00E1691C" w:rsidRPr="008F4DB7">
        <w:rPr>
          <w:rFonts w:ascii="Palatino Linotype" w:hAnsi="Palatino Linotype"/>
          <w:b/>
          <w:bCs/>
          <w:color w:val="000000" w:themeColor="text1"/>
        </w:rPr>
        <w:t>SUJETO OBLIGADO</w:t>
      </w:r>
      <w:r w:rsidR="00E1691C" w:rsidRPr="008F4DB7">
        <w:rPr>
          <w:rFonts w:ascii="Palatino Linotype" w:hAnsi="Palatino Linotype"/>
          <w:color w:val="000000" w:themeColor="text1"/>
        </w:rPr>
        <w:t xml:space="preserve"> no negó la información por alguna causal de clasificación</w:t>
      </w:r>
      <w:r>
        <w:rPr>
          <w:rFonts w:ascii="Palatino Linotype" w:hAnsi="Palatino Linotype"/>
          <w:color w:val="000000" w:themeColor="text1"/>
        </w:rPr>
        <w:t xml:space="preserve">, como lo señalara el </w:t>
      </w:r>
      <w:r>
        <w:rPr>
          <w:rFonts w:ascii="Palatino Linotype" w:hAnsi="Palatino Linotype"/>
          <w:b/>
          <w:bCs/>
          <w:color w:val="000000" w:themeColor="text1"/>
        </w:rPr>
        <w:t>RECURRENTE</w:t>
      </w:r>
      <w:r>
        <w:rPr>
          <w:rFonts w:ascii="Palatino Linotype" w:hAnsi="Palatino Linotype"/>
          <w:color w:val="000000" w:themeColor="text1"/>
        </w:rPr>
        <w:t>.</w:t>
      </w:r>
    </w:p>
    <w:p w14:paraId="2C03C523" w14:textId="77777777" w:rsidR="008F4DB7" w:rsidRPr="008F4DB7" w:rsidRDefault="008F4DB7" w:rsidP="008F4DB7">
      <w:pPr>
        <w:pStyle w:val="Prrafodelista"/>
        <w:tabs>
          <w:tab w:val="left" w:pos="426"/>
        </w:tabs>
        <w:spacing w:before="240" w:after="240" w:line="360" w:lineRule="auto"/>
        <w:ind w:left="0" w:right="51"/>
        <w:jc w:val="both"/>
        <w:rPr>
          <w:rFonts w:ascii="Palatino Linotype" w:hAnsi="Palatino Linotype"/>
          <w:color w:val="000000" w:themeColor="text1"/>
        </w:rPr>
      </w:pPr>
    </w:p>
    <w:p w14:paraId="6FFC8A64" w14:textId="2B590CA8" w:rsidR="00C366F4" w:rsidRDefault="008F4DB7" w:rsidP="00DB05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y una vez demostrado </w:t>
      </w:r>
      <w:r w:rsidRPr="008F4DB7">
        <w:rPr>
          <w:rFonts w:ascii="Palatino Linotype" w:hAnsi="Palatino Linotype"/>
          <w:color w:val="000000" w:themeColor="text1"/>
          <w:lang w:val="es-ES_tradnl"/>
        </w:rPr>
        <w:t xml:space="preserve">que la clasificación de la información no es materia de </w:t>
      </w:r>
      <w:r w:rsidRPr="008F4DB7">
        <w:rPr>
          <w:rFonts w:ascii="Palatino Linotype" w:hAnsi="Palatino Linotype"/>
          <w:i/>
          <w:iCs/>
          <w:color w:val="000000" w:themeColor="text1"/>
          <w:lang w:val="es-ES_tradnl"/>
        </w:rPr>
        <w:t>Litis</w:t>
      </w:r>
      <w:r w:rsidRPr="008F4DB7">
        <w:rPr>
          <w:rFonts w:ascii="Palatino Linotype" w:hAnsi="Palatino Linotype"/>
          <w:color w:val="000000" w:themeColor="text1"/>
          <w:lang w:val="es-ES_tradnl"/>
        </w:rPr>
        <w:t xml:space="preserve">, se determina que </w:t>
      </w:r>
      <w:r>
        <w:rPr>
          <w:rFonts w:ascii="Palatino Linotype" w:hAnsi="Palatino Linotype"/>
          <w:color w:val="000000" w:themeColor="text1"/>
          <w:lang w:val="es-ES_tradnl"/>
        </w:rPr>
        <w:t>las inconformidades vertidas dentro del</w:t>
      </w:r>
      <w:r w:rsidRPr="008F4DB7">
        <w:rPr>
          <w:rFonts w:ascii="Palatino Linotype" w:hAnsi="Palatino Linotype"/>
          <w:color w:val="000000" w:themeColor="text1"/>
          <w:lang w:val="es-ES_tradnl"/>
        </w:rPr>
        <w:t xml:space="preserve"> </w:t>
      </w:r>
      <w:r>
        <w:rPr>
          <w:rFonts w:ascii="Palatino Linotype" w:hAnsi="Palatino Linotype"/>
          <w:color w:val="000000" w:themeColor="text1"/>
          <w:lang w:val="es-ES_tradnl"/>
        </w:rPr>
        <w:t xml:space="preserve">recurso de revisión </w:t>
      </w:r>
      <w:r>
        <w:rPr>
          <w:rFonts w:ascii="Palatino Linotype" w:hAnsi="Palatino Linotype"/>
          <w:b/>
          <w:bCs/>
          <w:color w:val="000000" w:themeColor="text1"/>
          <w:lang w:val="es-ES_tradnl"/>
        </w:rPr>
        <w:t>05498/INFOEM/IP/RR/2021</w:t>
      </w:r>
      <w:r w:rsidRPr="008F4DB7">
        <w:rPr>
          <w:rFonts w:ascii="Palatino Linotype" w:hAnsi="Palatino Linotype"/>
          <w:color w:val="000000" w:themeColor="text1"/>
          <w:lang w:val="es-ES_tradnl"/>
        </w:rPr>
        <w:t xml:space="preserve"> no actualiza</w:t>
      </w:r>
      <w:r>
        <w:rPr>
          <w:rFonts w:ascii="Palatino Linotype" w:hAnsi="Palatino Linotype"/>
          <w:color w:val="000000" w:themeColor="text1"/>
          <w:lang w:val="es-ES_tradnl"/>
        </w:rPr>
        <w:t>n</w:t>
      </w:r>
      <w:r w:rsidRPr="008F4DB7">
        <w:rPr>
          <w:rFonts w:ascii="Palatino Linotype" w:hAnsi="Palatino Linotype"/>
          <w:color w:val="000000" w:themeColor="text1"/>
          <w:lang w:val="es-ES_tradnl"/>
        </w:rPr>
        <w:t xml:space="preserve"> ninguna causal de procedencia que se relaciones con la solicitud</w:t>
      </w:r>
      <w:r>
        <w:rPr>
          <w:rFonts w:ascii="Palatino Linotype" w:hAnsi="Palatino Linotype"/>
          <w:color w:val="000000" w:themeColor="text1"/>
          <w:lang w:val="es-ES_tradnl"/>
        </w:rPr>
        <w:t xml:space="preserve"> primigenia</w:t>
      </w:r>
      <w:r w:rsidRPr="008F4DB7">
        <w:rPr>
          <w:rFonts w:ascii="Palatino Linotype" w:hAnsi="Palatino Linotype"/>
          <w:color w:val="000000" w:themeColor="text1"/>
          <w:lang w:val="es-ES_tradnl"/>
        </w:rPr>
        <w:t xml:space="preserve"> o la respuesta</w:t>
      </w:r>
      <w:r>
        <w:rPr>
          <w:rFonts w:ascii="Palatino Linotype" w:hAnsi="Palatino Linotype"/>
          <w:color w:val="000000" w:themeColor="text1"/>
          <w:lang w:val="es-ES_tradnl"/>
        </w:rPr>
        <w:t xml:space="preserve"> emitida por el </w:t>
      </w:r>
      <w:r>
        <w:rPr>
          <w:rFonts w:ascii="Palatino Linotype" w:hAnsi="Palatino Linotype"/>
          <w:b/>
          <w:bCs/>
          <w:color w:val="000000" w:themeColor="text1"/>
          <w:lang w:val="es-ES_tradnl"/>
        </w:rPr>
        <w:t>SUJETO OBLIGADO</w:t>
      </w:r>
      <w:r w:rsidRPr="008F4DB7">
        <w:rPr>
          <w:rFonts w:ascii="Palatino Linotype" w:hAnsi="Palatino Linotype"/>
          <w:color w:val="000000" w:themeColor="text1"/>
          <w:lang w:val="es-ES_tradnl"/>
        </w:rPr>
        <w:t xml:space="preserve">. En consecuencia, la falta de actualización de causal de procedencia, trae consigo que el recurso de revisión sea desechado por improcedente, de acuerdo al artículo 191 de la </w:t>
      </w:r>
      <w:r>
        <w:rPr>
          <w:rFonts w:ascii="Palatino Linotype" w:hAnsi="Palatino Linotype"/>
          <w:color w:val="000000" w:themeColor="text1"/>
          <w:lang w:val="es-ES_tradnl"/>
        </w:rPr>
        <w:t>Ley de Transparencia y Acceso a la Información Pública del Estado de México y Municipios, cuyo contenido se transcribe a continuación</w:t>
      </w:r>
      <w:r w:rsidRPr="008F4DB7">
        <w:rPr>
          <w:rFonts w:ascii="Palatino Linotype" w:hAnsi="Palatino Linotype"/>
          <w:color w:val="000000" w:themeColor="text1"/>
          <w:lang w:val="es-ES_tradnl"/>
        </w:rPr>
        <w:t>:</w:t>
      </w:r>
    </w:p>
    <w:p w14:paraId="097C6244" w14:textId="12475337" w:rsidR="00671285" w:rsidRDefault="00671285" w:rsidP="00671285">
      <w:pPr>
        <w:pStyle w:val="Prrafodelista"/>
        <w:tabs>
          <w:tab w:val="left" w:pos="426"/>
        </w:tabs>
        <w:spacing w:before="240" w:after="240" w:line="360" w:lineRule="auto"/>
        <w:ind w:left="0" w:right="51"/>
        <w:jc w:val="both"/>
        <w:rPr>
          <w:rFonts w:ascii="Palatino Linotype" w:hAnsi="Palatino Linotype"/>
          <w:color w:val="000000" w:themeColor="text1"/>
        </w:rPr>
      </w:pPr>
    </w:p>
    <w:p w14:paraId="4E7FAE20" w14:textId="77777777" w:rsidR="008F4DB7" w:rsidRPr="008F4DB7" w:rsidRDefault="008F4DB7" w:rsidP="008F4DB7">
      <w:pPr>
        <w:pStyle w:val="Prrafodelista"/>
        <w:tabs>
          <w:tab w:val="left" w:pos="567"/>
        </w:tabs>
        <w:spacing w:line="276" w:lineRule="auto"/>
        <w:ind w:left="567" w:right="567"/>
        <w:jc w:val="both"/>
        <w:rPr>
          <w:rFonts w:ascii="Palatino Linotype" w:hAnsi="Palatino Linotype"/>
          <w:b/>
          <w:bCs/>
          <w:i/>
        </w:rPr>
      </w:pPr>
      <w:r w:rsidRPr="008F4DB7">
        <w:rPr>
          <w:rFonts w:ascii="Palatino Linotype" w:hAnsi="Palatino Linotype"/>
          <w:b/>
          <w:bCs/>
          <w:i/>
        </w:rPr>
        <w:t>Artículo 191. El recurso será desechado por improcedente cuando:</w:t>
      </w:r>
    </w:p>
    <w:p w14:paraId="48422450"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i/>
        </w:rPr>
      </w:pPr>
      <w:r w:rsidRPr="008F4DB7">
        <w:rPr>
          <w:rFonts w:ascii="Palatino Linotype" w:hAnsi="Palatino Linotype"/>
          <w:b/>
          <w:bCs/>
          <w:i/>
        </w:rPr>
        <w:t>I.</w:t>
      </w:r>
      <w:r w:rsidRPr="00DA1A2F">
        <w:rPr>
          <w:rFonts w:ascii="Palatino Linotype" w:hAnsi="Palatino Linotype"/>
          <w:i/>
        </w:rPr>
        <w:t xml:space="preserve"> Sea extemporáneo por haber transcurrido el plazo establecido en la presente Ley, a partir de la respuesta; </w:t>
      </w:r>
    </w:p>
    <w:p w14:paraId="2C77F970"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i/>
        </w:rPr>
      </w:pPr>
      <w:r w:rsidRPr="008F4DB7">
        <w:rPr>
          <w:rFonts w:ascii="Palatino Linotype" w:hAnsi="Palatino Linotype"/>
          <w:b/>
          <w:bCs/>
          <w:i/>
        </w:rPr>
        <w:t>II.</w:t>
      </w:r>
      <w:r w:rsidRPr="00DA1A2F">
        <w:rPr>
          <w:rFonts w:ascii="Palatino Linotype" w:hAnsi="Palatino Linotype"/>
          <w:i/>
        </w:rPr>
        <w:t xml:space="preserve"> Se esté tramitando ante el Poder Judicial de la Federación algún recurso o medio de defensa interpuesto por el recurrente; </w:t>
      </w:r>
    </w:p>
    <w:p w14:paraId="11A91881"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b/>
          <w:i/>
        </w:rPr>
      </w:pPr>
      <w:r w:rsidRPr="00DA1A2F">
        <w:rPr>
          <w:rFonts w:ascii="Palatino Linotype" w:hAnsi="Palatino Linotype"/>
          <w:b/>
          <w:i/>
        </w:rPr>
        <w:t xml:space="preserve">III. No actualice alguno de los supuestos previstos en la presente Ley; </w:t>
      </w:r>
    </w:p>
    <w:p w14:paraId="1F1DC609"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i/>
        </w:rPr>
      </w:pPr>
      <w:r w:rsidRPr="008F4DB7">
        <w:rPr>
          <w:rFonts w:ascii="Palatino Linotype" w:hAnsi="Palatino Linotype"/>
          <w:b/>
          <w:bCs/>
          <w:i/>
        </w:rPr>
        <w:t>IV.</w:t>
      </w:r>
      <w:r w:rsidRPr="00DA1A2F">
        <w:rPr>
          <w:rFonts w:ascii="Palatino Linotype" w:hAnsi="Palatino Linotype"/>
          <w:i/>
        </w:rPr>
        <w:t xml:space="preserve"> No se haya desahogado la prevención en los términos establecidos en la presente Ley; </w:t>
      </w:r>
    </w:p>
    <w:p w14:paraId="54431173"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i/>
        </w:rPr>
      </w:pPr>
      <w:r w:rsidRPr="008F4DB7">
        <w:rPr>
          <w:rFonts w:ascii="Palatino Linotype" w:hAnsi="Palatino Linotype"/>
          <w:b/>
          <w:bCs/>
          <w:i/>
        </w:rPr>
        <w:t>V.</w:t>
      </w:r>
      <w:r w:rsidRPr="00DA1A2F">
        <w:rPr>
          <w:rFonts w:ascii="Palatino Linotype" w:hAnsi="Palatino Linotype"/>
          <w:i/>
        </w:rPr>
        <w:t xml:space="preserve"> Se impugne la veracidad de la información proporcionada; </w:t>
      </w:r>
    </w:p>
    <w:p w14:paraId="2C013BE0" w14:textId="77777777" w:rsidR="008F4DB7" w:rsidRPr="00DA1A2F" w:rsidRDefault="008F4DB7" w:rsidP="008F4DB7">
      <w:pPr>
        <w:pStyle w:val="Prrafodelista"/>
        <w:tabs>
          <w:tab w:val="left" w:pos="567"/>
        </w:tabs>
        <w:spacing w:line="276" w:lineRule="auto"/>
        <w:ind w:left="567" w:right="567"/>
        <w:jc w:val="both"/>
        <w:rPr>
          <w:rFonts w:ascii="Palatino Linotype" w:hAnsi="Palatino Linotype"/>
          <w:i/>
        </w:rPr>
      </w:pPr>
      <w:r w:rsidRPr="008F4DB7">
        <w:rPr>
          <w:rFonts w:ascii="Palatino Linotype" w:hAnsi="Palatino Linotype"/>
          <w:b/>
          <w:bCs/>
          <w:i/>
        </w:rPr>
        <w:t>VI.</w:t>
      </w:r>
      <w:r w:rsidRPr="00DA1A2F">
        <w:rPr>
          <w:rFonts w:ascii="Palatino Linotype" w:hAnsi="Palatino Linotype"/>
          <w:i/>
        </w:rPr>
        <w:t xml:space="preserve"> Se trate de una consulta, o trámite en específico; y </w:t>
      </w:r>
    </w:p>
    <w:p w14:paraId="4662C4B6" w14:textId="41BBE754" w:rsidR="008F4DB7" w:rsidRPr="008F4DB7" w:rsidRDefault="008F4DB7" w:rsidP="008F4DB7">
      <w:pPr>
        <w:pStyle w:val="Prrafodelista"/>
        <w:tabs>
          <w:tab w:val="left" w:pos="567"/>
        </w:tabs>
        <w:spacing w:line="276" w:lineRule="auto"/>
        <w:ind w:left="567" w:right="567"/>
        <w:jc w:val="both"/>
        <w:rPr>
          <w:rFonts w:ascii="Palatino Linotype" w:hAnsi="Palatino Linotype"/>
          <w:bCs/>
          <w:i/>
        </w:rPr>
      </w:pPr>
      <w:r w:rsidRPr="00DA1A2F">
        <w:rPr>
          <w:rFonts w:ascii="Palatino Linotype" w:hAnsi="Palatino Linotype"/>
          <w:b/>
          <w:i/>
        </w:rPr>
        <w:lastRenderedPageBreak/>
        <w:t>VII. El recurrente amplíe su solicitud en el recurso de revisión, únicamente respecto de los nuevos contenidos.</w:t>
      </w:r>
      <w:r>
        <w:rPr>
          <w:rFonts w:ascii="Palatino Linotype" w:hAnsi="Palatino Linotype"/>
          <w:bCs/>
          <w:i/>
        </w:rPr>
        <w:t>”</w:t>
      </w:r>
    </w:p>
    <w:p w14:paraId="374FE794" w14:textId="77777777" w:rsidR="008F4DB7" w:rsidRDefault="008F4DB7" w:rsidP="00671285">
      <w:pPr>
        <w:pStyle w:val="Prrafodelista"/>
        <w:tabs>
          <w:tab w:val="left" w:pos="426"/>
        </w:tabs>
        <w:spacing w:before="240" w:after="240" w:line="360" w:lineRule="auto"/>
        <w:ind w:left="0" w:right="51"/>
        <w:jc w:val="both"/>
        <w:rPr>
          <w:rFonts w:ascii="Palatino Linotype" w:hAnsi="Palatino Linotype"/>
          <w:color w:val="000000" w:themeColor="text1"/>
        </w:rPr>
      </w:pPr>
    </w:p>
    <w:p w14:paraId="1A2CCA07" w14:textId="4BC2A069" w:rsidR="00C366F4" w:rsidRDefault="00EF535A" w:rsidP="00DB05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Pr>
          <w:rFonts w:ascii="Palatino Linotype" w:eastAsia="Calibri" w:hAnsi="Palatino Linotype" w:cs="Arial"/>
        </w:rPr>
        <w:t>así que el</w:t>
      </w:r>
      <w:r w:rsidRPr="0092726E">
        <w:rPr>
          <w:rFonts w:ascii="Palatino Linotype" w:eastAsia="Calibri" w:hAnsi="Palatino Linotype" w:cs="Arial"/>
        </w:rPr>
        <w:t xml:space="preserve"> </w:t>
      </w:r>
      <w:r>
        <w:rPr>
          <w:rFonts w:ascii="Palatino Linotype" w:eastAsia="Calibri" w:hAnsi="Palatino Linotype" w:cs="Arial"/>
        </w:rPr>
        <w:t xml:space="preserve">recurso de revisión </w:t>
      </w:r>
      <w:r>
        <w:rPr>
          <w:rFonts w:ascii="Palatino Linotype" w:eastAsia="Calibri" w:hAnsi="Palatino Linotype" w:cs="Arial"/>
          <w:b/>
          <w:bCs/>
        </w:rPr>
        <w:t>05498/INFOEM/IP/RR/2021</w:t>
      </w:r>
      <w:r>
        <w:rPr>
          <w:rFonts w:ascii="Palatino Linotype" w:eastAsia="Calibri" w:hAnsi="Palatino Linotype" w:cs="Arial"/>
        </w:rPr>
        <w:t xml:space="preserve"> actualiza la</w:t>
      </w:r>
      <w:r w:rsidRPr="0092726E">
        <w:rPr>
          <w:rFonts w:ascii="Palatino Linotype" w:eastAsia="Calibri" w:hAnsi="Palatino Linotype" w:cs="Arial"/>
        </w:rPr>
        <w:t xml:space="preserve"> caus</w:t>
      </w:r>
      <w:r>
        <w:rPr>
          <w:rFonts w:ascii="Palatino Linotype" w:eastAsia="Calibri" w:hAnsi="Palatino Linotype" w:cs="Arial"/>
        </w:rPr>
        <w:t>al de sobreseimiento establecida</w:t>
      </w:r>
      <w:r w:rsidRPr="0092726E">
        <w:rPr>
          <w:rFonts w:ascii="Palatino Linotype" w:eastAsia="Calibri" w:hAnsi="Palatino Linotype" w:cs="Arial"/>
        </w:rPr>
        <w:t xml:space="preserve"> en la fracción IV del artículo 192</w:t>
      </w:r>
      <w:r>
        <w:rPr>
          <w:rStyle w:val="Refdenotaalpie"/>
          <w:rFonts w:ascii="Palatino Linotype" w:eastAsia="Calibri" w:hAnsi="Palatino Linotype" w:cs="Arial"/>
        </w:rPr>
        <w:footnoteReference w:id="11"/>
      </w:r>
      <w:r w:rsidRPr="0092726E">
        <w:rPr>
          <w:rFonts w:ascii="Palatino Linotype" w:eastAsia="Calibri" w:hAnsi="Palatino Linotype" w:cs="Arial"/>
        </w:rPr>
        <w:t>, en relación a las fracciones III y VII del artículo 191, ambos de la Ley de Transparencia y Acceso a la Información Pública del Estado de México y Municipios.</w:t>
      </w:r>
    </w:p>
    <w:p w14:paraId="3E05D376" w14:textId="77777777" w:rsidR="00671285" w:rsidRDefault="00671285" w:rsidP="00671285">
      <w:pPr>
        <w:pStyle w:val="Prrafodelista"/>
        <w:tabs>
          <w:tab w:val="left" w:pos="426"/>
        </w:tabs>
        <w:spacing w:before="240" w:after="240" w:line="360" w:lineRule="auto"/>
        <w:ind w:left="0" w:right="51"/>
        <w:jc w:val="both"/>
        <w:rPr>
          <w:rFonts w:ascii="Palatino Linotype" w:hAnsi="Palatino Linotype"/>
          <w:color w:val="000000" w:themeColor="text1"/>
        </w:rPr>
      </w:pPr>
    </w:p>
    <w:p w14:paraId="5DDB62B1" w14:textId="6AD6D596" w:rsidR="00C366F4" w:rsidRDefault="00EF535A" w:rsidP="00DB054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w:t>
      </w:r>
      <w:r w:rsidRPr="0092726E">
        <w:rPr>
          <w:rFonts w:ascii="Palatino Linotype" w:eastAsia="Calibri" w:hAnsi="Palatino Linotype" w:cs="Arial"/>
        </w:rPr>
        <w:t>obstante, a efecto de no vulnerar los derechos del particular, este Órgano Garante deja a salvo sus derechos para que, si así lo desea, presente una nueva solicitud de acceso a la información requiriendo</w:t>
      </w:r>
      <w:r>
        <w:rPr>
          <w:rFonts w:ascii="Palatino Linotype" w:eastAsia="Calibri" w:hAnsi="Palatino Linotype" w:cs="Arial"/>
        </w:rPr>
        <w:t xml:space="preserve"> información que sea de su interés.</w:t>
      </w:r>
    </w:p>
    <w:p w14:paraId="1252BFDB" w14:textId="77777777" w:rsidR="00671285" w:rsidRDefault="00671285" w:rsidP="00671285">
      <w:pPr>
        <w:pStyle w:val="Prrafodelista"/>
        <w:tabs>
          <w:tab w:val="left" w:pos="426"/>
        </w:tabs>
        <w:spacing w:before="240" w:after="240" w:line="360" w:lineRule="auto"/>
        <w:ind w:left="0" w:right="51"/>
        <w:jc w:val="both"/>
        <w:rPr>
          <w:rFonts w:ascii="Palatino Linotype" w:hAnsi="Palatino Linotype"/>
          <w:color w:val="000000" w:themeColor="text1"/>
        </w:rPr>
      </w:pPr>
    </w:p>
    <w:p w14:paraId="09A66F16" w14:textId="73242FD4" w:rsidR="008C002E" w:rsidRPr="008C002E" w:rsidRDefault="00671285" w:rsidP="008C002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w:t>
      </w:r>
      <w:r w:rsidR="008C002E">
        <w:rPr>
          <w:rFonts w:ascii="Palatino Linotype" w:hAnsi="Palatino Linotype"/>
          <w:b/>
          <w:bCs/>
          <w:color w:val="000000" w:themeColor="text1"/>
        </w:rPr>
        <w:t xml:space="preserve">. </w:t>
      </w:r>
      <w:r w:rsidR="00C43579">
        <w:rPr>
          <w:rFonts w:ascii="Palatino Linotype" w:hAnsi="Palatino Linotype"/>
          <w:b/>
          <w:bCs/>
          <w:color w:val="000000" w:themeColor="text1"/>
        </w:rPr>
        <w:t>De la información curricular</w:t>
      </w:r>
      <w:r w:rsidR="004C18E4">
        <w:rPr>
          <w:rFonts w:ascii="Palatino Linotype" w:hAnsi="Palatino Linotype"/>
          <w:b/>
          <w:bCs/>
          <w:color w:val="000000" w:themeColor="text1"/>
        </w:rPr>
        <w:t xml:space="preserve"> del personal adscrito a la Contraloría</w:t>
      </w:r>
      <w:r w:rsidR="008C002E">
        <w:rPr>
          <w:rFonts w:ascii="Palatino Linotype" w:hAnsi="Palatino Linotype"/>
          <w:b/>
          <w:bCs/>
          <w:color w:val="000000" w:themeColor="text1"/>
        </w:rPr>
        <w:t>.</w:t>
      </w:r>
    </w:p>
    <w:p w14:paraId="11F8D355"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5EE53AEC" w14:textId="3B3DF1BC" w:rsidR="00232779" w:rsidRDefault="009379FC" w:rsidP="00072E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w:t>
      </w:r>
      <w:r w:rsidR="00232779">
        <w:rPr>
          <w:rFonts w:ascii="Palatino Linotype" w:hAnsi="Palatino Linotype"/>
          <w:color w:val="000000" w:themeColor="text1"/>
        </w:rPr>
        <w:t xml:space="preserve">, a través de la solicitud de información </w:t>
      </w:r>
      <w:r w:rsidR="00232779">
        <w:rPr>
          <w:rFonts w:ascii="Palatino Linotype" w:hAnsi="Palatino Linotype"/>
          <w:b/>
          <w:color w:val="000000" w:themeColor="text1"/>
        </w:rPr>
        <w:t>00112/ATIZAPAN/IP/2021</w:t>
      </w:r>
      <w:r w:rsidR="00232779">
        <w:rPr>
          <w:rFonts w:ascii="Palatino Linotype" w:hAnsi="Palatino Linotype"/>
          <w:color w:val="000000" w:themeColor="text1"/>
        </w:rPr>
        <w:t xml:space="preserve">, se requirió el </w:t>
      </w:r>
      <w:r w:rsidR="00232779">
        <w:rPr>
          <w:rFonts w:ascii="Palatino Linotype" w:hAnsi="Palatino Linotype"/>
          <w:i/>
          <w:color w:val="000000" w:themeColor="text1"/>
        </w:rPr>
        <w:t>“</w:t>
      </w:r>
      <w:proofErr w:type="spellStart"/>
      <w:r w:rsidR="00232779">
        <w:rPr>
          <w:rFonts w:ascii="Palatino Linotype" w:hAnsi="Palatino Linotype"/>
          <w:i/>
          <w:color w:val="000000" w:themeColor="text1"/>
        </w:rPr>
        <w:t>curriculum</w:t>
      </w:r>
      <w:proofErr w:type="spellEnd"/>
      <w:r w:rsidR="00232779">
        <w:rPr>
          <w:rFonts w:ascii="Palatino Linotype" w:hAnsi="Palatino Linotype"/>
          <w:i/>
          <w:color w:val="000000" w:themeColor="text1"/>
        </w:rPr>
        <w:t xml:space="preserve"> del personal de la Contraloría M</w:t>
      </w:r>
      <w:r w:rsidR="007C75E0">
        <w:rPr>
          <w:rFonts w:ascii="Palatino Linotype" w:hAnsi="Palatino Linotype"/>
          <w:i/>
          <w:color w:val="000000" w:themeColor="text1"/>
        </w:rPr>
        <w:t>unicipal”</w:t>
      </w:r>
      <w:r w:rsidR="007C75E0">
        <w:rPr>
          <w:rFonts w:ascii="Palatino Linotype" w:hAnsi="Palatino Linotype"/>
          <w:color w:val="000000" w:themeColor="text1"/>
        </w:rPr>
        <w:t xml:space="preserve">; por lo tanto, </w:t>
      </w:r>
      <w:r w:rsidR="007C75E0">
        <w:rPr>
          <w:rFonts w:ascii="Palatino Linotype" w:eastAsia="Calibri" w:hAnsi="Palatino Linotype" w:cs="Arial"/>
          <w:lang w:val="es-ES"/>
        </w:rPr>
        <w:t>para precisar el tipo de documentos de los que se pretende acceder, debemos partir del significado concreto del término “</w:t>
      </w:r>
      <w:proofErr w:type="spellStart"/>
      <w:r w:rsidR="007C75E0" w:rsidRPr="00396BB6">
        <w:rPr>
          <w:rFonts w:ascii="Palatino Linotype" w:eastAsia="Calibri" w:hAnsi="Palatino Linotype" w:cs="Arial"/>
          <w:i/>
          <w:lang w:val="es-ES"/>
        </w:rPr>
        <w:t>curriculum</w:t>
      </w:r>
      <w:proofErr w:type="spellEnd"/>
      <w:r w:rsidR="007C75E0" w:rsidRPr="00396BB6">
        <w:rPr>
          <w:rFonts w:ascii="Palatino Linotype" w:eastAsia="Calibri" w:hAnsi="Palatino Linotype" w:cs="Arial"/>
          <w:i/>
          <w:lang w:val="es-ES"/>
        </w:rPr>
        <w:t xml:space="preserve"> vitae</w:t>
      </w:r>
      <w:r w:rsidR="007C75E0">
        <w:rPr>
          <w:rFonts w:ascii="Palatino Linotype" w:eastAsia="Calibri" w:hAnsi="Palatino Linotype" w:cs="Arial"/>
          <w:lang w:val="es-ES"/>
        </w:rPr>
        <w:t xml:space="preserve">”, el cual, </w:t>
      </w:r>
      <w:r w:rsidR="007C75E0" w:rsidRPr="00396BB6">
        <w:rPr>
          <w:rFonts w:ascii="Palatino Linotype" w:eastAsia="Calibri" w:hAnsi="Palatino Linotype" w:cs="Arial"/>
          <w:lang w:val="es-ES"/>
        </w:rPr>
        <w:t>la Real Academia de la Lengua Española lo define de la siguiente manera:</w:t>
      </w:r>
    </w:p>
    <w:p w14:paraId="27C9DCEC" w14:textId="77777777" w:rsidR="00232779" w:rsidRDefault="00232779" w:rsidP="00232779">
      <w:pPr>
        <w:pStyle w:val="Prrafodelista"/>
        <w:tabs>
          <w:tab w:val="left" w:pos="426"/>
        </w:tabs>
        <w:spacing w:before="240" w:after="240" w:line="360" w:lineRule="auto"/>
        <w:ind w:left="0" w:right="51"/>
        <w:jc w:val="both"/>
        <w:rPr>
          <w:rFonts w:ascii="Palatino Linotype" w:hAnsi="Palatino Linotype"/>
          <w:color w:val="000000" w:themeColor="text1"/>
        </w:rPr>
      </w:pPr>
    </w:p>
    <w:p w14:paraId="36228C5A" w14:textId="4EE7B200" w:rsidR="007C75E0" w:rsidRPr="00F3211E" w:rsidRDefault="007C75E0" w:rsidP="007C75E0">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cs="Times New Roman"/>
          <w:b/>
          <w:szCs w:val="26"/>
        </w:rPr>
      </w:pPr>
      <w:r w:rsidRPr="00396BB6">
        <w:rPr>
          <w:rFonts w:ascii="Palatino Linotype" w:eastAsia="Calibri" w:hAnsi="Palatino Linotype" w:cs="Arial"/>
          <w:b/>
          <w:bCs/>
          <w:sz w:val="22"/>
        </w:rPr>
        <w:lastRenderedPageBreak/>
        <w:t>“</w:t>
      </w:r>
      <w:r w:rsidRPr="00396BB6">
        <w:rPr>
          <w:rFonts w:ascii="Palatino Linotype" w:eastAsia="Calibri" w:hAnsi="Palatino Linotype" w:cs="Arial"/>
          <w:b/>
          <w:bCs/>
          <w:i/>
          <w:sz w:val="22"/>
        </w:rPr>
        <w:t>Currículum vítae</w:t>
      </w:r>
      <w:bookmarkStart w:id="28" w:name="1"/>
      <w:r>
        <w:rPr>
          <w:rFonts w:ascii="Palatino Linotype" w:eastAsia="Calibri" w:hAnsi="Palatino Linotype" w:cs="Arial"/>
          <w:i/>
          <w:sz w:val="22"/>
        </w:rPr>
        <w:t xml:space="preserve">. </w:t>
      </w:r>
      <w:r w:rsidRPr="00396BB6">
        <w:rPr>
          <w:rFonts w:ascii="Palatino Linotype" w:eastAsia="Calibri" w:hAnsi="Palatino Linotype" w:cs="Arial"/>
          <w:b/>
          <w:bCs/>
          <w:i/>
          <w:sz w:val="22"/>
        </w:rPr>
        <w:t>1.</w:t>
      </w:r>
      <w:bookmarkEnd w:id="28"/>
      <w:r>
        <w:rPr>
          <w:rFonts w:ascii="Palatino Linotype" w:eastAsia="Calibri" w:hAnsi="Palatino Linotype" w:cs="Arial"/>
          <w:b/>
          <w:bCs/>
          <w:i/>
          <w:sz w:val="22"/>
        </w:rPr>
        <w:t xml:space="preserve"> </w:t>
      </w:r>
      <w:r w:rsidRPr="00396BB6">
        <w:rPr>
          <w:rFonts w:ascii="Palatino Linotype" w:eastAsia="Calibri" w:hAnsi="Palatino Linotype" w:cs="Arial"/>
          <w:i/>
          <w:sz w:val="22"/>
        </w:rPr>
        <w:t>Loc. lat. que significa literalmente ‘carrera de la vida’. Se usa como locución nominal masculina para designar la relación de los datos personales, formación académica, actividad laboral y méritos de una persona.</w:t>
      </w:r>
      <w:r w:rsidRPr="00396BB6">
        <w:rPr>
          <w:rFonts w:ascii="Palatino Linotype" w:eastAsia="Calibri" w:hAnsi="Palatino Linotype" w:cs="Arial"/>
          <w:sz w:val="22"/>
        </w:rPr>
        <w:t>”</w:t>
      </w:r>
    </w:p>
    <w:p w14:paraId="6ADCA0B3" w14:textId="77777777" w:rsidR="007C75E0" w:rsidRDefault="007C75E0" w:rsidP="00232779">
      <w:pPr>
        <w:pStyle w:val="Prrafodelista"/>
        <w:tabs>
          <w:tab w:val="left" w:pos="426"/>
        </w:tabs>
        <w:spacing w:before="240" w:after="240" w:line="360" w:lineRule="auto"/>
        <w:ind w:left="0" w:right="51"/>
        <w:jc w:val="both"/>
        <w:rPr>
          <w:rFonts w:ascii="Palatino Linotype" w:hAnsi="Palatino Linotype"/>
          <w:color w:val="000000" w:themeColor="text1"/>
        </w:rPr>
      </w:pPr>
    </w:p>
    <w:p w14:paraId="29A476CE" w14:textId="28B2A139" w:rsidR="007C75E0" w:rsidRDefault="007C75E0" w:rsidP="00072E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eastAsia="MS Mincho" w:hAnsi="Palatino Linotype" w:cs="Arial"/>
        </w:rPr>
        <w:t xml:space="preserve">la interpretación a esta definición, se desprende que el </w:t>
      </w:r>
      <w:proofErr w:type="spellStart"/>
      <w:r w:rsidRPr="00C256D4">
        <w:rPr>
          <w:rFonts w:ascii="Palatino Linotype" w:eastAsia="MS Mincho" w:hAnsi="Palatino Linotype" w:cs="Arial"/>
          <w:i/>
        </w:rPr>
        <w:t>curriculum</w:t>
      </w:r>
      <w:proofErr w:type="spellEnd"/>
      <w:r w:rsidRPr="00C256D4">
        <w:rPr>
          <w:rFonts w:ascii="Palatino Linotype" w:eastAsia="MS Mincho" w:hAnsi="Palatino Linotype" w:cs="Arial"/>
          <w:i/>
        </w:rPr>
        <w:t xml:space="preserve"> vitae</w:t>
      </w:r>
      <w:r>
        <w:rPr>
          <w:rFonts w:ascii="Palatino Linotype" w:eastAsia="MS Mincho" w:hAnsi="Palatino Linotype" w:cs="Arial"/>
        </w:rPr>
        <w:t xml:space="preserve"> está relacionado con la hoja de vida, carrera de vida o </w:t>
      </w:r>
      <w:proofErr w:type="spellStart"/>
      <w:r>
        <w:rPr>
          <w:rFonts w:ascii="Palatino Linotype" w:eastAsia="MS Mincho" w:hAnsi="Palatino Linotype" w:cs="Arial"/>
        </w:rPr>
        <w:t>currícula</w:t>
      </w:r>
      <w:proofErr w:type="spellEnd"/>
      <w:r>
        <w:rPr>
          <w:rFonts w:ascii="Palatino Linotype" w:eastAsia="MS Mincho" w:hAnsi="Palatino Linotype" w:cs="Arial"/>
        </w:rPr>
        <w:t xml:space="preserve"> de una persona, donde se puede apreciar la </w:t>
      </w:r>
      <w:r w:rsidRPr="007C75E0">
        <w:rPr>
          <w:rFonts w:ascii="Palatino Linotype" w:eastAsia="MS Mincho" w:hAnsi="Palatino Linotype" w:cs="Arial"/>
          <w:b/>
        </w:rPr>
        <w:t>preparación académica y laboral</w:t>
      </w:r>
      <w:r>
        <w:rPr>
          <w:rFonts w:ascii="Palatino Linotype" w:eastAsia="MS Mincho" w:hAnsi="Palatino Linotype" w:cs="Arial"/>
        </w:rPr>
        <w:t xml:space="preserve"> que tiene, </w:t>
      </w:r>
      <w:r w:rsidRPr="007C75E0">
        <w:rPr>
          <w:rFonts w:ascii="Palatino Linotype" w:eastAsia="MS Mincho" w:hAnsi="Palatino Linotype" w:cs="Arial"/>
          <w:b/>
        </w:rPr>
        <w:t>además de los méritos como bien lo podrían ser cursos o certificaciones</w:t>
      </w:r>
      <w:r>
        <w:rPr>
          <w:rFonts w:ascii="Palatino Linotype" w:eastAsia="MS Mincho" w:hAnsi="Palatino Linotype" w:cs="Arial"/>
        </w:rPr>
        <w:t>.</w:t>
      </w:r>
    </w:p>
    <w:p w14:paraId="2DBA4385" w14:textId="77777777" w:rsidR="007C75E0" w:rsidRDefault="007C75E0" w:rsidP="007C75E0">
      <w:pPr>
        <w:pStyle w:val="Prrafodelista"/>
        <w:tabs>
          <w:tab w:val="left" w:pos="426"/>
        </w:tabs>
        <w:spacing w:before="240" w:after="240" w:line="360" w:lineRule="auto"/>
        <w:ind w:left="0" w:right="51"/>
        <w:jc w:val="both"/>
        <w:rPr>
          <w:rFonts w:ascii="Palatino Linotype" w:hAnsi="Palatino Linotype"/>
          <w:color w:val="000000" w:themeColor="text1"/>
        </w:rPr>
      </w:pPr>
    </w:p>
    <w:p w14:paraId="0396FE9D" w14:textId="5990A2C8" w:rsidR="008C002E" w:rsidRPr="00232779" w:rsidRDefault="007C75E0" w:rsidP="00072EF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Una vez establecido lo anterior, la</w:t>
      </w:r>
      <w:r w:rsidR="00232779" w:rsidRPr="00232779">
        <w:rPr>
          <w:rFonts w:ascii="Palatino Linotype" w:hAnsi="Palatino Linotype"/>
          <w:color w:val="000000" w:themeColor="text1"/>
        </w:rPr>
        <w:t xml:space="preserve"> Ley del Trabajo de los Servidores Públicos del Estado y Municipios es de orden público e interés social</w:t>
      </w:r>
      <w:r w:rsidR="00232779">
        <w:rPr>
          <w:rFonts w:ascii="Palatino Linotype" w:hAnsi="Palatino Linotype"/>
          <w:color w:val="000000" w:themeColor="text1"/>
        </w:rPr>
        <w:t>,</w:t>
      </w:r>
      <w:r w:rsidR="00232779" w:rsidRPr="00232779">
        <w:rPr>
          <w:rFonts w:ascii="Palatino Linotype" w:hAnsi="Palatino Linotype"/>
          <w:color w:val="000000" w:themeColor="text1"/>
        </w:rPr>
        <w:t xml:space="preserve"> y tiene por objeto regular las relaciones de trabajo, comprendidas entre los poderes públicos del Estado y los Municipios y sus respectivos servidores públicos. </w:t>
      </w:r>
      <w:r w:rsidR="00232779">
        <w:rPr>
          <w:rFonts w:ascii="Palatino Linotype" w:hAnsi="Palatino Linotype"/>
          <w:color w:val="000000" w:themeColor="text1"/>
        </w:rPr>
        <w:t>Asimismo</w:t>
      </w:r>
      <w:r w:rsidR="00232779" w:rsidRPr="00232779">
        <w:rPr>
          <w:rFonts w:ascii="Palatino Linotype" w:hAnsi="Palatino Linotype"/>
          <w:color w:val="000000" w:themeColor="text1"/>
        </w:rPr>
        <w:t xml:space="preserve">, se </w:t>
      </w:r>
      <w:r w:rsidR="00232779">
        <w:rPr>
          <w:rFonts w:ascii="Palatino Linotype" w:hAnsi="Palatino Linotype"/>
          <w:color w:val="000000" w:themeColor="text1"/>
        </w:rPr>
        <w:t xml:space="preserve">encarga de </w:t>
      </w:r>
      <w:r w:rsidR="00232779" w:rsidRPr="00232779">
        <w:rPr>
          <w:rFonts w:ascii="Palatino Linotype" w:hAnsi="Palatino Linotype"/>
          <w:color w:val="000000" w:themeColor="text1"/>
        </w:rPr>
        <w:t>regula</w:t>
      </w:r>
      <w:r w:rsidR="00232779">
        <w:rPr>
          <w:rFonts w:ascii="Palatino Linotype" w:hAnsi="Palatino Linotype"/>
          <w:color w:val="000000" w:themeColor="text1"/>
        </w:rPr>
        <w:t>r</w:t>
      </w:r>
      <w:r w:rsidR="00232779" w:rsidRPr="00232779">
        <w:rPr>
          <w:rFonts w:ascii="Palatino Linotype" w:hAnsi="Palatino Linotype"/>
          <w:color w:val="000000" w:themeColor="text1"/>
        </w:rPr>
        <w:t xml:space="preserve"> las relaciones de trabajo entre los tribunales administrativos, los organismos descentralizados, fideicomisos de carácter estatal y municipal y los órganos autónomos que sus leyes de creación así lo determinen y sus servidores públicos.</w:t>
      </w:r>
    </w:p>
    <w:p w14:paraId="586B49DA"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1CC1C274" w14:textId="10FC76BB" w:rsidR="007C75E0"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w:t>
      </w:r>
      <w:r>
        <w:rPr>
          <w:rFonts w:ascii="Palatino Linotype" w:hAnsi="Palatino Linotype"/>
        </w:rPr>
        <w:t>cosas, conviene traer a estudio el contenido del artículo 5 de la Ley del Trabajo de los Servidores Públicos del Estado de México y Municipios, el cual refiere lo siguiente:</w:t>
      </w:r>
    </w:p>
    <w:p w14:paraId="1BBD9D7E" w14:textId="77777777" w:rsidR="007C75E0" w:rsidRDefault="007C75E0" w:rsidP="007C75E0">
      <w:pPr>
        <w:pStyle w:val="Prrafodelista"/>
        <w:tabs>
          <w:tab w:val="left" w:pos="426"/>
        </w:tabs>
        <w:spacing w:before="240" w:line="360" w:lineRule="auto"/>
        <w:ind w:left="0" w:right="51"/>
        <w:jc w:val="both"/>
        <w:rPr>
          <w:rFonts w:ascii="Palatino Linotype" w:hAnsi="Palatino Linotype"/>
          <w:color w:val="000000" w:themeColor="text1"/>
        </w:rPr>
      </w:pPr>
    </w:p>
    <w:p w14:paraId="3B2AB7B5" w14:textId="77777777" w:rsidR="007C75E0" w:rsidRDefault="007C75E0" w:rsidP="007C75E0">
      <w:pPr>
        <w:spacing w:line="276" w:lineRule="auto"/>
        <w:ind w:left="567" w:right="567"/>
        <w:jc w:val="both"/>
        <w:rPr>
          <w:rFonts w:ascii="Palatino Linotype" w:eastAsia="Calibri" w:hAnsi="Palatino Linotype" w:cs="Arial"/>
          <w:sz w:val="22"/>
          <w:lang w:val="es-ES"/>
        </w:rPr>
      </w:pPr>
      <w:r>
        <w:rPr>
          <w:rFonts w:ascii="Palatino Linotype" w:eastAsia="Calibri" w:hAnsi="Palatino Linotype" w:cs="Arial"/>
          <w:b/>
          <w:i/>
          <w:sz w:val="22"/>
          <w:lang w:val="es-ES"/>
        </w:rPr>
        <w:t>“ARTÍCULO 5.-</w:t>
      </w:r>
      <w:r>
        <w:rPr>
          <w:rFonts w:ascii="Palatino Linotype" w:eastAsia="Calibri" w:hAnsi="Palatino Linotype" w:cs="Arial"/>
          <w:i/>
          <w:sz w:val="22"/>
          <w:lang w:val="es-ES"/>
        </w:rPr>
        <w:t xml:space="preserve"> La relación de trabajo entre las instituciones públicas y sus servidores públicos se entiende establecida mediante </w:t>
      </w:r>
      <w:r>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w:t>
      </w:r>
      <w:r>
        <w:rPr>
          <w:rFonts w:ascii="Palatino Linotype" w:eastAsia="Calibri" w:hAnsi="Palatino Linotype" w:cs="Arial"/>
          <w:b/>
          <w:i/>
          <w:sz w:val="22"/>
          <w:lang w:val="es-ES"/>
        </w:rPr>
        <w:lastRenderedPageBreak/>
        <w:t xml:space="preserve">un sueldo. </w:t>
      </w:r>
      <w:r>
        <w:rPr>
          <w:rFonts w:ascii="Palatino Linotype" w:eastAsia="Calibri" w:hAnsi="Palatino Linotype" w:cs="Arial"/>
          <w:i/>
          <w:sz w:val="22"/>
          <w:lang w:val="es-ES"/>
        </w:rPr>
        <w:t>Para los efectos de esta ley, las instituciones públicas estarán representadas por sus titulares.”</w:t>
      </w:r>
    </w:p>
    <w:p w14:paraId="70D67377" w14:textId="77777777" w:rsidR="007C75E0" w:rsidRPr="00171951" w:rsidRDefault="007C75E0" w:rsidP="007C75E0">
      <w:pPr>
        <w:spacing w:line="276" w:lineRule="auto"/>
        <w:ind w:left="567" w:right="567"/>
        <w:jc w:val="both"/>
        <w:rPr>
          <w:rFonts w:ascii="Palatino Linotype" w:eastAsia="Calibri" w:hAnsi="Palatino Linotype" w:cs="Arial"/>
          <w:sz w:val="22"/>
          <w:lang w:val="es-ES"/>
        </w:rPr>
      </w:pPr>
      <w:r>
        <w:rPr>
          <w:rFonts w:ascii="Palatino Linotype" w:eastAsia="Calibri" w:hAnsi="Palatino Linotype" w:cs="Arial"/>
          <w:sz w:val="22"/>
          <w:lang w:val="es-ES"/>
        </w:rPr>
        <w:t>(Énfasis añadido)</w:t>
      </w:r>
    </w:p>
    <w:p w14:paraId="46B1B475" w14:textId="77777777" w:rsidR="007C75E0" w:rsidRDefault="007C75E0" w:rsidP="007C75E0">
      <w:pPr>
        <w:pStyle w:val="Prrafodelista"/>
        <w:tabs>
          <w:tab w:val="left" w:pos="426"/>
        </w:tabs>
        <w:spacing w:after="240" w:line="360" w:lineRule="auto"/>
        <w:ind w:left="0" w:right="51"/>
        <w:jc w:val="both"/>
        <w:rPr>
          <w:rFonts w:ascii="Palatino Linotype" w:hAnsi="Palatino Linotype"/>
          <w:color w:val="000000" w:themeColor="text1"/>
        </w:rPr>
      </w:pPr>
    </w:p>
    <w:p w14:paraId="20A41239" w14:textId="769A8F3F" w:rsidR="008C002E"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rPr>
        <w:t xml:space="preserve">lo anterior se entiende que una relación laboral se establecerá </w:t>
      </w:r>
      <w:r>
        <w:rPr>
          <w:rFonts w:ascii="Palatino Linotype" w:eastAsia="Calibri" w:hAnsi="Palatino Linotype" w:cs="Arial"/>
          <w:lang w:val="es-ES"/>
        </w:rPr>
        <w:t>mediante nombramiento, formato único de movimiento de personal, contrato o por cualquier otro acto que tenga como consecuencia la prestación personal subordinada de un servicio y la percepción de un sueldo.</w:t>
      </w:r>
    </w:p>
    <w:p w14:paraId="5659B737"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1DD10B87" w14:textId="31330B0C" w:rsidR="008C002E"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eastAsia="Calibri" w:hAnsi="Palatino Linotype" w:cs="Arial"/>
          <w:lang w:val="es-ES"/>
        </w:rPr>
        <w:t>y para tal efecto, las personas que ingresan al servicio público, deben de cumplir ciertos requisitos, de los cuales se pudiera desprender la información curricular solicitada, dichos requisitos se encuentran establecidos en el artículo 47 de la Ley de mérito, que menciona lo siguiente:</w:t>
      </w:r>
    </w:p>
    <w:p w14:paraId="637BED49" w14:textId="77777777" w:rsidR="00232779" w:rsidRPr="007C75E0"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b/>
          <w:color w:val="000000" w:themeColor="text1"/>
        </w:rPr>
      </w:pPr>
      <w:r w:rsidRPr="007C75E0">
        <w:rPr>
          <w:rFonts w:ascii="Palatino Linotype" w:hAnsi="Palatino Linotype"/>
          <w:b/>
          <w:color w:val="000000" w:themeColor="text1"/>
        </w:rPr>
        <w:t xml:space="preserve">Presentar una solicitud utilizando la forma oficial que se autorice por la institución pública o dependencia correspondiente; </w:t>
      </w:r>
    </w:p>
    <w:p w14:paraId="327A895F" w14:textId="661F6824"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Ser de nacionalidad mexicana</w:t>
      </w:r>
      <w:r w:rsidRPr="00232779">
        <w:rPr>
          <w:rFonts w:ascii="Palatino Linotype" w:hAnsi="Palatino Linotype"/>
          <w:color w:val="000000" w:themeColor="text1"/>
        </w:rPr>
        <w:t xml:space="preserve">; </w:t>
      </w:r>
    </w:p>
    <w:p w14:paraId="21A2D3E2"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 xml:space="preserve">Estar en pleno ejercicio de sus derechos civiles y políticos, en su caso; </w:t>
      </w:r>
    </w:p>
    <w:p w14:paraId="4AB4CCD8"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 xml:space="preserve">Acreditar, cuando proceda, el cumplimiento de la Ley del Servicio Militar Nacional; </w:t>
      </w:r>
    </w:p>
    <w:p w14:paraId="3B4D0085"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 xml:space="preserve">No haber sido separado anteriormente del servicio por las causas previstas en el artículo 93 de la presente ley; </w:t>
      </w:r>
    </w:p>
    <w:p w14:paraId="0ACFDA43"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 xml:space="preserve">Tener buena salud, lo que se comprobará con los certificados médicos correspondientes, en la forma en que se establezca en cada institución pública; </w:t>
      </w:r>
    </w:p>
    <w:p w14:paraId="1301DA67"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 xml:space="preserve">Cumplir con los requisitos que se establezcan para los diferentes puestos; </w:t>
      </w:r>
    </w:p>
    <w:p w14:paraId="7A6A3229"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lastRenderedPageBreak/>
        <w:t xml:space="preserve">Acreditar por medio de los exámenes correspondientes los conocimientos y aptitudes necesarios para el desempeño del puesto; y </w:t>
      </w:r>
    </w:p>
    <w:p w14:paraId="4FFC76FD" w14:textId="77777777" w:rsidR="00232779" w:rsidRDefault="00232779" w:rsidP="00232779">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N</w:t>
      </w:r>
      <w:r w:rsidRPr="00232779">
        <w:rPr>
          <w:rFonts w:ascii="Palatino Linotype" w:hAnsi="Palatino Linotype"/>
          <w:color w:val="000000" w:themeColor="text1"/>
        </w:rPr>
        <w:t xml:space="preserve">o estar inhabilitado para el ejercicio del servicio público. </w:t>
      </w:r>
    </w:p>
    <w:p w14:paraId="2AB73462" w14:textId="3C2E6522" w:rsidR="00232779" w:rsidRPr="00232779" w:rsidRDefault="00232779" w:rsidP="00072EFF">
      <w:pPr>
        <w:pStyle w:val="Prrafodelista"/>
        <w:numPr>
          <w:ilvl w:val="1"/>
          <w:numId w:val="20"/>
        </w:numPr>
        <w:tabs>
          <w:tab w:val="left" w:pos="426"/>
        </w:tabs>
        <w:spacing w:before="240" w:after="240" w:line="360" w:lineRule="auto"/>
        <w:ind w:left="1134" w:right="51"/>
        <w:jc w:val="both"/>
        <w:rPr>
          <w:rFonts w:ascii="Palatino Linotype" w:hAnsi="Palatino Linotype"/>
          <w:color w:val="000000" w:themeColor="text1"/>
        </w:rPr>
      </w:pPr>
      <w:r w:rsidRPr="00232779">
        <w:rPr>
          <w:rFonts w:ascii="Palatino Linotype" w:hAnsi="Palatino Linotype"/>
          <w:color w:val="000000" w:themeColor="text1"/>
        </w:rPr>
        <w:t>Presentar certificado expedido por la Unidad del Registro de Deudores Alimentarios Morosos en el que conste, si se encuentra inscrito o no en el mismo.</w:t>
      </w:r>
    </w:p>
    <w:p w14:paraId="247517D8"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46253D80" w14:textId="79F56843" w:rsidR="008C002E"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lo anterior se coligue que, </w:t>
      </w:r>
      <w:r>
        <w:rPr>
          <w:rFonts w:ascii="Palatino Linotype" w:eastAsia="Calibri" w:hAnsi="Palatino Linotype" w:cs="Arial"/>
          <w:lang w:val="es-ES"/>
        </w:rPr>
        <w:t xml:space="preserve">si bien es cierto que la Ley no exige la entrega del </w:t>
      </w:r>
      <w:proofErr w:type="spellStart"/>
      <w:r w:rsidRPr="00171951">
        <w:rPr>
          <w:rFonts w:ascii="Palatino Linotype" w:eastAsia="Calibri" w:hAnsi="Palatino Linotype" w:cs="Arial"/>
          <w:i/>
          <w:lang w:val="es-ES"/>
        </w:rPr>
        <w:t>curruculum</w:t>
      </w:r>
      <w:proofErr w:type="spellEnd"/>
      <w:r w:rsidRPr="00171951">
        <w:rPr>
          <w:rFonts w:ascii="Palatino Linotype" w:eastAsia="Calibri" w:hAnsi="Palatino Linotype" w:cs="Arial"/>
          <w:i/>
          <w:lang w:val="es-ES"/>
        </w:rPr>
        <w:t xml:space="preserve"> vitae</w:t>
      </w:r>
      <w:r>
        <w:rPr>
          <w:rFonts w:ascii="Palatino Linotype" w:eastAsia="Calibri" w:hAnsi="Palatino Linotype" w:cs="Arial"/>
          <w:lang w:val="es-ES"/>
        </w:rPr>
        <w:t xml:space="preserve">, también lo es que contempla la entrega de una </w:t>
      </w:r>
      <w:r w:rsidRPr="007C75E0">
        <w:rPr>
          <w:rFonts w:ascii="Palatino Linotype" w:eastAsia="Calibri" w:hAnsi="Palatino Linotype" w:cs="Arial"/>
          <w:b/>
          <w:lang w:val="es-ES"/>
        </w:rPr>
        <w:t>solicitud de empleo</w:t>
      </w:r>
      <w:r>
        <w:rPr>
          <w:rFonts w:ascii="Palatino Linotype" w:eastAsia="Calibri" w:hAnsi="Palatino Linotype" w:cs="Arial"/>
          <w:lang w:val="es-ES"/>
        </w:rPr>
        <w:t xml:space="preserve">, por lo que es posible determinar que, tanto la solicitud de empleo como el </w:t>
      </w:r>
      <w:r w:rsidRPr="00171951">
        <w:rPr>
          <w:rFonts w:ascii="Palatino Linotype" w:eastAsia="Calibri" w:hAnsi="Palatino Linotype" w:cs="Arial"/>
          <w:i/>
          <w:lang w:val="es-ES"/>
        </w:rPr>
        <w:t>currículum vítae</w:t>
      </w:r>
      <w:r>
        <w:rPr>
          <w:rFonts w:ascii="Palatino Linotype" w:eastAsia="Calibri" w:hAnsi="Palatino Linotype" w:cs="Arial"/>
          <w:lang w:val="es-ES"/>
        </w:rPr>
        <w:t xml:space="preserve"> contienen información relacionada con la trayectoria académica, profesional y  laboral, que acredita la capacidad, habilidades o pericia de una persona para ocupar un cargo, puesto o comisión.</w:t>
      </w:r>
    </w:p>
    <w:p w14:paraId="6736C39E"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2289BD1C" w14:textId="28EC0112" w:rsidR="008C002E"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ese sentido, </w:t>
      </w:r>
      <w:r>
        <w:rPr>
          <w:rFonts w:ascii="Palatino Linotype" w:eastAsia="Calibri" w:hAnsi="Palatino Linotype" w:cs="Arial"/>
          <w:lang w:val="es-ES"/>
        </w:rPr>
        <w:t>se pronunció el Instituto Federal de Acceso a la Información ahora Instituto Nacional de Transparencia Acceso a la Información y Protección de Datos Personales, al establecer en el Criterio de Interpretación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5A944239" w14:textId="77777777" w:rsidR="008C002E" w:rsidRDefault="008C002E" w:rsidP="007C75E0">
      <w:pPr>
        <w:pStyle w:val="Prrafodelista"/>
        <w:tabs>
          <w:tab w:val="left" w:pos="426"/>
        </w:tabs>
        <w:spacing w:before="240" w:line="360" w:lineRule="auto"/>
        <w:ind w:left="0" w:right="51"/>
        <w:jc w:val="both"/>
        <w:rPr>
          <w:rFonts w:ascii="Palatino Linotype" w:hAnsi="Palatino Linotype"/>
          <w:color w:val="000000" w:themeColor="text1"/>
        </w:rPr>
      </w:pPr>
    </w:p>
    <w:p w14:paraId="44F43036" w14:textId="64B83DC3" w:rsidR="007C75E0" w:rsidRDefault="007C75E0" w:rsidP="007C75E0">
      <w:pPr>
        <w:spacing w:line="276" w:lineRule="auto"/>
        <w:ind w:left="567" w:right="567"/>
        <w:jc w:val="both"/>
        <w:rPr>
          <w:rFonts w:ascii="Palatino Linotype" w:eastAsia="Calibri" w:hAnsi="Palatino Linotype" w:cs="Arial"/>
          <w:sz w:val="22"/>
          <w:lang w:val="es-ES"/>
        </w:rPr>
      </w:pPr>
      <w:r>
        <w:rPr>
          <w:rFonts w:ascii="Palatino Linotype" w:eastAsia="Calibri" w:hAnsi="Palatino Linotype" w:cs="Arial"/>
          <w:b/>
          <w:i/>
          <w:sz w:val="22"/>
          <w:lang w:val="es-ES"/>
        </w:rPr>
        <w:lastRenderedPageBreak/>
        <w:t>CURRICULUM VITAE DE SERVIDORES PÚBLICOS. ES OBLIGACIÓN DE LOS SUJETOS OBLIGADOS OTORGAR ACCESO A VERSIONES PÚBLICAS DE LOS MISMOS ANTE UNA SOLICITUD DE ACCESO. “</w:t>
      </w:r>
      <w:r>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Pr>
          <w:rFonts w:ascii="Palatino Linotype" w:eastAsia="Calibri" w:hAnsi="Palatino Linotype" w:cs="Arial"/>
          <w:i/>
          <w:sz w:val="22"/>
          <w:lang w:val="es-ES"/>
        </w:rPr>
        <w:t>curriculum</w:t>
      </w:r>
      <w:proofErr w:type="spellEnd"/>
      <w:r>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w:t>
      </w:r>
      <w:r w:rsidRPr="007C75E0">
        <w:rPr>
          <w:rFonts w:ascii="Palatino Linotype" w:eastAsia="Calibri" w:hAnsi="Palatino Linotype" w:cs="Arial"/>
          <w:b/>
          <w:i/>
          <w:sz w:val="22"/>
          <w:lang w:val="es-ES"/>
        </w:rPr>
        <w:t xml:space="preserve">entre los datos personales del </w:t>
      </w:r>
      <w:proofErr w:type="spellStart"/>
      <w:r w:rsidRPr="007C75E0">
        <w:rPr>
          <w:rFonts w:ascii="Palatino Linotype" w:eastAsia="Calibri" w:hAnsi="Palatino Linotype" w:cs="Arial"/>
          <w:b/>
          <w:i/>
          <w:sz w:val="22"/>
          <w:lang w:val="es-ES"/>
        </w:rPr>
        <w:t>curriculum</w:t>
      </w:r>
      <w:proofErr w:type="spellEnd"/>
      <w:r w:rsidRPr="007C75E0">
        <w:rPr>
          <w:rFonts w:ascii="Palatino Linotype" w:eastAsia="Calibri" w:hAnsi="Palatino Linotype" w:cs="Arial"/>
          <w:b/>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r>
        <w:rPr>
          <w:rFonts w:ascii="Palatino Linotype" w:eastAsia="Calibri" w:hAnsi="Palatino Linotype" w:cs="Arial"/>
          <w:i/>
          <w:sz w:val="22"/>
          <w:lang w:val="es-ES"/>
        </w:rPr>
        <w:t>.”</w:t>
      </w:r>
    </w:p>
    <w:p w14:paraId="7227F65F" w14:textId="13C26C8D" w:rsidR="007C75E0" w:rsidRPr="007C75E0" w:rsidRDefault="007C75E0" w:rsidP="007C75E0">
      <w:pPr>
        <w:spacing w:line="276" w:lineRule="auto"/>
        <w:ind w:left="567" w:right="567"/>
        <w:jc w:val="both"/>
        <w:rPr>
          <w:rFonts w:ascii="Palatino Linotype" w:eastAsia="Calibri" w:hAnsi="Palatino Linotype" w:cs="Arial"/>
          <w:sz w:val="22"/>
          <w:lang w:val="es-ES"/>
        </w:rPr>
      </w:pPr>
      <w:r w:rsidRPr="007C75E0">
        <w:rPr>
          <w:rFonts w:ascii="Palatino Linotype" w:eastAsia="Calibri" w:hAnsi="Palatino Linotype" w:cs="Arial"/>
          <w:sz w:val="22"/>
          <w:lang w:val="es-ES"/>
        </w:rPr>
        <w:t>(Énfasis añadido)</w:t>
      </w:r>
    </w:p>
    <w:p w14:paraId="5B9B9F85" w14:textId="77777777" w:rsidR="007C75E0" w:rsidRDefault="007C75E0" w:rsidP="007C75E0">
      <w:pPr>
        <w:pStyle w:val="Prrafodelista"/>
        <w:tabs>
          <w:tab w:val="left" w:pos="426"/>
        </w:tabs>
        <w:spacing w:after="240" w:line="360" w:lineRule="auto"/>
        <w:ind w:left="0" w:right="51"/>
        <w:jc w:val="both"/>
        <w:rPr>
          <w:rFonts w:ascii="Palatino Linotype" w:hAnsi="Palatino Linotype"/>
          <w:color w:val="000000" w:themeColor="text1"/>
        </w:rPr>
      </w:pPr>
    </w:p>
    <w:p w14:paraId="429A6A91" w14:textId="645D7775" w:rsidR="008C002E" w:rsidRDefault="007C75E0"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Pr>
          <w:rFonts w:ascii="Palatino Linotype" w:eastAsia="Calibri" w:hAnsi="Palatino Linotype" w:cs="Arial"/>
          <w:lang w:val="es-ES"/>
        </w:rPr>
        <w:t xml:space="preserve">relación con lo anterior también es importante mencionar que es una obligación de transparencia común para el </w:t>
      </w:r>
      <w:r>
        <w:rPr>
          <w:rFonts w:ascii="Palatino Linotype" w:eastAsia="Calibri" w:hAnsi="Palatino Linotype" w:cs="Arial"/>
          <w:b/>
          <w:lang w:val="es-ES"/>
        </w:rPr>
        <w:t>SUJETO OBLIGADO</w:t>
      </w:r>
      <w:r>
        <w:rPr>
          <w:rFonts w:ascii="Palatino Linotype" w:eastAsia="Calibri" w:hAnsi="Palatino Linotype" w:cs="Arial"/>
          <w:lang w:val="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7402C2F0" w14:textId="77777777" w:rsidR="008C002E" w:rsidRDefault="008C002E" w:rsidP="00B17492">
      <w:pPr>
        <w:pStyle w:val="Prrafodelista"/>
        <w:tabs>
          <w:tab w:val="left" w:pos="426"/>
        </w:tabs>
        <w:spacing w:before="240" w:line="360" w:lineRule="auto"/>
        <w:ind w:left="0" w:right="51"/>
        <w:jc w:val="both"/>
        <w:rPr>
          <w:rFonts w:ascii="Palatino Linotype" w:hAnsi="Palatino Linotype"/>
          <w:color w:val="000000" w:themeColor="text1"/>
        </w:rPr>
      </w:pPr>
    </w:p>
    <w:p w14:paraId="5FC27B87" w14:textId="77777777" w:rsidR="00B17492" w:rsidRPr="00B40D7E" w:rsidRDefault="00B17492" w:rsidP="00B17492">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B40D7E">
        <w:rPr>
          <w:rFonts w:ascii="Palatino Linotype" w:hAnsi="Palatino Linotype"/>
          <w:i/>
          <w:sz w:val="22"/>
        </w:rPr>
        <w:t>“</w:t>
      </w:r>
      <w:r w:rsidRPr="00B40D7E">
        <w:rPr>
          <w:rFonts w:ascii="Palatino Linotype" w:hAnsi="Palatino Linotype"/>
          <w:b/>
          <w:i/>
          <w:sz w:val="22"/>
        </w:rPr>
        <w:t>Artículo 92.</w:t>
      </w:r>
      <w:r w:rsidRPr="00B40D7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09C682" w14:textId="77777777" w:rsidR="00B17492" w:rsidRPr="00B40D7E" w:rsidRDefault="00B17492" w:rsidP="00B17492">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B40D7E">
        <w:rPr>
          <w:rFonts w:ascii="Palatino Linotype" w:hAnsi="Palatino Linotype"/>
          <w:i/>
          <w:sz w:val="22"/>
        </w:rPr>
        <w:t>(…)</w:t>
      </w:r>
    </w:p>
    <w:p w14:paraId="6911393F" w14:textId="77777777" w:rsidR="00B17492" w:rsidRPr="00B40D7E" w:rsidRDefault="00B17492" w:rsidP="00B17492">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B40D7E">
        <w:rPr>
          <w:rFonts w:ascii="Palatino Linotype" w:hAnsi="Palatino Linotype"/>
          <w:b/>
          <w:i/>
          <w:sz w:val="22"/>
        </w:rPr>
        <w:t>XXI.</w:t>
      </w:r>
      <w:r w:rsidRPr="00B40D7E">
        <w:rPr>
          <w:rFonts w:ascii="Palatino Linotype" w:hAnsi="Palatino Linotype"/>
          <w:i/>
          <w:sz w:val="22"/>
        </w:rPr>
        <w:t xml:space="preserve"> </w:t>
      </w:r>
      <w:r w:rsidRPr="00B40D7E">
        <w:rPr>
          <w:rFonts w:ascii="Palatino Linotype" w:hAnsi="Palatino Linotype"/>
          <w:b/>
          <w:i/>
          <w:sz w:val="22"/>
        </w:rPr>
        <w:t xml:space="preserve">La información curricular, </w:t>
      </w:r>
      <w:r w:rsidRPr="00B17492">
        <w:rPr>
          <w:rFonts w:ascii="Palatino Linotype" w:hAnsi="Palatino Linotype"/>
          <w:i/>
          <w:sz w:val="22"/>
        </w:rPr>
        <w:t>desde el nivel de jefe de departamento o equivalente, hasta el titular del sujeto obligado,</w:t>
      </w:r>
      <w:r w:rsidRPr="00B40D7E">
        <w:rPr>
          <w:rFonts w:ascii="Palatino Linotype" w:hAnsi="Palatino Linotype"/>
          <w:i/>
          <w:sz w:val="22"/>
        </w:rPr>
        <w:t xml:space="preserve"> así como, en su caso, las sanciones administrativas de que haya sido objeto;</w:t>
      </w:r>
    </w:p>
    <w:p w14:paraId="54CE25CA" w14:textId="77777777" w:rsidR="00B17492" w:rsidRPr="00B40D7E" w:rsidRDefault="00B17492" w:rsidP="00B17492">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cs="Times New Roman"/>
          <w:i/>
          <w:color w:val="000000"/>
          <w:sz w:val="22"/>
        </w:rPr>
      </w:pPr>
      <w:r w:rsidRPr="00B40D7E">
        <w:rPr>
          <w:rFonts w:ascii="Palatino Linotype" w:hAnsi="Palatino Linotype"/>
          <w:i/>
          <w:sz w:val="22"/>
        </w:rPr>
        <w:t>(…)”</w:t>
      </w:r>
    </w:p>
    <w:p w14:paraId="40B0528B" w14:textId="77777777" w:rsidR="00B17492" w:rsidRDefault="00B17492"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5ED0B990" w14:textId="47D33B60" w:rsidR="008C002E" w:rsidRDefault="00B17492"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Pr>
          <w:rFonts w:ascii="Palatino Linotype" w:eastAsia="MS Mincho" w:hAnsi="Palatino Linotype" w:cs="Times New Roman"/>
          <w:color w:val="000000"/>
        </w:rPr>
        <w:t xml:space="preserve">por cuanto hace al </w:t>
      </w:r>
      <w:r>
        <w:rPr>
          <w:rFonts w:ascii="Palatino Linotype" w:eastAsia="MS Mincho" w:hAnsi="Palatino Linotype" w:cs="Times New Roman"/>
          <w:i/>
          <w:color w:val="000000"/>
        </w:rPr>
        <w:t>currículum vitae</w:t>
      </w:r>
      <w:r>
        <w:rPr>
          <w:rFonts w:ascii="Palatino Linotype" w:eastAsia="MS Mincho" w:hAnsi="Palatino Linotype" w:cs="Times New Roman"/>
          <w:color w:val="000000"/>
        </w:rPr>
        <w:t xml:space="preserve">, si bien, como fuera señalado en líneas anteriores, la Ley no exige la entrega del instrumento en cuestión para ingresar al servicio público, sí considera a la </w:t>
      </w:r>
      <w:r>
        <w:rPr>
          <w:rFonts w:ascii="Palatino Linotype" w:eastAsia="MS Mincho" w:hAnsi="Palatino Linotype" w:cs="Times New Roman"/>
          <w:b/>
          <w:color w:val="000000"/>
        </w:rPr>
        <w:t>información curricular</w:t>
      </w:r>
      <w:r>
        <w:rPr>
          <w:rFonts w:ascii="Palatino Linotype" w:eastAsia="MS Mincho" w:hAnsi="Palatino Linotype" w:cs="Times New Roman"/>
          <w:color w:val="000000"/>
        </w:rPr>
        <w:t xml:space="preserve"> como una de las obligaciones de transparencia común de los Sujetos Obligados.</w:t>
      </w:r>
    </w:p>
    <w:p w14:paraId="1AD4BF08"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15122FC9" w14:textId="55279E38" w:rsidR="008C002E" w:rsidRDefault="006F5324"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respecto, el Lineamiento Primero de los ‘Lineamientos </w:t>
      </w:r>
      <w:r w:rsidRPr="006F5324">
        <w:rPr>
          <w:rFonts w:ascii="Palatino Linotype" w:hAnsi="Palatino Linotype"/>
          <w:color w:val="000000" w:themeColor="text1"/>
        </w:rPr>
        <w:t>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hAnsi="Palatino Linotype"/>
          <w:color w:val="000000" w:themeColor="text1"/>
        </w:rPr>
        <w:t xml:space="preserve">’, establece que éstos son </w:t>
      </w:r>
      <w:r w:rsidRPr="006F5324">
        <w:rPr>
          <w:rFonts w:ascii="Palatino Linotype" w:hAnsi="Palatino Linotype"/>
          <w:color w:val="000000" w:themeColor="text1"/>
        </w:rPr>
        <w:t xml:space="preserve">de observancia obligatoria para el </w:t>
      </w:r>
      <w:r>
        <w:rPr>
          <w:rFonts w:ascii="Palatino Linotype" w:hAnsi="Palatino Linotype"/>
          <w:color w:val="000000" w:themeColor="text1"/>
        </w:rPr>
        <w:t>Órgano Garante Nacional</w:t>
      </w:r>
      <w:r w:rsidRPr="006F5324">
        <w:rPr>
          <w:rFonts w:ascii="Palatino Linotype" w:hAnsi="Palatino Linotype"/>
          <w:color w:val="000000" w:themeColor="text1"/>
        </w:rPr>
        <w:t xml:space="preserve">, los </w:t>
      </w:r>
      <w:r>
        <w:rPr>
          <w:rFonts w:ascii="Palatino Linotype" w:hAnsi="Palatino Linotype"/>
          <w:color w:val="000000" w:themeColor="text1"/>
        </w:rPr>
        <w:t>Órganos Garantes</w:t>
      </w:r>
      <w:r w:rsidRPr="006F5324">
        <w:rPr>
          <w:rFonts w:ascii="Palatino Linotype" w:hAnsi="Palatino Linotype"/>
          <w:color w:val="000000" w:themeColor="text1"/>
        </w:rPr>
        <w:t xml:space="preserve"> y los Sujetos Obligados de todo el país en sus diferentes ámbitos (federal, estatal y municipal), y tienen como propósito definir los formatos que se usarán para publicar la información prescrita en el Título Quinto de la Ley General</w:t>
      </w:r>
      <w:r>
        <w:rPr>
          <w:rFonts w:ascii="Palatino Linotype" w:hAnsi="Palatino Linotype"/>
          <w:color w:val="000000" w:themeColor="text1"/>
        </w:rPr>
        <w:t xml:space="preserve"> de Transparencia y Acceso a la Información,</w:t>
      </w:r>
      <w:r w:rsidRPr="006F5324">
        <w:rPr>
          <w:rFonts w:ascii="Palatino Linotype" w:hAnsi="Palatino Linotype"/>
          <w:color w:val="000000" w:themeColor="text1"/>
        </w:rPr>
        <w:t xml:space="preserve"> </w:t>
      </w:r>
      <w:r w:rsidRPr="006F5324">
        <w:rPr>
          <w:rFonts w:ascii="Palatino Linotype" w:hAnsi="Palatino Linotype"/>
          <w:color w:val="000000" w:themeColor="text1"/>
        </w:rPr>
        <w:lastRenderedPageBreak/>
        <w:t>y asegurar que sea veraz, confiable, oportuna, congruente, integral, actualizada, accesi</w:t>
      </w:r>
      <w:r w:rsidR="00072EFF">
        <w:rPr>
          <w:rFonts w:ascii="Palatino Linotype" w:hAnsi="Palatino Linotype"/>
          <w:color w:val="000000" w:themeColor="text1"/>
        </w:rPr>
        <w:t>ble, comprensible y verificable</w:t>
      </w:r>
      <w:r w:rsidRPr="006F5324">
        <w:rPr>
          <w:rFonts w:ascii="Palatino Linotype" w:hAnsi="Palatino Linotype"/>
          <w:color w:val="000000" w:themeColor="text1"/>
        </w:rPr>
        <w:t>.</w:t>
      </w:r>
    </w:p>
    <w:p w14:paraId="2289E414"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79845765" w14:textId="0D45FA16" w:rsidR="008C002E" w:rsidRDefault="00072EF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cuanto hace a la obligación de transparencia reconocida en la fracción XVII del artículo 70 de la Ley General, misma que se relaciona con la fracción XXI del numeral 92 de la Ley Estatal, los Lineamientos refieren que la “</w:t>
      </w:r>
      <w:r w:rsidRPr="00072EFF">
        <w:rPr>
          <w:rFonts w:ascii="Palatino Linotype" w:hAnsi="Palatino Linotype"/>
          <w:i/>
          <w:color w:val="000000" w:themeColor="text1"/>
        </w:rPr>
        <w:t>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w:t>
      </w:r>
      <w:r>
        <w:rPr>
          <w:rFonts w:ascii="Palatino Linotype" w:hAnsi="Palatino Linotype"/>
          <w:i/>
          <w:color w:val="000000" w:themeColor="text1"/>
        </w:rPr>
        <w:t xml:space="preserve"> en el ámbito laboral y escolar</w:t>
      </w:r>
      <w:r>
        <w:rPr>
          <w:rFonts w:ascii="Palatino Linotype" w:hAnsi="Palatino Linotype"/>
          <w:color w:val="000000" w:themeColor="text1"/>
        </w:rPr>
        <w:t>”</w:t>
      </w:r>
      <w:r w:rsidRPr="00072EFF">
        <w:rPr>
          <w:rFonts w:ascii="Palatino Linotype" w:hAnsi="Palatino Linotype"/>
          <w:color w:val="000000" w:themeColor="text1"/>
        </w:rPr>
        <w:t>.</w:t>
      </w:r>
    </w:p>
    <w:p w14:paraId="4CD26DD5"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235AE699" w14:textId="1FD18122" w:rsidR="008C002E" w:rsidRDefault="00072EFF"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La información curricular deberá considerar los siguientes criterios sustantivos de contenido</w:t>
      </w:r>
      <w:r>
        <w:rPr>
          <w:rStyle w:val="Refdenotaalpie"/>
          <w:rFonts w:ascii="Palatino Linotype" w:hAnsi="Palatino Linotype"/>
          <w:color w:val="000000" w:themeColor="text1"/>
        </w:rPr>
        <w:footnoteReference w:id="12"/>
      </w:r>
      <w:r>
        <w:rPr>
          <w:rFonts w:ascii="Palatino Linotype" w:hAnsi="Palatino Linotype"/>
          <w:color w:val="000000" w:themeColor="text1"/>
        </w:rPr>
        <w:t>:</w:t>
      </w:r>
    </w:p>
    <w:p w14:paraId="1E139E59"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6335BEF6" w14:textId="3932264C" w:rsidR="00072EFF" w:rsidRDefault="00072EFF" w:rsidP="00072EFF">
      <w:pPr>
        <w:pStyle w:val="Prrafodelista"/>
        <w:tabs>
          <w:tab w:val="left" w:pos="426"/>
        </w:tabs>
        <w:spacing w:before="240" w:after="240" w:line="276" w:lineRule="auto"/>
        <w:ind w:left="567" w:right="567"/>
        <w:jc w:val="both"/>
        <w:rPr>
          <w:rFonts w:ascii="Palatino Linotype" w:hAnsi="Palatino Linotype"/>
          <w:i/>
          <w:color w:val="000000" w:themeColor="text1"/>
          <w:sz w:val="22"/>
          <w:szCs w:val="22"/>
        </w:rPr>
      </w:pPr>
      <w:r w:rsidRPr="00072EFF">
        <w:rPr>
          <w:rFonts w:ascii="Palatino Linotype" w:hAnsi="Palatino Linotype"/>
          <w:i/>
          <w:color w:val="000000" w:themeColor="text1"/>
          <w:sz w:val="22"/>
          <w:szCs w:val="22"/>
        </w:rPr>
        <w:t>“</w:t>
      </w:r>
      <w:r w:rsidRPr="00072EFF">
        <w:rPr>
          <w:rFonts w:ascii="Palatino Linotype" w:hAnsi="Palatino Linotype"/>
          <w:b/>
          <w:i/>
          <w:color w:val="000000" w:themeColor="text1"/>
          <w:sz w:val="22"/>
          <w:szCs w:val="22"/>
        </w:rPr>
        <w:t>Criterios sustantivos de contenido</w:t>
      </w:r>
    </w:p>
    <w:p w14:paraId="35DF5534" w14:textId="1FEBD602"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w:t>
      </w:r>
      <w:r w:rsidRPr="00072EFF">
        <w:rPr>
          <w:rFonts w:ascii="Palatino Linotype" w:hAnsi="Palatino Linotype"/>
          <w:i/>
          <w:sz w:val="22"/>
          <w:szCs w:val="22"/>
        </w:rPr>
        <w:t xml:space="preserve"> Ejercicio </w:t>
      </w:r>
    </w:p>
    <w:p w14:paraId="1B0FA920"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2</w:t>
      </w:r>
      <w:r w:rsidRPr="00072EFF">
        <w:rPr>
          <w:rFonts w:ascii="Palatino Linotype" w:hAnsi="Palatino Linotype"/>
          <w:i/>
          <w:sz w:val="22"/>
          <w:szCs w:val="22"/>
        </w:rPr>
        <w:t xml:space="preserve"> Periodo que se informa (fecha de inicio y fecha de término con el formato día/mes/año) </w:t>
      </w:r>
    </w:p>
    <w:p w14:paraId="71BDAF70"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3</w:t>
      </w:r>
      <w:r w:rsidRPr="00072EFF">
        <w:rPr>
          <w:rFonts w:ascii="Palatino Linotype" w:hAnsi="Palatino Linotype"/>
          <w:i/>
          <w:sz w:val="22"/>
          <w:szCs w:val="22"/>
        </w:rPr>
        <w:t xml:space="preserve"> Denominación del puesto (de acuerdo con el catálogo que en su caso regule la actividad del sujeto obligado) </w:t>
      </w:r>
    </w:p>
    <w:p w14:paraId="49D20B93"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4</w:t>
      </w:r>
      <w:r w:rsidRPr="00072EFF">
        <w:rPr>
          <w:rFonts w:ascii="Palatino Linotype" w:hAnsi="Palatino Linotype"/>
          <w:i/>
          <w:sz w:val="22"/>
          <w:szCs w:val="22"/>
        </w:rPr>
        <w:t xml:space="preserve"> Denominación del cargo (de conformidad con nombramiento otorgado) </w:t>
      </w:r>
    </w:p>
    <w:p w14:paraId="622B90F1"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lastRenderedPageBreak/>
        <w:t>Criterio 5</w:t>
      </w:r>
      <w:r w:rsidRPr="00072EFF">
        <w:rPr>
          <w:rFonts w:ascii="Palatino Linotype" w:hAnsi="Palatino Linotype"/>
          <w:i/>
          <w:sz w:val="22"/>
          <w:szCs w:val="22"/>
        </w:rPr>
        <w:t xml:space="preserve"> Nombre del servidor(a) público(a), integrante y/o, miembro del sujeto obligado, y/o persona que desempeñe un empleo, cargo o comisión y/o ejerza actos de autoridad (nombre[s], primer apellido, segundo apellido) </w:t>
      </w:r>
    </w:p>
    <w:p w14:paraId="687A07A6"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6</w:t>
      </w:r>
      <w:r w:rsidRPr="00072EFF">
        <w:rPr>
          <w:rFonts w:ascii="Palatino Linotype" w:hAnsi="Palatino Linotype"/>
          <w:i/>
          <w:sz w:val="22"/>
          <w:szCs w:val="22"/>
        </w:rPr>
        <w:t xml:space="preserve"> Área de adscripción (de acuerdo con el catálogo que en su caso regule la actividad del sujeto obligado) </w:t>
      </w:r>
    </w:p>
    <w:p w14:paraId="71C54E73" w14:textId="2C844BAA" w:rsidR="00072EFF" w:rsidRDefault="00072EFF" w:rsidP="00072EFF">
      <w:pPr>
        <w:pStyle w:val="Prrafodelista"/>
        <w:tabs>
          <w:tab w:val="left" w:pos="426"/>
        </w:tabs>
        <w:spacing w:before="240" w:after="240" w:line="276" w:lineRule="auto"/>
        <w:ind w:left="567" w:right="567"/>
        <w:jc w:val="both"/>
        <w:rPr>
          <w:rFonts w:ascii="Palatino Linotype" w:hAnsi="Palatino Linotype"/>
          <w:i/>
          <w:sz w:val="22"/>
          <w:szCs w:val="22"/>
        </w:rPr>
      </w:pPr>
      <w:r w:rsidRPr="00072EFF">
        <w:rPr>
          <w:rFonts w:ascii="Palatino Linotype" w:hAnsi="Palatino Linotype"/>
          <w:i/>
          <w:sz w:val="22"/>
          <w:szCs w:val="22"/>
        </w:rPr>
        <w:t xml:space="preserve">Respecto a la información curricular del (la) servidor(a) público(a) y/o persona que desempeñe un empleo, cargo o comisión en el sujeto obligado se deberá publicar: </w:t>
      </w:r>
    </w:p>
    <w:p w14:paraId="2067D36A" w14:textId="3E0029F4"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7</w:t>
      </w:r>
      <w:r w:rsidRPr="00072EFF">
        <w:rPr>
          <w:rFonts w:ascii="Palatino Linotype" w:hAnsi="Palatino Linotype"/>
          <w:i/>
          <w:sz w:val="22"/>
          <w:szCs w:val="22"/>
        </w:rPr>
        <w:t xml:space="preserve"> Escolaridad, nivel máximo de estudios concluido y comprobable (catálogo):</w:t>
      </w:r>
      <w:r>
        <w:rPr>
          <w:rFonts w:ascii="Palatino Linotype" w:hAnsi="Palatino Linotype"/>
          <w:i/>
          <w:sz w:val="22"/>
          <w:szCs w:val="22"/>
        </w:rPr>
        <w:t xml:space="preserve"> </w:t>
      </w:r>
      <w:r w:rsidRPr="00072EFF">
        <w:rPr>
          <w:rFonts w:ascii="Palatino Linotype" w:hAnsi="Palatino Linotype"/>
          <w:i/>
          <w:sz w:val="22"/>
          <w:szCs w:val="22"/>
        </w:rPr>
        <w:t xml:space="preserve">Ninguno/Primaria/Secundaria/Bachillerato/Carrera técnica/Licenciatura/Maestría/Doctorado/Posdoctorado/Especialización </w:t>
      </w:r>
    </w:p>
    <w:p w14:paraId="7F2769D5"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8</w:t>
      </w:r>
      <w:r w:rsidRPr="00072EFF">
        <w:rPr>
          <w:rFonts w:ascii="Palatino Linotype" w:hAnsi="Palatino Linotype"/>
          <w:i/>
          <w:sz w:val="22"/>
          <w:szCs w:val="22"/>
        </w:rPr>
        <w:t xml:space="preserve"> Carrera genérica, en su caso </w:t>
      </w:r>
    </w:p>
    <w:p w14:paraId="3C904C95" w14:textId="26140113" w:rsidR="00072EFF" w:rsidRDefault="00072EFF" w:rsidP="00072EFF">
      <w:pPr>
        <w:pStyle w:val="Prrafodelista"/>
        <w:tabs>
          <w:tab w:val="left" w:pos="426"/>
        </w:tabs>
        <w:spacing w:before="240" w:after="240" w:line="276" w:lineRule="auto"/>
        <w:ind w:left="567" w:right="567"/>
        <w:jc w:val="both"/>
        <w:rPr>
          <w:rFonts w:ascii="Palatino Linotype" w:hAnsi="Palatino Linotype"/>
          <w:i/>
          <w:sz w:val="22"/>
          <w:szCs w:val="22"/>
        </w:rPr>
      </w:pPr>
      <w:r w:rsidRPr="00072EFF">
        <w:rPr>
          <w:rFonts w:ascii="Palatino Linotype" w:hAnsi="Palatino Linotype"/>
          <w:i/>
          <w:sz w:val="22"/>
          <w:szCs w:val="22"/>
        </w:rPr>
        <w:t xml:space="preserve">Respecto de la experiencia laboral especificar, al menos, los tres últimos empleos, en donde se indique: </w:t>
      </w:r>
    </w:p>
    <w:p w14:paraId="7A98CF0B"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9</w:t>
      </w:r>
      <w:r w:rsidRPr="00072EFF">
        <w:rPr>
          <w:rFonts w:ascii="Palatino Linotype" w:hAnsi="Palatino Linotype"/>
          <w:i/>
          <w:sz w:val="22"/>
          <w:szCs w:val="22"/>
        </w:rPr>
        <w:t xml:space="preserve"> Periodo (mes/año de inicio y mes/año de conclusión) </w:t>
      </w:r>
    </w:p>
    <w:p w14:paraId="2167D960"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10</w:t>
      </w:r>
      <w:r w:rsidRPr="00072EFF">
        <w:rPr>
          <w:rFonts w:ascii="Palatino Linotype" w:hAnsi="Palatino Linotype"/>
          <w:i/>
          <w:sz w:val="22"/>
          <w:szCs w:val="22"/>
        </w:rPr>
        <w:t xml:space="preserve"> Denominación de la institución o empresa </w:t>
      </w:r>
    </w:p>
    <w:p w14:paraId="485DB190"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11</w:t>
      </w:r>
      <w:r w:rsidRPr="00072EFF">
        <w:rPr>
          <w:rFonts w:ascii="Palatino Linotype" w:hAnsi="Palatino Linotype"/>
          <w:i/>
          <w:sz w:val="22"/>
          <w:szCs w:val="22"/>
        </w:rPr>
        <w:t xml:space="preserve"> Cargo o puesto desempeñado </w:t>
      </w:r>
    </w:p>
    <w:p w14:paraId="1E877FF5"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12</w:t>
      </w:r>
      <w:r w:rsidRPr="00072EFF">
        <w:rPr>
          <w:rFonts w:ascii="Palatino Linotype" w:hAnsi="Palatino Linotype"/>
          <w:i/>
          <w:sz w:val="22"/>
          <w:szCs w:val="22"/>
        </w:rPr>
        <w:t xml:space="preserve"> Campo de experiencia </w:t>
      </w:r>
    </w:p>
    <w:p w14:paraId="135C2036" w14:textId="0670BB01"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13</w:t>
      </w:r>
      <w:r w:rsidRPr="00072EFF">
        <w:rPr>
          <w:rFonts w:ascii="Palatino Linotype" w:hAnsi="Palatino Linotype"/>
          <w:i/>
          <w:sz w:val="22"/>
          <w:szCs w:val="22"/>
        </w:rPr>
        <w:t xml:space="preserve"> Hipervínculo al documento que contenga la informa</w:t>
      </w:r>
      <w:r>
        <w:rPr>
          <w:rFonts w:ascii="Palatino Linotype" w:hAnsi="Palatino Linotype"/>
          <w:i/>
          <w:sz w:val="22"/>
          <w:szCs w:val="22"/>
        </w:rPr>
        <w:t>ción relativa a la trayectoria</w:t>
      </w:r>
      <w:r w:rsidRPr="00072EFF">
        <w:rPr>
          <w:rFonts w:ascii="Palatino Linotype" w:hAnsi="Palatino Linotype"/>
          <w:i/>
          <w:sz w:val="22"/>
          <w:szCs w:val="22"/>
        </w:rPr>
        <w:t xml:space="preserve"> del (la) servidor(a) público(a), que deberá contener, además de los datos mencionados en los criterios anteriores, información adicional respecto a la trayectoria académica, profesional o laboral que acredite su capacidad y habilidades o pericia para ocupar el cargo público </w:t>
      </w:r>
    </w:p>
    <w:p w14:paraId="6A5782DC" w14:textId="77777777" w:rsidR="00072EFF" w:rsidRDefault="00072EFF" w:rsidP="00072EFF">
      <w:pPr>
        <w:pStyle w:val="Prrafodelista"/>
        <w:tabs>
          <w:tab w:val="left" w:pos="426"/>
        </w:tabs>
        <w:spacing w:before="240" w:after="240" w:line="276" w:lineRule="auto"/>
        <w:ind w:left="851" w:right="567"/>
        <w:jc w:val="both"/>
        <w:rPr>
          <w:rFonts w:ascii="Palatino Linotype" w:hAnsi="Palatino Linotype"/>
          <w:i/>
          <w:sz w:val="22"/>
          <w:szCs w:val="22"/>
        </w:rPr>
      </w:pPr>
      <w:r w:rsidRPr="00072EFF">
        <w:rPr>
          <w:rFonts w:ascii="Palatino Linotype" w:hAnsi="Palatino Linotype"/>
          <w:b/>
          <w:i/>
          <w:sz w:val="22"/>
          <w:szCs w:val="22"/>
        </w:rPr>
        <w:t>Criterio 14</w:t>
      </w:r>
      <w:r w:rsidRPr="00072EFF">
        <w:rPr>
          <w:rFonts w:ascii="Palatino Linotype" w:hAnsi="Palatino Linotype"/>
          <w:i/>
          <w:sz w:val="22"/>
          <w:szCs w:val="22"/>
        </w:rPr>
        <w:t xml:space="preserve"> Cuenta con sanciones administrativas definitivas aplicadas por la autoridad competente (catálogo): Sí/No </w:t>
      </w:r>
    </w:p>
    <w:p w14:paraId="22A07C42" w14:textId="3A44246A" w:rsidR="00072EFF" w:rsidRDefault="00072EFF" w:rsidP="00072EFF">
      <w:pPr>
        <w:pStyle w:val="Prrafodelista"/>
        <w:tabs>
          <w:tab w:val="left" w:pos="426"/>
        </w:tabs>
        <w:spacing w:before="240" w:after="240" w:line="276" w:lineRule="auto"/>
        <w:ind w:left="567" w:right="567"/>
        <w:jc w:val="both"/>
        <w:rPr>
          <w:rFonts w:ascii="Palatino Linotype" w:hAnsi="Palatino Linotype"/>
          <w:i/>
          <w:sz w:val="22"/>
          <w:szCs w:val="22"/>
        </w:rPr>
      </w:pPr>
      <w:r w:rsidRPr="00072EFF">
        <w:rPr>
          <w:rFonts w:ascii="Palatino Linotype" w:hAnsi="Palatino Linotype"/>
          <w:i/>
          <w:sz w:val="22"/>
          <w:szCs w:val="22"/>
        </w:rPr>
        <w:t xml:space="preserve">En caso de que si cuente con sanciones administrativas definitivas se deberá publicar: </w:t>
      </w:r>
    </w:p>
    <w:p w14:paraId="25295D8F" w14:textId="01CBB690" w:rsidR="00072EFF" w:rsidRPr="00072EFF" w:rsidRDefault="00072EFF" w:rsidP="00072EFF">
      <w:pPr>
        <w:pStyle w:val="Prrafodelista"/>
        <w:tabs>
          <w:tab w:val="left" w:pos="426"/>
        </w:tabs>
        <w:spacing w:before="240" w:after="240" w:line="276" w:lineRule="auto"/>
        <w:ind w:left="851" w:right="567"/>
        <w:jc w:val="both"/>
        <w:rPr>
          <w:rFonts w:ascii="Palatino Linotype" w:hAnsi="Palatino Linotype"/>
          <w:i/>
          <w:color w:val="000000" w:themeColor="text1"/>
          <w:sz w:val="22"/>
          <w:szCs w:val="22"/>
        </w:rPr>
      </w:pPr>
      <w:r w:rsidRPr="00072EFF">
        <w:rPr>
          <w:rFonts w:ascii="Palatino Linotype" w:hAnsi="Palatino Linotype"/>
          <w:b/>
          <w:i/>
          <w:sz w:val="22"/>
          <w:szCs w:val="22"/>
        </w:rPr>
        <w:t>Criterio 15</w:t>
      </w:r>
      <w:r w:rsidRPr="00072EFF">
        <w:rPr>
          <w:rFonts w:ascii="Palatino Linotype" w:hAnsi="Palatino Linotype"/>
          <w:i/>
          <w:sz w:val="22"/>
          <w:szCs w:val="22"/>
        </w:rPr>
        <w:t xml:space="preserve"> Hipervínculo a la resolución donde se observe la aprobación de la sanción”</w:t>
      </w:r>
    </w:p>
    <w:p w14:paraId="3EF6FD15" w14:textId="77777777" w:rsidR="00072EFF" w:rsidRDefault="00072EFF"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0D2552B7" w14:textId="21E8217F" w:rsidR="008C002E" w:rsidRDefault="002E08ED"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razón de lo anterior, este Órgano Garante encuentra conforme a derecho el </w:t>
      </w:r>
      <w:r>
        <w:rPr>
          <w:rFonts w:ascii="Palatino Linotype" w:hAnsi="Palatino Linotype"/>
          <w:b/>
          <w:color w:val="000000" w:themeColor="text1"/>
        </w:rPr>
        <w:t>revocar</w:t>
      </w:r>
      <w:r>
        <w:rPr>
          <w:rFonts w:ascii="Palatino Linotype" w:hAnsi="Palatino Linotype"/>
          <w:color w:val="000000" w:themeColor="text1"/>
        </w:rPr>
        <w:t xml:space="preserve"> la respuesta del </w:t>
      </w:r>
      <w:r>
        <w:rPr>
          <w:rFonts w:ascii="Palatino Linotype" w:hAnsi="Palatino Linotype"/>
          <w:b/>
          <w:color w:val="000000" w:themeColor="text1"/>
        </w:rPr>
        <w:t>SUJETO OBLIGADO</w:t>
      </w:r>
      <w:r>
        <w:rPr>
          <w:rFonts w:ascii="Palatino Linotype" w:hAnsi="Palatino Linotype"/>
          <w:color w:val="000000" w:themeColor="text1"/>
        </w:rPr>
        <w:t xml:space="preserve"> proporcionada a la solicitud de información </w:t>
      </w:r>
      <w:r w:rsidR="00C43579">
        <w:rPr>
          <w:rFonts w:ascii="Palatino Linotype" w:hAnsi="Palatino Linotype"/>
          <w:b/>
          <w:color w:val="000000" w:themeColor="text1"/>
        </w:rPr>
        <w:t>00112/ATIZAPAN/IP/2021</w:t>
      </w:r>
      <w:r w:rsidR="00C43579">
        <w:rPr>
          <w:rFonts w:ascii="Palatino Linotype" w:hAnsi="Palatino Linotype"/>
          <w:color w:val="000000" w:themeColor="text1"/>
        </w:rPr>
        <w:t xml:space="preserve"> y se </w:t>
      </w:r>
      <w:r w:rsidR="00C43579">
        <w:rPr>
          <w:rFonts w:ascii="Palatino Linotype" w:hAnsi="Palatino Linotype"/>
          <w:b/>
          <w:color w:val="000000" w:themeColor="text1"/>
        </w:rPr>
        <w:t>ordena</w:t>
      </w:r>
      <w:r w:rsidR="00C43579">
        <w:rPr>
          <w:rFonts w:ascii="Palatino Linotype" w:hAnsi="Palatino Linotype"/>
          <w:color w:val="000000" w:themeColor="text1"/>
        </w:rPr>
        <w:t xml:space="preserve"> entregar los documentos </w:t>
      </w:r>
      <w:r w:rsidR="00C43579">
        <w:rPr>
          <w:rFonts w:ascii="Palatino Linotype" w:hAnsi="Palatino Linotype"/>
          <w:color w:val="000000" w:themeColor="text1"/>
        </w:rPr>
        <w:lastRenderedPageBreak/>
        <w:t>donde conste la información curricular del personal adscrito a la Contraloría Municipal, de ser procedente en versión pública.</w:t>
      </w:r>
    </w:p>
    <w:p w14:paraId="3F02846A" w14:textId="2EB643F0"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215917D8" w14:textId="29B2C173" w:rsidR="008C002E" w:rsidRPr="008C002E" w:rsidRDefault="008C002E" w:rsidP="008C002E">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QUINTO. Versión pública.</w:t>
      </w:r>
    </w:p>
    <w:p w14:paraId="4C31CCFC" w14:textId="77777777" w:rsidR="008C002E" w:rsidRDefault="008C002E" w:rsidP="008C002E">
      <w:pPr>
        <w:pStyle w:val="Prrafodelista"/>
        <w:tabs>
          <w:tab w:val="left" w:pos="426"/>
        </w:tabs>
        <w:spacing w:before="240" w:after="240" w:line="360" w:lineRule="auto"/>
        <w:ind w:left="0" w:right="51"/>
        <w:jc w:val="both"/>
        <w:rPr>
          <w:rFonts w:ascii="Palatino Linotype" w:hAnsi="Palatino Linotype"/>
          <w:color w:val="000000" w:themeColor="text1"/>
        </w:rPr>
      </w:pPr>
    </w:p>
    <w:p w14:paraId="40A605BC" w14:textId="4C0B02F1" w:rsidR="008C002E" w:rsidRDefault="00311F9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Pr="00311F9B">
        <w:rPr>
          <w:rFonts w:ascii="Palatino Linotype" w:hAnsi="Palatino Linotype"/>
          <w:color w:val="000000" w:themeColor="text1"/>
          <w:lang w:val="es-ES_tradnl"/>
        </w:rPr>
        <w:t xml:space="preserve">necesario señalar que el </w:t>
      </w:r>
      <w:r w:rsidRPr="00311F9B">
        <w:rPr>
          <w:rFonts w:ascii="Palatino Linotype" w:hAnsi="Palatino Linotype"/>
          <w:b/>
          <w:color w:val="000000" w:themeColor="text1"/>
          <w:lang w:val="es-ES_tradnl"/>
        </w:rPr>
        <w:t>SUJETO OBLIGADO</w:t>
      </w:r>
      <w:r w:rsidRPr="00311F9B">
        <w:rPr>
          <w:rFonts w:ascii="Palatino Linotype" w:hAnsi="Palatino Linotype"/>
          <w:color w:val="000000" w:themeColor="text1"/>
          <w:lang w:val="es-ES_tradnl"/>
        </w:rPr>
        <w:t xml:space="preserve"> deberá elaborar la versión pública de los documentos que entregará en cumplimiento a esta resolución</w:t>
      </w:r>
      <w:r w:rsidRPr="00311F9B">
        <w:rPr>
          <w:rFonts w:ascii="Palatino Linotype" w:hAnsi="Palatino Linotype"/>
          <w:b/>
          <w:color w:val="000000" w:themeColor="text1"/>
          <w:lang w:val="es-ES_tradnl"/>
        </w:rPr>
        <w:t xml:space="preserve">. </w:t>
      </w:r>
      <w:r w:rsidRPr="00311F9B">
        <w:rPr>
          <w:rFonts w:ascii="Palatino Linotype" w:hAnsi="Palatino Linotype"/>
          <w:color w:val="000000" w:themeColor="text1"/>
        </w:rPr>
        <w:t xml:space="preserve">Por lo que debido a que, en los documentos que se </w:t>
      </w:r>
      <w:r>
        <w:rPr>
          <w:rFonts w:ascii="Palatino Linotype" w:hAnsi="Palatino Linotype"/>
          <w:color w:val="000000" w:themeColor="text1"/>
        </w:rPr>
        <w:t>ordena entregar, tales como los documentos donde conste la información curricular del personal adscrito a la Contraloría</w:t>
      </w:r>
      <w:r w:rsidRPr="00311F9B">
        <w:rPr>
          <w:rFonts w:ascii="Palatino Linotype" w:hAnsi="Palatino Linotype"/>
          <w:color w:val="000000" w:themeColor="text1"/>
        </w:rPr>
        <w:t xml:space="preserve">, se pueden advertir datos personales de carácter confidencial como lo son (fecha y lugar de nacimiento, domicilio particular, Clave Única de Registro de Población, Registro Federal de Contribuyentes, folio o número de credenciales para votar, teléfonos particular, calificaciones o promedios generales, </w:t>
      </w:r>
      <w:proofErr w:type="spellStart"/>
      <w:r w:rsidRPr="00311F9B">
        <w:rPr>
          <w:rFonts w:ascii="Palatino Linotype" w:hAnsi="Palatino Linotype"/>
          <w:color w:val="000000" w:themeColor="text1"/>
        </w:rPr>
        <w:t>etc</w:t>
      </w:r>
      <w:proofErr w:type="spellEnd"/>
      <w:r w:rsidRPr="00311F9B">
        <w:rPr>
          <w:rFonts w:ascii="Palatino Linotype" w:hAnsi="Palatino Linotype"/>
          <w:color w:val="000000" w:themeColor="text1"/>
        </w:rPr>
        <w:t xml:space="preserve">); por lo que </w:t>
      </w:r>
      <w:r w:rsidRPr="00311F9B">
        <w:rPr>
          <w:rFonts w:ascii="Palatino Linotype" w:hAnsi="Palatino Linotype"/>
          <w:b/>
          <w:color w:val="000000" w:themeColor="text1"/>
          <w:u w:val="single"/>
        </w:rPr>
        <w:t>se deberá proceder a realizar la versión pública que deberá guardar sustento en el Acuerdo de Clasificación que para tal efecto emita el Comité de Transparencia</w:t>
      </w:r>
      <w:r w:rsidRPr="00311F9B">
        <w:rPr>
          <w:rFonts w:ascii="Palatino Linotype" w:hAnsi="Palatino Linotype"/>
          <w:color w:val="000000" w:themeColor="text1"/>
        </w:rPr>
        <w:t xml:space="preserve"> del </w:t>
      </w:r>
      <w:r w:rsidRPr="00311F9B">
        <w:rPr>
          <w:rFonts w:ascii="Palatino Linotype" w:hAnsi="Palatino Linotype"/>
          <w:b/>
          <w:color w:val="000000" w:themeColor="text1"/>
        </w:rPr>
        <w:t>SUJETO OBLIGADO</w:t>
      </w:r>
      <w:r w:rsidRPr="00311F9B">
        <w:rPr>
          <w:rFonts w:ascii="Palatino Linotype" w:hAnsi="Palatino Linotype"/>
          <w:color w:val="000000" w:themeColor="text1"/>
        </w:rPr>
        <w:t>, en el que se deberá fundar y motivar las razones por las cuales determinados datos se eliminan, suprimen o testen.</w:t>
      </w:r>
    </w:p>
    <w:p w14:paraId="59126CE3"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1FF20145" w14:textId="3B476C04" w:rsidR="0011616D" w:rsidRDefault="00311F9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Entonces, </w:t>
      </w:r>
      <w:r w:rsidRPr="00311F9B">
        <w:rPr>
          <w:rFonts w:ascii="Palatino Linotype" w:hAnsi="Palatino Linotype"/>
          <w:color w:val="000000" w:themeColor="text1"/>
          <w:lang w:val="es-ES_tradnl"/>
        </w:rPr>
        <w:t xml:space="preserve">al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de particular e incluso aun tratándose de servidores públicos y, en su caso generar la </w:t>
      </w:r>
      <w:r w:rsidRPr="00311F9B">
        <w:rPr>
          <w:rFonts w:ascii="Palatino Linotype" w:hAnsi="Palatino Linotype"/>
          <w:b/>
          <w:color w:val="000000" w:themeColor="text1"/>
          <w:u w:val="single"/>
          <w:lang w:val="es-ES_tradnl"/>
        </w:rPr>
        <w:t>versión pública</w:t>
      </w:r>
      <w:r w:rsidRPr="00311F9B">
        <w:rPr>
          <w:rFonts w:ascii="Palatino Linotype" w:hAnsi="Palatino Linotype"/>
          <w:color w:val="000000" w:themeColor="text1"/>
          <w:lang w:val="es-ES_tradnl"/>
        </w:rPr>
        <w:t xml:space="preserve"> de los documentos por las circunstancias que se </w:t>
      </w:r>
      <w:r w:rsidRPr="00311F9B">
        <w:rPr>
          <w:rFonts w:ascii="Palatino Linotype" w:hAnsi="Palatino Linotype"/>
          <w:color w:val="000000" w:themeColor="text1"/>
          <w:lang w:val="es-ES_tradnl"/>
        </w:rPr>
        <w:lastRenderedPageBreak/>
        <w:t>estimen pertinentes, se debe generar el acuerdo de clasificación en atención a las consideraciones que se establecen en este apartado.</w:t>
      </w:r>
    </w:p>
    <w:p w14:paraId="32E81822"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203CD60F" w14:textId="77777777" w:rsidR="00311F9B" w:rsidRPr="004C490D"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000000" w:themeColor="text1"/>
        </w:rPr>
      </w:pPr>
      <w:r>
        <w:rPr>
          <w:rFonts w:ascii="Palatino Linotype" w:hAnsi="Palatino Linotype"/>
          <w:color w:val="000000" w:themeColor="text1"/>
        </w:rPr>
        <w:t xml:space="preserve">La </w:t>
      </w:r>
      <w:r w:rsidRPr="005E5F1E">
        <w:rPr>
          <w:rFonts w:ascii="Palatino Linotype" w:hAnsi="Palatino Linotype"/>
        </w:rPr>
        <w:t>clasificación total o parcial de la información requerida, mediante solicitud de acceso a la información pública, constituye</w:t>
      </w:r>
      <w:r w:rsidRPr="00FD6B11">
        <w:rPr>
          <w:rFonts w:ascii="Palatino Linotype" w:hAnsi="Palatino Linotype"/>
        </w:rPr>
        <w:t xml:space="preserve"> una restricción al derecho humano de acceso a la información. Como reiteradamente han dicho, diversos órganos jurisdiccionales, ningún derecho es absoluto</w:t>
      </w:r>
      <w:r w:rsidRPr="008C6062">
        <w:rPr>
          <w:vertAlign w:val="superscript"/>
        </w:rPr>
        <w:footnoteReference w:id="13"/>
      </w:r>
      <w:r w:rsidRPr="00FD6B1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C6062">
        <w:rPr>
          <w:vertAlign w:val="superscript"/>
        </w:rPr>
        <w:footnoteReference w:id="14"/>
      </w:r>
      <w:r w:rsidRPr="00FD6B1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w:t>
      </w:r>
      <w:r w:rsidRPr="00FD6B11">
        <w:rPr>
          <w:rFonts w:ascii="Palatino Linotype" w:hAnsi="Palatino Linotype"/>
        </w:rPr>
        <w:lastRenderedPageBreak/>
        <w:t>Información Pública de</w:t>
      </w:r>
      <w:r>
        <w:rPr>
          <w:rFonts w:ascii="Palatino Linotype" w:hAnsi="Palatino Linotype"/>
        </w:rPr>
        <w:t>l Estado de México y Municipios</w:t>
      </w:r>
      <w:r w:rsidRPr="00FD6B11">
        <w:rPr>
          <w:rFonts w:ascii="Palatino Linotype" w:hAnsi="Palatino Linotype"/>
        </w:rPr>
        <w:t xml:space="preserve"> </w:t>
      </w:r>
      <w:r>
        <w:rPr>
          <w:rFonts w:ascii="Palatino Linotype" w:hAnsi="Palatino Linotype"/>
        </w:rPr>
        <w:t>(</w:t>
      </w:r>
      <w:r w:rsidRPr="00FD6B11">
        <w:rPr>
          <w:rFonts w:ascii="Palatino Linotype" w:hAnsi="Palatino Linotype"/>
        </w:rPr>
        <w:t>en adelante la Ley Estatal</w:t>
      </w:r>
      <w:r>
        <w:rPr>
          <w:rFonts w:ascii="Palatino Linotype" w:hAnsi="Palatino Linotype"/>
        </w:rPr>
        <w:t>)</w:t>
      </w:r>
      <w:r w:rsidRPr="00FD6B11">
        <w:rPr>
          <w:rFonts w:ascii="Palatino Linotype" w:hAnsi="Palatino Linotype"/>
        </w:rPr>
        <w:t xml:space="preserve"> establecen y</w:t>
      </w:r>
      <w:r>
        <w:rPr>
          <w:rFonts w:ascii="Palatino Linotype" w:hAnsi="Palatino Linotype"/>
        </w:rPr>
        <w:t>,</w:t>
      </w:r>
      <w:r w:rsidRPr="00FD6B11">
        <w:rPr>
          <w:rFonts w:ascii="Palatino Linotype" w:hAnsi="Palatino Linotype"/>
        </w:rPr>
        <w:t xml:space="preserve"> agotar el procedimiento legalmente establecido, es precisamente lo que permite acreditar el cumplimiento de los otros dos requisitos.</w:t>
      </w:r>
    </w:p>
    <w:p w14:paraId="58ECB87E" w14:textId="77777777" w:rsidR="00311F9B"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rPr>
      </w:pPr>
    </w:p>
    <w:p w14:paraId="0DD0B7EB" w14:textId="0C6E98B6"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34B44">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1B4CB49"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00D831F8" w14:textId="0C6A6686" w:rsidR="00311F9B" w:rsidRPr="00311F9B" w:rsidRDefault="00311F9B" w:rsidP="00311F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 Requisitos previos.</w:t>
      </w:r>
    </w:p>
    <w:p w14:paraId="0101AEFF"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0F599B2E"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Pr>
          <w:rFonts w:ascii="Palatino Linotype" w:hAnsi="Palatino Linotype"/>
          <w:color w:val="000000" w:themeColor="text1"/>
        </w:rPr>
        <w:t xml:space="preserve">Los </w:t>
      </w:r>
      <w:r w:rsidRPr="00034B44">
        <w:rPr>
          <w:rFonts w:ascii="Palatino Linotype" w:hAnsi="Palatino Linotype"/>
        </w:rPr>
        <w:t>artículos</w:t>
      </w:r>
      <w:r w:rsidRPr="00034B44">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w:t>
      </w:r>
      <w:r w:rsidRPr="00C028D5">
        <w:rPr>
          <w:rFonts w:ascii="Palatino Linotype" w:hAnsi="Palatino Linotype" w:cs="Arial"/>
          <w:b/>
          <w:color w:val="000000" w:themeColor="text1"/>
          <w:u w:val="double"/>
        </w:rPr>
        <w:t>son los titulares de las áreas que administran la información los que aprueban su clasificación y no el Comité de Transparencia</w:t>
      </w:r>
      <w:r w:rsidRPr="00034B44">
        <w:rPr>
          <w:rFonts w:ascii="Palatino Linotype" w:hAnsi="Palatino Linotype" w:cs="Arial"/>
          <w:color w:val="000000" w:themeColor="text1"/>
        </w:rPr>
        <w:t>. Al hacerlo tienen que precisar de qué información se trata (nombre, registro fed</w:t>
      </w:r>
      <w:r>
        <w:rPr>
          <w:rFonts w:ascii="Palatino Linotype" w:hAnsi="Palatino Linotype" w:cs="Arial"/>
          <w:color w:val="000000" w:themeColor="text1"/>
        </w:rPr>
        <w:t>eral de contribuyentes, edad,</w:t>
      </w:r>
      <w:r w:rsidRPr="00034B44">
        <w:rPr>
          <w:rFonts w:ascii="Palatino Linotype" w:hAnsi="Palatino Linotype" w:cs="Arial"/>
          <w:color w:val="000000" w:themeColor="text1"/>
        </w:rPr>
        <w:t xml:space="preserve"> entre otros) que forme parte de algún documento o el documento que se pretende reservar (contrato, licencia, </w:t>
      </w:r>
      <w:r>
        <w:rPr>
          <w:rFonts w:ascii="Palatino Linotype" w:hAnsi="Palatino Linotype" w:cs="Arial"/>
          <w:i/>
          <w:color w:val="000000" w:themeColor="text1"/>
        </w:rPr>
        <w:t xml:space="preserve">currículum </w:t>
      </w:r>
      <w:r w:rsidRPr="00C028D5">
        <w:rPr>
          <w:rFonts w:ascii="Palatino Linotype" w:hAnsi="Palatino Linotype" w:cs="Arial"/>
          <w:i/>
          <w:color w:val="000000" w:themeColor="text1"/>
        </w:rPr>
        <w:t>vitae</w:t>
      </w:r>
      <w:r>
        <w:rPr>
          <w:rFonts w:ascii="Palatino Linotype" w:hAnsi="Palatino Linotype" w:cs="Arial"/>
          <w:color w:val="000000" w:themeColor="text1"/>
        </w:rPr>
        <w:t xml:space="preserve">, </w:t>
      </w:r>
      <w:r w:rsidRPr="00C028D5">
        <w:rPr>
          <w:rFonts w:ascii="Palatino Linotype" w:hAnsi="Palatino Linotype" w:cs="Arial"/>
          <w:color w:val="000000" w:themeColor="text1"/>
        </w:rPr>
        <w:t>póliza</w:t>
      </w:r>
      <w:r>
        <w:rPr>
          <w:rFonts w:ascii="Palatino Linotype" w:hAnsi="Palatino Linotype" w:cs="Arial"/>
          <w:color w:val="000000" w:themeColor="text1"/>
        </w:rPr>
        <w:t>, cédula profesional</w:t>
      </w:r>
      <w:r w:rsidRPr="00034B44">
        <w:rPr>
          <w:rFonts w:ascii="Palatino Linotype" w:hAnsi="Palatino Linotype" w:cs="Arial"/>
          <w:color w:val="000000" w:themeColor="text1"/>
        </w:rPr>
        <w:t>, entre otros), señalando el supuesto de clasificación (confidencialidad o reserva).</w:t>
      </w:r>
    </w:p>
    <w:p w14:paraId="7BA2E9BB"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33EDA9B7"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sidRPr="00034B44">
        <w:rPr>
          <w:rFonts w:ascii="Palatino Linotype" w:hAnsi="Palatino Linotype" w:cs="Arial"/>
          <w:color w:val="000000" w:themeColor="text1"/>
        </w:rPr>
        <w:t xml:space="preserve">Además, se debe señalar el procedimiento, de los tres que establecen los artículos 132 y 106 de la Ley Estatal y General, respectivamente, por el que se realiza </w:t>
      </w:r>
      <w:r w:rsidRPr="00034B44">
        <w:rPr>
          <w:rFonts w:ascii="Palatino Linotype" w:hAnsi="Palatino Linotype" w:cs="Arial"/>
          <w:color w:val="000000" w:themeColor="text1"/>
        </w:rPr>
        <w:lastRenderedPageBreak/>
        <w:t>dicha clasificación, a saber, cuando se atiende una solicitud de acceso a la información, porque lo determina una autoridad competente o porque se va a generar una versión pública para cumplir con sus obligaciones.</w:t>
      </w:r>
    </w:p>
    <w:p w14:paraId="3F9491D8"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2F39104A" w14:textId="41ABE66F"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34B44">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034B44">
        <w:rPr>
          <w:rFonts w:ascii="Palatino Linotype" w:hAnsi="Palatino Linotype" w:cs="Arial"/>
          <w:b/>
          <w:color w:val="000000" w:themeColor="text1"/>
          <w:u w:val="single"/>
        </w:rPr>
        <w:t>no se puede hacer un acuerdo para clasificar de manera general todos los docum</w:t>
      </w:r>
      <w:r>
        <w:rPr>
          <w:rFonts w:ascii="Palatino Linotype" w:hAnsi="Palatino Linotype" w:cs="Arial"/>
          <w:b/>
          <w:color w:val="000000" w:themeColor="text1"/>
          <w:u w:val="single"/>
        </w:rPr>
        <w:t>entos de un expediente o área</w:t>
      </w:r>
      <w:r w:rsidRPr="00A137B4">
        <w:rPr>
          <w:rFonts w:ascii="Palatino Linotype" w:hAnsi="Palatino Linotype" w:cs="Arial"/>
          <w:color w:val="000000" w:themeColor="text1"/>
        </w:rPr>
        <w:t xml:space="preserve">, </w:t>
      </w:r>
      <w:r w:rsidRPr="00034B44">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1B093563"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7AB3F76E" w14:textId="7D387FBB" w:rsidR="00311F9B" w:rsidRPr="00311F9B" w:rsidRDefault="00311F9B" w:rsidP="00311F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II. Supuestos de clasificación.</w:t>
      </w:r>
    </w:p>
    <w:p w14:paraId="65281F42"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4BA357F3"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Pr>
          <w:rFonts w:ascii="Palatino Linotype" w:hAnsi="Palatino Linotype"/>
          <w:color w:val="000000" w:themeColor="text1"/>
        </w:rPr>
        <w:t xml:space="preserve">Las </w:t>
      </w:r>
      <w:r w:rsidRPr="008C6062">
        <w:rPr>
          <w:rFonts w:ascii="Palatino Linotype" w:hAnsi="Palatino Linotype" w:cs="Arial"/>
          <w:color w:val="000000" w:themeColor="text1"/>
        </w:rPr>
        <w:t>disposiciones constitucionales y legales en la materia establecen los dos supuestos generales para clasificar la información: por reserva y por confidencialidad.</w:t>
      </w:r>
    </w:p>
    <w:p w14:paraId="5471D812" w14:textId="77777777" w:rsidR="00311F9B"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186F2F9F" w14:textId="2E7B1FBA"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L</w:t>
      </w:r>
      <w:r w:rsidRPr="005E7A47">
        <w:rPr>
          <w:rFonts w:ascii="Palatino Linotype" w:hAnsi="Palatino Linotype" w:cs="Arial"/>
          <w:color w:val="000000" w:themeColor="text1"/>
        </w:rPr>
        <w:t>os artículos 143 y 116 de la Ley Estatal y de la Ley General, respectivamente, señalan los supuestos para que la información pueda ser clasificada como confidencial:</w:t>
      </w:r>
    </w:p>
    <w:p w14:paraId="4B51D109" w14:textId="77777777" w:rsidR="0011616D" w:rsidRDefault="0011616D" w:rsidP="00311F9B">
      <w:pPr>
        <w:pStyle w:val="Prrafodelista"/>
        <w:tabs>
          <w:tab w:val="left" w:pos="426"/>
        </w:tabs>
        <w:spacing w:before="240" w:line="360" w:lineRule="auto"/>
        <w:ind w:left="0" w:right="51"/>
        <w:jc w:val="both"/>
        <w:rPr>
          <w:rFonts w:ascii="Palatino Linotype" w:hAnsi="Palatino Linotype"/>
          <w:color w:val="000000" w:themeColor="text1"/>
        </w:rPr>
      </w:pPr>
    </w:p>
    <w:p w14:paraId="1D169991" w14:textId="77777777" w:rsidR="00311F9B" w:rsidRPr="00A137B4" w:rsidRDefault="00311F9B" w:rsidP="00311F9B">
      <w:pPr>
        <w:pStyle w:val="Sinespaciado"/>
        <w:ind w:left="851" w:right="567"/>
        <w:jc w:val="both"/>
        <w:rPr>
          <w:rFonts w:ascii="Palatino Linotype" w:hAnsi="Palatino Linotype" w:cs="Times"/>
          <w:i/>
          <w:sz w:val="22"/>
        </w:rPr>
      </w:pPr>
      <w:r>
        <w:rPr>
          <w:rFonts w:ascii="Palatino Linotype" w:hAnsi="Palatino Linotype"/>
          <w:b/>
          <w:bCs/>
          <w:i/>
          <w:sz w:val="22"/>
        </w:rPr>
        <w:t>“</w:t>
      </w:r>
      <w:r w:rsidRPr="00A137B4">
        <w:rPr>
          <w:rFonts w:ascii="Palatino Linotype" w:hAnsi="Palatino Linotype"/>
          <w:b/>
          <w:bCs/>
          <w:i/>
          <w:sz w:val="22"/>
        </w:rPr>
        <w:t>I.</w:t>
      </w:r>
      <w:r w:rsidRPr="00A137B4">
        <w:rPr>
          <w:rFonts w:ascii="Palatino Linotype" w:hAnsi="Palatino Linotype"/>
          <w:bCs/>
          <w:i/>
          <w:sz w:val="22"/>
        </w:rPr>
        <w:t xml:space="preserve"> </w:t>
      </w:r>
      <w:r w:rsidRPr="00A137B4">
        <w:rPr>
          <w:rFonts w:ascii="Palatino Linotype" w:hAnsi="Palatino Linotype"/>
          <w:i/>
          <w:sz w:val="22"/>
        </w:rPr>
        <w:t xml:space="preserve">Se refiera a la información privada y los datos personales concernientes a una persona física o jurídico colectiva identificada o identificable; </w:t>
      </w:r>
    </w:p>
    <w:p w14:paraId="070E10F1" w14:textId="77777777" w:rsidR="00311F9B" w:rsidRPr="00A137B4" w:rsidRDefault="00311F9B" w:rsidP="00311F9B">
      <w:pPr>
        <w:pStyle w:val="Sinespaciado"/>
        <w:ind w:left="851" w:right="567"/>
        <w:jc w:val="both"/>
        <w:rPr>
          <w:rFonts w:ascii="Palatino Linotype" w:hAnsi="Palatino Linotype" w:cs="Times"/>
          <w:i/>
          <w:sz w:val="22"/>
        </w:rPr>
      </w:pPr>
      <w:r w:rsidRPr="00A137B4">
        <w:rPr>
          <w:rFonts w:ascii="Palatino Linotype" w:hAnsi="Palatino Linotype"/>
          <w:b/>
          <w:bCs/>
          <w:i/>
          <w:sz w:val="22"/>
        </w:rPr>
        <w:lastRenderedPageBreak/>
        <w:t>II.</w:t>
      </w:r>
      <w:r w:rsidRPr="00A137B4">
        <w:rPr>
          <w:rFonts w:ascii="Palatino Linotype" w:hAnsi="Palatino Linotype"/>
          <w:bCs/>
          <w:i/>
          <w:sz w:val="22"/>
        </w:rPr>
        <w:t xml:space="preserve"> </w:t>
      </w:r>
      <w:r w:rsidRPr="00A137B4">
        <w:rPr>
          <w:rFonts w:ascii="Palatino Linotype" w:hAnsi="Palatino Linotype"/>
          <w:i/>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ACA90B" w14:textId="77777777" w:rsidR="00311F9B" w:rsidRPr="00A137B4" w:rsidRDefault="00311F9B" w:rsidP="00311F9B">
      <w:pPr>
        <w:pStyle w:val="Sinespaciado"/>
        <w:ind w:left="851" w:right="567"/>
        <w:jc w:val="both"/>
        <w:rPr>
          <w:rFonts w:ascii="Palatino Linotype" w:hAnsi="Palatino Linotype" w:cs="Times"/>
          <w:i/>
          <w:sz w:val="22"/>
        </w:rPr>
      </w:pPr>
      <w:r w:rsidRPr="00A137B4">
        <w:rPr>
          <w:rFonts w:ascii="Palatino Linotype" w:hAnsi="Palatino Linotype"/>
          <w:b/>
          <w:bCs/>
          <w:i/>
          <w:sz w:val="22"/>
        </w:rPr>
        <w:t>III.</w:t>
      </w:r>
      <w:r w:rsidRPr="00A137B4">
        <w:rPr>
          <w:rFonts w:ascii="Palatino Linotype" w:hAnsi="Palatino Linotype"/>
          <w:bCs/>
          <w:i/>
          <w:sz w:val="22"/>
        </w:rPr>
        <w:t xml:space="preserve"> </w:t>
      </w:r>
      <w:r w:rsidRPr="00A137B4">
        <w:rPr>
          <w:rFonts w:ascii="Palatino Linotype" w:hAnsi="Palatino Linotype"/>
          <w:i/>
          <w:sz w:val="22"/>
        </w:rPr>
        <w:t xml:space="preserve">La que presenten los particulares a los sujetos obligados, de conformidad con lo dispuesto por las leyes o los tratados internacionales. </w:t>
      </w:r>
    </w:p>
    <w:p w14:paraId="17DDED61" w14:textId="77777777" w:rsidR="00311F9B" w:rsidRPr="00A137B4" w:rsidRDefault="00311F9B" w:rsidP="00311F9B">
      <w:pPr>
        <w:pStyle w:val="Sinespaciado"/>
        <w:ind w:left="851" w:right="567"/>
        <w:jc w:val="both"/>
        <w:rPr>
          <w:rFonts w:ascii="Palatino Linotype" w:hAnsi="Palatino Linotype" w:cs="Times"/>
          <w:i/>
          <w:sz w:val="22"/>
        </w:rPr>
      </w:pPr>
      <w:r w:rsidRPr="00A137B4">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14:paraId="37E868AC" w14:textId="77777777" w:rsidR="00311F9B" w:rsidRDefault="00311F9B" w:rsidP="00311F9B">
      <w:pPr>
        <w:pStyle w:val="Sinespaciado"/>
        <w:ind w:left="851" w:right="567"/>
        <w:jc w:val="both"/>
        <w:rPr>
          <w:rFonts w:ascii="Palatino Linotype" w:hAnsi="Palatino Linotype"/>
          <w:i/>
          <w:sz w:val="22"/>
        </w:rPr>
      </w:pPr>
      <w:r w:rsidRPr="00A137B4">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i/>
          <w:sz w:val="22"/>
        </w:rPr>
        <w:t>”</w:t>
      </w:r>
    </w:p>
    <w:p w14:paraId="0A6A9421"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5F516CD3"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Pr>
          <w:rFonts w:ascii="Palatino Linotype" w:hAnsi="Palatino Linotype"/>
          <w:color w:val="000000" w:themeColor="text1"/>
        </w:rPr>
        <w:t xml:space="preserve">Mientras </w:t>
      </w:r>
      <w:r w:rsidRPr="00034B44">
        <w:rPr>
          <w:rFonts w:ascii="Palatino Linotype" w:hAnsi="Palatino Linotype" w:cs="Arial"/>
          <w:color w:val="000000" w:themeColor="text1"/>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C8BB3C" w14:textId="77777777" w:rsidR="00311F9B" w:rsidRPr="00034B44" w:rsidRDefault="00311F9B" w:rsidP="00311F9B">
      <w:pPr>
        <w:pStyle w:val="Prrafodelista"/>
        <w:tabs>
          <w:tab w:val="left" w:pos="142"/>
          <w:tab w:val="left" w:pos="284"/>
        </w:tabs>
        <w:spacing w:before="240" w:after="240" w:line="360" w:lineRule="auto"/>
        <w:ind w:left="0"/>
        <w:jc w:val="both"/>
        <w:rPr>
          <w:rFonts w:ascii="Palatino Linotype" w:hAnsi="Palatino Linotype" w:cs="Arial"/>
          <w:color w:val="000000" w:themeColor="text1"/>
        </w:rPr>
      </w:pPr>
    </w:p>
    <w:p w14:paraId="1CC3CBCF"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sidRPr="00034B44">
        <w:rPr>
          <w:rFonts w:ascii="Palatino Linotype" w:hAnsi="Palatino Linotype" w:cs="Arial"/>
          <w:color w:val="000000" w:themeColor="text1"/>
        </w:rPr>
        <w:t xml:space="preserve">Como consecuencia de lo anterior, el </w:t>
      </w:r>
      <w:r>
        <w:rPr>
          <w:rFonts w:ascii="Palatino Linotype" w:hAnsi="Palatino Linotype" w:cs="Arial"/>
          <w:b/>
          <w:color w:val="000000" w:themeColor="text1"/>
        </w:rPr>
        <w:t>SUJETO OBLIGADO</w:t>
      </w:r>
      <w:r w:rsidRPr="00034B44">
        <w:rPr>
          <w:rFonts w:ascii="Palatino Linotype" w:hAnsi="Palatino Linotype" w:cs="Arial"/>
          <w:color w:val="000000" w:themeColor="text1"/>
        </w:rPr>
        <w:t xml:space="preserve"> debe identificar claramente el tipo de información y hacer un juicio de subsunción o encaje</w:t>
      </w:r>
      <w:r w:rsidRPr="008C6062">
        <w:rPr>
          <w:vertAlign w:val="superscript"/>
        </w:rPr>
        <w:footnoteReference w:id="15"/>
      </w:r>
      <w:r w:rsidRPr="00034B44">
        <w:rPr>
          <w:rFonts w:ascii="Palatino Linotype" w:hAnsi="Palatino Linotype" w:cs="Arial"/>
          <w:color w:val="000000" w:themeColor="text1"/>
        </w:rPr>
        <w:t xml:space="preserve"> para </w:t>
      </w:r>
      <w:r w:rsidRPr="00034B44">
        <w:rPr>
          <w:rFonts w:ascii="Palatino Linotype" w:hAnsi="Palatino Linotype" w:cs="Arial"/>
          <w:color w:val="000000" w:themeColor="text1"/>
        </w:rPr>
        <w:lastRenderedPageBreak/>
        <w:t>acreditar que el supuesto de hecho corresponde estrictamente con la hipótesis jurídica. Esto también lo debe de realizar el se</w:t>
      </w:r>
      <w:r>
        <w:rPr>
          <w:rFonts w:ascii="Palatino Linotype" w:hAnsi="Palatino Linotype" w:cs="Arial"/>
          <w:color w:val="000000" w:themeColor="text1"/>
        </w:rPr>
        <w:t>rvidor público habilitado y el T</w:t>
      </w:r>
      <w:r w:rsidRPr="00034B44">
        <w:rPr>
          <w:rFonts w:ascii="Palatino Linotype" w:hAnsi="Palatino Linotype" w:cs="Arial"/>
          <w:color w:val="000000" w:themeColor="text1"/>
        </w:rPr>
        <w:t>itular del área que administra la información.</w:t>
      </w:r>
    </w:p>
    <w:p w14:paraId="1E6E83F7" w14:textId="77777777" w:rsidR="00311F9B" w:rsidRPr="00074535" w:rsidRDefault="00311F9B" w:rsidP="00311F9B">
      <w:pPr>
        <w:pStyle w:val="Prrafodelista"/>
        <w:tabs>
          <w:tab w:val="left" w:pos="142"/>
          <w:tab w:val="left" w:pos="284"/>
          <w:tab w:val="left" w:pos="426"/>
        </w:tabs>
        <w:ind w:left="0"/>
        <w:rPr>
          <w:rFonts w:ascii="Palatino Linotype" w:hAnsi="Palatino Linotype" w:cs="Arial"/>
          <w:color w:val="000000" w:themeColor="text1"/>
        </w:rPr>
      </w:pPr>
    </w:p>
    <w:p w14:paraId="31A5048B" w14:textId="10C96450" w:rsidR="0011616D" w:rsidRPr="000D03A0"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34B44">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69738EB4"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s="Arial"/>
          <w:color w:val="000000" w:themeColor="text1"/>
        </w:rPr>
      </w:pPr>
    </w:p>
    <w:p w14:paraId="11368050" w14:textId="25E1ADE4" w:rsidR="000D03A0" w:rsidRPr="000D03A0" w:rsidRDefault="000D03A0" w:rsidP="000D03A0">
      <w:pPr>
        <w:pStyle w:val="Prrafodelista"/>
        <w:tabs>
          <w:tab w:val="left" w:pos="426"/>
        </w:tabs>
        <w:spacing w:before="240" w:after="240" w:line="360" w:lineRule="auto"/>
        <w:ind w:left="0" w:right="51"/>
        <w:jc w:val="both"/>
        <w:outlineLvl w:val="2"/>
        <w:rPr>
          <w:rFonts w:ascii="Palatino Linotype" w:hAnsi="Palatino Linotype" w:cs="Arial"/>
          <w:b/>
          <w:color w:val="000000" w:themeColor="text1"/>
        </w:rPr>
      </w:pPr>
      <w:r>
        <w:rPr>
          <w:rFonts w:ascii="Palatino Linotype" w:hAnsi="Palatino Linotype" w:cs="Arial"/>
          <w:b/>
          <w:color w:val="000000" w:themeColor="text1"/>
        </w:rPr>
        <w:t>III. Condiciones especiales de la clasificación de la información como confidencial.</w:t>
      </w:r>
    </w:p>
    <w:p w14:paraId="015F348E" w14:textId="3CB79ABA" w:rsidR="000D03A0" w:rsidRPr="000D03A0" w:rsidRDefault="000D03A0" w:rsidP="000D03A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a) Del consentimiento.</w:t>
      </w:r>
    </w:p>
    <w:p w14:paraId="51E5F125"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5DD8D6B3" w14:textId="7107CF6F" w:rsidR="000D03A0" w:rsidRPr="000D03A0" w:rsidRDefault="000D03A0"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Los </w:t>
      </w:r>
      <w:r w:rsidRPr="00464C89">
        <w:rPr>
          <w:rFonts w:ascii="Palatino Linotype" w:eastAsia="MS Mincho" w:hAnsi="Palatino Linotype" w:cs="Arial"/>
          <w:color w:val="000000"/>
          <w:lang w:val="es-ES_tradnl"/>
        </w:rPr>
        <w:t>artículos 148 y 120 de la Ley Estatal y de la Ley General, respectivamente, establecen que aun tratándose de datos personales, se podrán proporcionar, incluso sin solicitar el consentimiento de su titular, cuando dichos datos correspondan a los siguientes supuestos:</w:t>
      </w:r>
    </w:p>
    <w:p w14:paraId="132B7F71"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37102DC0" w14:textId="5B100675" w:rsidR="000D03A0" w:rsidRPr="000D03A0" w:rsidRDefault="000D03A0" w:rsidP="000D03A0">
      <w:pPr>
        <w:spacing w:after="120" w:line="276" w:lineRule="auto"/>
        <w:ind w:left="567" w:right="567"/>
        <w:contextualSpacing/>
        <w:jc w:val="both"/>
        <w:rPr>
          <w:rFonts w:ascii="Palatino Linotype" w:eastAsia="MS Mincho" w:hAnsi="Palatino Linotype" w:cs="Arial"/>
          <w:bCs/>
          <w:i/>
          <w:color w:val="000000"/>
          <w:sz w:val="22"/>
        </w:rPr>
      </w:pPr>
      <w:r>
        <w:rPr>
          <w:rFonts w:ascii="Palatino Linotype" w:eastAsia="MS Mincho" w:hAnsi="Palatino Linotype" w:cs="Arial"/>
          <w:bCs/>
          <w:i/>
          <w:color w:val="000000"/>
          <w:sz w:val="22"/>
        </w:rPr>
        <w:t>“</w:t>
      </w:r>
      <w:r w:rsidRPr="000D03A0">
        <w:rPr>
          <w:rFonts w:ascii="Palatino Linotype" w:eastAsia="MS Mincho" w:hAnsi="Palatino Linotype" w:cs="Arial"/>
          <w:b/>
          <w:bCs/>
          <w:i/>
          <w:color w:val="000000"/>
          <w:sz w:val="22"/>
        </w:rPr>
        <w:t>I.</w:t>
      </w:r>
      <w:r w:rsidRPr="000D03A0">
        <w:rPr>
          <w:rFonts w:ascii="Palatino Linotype" w:eastAsia="MS Mincho" w:hAnsi="Palatino Linotype" w:cs="Arial"/>
          <w:i/>
          <w:color w:val="000000"/>
          <w:sz w:val="22"/>
        </w:rPr>
        <w:t xml:space="preserve"> La información se encuentre en registros públicos o fuentes de acceso público;</w:t>
      </w:r>
    </w:p>
    <w:p w14:paraId="02B7F00D" w14:textId="77777777" w:rsidR="000D03A0" w:rsidRPr="000D03A0" w:rsidRDefault="000D03A0" w:rsidP="000D03A0">
      <w:pPr>
        <w:spacing w:after="120" w:line="276" w:lineRule="auto"/>
        <w:ind w:left="567" w:right="567"/>
        <w:contextualSpacing/>
        <w:jc w:val="both"/>
        <w:rPr>
          <w:rFonts w:ascii="Palatino Linotype" w:eastAsia="MS Mincho" w:hAnsi="Palatino Linotype" w:cs="Arial"/>
          <w:bCs/>
          <w:i/>
          <w:color w:val="000000"/>
          <w:sz w:val="22"/>
        </w:rPr>
      </w:pPr>
      <w:r w:rsidRPr="000D03A0">
        <w:rPr>
          <w:rFonts w:ascii="Palatino Linotype" w:eastAsia="MS Mincho" w:hAnsi="Palatino Linotype" w:cs="Arial"/>
          <w:b/>
          <w:bCs/>
          <w:i/>
          <w:color w:val="000000"/>
          <w:sz w:val="22"/>
        </w:rPr>
        <w:t>II.</w:t>
      </w:r>
      <w:r w:rsidRPr="000D03A0">
        <w:rPr>
          <w:rFonts w:ascii="Palatino Linotype" w:eastAsia="MS Mincho" w:hAnsi="Palatino Linotype" w:cs="Arial"/>
          <w:bCs/>
          <w:i/>
          <w:color w:val="000000"/>
          <w:sz w:val="22"/>
        </w:rPr>
        <w:t xml:space="preserve"> </w:t>
      </w:r>
      <w:r w:rsidRPr="000D03A0">
        <w:rPr>
          <w:rFonts w:ascii="Palatino Linotype" w:eastAsia="MS Mincho" w:hAnsi="Palatino Linotype" w:cs="Arial"/>
          <w:i/>
          <w:color w:val="000000"/>
          <w:sz w:val="22"/>
        </w:rPr>
        <w:t>Por Ley tenga el carácter de pública;</w:t>
      </w:r>
    </w:p>
    <w:p w14:paraId="6580D945" w14:textId="77777777" w:rsidR="000D03A0" w:rsidRPr="000D03A0" w:rsidRDefault="000D03A0" w:rsidP="000D03A0">
      <w:pPr>
        <w:spacing w:after="120" w:line="276" w:lineRule="auto"/>
        <w:ind w:left="567" w:right="567"/>
        <w:contextualSpacing/>
        <w:jc w:val="both"/>
        <w:rPr>
          <w:rFonts w:ascii="Palatino Linotype" w:eastAsia="MS Mincho" w:hAnsi="Palatino Linotype" w:cs="Arial"/>
          <w:i/>
          <w:color w:val="000000"/>
          <w:sz w:val="22"/>
        </w:rPr>
      </w:pPr>
      <w:r w:rsidRPr="000D03A0">
        <w:rPr>
          <w:rFonts w:ascii="Palatino Linotype" w:eastAsia="MS Mincho" w:hAnsi="Palatino Linotype" w:cs="Arial"/>
          <w:b/>
          <w:bCs/>
          <w:i/>
          <w:color w:val="000000"/>
          <w:sz w:val="22"/>
        </w:rPr>
        <w:t>III.</w:t>
      </w:r>
      <w:r w:rsidRPr="000D03A0">
        <w:rPr>
          <w:rFonts w:ascii="Palatino Linotype" w:eastAsia="MS Mincho" w:hAnsi="Palatino Linotype" w:cs="Arial"/>
          <w:bCs/>
          <w:i/>
          <w:color w:val="000000"/>
          <w:sz w:val="22"/>
        </w:rPr>
        <w:t xml:space="preserve"> </w:t>
      </w:r>
      <w:r w:rsidRPr="000D03A0">
        <w:rPr>
          <w:rFonts w:ascii="Palatino Linotype" w:eastAsia="MS Mincho" w:hAnsi="Palatino Linotype" w:cs="Arial"/>
          <w:i/>
          <w:color w:val="000000"/>
          <w:sz w:val="22"/>
        </w:rPr>
        <w:t xml:space="preserve">Exista una orden judicial; </w:t>
      </w:r>
    </w:p>
    <w:p w14:paraId="1B1C0EE7" w14:textId="77777777" w:rsidR="000D03A0" w:rsidRPr="000D03A0" w:rsidRDefault="000D03A0" w:rsidP="000D03A0">
      <w:pPr>
        <w:spacing w:after="120" w:line="276" w:lineRule="auto"/>
        <w:ind w:left="567" w:right="567"/>
        <w:contextualSpacing/>
        <w:jc w:val="both"/>
        <w:rPr>
          <w:rFonts w:ascii="Palatino Linotype" w:eastAsia="MS Mincho" w:hAnsi="Palatino Linotype" w:cs="Arial"/>
          <w:i/>
          <w:color w:val="000000"/>
          <w:sz w:val="22"/>
        </w:rPr>
      </w:pPr>
      <w:r w:rsidRPr="000D03A0">
        <w:rPr>
          <w:rFonts w:ascii="Palatino Linotype" w:eastAsia="MS Mincho" w:hAnsi="Palatino Linotype" w:cs="Arial"/>
          <w:b/>
          <w:bCs/>
          <w:i/>
          <w:color w:val="000000"/>
          <w:sz w:val="22"/>
        </w:rPr>
        <w:t>IV.</w:t>
      </w:r>
      <w:r w:rsidRPr="000D03A0">
        <w:rPr>
          <w:rFonts w:ascii="Palatino Linotype" w:eastAsia="MS Mincho" w:hAnsi="Palatino Linotype" w:cs="Arial"/>
          <w:bCs/>
          <w:i/>
          <w:color w:val="000000"/>
          <w:sz w:val="22"/>
        </w:rPr>
        <w:t xml:space="preserve"> </w:t>
      </w:r>
      <w:r w:rsidRPr="000D03A0">
        <w:rPr>
          <w:rFonts w:ascii="Palatino Linotype" w:eastAsia="MS Mincho" w:hAnsi="Palatino Linotype" w:cs="Arial"/>
          <w:i/>
          <w:color w:val="000000"/>
          <w:sz w:val="22"/>
        </w:rPr>
        <w:t xml:space="preserve">Por razones de seguridad pública, o para proteger los derechos de terceros, se requiera su publicación; o </w:t>
      </w:r>
    </w:p>
    <w:p w14:paraId="1E746E70" w14:textId="31B13EC3" w:rsidR="000D03A0" w:rsidRPr="000D03A0" w:rsidRDefault="000D03A0" w:rsidP="000D03A0">
      <w:pPr>
        <w:spacing w:after="120" w:line="276" w:lineRule="auto"/>
        <w:ind w:left="567" w:right="567"/>
        <w:contextualSpacing/>
        <w:jc w:val="both"/>
        <w:rPr>
          <w:rFonts w:ascii="Palatino Linotype" w:eastAsia="MS Mincho" w:hAnsi="Palatino Linotype" w:cs="Arial"/>
          <w:i/>
          <w:color w:val="000000"/>
          <w:sz w:val="22"/>
        </w:rPr>
      </w:pPr>
      <w:r w:rsidRPr="000D03A0">
        <w:rPr>
          <w:rFonts w:ascii="Palatino Linotype" w:eastAsia="MS Mincho" w:hAnsi="Palatino Linotype" w:cs="Arial"/>
          <w:b/>
          <w:bCs/>
          <w:i/>
          <w:color w:val="000000"/>
          <w:sz w:val="22"/>
        </w:rPr>
        <w:lastRenderedPageBreak/>
        <w:t>V.</w:t>
      </w:r>
      <w:r w:rsidRPr="000D03A0">
        <w:rPr>
          <w:rFonts w:ascii="Palatino Linotype" w:eastAsia="MS Mincho" w:hAnsi="Palatino Linotype" w:cs="Arial"/>
          <w:bCs/>
          <w:i/>
          <w:color w:val="000000"/>
          <w:sz w:val="22"/>
        </w:rPr>
        <w:t xml:space="preserve"> </w:t>
      </w:r>
      <w:r w:rsidRPr="000D03A0">
        <w:rPr>
          <w:rFonts w:ascii="Palatino Linotype" w:eastAsia="MS Mincho" w:hAnsi="Palatino Linotype" w:cs="Arial"/>
          <w:i/>
          <w:color w:val="000000"/>
          <w:sz w:val="22"/>
        </w:rPr>
        <w:t>Cuando se transmita entre sujetos obligados y entre éstos y los sujetos de derecho internacional, en términos de los tratados y los acuerdos interinstitucionales, siempre y cuando la información se utilice para el ejercicio de fa</w:t>
      </w:r>
      <w:r>
        <w:rPr>
          <w:rFonts w:ascii="Palatino Linotype" w:eastAsia="MS Mincho" w:hAnsi="Palatino Linotype" w:cs="Arial"/>
          <w:i/>
          <w:color w:val="000000"/>
          <w:sz w:val="22"/>
        </w:rPr>
        <w:t>cultades propias de los mismos.”</w:t>
      </w:r>
    </w:p>
    <w:p w14:paraId="4C504B89" w14:textId="77777777" w:rsidR="000D03A0" w:rsidRPr="000D03A0" w:rsidRDefault="000D03A0" w:rsidP="000D03A0">
      <w:pPr>
        <w:pStyle w:val="Prrafodelista"/>
        <w:tabs>
          <w:tab w:val="left" w:pos="426"/>
        </w:tabs>
        <w:spacing w:before="240" w:line="360" w:lineRule="auto"/>
        <w:ind w:left="0" w:right="51"/>
        <w:jc w:val="both"/>
        <w:rPr>
          <w:rFonts w:ascii="Palatino Linotype" w:hAnsi="Palatino Linotype"/>
          <w:color w:val="000000" w:themeColor="text1"/>
        </w:rPr>
      </w:pPr>
    </w:p>
    <w:p w14:paraId="3C6FDB2A" w14:textId="51EEFE31" w:rsidR="000D03A0" w:rsidRPr="000D03A0" w:rsidRDefault="000D03A0"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464C89">
        <w:rPr>
          <w:rFonts w:ascii="Palatino Linotype" w:eastAsia="MS Mincho" w:hAnsi="Palatino Linotype" w:cs="Arial"/>
          <w:color w:val="000000"/>
          <w:lang w:val="es-ES_tradnl"/>
        </w:rPr>
        <w:t>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06C4C2E8"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0984FC2E" w14:textId="68BDCFD2" w:rsidR="000D03A0" w:rsidRPr="000D03A0" w:rsidRDefault="000D03A0"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Pero </w:t>
      </w:r>
      <w:r w:rsidRPr="00464C89">
        <w:rPr>
          <w:rFonts w:ascii="Palatino Linotype" w:eastAsia="MS Mincho" w:hAnsi="Palatino Linotype" w:cs="Arial"/>
          <w:color w:val="000000"/>
          <w:lang w:val="es-ES_tradnl"/>
        </w:rPr>
        <w:t>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576023E"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54DAA233" w14:textId="6363AFAE" w:rsidR="000D03A0" w:rsidRPr="000D03A0" w:rsidRDefault="000D03A0" w:rsidP="000D03A0">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b) De la fotografía de servidores públicos.</w:t>
      </w:r>
    </w:p>
    <w:p w14:paraId="628D627B"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4833D3F7" w14:textId="70128E6C" w:rsidR="000D03A0" w:rsidRPr="000D03A0" w:rsidRDefault="000D03A0"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El </w:t>
      </w:r>
      <w:r w:rsidRPr="00D922F3">
        <w:rPr>
          <w:rFonts w:ascii="Palatino Linotype" w:hAnsi="Palatino Linotype" w:cs="Arial"/>
          <w:lang w:val="es-ES_tradnl"/>
        </w:rPr>
        <w:t xml:space="preserve">acceder a </w:t>
      </w:r>
      <w:r w:rsidR="007053DB">
        <w:rPr>
          <w:rFonts w:ascii="Palatino Linotype" w:hAnsi="Palatino Linotype" w:cs="Arial"/>
          <w:lang w:val="es-ES_tradnl"/>
        </w:rPr>
        <w:t>cualquier documento que</w:t>
      </w:r>
      <w:r w:rsidRPr="00D922F3">
        <w:rPr>
          <w:rFonts w:ascii="Palatino Linotype" w:hAnsi="Palatino Linotype" w:cs="Arial"/>
          <w:lang w:val="es-ES_tradnl"/>
        </w:rPr>
        <w:t xml:space="preserve"> acredite </w:t>
      </w:r>
      <w:r w:rsidR="007053DB">
        <w:rPr>
          <w:rFonts w:ascii="Palatino Linotype" w:hAnsi="Palatino Linotype" w:cs="Arial"/>
          <w:lang w:val="es-ES_tradnl"/>
        </w:rPr>
        <w:t xml:space="preserve">la </w:t>
      </w:r>
      <w:r w:rsidRPr="00D922F3">
        <w:rPr>
          <w:rFonts w:ascii="Palatino Linotype" w:hAnsi="Palatino Linotype" w:cs="Arial"/>
          <w:lang w:val="es-ES_tradnl"/>
        </w:rPr>
        <w:t>experiencia</w:t>
      </w:r>
      <w:r w:rsidR="007053DB">
        <w:rPr>
          <w:rFonts w:ascii="Palatino Linotype" w:hAnsi="Palatino Linotype" w:cs="Arial"/>
          <w:lang w:val="es-ES_tradnl"/>
        </w:rPr>
        <w:t>,</w:t>
      </w:r>
      <w:r w:rsidRPr="00D922F3">
        <w:rPr>
          <w:rFonts w:ascii="Palatino Linotype" w:hAnsi="Palatino Linotype" w:cs="Arial"/>
          <w:lang w:val="es-ES_tradnl"/>
        </w:rPr>
        <w:t xml:space="preserve"> académica o profesional, de quien ocupe cargos en la administración </w:t>
      </w:r>
      <w:r w:rsidR="007053DB">
        <w:rPr>
          <w:rFonts w:ascii="Palatino Linotype" w:hAnsi="Palatino Linotype" w:cs="Arial"/>
          <w:lang w:val="es-ES_tradnl"/>
        </w:rPr>
        <w:t xml:space="preserve">pública </w:t>
      </w:r>
      <w:r w:rsidRPr="00D922F3">
        <w:rPr>
          <w:rFonts w:ascii="Palatino Linotype" w:hAnsi="Palatino Linotype" w:cs="Arial"/>
          <w:lang w:val="es-ES_tradnl"/>
        </w:rPr>
        <w:t>permitirá al particular conocer</w:t>
      </w:r>
      <w:r w:rsidR="007053DB">
        <w:rPr>
          <w:rFonts w:ascii="Palatino Linotype" w:hAnsi="Palatino Linotype" w:cs="Arial"/>
          <w:lang w:val="es-ES_tradnl"/>
        </w:rPr>
        <w:t>,</w:t>
      </w:r>
      <w:r w:rsidRPr="00D922F3">
        <w:rPr>
          <w:rFonts w:ascii="Palatino Linotype" w:hAnsi="Palatino Linotype" w:cs="Arial"/>
          <w:lang w:val="es-ES_tradnl"/>
        </w:rPr>
        <w:t xml:space="preserve"> con toda certeza</w:t>
      </w:r>
      <w:r w:rsidR="007053DB">
        <w:rPr>
          <w:rFonts w:ascii="Palatino Linotype" w:hAnsi="Palatino Linotype" w:cs="Arial"/>
          <w:lang w:val="es-ES_tradnl"/>
        </w:rPr>
        <w:t>,</w:t>
      </w:r>
      <w:r w:rsidRPr="00D922F3">
        <w:rPr>
          <w:rFonts w:ascii="Palatino Linotype" w:hAnsi="Palatino Linotype" w:cs="Arial"/>
          <w:lang w:val="es-ES_tradnl"/>
        </w:rPr>
        <w:t xml:space="preserve"> y de manera indudable</w:t>
      </w:r>
      <w:r w:rsidR="007053DB">
        <w:rPr>
          <w:rFonts w:ascii="Palatino Linotype" w:hAnsi="Palatino Linotype" w:cs="Arial"/>
          <w:lang w:val="es-ES_tradnl"/>
        </w:rPr>
        <w:t>,</w:t>
      </w:r>
      <w:r w:rsidRPr="00D922F3">
        <w:rPr>
          <w:rFonts w:ascii="Palatino Linotype" w:hAnsi="Palatino Linotype" w:cs="Arial"/>
          <w:lang w:val="es-ES_tradnl"/>
        </w:rPr>
        <w:t xml:space="preserve"> si las personas que se desempeñan en los cargos cuenta</w:t>
      </w:r>
      <w:r w:rsidR="007053DB">
        <w:rPr>
          <w:rFonts w:ascii="Palatino Linotype" w:hAnsi="Palatino Linotype" w:cs="Arial"/>
          <w:lang w:val="es-ES_tradnl"/>
        </w:rPr>
        <w:t>n</w:t>
      </w:r>
      <w:r w:rsidRPr="00D922F3">
        <w:rPr>
          <w:rFonts w:ascii="Palatino Linotype" w:hAnsi="Palatino Linotype" w:cs="Arial"/>
          <w:lang w:val="es-ES_tradnl"/>
        </w:rPr>
        <w:t xml:space="preserve"> con</w:t>
      </w:r>
      <w:r w:rsidR="007053DB">
        <w:rPr>
          <w:rFonts w:ascii="Palatino Linotype" w:hAnsi="Palatino Linotype" w:cs="Arial"/>
          <w:lang w:val="es-ES_tradnl"/>
        </w:rPr>
        <w:t xml:space="preserve"> la idoneidad de desempeñarlos,</w:t>
      </w:r>
      <w:r w:rsidRPr="00D922F3">
        <w:rPr>
          <w:rFonts w:ascii="Palatino Linotype" w:hAnsi="Palatino Linotype" w:cs="Arial"/>
          <w:lang w:val="es-ES_tradnl"/>
        </w:rPr>
        <w:t xml:space="preserve"> así como la capacidad de desarrollar las actividades y atribuciones que se deriven de </w:t>
      </w:r>
      <w:r w:rsidR="007053DB">
        <w:rPr>
          <w:rFonts w:ascii="Palatino Linotype" w:hAnsi="Palatino Linotype" w:cs="Arial"/>
          <w:lang w:val="es-ES_tradnl"/>
        </w:rPr>
        <w:t>é</w:t>
      </w:r>
      <w:r w:rsidRPr="00D922F3">
        <w:rPr>
          <w:rFonts w:ascii="Palatino Linotype" w:hAnsi="Palatino Linotype" w:cs="Arial"/>
          <w:lang w:val="es-ES_tradnl"/>
        </w:rPr>
        <w:t xml:space="preserve">ste. Elementos indispensables y necesarios para que se encuentre en condiciones plenas de ejercer, de manera informada, su derecho a la libertad de expresión y, en su caso, el control constitucional popular de los actos de gobierno. Como se ha señalado </w:t>
      </w:r>
      <w:r w:rsidRPr="00D922F3">
        <w:rPr>
          <w:rFonts w:ascii="Palatino Linotype" w:hAnsi="Palatino Linotype" w:cs="Arial"/>
          <w:lang w:val="es-ES_tradnl"/>
        </w:rPr>
        <w:lastRenderedPageBreak/>
        <w:t>antes, la concurrencia de todos los elementos que integran dichos documentos permiten apreciar en todo su valor el contenido de los documentos públicos requeridos.</w:t>
      </w:r>
    </w:p>
    <w:p w14:paraId="5B40D4B2"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060803A7" w14:textId="09112C5E" w:rsidR="000D03A0" w:rsidRPr="000D03A0" w:rsidRDefault="000D03A0"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F</w:t>
      </w:r>
      <w:r w:rsidR="007053DB">
        <w:rPr>
          <w:rFonts w:ascii="Palatino Linotype" w:hAnsi="Palatino Linotype" w:cs="Arial"/>
          <w:color w:val="000000" w:themeColor="text1"/>
        </w:rPr>
        <w:t xml:space="preserve">rente </w:t>
      </w:r>
      <w:r w:rsidR="007053DB" w:rsidRPr="007053DB">
        <w:rPr>
          <w:rFonts w:ascii="Palatino Linotype" w:hAnsi="Palatino Linotype" w:cs="Arial"/>
          <w:color w:val="000000" w:themeColor="text1"/>
          <w:lang w:val="es-ES_tradnl"/>
        </w:rPr>
        <w:t>a esa situación, si bien es cierto que no es la fotografía la que permite determinar la respectiva idoneidad profesional, también lo es que la concurrencia de todos los elementos que integran la documental permite constatar la acreditación profesional, entre los cuales, la fotografía resulta esencial para determinar la identidad de quien se encuentra en laborando en la administración pública.</w:t>
      </w:r>
    </w:p>
    <w:p w14:paraId="612C9823"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3991ABF1" w14:textId="3DC23C52"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Suponiendo </w:t>
      </w:r>
      <w:r w:rsidRPr="000151A7">
        <w:rPr>
          <w:rFonts w:ascii="Palatino Linotype" w:hAnsi="Palatino Linotype" w:cs="Arial"/>
          <w:lang w:val="es-ES_tradnl"/>
        </w:rPr>
        <w:t>sin conceder, que se trate de una probable colisión de derechos entr</w:t>
      </w:r>
      <w:r>
        <w:rPr>
          <w:rFonts w:ascii="Palatino Linotype" w:hAnsi="Palatino Linotype" w:cs="Arial"/>
          <w:lang w:val="es-ES_tradnl"/>
        </w:rPr>
        <w:t>e el de acceso a la información</w:t>
      </w:r>
      <w:r w:rsidRPr="000151A7">
        <w:rPr>
          <w:rFonts w:ascii="Palatino Linotype" w:hAnsi="Palatino Linotype" w:cs="Arial"/>
          <w:lang w:val="es-ES_tradnl"/>
        </w:rPr>
        <w:t xml:space="preserve"> del particular</w:t>
      </w:r>
      <w:r>
        <w:rPr>
          <w:rFonts w:ascii="Palatino Linotype" w:hAnsi="Palatino Linotype" w:cs="Arial"/>
          <w:lang w:val="es-ES_tradnl"/>
        </w:rPr>
        <w:t>,</w:t>
      </w:r>
      <w:r w:rsidRPr="000151A7">
        <w:rPr>
          <w:rFonts w:ascii="Palatino Linotype" w:hAnsi="Palatino Linotype" w:cs="Arial"/>
          <w:lang w:val="es-ES_tradnl"/>
        </w:rPr>
        <w:t xml:space="preserve"> </w:t>
      </w:r>
      <w:r>
        <w:rPr>
          <w:rFonts w:ascii="Palatino Linotype" w:hAnsi="Palatino Linotype" w:cs="Arial"/>
          <w:lang w:val="es-ES_tradnl"/>
        </w:rPr>
        <w:t>contra</w:t>
      </w:r>
      <w:r w:rsidRPr="000151A7">
        <w:rPr>
          <w:rFonts w:ascii="Palatino Linotype" w:hAnsi="Palatino Linotype" w:cs="Arial"/>
          <w:lang w:val="es-ES_tradnl"/>
        </w:rPr>
        <w:t xml:space="preserve"> el</w:t>
      </w:r>
      <w:r>
        <w:rPr>
          <w:rFonts w:ascii="Palatino Linotype" w:hAnsi="Palatino Linotype" w:cs="Arial"/>
          <w:lang w:val="es-ES_tradnl"/>
        </w:rPr>
        <w:t xml:space="preserve"> derecho</w:t>
      </w:r>
      <w:r w:rsidRPr="000151A7">
        <w:rPr>
          <w:rFonts w:ascii="Palatino Linotype" w:hAnsi="Palatino Linotype" w:cs="Arial"/>
          <w:lang w:val="es-ES_tradnl"/>
        </w:rPr>
        <w:t xml:space="preserve"> de protección de datos personales de</w:t>
      </w:r>
      <w:r>
        <w:rPr>
          <w:rFonts w:ascii="Palatino Linotype" w:hAnsi="Palatino Linotype" w:cs="Arial"/>
          <w:lang w:val="es-ES_tradnl"/>
        </w:rPr>
        <w:t xml:space="preserve"> </w:t>
      </w:r>
      <w:r w:rsidRPr="000151A7">
        <w:rPr>
          <w:rFonts w:ascii="Palatino Linotype" w:hAnsi="Palatino Linotype" w:cs="Arial"/>
          <w:lang w:val="es-ES_tradnl"/>
        </w:rPr>
        <w:t>l</w:t>
      </w:r>
      <w:r>
        <w:rPr>
          <w:rFonts w:ascii="Palatino Linotype" w:hAnsi="Palatino Linotype" w:cs="Arial"/>
          <w:lang w:val="es-ES_tradnl"/>
        </w:rPr>
        <w:t>os</w:t>
      </w:r>
      <w:r w:rsidRPr="000151A7">
        <w:rPr>
          <w:rFonts w:ascii="Palatino Linotype" w:hAnsi="Palatino Linotype" w:cs="Arial"/>
          <w:lang w:val="es-ES_tradnl"/>
        </w:rPr>
        <w:t xml:space="preserve"> servidor</w:t>
      </w:r>
      <w:r>
        <w:rPr>
          <w:rFonts w:ascii="Palatino Linotype" w:hAnsi="Palatino Linotype" w:cs="Arial"/>
          <w:lang w:val="es-ES_tradnl"/>
        </w:rPr>
        <w:t>es</w:t>
      </w:r>
      <w:r w:rsidRPr="000151A7">
        <w:rPr>
          <w:rFonts w:ascii="Palatino Linotype" w:hAnsi="Palatino Linotype" w:cs="Arial"/>
          <w:lang w:val="es-ES_tradnl"/>
        </w:rPr>
        <w:t xml:space="preserve"> público</w:t>
      </w:r>
      <w:r>
        <w:rPr>
          <w:rFonts w:ascii="Palatino Linotype" w:hAnsi="Palatino Linotype" w:cs="Arial"/>
          <w:lang w:val="es-ES_tradnl"/>
        </w:rPr>
        <w:t>s</w:t>
      </w:r>
      <w:r w:rsidRPr="000151A7">
        <w:rPr>
          <w:rFonts w:ascii="Palatino Linotype" w:hAnsi="Palatino Linotype" w:cs="Arial"/>
          <w:lang w:val="es-ES_tradnl"/>
        </w:rPr>
        <w:t xml:space="preserve">, es necesario destacar que ambos cuentan con el mismo valor, </w:t>
      </w:r>
      <w:r>
        <w:rPr>
          <w:rFonts w:ascii="Palatino Linotype" w:hAnsi="Palatino Linotype" w:cs="Arial"/>
          <w:lang w:val="es-ES_tradnl"/>
        </w:rPr>
        <w:t xml:space="preserve">pues </w:t>
      </w:r>
      <w:r w:rsidRPr="000151A7">
        <w:rPr>
          <w:rFonts w:ascii="Palatino Linotype" w:hAnsi="Palatino Linotype" w:cs="Arial"/>
          <w:lang w:val="es-ES_tradnl"/>
        </w:rPr>
        <w:t>son concebidos en los mismos ordenamientos y, en consecuencia, uno no puede prevalecer frente al otro en todos los casos y es obligación del Operador Constitucional determinar, en cada caso, el grado de intensidad que debe respetarse para que ambos principios prevalezcan y no exista una decisión predeterminada que resuelva, en todos los casos, los asuntos; ya que ello implicaría la determinación de jerarquías entre los derechos que no pueden existir ya que eso nos situaría en un estado de franca inconstitucionalidad según lo establecido en el artículo primero de la Constitución Federal y contrario a las disposiciones internacionales en materia de derechos humanos.</w:t>
      </w:r>
    </w:p>
    <w:p w14:paraId="06D57100"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430B5C91" w14:textId="4DE086CA"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En </w:t>
      </w:r>
      <w:r w:rsidRPr="000151A7">
        <w:rPr>
          <w:rFonts w:ascii="Palatino Linotype" w:hAnsi="Palatino Linotype" w:cs="Arial"/>
          <w:lang w:val="es-ES_tradnl"/>
        </w:rPr>
        <w:t xml:space="preserve">estos casos, el intérprete externo y los </w:t>
      </w:r>
      <w:r w:rsidRPr="000151A7">
        <w:rPr>
          <w:rFonts w:ascii="Palatino Linotype" w:hAnsi="Palatino Linotype" w:cs="Arial"/>
          <w:i/>
          <w:lang w:val="es-ES_tradnl"/>
        </w:rPr>
        <w:t>ius</w:t>
      </w:r>
      <w:r w:rsidRPr="000151A7">
        <w:rPr>
          <w:rFonts w:ascii="Palatino Linotype" w:hAnsi="Palatino Linotype" w:cs="Arial"/>
          <w:lang w:val="es-ES_tradnl"/>
        </w:rPr>
        <w:t xml:space="preserve"> publicistas recomiendan realizar un juicio de ponderación que se rige por la exigencia de observar tres juicios: el juicio de idoneidad, el juicio de necesidad y el juicio de estricta proporcionalidad. La medida propuesta debe cumplir con los tres y la ausencia de uno sólo de ellos impediría la existencia del derecho, el cumplimiento de los tres permite identificar la medida indispensable que permita que los derechos en cuestión prevalezcan.</w:t>
      </w:r>
    </w:p>
    <w:p w14:paraId="455CD142"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399FD970" w14:textId="3A32D6C4" w:rsidR="007053DB" w:rsidRPr="007053DB" w:rsidRDefault="007053DB" w:rsidP="000D03A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Juicio de idoneidad.</w:t>
      </w:r>
    </w:p>
    <w:p w14:paraId="4465604C" w14:textId="77777777" w:rsidR="007053DB" w:rsidRPr="000D03A0" w:rsidRDefault="007053DB"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6E7F4039" w14:textId="6D8550AA"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En </w:t>
      </w:r>
      <w:r w:rsidRPr="000151A7">
        <w:rPr>
          <w:rFonts w:ascii="Palatino Linotype" w:hAnsi="Palatino Linotype" w:cs="Arial"/>
          <w:lang w:val="es-ES_tradnl"/>
        </w:rPr>
        <w:t xml:space="preserve">el presente asunto, el derecho de acceso a la información se plantea a través de </w:t>
      </w:r>
      <w:r w:rsidR="00366861">
        <w:rPr>
          <w:rFonts w:ascii="Palatino Linotype" w:hAnsi="Palatino Linotype" w:cs="Arial"/>
          <w:lang w:val="es-ES_tradnl"/>
        </w:rPr>
        <w:t>una</w:t>
      </w:r>
      <w:r w:rsidRPr="000151A7">
        <w:rPr>
          <w:rFonts w:ascii="Palatino Linotype" w:hAnsi="Palatino Linotype" w:cs="Arial"/>
          <w:lang w:val="es-ES_tradnl"/>
        </w:rPr>
        <w:t xml:space="preserve"> solicitud </w:t>
      </w:r>
      <w:r>
        <w:rPr>
          <w:rFonts w:ascii="Palatino Linotype" w:hAnsi="Palatino Linotype" w:cs="Arial"/>
          <w:lang w:val="es-ES_tradnl"/>
        </w:rPr>
        <w:t>que busca</w:t>
      </w:r>
      <w:r w:rsidRPr="000151A7">
        <w:rPr>
          <w:rFonts w:ascii="Palatino Linotype" w:hAnsi="Palatino Linotype" w:cs="Arial"/>
          <w:lang w:val="es-ES_tradnl"/>
        </w:rPr>
        <w:t xml:space="preserve"> obtener </w:t>
      </w:r>
      <w:r w:rsidR="00366861">
        <w:rPr>
          <w:rFonts w:ascii="Palatino Linotype" w:hAnsi="Palatino Linotype"/>
          <w:bCs/>
          <w:color w:val="000000"/>
          <w:lang w:val="es-ES_tradnl"/>
        </w:rPr>
        <w:t>los</w:t>
      </w:r>
      <w:r>
        <w:rPr>
          <w:rFonts w:ascii="Palatino Linotype" w:hAnsi="Palatino Linotype"/>
          <w:bCs/>
          <w:color w:val="000000"/>
          <w:lang w:val="es-ES_tradnl"/>
        </w:rPr>
        <w:t xml:space="preserve"> documento</w:t>
      </w:r>
      <w:r w:rsidR="00366861">
        <w:rPr>
          <w:rFonts w:ascii="Palatino Linotype" w:hAnsi="Palatino Linotype"/>
          <w:bCs/>
          <w:color w:val="000000"/>
          <w:lang w:val="es-ES_tradnl"/>
        </w:rPr>
        <w:t>s</w:t>
      </w:r>
      <w:r>
        <w:rPr>
          <w:rFonts w:ascii="Palatino Linotype" w:hAnsi="Palatino Linotype"/>
          <w:bCs/>
          <w:color w:val="000000"/>
          <w:lang w:val="es-ES_tradnl"/>
        </w:rPr>
        <w:t xml:space="preserve"> </w:t>
      </w:r>
      <w:r w:rsidR="00366861">
        <w:rPr>
          <w:rFonts w:ascii="Palatino Linotype" w:hAnsi="Palatino Linotype"/>
          <w:bCs/>
          <w:color w:val="000000"/>
          <w:lang w:val="es-ES_tradnl"/>
        </w:rPr>
        <w:t>donde conste</w:t>
      </w:r>
      <w:r>
        <w:rPr>
          <w:rFonts w:ascii="Palatino Linotype" w:hAnsi="Palatino Linotype"/>
          <w:bCs/>
          <w:color w:val="000000"/>
          <w:lang w:val="es-ES_tradnl"/>
        </w:rPr>
        <w:t xml:space="preserve"> la información curricular del personal adscrito a la Contraloría;</w:t>
      </w:r>
      <w:r w:rsidRPr="000151A7">
        <w:rPr>
          <w:rFonts w:ascii="Palatino Linotype" w:hAnsi="Palatino Linotype" w:cs="Arial"/>
          <w:lang w:val="es-ES_tradnl"/>
        </w:rPr>
        <w:t xml:space="preserve"> dicho</w:t>
      </w:r>
      <w:r w:rsidR="00366861">
        <w:rPr>
          <w:rFonts w:ascii="Palatino Linotype" w:hAnsi="Palatino Linotype" w:cs="Arial"/>
          <w:lang w:val="es-ES_tradnl"/>
        </w:rPr>
        <w:t>s</w:t>
      </w:r>
      <w:r w:rsidRPr="000151A7">
        <w:rPr>
          <w:rFonts w:ascii="Palatino Linotype" w:hAnsi="Palatino Linotype" w:cs="Arial"/>
          <w:lang w:val="es-ES_tradnl"/>
        </w:rPr>
        <w:t xml:space="preserve"> documento se inte</w:t>
      </w:r>
      <w:r>
        <w:rPr>
          <w:rFonts w:ascii="Palatino Linotype" w:hAnsi="Palatino Linotype" w:cs="Arial"/>
          <w:lang w:val="es-ES_tradnl"/>
        </w:rPr>
        <w:t>gran por una serie de elementos</w:t>
      </w:r>
      <w:r w:rsidRPr="000151A7">
        <w:rPr>
          <w:rFonts w:ascii="Palatino Linotype" w:hAnsi="Palatino Linotype" w:cs="Arial"/>
          <w:lang w:val="es-ES_tradnl"/>
        </w:rPr>
        <w:t xml:space="preserve"> cuya ausencia de cualquiera de los elementos </w:t>
      </w:r>
      <w:r>
        <w:rPr>
          <w:rFonts w:ascii="Palatino Linotype" w:hAnsi="Palatino Linotype" w:cs="Arial"/>
          <w:lang w:val="es-ES_tradnl"/>
        </w:rPr>
        <w:t>dificultaría</w:t>
      </w:r>
      <w:r w:rsidRPr="000151A7">
        <w:rPr>
          <w:rFonts w:ascii="Palatino Linotype" w:hAnsi="Palatino Linotype" w:cs="Arial"/>
          <w:lang w:val="es-ES_tradnl"/>
        </w:rPr>
        <w:t xml:space="preserve"> que el documento cumpla con el propósito para el cual fue</w:t>
      </w:r>
      <w:r w:rsidR="00366861">
        <w:rPr>
          <w:rFonts w:ascii="Palatino Linotype" w:hAnsi="Palatino Linotype" w:cs="Arial"/>
          <w:lang w:val="es-ES_tradnl"/>
        </w:rPr>
        <w:t>ron</w:t>
      </w:r>
      <w:r w:rsidRPr="000151A7">
        <w:rPr>
          <w:rFonts w:ascii="Palatino Linotype" w:hAnsi="Palatino Linotype" w:cs="Arial"/>
          <w:lang w:val="es-ES_tradnl"/>
        </w:rPr>
        <w:t xml:space="preserve"> expedido</w:t>
      </w:r>
      <w:r w:rsidR="00366861">
        <w:rPr>
          <w:rFonts w:ascii="Palatino Linotype" w:hAnsi="Palatino Linotype" w:cs="Arial"/>
          <w:lang w:val="es-ES_tradnl"/>
        </w:rPr>
        <w:t>s</w:t>
      </w:r>
      <w:r w:rsidRPr="000151A7">
        <w:rPr>
          <w:rFonts w:ascii="Palatino Linotype" w:hAnsi="Palatino Linotype" w:cs="Arial"/>
          <w:lang w:val="es-ES_tradnl"/>
        </w:rPr>
        <w:t>. Por lo tanto, acceder a</w:t>
      </w:r>
      <w:r>
        <w:rPr>
          <w:rFonts w:ascii="Palatino Linotype" w:hAnsi="Palatino Linotype" w:cs="Arial"/>
          <w:lang w:val="es-ES_tradnl"/>
        </w:rPr>
        <w:t xml:space="preserve"> </w:t>
      </w:r>
      <w:r w:rsidRPr="000151A7">
        <w:rPr>
          <w:rFonts w:ascii="Palatino Linotype" w:hAnsi="Palatino Linotype" w:cs="Arial"/>
          <w:lang w:val="es-ES_tradnl"/>
        </w:rPr>
        <w:t>l</w:t>
      </w:r>
      <w:r>
        <w:rPr>
          <w:rFonts w:ascii="Palatino Linotype" w:hAnsi="Palatino Linotype" w:cs="Arial"/>
          <w:lang w:val="es-ES_tradnl"/>
        </w:rPr>
        <w:t>os</w:t>
      </w:r>
      <w:r w:rsidRPr="000151A7">
        <w:rPr>
          <w:rFonts w:ascii="Palatino Linotype" w:hAnsi="Palatino Linotype" w:cs="Arial"/>
          <w:lang w:val="es-ES_tradnl"/>
        </w:rPr>
        <w:t xml:space="preserve"> documento</w:t>
      </w:r>
      <w:r>
        <w:rPr>
          <w:rFonts w:ascii="Palatino Linotype" w:hAnsi="Palatino Linotype" w:cs="Arial"/>
          <w:lang w:val="es-ES_tradnl"/>
        </w:rPr>
        <w:t>s</w:t>
      </w:r>
      <w:r w:rsidRPr="000151A7">
        <w:rPr>
          <w:rFonts w:ascii="Palatino Linotype" w:hAnsi="Palatino Linotype" w:cs="Arial"/>
          <w:lang w:val="es-ES_tradnl"/>
        </w:rPr>
        <w:t xml:space="preserve"> íntegro</w:t>
      </w:r>
      <w:r>
        <w:rPr>
          <w:rFonts w:ascii="Palatino Linotype" w:hAnsi="Palatino Linotype" w:cs="Arial"/>
          <w:lang w:val="es-ES_tradnl"/>
        </w:rPr>
        <w:t>s</w:t>
      </w:r>
      <w:r w:rsidRPr="000151A7">
        <w:rPr>
          <w:rFonts w:ascii="Palatino Linotype" w:hAnsi="Palatino Linotype" w:cs="Arial"/>
          <w:lang w:val="es-ES_tradnl"/>
        </w:rPr>
        <w:t xml:space="preserve"> es la medida idónea para que el particular satisfaga su interés de verificar que las personas que desempeñan tales cargos cumplen con los requisitos señalados en la ley, lo cual permite asegurar el ejercicio del control popular sobre los actos de gobierno, fortalece la cultura de la rendición de cuentas al acreditar que los funcionarios públicos cumplen con el perfil señalado en la ley para desempeñarlo y fortalecen el debate informado de la sociedad democrática. Restar cualquier elemento a la documental, reduce su valor y disminuye sensiblemente la información que aporta al debate público.</w:t>
      </w:r>
    </w:p>
    <w:p w14:paraId="14D4BD07"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58DB8BB2" w14:textId="732CE276" w:rsidR="007053DB" w:rsidRPr="007053DB" w:rsidRDefault="007053DB" w:rsidP="000D03A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Juicio de necesidad.</w:t>
      </w:r>
    </w:p>
    <w:p w14:paraId="798B04C1" w14:textId="77777777" w:rsidR="007053DB" w:rsidRPr="000D03A0" w:rsidRDefault="007053DB"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79D31263" w14:textId="674E2F4E"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Para </w:t>
      </w:r>
      <w:r w:rsidRPr="000151A7">
        <w:rPr>
          <w:rFonts w:ascii="Palatino Linotype" w:hAnsi="Palatino Linotype" w:cs="Arial"/>
          <w:lang w:val="es-ES_tradnl"/>
        </w:rPr>
        <w:t xml:space="preserve">que el particular vea satisfecha su pretensión y su derecho sea respetado, es </w:t>
      </w:r>
      <w:r w:rsidRPr="000151A7">
        <w:rPr>
          <w:rFonts w:ascii="Palatino Linotype" w:hAnsi="Palatino Linotype" w:cs="Arial"/>
          <w:b/>
          <w:lang w:val="es-ES_tradnl"/>
        </w:rPr>
        <w:t>necesario</w:t>
      </w:r>
      <w:r w:rsidRPr="000151A7">
        <w:rPr>
          <w:rFonts w:ascii="Palatino Linotype" w:hAnsi="Palatino Linotype" w:cs="Arial"/>
          <w:lang w:val="es-ES_tradnl"/>
        </w:rPr>
        <w:t xml:space="preserve"> que acceda a</w:t>
      </w:r>
      <w:r>
        <w:rPr>
          <w:rFonts w:ascii="Palatino Linotype" w:hAnsi="Palatino Linotype" w:cs="Arial"/>
          <w:lang w:val="es-ES_tradnl"/>
        </w:rPr>
        <w:t xml:space="preserve"> </w:t>
      </w:r>
      <w:r w:rsidRPr="000151A7">
        <w:rPr>
          <w:rFonts w:ascii="Palatino Linotype" w:hAnsi="Palatino Linotype" w:cs="Arial"/>
          <w:lang w:val="es-ES_tradnl"/>
        </w:rPr>
        <w:t>l</w:t>
      </w:r>
      <w:r>
        <w:rPr>
          <w:rFonts w:ascii="Palatino Linotype" w:hAnsi="Palatino Linotype" w:cs="Arial"/>
          <w:lang w:val="es-ES_tradnl"/>
        </w:rPr>
        <w:t>os</w:t>
      </w:r>
      <w:r w:rsidRPr="000151A7">
        <w:rPr>
          <w:rFonts w:ascii="Palatino Linotype" w:hAnsi="Palatino Linotype" w:cs="Arial"/>
          <w:lang w:val="es-ES_tradnl"/>
        </w:rPr>
        <w:t xml:space="preserve"> documento</w:t>
      </w:r>
      <w:r>
        <w:rPr>
          <w:rFonts w:ascii="Palatino Linotype" w:hAnsi="Palatino Linotype" w:cs="Arial"/>
          <w:lang w:val="es-ES_tradnl"/>
        </w:rPr>
        <w:t xml:space="preserve">s </w:t>
      </w:r>
      <w:r w:rsidR="00366861">
        <w:rPr>
          <w:rFonts w:ascii="Palatino Linotype" w:hAnsi="Palatino Linotype" w:cs="Arial"/>
          <w:lang w:val="es-ES_tradnl"/>
        </w:rPr>
        <w:t>donde conste</w:t>
      </w:r>
      <w:r>
        <w:rPr>
          <w:rFonts w:ascii="Palatino Linotype" w:hAnsi="Palatino Linotype" w:cs="Arial"/>
          <w:lang w:val="es-ES_tradnl"/>
        </w:rPr>
        <w:t xml:space="preserve"> la información curricular del personal de la Contraloría,</w:t>
      </w:r>
      <w:r w:rsidRPr="000151A7">
        <w:rPr>
          <w:rFonts w:ascii="Palatino Linotype" w:hAnsi="Palatino Linotype" w:cs="Arial"/>
          <w:lang w:val="es-ES_tradnl"/>
        </w:rPr>
        <w:t xml:space="preserve"> </w:t>
      </w:r>
      <w:r>
        <w:rPr>
          <w:rFonts w:ascii="Palatino Linotype" w:hAnsi="Palatino Linotype" w:cs="Arial"/>
          <w:lang w:val="es-ES_tradnl"/>
        </w:rPr>
        <w:t>junto con</w:t>
      </w:r>
      <w:r w:rsidRPr="000151A7">
        <w:rPr>
          <w:rFonts w:ascii="Palatino Linotype" w:hAnsi="Palatino Linotype" w:cs="Arial"/>
          <w:lang w:val="es-ES_tradnl"/>
        </w:rPr>
        <w:t xml:space="preserve"> todos los elementos que lo componen, </w:t>
      </w:r>
      <w:r>
        <w:rPr>
          <w:rFonts w:ascii="Palatino Linotype" w:hAnsi="Palatino Linotype" w:cs="Arial"/>
          <w:lang w:val="es-ES_tradnl"/>
        </w:rPr>
        <w:t>los</w:t>
      </w:r>
      <w:r w:rsidRPr="000151A7">
        <w:rPr>
          <w:rFonts w:ascii="Palatino Linotype" w:hAnsi="Palatino Linotype" w:cs="Arial"/>
          <w:lang w:val="es-ES_tradnl"/>
        </w:rPr>
        <w:t xml:space="preserve"> nombre</w:t>
      </w:r>
      <w:r>
        <w:rPr>
          <w:rFonts w:ascii="Palatino Linotype" w:hAnsi="Palatino Linotype" w:cs="Arial"/>
          <w:lang w:val="es-ES_tradnl"/>
        </w:rPr>
        <w:t>s</w:t>
      </w:r>
      <w:r w:rsidRPr="000151A7">
        <w:rPr>
          <w:rFonts w:ascii="Palatino Linotype" w:hAnsi="Palatino Linotype" w:cs="Arial"/>
          <w:lang w:val="es-ES_tradnl"/>
        </w:rPr>
        <w:t xml:space="preserve"> asentado</w:t>
      </w:r>
      <w:r>
        <w:rPr>
          <w:rFonts w:ascii="Palatino Linotype" w:hAnsi="Palatino Linotype" w:cs="Arial"/>
          <w:lang w:val="es-ES_tradnl"/>
        </w:rPr>
        <w:t>s</w:t>
      </w:r>
      <w:r w:rsidRPr="000151A7">
        <w:rPr>
          <w:rFonts w:ascii="Palatino Linotype" w:hAnsi="Palatino Linotype" w:cs="Arial"/>
          <w:lang w:val="es-ES_tradnl"/>
        </w:rPr>
        <w:t xml:space="preserve"> en l</w:t>
      </w:r>
      <w:r>
        <w:rPr>
          <w:rFonts w:ascii="Palatino Linotype" w:hAnsi="Palatino Linotype" w:cs="Arial"/>
          <w:lang w:val="es-ES_tradnl"/>
        </w:rPr>
        <w:t>os</w:t>
      </w:r>
      <w:r w:rsidRPr="000151A7">
        <w:rPr>
          <w:rFonts w:ascii="Palatino Linotype" w:hAnsi="Palatino Linotype" w:cs="Arial"/>
          <w:lang w:val="es-ES_tradnl"/>
        </w:rPr>
        <w:t xml:space="preserve"> documento</w:t>
      </w:r>
      <w:r>
        <w:rPr>
          <w:rFonts w:ascii="Palatino Linotype" w:hAnsi="Palatino Linotype" w:cs="Arial"/>
          <w:lang w:val="es-ES_tradnl"/>
        </w:rPr>
        <w:t>s</w:t>
      </w:r>
      <w:r w:rsidRPr="000151A7">
        <w:rPr>
          <w:rFonts w:ascii="Palatino Linotype" w:hAnsi="Palatino Linotype" w:cs="Arial"/>
          <w:lang w:val="es-ES_tradnl"/>
        </w:rPr>
        <w:t xml:space="preserve"> puede</w:t>
      </w:r>
      <w:r>
        <w:rPr>
          <w:rFonts w:ascii="Palatino Linotype" w:hAnsi="Palatino Linotype" w:cs="Arial"/>
          <w:lang w:val="es-ES_tradnl"/>
        </w:rPr>
        <w:t>n</w:t>
      </w:r>
      <w:r w:rsidRPr="000151A7">
        <w:rPr>
          <w:rFonts w:ascii="Palatino Linotype" w:hAnsi="Palatino Linotype" w:cs="Arial"/>
          <w:lang w:val="es-ES_tradnl"/>
        </w:rPr>
        <w:t xml:space="preserve"> ser contrastado</w:t>
      </w:r>
      <w:r>
        <w:rPr>
          <w:rFonts w:ascii="Palatino Linotype" w:hAnsi="Palatino Linotype" w:cs="Arial"/>
          <w:lang w:val="es-ES_tradnl"/>
        </w:rPr>
        <w:t>s</w:t>
      </w:r>
      <w:r w:rsidRPr="000151A7">
        <w:rPr>
          <w:rFonts w:ascii="Palatino Linotype" w:hAnsi="Palatino Linotype" w:cs="Arial"/>
          <w:lang w:val="es-ES_tradnl"/>
        </w:rPr>
        <w:t xml:space="preserve"> con cualquier otro documento en posesión del particular para verificar que se trate de la misma persona; lo mismo ocurre con el caso del año de expedición para efectos de acreditar la antigüedad; y la fotografía permite apreciar que los rasgos físicos corresponden a la perso</w:t>
      </w:r>
      <w:r>
        <w:rPr>
          <w:rFonts w:ascii="Palatino Linotype" w:hAnsi="Palatino Linotype" w:cs="Arial"/>
          <w:lang w:val="es-ES_tradnl"/>
        </w:rPr>
        <w:t>na que ocupa la función pública.</w:t>
      </w:r>
      <w:r w:rsidRPr="000151A7">
        <w:rPr>
          <w:rFonts w:ascii="Palatino Linotype" w:hAnsi="Palatino Linotype" w:cs="Arial"/>
          <w:lang w:val="es-ES_tradnl"/>
        </w:rPr>
        <w:t xml:space="preserve"> Impedir el acceso a alguno de los elementos que integran dichos documentos resta todo su valor y utilidad para los propósitos legítimos del particular por lo que resulta </w:t>
      </w:r>
      <w:r w:rsidRPr="000151A7">
        <w:rPr>
          <w:rFonts w:ascii="Palatino Linotype" w:hAnsi="Palatino Linotype" w:cs="Arial"/>
          <w:b/>
          <w:lang w:val="es-ES_tradnl"/>
        </w:rPr>
        <w:t>necesario</w:t>
      </w:r>
      <w:r w:rsidRPr="000151A7">
        <w:rPr>
          <w:rFonts w:ascii="Palatino Linotype" w:hAnsi="Palatino Linotype" w:cs="Arial"/>
          <w:lang w:val="es-ES_tradnl"/>
        </w:rPr>
        <w:t xml:space="preserve"> que se conserven en el documento que será entregado.</w:t>
      </w:r>
    </w:p>
    <w:p w14:paraId="4064662C"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711CFE2E" w14:textId="6100C6E0" w:rsidR="007053DB" w:rsidRPr="007053DB" w:rsidRDefault="007053DB" w:rsidP="000D03A0">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Juicio de estricta proporcionalidad.</w:t>
      </w:r>
    </w:p>
    <w:p w14:paraId="00502945" w14:textId="77777777" w:rsidR="007053DB" w:rsidRPr="000D03A0" w:rsidRDefault="007053DB"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7842F7D0" w14:textId="20CAAC60" w:rsidR="000D03A0" w:rsidRPr="007053DB"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La </w:t>
      </w:r>
      <w:r w:rsidRPr="000151A7">
        <w:rPr>
          <w:rFonts w:ascii="Palatino Linotype" w:hAnsi="Palatino Linotype" w:cs="Arial"/>
          <w:lang w:val="es-ES_tradnl"/>
        </w:rPr>
        <w:t xml:space="preserve">medida propuesta debe ser estrictamente proporcional y constituir la mínima afectación posible al otro derecho involucrado, de tal forma que el de protección de datos personales retroceda en la estricta e indispensable proporción para que el de acceso a la información prevalezca, sin que, desde luego, desaparezca el primero. En este caso es evidente que para que el particular pueda acceder </w:t>
      </w:r>
      <w:r w:rsidR="008369DF">
        <w:rPr>
          <w:rFonts w:ascii="Palatino Linotype" w:hAnsi="Palatino Linotype" w:cs="Arial"/>
          <w:lang w:val="es-ES_tradnl"/>
        </w:rPr>
        <w:t xml:space="preserve">a los documentos donde conste la información curricular del personal de la Contraloría Municipal, </w:t>
      </w:r>
      <w:r w:rsidRPr="000151A7">
        <w:rPr>
          <w:rFonts w:ascii="Palatino Linotype" w:hAnsi="Palatino Linotype" w:cs="Arial"/>
          <w:lang w:val="es-ES_tradnl"/>
        </w:rPr>
        <w:t xml:space="preserve">con la finalidad de generarse los elementos necesarios que le permitan manifestar, de manera libre e informada, su expresión o sus ideas, y en este caso en particular para realizar el control popular de los actos de gobierno, es estrictamente </w:t>
      </w:r>
      <w:r w:rsidRPr="000151A7">
        <w:rPr>
          <w:rFonts w:ascii="Palatino Linotype" w:hAnsi="Palatino Linotype" w:cs="Arial"/>
          <w:lang w:val="es-ES_tradnl"/>
        </w:rPr>
        <w:lastRenderedPageBreak/>
        <w:t>necesario que acceda a los documentos que lo acrediten, los cuales se integra</w:t>
      </w:r>
      <w:r w:rsidR="008369DF">
        <w:rPr>
          <w:rFonts w:ascii="Palatino Linotype" w:hAnsi="Palatino Linotype" w:cs="Arial"/>
          <w:lang w:val="es-ES_tradnl"/>
        </w:rPr>
        <w:t>n</w:t>
      </w:r>
      <w:r w:rsidRPr="000151A7">
        <w:rPr>
          <w:rFonts w:ascii="Palatino Linotype" w:hAnsi="Palatino Linotype" w:cs="Arial"/>
          <w:lang w:val="es-ES_tradnl"/>
        </w:rPr>
        <w:t xml:space="preserve"> por una serie de elementos cuya concurrencia simultánea generan una certeza indudable. Por lo tanto, permitirle el acceso a las documentales íntegras es la medida estrictamente proporcional indispensable que satisface completamente estos requerimientos. Es la mínima necesaria ya que, por ejemplo, no traslada el requerimiento a otros datos adicionales que pudieran contenerse en, por ejemplo, certificados de estudios, entre los cuales podríamos señalar las calificaciones correspondientes a determinadas materias o algún otro elemento adicional.</w:t>
      </w:r>
    </w:p>
    <w:p w14:paraId="76683E4A"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0AB14A4D" w14:textId="32EAB6EA"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151A7">
        <w:rPr>
          <w:rFonts w:ascii="Palatino Linotype" w:hAnsi="Palatino Linotype" w:cs="Arial"/>
          <w:lang w:val="es-ES_tradnl"/>
        </w:rPr>
        <w:t>sentido contrario, testar la</w:t>
      </w:r>
      <w:r w:rsidR="008369DF">
        <w:rPr>
          <w:rFonts w:ascii="Palatino Linotype" w:hAnsi="Palatino Linotype" w:cs="Arial"/>
          <w:lang w:val="es-ES_tradnl"/>
        </w:rPr>
        <w:t>s</w:t>
      </w:r>
      <w:r w:rsidRPr="000151A7">
        <w:rPr>
          <w:rFonts w:ascii="Palatino Linotype" w:hAnsi="Palatino Linotype" w:cs="Arial"/>
          <w:lang w:val="es-ES_tradnl"/>
        </w:rPr>
        <w:t xml:space="preserve"> fotografía</w:t>
      </w:r>
      <w:r w:rsidR="008369DF">
        <w:rPr>
          <w:rFonts w:ascii="Palatino Linotype" w:hAnsi="Palatino Linotype" w:cs="Arial"/>
          <w:lang w:val="es-ES_tradnl"/>
        </w:rPr>
        <w:t>s que pudieran obrar en los documentos</w:t>
      </w:r>
      <w:r w:rsidRPr="000151A7">
        <w:rPr>
          <w:rFonts w:ascii="Palatino Linotype" w:hAnsi="Palatino Linotype" w:cs="Arial"/>
          <w:lang w:val="es-ES_tradnl"/>
        </w:rPr>
        <w:t xml:space="preserve"> imp</w:t>
      </w:r>
      <w:r w:rsidR="008369DF">
        <w:rPr>
          <w:rFonts w:ascii="Palatino Linotype" w:hAnsi="Palatino Linotype" w:cs="Arial"/>
          <w:lang w:val="es-ES_tradnl"/>
        </w:rPr>
        <w:t>ediría</w:t>
      </w:r>
      <w:r w:rsidRPr="000151A7">
        <w:rPr>
          <w:rFonts w:ascii="Palatino Linotype" w:hAnsi="Palatino Linotype" w:cs="Arial"/>
          <w:lang w:val="es-ES_tradnl"/>
        </w:rPr>
        <w:t xml:space="preserve"> que el particular cuente con los elementos necesarios e indispensables para apreciar que las personas que ocupan dichos cargos </w:t>
      </w:r>
      <w:r w:rsidR="008369DF" w:rsidRPr="000151A7">
        <w:rPr>
          <w:rFonts w:ascii="Palatino Linotype" w:hAnsi="Palatino Linotype" w:cs="Arial"/>
          <w:lang w:val="es-ES_tradnl"/>
        </w:rPr>
        <w:t>correspondan</w:t>
      </w:r>
      <w:r w:rsidRPr="000151A7">
        <w:rPr>
          <w:rFonts w:ascii="Palatino Linotype" w:hAnsi="Palatino Linotype" w:cs="Arial"/>
          <w:lang w:val="es-ES_tradnl"/>
        </w:rPr>
        <w:t xml:space="preserve"> con las señaladas como titulares de los documentos respectivos.</w:t>
      </w:r>
    </w:p>
    <w:p w14:paraId="1B7AFAF5"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4041C7D6" w14:textId="43E4A085" w:rsidR="000D03A0" w:rsidRPr="000D03A0" w:rsidRDefault="008369DF"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Así las cosas</w:t>
      </w:r>
      <w:r w:rsidR="007A596B">
        <w:rPr>
          <w:rFonts w:ascii="Palatino Linotype" w:hAnsi="Palatino Linotype" w:cs="Arial"/>
          <w:color w:val="000000" w:themeColor="text1"/>
        </w:rPr>
        <w:t xml:space="preserve">, en lo que corresponde a la fotografía contenida en el </w:t>
      </w:r>
      <w:r w:rsidR="007A596B">
        <w:rPr>
          <w:rFonts w:ascii="Palatino Linotype" w:hAnsi="Palatino Linotype" w:cs="Arial"/>
          <w:i/>
          <w:color w:val="000000" w:themeColor="text1"/>
        </w:rPr>
        <w:t>currículum</w:t>
      </w:r>
      <w:r w:rsidR="007A596B">
        <w:rPr>
          <w:rFonts w:ascii="Palatino Linotype" w:hAnsi="Palatino Linotype" w:cs="Arial"/>
          <w:color w:val="000000" w:themeColor="text1"/>
        </w:rPr>
        <w:t xml:space="preserve"> o ficha curricular de los servidores públicos adscritos a la Contraloría Municipal, vale</w:t>
      </w:r>
      <w:r w:rsidR="007053DB">
        <w:rPr>
          <w:rFonts w:ascii="Palatino Linotype" w:hAnsi="Palatino Linotype" w:cs="Arial"/>
          <w:color w:val="000000" w:themeColor="text1"/>
        </w:rPr>
        <w:t xml:space="preserve"> </w:t>
      </w:r>
      <w:r w:rsidR="007053DB" w:rsidRPr="000151A7">
        <w:rPr>
          <w:rFonts w:ascii="Palatino Linotype" w:hAnsi="Palatino Linotype" w:cs="Arial"/>
          <w:lang w:val="es-ES_tradnl"/>
        </w:rPr>
        <w:t xml:space="preserve">la pena acudir a </w:t>
      </w:r>
      <w:r w:rsidR="00B22A82" w:rsidRPr="000151A7">
        <w:rPr>
          <w:rFonts w:ascii="Palatino Linotype" w:hAnsi="Palatino Linotype" w:cs="Arial"/>
          <w:lang w:val="es-ES_tradnl"/>
        </w:rPr>
        <w:t xml:space="preserve">Criterios </w:t>
      </w:r>
      <w:r w:rsidR="007053DB" w:rsidRPr="000151A7">
        <w:rPr>
          <w:rFonts w:ascii="Palatino Linotype" w:hAnsi="Palatino Linotype" w:cs="Arial"/>
          <w:lang w:val="es-ES_tradnl"/>
        </w:rPr>
        <w:t xml:space="preserve">de </w:t>
      </w:r>
      <w:r w:rsidR="00B22A82" w:rsidRPr="000151A7">
        <w:rPr>
          <w:rFonts w:ascii="Palatino Linotype" w:hAnsi="Palatino Linotype" w:cs="Arial"/>
          <w:lang w:val="es-ES_tradnl"/>
        </w:rPr>
        <w:t xml:space="preserve">Interpretación Constitucional </w:t>
      </w:r>
      <w:r w:rsidR="007053DB" w:rsidRPr="000151A7">
        <w:rPr>
          <w:rFonts w:ascii="Palatino Linotype" w:hAnsi="Palatino Linotype" w:cs="Arial"/>
          <w:lang w:val="es-ES_tradnl"/>
        </w:rPr>
        <w:t xml:space="preserve">bajo el recurso del intérprete externo, según lo recomienda el Dr. </w:t>
      </w:r>
      <w:proofErr w:type="spellStart"/>
      <w:r w:rsidR="007053DB" w:rsidRPr="000151A7">
        <w:rPr>
          <w:rFonts w:ascii="Palatino Linotype" w:hAnsi="Palatino Linotype" w:cs="Arial"/>
          <w:lang w:val="es-ES_tradnl"/>
        </w:rPr>
        <w:t>Nestor</w:t>
      </w:r>
      <w:proofErr w:type="spellEnd"/>
      <w:r w:rsidR="007053DB" w:rsidRPr="000151A7">
        <w:rPr>
          <w:rFonts w:ascii="Palatino Linotype" w:hAnsi="Palatino Linotype" w:cs="Arial"/>
          <w:lang w:val="es-ES_tradnl"/>
        </w:rPr>
        <w:t xml:space="preserve"> Pedro </w:t>
      </w:r>
      <w:proofErr w:type="spellStart"/>
      <w:r w:rsidR="007053DB" w:rsidRPr="000151A7">
        <w:rPr>
          <w:rFonts w:ascii="Palatino Linotype" w:hAnsi="Palatino Linotype" w:cs="Arial"/>
          <w:lang w:val="es-ES_tradnl"/>
        </w:rPr>
        <w:t>Sagüés</w:t>
      </w:r>
      <w:proofErr w:type="spellEnd"/>
      <w:r w:rsidR="007053DB" w:rsidRPr="000151A7">
        <w:rPr>
          <w:rFonts w:ascii="Palatino Linotype" w:hAnsi="Palatino Linotype" w:cs="Arial"/>
          <w:lang w:val="es-ES_tradnl"/>
        </w:rPr>
        <w:t>.</w:t>
      </w:r>
      <w:r w:rsidR="007053DB" w:rsidRPr="000151A7">
        <w:rPr>
          <w:rFonts w:ascii="Palatino Linotype" w:hAnsi="Palatino Linotype"/>
          <w:vertAlign w:val="superscript"/>
          <w:lang w:val="es-ES_tradnl"/>
        </w:rPr>
        <w:footnoteReference w:id="16"/>
      </w:r>
      <w:r w:rsidR="007053DB" w:rsidRPr="000151A7">
        <w:rPr>
          <w:rFonts w:ascii="Palatino Linotype" w:hAnsi="Palatino Linotype" w:cs="Arial"/>
          <w:lang w:val="es-ES_tradnl"/>
        </w:rPr>
        <w:t xml:space="preserve"> Para ello se acude a la interpretación de las más Altas Cortes, en primer lugar</w:t>
      </w:r>
      <w:r w:rsidR="00B22A82">
        <w:rPr>
          <w:rFonts w:ascii="Palatino Linotype" w:hAnsi="Palatino Linotype" w:cs="Arial"/>
          <w:lang w:val="es-ES_tradnl"/>
        </w:rPr>
        <w:t>,</w:t>
      </w:r>
      <w:r w:rsidR="007053DB" w:rsidRPr="000151A7">
        <w:rPr>
          <w:rFonts w:ascii="Palatino Linotype" w:hAnsi="Palatino Linotype" w:cs="Arial"/>
          <w:lang w:val="es-ES_tradnl"/>
        </w:rPr>
        <w:t xml:space="preserve"> el Tribunal Constitucional Alemán y</w:t>
      </w:r>
      <w:r w:rsidR="00B22A82">
        <w:rPr>
          <w:rFonts w:ascii="Palatino Linotype" w:hAnsi="Palatino Linotype" w:cs="Arial"/>
          <w:lang w:val="es-ES_tradnl"/>
        </w:rPr>
        <w:t>,</w:t>
      </w:r>
      <w:r w:rsidR="007053DB" w:rsidRPr="000151A7">
        <w:rPr>
          <w:rFonts w:ascii="Palatino Linotype" w:hAnsi="Palatino Linotype" w:cs="Arial"/>
          <w:lang w:val="es-ES_tradnl"/>
        </w:rPr>
        <w:t xml:space="preserve"> en segundo término</w:t>
      </w:r>
      <w:r w:rsidR="00B22A82">
        <w:rPr>
          <w:rFonts w:ascii="Palatino Linotype" w:hAnsi="Palatino Linotype" w:cs="Arial"/>
          <w:lang w:val="es-ES_tradnl"/>
        </w:rPr>
        <w:t>,</w:t>
      </w:r>
      <w:r w:rsidR="007053DB" w:rsidRPr="000151A7">
        <w:rPr>
          <w:rFonts w:ascii="Palatino Linotype" w:hAnsi="Palatino Linotype" w:cs="Arial"/>
          <w:lang w:val="es-ES_tradnl"/>
        </w:rPr>
        <w:t xml:space="preserve"> el Tribunal de Estrasburgo.</w:t>
      </w:r>
    </w:p>
    <w:p w14:paraId="1EA8EC31" w14:textId="77777777" w:rsidR="000D03A0" w:rsidRP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11CC77B4" w14:textId="4E2265C1" w:rsidR="000D03A0" w:rsidRPr="000D03A0"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lastRenderedPageBreak/>
        <w:t xml:space="preserve">El </w:t>
      </w:r>
      <w:r w:rsidRPr="000151A7">
        <w:rPr>
          <w:rFonts w:ascii="Palatino Linotype" w:hAnsi="Palatino Linotype" w:cs="Arial"/>
          <w:lang w:val="es-ES_tradnl"/>
        </w:rPr>
        <w:t>Tribunal Constitucional Alemán en su sentencia sobre el espionaje acústico masivo, de 3 de marzo de 2004 (</w:t>
      </w:r>
      <w:proofErr w:type="spellStart"/>
      <w:r w:rsidRPr="000151A7">
        <w:rPr>
          <w:rFonts w:ascii="Palatino Linotype" w:hAnsi="Palatino Linotype" w:cs="Arial"/>
          <w:lang w:val="es-ES_tradnl"/>
        </w:rPr>
        <w:t>BVerfGE</w:t>
      </w:r>
      <w:proofErr w:type="spellEnd"/>
      <w:r w:rsidRPr="000151A7">
        <w:rPr>
          <w:rFonts w:ascii="Palatino Linotype" w:hAnsi="Palatino Linotype" w:cs="Arial"/>
          <w:lang w:val="es-ES_tradnl"/>
        </w:rPr>
        <w:t xml:space="preserve"> 190, 279) señala:</w:t>
      </w:r>
    </w:p>
    <w:p w14:paraId="5179D3DD" w14:textId="77777777" w:rsidR="000D03A0" w:rsidRDefault="000D03A0"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343DA61E" w14:textId="77777777" w:rsidR="007053DB" w:rsidRPr="007053DB" w:rsidRDefault="007053DB" w:rsidP="007053DB">
      <w:pPr>
        <w:spacing w:line="276" w:lineRule="auto"/>
        <w:ind w:left="567" w:right="567"/>
        <w:contextualSpacing/>
        <w:jc w:val="both"/>
        <w:rPr>
          <w:rFonts w:ascii="Palatino Linotype" w:hAnsi="Palatino Linotype" w:cs="Arial"/>
          <w:i/>
          <w:sz w:val="22"/>
          <w:lang w:val="es-ES_tradnl"/>
        </w:rPr>
      </w:pPr>
      <w:r w:rsidRPr="007053DB">
        <w:rPr>
          <w:rFonts w:ascii="Palatino Linotype" w:hAnsi="Palatino Linotype" w:cs="Arial"/>
          <w:i/>
          <w:sz w:val="22"/>
          <w:lang w:val="es-ES_tradnl"/>
        </w:rPr>
        <w:t xml:space="preserve">“a) Para ver si una medida limitadora de derechos fundamentales es proporcionada, resulta decisiva la intensidad de la injerencia. Por ello es de importancia saber cuántas personas se ven afectadas y cuán intensas son las afecciones, y si estas personas han dado motivos para ello (vid. </w:t>
      </w:r>
      <w:proofErr w:type="spellStart"/>
      <w:r w:rsidRPr="007053DB">
        <w:rPr>
          <w:rFonts w:ascii="Palatino Linotype" w:hAnsi="Palatino Linotype" w:cs="Arial"/>
          <w:i/>
          <w:sz w:val="22"/>
          <w:lang w:val="es-ES_tradnl"/>
        </w:rPr>
        <w:t>BVerfGE</w:t>
      </w:r>
      <w:proofErr w:type="spellEnd"/>
      <w:r w:rsidRPr="007053DB">
        <w:rPr>
          <w:rFonts w:ascii="Palatino Linotype" w:hAnsi="Palatino Linotype" w:cs="Arial"/>
          <w:i/>
          <w:sz w:val="22"/>
          <w:lang w:val="es-ES_tradnl"/>
        </w:rPr>
        <w:t xml:space="preserve"> 100, 313, 376). El peso de la afectación depende de si los afectados permanecen anónimos como personas, de qué circunstancias y contenidos de la comunicación pueden ser abarcados y que perjuicios amenazan a los titulares de derechos fundamentales desde la medida de vigilancia o que ellos razonablemente temen (vid. </w:t>
      </w:r>
      <w:proofErr w:type="spellStart"/>
      <w:r w:rsidRPr="007053DB">
        <w:rPr>
          <w:rFonts w:ascii="Palatino Linotype" w:hAnsi="Palatino Linotype" w:cs="Arial"/>
          <w:i/>
          <w:sz w:val="22"/>
          <w:lang w:val="es-ES_tradnl"/>
        </w:rPr>
        <w:t>BVerfGE</w:t>
      </w:r>
      <w:proofErr w:type="spellEnd"/>
      <w:r w:rsidRPr="007053DB">
        <w:rPr>
          <w:rFonts w:ascii="Palatino Linotype" w:hAnsi="Palatino Linotype" w:cs="Arial"/>
          <w:i/>
          <w:sz w:val="22"/>
          <w:lang w:val="es-ES_tradnl"/>
        </w:rPr>
        <w:t xml:space="preserve"> 100, 313, 376; 107, 299, 320). Además, la situación también es diferente dependiendo de si las medidas de investigación tienen lugar en una vivienda privada o en espacios industriales o comerciales y de si se ven afectados terceros no sospechosos y del número de estos”.</w:t>
      </w:r>
      <w:r w:rsidRPr="007053DB">
        <w:rPr>
          <w:rFonts w:ascii="Palatino Linotype" w:hAnsi="Palatino Linotype" w:cs="Arial"/>
          <w:i/>
          <w:sz w:val="22"/>
          <w:vertAlign w:val="superscript"/>
          <w:lang w:val="es-ES_tradnl"/>
        </w:rPr>
        <w:footnoteReference w:id="17"/>
      </w:r>
    </w:p>
    <w:p w14:paraId="443CCB2D" w14:textId="77777777" w:rsidR="007053DB" w:rsidRPr="000D03A0" w:rsidRDefault="007053DB" w:rsidP="000D03A0">
      <w:pPr>
        <w:pStyle w:val="Prrafodelista"/>
        <w:tabs>
          <w:tab w:val="left" w:pos="426"/>
        </w:tabs>
        <w:spacing w:before="240" w:after="240" w:line="360" w:lineRule="auto"/>
        <w:ind w:left="0" w:right="51"/>
        <w:jc w:val="both"/>
        <w:rPr>
          <w:rFonts w:ascii="Palatino Linotype" w:hAnsi="Palatino Linotype"/>
          <w:color w:val="000000" w:themeColor="text1"/>
        </w:rPr>
      </w:pPr>
    </w:p>
    <w:p w14:paraId="67E26A91" w14:textId="079B5DBD" w:rsidR="000D03A0" w:rsidRPr="007053DB"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 xml:space="preserve">Por </w:t>
      </w:r>
      <w:r w:rsidRPr="000151A7">
        <w:rPr>
          <w:rFonts w:ascii="Palatino Linotype" w:hAnsi="Palatino Linotype" w:cs="Arial"/>
          <w:lang w:val="es-ES_tradnl"/>
        </w:rPr>
        <w:t xml:space="preserve">su parte el Tribunal Europeo de Derechos Humanos, al analizar temas relacionados con el uso de fotografías ha centrado su análisis en determinar el ámbito en el que éstas se localizan, según se aprecia en la sentencia del Asunto </w:t>
      </w:r>
      <w:proofErr w:type="spellStart"/>
      <w:r w:rsidRPr="000151A7">
        <w:rPr>
          <w:rFonts w:ascii="Palatino Linotype" w:hAnsi="Palatino Linotype" w:cs="Arial"/>
          <w:lang w:val="es-ES_tradnl"/>
        </w:rPr>
        <w:t>Von</w:t>
      </w:r>
      <w:proofErr w:type="spellEnd"/>
      <w:r w:rsidRPr="000151A7">
        <w:rPr>
          <w:rFonts w:ascii="Palatino Linotype" w:hAnsi="Palatino Linotype" w:cs="Arial"/>
          <w:lang w:val="es-ES_tradnl"/>
        </w:rPr>
        <w:t xml:space="preserve"> Hannover c. Alemania, de 24 de junio de 2004, señalando lo siguiente:</w:t>
      </w:r>
    </w:p>
    <w:p w14:paraId="5EA8E00D" w14:textId="77777777" w:rsid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2094ADF6" w14:textId="77777777" w:rsidR="007053DB" w:rsidRPr="007053DB" w:rsidRDefault="007053DB" w:rsidP="007053DB">
      <w:pPr>
        <w:tabs>
          <w:tab w:val="left" w:pos="567"/>
        </w:tabs>
        <w:spacing w:line="276" w:lineRule="auto"/>
        <w:ind w:left="567" w:right="567"/>
        <w:jc w:val="both"/>
        <w:rPr>
          <w:rFonts w:ascii="Palatino Linotype" w:hAnsi="Palatino Linotype" w:cs="Arial"/>
          <w:i/>
          <w:sz w:val="22"/>
          <w:lang w:val="es-ES_tradnl"/>
        </w:rPr>
      </w:pPr>
      <w:r w:rsidRPr="007053DB">
        <w:rPr>
          <w:rFonts w:ascii="Palatino Linotype" w:hAnsi="Palatino Linotype" w:cs="Arial"/>
          <w:i/>
          <w:sz w:val="22"/>
          <w:lang w:val="es-ES_tradnl"/>
        </w:rPr>
        <w:t xml:space="preserve">“52. En el caso de fotografías, la Comisión, para determinar el alcance de la protección que otorga el artículo 8 contra la injerencia arbitraria de las autoridades públicas, examinó si eran referentes a un ámbito privado o a incidentes públicos, y si los elementos así obtenidos estaban destinados a un uso limitado o podían ser accesibles al público en </w:t>
      </w:r>
      <w:r w:rsidRPr="007053DB">
        <w:rPr>
          <w:rFonts w:ascii="Palatino Linotype" w:hAnsi="Palatino Linotype" w:cs="Arial"/>
          <w:i/>
          <w:sz w:val="22"/>
          <w:lang w:val="es-ES_tradnl"/>
        </w:rPr>
        <w:lastRenderedPageBreak/>
        <w:t xml:space="preserve">general (ver, mutatis mutandis, Sentencia </w:t>
      </w:r>
      <w:proofErr w:type="spellStart"/>
      <w:r w:rsidRPr="007053DB">
        <w:rPr>
          <w:rFonts w:ascii="Palatino Linotype" w:hAnsi="Palatino Linotype" w:cs="Arial"/>
          <w:i/>
          <w:sz w:val="22"/>
          <w:lang w:val="es-ES_tradnl"/>
        </w:rPr>
        <w:t>Friedl</w:t>
      </w:r>
      <w:proofErr w:type="spellEnd"/>
      <w:r w:rsidRPr="007053DB">
        <w:rPr>
          <w:rFonts w:ascii="Palatino Linotype" w:hAnsi="Palatino Linotype" w:cs="Arial"/>
          <w:i/>
          <w:sz w:val="22"/>
          <w:lang w:val="es-ES_tradnl"/>
        </w:rPr>
        <w:t xml:space="preserve"> contra Austria de 31 de enero de 1995, serie A núm. 305-B, acuerdo amistoso, Dictamen de la Comisión, pg. 21, </w:t>
      </w:r>
      <w:proofErr w:type="spellStart"/>
      <w:r w:rsidRPr="007053DB">
        <w:rPr>
          <w:rFonts w:ascii="Palatino Linotype" w:hAnsi="Palatino Linotype" w:cs="Arial"/>
          <w:i/>
          <w:sz w:val="22"/>
          <w:lang w:val="es-ES_tradnl"/>
        </w:rPr>
        <w:t>aps</w:t>
      </w:r>
      <w:proofErr w:type="spellEnd"/>
      <w:r w:rsidRPr="007053DB">
        <w:rPr>
          <w:rFonts w:ascii="Palatino Linotype" w:hAnsi="Palatino Linotype" w:cs="Arial"/>
          <w:i/>
          <w:sz w:val="22"/>
          <w:lang w:val="es-ES_tradnl"/>
        </w:rPr>
        <w:t>. 49-52, PG y JH anteriormente citada, ap. 58 y Peck, previamente citada, ap. 61)”.</w:t>
      </w:r>
      <w:r w:rsidRPr="007053DB">
        <w:rPr>
          <w:rFonts w:ascii="Palatino Linotype" w:hAnsi="Palatino Linotype" w:cs="Arial"/>
          <w:i/>
          <w:sz w:val="22"/>
          <w:vertAlign w:val="superscript"/>
          <w:lang w:val="es-ES_tradnl"/>
        </w:rPr>
        <w:footnoteReference w:id="18"/>
      </w:r>
    </w:p>
    <w:p w14:paraId="73165A2F"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6E67C325" w14:textId="1057372D" w:rsidR="007053DB" w:rsidRPr="007053DB" w:rsidRDefault="007A596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val="es-ES_tradnl"/>
        </w:rPr>
        <w:t>Como hemos abordado en el estudio de la presente resolución,</w:t>
      </w:r>
      <w:r w:rsidR="007053DB" w:rsidRPr="000151A7">
        <w:rPr>
          <w:rFonts w:ascii="Palatino Linotype" w:hAnsi="Palatino Linotype" w:cs="Arial"/>
          <w:lang w:val="es-ES_tradnl"/>
        </w:rPr>
        <w:t xml:space="preserve"> la expedición de un</w:t>
      </w:r>
      <w:r w:rsidR="007053DB">
        <w:rPr>
          <w:rFonts w:ascii="Palatino Linotype" w:hAnsi="Palatino Linotype" w:cs="Arial"/>
          <w:lang w:val="es-ES_tradnl"/>
        </w:rPr>
        <w:t xml:space="preserve"> </w:t>
      </w:r>
      <w:proofErr w:type="spellStart"/>
      <w:r w:rsidR="007053DB" w:rsidRPr="00B22A82">
        <w:rPr>
          <w:rFonts w:ascii="Palatino Linotype" w:hAnsi="Palatino Linotype" w:cs="Arial"/>
          <w:i/>
          <w:lang w:val="es-ES_tradnl"/>
        </w:rPr>
        <w:t>curriculum</w:t>
      </w:r>
      <w:proofErr w:type="spellEnd"/>
      <w:r w:rsidR="007053DB">
        <w:rPr>
          <w:rFonts w:ascii="Palatino Linotype" w:hAnsi="Palatino Linotype" w:cs="Arial"/>
          <w:lang w:val="es-ES_tradnl"/>
        </w:rPr>
        <w:t xml:space="preserve"> o ficha curricular </w:t>
      </w:r>
      <w:r w:rsidR="007053DB" w:rsidRPr="000151A7">
        <w:rPr>
          <w:rFonts w:ascii="Palatino Linotype" w:hAnsi="Palatino Linotype" w:cs="Arial"/>
          <w:lang w:val="es-ES_tradnl"/>
        </w:rPr>
        <w:t>o documento análogo tienen como finalidad el acreditar que una persona determinada cuenta con</w:t>
      </w:r>
      <w:r w:rsidR="007053DB">
        <w:rPr>
          <w:rFonts w:ascii="Palatino Linotype" w:hAnsi="Palatino Linotype" w:cs="Arial"/>
          <w:lang w:val="es-ES_tradnl"/>
        </w:rPr>
        <w:t xml:space="preserve"> un </w:t>
      </w:r>
      <w:r w:rsidR="007053DB" w:rsidRPr="000151A7">
        <w:rPr>
          <w:rFonts w:ascii="Palatino Linotype" w:hAnsi="Palatino Linotype" w:cs="Arial"/>
          <w:lang w:val="es-ES_tradnl"/>
        </w:rPr>
        <w:t>grado académico respectivo o experiencia profesional, lo que resulta indispensable para efectos de su práctica laboral toda vez que es perfectamente razonable que, aún en terreno de las relaciones entre particulares, cuando establezca cualquier relación de prestación de servicios, la contraparte contratante ejerza su derecho a verificar que la persona con la que está estableciendo una relación determinada, cuenta con la experiencia o el grado académico respectivo, lo que debería de constituir una obligación agravada de comprobación del perfil profesional cuando la prestación de los servicios profesionales se sitúa en el ámbito de la esfera pública en cargos que no son resultado de un proceso de elección popular, sino que se ubican en la esfera de la administración pública y, más aún, cuando se trata de cargos directivos que, para ser ocupados, deben cumplir con determinados requisitos expresamente señalados por la ley.</w:t>
      </w:r>
    </w:p>
    <w:p w14:paraId="0FA82F6A"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1DB65815" w14:textId="72AAF4C1" w:rsidR="007053DB" w:rsidRPr="007053DB" w:rsidRDefault="007053D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val="es-ES_tradnl"/>
        </w:rPr>
        <w:t xml:space="preserve">Es </w:t>
      </w:r>
      <w:r w:rsidRPr="000151A7">
        <w:rPr>
          <w:rFonts w:ascii="Palatino Linotype" w:hAnsi="Palatino Linotype" w:cs="Arial"/>
          <w:lang w:val="es-ES_tradnl"/>
        </w:rPr>
        <w:t>en atención a las consideraciones antes señaladas que un</w:t>
      </w:r>
      <w:r>
        <w:rPr>
          <w:rFonts w:ascii="Palatino Linotype" w:hAnsi="Palatino Linotype" w:cs="Arial"/>
          <w:lang w:val="es-ES_tradnl"/>
        </w:rPr>
        <w:t xml:space="preserve"> </w:t>
      </w:r>
      <w:proofErr w:type="spellStart"/>
      <w:r w:rsidRPr="00B22A82">
        <w:rPr>
          <w:rFonts w:ascii="Palatino Linotype" w:hAnsi="Palatino Linotype" w:cs="Arial"/>
          <w:i/>
          <w:lang w:val="es-ES_tradnl"/>
        </w:rPr>
        <w:t>curriculum</w:t>
      </w:r>
      <w:proofErr w:type="spellEnd"/>
      <w:r w:rsidRPr="00B22A82">
        <w:rPr>
          <w:rFonts w:ascii="Palatino Linotype" w:hAnsi="Palatino Linotype" w:cs="Arial"/>
          <w:i/>
          <w:lang w:val="es-ES_tradnl"/>
        </w:rPr>
        <w:t xml:space="preserve"> vitae</w:t>
      </w:r>
      <w:r>
        <w:rPr>
          <w:rFonts w:ascii="Palatino Linotype" w:hAnsi="Palatino Linotype" w:cs="Arial"/>
          <w:lang w:val="es-ES_tradnl"/>
        </w:rPr>
        <w:t xml:space="preserve"> o ficha curricular </w:t>
      </w:r>
      <w:r w:rsidRPr="000151A7">
        <w:rPr>
          <w:rFonts w:ascii="Palatino Linotype" w:hAnsi="Palatino Linotype" w:cs="Arial"/>
          <w:lang w:val="es-ES_tradnl"/>
        </w:rPr>
        <w:t xml:space="preserve">se integran por un conjunto de elementos cuya concurrencia </w:t>
      </w:r>
      <w:r w:rsidRPr="000151A7">
        <w:rPr>
          <w:rFonts w:ascii="Palatino Linotype" w:hAnsi="Palatino Linotype" w:cs="Arial"/>
          <w:lang w:val="es-ES_tradnl"/>
        </w:rPr>
        <w:lastRenderedPageBreak/>
        <w:t>simultánea permiten identificar clara e indubitablemente que una perso</w:t>
      </w:r>
      <w:r>
        <w:rPr>
          <w:rFonts w:ascii="Palatino Linotype" w:hAnsi="Palatino Linotype" w:cs="Arial"/>
          <w:lang w:val="es-ES_tradnl"/>
        </w:rPr>
        <w:t>na determinada cuenta con capacidad</w:t>
      </w:r>
      <w:r w:rsidRPr="000151A7">
        <w:rPr>
          <w:rFonts w:ascii="Palatino Linotype" w:hAnsi="Palatino Linotype" w:cs="Arial"/>
          <w:lang w:val="es-ES_tradnl"/>
        </w:rPr>
        <w:t xml:space="preserve"> para desempeñar una </w:t>
      </w:r>
      <w:r>
        <w:rPr>
          <w:rFonts w:ascii="Palatino Linotype" w:hAnsi="Palatino Linotype" w:cs="Arial"/>
          <w:lang w:val="es-ES_tradnl"/>
        </w:rPr>
        <w:t>función</w:t>
      </w:r>
      <w:r w:rsidRPr="000151A7">
        <w:rPr>
          <w:rFonts w:ascii="Palatino Linotype" w:hAnsi="Palatino Linotype" w:cs="Arial"/>
          <w:lang w:val="es-ES_tradnl"/>
        </w:rPr>
        <w:t xml:space="preserve">. Para que </w:t>
      </w:r>
      <w:r w:rsidRPr="000151A7">
        <w:rPr>
          <w:rFonts w:ascii="Palatino Linotype" w:hAnsi="Palatino Linotype" w:cs="Arial"/>
        </w:rPr>
        <w:t>el particular</w:t>
      </w:r>
      <w:r w:rsidRPr="000151A7">
        <w:rPr>
          <w:rFonts w:ascii="Palatino Linotype" w:hAnsi="Palatino Linotype" w:cs="Arial"/>
          <w:b/>
        </w:rPr>
        <w:t xml:space="preserve"> </w:t>
      </w:r>
      <w:r w:rsidRPr="000151A7">
        <w:rPr>
          <w:rFonts w:ascii="Palatino Linotype" w:hAnsi="Palatino Linotype" w:cs="Arial"/>
          <w:lang w:val="es-ES_tradnl"/>
        </w:rPr>
        <w:t>pueda acceder en plenitud a su derecho de acceso a la información pública, debería de entregársele el documento integro, es decir, sin que se teste</w:t>
      </w:r>
      <w:r>
        <w:rPr>
          <w:rFonts w:ascii="Palatino Linotype" w:hAnsi="Palatino Linotype" w:cs="Arial"/>
          <w:lang w:val="es-ES_tradnl"/>
        </w:rPr>
        <w:t xml:space="preserve"> la fotografía</w:t>
      </w:r>
      <w:r w:rsidRPr="000151A7">
        <w:rPr>
          <w:rFonts w:ascii="Palatino Linotype" w:hAnsi="Palatino Linotype" w:cs="Arial"/>
          <w:lang w:val="es-ES_tradnl"/>
        </w:rPr>
        <w:t>, actuar de forma contraria resulta una carga desproporcionada que limita su derecho, afecta el ejercicio de control popular de los actos de gobierno, debilita el debate público informado que, a la larga, sólo puede contribuir al fortalecimiento de la sociedad democrática.</w:t>
      </w:r>
    </w:p>
    <w:p w14:paraId="422F9D12"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4312FB86" w14:textId="54E3192F" w:rsidR="007053DB" w:rsidRPr="007053DB" w:rsidRDefault="00B22A82"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val="es-ES_tradnl"/>
        </w:rPr>
        <w:t xml:space="preserve">Luego entonces, de ser el caso de que los documentos donde conste la información curricular del personal adscrito a la Contraloría Municipal cuenten con fotografía de los servidores públicos, se deberán entregar sin testar este dato personal </w:t>
      </w:r>
      <w:r>
        <w:rPr>
          <w:rFonts w:ascii="Palatino Linotype" w:hAnsi="Palatino Linotype" w:cs="Arial"/>
          <w:b/>
          <w:lang w:val="es-ES_tradnl"/>
        </w:rPr>
        <w:t>siempre y cuando los servidores públicos en cuestión ostenten un mando medio o superior</w:t>
      </w:r>
      <w:r>
        <w:rPr>
          <w:rFonts w:ascii="Palatino Linotype" w:hAnsi="Palatino Linotype" w:cs="Arial"/>
          <w:lang w:val="es-ES_tradnl"/>
        </w:rPr>
        <w:t>, como lo es el Titular de Área Administrativa o Jefe de Departamento.</w:t>
      </w:r>
    </w:p>
    <w:p w14:paraId="37A991C8"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09B0F4C5" w14:textId="2E03509A" w:rsidR="007053DB" w:rsidRPr="007053DB" w:rsidRDefault="00B22A82"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lang w:val="es-ES_tradnl"/>
        </w:rPr>
        <w:t xml:space="preserve">Lo anterior es así ya que el Pleno de este Órgano Garante reconoce que la esfera de protección de datos personales de las personas que ocupen puestos públicos, incondicionalmente debe ser más reducida que la de la ciudadanía, al ser los primeros representantes directos de los entes públicos en los que se desempeñan profesionalmente y, por ende, estar sujetos a un escrutinio público continuo. Sin embargo, también deben diferenciarse los niveles jerárquicos que existen en la administración pública, pues el grado de responsabilidad en funciones será </w:t>
      </w:r>
      <w:r>
        <w:rPr>
          <w:rFonts w:ascii="Palatino Linotype" w:hAnsi="Palatino Linotype" w:cs="Arial"/>
          <w:lang w:val="es-ES_tradnl"/>
        </w:rPr>
        <w:lastRenderedPageBreak/>
        <w:t>inmensamente distinto entre el Titular de un área administrativa al de, por ejemplo, un Auxiliar.</w:t>
      </w:r>
    </w:p>
    <w:p w14:paraId="7F4A821D" w14:textId="77777777" w:rsidR="007053DB" w:rsidRPr="007053DB" w:rsidRDefault="007053DB" w:rsidP="007053DB">
      <w:pPr>
        <w:pStyle w:val="Prrafodelista"/>
        <w:tabs>
          <w:tab w:val="left" w:pos="426"/>
        </w:tabs>
        <w:spacing w:before="240" w:after="240" w:line="360" w:lineRule="auto"/>
        <w:ind w:left="0" w:right="51"/>
        <w:jc w:val="both"/>
        <w:rPr>
          <w:rFonts w:ascii="Palatino Linotype" w:hAnsi="Palatino Linotype"/>
          <w:color w:val="000000" w:themeColor="text1"/>
        </w:rPr>
      </w:pPr>
    </w:p>
    <w:p w14:paraId="3DBA893D" w14:textId="6C7C9BC4" w:rsidR="007053DB" w:rsidRPr="007053DB" w:rsidRDefault="00B22A82"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ello al ser representantes de sus áreas y departamentos, </w:t>
      </w:r>
      <w:r w:rsidR="007A596B">
        <w:rPr>
          <w:rFonts w:ascii="Palatino Linotype" w:hAnsi="Palatino Linotype"/>
          <w:color w:val="000000" w:themeColor="text1"/>
        </w:rPr>
        <w:t xml:space="preserve">la difusión de </w:t>
      </w:r>
      <w:r>
        <w:rPr>
          <w:rFonts w:ascii="Palatino Linotype" w:hAnsi="Palatino Linotype"/>
          <w:color w:val="000000" w:themeColor="text1"/>
        </w:rPr>
        <w:t xml:space="preserve">la fotografía de los servidores públicos que ostentan un cargo, empleo o comisión </w:t>
      </w:r>
      <w:r w:rsidR="007A596B">
        <w:rPr>
          <w:rFonts w:ascii="Palatino Linotype" w:hAnsi="Palatino Linotype"/>
          <w:color w:val="000000" w:themeColor="text1"/>
        </w:rPr>
        <w:t xml:space="preserve">de rango medio o alto, permite a la ciudadanía conocer a los Titulares de cada una de las áreas que conforman al </w:t>
      </w:r>
      <w:r w:rsidR="007A596B">
        <w:rPr>
          <w:rFonts w:ascii="Palatino Linotype" w:hAnsi="Palatino Linotype"/>
          <w:b/>
          <w:color w:val="000000" w:themeColor="text1"/>
        </w:rPr>
        <w:t>SUJETO OBLIGADO</w:t>
      </w:r>
      <w:r w:rsidR="007A596B">
        <w:rPr>
          <w:rFonts w:ascii="Palatino Linotype" w:hAnsi="Palatino Linotype"/>
          <w:color w:val="000000" w:themeColor="text1"/>
        </w:rPr>
        <w:t>. Distinto es el caso de dar a conocer la identidad del personal que no posee un mando medio o superior, pues sus funciones son en lo general de índole administrativa.</w:t>
      </w:r>
    </w:p>
    <w:p w14:paraId="1CCD1758"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4F9CA8D2" w14:textId="7242A274" w:rsidR="00311F9B" w:rsidRPr="00311F9B" w:rsidRDefault="000D03A0" w:rsidP="00311F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IV</w:t>
      </w:r>
      <w:r w:rsidR="00311F9B">
        <w:rPr>
          <w:rFonts w:ascii="Palatino Linotype" w:hAnsi="Palatino Linotype"/>
          <w:b/>
          <w:color w:val="000000" w:themeColor="text1"/>
        </w:rPr>
        <w:t>. La intervención del Comité de Transparencia.</w:t>
      </w:r>
    </w:p>
    <w:p w14:paraId="48056179" w14:textId="2B30ECC8" w:rsidR="00311F9B" w:rsidRPr="00311F9B" w:rsidRDefault="00311F9B" w:rsidP="00311F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6C37F7CC"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0FE03D92" w14:textId="77777777" w:rsidR="00311F9B" w:rsidRPr="00074535"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Times New Roman"/>
          <w:lang w:eastAsia="es-ES_tradnl"/>
        </w:rPr>
      </w:pPr>
      <w:r>
        <w:rPr>
          <w:rFonts w:ascii="Palatino Linotype" w:hAnsi="Palatino Linotype"/>
          <w:color w:val="000000" w:themeColor="text1"/>
        </w:rPr>
        <w:t xml:space="preserve">El </w:t>
      </w:r>
      <w:r w:rsidRPr="00034B44">
        <w:rPr>
          <w:rFonts w:ascii="Palatino Linotype" w:hAnsi="Palatino Linotype" w:cs="Arial"/>
          <w:color w:val="000000" w:themeColor="text1"/>
        </w:rPr>
        <w:t xml:space="preserve">Comité de Transparencia, según lo dispuesto en los artículos 128 y 103 de la Ley Estatal y de la Ley General, respectivamente, y </w:t>
      </w:r>
      <w:r w:rsidRPr="00034B44">
        <w:rPr>
          <w:rFonts w:ascii="Palatino Linotype" w:hAnsi="Palatino Linotype"/>
        </w:rPr>
        <w:t xml:space="preserve">la fracción III del numeral Segundo de los </w:t>
      </w:r>
      <w:r w:rsidRPr="00BE1A6D">
        <w:rPr>
          <w:rFonts w:ascii="Palatino Linotype" w:hAnsi="Palatino Linotype" w:cs="Arial"/>
          <w:i/>
          <w:color w:val="000000" w:themeColor="text1"/>
        </w:rPr>
        <w:t>Lineamientos Generales en Materia de Clasificación y Desclasificación de la Información, así como para la Elaboración de Versiones Públicas</w:t>
      </w:r>
      <w:r w:rsidRPr="00034B44">
        <w:rPr>
          <w:rFonts w:ascii="Palatino Linotype" w:hAnsi="Palatino Linotype" w:cs="Arial"/>
          <w:color w:val="000000" w:themeColor="text1"/>
        </w:rPr>
        <w:t>, en adelante los Lineamientos Generales,</w:t>
      </w:r>
      <w:r w:rsidRPr="00034B44">
        <w:rPr>
          <w:rFonts w:ascii="Palatino Linotype" w:hAnsi="Palatino Linotype"/>
        </w:rPr>
        <w:t xml:space="preserve"> </w:t>
      </w:r>
      <w:r w:rsidRPr="00034B44">
        <w:rPr>
          <w:rFonts w:ascii="Palatino Linotype" w:hAnsi="Palatino Linotype" w:cs="Arial"/>
          <w:color w:val="000000" w:themeColor="text1"/>
        </w:rPr>
        <w:t xml:space="preserve">cuenta con las facultades para </w:t>
      </w:r>
      <w:r w:rsidRPr="009B1205">
        <w:rPr>
          <w:rFonts w:ascii="Palatino Linotype" w:hAnsi="Palatino Linotype" w:cs="Arial"/>
          <w:b/>
          <w:color w:val="000000" w:themeColor="text1"/>
          <w:u w:val="single"/>
        </w:rPr>
        <w:t>confirmar, modificar o revocar</w:t>
      </w:r>
      <w:r w:rsidRPr="00034B44">
        <w:rPr>
          <w:rFonts w:ascii="Palatino Linotype" w:hAnsi="Palatino Linotype" w:cs="Arial"/>
          <w:color w:val="000000" w:themeColor="text1"/>
        </w:rPr>
        <w:t xml:space="preserve"> la clasificación de la información que ha hecho el titular del área que administra la información. Por lo tanto, el Comité </w:t>
      </w:r>
      <w:r w:rsidRPr="009B1205">
        <w:rPr>
          <w:rFonts w:ascii="Palatino Linotype" w:hAnsi="Palatino Linotype" w:cs="Arial"/>
          <w:b/>
          <w:color w:val="000000" w:themeColor="text1"/>
          <w:u w:val="single"/>
        </w:rPr>
        <w:t>no aprueba</w:t>
      </w:r>
      <w:r w:rsidRPr="00034B44">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14:paraId="28A6CA41"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eastAsia="Times New Roman" w:hAnsi="Palatino Linotype" w:cs="Times New Roman"/>
          <w:lang w:eastAsia="es-ES_tradnl"/>
        </w:rPr>
      </w:pPr>
    </w:p>
    <w:p w14:paraId="21A9ECA4"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sidRPr="00034B44">
        <w:rPr>
          <w:rFonts w:ascii="Palatino Linotype" w:hAnsi="Palatino Linotype" w:cs="Arial"/>
          <w:color w:val="000000" w:themeColor="text1"/>
        </w:rPr>
        <w:lastRenderedPageBreak/>
        <w:t xml:space="preserve">Evidentemente, esta decisión implica una restricción a un derecho humano, por lo tanto, puede generar un agravio al particular y, en consecuencia, es necesario que </w:t>
      </w:r>
      <w:r w:rsidRPr="00034B44">
        <w:rPr>
          <w:rFonts w:ascii="Palatino Linotype" w:hAnsi="Palatino Linotype" w:cs="Arial"/>
          <w:b/>
          <w:color w:val="000000" w:themeColor="text1"/>
          <w:u w:val="single"/>
        </w:rPr>
        <w:t>el acto reúna con los requisitos elementales</w:t>
      </w:r>
      <w:r w:rsidRPr="00034B44">
        <w:rPr>
          <w:rFonts w:ascii="Palatino Linotype" w:hAnsi="Palatino Linotype" w:cs="Arial"/>
          <w:color w:val="000000" w:themeColor="text1"/>
        </w:rPr>
        <w:t xml:space="preserve">, entre ellos, que la autoridad que va a emitir el acto de autoridad sea la legalmente facultada para ello, es decir, que cumpla con </w:t>
      </w:r>
      <w:r>
        <w:rPr>
          <w:rFonts w:ascii="Palatino Linotype" w:hAnsi="Palatino Linotype" w:cs="Arial"/>
          <w:color w:val="000000" w:themeColor="text1"/>
        </w:rPr>
        <w:t>el principio de reserva de ley,</w:t>
      </w:r>
      <w:r w:rsidRPr="00034B44">
        <w:rPr>
          <w:rFonts w:ascii="Palatino Linotype" w:hAnsi="Palatino Linotype" w:cs="Arial"/>
          <w:color w:val="000000" w:themeColor="text1"/>
        </w:rPr>
        <w:t xml:space="preserve">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EE81EEE" w14:textId="77777777" w:rsidR="00311F9B"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379C25D8" w14:textId="79F751A5"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34B44">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30552FB" w14:textId="77777777" w:rsidR="0011616D" w:rsidRDefault="0011616D"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20042832" w14:textId="3F268277" w:rsidR="00311F9B" w:rsidRPr="00311F9B" w:rsidRDefault="00311F9B" w:rsidP="00311F9B">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5A86C660"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3FB51724"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cs="Arial"/>
          <w:color w:val="000000" w:themeColor="text1"/>
        </w:rPr>
      </w:pPr>
      <w:r>
        <w:rPr>
          <w:rFonts w:ascii="Palatino Linotype" w:hAnsi="Palatino Linotype"/>
          <w:color w:val="000000" w:themeColor="text1"/>
        </w:rPr>
        <w:lastRenderedPageBreak/>
        <w:t xml:space="preserve">Como </w:t>
      </w:r>
      <w:r w:rsidRPr="00034B44">
        <w:rPr>
          <w:rFonts w:ascii="Palatino Linotype" w:hAnsi="Palatino Linotype" w:cs="Arial"/>
          <w:color w:val="000000" w:themeColor="text1"/>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w:t>
      </w:r>
      <w:r w:rsidRPr="00BE1A6D">
        <w:rPr>
          <w:rFonts w:ascii="Palatino Linotype" w:hAnsi="Palatino Linotype" w:cs="Arial"/>
          <w:b/>
          <w:color w:val="000000" w:themeColor="text1"/>
        </w:rPr>
        <w:t>fundar y motivar debidamente la clasificación</w:t>
      </w:r>
      <w:r w:rsidRPr="00034B44">
        <w:rPr>
          <w:rFonts w:ascii="Palatino Linotype" w:hAnsi="Palatino Linotype" w:cs="Arial"/>
          <w:color w:val="000000" w:themeColor="text1"/>
        </w:rPr>
        <w:t xml:space="preserve">. </w:t>
      </w:r>
    </w:p>
    <w:p w14:paraId="2145A17D"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hAnsi="Palatino Linotype" w:cs="Arial"/>
          <w:color w:val="000000" w:themeColor="text1"/>
        </w:rPr>
      </w:pPr>
    </w:p>
    <w:p w14:paraId="075107FD"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hAnsi="Palatino Linotype"/>
        </w:rPr>
      </w:pPr>
      <w:r w:rsidRPr="00034B44">
        <w:rPr>
          <w:rFonts w:ascii="Palatino Linotype" w:hAnsi="Palatino Linotype"/>
        </w:rPr>
        <w:t>De lo anterior se desprende que para</w:t>
      </w:r>
      <w:r>
        <w:rPr>
          <w:rFonts w:ascii="Palatino Linotype" w:hAnsi="Palatino Linotype"/>
        </w:rPr>
        <w:t xml:space="preserve"> realizar</w:t>
      </w:r>
      <w:r w:rsidRPr="00034B44">
        <w:rPr>
          <w:rFonts w:ascii="Palatino Linotype" w:hAnsi="Palatino Linotype"/>
        </w:rPr>
        <w:t xml:space="preserve"> una correcta clasificación total o parcial, esto es</w:t>
      </w:r>
      <w:r>
        <w:rPr>
          <w:rFonts w:ascii="Palatino Linotype" w:hAnsi="Palatino Linotype"/>
        </w:rPr>
        <w:t>,</w:t>
      </w:r>
      <w:r w:rsidRPr="00034B44">
        <w:rPr>
          <w:rFonts w:ascii="Palatino Linotype" w:hAnsi="Palatino Linotype"/>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AAC24A4" w14:textId="77777777" w:rsidR="00311F9B" w:rsidRDefault="00311F9B" w:rsidP="00311F9B">
      <w:pPr>
        <w:pStyle w:val="Prrafodelista"/>
        <w:tabs>
          <w:tab w:val="left" w:pos="142"/>
          <w:tab w:val="left" w:pos="284"/>
        </w:tabs>
        <w:spacing w:before="240" w:after="240" w:line="360" w:lineRule="auto"/>
        <w:ind w:left="0"/>
        <w:jc w:val="both"/>
        <w:rPr>
          <w:rFonts w:ascii="Palatino Linotype" w:hAnsi="Palatino Linotype"/>
        </w:rPr>
      </w:pPr>
    </w:p>
    <w:p w14:paraId="4906761A"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C028D5">
        <w:rPr>
          <w:rFonts w:ascii="Palatino Linotype" w:eastAsia="Times New Roman" w:hAnsi="Palatino Linotype" w:cs="Arial"/>
          <w:i/>
          <w:color w:val="222222"/>
          <w:lang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w:t>
      </w:r>
      <w:r w:rsidRPr="00C028D5">
        <w:rPr>
          <w:rFonts w:ascii="Palatino Linotype" w:eastAsia="Times New Roman" w:hAnsi="Palatino Linotype" w:cs="Arial"/>
          <w:i/>
          <w:color w:val="222222"/>
          <w:lang w:eastAsia="es-MX"/>
        </w:rPr>
        <w:lastRenderedPageBreak/>
        <w:t>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C6062">
        <w:rPr>
          <w:rFonts w:eastAsia="Times New Roman"/>
          <w:vertAlign w:val="superscript"/>
        </w:rPr>
        <w:footnoteReference w:id="19"/>
      </w:r>
    </w:p>
    <w:p w14:paraId="17EDAB13" w14:textId="77777777" w:rsidR="00311F9B" w:rsidRDefault="00311F9B" w:rsidP="00311F9B">
      <w:pPr>
        <w:pStyle w:val="Prrafodelista"/>
        <w:tabs>
          <w:tab w:val="left" w:pos="142"/>
          <w:tab w:val="left" w:pos="284"/>
        </w:tabs>
        <w:spacing w:before="240" w:after="240" w:line="360" w:lineRule="auto"/>
        <w:ind w:left="0"/>
        <w:jc w:val="both"/>
        <w:rPr>
          <w:rFonts w:ascii="Palatino Linotype" w:eastAsia="Times New Roman" w:hAnsi="Palatino Linotype" w:cs="Arial"/>
          <w:color w:val="222222"/>
          <w:lang w:eastAsia="es-MX"/>
        </w:rPr>
      </w:pPr>
    </w:p>
    <w:p w14:paraId="0A637114" w14:textId="13C8B366"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034B44">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14:paraId="7E4D09A6" w14:textId="77777777" w:rsidR="0011616D" w:rsidRDefault="0011616D" w:rsidP="00311F9B">
      <w:pPr>
        <w:pStyle w:val="Prrafodelista"/>
        <w:tabs>
          <w:tab w:val="left" w:pos="426"/>
        </w:tabs>
        <w:spacing w:before="240" w:line="360" w:lineRule="auto"/>
        <w:ind w:left="0" w:right="51"/>
        <w:jc w:val="both"/>
        <w:rPr>
          <w:rFonts w:ascii="Palatino Linotype" w:hAnsi="Palatino Linotype"/>
          <w:color w:val="000000" w:themeColor="text1"/>
        </w:rPr>
      </w:pPr>
    </w:p>
    <w:p w14:paraId="6A39B0FD" w14:textId="77777777" w:rsidR="00311F9B" w:rsidRDefault="00311F9B" w:rsidP="00311F9B">
      <w:pPr>
        <w:pStyle w:val="Sinespaciado"/>
        <w:ind w:left="851" w:right="567"/>
        <w:jc w:val="both"/>
        <w:rPr>
          <w:rFonts w:ascii="Palatino Linotype" w:hAnsi="Palatino Linotype"/>
          <w:i/>
          <w:sz w:val="22"/>
        </w:rPr>
      </w:pPr>
      <w:r w:rsidRPr="00BE1A6D">
        <w:rPr>
          <w:rFonts w:ascii="Palatino Linotype" w:hAnsi="Palatino Linotype"/>
          <w:b/>
          <w:i/>
          <w:sz w:val="22"/>
        </w:rPr>
        <w:t>FUNDAMENTACIÓN Y MOTIVACIÓN.</w:t>
      </w:r>
      <w:r w:rsidRPr="00BE1A6D">
        <w:rPr>
          <w:rFonts w:ascii="Palatino Linotype" w:hAnsi="Palatino Linotype"/>
          <w:i/>
          <w:sz w:val="22"/>
        </w:rPr>
        <w:t xml:space="preserve"> </w:t>
      </w:r>
      <w:r>
        <w:rPr>
          <w:rFonts w:ascii="Palatino Linotype" w:hAnsi="Palatino Linotype"/>
          <w:i/>
          <w:sz w:val="22"/>
        </w:rPr>
        <w:t>“</w:t>
      </w:r>
      <w:r w:rsidRPr="00BE1A6D">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Pr>
          <w:rFonts w:ascii="Palatino Linotype" w:hAnsi="Palatino Linotype"/>
          <w:i/>
          <w:sz w:val="22"/>
        </w:rPr>
        <w:t>”</w:t>
      </w:r>
    </w:p>
    <w:p w14:paraId="4247D94A" w14:textId="77777777" w:rsidR="00311F9B" w:rsidRPr="00BE1A6D" w:rsidRDefault="00311F9B" w:rsidP="00311F9B">
      <w:pPr>
        <w:pStyle w:val="Sinespaciado"/>
        <w:ind w:left="851" w:right="567"/>
        <w:jc w:val="both"/>
        <w:rPr>
          <w:rFonts w:ascii="Palatino Linotype" w:hAnsi="Palatino Linotype"/>
          <w:i/>
          <w:sz w:val="22"/>
        </w:rPr>
      </w:pPr>
    </w:p>
    <w:p w14:paraId="5967BDA1" w14:textId="77777777" w:rsidR="00311F9B" w:rsidRPr="00BE1A6D"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t>SEGUNDO TRIBUNAL COLEGIADO DEL SEXTO CIRCUITO.</w:t>
      </w:r>
    </w:p>
    <w:p w14:paraId="7BE2A9D8" w14:textId="77777777" w:rsidR="00311F9B" w:rsidRPr="00BE1A6D"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t>Amparo directo 194/88. Bufete Industrial Construcciones, S.A. de C.V. 28 de junio de 1988. Unanimidad de votos. Ponente: Gustavo Calvillo Rangel. Secretario: Jorge Alberto González Álvarez.</w:t>
      </w:r>
    </w:p>
    <w:p w14:paraId="419AB3F0" w14:textId="77777777" w:rsidR="00311F9B" w:rsidRPr="00BE1A6D"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t>Revisión fiscal 103/88. Instituto Mexicano del Seguro Social. 18 de octubre de 1988. Unanimidad de votos. Ponente: Arnoldo Nájera Virgen. Secretario: Alejandro Esponda Rincón.</w:t>
      </w:r>
    </w:p>
    <w:p w14:paraId="66F5CA63" w14:textId="77777777" w:rsidR="00311F9B" w:rsidRPr="00BE1A6D"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t>Amparo en revisión 333/88. Adilia Romero. 26 de octubre de 1988. Unanimidad de votos. Ponente: Arnoldo Nájera Virgen. Secretario: Enrique Crispín Campos Ramírez.</w:t>
      </w:r>
    </w:p>
    <w:p w14:paraId="7E622DC0" w14:textId="77777777" w:rsidR="00311F9B" w:rsidRPr="00BE1A6D"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t>Amparo en revisión 597/95. Emilio Maurer Bretón. 15 de noviembre de 1995. Unanimidad de votos. Ponente: Clementina Ramírez Moguel Goyzueta. Secretario: Gonzalo Carrera Molina.</w:t>
      </w:r>
    </w:p>
    <w:p w14:paraId="17820D46" w14:textId="77777777" w:rsidR="00311F9B" w:rsidRDefault="00311F9B" w:rsidP="00311F9B">
      <w:pPr>
        <w:pStyle w:val="Sinespaciado"/>
        <w:ind w:left="851" w:right="567"/>
        <w:jc w:val="both"/>
        <w:rPr>
          <w:rFonts w:ascii="Palatino Linotype" w:hAnsi="Palatino Linotype"/>
          <w:i/>
          <w:sz w:val="22"/>
        </w:rPr>
      </w:pPr>
      <w:r w:rsidRPr="00BE1A6D">
        <w:rPr>
          <w:rFonts w:ascii="Palatino Linotype" w:hAnsi="Palatino Linotype"/>
          <w:i/>
          <w:sz w:val="22"/>
        </w:rPr>
        <w:lastRenderedPageBreak/>
        <w:t xml:space="preserve">Amparo directo 7/96. Pedro Vicente López Miro. 21 de febrero de 1996. Unanimidad de votos. Ponente: María Eugenia Estela Martínez Cardiel. Secretario: Enrique </w:t>
      </w:r>
      <w:proofErr w:type="spellStart"/>
      <w:r w:rsidRPr="00BE1A6D">
        <w:rPr>
          <w:rFonts w:ascii="Palatino Linotype" w:hAnsi="Palatino Linotype"/>
          <w:i/>
          <w:sz w:val="22"/>
        </w:rPr>
        <w:t>Baigts</w:t>
      </w:r>
      <w:proofErr w:type="spellEnd"/>
      <w:r w:rsidRPr="00BE1A6D">
        <w:rPr>
          <w:rFonts w:ascii="Palatino Linotype" w:hAnsi="Palatino Linotype"/>
          <w:i/>
          <w:sz w:val="22"/>
        </w:rPr>
        <w:t xml:space="preserve"> Muñoz.</w:t>
      </w:r>
    </w:p>
    <w:p w14:paraId="2CD4E231" w14:textId="77777777" w:rsidR="00311F9B" w:rsidRDefault="00311F9B" w:rsidP="0011616D">
      <w:pPr>
        <w:pStyle w:val="Prrafodelista"/>
        <w:tabs>
          <w:tab w:val="left" w:pos="426"/>
        </w:tabs>
        <w:spacing w:before="240" w:after="240" w:line="360" w:lineRule="auto"/>
        <w:ind w:left="0" w:right="51"/>
        <w:jc w:val="both"/>
        <w:rPr>
          <w:rFonts w:ascii="Palatino Linotype" w:hAnsi="Palatino Linotype"/>
          <w:color w:val="000000" w:themeColor="text1"/>
        </w:rPr>
      </w:pPr>
    </w:p>
    <w:p w14:paraId="330C1278"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222222"/>
          <w:lang w:eastAsia="es-MX"/>
        </w:rPr>
      </w:pPr>
      <w:r>
        <w:rPr>
          <w:rFonts w:ascii="Palatino Linotype" w:hAnsi="Palatino Linotype"/>
          <w:color w:val="000000" w:themeColor="text1"/>
        </w:rPr>
        <w:t xml:space="preserve">Así, </w:t>
      </w:r>
      <w:r w:rsidRPr="00034B44">
        <w:rPr>
          <w:rFonts w:ascii="Palatino Linotype" w:eastAsia="Times New Roman" w:hAnsi="Palatino Linotype" w:cs="Arial"/>
          <w:color w:val="222222"/>
          <w:lang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12D50BF"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14:paraId="727F9057"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2D15B9C" w14:textId="77777777" w:rsidR="00311F9B" w:rsidRPr="002640C0" w:rsidRDefault="00311F9B" w:rsidP="00311F9B">
      <w:pPr>
        <w:pStyle w:val="Prrafodelista"/>
        <w:tabs>
          <w:tab w:val="left" w:pos="142"/>
          <w:tab w:val="left" w:pos="284"/>
        </w:tabs>
        <w:ind w:left="0"/>
        <w:rPr>
          <w:rFonts w:ascii="Palatino Linotype" w:eastAsia="Times New Roman" w:hAnsi="Palatino Linotype" w:cs="Arial"/>
          <w:color w:val="222222"/>
          <w:lang w:eastAsia="es-MX"/>
        </w:rPr>
      </w:pPr>
    </w:p>
    <w:p w14:paraId="54B428D7"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14:paraId="1E8FB0A6" w14:textId="77777777" w:rsidR="00311F9B" w:rsidRPr="00034B44" w:rsidRDefault="00311F9B" w:rsidP="00311F9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222222"/>
          <w:lang w:eastAsia="es-MX"/>
        </w:rPr>
      </w:pPr>
    </w:p>
    <w:p w14:paraId="0978A367" w14:textId="77777777" w:rsidR="00311F9B" w:rsidRPr="0083556D"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Times New Roman" w:hAnsi="Palatino Linotype" w:cs="Arial"/>
          <w:color w:val="222222"/>
          <w:lang w:eastAsia="es-MX"/>
        </w:rPr>
      </w:pPr>
      <w:r w:rsidRPr="00034B44">
        <w:rPr>
          <w:rFonts w:ascii="Palatino Linotype" w:eastAsia="Times New Roman" w:hAnsi="Palatino Linotype" w:cs="Arial"/>
          <w:color w:val="222222"/>
          <w:lang w:eastAsia="es-MX"/>
        </w:rPr>
        <w:t xml:space="preserve">Ahora bien, </w:t>
      </w:r>
      <w:r w:rsidRPr="00034B44">
        <w:rPr>
          <w:rFonts w:ascii="Palatino Linotype" w:eastAsia="Times New Roman" w:hAnsi="Palatino Linotype" w:cs="Arial"/>
          <w:b/>
          <w:color w:val="222222"/>
          <w:u w:val="single"/>
          <w:lang w:eastAsia="es-MX"/>
        </w:rPr>
        <w:t>para cada caso además de fundar y motivar</w:t>
      </w:r>
      <w:r w:rsidRPr="00034B44">
        <w:rPr>
          <w:rFonts w:ascii="Palatino Linotype" w:eastAsia="Times New Roman" w:hAnsi="Palatino Linotype" w:cs="Arial"/>
          <w:color w:val="222222"/>
          <w:lang w:eastAsia="es-MX"/>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034B44">
        <w:rPr>
          <w:rFonts w:ascii="Palatino Linotype" w:eastAsia="Times New Roman" w:hAnsi="Palatino Linotype" w:cs="Arial"/>
          <w:color w:val="222222"/>
          <w:lang w:eastAsia="es-MX"/>
        </w:rPr>
        <w:lastRenderedPageBreak/>
        <w:t>no así todos los datos contenidos en dicho documento que son</w:t>
      </w:r>
      <w:r w:rsidRPr="00034B44">
        <w:rPr>
          <w:rFonts w:ascii="Palatino Linotype" w:hAnsi="Palatino Linotype"/>
        </w:rPr>
        <w:t xml:space="preserve"> </w:t>
      </w:r>
      <w:r w:rsidRPr="00034B44">
        <w:rPr>
          <w:rFonts w:ascii="Palatino Linotype" w:eastAsia="Times New Roman" w:hAnsi="Palatino Linotype" w:cs="Arial"/>
          <w:color w:val="222222"/>
          <w:lang w:eastAsia="es-MX"/>
        </w:rPr>
        <w:t>datos personales</w:t>
      </w:r>
      <w:r w:rsidRPr="008C6062">
        <w:rPr>
          <w:rFonts w:eastAsia="Times New Roman"/>
          <w:vertAlign w:val="superscript"/>
        </w:rPr>
        <w:footnoteReference w:id="20"/>
      </w:r>
      <w:r w:rsidRPr="00034B44">
        <w:rPr>
          <w:rFonts w:ascii="Palatino Linotype" w:eastAsia="Times New Roman" w:hAnsi="Palatino Linotype" w:cs="Arial"/>
          <w:color w:val="222222"/>
          <w:lang w:eastAsia="es-MX"/>
        </w:rPr>
        <w:t xml:space="preserve"> del servidor público que no tienen ninguna injerencia en el tema de la transpare</w:t>
      </w:r>
      <w:r>
        <w:rPr>
          <w:rFonts w:ascii="Palatino Linotype" w:eastAsia="Times New Roman" w:hAnsi="Palatino Linotype" w:cs="Arial"/>
          <w:color w:val="222222"/>
          <w:lang w:eastAsia="es-MX"/>
        </w:rPr>
        <w:t>ncia y la rendición de cuentas,</w:t>
      </w:r>
      <w:r w:rsidRPr="00034B44">
        <w:rPr>
          <w:rFonts w:ascii="Palatino Linotype" w:eastAsia="Times New Roman" w:hAnsi="Palatino Linotype" w:cs="Arial"/>
          <w:color w:val="222222"/>
          <w:lang w:eastAsia="es-MX"/>
        </w:rPr>
        <w:t xml:space="preserve"> por ejemplo, </w:t>
      </w:r>
      <w:r w:rsidRPr="00034B44">
        <w:rPr>
          <w:rFonts w:ascii="Palatino Linotype" w:eastAsia="Calibri" w:hAnsi="Palatino Linotype" w:cs="Arial"/>
          <w:lang w:val="es-ES" w:eastAsia="es-MX"/>
        </w:rPr>
        <w:t>Clave Única de Registro de Población (CURP), Registro Federal de Contribuyentes (R.F.C.), clave de Cadenas Originales del Sellos Digitales y los Códigos Bidimensionales, también denominados Códigos QR,</w:t>
      </w:r>
      <w:r>
        <w:rPr>
          <w:rFonts w:ascii="Palatino Linotype" w:eastAsia="Calibri" w:hAnsi="Palatino Linotype" w:cs="Arial"/>
          <w:lang w:val="es-ES" w:eastAsia="es-MX"/>
        </w:rPr>
        <w:t xml:space="preserve"> son datos</w:t>
      </w:r>
      <w:r w:rsidRPr="00034B44">
        <w:rPr>
          <w:rFonts w:ascii="Palatino Linotype" w:eastAsia="Calibri" w:hAnsi="Palatino Linotype" w:cs="Arial"/>
          <w:lang w:val="es-ES" w:eastAsia="es-MX"/>
        </w:rPr>
        <w:t xml:space="preserve"> susceptibles de clasificarse como confidenciales mediante una versión pública que deje a la vista los datos que ofre</w:t>
      </w:r>
      <w:r>
        <w:rPr>
          <w:rFonts w:ascii="Palatino Linotype" w:eastAsia="Calibri" w:hAnsi="Palatino Linotype" w:cs="Arial"/>
          <w:lang w:val="es-ES" w:eastAsia="es-MX"/>
        </w:rPr>
        <w:t>zcan la información requerida.</w:t>
      </w:r>
    </w:p>
    <w:p w14:paraId="2060F49F" w14:textId="77777777" w:rsidR="00311F9B" w:rsidRPr="0083556D" w:rsidRDefault="00311F9B" w:rsidP="00311F9B">
      <w:pPr>
        <w:pStyle w:val="Prrafodelista"/>
        <w:tabs>
          <w:tab w:val="left" w:pos="142"/>
          <w:tab w:val="left" w:pos="284"/>
          <w:tab w:val="left" w:pos="426"/>
        </w:tabs>
        <w:ind w:left="0"/>
        <w:rPr>
          <w:rFonts w:ascii="Palatino Linotype" w:eastAsia="Times New Roman" w:hAnsi="Palatino Linotype" w:cs="Arial"/>
          <w:color w:val="222222"/>
          <w:lang w:eastAsia="es-MX"/>
        </w:rPr>
      </w:pPr>
    </w:p>
    <w:p w14:paraId="41093AC4" w14:textId="77777777" w:rsidR="00311F9B" w:rsidRDefault="00311F9B" w:rsidP="00311F9B">
      <w:pPr>
        <w:pStyle w:val="Prrafodelista"/>
        <w:numPr>
          <w:ilvl w:val="0"/>
          <w:numId w:val="1"/>
        </w:numPr>
        <w:tabs>
          <w:tab w:val="left" w:pos="142"/>
          <w:tab w:val="left" w:pos="284"/>
          <w:tab w:val="left" w:pos="426"/>
        </w:tabs>
        <w:spacing w:before="240" w:after="240" w:line="360" w:lineRule="auto"/>
        <w:jc w:val="both"/>
        <w:rPr>
          <w:rFonts w:ascii="Palatino Linotype" w:eastAsia="Calibri" w:hAnsi="Palatino Linotype" w:cs="Arial"/>
          <w:lang w:val="es-ES" w:eastAsia="es-MX"/>
        </w:rPr>
      </w:pPr>
      <w:r w:rsidRPr="00034B44">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A204427" w14:textId="77777777" w:rsidR="00311F9B" w:rsidRPr="00AF625F" w:rsidRDefault="00311F9B" w:rsidP="00311F9B">
      <w:pPr>
        <w:pStyle w:val="Prrafodelista"/>
        <w:tabs>
          <w:tab w:val="left" w:pos="142"/>
          <w:tab w:val="left" w:pos="284"/>
          <w:tab w:val="left" w:pos="426"/>
        </w:tabs>
        <w:ind w:left="0"/>
        <w:rPr>
          <w:rFonts w:ascii="Palatino Linotype" w:hAnsi="Palatino Linotype"/>
        </w:rPr>
      </w:pPr>
    </w:p>
    <w:p w14:paraId="7EB89AE6" w14:textId="62E34290" w:rsidR="0011616D" w:rsidRDefault="00311F9B" w:rsidP="00311F9B">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eastAsia="Calibri" w:hAnsi="Palatino Linotype" w:cs="Arial"/>
          <w:lang w:val="es-ES" w:eastAsia="es-MX"/>
        </w:rPr>
        <w:t>De las consideraciones señaladas, l</w:t>
      </w:r>
      <w:r w:rsidRPr="00D2623E">
        <w:rPr>
          <w:rFonts w:ascii="Palatino Linotype" w:eastAsia="Calibri" w:hAnsi="Palatino Linotype" w:cs="Arial"/>
          <w:lang w:val="es-ES" w:eastAsia="es-MX"/>
        </w:rPr>
        <w:t>os Sujetos Obligados deberán de elaborar las</w:t>
      </w:r>
      <w:r w:rsidRPr="00556B04">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w:t>
      </w:r>
      <w:r>
        <w:rPr>
          <w:rFonts w:ascii="Palatino Linotype" w:hAnsi="Palatino Linotype" w:cs="Arial"/>
        </w:rPr>
        <w:t xml:space="preserve">cuales se encuentra la emisión </w:t>
      </w:r>
      <w:r w:rsidRPr="00556B04">
        <w:rPr>
          <w:rFonts w:ascii="Palatino Linotype" w:hAnsi="Palatino Linotype" w:cs="Arial"/>
        </w:rPr>
        <w:t>del acuerdo respectivo del comité de transparencia, el que deberá adjuntarse a</w:t>
      </w:r>
      <w:r>
        <w:rPr>
          <w:rFonts w:ascii="Palatino Linotype" w:hAnsi="Palatino Linotype" w:cs="Arial"/>
        </w:rPr>
        <w:t xml:space="preserve"> la respuesta, de lo contrario s</w:t>
      </w:r>
      <w:r w:rsidRPr="00556B04">
        <w:rPr>
          <w:rFonts w:ascii="Palatino Linotype" w:hAnsi="Palatino Linotype" w:cs="Arial"/>
        </w:rPr>
        <w:t>e conside</w:t>
      </w:r>
      <w:r>
        <w:rPr>
          <w:rFonts w:ascii="Palatino Linotype" w:hAnsi="Palatino Linotype" w:cs="Arial"/>
        </w:rPr>
        <w:t xml:space="preserve">ran documentos </w:t>
      </w:r>
      <w:r w:rsidRPr="00556B04">
        <w:rPr>
          <w:rFonts w:ascii="Palatino Linotype" w:hAnsi="Palatino Linotype" w:cs="Arial"/>
        </w:rPr>
        <w:t xml:space="preserve">alterados </w:t>
      </w:r>
      <w:r>
        <w:rPr>
          <w:rFonts w:ascii="Palatino Linotype" w:hAnsi="Palatino Linotype" w:cs="Arial"/>
        </w:rPr>
        <w:t>o de clasificación fraudulenta.</w:t>
      </w:r>
    </w:p>
    <w:p w14:paraId="332F4FFD" w14:textId="77777777" w:rsidR="000D447F" w:rsidRDefault="000D447F" w:rsidP="000D447F">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3A2B6B0A" w:rsidR="00953B03" w:rsidRPr="00953B03" w:rsidRDefault="008C002E"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9" w:name="_Toc88071790"/>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29"/>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12D0EB8D" w:rsidR="00953B03" w:rsidRDefault="003B123F"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Luego de analizar</w:t>
      </w:r>
      <w:r w:rsidR="00791CA9">
        <w:rPr>
          <w:rFonts w:ascii="Palatino Linotype" w:hAnsi="Palatino Linotype"/>
          <w:color w:val="000000" w:themeColor="text1"/>
        </w:rPr>
        <w:t xml:space="preserve"> el marco legal y de competencia del </w:t>
      </w:r>
      <w:r w:rsidR="00791CA9">
        <w:rPr>
          <w:rFonts w:ascii="Palatino Linotype" w:hAnsi="Palatino Linotype"/>
          <w:b/>
          <w:color w:val="000000" w:themeColor="text1"/>
        </w:rPr>
        <w:t>SUJETO OBLIGADO</w:t>
      </w:r>
      <w:r w:rsidR="00791CA9">
        <w:rPr>
          <w:rFonts w:ascii="Palatino Linotype" w:hAnsi="Palatino Linotype"/>
          <w:color w:val="000000" w:themeColor="text1"/>
        </w:rPr>
        <w:t xml:space="preserve"> para poseer, generar y administrar la informaci</w:t>
      </w:r>
      <w:r w:rsidR="00A73C04">
        <w:rPr>
          <w:rFonts w:ascii="Palatino Linotype" w:hAnsi="Palatino Linotype"/>
          <w:color w:val="000000" w:themeColor="text1"/>
        </w:rPr>
        <w:t xml:space="preserve">ón, </w:t>
      </w:r>
      <w:r w:rsidR="007A596B">
        <w:rPr>
          <w:rFonts w:ascii="Palatino Linotype" w:hAnsi="Palatino Linotype"/>
          <w:color w:val="000000" w:themeColor="text1"/>
        </w:rPr>
        <w:t xml:space="preserve">se estableció, por un lado, </w:t>
      </w:r>
      <w:r w:rsidR="008369DF">
        <w:rPr>
          <w:rFonts w:ascii="Palatino Linotype" w:hAnsi="Palatino Linotype"/>
          <w:color w:val="000000" w:themeColor="text1"/>
        </w:rPr>
        <w:t xml:space="preserve">que los agravios expuestos en el recurso de revisión </w:t>
      </w:r>
      <w:r w:rsidR="008369DF">
        <w:rPr>
          <w:rFonts w:ascii="Palatino Linotype" w:hAnsi="Palatino Linotype"/>
          <w:b/>
          <w:bCs/>
          <w:color w:val="000000" w:themeColor="text1"/>
        </w:rPr>
        <w:t>05498/INFOEM/IP/RR/2021</w:t>
      </w:r>
      <w:r w:rsidR="008369DF">
        <w:rPr>
          <w:rFonts w:ascii="Palatino Linotype" w:hAnsi="Palatino Linotype"/>
          <w:color w:val="000000" w:themeColor="text1"/>
        </w:rPr>
        <w:t xml:space="preserve"> resultaban infundados e inoperantes, al no guardar relación con la respuesta emitida por el </w:t>
      </w:r>
      <w:r w:rsidR="008369DF">
        <w:rPr>
          <w:rFonts w:ascii="Palatino Linotype" w:hAnsi="Palatino Linotype"/>
          <w:b/>
          <w:bCs/>
          <w:color w:val="000000" w:themeColor="text1"/>
        </w:rPr>
        <w:t>SUJETO OBLIGADO</w:t>
      </w:r>
      <w:r w:rsidR="007A596B">
        <w:rPr>
          <w:rFonts w:ascii="Palatino Linotype" w:hAnsi="Palatino Linotype"/>
          <w:color w:val="000000" w:themeColor="text1"/>
        </w:rPr>
        <w:t xml:space="preserve">; y, por otro lado, se demostró que la información curricular del personal adscrito a la contraloría Municipal se relacionaba con las obligaciones de transparencia de oficio que el </w:t>
      </w:r>
      <w:r w:rsidR="007A596B">
        <w:rPr>
          <w:rFonts w:ascii="Palatino Linotype" w:hAnsi="Palatino Linotype"/>
          <w:b/>
          <w:color w:val="000000" w:themeColor="text1"/>
        </w:rPr>
        <w:t>SUJETO OBLIGADO</w:t>
      </w:r>
      <w:r w:rsidR="007A596B">
        <w:rPr>
          <w:rFonts w:ascii="Palatino Linotype" w:hAnsi="Palatino Linotype"/>
          <w:color w:val="000000" w:themeColor="text1"/>
        </w:rPr>
        <w:t xml:space="preserve"> estaba constreñido a publica y difundir de manera permanente a la ciudadanía, por lo que se ordenó su entrega.</w:t>
      </w:r>
    </w:p>
    <w:p w14:paraId="0C9120CE" w14:textId="77777777" w:rsidR="00B67BD4" w:rsidRDefault="00B67BD4" w:rsidP="00B67BD4">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58EF0ED"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sidR="00B92E62">
        <w:rPr>
          <w:rFonts w:ascii="Palatino Linotype" w:eastAsia="MS Mincho" w:hAnsi="Palatino Linotype" w:cstheme="majorBidi"/>
          <w:lang w:val="es-ES"/>
        </w:rPr>
        <w:t xml:space="preserve"> </w:t>
      </w:r>
      <w:r w:rsidR="009379FC">
        <w:rPr>
          <w:rFonts w:ascii="Palatino Linotype" w:eastAsia="MS Mincho" w:hAnsi="Palatino Linotype" w:cstheme="majorBidi"/>
          <w:lang w:val="es-ES"/>
        </w:rPr>
        <w:t>in</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B92E62">
        <w:rPr>
          <w:rFonts w:ascii="Palatino Linotype" w:eastAsia="MS Mincho" w:hAnsi="Palatino Linotype" w:cstheme="majorBidi"/>
          <w:b/>
          <w:bCs/>
          <w:lang w:val="es-ES"/>
        </w:rPr>
        <w:t>05498</w:t>
      </w:r>
      <w:r w:rsidR="009E58CA">
        <w:rPr>
          <w:rFonts w:ascii="Palatino Linotype" w:eastAsia="MS Mincho" w:hAnsi="Palatino Linotype" w:cstheme="majorBidi"/>
          <w:b/>
          <w:bCs/>
          <w:lang w:val="es-ES"/>
        </w:rPr>
        <w:t>/INFOEM/IP/RR/2021</w:t>
      </w:r>
      <w:r w:rsidR="00B92E62">
        <w:rPr>
          <w:rFonts w:ascii="Palatino Linotype" w:eastAsia="MS Mincho" w:hAnsi="Palatino Linotype" w:cstheme="majorBidi"/>
          <w:bCs/>
          <w:lang w:val="es-ES"/>
        </w:rPr>
        <w:t xml:space="preserve">, y fundadas las </w:t>
      </w:r>
      <w:r w:rsidR="00B92E62" w:rsidRPr="0028241C">
        <w:rPr>
          <w:rFonts w:ascii="Palatino Linotype" w:eastAsia="MS Mincho" w:hAnsi="Palatino Linotype" w:cstheme="majorBidi"/>
          <w:lang w:val="es-ES"/>
        </w:rPr>
        <w:t>razones o motivos de inconformidad hechos valer</w:t>
      </w:r>
      <w:r w:rsidR="00B92E62">
        <w:rPr>
          <w:rFonts w:ascii="Palatino Linotype" w:eastAsia="MS Mincho" w:hAnsi="Palatino Linotype" w:cstheme="majorBidi"/>
          <w:lang w:val="es-ES"/>
        </w:rPr>
        <w:t xml:space="preserve"> dentro del recurso de revisión </w:t>
      </w:r>
      <w:r w:rsidR="00B92E62">
        <w:rPr>
          <w:rFonts w:ascii="Palatino Linotype" w:eastAsia="MS Mincho" w:hAnsi="Palatino Linotype" w:cstheme="majorBidi"/>
          <w:b/>
          <w:lang w:val="es-ES"/>
        </w:rPr>
        <w:t>05516/INFOEM/IP/RR/2021</w:t>
      </w:r>
      <w:r w:rsidRPr="0028241C">
        <w:rPr>
          <w:rFonts w:ascii="Palatino Linotype" w:eastAsia="MS Mincho" w:hAnsi="Palatino Linotype" w:cstheme="majorBidi"/>
          <w:lang w:val="es-ES"/>
        </w:rPr>
        <w:t>; por ello, y con fundamento en la fracción II</w:t>
      </w:r>
      <w:r w:rsidR="00B92E62">
        <w:rPr>
          <w:rFonts w:ascii="Palatino Linotype" w:eastAsia="MS Mincho" w:hAnsi="Palatino Linotype" w:cstheme="majorBidi"/>
          <w:lang w:val="es-ES"/>
        </w:rPr>
        <w:t>I</w:t>
      </w:r>
      <w:r w:rsidRPr="0028241C">
        <w:rPr>
          <w:rFonts w:ascii="Palatino Linotype" w:eastAsia="MS Mincho" w:hAnsi="Palatino Linotype" w:cstheme="majorBidi"/>
          <w:lang w:val="es-ES"/>
        </w:rPr>
        <w:t xml:space="preserve"> del numeral 186 de la Ley de Transparencia y Acceso a la Información Pública del Estado de México y Municipios, se </w:t>
      </w:r>
      <w:r w:rsidR="00B92E62">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215DFB">
        <w:rPr>
          <w:rFonts w:ascii="Palatino Linotype" w:eastAsia="MS Mincho" w:hAnsi="Palatino Linotype" w:cstheme="majorBidi"/>
          <w:b/>
          <w:lang w:val="es-ES"/>
        </w:rPr>
        <w:t>00112/ATIZAPAN/IP/2021</w:t>
      </w:r>
      <w:r w:rsidR="00B92E62">
        <w:rPr>
          <w:rFonts w:ascii="Palatino Linotype" w:eastAsia="MS Mincho" w:hAnsi="Palatino Linotype" w:cstheme="majorBidi"/>
          <w:lang w:val="es-ES"/>
        </w:rPr>
        <w:t xml:space="preserve"> y</w:t>
      </w:r>
      <w:r w:rsidR="00254333">
        <w:rPr>
          <w:rFonts w:ascii="Palatino Linotype" w:eastAsia="MS Mincho" w:hAnsi="Palatino Linotype" w:cstheme="majorBidi"/>
          <w:lang w:val="es-ES"/>
        </w:rPr>
        <w:t xml:space="preserve"> se</w:t>
      </w:r>
      <w:r w:rsidR="00B92E62">
        <w:rPr>
          <w:rFonts w:ascii="Palatino Linotype" w:eastAsia="MS Mincho" w:hAnsi="Palatino Linotype" w:cstheme="majorBidi"/>
          <w:lang w:val="es-ES"/>
        </w:rPr>
        <w:t xml:space="preserve"> </w:t>
      </w:r>
      <w:r w:rsidR="009379FC">
        <w:rPr>
          <w:rFonts w:ascii="Palatino Linotype" w:eastAsia="MS Mincho" w:hAnsi="Palatino Linotype" w:cstheme="majorBidi"/>
          <w:b/>
          <w:bCs/>
          <w:lang w:val="es-ES"/>
        </w:rPr>
        <w:t>SOBRESEE</w:t>
      </w:r>
      <w:r w:rsidR="009379FC">
        <w:rPr>
          <w:rFonts w:ascii="Palatino Linotype" w:eastAsia="MS Mincho" w:hAnsi="Palatino Linotype" w:cstheme="majorBidi"/>
          <w:lang w:val="es-ES"/>
        </w:rPr>
        <w:t xml:space="preserve"> el recurso de revisión </w:t>
      </w:r>
      <w:r w:rsidR="009379FC">
        <w:rPr>
          <w:rFonts w:ascii="Palatino Linotype" w:eastAsia="MS Mincho" w:hAnsi="Palatino Linotype" w:cstheme="majorBidi"/>
          <w:b/>
          <w:bCs/>
          <w:lang w:val="es-ES"/>
        </w:rPr>
        <w:t>05498/INFOEM/IP/RR/2021</w:t>
      </w:r>
      <w:r w:rsidR="00B92E62">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35A1C0A0" w:rsidR="00A73C04"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p>
    <w:p w14:paraId="1967917E" w14:textId="77777777" w:rsidR="00A7184D" w:rsidRDefault="00A7184D" w:rsidP="00A7184D">
      <w:pPr>
        <w:pStyle w:val="Prrafodelista"/>
        <w:tabs>
          <w:tab w:val="left" w:pos="426"/>
        </w:tabs>
        <w:spacing w:before="240" w:after="240" w:line="360" w:lineRule="auto"/>
        <w:ind w:left="0" w:right="51"/>
        <w:jc w:val="both"/>
        <w:rPr>
          <w:rFonts w:ascii="Palatino Linotype" w:hAnsi="Palatino Linotype"/>
          <w:color w:val="000000" w:themeColor="text1"/>
        </w:rPr>
      </w:pPr>
    </w:p>
    <w:p w14:paraId="18C7D92B" w14:textId="5927CC5A" w:rsidR="009959DB" w:rsidRPr="00A73C04" w:rsidRDefault="009959DB" w:rsidP="009959DB">
      <w:pPr>
        <w:pStyle w:val="Ttulo1"/>
        <w:spacing w:line="360" w:lineRule="auto"/>
        <w:jc w:val="center"/>
        <w:rPr>
          <w:b/>
          <w:color w:val="000000" w:themeColor="text1"/>
          <w:sz w:val="28"/>
          <w:szCs w:val="24"/>
        </w:rPr>
      </w:pPr>
      <w:bookmarkStart w:id="30" w:name="_Toc495427547"/>
      <w:bookmarkStart w:id="31" w:name="_Toc497905366"/>
      <w:bookmarkStart w:id="32" w:name="_Toc88071791"/>
      <w:r w:rsidRPr="00A73C04">
        <w:rPr>
          <w:b/>
          <w:color w:val="000000" w:themeColor="text1"/>
          <w:sz w:val="28"/>
          <w:szCs w:val="24"/>
        </w:rPr>
        <w:lastRenderedPageBreak/>
        <w:t>R E S O L U T I V O S</w:t>
      </w:r>
      <w:bookmarkEnd w:id="24"/>
      <w:bookmarkEnd w:id="25"/>
      <w:bookmarkEnd w:id="30"/>
      <w:bookmarkEnd w:id="31"/>
      <w:bookmarkEnd w:id="32"/>
    </w:p>
    <w:p w14:paraId="2EF2AC2D" w14:textId="77777777" w:rsidR="00A73C04" w:rsidRDefault="00A73C04" w:rsidP="002578EE">
      <w:pPr>
        <w:spacing w:line="360" w:lineRule="auto"/>
        <w:jc w:val="both"/>
        <w:rPr>
          <w:rFonts w:ascii="Palatino Linotype" w:eastAsia="Times New Roman" w:hAnsi="Palatino Linotype" w:cs="Arial"/>
          <w:b/>
          <w:sz w:val="28"/>
          <w:szCs w:val="28"/>
        </w:rPr>
      </w:pPr>
    </w:p>
    <w:p w14:paraId="0C435278" w14:textId="5C091C1F" w:rsidR="00A73C04" w:rsidRPr="00D020D3" w:rsidRDefault="00A73C04" w:rsidP="00A73C04">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 xml:space="preserve">Resultan </w:t>
      </w:r>
      <w:r w:rsidR="009379FC">
        <w:rPr>
          <w:rFonts w:ascii="Palatino Linotype" w:eastAsia="MS Mincho" w:hAnsi="Palatino Linotype" w:cstheme="majorBidi"/>
          <w:lang w:val="es-ES"/>
        </w:rPr>
        <w:t>in</w:t>
      </w:r>
      <w:r w:rsidR="00B92E62" w:rsidRPr="0028241C">
        <w:rPr>
          <w:rFonts w:ascii="Palatino Linotype" w:eastAsia="MS Mincho" w:hAnsi="Palatino Linotype" w:cstheme="majorBidi"/>
          <w:lang w:val="es-ES"/>
        </w:rPr>
        <w:t xml:space="preserve">fundadas las razones o motivos de inconformidad hechos valer </w:t>
      </w:r>
      <w:r w:rsidR="00B92E62">
        <w:rPr>
          <w:rFonts w:ascii="Palatino Linotype" w:eastAsia="MS Mincho" w:hAnsi="Palatino Linotype" w:cstheme="majorBidi"/>
          <w:lang w:val="es-ES"/>
        </w:rPr>
        <w:t xml:space="preserve">en </w:t>
      </w:r>
      <w:r w:rsidR="00B92E62" w:rsidRPr="0028241C">
        <w:rPr>
          <w:rFonts w:ascii="Palatino Linotype" w:eastAsia="MS Mincho" w:hAnsi="Palatino Linotype" w:cstheme="majorBidi"/>
          <w:lang w:val="es-ES"/>
        </w:rPr>
        <w:t xml:space="preserve">el recurso de revisión </w:t>
      </w:r>
      <w:r w:rsidR="00B92E62">
        <w:rPr>
          <w:rFonts w:ascii="Palatino Linotype" w:eastAsia="MS Mincho" w:hAnsi="Palatino Linotype" w:cstheme="majorBidi"/>
          <w:b/>
          <w:bCs/>
          <w:lang w:val="es-ES"/>
        </w:rPr>
        <w:t>05498/INFOEM/IP/RR/2021</w:t>
      </w:r>
      <w:r w:rsidR="00B92E62">
        <w:rPr>
          <w:rFonts w:ascii="Palatino Linotype" w:eastAsia="MS Mincho" w:hAnsi="Palatino Linotype" w:cstheme="majorBidi"/>
          <w:bCs/>
          <w:lang w:val="es-ES"/>
        </w:rPr>
        <w:t xml:space="preserve">, y fundadas las </w:t>
      </w:r>
      <w:r w:rsidR="00B92E62" w:rsidRPr="0028241C">
        <w:rPr>
          <w:rFonts w:ascii="Palatino Linotype" w:eastAsia="MS Mincho" w:hAnsi="Palatino Linotype" w:cstheme="majorBidi"/>
          <w:lang w:val="es-ES"/>
        </w:rPr>
        <w:t>razones o motivos de inconformidad hechos valer</w:t>
      </w:r>
      <w:r w:rsidR="00B92E62">
        <w:rPr>
          <w:rFonts w:ascii="Palatino Linotype" w:eastAsia="MS Mincho" w:hAnsi="Palatino Linotype" w:cstheme="majorBidi"/>
          <w:lang w:val="es-ES"/>
        </w:rPr>
        <w:t xml:space="preserve"> en del recurso de revisión </w:t>
      </w:r>
      <w:r w:rsidR="00B92E62">
        <w:rPr>
          <w:rFonts w:ascii="Palatino Linotype" w:eastAsia="MS Mincho" w:hAnsi="Palatino Linotype" w:cstheme="majorBidi"/>
          <w:b/>
          <w:lang w:val="es-ES"/>
        </w:rPr>
        <w:t>05516/INFOEM/IP/RR/2021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sidR="00B92E62">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sidR="00B92E62">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sidR="00B92E62">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CUARTO</w:t>
      </w:r>
      <w:r w:rsidR="00B92E62">
        <w:rPr>
          <w:rFonts w:ascii="Palatino Linotype" w:eastAsia="Times New Roman" w:hAnsi="Palatino Linotype" w:cs="Times New Roman"/>
        </w:rPr>
        <w:t xml:space="preserve"> y </w:t>
      </w:r>
      <w:r w:rsidR="00B92E62">
        <w:rPr>
          <w:rFonts w:ascii="Palatino Linotype" w:eastAsia="Times New Roman" w:hAnsi="Palatino Linotype" w:cs="Times New Roman"/>
          <w:b/>
        </w:rPr>
        <w:t>QUINTO</w:t>
      </w:r>
      <w:r w:rsidR="00B92E62">
        <w:rPr>
          <w:rFonts w:ascii="Palatino Linotype" w:eastAsia="Times New Roman" w:hAnsi="Palatino Linotype" w:cs="Times New Roman"/>
        </w:rPr>
        <w:t xml:space="preserve"> </w:t>
      </w:r>
      <w:r w:rsidRPr="00115F2B">
        <w:rPr>
          <w:rFonts w:ascii="Palatino Linotype" w:eastAsia="Times New Roman" w:hAnsi="Palatino Linotype" w:cs="Times New Roman"/>
        </w:rPr>
        <w:t>de la pre</w:t>
      </w:r>
      <w:r w:rsidRPr="001607E7">
        <w:rPr>
          <w:rFonts w:ascii="Palatino Linotype" w:eastAsia="Times New Roman" w:hAnsi="Palatino Linotype" w:cs="Times New Roman"/>
        </w:rPr>
        <w:t>sente resolución.</w:t>
      </w:r>
    </w:p>
    <w:p w14:paraId="0DBF8BF4" w14:textId="77777777" w:rsidR="00A73C04" w:rsidRDefault="00A73C04" w:rsidP="00A73C04">
      <w:pPr>
        <w:spacing w:line="360" w:lineRule="auto"/>
        <w:contextualSpacing/>
        <w:jc w:val="both"/>
        <w:rPr>
          <w:rFonts w:ascii="Palatino Linotype" w:eastAsia="Calibri" w:hAnsi="Palatino Linotype" w:cs="Arial"/>
          <w:b/>
          <w:bCs/>
          <w:lang w:val="es-ES"/>
        </w:rPr>
      </w:pPr>
    </w:p>
    <w:p w14:paraId="0868D8A0" w14:textId="455A02B3" w:rsidR="00A73C04" w:rsidRDefault="00A73C04" w:rsidP="00A73C04">
      <w:pPr>
        <w:spacing w:line="360" w:lineRule="auto"/>
        <w:contextualSpacing/>
        <w:jc w:val="both"/>
        <w:rPr>
          <w:rFonts w:ascii="Palatino Linotype" w:eastAsia="Calibri" w:hAnsi="Palatino Linotype" w:cs="Arial"/>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B92E62">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 xml:space="preserve">emitida por </w:t>
      </w:r>
      <w:r w:rsidR="00B92E62">
        <w:rPr>
          <w:rFonts w:ascii="Palatino Linotype" w:eastAsia="Calibri" w:hAnsi="Palatino Linotype" w:cs="Arial"/>
          <w:lang w:val="es-ES"/>
        </w:rPr>
        <w:t>e</w:t>
      </w:r>
      <w:r>
        <w:rPr>
          <w:rFonts w:ascii="Palatino Linotype" w:eastAsia="Calibri" w:hAnsi="Palatino Linotype" w:cs="Arial"/>
          <w:lang w:val="es-ES"/>
        </w:rPr>
        <w:t>l</w:t>
      </w:r>
      <w:r w:rsidRPr="00D92794">
        <w:rPr>
          <w:rFonts w:ascii="Palatino Linotype" w:eastAsia="Calibri" w:hAnsi="Palatino Linotype" w:cs="Arial"/>
          <w:lang w:val="es-ES"/>
        </w:rPr>
        <w:t xml:space="preserve"> </w:t>
      </w:r>
      <w:r w:rsidR="00505F85">
        <w:rPr>
          <w:rFonts w:ascii="Palatino Linotype" w:eastAsia="Calibri" w:hAnsi="Palatino Linotype" w:cs="Arial"/>
          <w:b/>
        </w:rPr>
        <w:t>Ayuntamiento de Atizapán</w:t>
      </w:r>
      <w:r w:rsidR="00B92E62">
        <w:rPr>
          <w:rFonts w:ascii="Palatino Linotype" w:eastAsia="Calibri" w:hAnsi="Palatino Linotype" w:cs="Arial"/>
          <w:bCs/>
        </w:rPr>
        <w:t xml:space="preserve"> a la</w:t>
      </w:r>
      <w:r>
        <w:rPr>
          <w:rFonts w:ascii="Palatino Linotype" w:eastAsia="Calibri" w:hAnsi="Palatino Linotype" w:cs="Arial"/>
          <w:bCs/>
        </w:rPr>
        <w:t xml:space="preserve"> solicitud de información </w:t>
      </w:r>
      <w:r w:rsidR="00215DFB">
        <w:rPr>
          <w:rFonts w:ascii="Palatino Linotype" w:eastAsia="Calibri" w:hAnsi="Palatino Linotype" w:cs="Arial"/>
          <w:b/>
        </w:rPr>
        <w:t>00112/ATIZAPAN/IP/2021</w:t>
      </w:r>
      <w:bookmarkStart w:id="33" w:name="_Toc460947013"/>
      <w:r w:rsidR="00B92E62">
        <w:rPr>
          <w:rFonts w:ascii="Palatino Linotype" w:eastAsia="Calibri" w:hAnsi="Palatino Linotype" w:cs="Arial"/>
        </w:rPr>
        <w:t xml:space="preserve">, </w:t>
      </w:r>
      <w:r w:rsidR="00B92E62" w:rsidRPr="00B92E62">
        <w:rPr>
          <w:rFonts w:ascii="Palatino Linotype" w:eastAsia="Calibri" w:hAnsi="Palatino Linotype" w:cs="Arial"/>
        </w:rPr>
        <w:t xml:space="preserve">y se </w:t>
      </w:r>
      <w:r w:rsidR="00B92E62" w:rsidRPr="00B92E62">
        <w:rPr>
          <w:rFonts w:ascii="Palatino Linotype" w:eastAsia="Calibri" w:hAnsi="Palatino Linotype" w:cs="Arial"/>
          <w:b/>
        </w:rPr>
        <w:t xml:space="preserve">ORDENA </w:t>
      </w:r>
      <w:r w:rsidR="00B92E62" w:rsidRPr="00B92E62">
        <w:rPr>
          <w:rFonts w:ascii="Palatino Linotype" w:eastAsia="Calibri" w:hAnsi="Palatino Linotype" w:cs="Arial"/>
        </w:rPr>
        <w:t xml:space="preserve">entregar, vía Sistema de Acceso a la Información Pública Mexiquense (SAIMEX), </w:t>
      </w:r>
      <w:r w:rsidR="00B92E62">
        <w:rPr>
          <w:rFonts w:ascii="Palatino Linotype" w:eastAsia="Calibri" w:hAnsi="Palatino Linotype" w:cs="Arial"/>
        </w:rPr>
        <w:t xml:space="preserve">de ser procedente en versión pública, </w:t>
      </w:r>
      <w:r w:rsidR="00B92E62" w:rsidRPr="00B92E62">
        <w:rPr>
          <w:rFonts w:ascii="Palatino Linotype" w:eastAsia="Calibri" w:hAnsi="Palatino Linotype" w:cs="Arial"/>
        </w:rPr>
        <w:t>la siguiente información:</w:t>
      </w:r>
    </w:p>
    <w:p w14:paraId="3CBB7DB2" w14:textId="2FE45DF2" w:rsidR="00B92E62" w:rsidRPr="00B92E62" w:rsidRDefault="00B92E62" w:rsidP="00B92E62">
      <w:pPr>
        <w:pStyle w:val="Prrafodelista"/>
        <w:numPr>
          <w:ilvl w:val="0"/>
          <w:numId w:val="23"/>
        </w:numPr>
        <w:spacing w:line="360" w:lineRule="auto"/>
        <w:ind w:left="993"/>
        <w:jc w:val="both"/>
        <w:rPr>
          <w:rFonts w:ascii="Palatino Linotype" w:eastAsia="Calibri" w:hAnsi="Palatino Linotype" w:cs="Arial"/>
        </w:rPr>
      </w:pPr>
      <w:r>
        <w:rPr>
          <w:rFonts w:ascii="Palatino Linotype" w:eastAsia="Calibri" w:hAnsi="Palatino Linotype" w:cs="Arial"/>
          <w:b/>
        </w:rPr>
        <w:t>Ficha curricular o documentos donde conste la información curricular del personal adscrito a la Contraloría Municipal, vigente al trece (13) de octubre de dos mil veintiuno.</w:t>
      </w:r>
    </w:p>
    <w:p w14:paraId="394B2274" w14:textId="25D5F48B" w:rsidR="00A73C04" w:rsidRDefault="00A73C04" w:rsidP="00A73C04">
      <w:pPr>
        <w:tabs>
          <w:tab w:val="left" w:pos="993"/>
        </w:tabs>
        <w:spacing w:line="360" w:lineRule="auto"/>
        <w:ind w:right="567"/>
        <w:jc w:val="both"/>
        <w:rPr>
          <w:rFonts w:ascii="Palatino Linotype" w:eastAsia="Calibri" w:hAnsi="Palatino Linotype" w:cs="Arial"/>
        </w:rPr>
      </w:pPr>
    </w:p>
    <w:p w14:paraId="18CB03F7" w14:textId="3F63D267" w:rsidR="009379FC" w:rsidRDefault="009379FC" w:rsidP="009379FC">
      <w:pPr>
        <w:tabs>
          <w:tab w:val="left" w:pos="993"/>
        </w:tabs>
        <w:spacing w:line="360" w:lineRule="auto"/>
        <w:jc w:val="both"/>
        <w:rPr>
          <w:rFonts w:ascii="Palatino Linotype" w:eastAsia="Calibri" w:hAnsi="Palatino Linotype" w:cs="Arial"/>
        </w:rPr>
      </w:pPr>
      <w:r>
        <w:rPr>
          <w:rFonts w:ascii="Palatino Linotype" w:hAnsi="Palatino Linotype"/>
          <w:color w:val="000000"/>
        </w:rPr>
        <w:t>Respecto de la información que se ordena entregar,</w:t>
      </w:r>
      <w:r w:rsidRPr="00EF01CE">
        <w:rPr>
          <w:rFonts w:ascii="Palatino Linotype" w:eastAsia="Calibri" w:hAnsi="Palatino Linotype" w:cs="Arial"/>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3DA25CB3" w14:textId="77777777" w:rsidR="009379FC" w:rsidRDefault="009379FC" w:rsidP="00A73C04">
      <w:pPr>
        <w:tabs>
          <w:tab w:val="left" w:pos="993"/>
        </w:tabs>
        <w:spacing w:line="360" w:lineRule="auto"/>
        <w:ind w:right="567"/>
        <w:jc w:val="both"/>
        <w:rPr>
          <w:rFonts w:ascii="Palatino Linotype" w:eastAsia="Calibri" w:hAnsi="Palatino Linotype" w:cs="Arial"/>
        </w:rPr>
      </w:pPr>
    </w:p>
    <w:p w14:paraId="3F091393" w14:textId="1CA16F4B" w:rsidR="00934034" w:rsidRPr="009379FC" w:rsidRDefault="00934034" w:rsidP="009379FC">
      <w:pPr>
        <w:spacing w:line="360" w:lineRule="auto"/>
        <w:contextualSpacing/>
        <w:jc w:val="both"/>
        <w:rPr>
          <w:rFonts w:ascii="Palatino Linotype" w:eastAsia="Calibri" w:hAnsi="Palatino Linotype" w:cs="Arial"/>
        </w:rPr>
      </w:pPr>
      <w:r>
        <w:rPr>
          <w:rFonts w:ascii="Palatino Linotype" w:eastAsia="Calibri" w:hAnsi="Palatino Linotype" w:cs="Arial"/>
          <w:b/>
          <w:bCs/>
          <w:sz w:val="28"/>
          <w:szCs w:val="28"/>
          <w:lang w:val="es-ES"/>
        </w:rPr>
        <w:lastRenderedPageBreak/>
        <w:t>TERCERO</w:t>
      </w:r>
      <w:r w:rsidR="00B92E62" w:rsidRPr="00D92794">
        <w:rPr>
          <w:rFonts w:ascii="Palatino Linotype" w:eastAsia="Calibri" w:hAnsi="Palatino Linotype" w:cs="Arial"/>
          <w:b/>
          <w:bCs/>
          <w:lang w:val="es-ES"/>
        </w:rPr>
        <w:t xml:space="preserve">. </w:t>
      </w:r>
      <w:r w:rsidR="00B92E62" w:rsidRPr="00D92794">
        <w:rPr>
          <w:rFonts w:ascii="Palatino Linotype" w:eastAsia="Calibri" w:hAnsi="Palatino Linotype" w:cs="Arial"/>
          <w:lang w:val="es-ES"/>
        </w:rPr>
        <w:t xml:space="preserve">Se </w:t>
      </w:r>
      <w:r w:rsidR="009379FC">
        <w:rPr>
          <w:rFonts w:ascii="Palatino Linotype" w:eastAsia="Calibri" w:hAnsi="Palatino Linotype" w:cs="Arial"/>
          <w:b/>
          <w:lang w:val="es-ES"/>
        </w:rPr>
        <w:t>SOBRESEE</w:t>
      </w:r>
      <w:r w:rsidR="00B92E62" w:rsidRPr="00D92794">
        <w:rPr>
          <w:rFonts w:ascii="Palatino Linotype" w:eastAsia="Calibri" w:hAnsi="Palatino Linotype" w:cs="Arial"/>
          <w:lang w:val="es-ES"/>
        </w:rPr>
        <w:t xml:space="preserve"> </w:t>
      </w:r>
      <w:r w:rsidR="009379FC">
        <w:rPr>
          <w:rFonts w:ascii="Palatino Linotype" w:eastAsia="Calibri" w:hAnsi="Palatino Linotype" w:cs="Arial"/>
          <w:lang w:val="es-ES"/>
        </w:rPr>
        <w:t xml:space="preserve">el recurso de revisión </w:t>
      </w:r>
      <w:r w:rsidR="009379FC">
        <w:rPr>
          <w:rFonts w:ascii="Palatino Linotype" w:eastAsia="Calibri" w:hAnsi="Palatino Linotype" w:cs="Arial"/>
          <w:b/>
          <w:bCs/>
          <w:lang w:val="es-ES"/>
        </w:rPr>
        <w:t>05498/INFOEM/IP/RR/2021</w:t>
      </w:r>
      <w:r w:rsidR="009379FC">
        <w:rPr>
          <w:rFonts w:ascii="Palatino Linotype" w:eastAsia="Calibri" w:hAnsi="Palatino Linotype" w:cs="Arial"/>
          <w:lang w:val="es-ES"/>
        </w:rPr>
        <w:t xml:space="preserve">, </w:t>
      </w:r>
      <w:r w:rsidR="009379FC">
        <w:rPr>
          <w:rFonts w:ascii="Palatino Linotype" w:eastAsia="Calibri" w:hAnsi="Palatino Linotype" w:cs="Arial"/>
          <w:b/>
          <w:bCs/>
          <w:lang w:val="es-ES"/>
        </w:rPr>
        <w:t>por improcedente</w:t>
      </w:r>
      <w:r w:rsidR="009379FC">
        <w:rPr>
          <w:rFonts w:ascii="Palatino Linotype" w:eastAsia="Calibri" w:hAnsi="Palatino Linotype" w:cs="Arial"/>
          <w:lang w:val="es-ES"/>
        </w:rPr>
        <w:t xml:space="preserve">, conforme </w:t>
      </w:r>
      <w:r w:rsidR="009379FC" w:rsidRPr="00CA1DD3">
        <w:rPr>
          <w:rFonts w:ascii="Palatino Linotype" w:hAnsi="Palatino Linotype" w:cs="Arial"/>
          <w:bCs/>
          <w:lang w:eastAsia="es-MX"/>
        </w:rPr>
        <w:t>a los artículos 192, fracción IV, en relación con el artículo 191, fracciones III y VII</w:t>
      </w:r>
      <w:r w:rsidR="009379FC">
        <w:rPr>
          <w:rFonts w:ascii="Palatino Linotype" w:hAnsi="Palatino Linotype" w:cs="Arial"/>
          <w:bCs/>
          <w:lang w:eastAsia="es-MX"/>
        </w:rPr>
        <w:t>,</w:t>
      </w:r>
      <w:r w:rsidR="009379FC" w:rsidRPr="00CA1DD3">
        <w:rPr>
          <w:rFonts w:ascii="Palatino Linotype" w:hAnsi="Palatino Linotype" w:cs="Arial"/>
          <w:bCs/>
          <w:lang w:eastAsia="es-MX"/>
        </w:rPr>
        <w:t xml:space="preserve"> de la Ley de Transparencia y Acceso a la Información Pública del Estado de México y Municipios,</w:t>
      </w:r>
      <w:r w:rsidR="009379FC">
        <w:rPr>
          <w:rFonts w:ascii="Palatino Linotype" w:hAnsi="Palatino Linotype" w:cs="Arial"/>
          <w:b/>
          <w:bCs/>
          <w:lang w:eastAsia="es-MX"/>
        </w:rPr>
        <w:t xml:space="preserve"> </w:t>
      </w:r>
      <w:r w:rsidR="009379FC" w:rsidRPr="000820B3">
        <w:rPr>
          <w:rFonts w:ascii="Palatino Linotype" w:hAnsi="Palatino Linotype"/>
          <w:lang w:val="es-ES"/>
        </w:rPr>
        <w:t xml:space="preserve">en términos del Considerando </w:t>
      </w:r>
      <w:r w:rsidR="009379FC" w:rsidRPr="003558E8">
        <w:rPr>
          <w:rFonts w:ascii="Palatino Linotype" w:hAnsi="Palatino Linotype"/>
          <w:b/>
          <w:bCs/>
          <w:lang w:val="es-ES"/>
        </w:rPr>
        <w:t xml:space="preserve">CUARTO </w:t>
      </w:r>
      <w:r w:rsidR="009379FC" w:rsidRPr="000820B3">
        <w:rPr>
          <w:rFonts w:ascii="Palatino Linotype" w:hAnsi="Palatino Linotype"/>
          <w:lang w:val="es-ES"/>
        </w:rPr>
        <w:t>de la presente resolución.</w:t>
      </w:r>
    </w:p>
    <w:p w14:paraId="3C04BEC1" w14:textId="77777777" w:rsidR="00B92E62" w:rsidRDefault="00B92E62" w:rsidP="00A73C04">
      <w:pPr>
        <w:tabs>
          <w:tab w:val="left" w:pos="993"/>
        </w:tabs>
        <w:spacing w:line="360" w:lineRule="auto"/>
        <w:ind w:right="567"/>
        <w:jc w:val="both"/>
        <w:rPr>
          <w:rFonts w:ascii="Palatino Linotype" w:eastAsia="Calibri" w:hAnsi="Palatino Linotype" w:cs="Arial"/>
        </w:rPr>
      </w:pPr>
    </w:p>
    <w:p w14:paraId="12759C0D" w14:textId="02819E79" w:rsidR="00A73C04" w:rsidRPr="0091734D" w:rsidRDefault="00A73C04" w:rsidP="00A73C04">
      <w:pPr>
        <w:tabs>
          <w:tab w:val="left" w:pos="8080"/>
        </w:tabs>
        <w:spacing w:line="360" w:lineRule="auto"/>
        <w:ind w:right="49"/>
        <w:contextualSpacing/>
        <w:jc w:val="both"/>
        <w:rPr>
          <w:rFonts w:ascii="Palatino Linotype" w:eastAsia="Palatino Linotype" w:hAnsi="Palatino Linotype" w:cs="Palatino Linotype"/>
          <w:b/>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w:t>
      </w:r>
      <w:bookmarkEnd w:id="33"/>
      <w:r>
        <w:rPr>
          <w:rFonts w:ascii="Palatino Linotype" w:eastAsia="Palatino Linotype" w:hAnsi="Palatino Linotype" w:cs="Palatino Linotype"/>
          <w:b/>
        </w:rPr>
        <w:t>Notifíquese</w:t>
      </w:r>
      <w:r w:rsidRPr="0091734D">
        <w:rPr>
          <w:rFonts w:ascii="Palatino Linotype" w:eastAsia="Palatino Linotype" w:hAnsi="Palatino Linotype" w:cs="Palatino Linotype"/>
          <w:b/>
        </w:rPr>
        <w:t xml:space="preserve">, </w:t>
      </w:r>
      <w:r w:rsidRPr="0091734D">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91734D">
        <w:rPr>
          <w:rFonts w:ascii="Palatino Linotype" w:eastAsia="Palatino Linotype" w:hAnsi="Palatino Linotype" w:cs="Palatino Linotype"/>
          <w:b/>
        </w:rPr>
        <w:t>SUJETO OBLIGADO.</w:t>
      </w:r>
    </w:p>
    <w:p w14:paraId="44F06561" w14:textId="77777777" w:rsidR="00A73C04" w:rsidRPr="0091734D" w:rsidRDefault="00A73C04" w:rsidP="00A73C04">
      <w:pPr>
        <w:tabs>
          <w:tab w:val="left" w:pos="8080"/>
        </w:tabs>
        <w:spacing w:line="360" w:lineRule="auto"/>
        <w:ind w:right="49"/>
        <w:contextualSpacing/>
        <w:jc w:val="both"/>
        <w:rPr>
          <w:rFonts w:ascii="Palatino Linotype" w:eastAsia="Palatino Linotype" w:hAnsi="Palatino Linotype" w:cs="Palatino Linotype"/>
          <w:b/>
        </w:rPr>
      </w:pPr>
    </w:p>
    <w:p w14:paraId="556E1F17" w14:textId="77777777" w:rsidR="00A73C04" w:rsidRPr="00B06FF1" w:rsidRDefault="00A73C04" w:rsidP="00A73C04">
      <w:pPr>
        <w:shd w:val="clear" w:color="auto" w:fill="FFFFFF"/>
        <w:spacing w:line="360" w:lineRule="auto"/>
        <w:jc w:val="both"/>
        <w:rPr>
          <w:rFonts w:ascii="Palatino Linotype" w:hAnsi="Palatino Linotype"/>
        </w:rPr>
      </w:pPr>
      <w:r w:rsidRPr="00115F2B">
        <w:rPr>
          <w:rFonts w:ascii="Palatino Linotype" w:eastAsia="Times New Roman" w:hAnsi="Palatino Linotype" w:cs="Arial"/>
          <w:b/>
          <w:sz w:val="28"/>
        </w:rPr>
        <w:t>CUARTO</w:t>
      </w:r>
      <w:r w:rsidRPr="0091734D">
        <w:rPr>
          <w:rFonts w:ascii="Palatino Linotype" w:eastAsia="Times New Roman" w:hAnsi="Palatino Linotype" w:cs="Arial"/>
          <w:b/>
        </w:rPr>
        <w:t xml:space="preserve">. </w:t>
      </w:r>
      <w:r w:rsidRPr="0091734D">
        <w:rPr>
          <w:rFonts w:ascii="Palatino Linotype" w:eastAsia="Times New Roman" w:hAnsi="Palatino Linotype" w:cs="Times New Roman"/>
          <w:b/>
          <w:bCs/>
          <w:color w:val="222222"/>
          <w:lang w:val="es-ES"/>
        </w:rPr>
        <w:t xml:space="preserve">Notifíquese </w:t>
      </w:r>
      <w:r w:rsidRPr="00934034">
        <w:rPr>
          <w:rFonts w:ascii="Palatino Linotype" w:eastAsia="Times New Roman" w:hAnsi="Palatino Linotype" w:cs="Times New Roman"/>
          <w:bCs/>
          <w:color w:val="222222"/>
          <w:lang w:val="es-ES"/>
        </w:rPr>
        <w:t>al</w:t>
      </w:r>
      <w:r w:rsidRPr="0091734D">
        <w:rPr>
          <w:rFonts w:ascii="Palatino Linotype" w:hAnsi="Palatino Linotype"/>
          <w:b/>
        </w:rPr>
        <w:t xml:space="preserve"> </w:t>
      </w:r>
      <w:r>
        <w:rPr>
          <w:rFonts w:ascii="Palatino Linotype" w:hAnsi="Palatino Linotype"/>
          <w:b/>
        </w:rPr>
        <w:t>RECURRENTE</w:t>
      </w:r>
      <w:r>
        <w:rPr>
          <w:rFonts w:ascii="Palatino Linotype" w:hAnsi="Palatino Linotype"/>
        </w:rPr>
        <w:t xml:space="preserve"> la presente resolución, </w:t>
      </w:r>
      <w:r w:rsidRPr="0091734D">
        <w:rPr>
          <w:rFonts w:ascii="Palatino Linotype" w:eastAsia="Palatino Linotype" w:hAnsi="Palatino Linotype" w:cs="Palatino Linotype"/>
        </w:rPr>
        <w:t>vía Sistema de Acceso a la Información Mexiquense (SAIMEX)</w:t>
      </w:r>
      <w:r>
        <w:rPr>
          <w:rFonts w:ascii="Palatino Linotype" w:eastAsia="Palatino Linotype" w:hAnsi="Palatino Linotype" w:cs="Palatino Linotype"/>
        </w:rPr>
        <w:t>.</w:t>
      </w:r>
    </w:p>
    <w:p w14:paraId="7CABA1EC" w14:textId="77777777" w:rsidR="00A73C04" w:rsidRPr="00B06FF1" w:rsidRDefault="00A73C04" w:rsidP="00A73C04">
      <w:pPr>
        <w:shd w:val="clear" w:color="auto" w:fill="FFFFFF"/>
        <w:spacing w:line="360" w:lineRule="auto"/>
        <w:jc w:val="both"/>
        <w:rPr>
          <w:rFonts w:ascii="Palatino Linotype" w:hAnsi="Palatino Linotype"/>
        </w:rPr>
      </w:pPr>
    </w:p>
    <w:p w14:paraId="5F6FE281" w14:textId="77777777" w:rsidR="00A73C04" w:rsidRDefault="00A73C04" w:rsidP="00A73C04">
      <w:pPr>
        <w:spacing w:line="360" w:lineRule="auto"/>
        <w:jc w:val="both"/>
        <w:rPr>
          <w:rFonts w:ascii="Palatino Linotype" w:eastAsia="MS Mincho" w:hAnsi="Palatino Linotype" w:cs="Times New Roman"/>
          <w:lang w:val="es-ES"/>
        </w:rPr>
      </w:pPr>
      <w:r w:rsidRPr="00115F2B">
        <w:rPr>
          <w:rFonts w:ascii="Palatino Linotype" w:eastAsia="MS Mincho" w:hAnsi="Palatino Linotype" w:cs="Times New Roman"/>
          <w:b/>
          <w:sz w:val="28"/>
        </w:rPr>
        <w:t>QUINTO</w:t>
      </w:r>
      <w:r w:rsidRPr="00B06FF1">
        <w:rPr>
          <w:rFonts w:ascii="Palatino Linotype" w:eastAsia="MS Mincho" w:hAnsi="Palatino Linotype" w:cs="Times New Roman"/>
          <w:b/>
        </w:rPr>
        <w:t>.</w:t>
      </w:r>
      <w:r w:rsidRPr="00B06FF1">
        <w:rPr>
          <w:rFonts w:ascii="Palatino Linotype" w:eastAsia="MS Mincho" w:hAnsi="Palatino Linotype" w:cs="Times New Roman"/>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l </w:t>
      </w:r>
      <w:r>
        <w:rPr>
          <w:rFonts w:ascii="Palatino Linotype" w:eastAsia="MS Mincho" w:hAnsi="Palatino Linotype" w:cs="Times New Roman"/>
          <w:b/>
          <w:lang w:val="es-ES"/>
        </w:rPr>
        <w:t>RECURRENTE</w:t>
      </w:r>
      <w:r w:rsidRPr="00B06FF1">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w:t>
      </w:r>
      <w:r>
        <w:rPr>
          <w:rFonts w:ascii="Palatino Linotype" w:eastAsia="MS Mincho" w:hAnsi="Palatino Linotype" w:cs="Times New Roman"/>
          <w:lang w:val="es-ES"/>
        </w:rPr>
        <w:t xml:space="preserve">lgún perjuicio podrá impugnarla </w:t>
      </w:r>
      <w:r w:rsidRPr="00B06FF1">
        <w:rPr>
          <w:rFonts w:ascii="Palatino Linotype" w:eastAsia="MS Mincho" w:hAnsi="Palatino Linotype" w:cs="Times New Roman"/>
          <w:bCs/>
          <w:lang w:val="es-ES"/>
        </w:rPr>
        <w:t>vía juicio de amparo</w:t>
      </w:r>
      <w:r>
        <w:rPr>
          <w:rFonts w:ascii="Palatino Linotype" w:eastAsia="MS Mincho" w:hAnsi="Palatino Linotype" w:cs="Times New Roman"/>
          <w:lang w:val="es-ES"/>
        </w:rPr>
        <w:t xml:space="preserve"> </w:t>
      </w:r>
      <w:r w:rsidRPr="00B06FF1">
        <w:rPr>
          <w:rFonts w:ascii="Palatino Linotype" w:eastAsia="MS Mincho" w:hAnsi="Palatino Linotype" w:cs="Times New Roman"/>
          <w:lang w:val="es-ES"/>
        </w:rPr>
        <w:t>en los términos de las leyes aplicables.</w:t>
      </w:r>
    </w:p>
    <w:p w14:paraId="35177F2C" w14:textId="77777777" w:rsidR="002578EE" w:rsidRDefault="002578EE" w:rsidP="002578EE">
      <w:pPr>
        <w:spacing w:line="360" w:lineRule="auto"/>
        <w:jc w:val="both"/>
        <w:rPr>
          <w:rFonts w:ascii="Palatino Linotype" w:eastAsia="MS Mincho" w:hAnsi="Palatino Linotype" w:cs="Times New Roman"/>
          <w:color w:val="000000"/>
          <w:lang w:val="es-ES"/>
        </w:rPr>
      </w:pPr>
    </w:p>
    <w:p w14:paraId="2575485B" w14:textId="77777777" w:rsidR="00E67A66" w:rsidRDefault="00E67A66" w:rsidP="00E67A66">
      <w:pPr>
        <w:pStyle w:val="Prrafodelista"/>
        <w:spacing w:line="360" w:lineRule="auto"/>
        <w:ind w:left="0"/>
        <w:jc w:val="both"/>
        <w:rPr>
          <w:rFonts w:ascii="Palatino Linotype" w:hAnsi="Palatino Linotype" w:cs="Arial"/>
          <w:color w:val="000000" w:themeColor="text1"/>
        </w:rPr>
      </w:pPr>
      <w:r>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hAnsi="Palatino Linotype"/>
          <w:color w:val="000000" w:themeColor="text1"/>
        </w:rPr>
        <w:lastRenderedPageBreak/>
        <w:t>VILCHIS, MARÍA DEL ROSARIO MEJÍA AYALA, SHARON CRISTINA MORALES MARTÍNEZ (AUSENCIA JUSTIFICADA), LUIS GUSTAVO PARRA NORIEGA Y GUADALUPE RAMÍREZ PEÑA; EN LA CUARTA SESIÓN ORDINARIA CELEBRADA EL CUATRO (04) DE FEBRERO DE DOS MIL VEINTIDÓS, ANTE EL SECRETARIO TÉCNICO DEL PLENO ALEXIS TAPIA RAMÍREZ.</w:t>
      </w:r>
      <w:r>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9C3B" w14:textId="77777777" w:rsidR="00B01D59" w:rsidRDefault="00B01D59" w:rsidP="00587366">
      <w:r>
        <w:separator/>
      </w:r>
    </w:p>
  </w:endnote>
  <w:endnote w:type="continuationSeparator" w:id="0">
    <w:p w14:paraId="3B61F2B0" w14:textId="77777777" w:rsidR="00B01D59" w:rsidRDefault="00B01D59"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7053DB" w:rsidRPr="00883450" w:rsidRDefault="007053D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76EE5">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76EE5">
              <w:rPr>
                <w:rFonts w:ascii="Palatino Linotype" w:hAnsi="Palatino Linotype"/>
                <w:b/>
                <w:bCs/>
                <w:noProof/>
                <w:sz w:val="22"/>
                <w:szCs w:val="20"/>
              </w:rPr>
              <w:t>69</w:t>
            </w:r>
            <w:r w:rsidRPr="00883450">
              <w:rPr>
                <w:rFonts w:ascii="Palatino Linotype" w:hAnsi="Palatino Linotype"/>
                <w:b/>
                <w:bCs/>
                <w:sz w:val="22"/>
                <w:szCs w:val="20"/>
              </w:rPr>
              <w:fldChar w:fldCharType="end"/>
            </w:r>
          </w:p>
        </w:sdtContent>
      </w:sdt>
    </w:sdtContent>
  </w:sdt>
  <w:p w14:paraId="6243EC1B" w14:textId="47B193F0" w:rsidR="007053DB" w:rsidRDefault="007053D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7053DB" w:rsidRPr="00883450" w:rsidRDefault="007053D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34034" w:rsidRPr="0093403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34034" w:rsidRPr="00934034">
      <w:rPr>
        <w:rFonts w:ascii="Palatino Linotype" w:hAnsi="Palatino Linotype"/>
        <w:noProof/>
        <w:sz w:val="22"/>
        <w:szCs w:val="22"/>
        <w:lang w:val="es-ES"/>
      </w:rPr>
      <w:t>69</w:t>
    </w:r>
    <w:r w:rsidRPr="00883450">
      <w:rPr>
        <w:rFonts w:ascii="Palatino Linotype" w:hAnsi="Palatino Linotype"/>
        <w:sz w:val="22"/>
        <w:szCs w:val="22"/>
      </w:rPr>
      <w:fldChar w:fldCharType="end"/>
    </w:r>
  </w:p>
  <w:p w14:paraId="5F5C4865" w14:textId="0A9A2B26" w:rsidR="007053DB" w:rsidRPr="00883450" w:rsidRDefault="007053DB">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2289" w14:textId="77777777" w:rsidR="00B01D59" w:rsidRDefault="00B01D59" w:rsidP="00587366">
      <w:r>
        <w:separator/>
      </w:r>
    </w:p>
  </w:footnote>
  <w:footnote w:type="continuationSeparator" w:id="0">
    <w:p w14:paraId="72797A60" w14:textId="77777777" w:rsidR="00B01D59" w:rsidRDefault="00B01D59" w:rsidP="00587366">
      <w:r>
        <w:continuationSeparator/>
      </w:r>
    </w:p>
  </w:footnote>
  <w:footnote w:id="1">
    <w:p w14:paraId="5C54E327" w14:textId="77777777" w:rsidR="007053DB" w:rsidRPr="00F75272" w:rsidRDefault="007053DB" w:rsidP="005C789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CFF1D76" w14:textId="77777777" w:rsidR="007053DB" w:rsidRPr="009C43C2" w:rsidRDefault="007053D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3">
    <w:p w14:paraId="621A220A" w14:textId="77777777" w:rsidR="007053DB" w:rsidRPr="009C43C2" w:rsidRDefault="007053D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4">
    <w:p w14:paraId="1F98C24F" w14:textId="77777777" w:rsidR="007053DB" w:rsidRPr="009C43C2" w:rsidRDefault="007053DB"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42632106" w14:textId="77777777" w:rsidR="007053DB" w:rsidRDefault="007053DB"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w:t>
      </w:r>
      <w:r w:rsidRPr="009C43C2">
        <w:rPr>
          <w:rFonts w:ascii="Palatino Linotype" w:hAnsi="Palatino Linotype"/>
          <w:sz w:val="18"/>
        </w:rPr>
        <w:t>Ibídem. Parr. 87.</w:t>
      </w:r>
    </w:p>
  </w:footnote>
  <w:footnote w:id="6">
    <w:p w14:paraId="0BC0449C" w14:textId="77777777" w:rsidR="007053DB" w:rsidRDefault="007053DB" w:rsidP="00CC363A">
      <w:pPr>
        <w:pStyle w:val="Textonotapie"/>
      </w:pPr>
      <w:r>
        <w:rPr>
          <w:rStyle w:val="Refdenotaalpie"/>
        </w:rPr>
        <w:footnoteRef/>
      </w:r>
      <w:r>
        <w:t xml:space="preserve"> Artículo 50, Ley de Transparencia y Acceso a la Información Pública del Estado de México y Municipios.</w:t>
      </w:r>
    </w:p>
  </w:footnote>
  <w:footnote w:id="7">
    <w:p w14:paraId="6A14D8C8" w14:textId="77777777" w:rsidR="007053DB" w:rsidRDefault="007053DB" w:rsidP="00CC363A">
      <w:pPr>
        <w:pStyle w:val="Textonotapie"/>
      </w:pPr>
      <w:r>
        <w:rPr>
          <w:rStyle w:val="Refdenotaalpie"/>
        </w:rPr>
        <w:footnoteRef/>
      </w:r>
      <w:r>
        <w:t xml:space="preserve"> Artículo 51, Ídem.</w:t>
      </w:r>
    </w:p>
  </w:footnote>
  <w:footnote w:id="8">
    <w:p w14:paraId="436F138D" w14:textId="77777777" w:rsidR="007053DB" w:rsidRDefault="007053DB" w:rsidP="00CC363A">
      <w:pPr>
        <w:pStyle w:val="Textonotapie"/>
      </w:pPr>
      <w:r>
        <w:rPr>
          <w:rStyle w:val="Refdenotaalpie"/>
        </w:rPr>
        <w:footnoteRef/>
      </w:r>
      <w:r>
        <w:t xml:space="preserve"> Artículo 58, Ley de Transparencia y Acceso a la Información Pública del Estado de México y Municipios.</w:t>
      </w:r>
    </w:p>
  </w:footnote>
  <w:footnote w:id="9">
    <w:p w14:paraId="174DE4C3" w14:textId="77777777" w:rsidR="007053DB" w:rsidRDefault="007053DB" w:rsidP="00CC363A">
      <w:pPr>
        <w:pStyle w:val="Textonotapie"/>
      </w:pPr>
      <w:r>
        <w:rPr>
          <w:rStyle w:val="Refdenotaalpie"/>
        </w:rPr>
        <w:footnoteRef/>
      </w:r>
      <w:r>
        <w:t xml:space="preserve"> Artículo 59, Ídem.</w:t>
      </w:r>
    </w:p>
  </w:footnote>
  <w:footnote w:id="10">
    <w:p w14:paraId="7887815C" w14:textId="77777777" w:rsidR="00E1691C" w:rsidRDefault="00E1691C" w:rsidP="00E1691C">
      <w:pPr>
        <w:pStyle w:val="Textonotapie"/>
      </w:pPr>
      <w:r>
        <w:rPr>
          <w:rStyle w:val="Refdenotaalpie"/>
        </w:rPr>
        <w:footnoteRef/>
      </w:r>
      <w:r>
        <w:t xml:space="preserve"> Artículo 176, Ley de Transparencia y Acceso a la Información Pública del Estado de México y Municipios.</w:t>
      </w:r>
    </w:p>
  </w:footnote>
  <w:footnote w:id="11">
    <w:p w14:paraId="0F729321" w14:textId="2C025AAB" w:rsidR="00EF535A" w:rsidRDefault="00EF535A" w:rsidP="00EF535A">
      <w:pPr>
        <w:pStyle w:val="Textonotapie"/>
        <w:jc w:val="both"/>
      </w:pPr>
      <w:r>
        <w:rPr>
          <w:rStyle w:val="Refdenotaalpie"/>
        </w:rPr>
        <w:footnoteRef/>
      </w:r>
      <w:r>
        <w:t xml:space="preserve"> </w:t>
      </w:r>
      <w:r w:rsidRPr="00EF535A">
        <w:rPr>
          <w:b/>
          <w:bCs/>
        </w:rPr>
        <w:t>Artículo 192.</w:t>
      </w:r>
      <w:r w:rsidRPr="00EF535A">
        <w:t xml:space="preserve"> El recurso será sobreseído, en todo o en parte, cuando una vez admitido, se actualicen</w:t>
      </w:r>
      <w:r>
        <w:t xml:space="preserve"> alguno de los siguientes supuestos:</w:t>
      </w:r>
    </w:p>
    <w:p w14:paraId="715D2DAE" w14:textId="14AE5FA5" w:rsidR="00EF535A" w:rsidRDefault="00EF535A" w:rsidP="00EF535A">
      <w:pPr>
        <w:pStyle w:val="Textonotapie"/>
        <w:jc w:val="both"/>
      </w:pPr>
      <w:r>
        <w:t>(…)</w:t>
      </w:r>
    </w:p>
    <w:p w14:paraId="0097E7A8" w14:textId="6271DEA1" w:rsidR="00EF535A" w:rsidRDefault="00EF535A" w:rsidP="00EF535A">
      <w:pPr>
        <w:pStyle w:val="Textonotapie"/>
        <w:jc w:val="both"/>
      </w:pPr>
      <w:r w:rsidRPr="00EF535A">
        <w:rPr>
          <w:b/>
          <w:bCs/>
        </w:rPr>
        <w:t>IV.</w:t>
      </w:r>
      <w:r>
        <w:t xml:space="preserve"> </w:t>
      </w:r>
      <w:r w:rsidRPr="00EF535A">
        <w:t>Admitido el recurso de revisión, aparezca alguna causal de improcedencia en los términos de la presente Ley; y</w:t>
      </w:r>
    </w:p>
    <w:p w14:paraId="4576A38D" w14:textId="3ADD02D6" w:rsidR="00EF535A" w:rsidRDefault="00EF535A" w:rsidP="00EF535A">
      <w:pPr>
        <w:pStyle w:val="Textonotapie"/>
        <w:jc w:val="both"/>
      </w:pPr>
      <w:r>
        <w:t>(…)”</w:t>
      </w:r>
    </w:p>
  </w:footnote>
  <w:footnote w:id="12">
    <w:p w14:paraId="4353C30D" w14:textId="203E48D6" w:rsidR="007053DB" w:rsidRDefault="007053DB" w:rsidP="00072EFF">
      <w:pPr>
        <w:pStyle w:val="Textonotapie"/>
        <w:jc w:val="both"/>
      </w:pPr>
      <w:r>
        <w:rPr>
          <w:rStyle w:val="Refdenotaalpie"/>
        </w:rPr>
        <w:footnoteRef/>
      </w:r>
      <w:r>
        <w:t xml:space="preserve"> </w:t>
      </w:r>
      <w:r w:rsidRPr="00072EFF">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p>
  </w:footnote>
  <w:footnote w:id="13">
    <w:p w14:paraId="09E536EB" w14:textId="77777777" w:rsidR="007053DB" w:rsidRPr="00034B44" w:rsidRDefault="007053DB" w:rsidP="00311F9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r w:rsidRPr="00034B44">
        <w:rPr>
          <w:rFonts w:ascii="Palatino Linotype" w:hAnsi="Palatino Linotype"/>
          <w:sz w:val="14"/>
        </w:rPr>
        <w:t xml:space="preserve">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9787CB6" w14:textId="77777777" w:rsidR="007053DB" w:rsidRPr="00034B44" w:rsidRDefault="007053DB" w:rsidP="00311F9B">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14">
    <w:p w14:paraId="5E551374" w14:textId="77777777" w:rsidR="007053DB" w:rsidRPr="00034B44" w:rsidRDefault="007053DB" w:rsidP="00311F9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5">
    <w:p w14:paraId="191A12C7" w14:textId="77777777" w:rsidR="007053DB" w:rsidRPr="00034B44" w:rsidRDefault="007053DB" w:rsidP="00311F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84F1B3C" w14:textId="77777777" w:rsidR="007053DB" w:rsidRPr="00034B44" w:rsidRDefault="007053DB" w:rsidP="00311F9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DD49674" w14:textId="77777777" w:rsidR="007053DB" w:rsidRPr="00034B44" w:rsidRDefault="007053DB" w:rsidP="00311F9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16">
    <w:p w14:paraId="41750443" w14:textId="77777777" w:rsidR="007053DB" w:rsidRPr="00D84239" w:rsidRDefault="007053DB" w:rsidP="007053D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SAGÜÉS, Néstor Pedro. </w:t>
      </w:r>
      <w:r>
        <w:rPr>
          <w:rFonts w:ascii="Arial" w:hAnsi="Arial" w:cs="Arial"/>
        </w:rPr>
        <w:t>“</w:t>
      </w:r>
      <w:r w:rsidRPr="00384B2A">
        <w:rPr>
          <w:rFonts w:ascii="Arial" w:hAnsi="Arial" w:cs="Arial"/>
          <w:i/>
        </w:rPr>
        <w:t>La interpretación judicial de la Constitución. De la Constitución nacional a la Constitución convencionalizada”.</w:t>
      </w:r>
      <w:r w:rsidRPr="00D84239">
        <w:rPr>
          <w:rFonts w:ascii="Arial" w:hAnsi="Arial" w:cs="Arial"/>
        </w:rPr>
        <w:t xml:space="preserve"> México, </w:t>
      </w:r>
      <w:r w:rsidRPr="00D84239">
        <w:rPr>
          <w:rFonts w:ascii="Arial" w:hAnsi="Arial" w:cs="Arial"/>
        </w:rPr>
        <w:t>Coed. Porrúa e Instituto Mexicano de Derecho Procesal Constitucional. 2013. Págs. 263 y 264.</w:t>
      </w:r>
    </w:p>
  </w:footnote>
  <w:footnote w:id="17">
    <w:p w14:paraId="3C1A97E7" w14:textId="77777777" w:rsidR="007053DB" w:rsidRPr="00D84239" w:rsidRDefault="007053DB" w:rsidP="007053D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en español de la resolución se obtiene de ALÁEZ CORRAL, Benito y ÁLVAREZ </w:t>
      </w:r>
      <w:r w:rsidRPr="00D84239">
        <w:rPr>
          <w:rFonts w:ascii="Arial" w:hAnsi="Arial" w:cs="Arial"/>
        </w:rPr>
        <w:t xml:space="preserve">ÁLVAREZ, Leonardo. </w:t>
      </w:r>
      <w:r>
        <w:rPr>
          <w:rFonts w:ascii="Arial" w:hAnsi="Arial" w:cs="Arial"/>
        </w:rPr>
        <w:t>“</w:t>
      </w:r>
      <w:r w:rsidRPr="00384B2A">
        <w:rPr>
          <w:rFonts w:ascii="Arial" w:hAnsi="Arial" w:cs="Arial"/>
          <w:i/>
        </w:rPr>
        <w:t>Las decisiones básicas del T</w:t>
      </w:r>
      <w:r>
        <w:rPr>
          <w:rFonts w:ascii="Arial" w:hAnsi="Arial" w:cs="Arial"/>
          <w:i/>
        </w:rPr>
        <w:t>ribunal Constitucional Federal A</w:t>
      </w:r>
      <w:r w:rsidRPr="00384B2A">
        <w:rPr>
          <w:rFonts w:ascii="Arial" w:hAnsi="Arial" w:cs="Arial"/>
          <w:i/>
        </w:rPr>
        <w:t>lemán en las encrucijadas del cambio de milenio</w:t>
      </w:r>
      <w:r>
        <w:rPr>
          <w:rFonts w:ascii="Arial" w:hAnsi="Arial" w:cs="Arial"/>
          <w:i/>
        </w:rPr>
        <w:t>”</w:t>
      </w:r>
      <w:r w:rsidRPr="00D84239">
        <w:rPr>
          <w:rFonts w:ascii="Arial" w:hAnsi="Arial" w:cs="Arial"/>
        </w:rPr>
        <w:t>. Madrid. Coed. Centro de Estudios Políticos y Constitucionales y Boletín Oficial Español. 2008. Págs. 179 y 180.</w:t>
      </w:r>
    </w:p>
  </w:footnote>
  <w:footnote w:id="18">
    <w:p w14:paraId="02E270AA" w14:textId="77777777" w:rsidR="007053DB" w:rsidRPr="00D84239" w:rsidRDefault="007053DB" w:rsidP="007053DB">
      <w:pPr>
        <w:pStyle w:val="Textonotapie"/>
        <w:jc w:val="both"/>
        <w:rPr>
          <w:rFonts w:ascii="Arial" w:hAnsi="Arial" w:cs="Arial"/>
        </w:rPr>
      </w:pPr>
      <w:r w:rsidRPr="00D84239">
        <w:rPr>
          <w:rStyle w:val="Refdenotaalpie"/>
          <w:rFonts w:ascii="Arial" w:hAnsi="Arial" w:cs="Arial"/>
        </w:rPr>
        <w:footnoteRef/>
      </w:r>
      <w:r w:rsidRPr="00D84239">
        <w:rPr>
          <w:rFonts w:ascii="Arial" w:hAnsi="Arial" w:cs="Arial"/>
        </w:rPr>
        <w:t xml:space="preserve"> La versión </w:t>
      </w:r>
      <w:r>
        <w:rPr>
          <w:rFonts w:ascii="Arial" w:hAnsi="Arial" w:cs="Arial"/>
        </w:rPr>
        <w:t xml:space="preserve">en español </w:t>
      </w:r>
      <w:r w:rsidRPr="00D84239">
        <w:rPr>
          <w:rFonts w:ascii="Arial" w:hAnsi="Arial" w:cs="Arial"/>
        </w:rPr>
        <w:t xml:space="preserve">de la sentencia puede consultarse en SARMIENTO, Daniel et al. </w:t>
      </w:r>
      <w:r w:rsidRPr="00D84239">
        <w:rPr>
          <w:rFonts w:ascii="Arial" w:hAnsi="Arial" w:cs="Arial"/>
          <w:i/>
        </w:rPr>
        <w:t>Las sentencias básicas del Tribunal Europeo de Derechos Humanos. Estudio y Jurisprudencia</w:t>
      </w:r>
      <w:r w:rsidRPr="00D84239">
        <w:rPr>
          <w:rFonts w:ascii="Arial" w:hAnsi="Arial" w:cs="Arial"/>
        </w:rPr>
        <w:t xml:space="preserve">. Navarra. </w:t>
      </w:r>
      <w:r w:rsidRPr="00D84239">
        <w:rPr>
          <w:rFonts w:ascii="Arial" w:hAnsi="Arial" w:cs="Arial"/>
        </w:rPr>
        <w:t>Coed. Thomson y Civitas, 2007. Pág. 465.</w:t>
      </w:r>
    </w:p>
  </w:footnote>
  <w:footnote w:id="19">
    <w:p w14:paraId="15970C13" w14:textId="77777777" w:rsidR="007053DB" w:rsidRPr="00034B44" w:rsidRDefault="007053DB" w:rsidP="00311F9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20">
    <w:p w14:paraId="437D8992" w14:textId="77777777" w:rsidR="007053DB" w:rsidRPr="00034B44" w:rsidRDefault="007053DB" w:rsidP="00311F9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42137829" w14:textId="77777777" w:rsidR="007053DB" w:rsidRPr="00034B44" w:rsidRDefault="007053DB" w:rsidP="00311F9B">
      <w:pPr>
        <w:pStyle w:val="Textonotapie"/>
        <w:jc w:val="both"/>
        <w:rPr>
          <w:rFonts w:ascii="Palatino Linotype" w:hAnsi="Palatino Linotype"/>
          <w:sz w:val="18"/>
        </w:rPr>
      </w:pPr>
      <w:r w:rsidRPr="00034B44">
        <w:rPr>
          <w:rFonts w:ascii="Palatino Linotype" w:hAnsi="Palatino Linotype"/>
          <w:sz w:val="18"/>
        </w:rPr>
        <w:t xml:space="preserve"> (…)</w:t>
      </w:r>
    </w:p>
    <w:p w14:paraId="7FF599BA" w14:textId="77777777" w:rsidR="007053DB" w:rsidRPr="00034B44" w:rsidRDefault="007053DB" w:rsidP="00311F9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5A6E" w14:textId="0285393B" w:rsidR="007053DB" w:rsidRDefault="007053DB"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7053DB" w:rsidRDefault="007053DB">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053DB" w:rsidRPr="00025127" w14:paraId="07F2896E" w14:textId="77777777" w:rsidTr="00FA0F09">
      <w:trPr>
        <w:trHeight w:val="138"/>
        <w:jc w:val="right"/>
      </w:trPr>
      <w:tc>
        <w:tcPr>
          <w:tcW w:w="3260" w:type="dxa"/>
          <w:vAlign w:val="center"/>
        </w:tcPr>
        <w:p w14:paraId="4A5B1974" w14:textId="3B2AB4E0" w:rsidR="007053DB" w:rsidRPr="00025127" w:rsidRDefault="007053D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7C36DE2" w:rsidR="007053DB" w:rsidRPr="00025127" w:rsidRDefault="007053DB" w:rsidP="005F1362">
          <w:pPr>
            <w:pStyle w:val="Encabezado"/>
            <w:jc w:val="both"/>
            <w:rPr>
              <w:rFonts w:ascii="Palatino Linotype" w:hAnsi="Palatino Linotype"/>
              <w:b/>
              <w:sz w:val="22"/>
              <w:szCs w:val="22"/>
            </w:rPr>
          </w:pPr>
          <w:r>
            <w:rPr>
              <w:rFonts w:ascii="Palatino Linotype" w:hAnsi="Palatino Linotype"/>
              <w:b/>
              <w:sz w:val="22"/>
              <w:szCs w:val="22"/>
            </w:rPr>
            <w:t>05498</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7053DB" w:rsidRPr="00025127" w14:paraId="1B5D8690" w14:textId="77777777" w:rsidTr="00FA0F09">
      <w:trPr>
        <w:trHeight w:val="233"/>
        <w:jc w:val="right"/>
      </w:trPr>
      <w:tc>
        <w:tcPr>
          <w:tcW w:w="3260" w:type="dxa"/>
          <w:vAlign w:val="center"/>
        </w:tcPr>
        <w:p w14:paraId="3903F2C6" w14:textId="22D569F8" w:rsidR="007053DB" w:rsidRPr="00025127" w:rsidRDefault="007053DB" w:rsidP="00B67B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3D5D76D6" w:rsidR="007053DB" w:rsidRPr="00025127" w:rsidRDefault="007053DB" w:rsidP="00B67B60">
          <w:pPr>
            <w:pStyle w:val="Encabezado"/>
            <w:rPr>
              <w:rFonts w:ascii="Palatino Linotype" w:hAnsi="Palatino Linotype"/>
              <w:b/>
              <w:sz w:val="22"/>
              <w:szCs w:val="22"/>
            </w:rPr>
          </w:pPr>
          <w:r>
            <w:rPr>
              <w:rFonts w:ascii="Palatino Linotype" w:hAnsi="Palatino Linotype"/>
              <w:b/>
              <w:bCs/>
              <w:color w:val="000000"/>
              <w:sz w:val="22"/>
              <w:szCs w:val="22"/>
            </w:rPr>
            <w:t>Ayuntamiento de Atizapán</w:t>
          </w:r>
        </w:p>
      </w:tc>
    </w:tr>
    <w:tr w:rsidR="007053DB" w:rsidRPr="00025127" w14:paraId="095EB01B" w14:textId="77777777" w:rsidTr="00FA0F09">
      <w:trPr>
        <w:trHeight w:val="321"/>
        <w:jc w:val="right"/>
      </w:trPr>
      <w:tc>
        <w:tcPr>
          <w:tcW w:w="3260" w:type="dxa"/>
          <w:vAlign w:val="center"/>
        </w:tcPr>
        <w:p w14:paraId="6E000A51" w14:textId="05E1861A" w:rsidR="007053DB" w:rsidRPr="00025127" w:rsidRDefault="007053D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053DB" w:rsidRPr="00025127" w:rsidRDefault="007053D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7053DB" w:rsidRDefault="007053DB" w:rsidP="00472C4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7053DB" w:rsidRDefault="00677FDF"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053D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053DB" w:rsidRPr="00025127" w14:paraId="0A3256F2" w14:textId="77777777" w:rsidTr="006E6B65">
      <w:trPr>
        <w:trHeight w:val="138"/>
        <w:jc w:val="right"/>
      </w:trPr>
      <w:tc>
        <w:tcPr>
          <w:tcW w:w="3261" w:type="dxa"/>
          <w:vAlign w:val="center"/>
        </w:tcPr>
        <w:p w14:paraId="3D80769D" w14:textId="316F11F8" w:rsidR="007053DB" w:rsidRPr="00025127" w:rsidRDefault="007053D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2B244F66" w:rsidR="007053DB" w:rsidRPr="00025127" w:rsidRDefault="007053DB" w:rsidP="005F1362">
          <w:pPr>
            <w:pStyle w:val="Encabezado"/>
            <w:rPr>
              <w:rFonts w:ascii="Palatino Linotype" w:hAnsi="Palatino Linotype"/>
              <w:b/>
              <w:sz w:val="22"/>
              <w:szCs w:val="22"/>
            </w:rPr>
          </w:pPr>
          <w:r>
            <w:rPr>
              <w:rFonts w:ascii="Palatino Linotype" w:hAnsi="Palatino Linotype"/>
              <w:b/>
              <w:sz w:val="22"/>
              <w:szCs w:val="22"/>
            </w:rPr>
            <w:t>05498</w:t>
          </w:r>
          <w:r w:rsidRPr="00025127">
            <w:rPr>
              <w:rFonts w:ascii="Palatino Linotype" w:hAnsi="Palatino Linotype"/>
              <w:b/>
              <w:sz w:val="22"/>
              <w:szCs w:val="22"/>
            </w:rPr>
            <w:t>/INFOEM/IP/RR/</w:t>
          </w:r>
          <w:r>
            <w:rPr>
              <w:rFonts w:ascii="Palatino Linotype" w:hAnsi="Palatino Linotype"/>
              <w:b/>
              <w:sz w:val="22"/>
              <w:szCs w:val="22"/>
            </w:rPr>
            <w:t>2021 y acumulado</w:t>
          </w:r>
        </w:p>
      </w:tc>
    </w:tr>
    <w:tr w:rsidR="007053DB" w:rsidRPr="00025127" w14:paraId="128C8B3C" w14:textId="77777777" w:rsidTr="006E6B65">
      <w:trPr>
        <w:trHeight w:val="233"/>
        <w:jc w:val="right"/>
      </w:trPr>
      <w:tc>
        <w:tcPr>
          <w:tcW w:w="3261" w:type="dxa"/>
          <w:vAlign w:val="center"/>
        </w:tcPr>
        <w:p w14:paraId="483E3371" w14:textId="66B1BC74" w:rsidR="007053DB" w:rsidRPr="00025127" w:rsidRDefault="007053D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5E0A43B8" w:rsidR="007053DB" w:rsidRPr="00025127" w:rsidRDefault="007053DB" w:rsidP="0058757A">
          <w:pPr>
            <w:pStyle w:val="Encabezado"/>
            <w:rPr>
              <w:rFonts w:ascii="Palatino Linotype" w:hAnsi="Palatino Linotype"/>
              <w:b/>
              <w:sz w:val="22"/>
              <w:szCs w:val="22"/>
            </w:rPr>
          </w:pPr>
          <w:r>
            <w:rPr>
              <w:rFonts w:ascii="Palatino Linotype" w:hAnsi="Palatino Linotype"/>
              <w:b/>
              <w:sz w:val="22"/>
              <w:szCs w:val="22"/>
            </w:rPr>
            <w:t>RECURRENTE</w:t>
          </w:r>
        </w:p>
      </w:tc>
    </w:tr>
    <w:tr w:rsidR="007053DB" w:rsidRPr="00025127" w14:paraId="41BE0704" w14:textId="77777777" w:rsidTr="006E6B65">
      <w:trPr>
        <w:trHeight w:val="321"/>
        <w:jc w:val="right"/>
      </w:trPr>
      <w:tc>
        <w:tcPr>
          <w:tcW w:w="3261" w:type="dxa"/>
          <w:vAlign w:val="center"/>
        </w:tcPr>
        <w:p w14:paraId="34C64148" w14:textId="10C6C8A9" w:rsidR="007053DB" w:rsidRPr="00025127" w:rsidRDefault="007053D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0CA5848" w:rsidR="007053DB" w:rsidRPr="00025127" w:rsidRDefault="007053DB" w:rsidP="009B0E35">
          <w:pPr>
            <w:pStyle w:val="Encabezado"/>
            <w:rPr>
              <w:rFonts w:ascii="Palatino Linotype" w:hAnsi="Palatino Linotype"/>
              <w:b/>
              <w:sz w:val="22"/>
              <w:szCs w:val="22"/>
            </w:rPr>
          </w:pPr>
          <w:r>
            <w:rPr>
              <w:rFonts w:ascii="Palatino Linotype" w:hAnsi="Palatino Linotype"/>
              <w:b/>
              <w:bCs/>
              <w:color w:val="000000"/>
              <w:sz w:val="22"/>
              <w:szCs w:val="22"/>
            </w:rPr>
            <w:t>Ayuntamiento de Atizapán</w:t>
          </w:r>
        </w:p>
      </w:tc>
    </w:tr>
    <w:tr w:rsidR="007053DB" w:rsidRPr="00025127" w14:paraId="0C8B6193" w14:textId="77777777" w:rsidTr="006E6B65">
      <w:trPr>
        <w:trHeight w:val="321"/>
        <w:jc w:val="right"/>
      </w:trPr>
      <w:tc>
        <w:tcPr>
          <w:tcW w:w="3261" w:type="dxa"/>
          <w:vAlign w:val="center"/>
        </w:tcPr>
        <w:p w14:paraId="321FFAFF" w14:textId="0E8C2CE7" w:rsidR="007053DB" w:rsidRPr="00025127" w:rsidRDefault="007053D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053DB" w:rsidRPr="00025127" w:rsidRDefault="007053D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053DB" w:rsidRDefault="007053D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20EA3"/>
    <w:multiLevelType w:val="hybridMultilevel"/>
    <w:tmpl w:val="49BC3DE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652F09"/>
    <w:multiLevelType w:val="hybridMultilevel"/>
    <w:tmpl w:val="73BEDC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320A89"/>
    <w:multiLevelType w:val="hybridMultilevel"/>
    <w:tmpl w:val="02E45D3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C9FA37C8">
      <w:start w:val="5"/>
      <w:numFmt w:val="bullet"/>
      <w:lvlText w:val="-"/>
      <w:lvlJc w:val="left"/>
      <w:pPr>
        <w:ind w:left="2880" w:hanging="360"/>
      </w:pPr>
      <w:rPr>
        <w:rFonts w:ascii="Palatino Linotype" w:eastAsiaTheme="minorEastAsia" w:hAnsi="Palatino Linotype" w:cstheme="minorBidi"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CA14B6F"/>
    <w:multiLevelType w:val="hybridMultilevel"/>
    <w:tmpl w:val="A5A07DD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F3AA074">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15101D"/>
    <w:multiLevelType w:val="hybridMultilevel"/>
    <w:tmpl w:val="C682077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345247"/>
    <w:multiLevelType w:val="hybridMultilevel"/>
    <w:tmpl w:val="7B08856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3A68A5"/>
    <w:multiLevelType w:val="hybridMultilevel"/>
    <w:tmpl w:val="BDAACCEC"/>
    <w:lvl w:ilvl="0" w:tplc="FE94231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0651F4"/>
    <w:multiLevelType w:val="hybridMultilevel"/>
    <w:tmpl w:val="A7F4CDF2"/>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8020E4"/>
    <w:multiLevelType w:val="hybridMultilevel"/>
    <w:tmpl w:val="1B863FAA"/>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9E4292"/>
    <w:multiLevelType w:val="hybridMultilevel"/>
    <w:tmpl w:val="C16255B6"/>
    <w:lvl w:ilvl="0" w:tplc="77E4DA4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916E00"/>
    <w:multiLevelType w:val="hybridMultilevel"/>
    <w:tmpl w:val="A57AA72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5D522C"/>
    <w:multiLevelType w:val="hybridMultilevel"/>
    <w:tmpl w:val="55AC2342"/>
    <w:lvl w:ilvl="0" w:tplc="FFFFFFFF">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182778A"/>
    <w:multiLevelType w:val="hybridMultilevel"/>
    <w:tmpl w:val="76AAB1B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8B6099"/>
    <w:multiLevelType w:val="hybridMultilevel"/>
    <w:tmpl w:val="4AD08F1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A72E3B"/>
    <w:multiLevelType w:val="hybridMultilevel"/>
    <w:tmpl w:val="A24811E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FA65168"/>
    <w:multiLevelType w:val="hybridMultilevel"/>
    <w:tmpl w:val="CF523C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1506CCEA">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2"/>
  </w:num>
  <w:num w:numId="5">
    <w:abstractNumId w:val="17"/>
  </w:num>
  <w:num w:numId="6">
    <w:abstractNumId w:val="4"/>
  </w:num>
  <w:num w:numId="7">
    <w:abstractNumId w:val="7"/>
  </w:num>
  <w:num w:numId="8">
    <w:abstractNumId w:val="21"/>
  </w:num>
  <w:num w:numId="9">
    <w:abstractNumId w:val="23"/>
  </w:num>
  <w:num w:numId="10">
    <w:abstractNumId w:val="6"/>
  </w:num>
  <w:num w:numId="11">
    <w:abstractNumId w:val="2"/>
  </w:num>
  <w:num w:numId="12">
    <w:abstractNumId w:val="22"/>
  </w:num>
  <w:num w:numId="13">
    <w:abstractNumId w:val="13"/>
  </w:num>
  <w:num w:numId="14">
    <w:abstractNumId w:val="20"/>
  </w:num>
  <w:num w:numId="15">
    <w:abstractNumId w:val="16"/>
  </w:num>
  <w:num w:numId="16">
    <w:abstractNumId w:val="19"/>
  </w:num>
  <w:num w:numId="17">
    <w:abstractNumId w:val="3"/>
  </w:num>
  <w:num w:numId="18">
    <w:abstractNumId w:val="18"/>
  </w:num>
  <w:num w:numId="19">
    <w:abstractNumId w:val="14"/>
  </w:num>
  <w:num w:numId="20">
    <w:abstractNumId w:val="1"/>
  </w:num>
  <w:num w:numId="21">
    <w:abstractNumId w:val="9"/>
  </w:num>
  <w:num w:numId="22">
    <w:abstractNumId w:val="5"/>
  </w:num>
  <w:num w:numId="23">
    <w:abstractNumId w:val="10"/>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1317"/>
    <w:rsid w:val="00012472"/>
    <w:rsid w:val="0001398B"/>
    <w:rsid w:val="00016250"/>
    <w:rsid w:val="000203D3"/>
    <w:rsid w:val="000204A6"/>
    <w:rsid w:val="000211F8"/>
    <w:rsid w:val="0002146F"/>
    <w:rsid w:val="00022D89"/>
    <w:rsid w:val="000236A3"/>
    <w:rsid w:val="00024F35"/>
    <w:rsid w:val="00025127"/>
    <w:rsid w:val="00025266"/>
    <w:rsid w:val="0003063D"/>
    <w:rsid w:val="00031D37"/>
    <w:rsid w:val="00031F10"/>
    <w:rsid w:val="00031F98"/>
    <w:rsid w:val="00032493"/>
    <w:rsid w:val="0004072A"/>
    <w:rsid w:val="000411E2"/>
    <w:rsid w:val="0004193F"/>
    <w:rsid w:val="00042380"/>
    <w:rsid w:val="00044DB9"/>
    <w:rsid w:val="0004686A"/>
    <w:rsid w:val="000468E2"/>
    <w:rsid w:val="00046CEE"/>
    <w:rsid w:val="000478BA"/>
    <w:rsid w:val="0005237C"/>
    <w:rsid w:val="00052A3C"/>
    <w:rsid w:val="00054A03"/>
    <w:rsid w:val="00056317"/>
    <w:rsid w:val="00056A79"/>
    <w:rsid w:val="0005777B"/>
    <w:rsid w:val="00061344"/>
    <w:rsid w:val="000622ED"/>
    <w:rsid w:val="0006247F"/>
    <w:rsid w:val="00062648"/>
    <w:rsid w:val="000631D9"/>
    <w:rsid w:val="0006381D"/>
    <w:rsid w:val="00063D06"/>
    <w:rsid w:val="0006407E"/>
    <w:rsid w:val="00064577"/>
    <w:rsid w:val="00064A37"/>
    <w:rsid w:val="00064B95"/>
    <w:rsid w:val="00066B68"/>
    <w:rsid w:val="00067554"/>
    <w:rsid w:val="00070361"/>
    <w:rsid w:val="0007221E"/>
    <w:rsid w:val="00072EFF"/>
    <w:rsid w:val="00074573"/>
    <w:rsid w:val="00076EE5"/>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700A"/>
    <w:rsid w:val="000A26B8"/>
    <w:rsid w:val="000A3F90"/>
    <w:rsid w:val="000A4554"/>
    <w:rsid w:val="000A45FD"/>
    <w:rsid w:val="000A4E44"/>
    <w:rsid w:val="000A556A"/>
    <w:rsid w:val="000A77ED"/>
    <w:rsid w:val="000B0370"/>
    <w:rsid w:val="000B2BA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3A0"/>
    <w:rsid w:val="000D0855"/>
    <w:rsid w:val="000D11CC"/>
    <w:rsid w:val="000D1E0F"/>
    <w:rsid w:val="000D2DC2"/>
    <w:rsid w:val="000D3275"/>
    <w:rsid w:val="000D447F"/>
    <w:rsid w:val="000D5A1D"/>
    <w:rsid w:val="000D62FF"/>
    <w:rsid w:val="000D69DF"/>
    <w:rsid w:val="000D72C9"/>
    <w:rsid w:val="000D7369"/>
    <w:rsid w:val="000D7394"/>
    <w:rsid w:val="000E07DC"/>
    <w:rsid w:val="000E096F"/>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C6D"/>
    <w:rsid w:val="00100DDD"/>
    <w:rsid w:val="001015CE"/>
    <w:rsid w:val="00102D65"/>
    <w:rsid w:val="00103662"/>
    <w:rsid w:val="00103888"/>
    <w:rsid w:val="0010409E"/>
    <w:rsid w:val="00107499"/>
    <w:rsid w:val="00107557"/>
    <w:rsid w:val="0011167C"/>
    <w:rsid w:val="00111F02"/>
    <w:rsid w:val="0011279B"/>
    <w:rsid w:val="00112B02"/>
    <w:rsid w:val="00112F09"/>
    <w:rsid w:val="00114A21"/>
    <w:rsid w:val="00115F2B"/>
    <w:rsid w:val="0011616D"/>
    <w:rsid w:val="00117441"/>
    <w:rsid w:val="0012006D"/>
    <w:rsid w:val="00120292"/>
    <w:rsid w:val="00121125"/>
    <w:rsid w:val="00121F4A"/>
    <w:rsid w:val="00122948"/>
    <w:rsid w:val="00122E4B"/>
    <w:rsid w:val="0012380D"/>
    <w:rsid w:val="00124015"/>
    <w:rsid w:val="00124CF1"/>
    <w:rsid w:val="001250B4"/>
    <w:rsid w:val="001253D1"/>
    <w:rsid w:val="00125595"/>
    <w:rsid w:val="00126C46"/>
    <w:rsid w:val="00127E68"/>
    <w:rsid w:val="001318D2"/>
    <w:rsid w:val="00132C06"/>
    <w:rsid w:val="00133B79"/>
    <w:rsid w:val="00133CE5"/>
    <w:rsid w:val="00134AEC"/>
    <w:rsid w:val="001352E5"/>
    <w:rsid w:val="00135DD5"/>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3D2"/>
    <w:rsid w:val="001775DF"/>
    <w:rsid w:val="001848C0"/>
    <w:rsid w:val="00185460"/>
    <w:rsid w:val="001862A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30F9"/>
    <w:rsid w:val="001B3659"/>
    <w:rsid w:val="001B40F3"/>
    <w:rsid w:val="001B53A0"/>
    <w:rsid w:val="001B5F70"/>
    <w:rsid w:val="001B6845"/>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5DFB"/>
    <w:rsid w:val="002179AC"/>
    <w:rsid w:val="00217B86"/>
    <w:rsid w:val="00220ADB"/>
    <w:rsid w:val="002217BA"/>
    <w:rsid w:val="00221E74"/>
    <w:rsid w:val="00223507"/>
    <w:rsid w:val="00223ACC"/>
    <w:rsid w:val="0022448D"/>
    <w:rsid w:val="00226ED6"/>
    <w:rsid w:val="002275DE"/>
    <w:rsid w:val="00230170"/>
    <w:rsid w:val="002305CF"/>
    <w:rsid w:val="00232110"/>
    <w:rsid w:val="00232779"/>
    <w:rsid w:val="00233E08"/>
    <w:rsid w:val="002345FF"/>
    <w:rsid w:val="00235DF2"/>
    <w:rsid w:val="00237611"/>
    <w:rsid w:val="002408D7"/>
    <w:rsid w:val="002426EA"/>
    <w:rsid w:val="00244476"/>
    <w:rsid w:val="002457CF"/>
    <w:rsid w:val="002507D8"/>
    <w:rsid w:val="00252A20"/>
    <w:rsid w:val="00252B41"/>
    <w:rsid w:val="00254333"/>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71B06"/>
    <w:rsid w:val="00272FEC"/>
    <w:rsid w:val="00273013"/>
    <w:rsid w:val="00273C37"/>
    <w:rsid w:val="0027430D"/>
    <w:rsid w:val="002746D9"/>
    <w:rsid w:val="00274ED2"/>
    <w:rsid w:val="002754FC"/>
    <w:rsid w:val="002765F2"/>
    <w:rsid w:val="00277A35"/>
    <w:rsid w:val="00280994"/>
    <w:rsid w:val="00280E3F"/>
    <w:rsid w:val="00280F05"/>
    <w:rsid w:val="0028248C"/>
    <w:rsid w:val="00286096"/>
    <w:rsid w:val="00286DDB"/>
    <w:rsid w:val="002871EB"/>
    <w:rsid w:val="002948C4"/>
    <w:rsid w:val="00297E45"/>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C0074"/>
    <w:rsid w:val="002C0159"/>
    <w:rsid w:val="002C0804"/>
    <w:rsid w:val="002C0DC5"/>
    <w:rsid w:val="002C1007"/>
    <w:rsid w:val="002C2D44"/>
    <w:rsid w:val="002C4715"/>
    <w:rsid w:val="002C4780"/>
    <w:rsid w:val="002C47ED"/>
    <w:rsid w:val="002C484A"/>
    <w:rsid w:val="002C5692"/>
    <w:rsid w:val="002C570D"/>
    <w:rsid w:val="002C6561"/>
    <w:rsid w:val="002C6DB3"/>
    <w:rsid w:val="002C76A0"/>
    <w:rsid w:val="002D0E3D"/>
    <w:rsid w:val="002D10C8"/>
    <w:rsid w:val="002D1A38"/>
    <w:rsid w:val="002D1AA7"/>
    <w:rsid w:val="002D1C2C"/>
    <w:rsid w:val="002D28CB"/>
    <w:rsid w:val="002D2E16"/>
    <w:rsid w:val="002D35AE"/>
    <w:rsid w:val="002D373C"/>
    <w:rsid w:val="002E08ED"/>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BEF"/>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6A6"/>
    <w:rsid w:val="00311863"/>
    <w:rsid w:val="00311F9B"/>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5856"/>
    <w:rsid w:val="0034595C"/>
    <w:rsid w:val="00345B79"/>
    <w:rsid w:val="00345D0F"/>
    <w:rsid w:val="0034614E"/>
    <w:rsid w:val="00346885"/>
    <w:rsid w:val="003472B3"/>
    <w:rsid w:val="0035104F"/>
    <w:rsid w:val="0035199B"/>
    <w:rsid w:val="003522BF"/>
    <w:rsid w:val="00352901"/>
    <w:rsid w:val="00355AEE"/>
    <w:rsid w:val="00355D3B"/>
    <w:rsid w:val="0035606B"/>
    <w:rsid w:val="00357CC7"/>
    <w:rsid w:val="0036073F"/>
    <w:rsid w:val="003615A3"/>
    <w:rsid w:val="003629EE"/>
    <w:rsid w:val="003643B3"/>
    <w:rsid w:val="00366861"/>
    <w:rsid w:val="003708DD"/>
    <w:rsid w:val="00370B8E"/>
    <w:rsid w:val="00370BB1"/>
    <w:rsid w:val="003721B2"/>
    <w:rsid w:val="00372328"/>
    <w:rsid w:val="00374CE8"/>
    <w:rsid w:val="003762FD"/>
    <w:rsid w:val="00376FD2"/>
    <w:rsid w:val="00377278"/>
    <w:rsid w:val="00377A76"/>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29E0"/>
    <w:rsid w:val="003D4163"/>
    <w:rsid w:val="003D46D0"/>
    <w:rsid w:val="003D5661"/>
    <w:rsid w:val="003D65BF"/>
    <w:rsid w:val="003D792A"/>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578D"/>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204"/>
    <w:rsid w:val="00451514"/>
    <w:rsid w:val="00453BB4"/>
    <w:rsid w:val="00454B9D"/>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A7D4A"/>
    <w:rsid w:val="004B05A5"/>
    <w:rsid w:val="004B0EB6"/>
    <w:rsid w:val="004B12CB"/>
    <w:rsid w:val="004B176B"/>
    <w:rsid w:val="004B293C"/>
    <w:rsid w:val="004B35A4"/>
    <w:rsid w:val="004B3A2A"/>
    <w:rsid w:val="004B3D59"/>
    <w:rsid w:val="004B4713"/>
    <w:rsid w:val="004B4BE7"/>
    <w:rsid w:val="004B50F8"/>
    <w:rsid w:val="004B58EA"/>
    <w:rsid w:val="004B73EF"/>
    <w:rsid w:val="004B7992"/>
    <w:rsid w:val="004C09B4"/>
    <w:rsid w:val="004C18E4"/>
    <w:rsid w:val="004C20F2"/>
    <w:rsid w:val="004C251E"/>
    <w:rsid w:val="004C3D61"/>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D70F9"/>
    <w:rsid w:val="004E11D8"/>
    <w:rsid w:val="004E6E3A"/>
    <w:rsid w:val="004F0C96"/>
    <w:rsid w:val="004F0D31"/>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5F85"/>
    <w:rsid w:val="00507043"/>
    <w:rsid w:val="00507C08"/>
    <w:rsid w:val="00507D18"/>
    <w:rsid w:val="0051016E"/>
    <w:rsid w:val="00511A30"/>
    <w:rsid w:val="00512E43"/>
    <w:rsid w:val="00512F22"/>
    <w:rsid w:val="005140E4"/>
    <w:rsid w:val="00514343"/>
    <w:rsid w:val="00514426"/>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CE8"/>
    <w:rsid w:val="00546FBD"/>
    <w:rsid w:val="00550671"/>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4CBA"/>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73D"/>
    <w:rsid w:val="005B7C5D"/>
    <w:rsid w:val="005C02B5"/>
    <w:rsid w:val="005C0821"/>
    <w:rsid w:val="005C1A74"/>
    <w:rsid w:val="005C3294"/>
    <w:rsid w:val="005C347F"/>
    <w:rsid w:val="005C3B63"/>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715E"/>
    <w:rsid w:val="006010DA"/>
    <w:rsid w:val="006015F0"/>
    <w:rsid w:val="006017AB"/>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2FC0"/>
    <w:rsid w:val="00634476"/>
    <w:rsid w:val="00637475"/>
    <w:rsid w:val="0064393B"/>
    <w:rsid w:val="006439A1"/>
    <w:rsid w:val="00644375"/>
    <w:rsid w:val="00644A5C"/>
    <w:rsid w:val="00645E03"/>
    <w:rsid w:val="00646A08"/>
    <w:rsid w:val="00650392"/>
    <w:rsid w:val="0065061D"/>
    <w:rsid w:val="00651701"/>
    <w:rsid w:val="00652854"/>
    <w:rsid w:val="00655146"/>
    <w:rsid w:val="0065715E"/>
    <w:rsid w:val="00657670"/>
    <w:rsid w:val="00657DBF"/>
    <w:rsid w:val="00657DE0"/>
    <w:rsid w:val="00662C69"/>
    <w:rsid w:val="006633C0"/>
    <w:rsid w:val="00663470"/>
    <w:rsid w:val="00663CC7"/>
    <w:rsid w:val="0066458B"/>
    <w:rsid w:val="00664805"/>
    <w:rsid w:val="00664FB5"/>
    <w:rsid w:val="006674A0"/>
    <w:rsid w:val="00671285"/>
    <w:rsid w:val="006718FB"/>
    <w:rsid w:val="006720F3"/>
    <w:rsid w:val="00672744"/>
    <w:rsid w:val="00673695"/>
    <w:rsid w:val="00673DB5"/>
    <w:rsid w:val="00674701"/>
    <w:rsid w:val="00674A46"/>
    <w:rsid w:val="006752B0"/>
    <w:rsid w:val="00675742"/>
    <w:rsid w:val="00675F80"/>
    <w:rsid w:val="00676959"/>
    <w:rsid w:val="00676C6B"/>
    <w:rsid w:val="00677358"/>
    <w:rsid w:val="00677FDF"/>
    <w:rsid w:val="00680F25"/>
    <w:rsid w:val="0068224A"/>
    <w:rsid w:val="00682297"/>
    <w:rsid w:val="006842C0"/>
    <w:rsid w:val="00685689"/>
    <w:rsid w:val="0068594B"/>
    <w:rsid w:val="00686AB3"/>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2FF"/>
    <w:rsid w:val="006B1C19"/>
    <w:rsid w:val="006B31E7"/>
    <w:rsid w:val="006B4585"/>
    <w:rsid w:val="006B53EE"/>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5324"/>
    <w:rsid w:val="006F69E5"/>
    <w:rsid w:val="00701218"/>
    <w:rsid w:val="007050B1"/>
    <w:rsid w:val="007053DB"/>
    <w:rsid w:val="00705527"/>
    <w:rsid w:val="00707096"/>
    <w:rsid w:val="00710B50"/>
    <w:rsid w:val="007127BB"/>
    <w:rsid w:val="007136BC"/>
    <w:rsid w:val="00714576"/>
    <w:rsid w:val="00714FEC"/>
    <w:rsid w:val="00715A04"/>
    <w:rsid w:val="00715B7D"/>
    <w:rsid w:val="00721335"/>
    <w:rsid w:val="00721924"/>
    <w:rsid w:val="00721F66"/>
    <w:rsid w:val="00722B93"/>
    <w:rsid w:val="0072445A"/>
    <w:rsid w:val="007263AA"/>
    <w:rsid w:val="00731F1F"/>
    <w:rsid w:val="0073324B"/>
    <w:rsid w:val="007337E6"/>
    <w:rsid w:val="00735A75"/>
    <w:rsid w:val="007365AD"/>
    <w:rsid w:val="007409D8"/>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2245"/>
    <w:rsid w:val="0077277D"/>
    <w:rsid w:val="00774A5F"/>
    <w:rsid w:val="00774AB3"/>
    <w:rsid w:val="00774DFD"/>
    <w:rsid w:val="007753FA"/>
    <w:rsid w:val="0077544D"/>
    <w:rsid w:val="007758D3"/>
    <w:rsid w:val="00775D67"/>
    <w:rsid w:val="00776C78"/>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7D59"/>
    <w:rsid w:val="007A0692"/>
    <w:rsid w:val="007A082B"/>
    <w:rsid w:val="007A0A0E"/>
    <w:rsid w:val="007A1303"/>
    <w:rsid w:val="007A2C90"/>
    <w:rsid w:val="007A4419"/>
    <w:rsid w:val="007A596B"/>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5E0"/>
    <w:rsid w:val="007D0C01"/>
    <w:rsid w:val="007D26D2"/>
    <w:rsid w:val="007D3356"/>
    <w:rsid w:val="007D3FBD"/>
    <w:rsid w:val="007D49A0"/>
    <w:rsid w:val="007D6D9F"/>
    <w:rsid w:val="007D7EF3"/>
    <w:rsid w:val="007E0553"/>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55FF"/>
    <w:rsid w:val="00806782"/>
    <w:rsid w:val="0080784C"/>
    <w:rsid w:val="00810302"/>
    <w:rsid w:val="00810F94"/>
    <w:rsid w:val="008118AF"/>
    <w:rsid w:val="00811E99"/>
    <w:rsid w:val="00814A17"/>
    <w:rsid w:val="00815FC2"/>
    <w:rsid w:val="008167F5"/>
    <w:rsid w:val="0081794B"/>
    <w:rsid w:val="00817D8E"/>
    <w:rsid w:val="008200A3"/>
    <w:rsid w:val="00820BF2"/>
    <w:rsid w:val="00824C4E"/>
    <w:rsid w:val="00826125"/>
    <w:rsid w:val="00826F38"/>
    <w:rsid w:val="00830D70"/>
    <w:rsid w:val="00831969"/>
    <w:rsid w:val="00833E4C"/>
    <w:rsid w:val="00834316"/>
    <w:rsid w:val="00836224"/>
    <w:rsid w:val="008369DF"/>
    <w:rsid w:val="008374E9"/>
    <w:rsid w:val="008376CD"/>
    <w:rsid w:val="00837BE4"/>
    <w:rsid w:val="00840559"/>
    <w:rsid w:val="00842534"/>
    <w:rsid w:val="00843153"/>
    <w:rsid w:val="008433C1"/>
    <w:rsid w:val="00843908"/>
    <w:rsid w:val="008443E1"/>
    <w:rsid w:val="00845D12"/>
    <w:rsid w:val="00845F18"/>
    <w:rsid w:val="00846713"/>
    <w:rsid w:val="00846C5D"/>
    <w:rsid w:val="00846D48"/>
    <w:rsid w:val="008473FA"/>
    <w:rsid w:val="00847830"/>
    <w:rsid w:val="00851A81"/>
    <w:rsid w:val="00851F4C"/>
    <w:rsid w:val="0085224B"/>
    <w:rsid w:val="008523BA"/>
    <w:rsid w:val="00852B26"/>
    <w:rsid w:val="0085480B"/>
    <w:rsid w:val="00855021"/>
    <w:rsid w:val="00855985"/>
    <w:rsid w:val="008560F4"/>
    <w:rsid w:val="008568B1"/>
    <w:rsid w:val="008570EB"/>
    <w:rsid w:val="00860A1E"/>
    <w:rsid w:val="00861622"/>
    <w:rsid w:val="00863125"/>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EF"/>
    <w:rsid w:val="00896AD4"/>
    <w:rsid w:val="00897752"/>
    <w:rsid w:val="008A2811"/>
    <w:rsid w:val="008A3FC8"/>
    <w:rsid w:val="008A52F3"/>
    <w:rsid w:val="008A5456"/>
    <w:rsid w:val="008A74F2"/>
    <w:rsid w:val="008A7536"/>
    <w:rsid w:val="008A7F7D"/>
    <w:rsid w:val="008B1A5A"/>
    <w:rsid w:val="008B382F"/>
    <w:rsid w:val="008B38BC"/>
    <w:rsid w:val="008B4590"/>
    <w:rsid w:val="008B5AB4"/>
    <w:rsid w:val="008B66A6"/>
    <w:rsid w:val="008B6849"/>
    <w:rsid w:val="008B7FFE"/>
    <w:rsid w:val="008C002E"/>
    <w:rsid w:val="008C0446"/>
    <w:rsid w:val="008C2B3C"/>
    <w:rsid w:val="008C33F9"/>
    <w:rsid w:val="008C41A7"/>
    <w:rsid w:val="008C6F34"/>
    <w:rsid w:val="008C7108"/>
    <w:rsid w:val="008C75C8"/>
    <w:rsid w:val="008D02A3"/>
    <w:rsid w:val="008D115B"/>
    <w:rsid w:val="008D22D8"/>
    <w:rsid w:val="008D259C"/>
    <w:rsid w:val="008D2BCD"/>
    <w:rsid w:val="008D406E"/>
    <w:rsid w:val="008D4E99"/>
    <w:rsid w:val="008D5066"/>
    <w:rsid w:val="008D5703"/>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330B"/>
    <w:rsid w:val="008F4DB7"/>
    <w:rsid w:val="008F5927"/>
    <w:rsid w:val="008F5F96"/>
    <w:rsid w:val="008F7752"/>
    <w:rsid w:val="0090174A"/>
    <w:rsid w:val="00902E52"/>
    <w:rsid w:val="009036B3"/>
    <w:rsid w:val="0090620F"/>
    <w:rsid w:val="009071FE"/>
    <w:rsid w:val="00907761"/>
    <w:rsid w:val="00907A46"/>
    <w:rsid w:val="00910076"/>
    <w:rsid w:val="0091242A"/>
    <w:rsid w:val="00912E53"/>
    <w:rsid w:val="00913445"/>
    <w:rsid w:val="0091395C"/>
    <w:rsid w:val="00913AA4"/>
    <w:rsid w:val="00915778"/>
    <w:rsid w:val="009164DD"/>
    <w:rsid w:val="009210C9"/>
    <w:rsid w:val="00921CF4"/>
    <w:rsid w:val="00922166"/>
    <w:rsid w:val="00925C68"/>
    <w:rsid w:val="009315B0"/>
    <w:rsid w:val="009316E9"/>
    <w:rsid w:val="00931C93"/>
    <w:rsid w:val="00931EE2"/>
    <w:rsid w:val="00931FD8"/>
    <w:rsid w:val="0093282F"/>
    <w:rsid w:val="00934034"/>
    <w:rsid w:val="0093416D"/>
    <w:rsid w:val="0093652D"/>
    <w:rsid w:val="00937309"/>
    <w:rsid w:val="009379FC"/>
    <w:rsid w:val="00937D66"/>
    <w:rsid w:val="00940402"/>
    <w:rsid w:val="0094065A"/>
    <w:rsid w:val="00940FE2"/>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8A2"/>
    <w:rsid w:val="009A2D33"/>
    <w:rsid w:val="009A3F10"/>
    <w:rsid w:val="009A5191"/>
    <w:rsid w:val="009A593A"/>
    <w:rsid w:val="009A5FBB"/>
    <w:rsid w:val="009B0E35"/>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9BF"/>
    <w:rsid w:val="009E0AB4"/>
    <w:rsid w:val="009E10C7"/>
    <w:rsid w:val="009E260E"/>
    <w:rsid w:val="009E360A"/>
    <w:rsid w:val="009E38A4"/>
    <w:rsid w:val="009E3D82"/>
    <w:rsid w:val="009E4942"/>
    <w:rsid w:val="009E58CA"/>
    <w:rsid w:val="009E6E48"/>
    <w:rsid w:val="009F0B67"/>
    <w:rsid w:val="009F1566"/>
    <w:rsid w:val="009F1E4B"/>
    <w:rsid w:val="009F307E"/>
    <w:rsid w:val="009F37D5"/>
    <w:rsid w:val="009F50DE"/>
    <w:rsid w:val="009F5F3E"/>
    <w:rsid w:val="009F6D34"/>
    <w:rsid w:val="009F74A2"/>
    <w:rsid w:val="009F7BB0"/>
    <w:rsid w:val="00A0179F"/>
    <w:rsid w:val="00A0191E"/>
    <w:rsid w:val="00A01B7D"/>
    <w:rsid w:val="00A036C5"/>
    <w:rsid w:val="00A03AD2"/>
    <w:rsid w:val="00A05DA0"/>
    <w:rsid w:val="00A073A0"/>
    <w:rsid w:val="00A07D84"/>
    <w:rsid w:val="00A10336"/>
    <w:rsid w:val="00A10CE2"/>
    <w:rsid w:val="00A11C1B"/>
    <w:rsid w:val="00A13400"/>
    <w:rsid w:val="00A13703"/>
    <w:rsid w:val="00A13811"/>
    <w:rsid w:val="00A15C42"/>
    <w:rsid w:val="00A16DF1"/>
    <w:rsid w:val="00A17302"/>
    <w:rsid w:val="00A17A17"/>
    <w:rsid w:val="00A2069D"/>
    <w:rsid w:val="00A20B1F"/>
    <w:rsid w:val="00A21050"/>
    <w:rsid w:val="00A235D0"/>
    <w:rsid w:val="00A24131"/>
    <w:rsid w:val="00A27A7F"/>
    <w:rsid w:val="00A3276A"/>
    <w:rsid w:val="00A349D2"/>
    <w:rsid w:val="00A34C05"/>
    <w:rsid w:val="00A35492"/>
    <w:rsid w:val="00A4044E"/>
    <w:rsid w:val="00A4217B"/>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41B9"/>
    <w:rsid w:val="00A66AE9"/>
    <w:rsid w:val="00A67428"/>
    <w:rsid w:val="00A70CF3"/>
    <w:rsid w:val="00A7155E"/>
    <w:rsid w:val="00A7184D"/>
    <w:rsid w:val="00A73C04"/>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A7986"/>
    <w:rsid w:val="00AB1131"/>
    <w:rsid w:val="00AB1B91"/>
    <w:rsid w:val="00AB2744"/>
    <w:rsid w:val="00AB274F"/>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3B55"/>
    <w:rsid w:val="00AF3D59"/>
    <w:rsid w:val="00AF615F"/>
    <w:rsid w:val="00AF6794"/>
    <w:rsid w:val="00AF6F48"/>
    <w:rsid w:val="00AF717E"/>
    <w:rsid w:val="00AF77A6"/>
    <w:rsid w:val="00B016F7"/>
    <w:rsid w:val="00B01D59"/>
    <w:rsid w:val="00B02BDD"/>
    <w:rsid w:val="00B04E10"/>
    <w:rsid w:val="00B055B9"/>
    <w:rsid w:val="00B13243"/>
    <w:rsid w:val="00B13511"/>
    <w:rsid w:val="00B13D85"/>
    <w:rsid w:val="00B14846"/>
    <w:rsid w:val="00B14ED7"/>
    <w:rsid w:val="00B16296"/>
    <w:rsid w:val="00B16CC7"/>
    <w:rsid w:val="00B17492"/>
    <w:rsid w:val="00B1786A"/>
    <w:rsid w:val="00B206D8"/>
    <w:rsid w:val="00B20C75"/>
    <w:rsid w:val="00B22A82"/>
    <w:rsid w:val="00B230E5"/>
    <w:rsid w:val="00B23E88"/>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723D"/>
    <w:rsid w:val="00B67B60"/>
    <w:rsid w:val="00B67BD4"/>
    <w:rsid w:val="00B71F08"/>
    <w:rsid w:val="00B73838"/>
    <w:rsid w:val="00B7421A"/>
    <w:rsid w:val="00B74366"/>
    <w:rsid w:val="00B74D4D"/>
    <w:rsid w:val="00B75F20"/>
    <w:rsid w:val="00B762FD"/>
    <w:rsid w:val="00B76C73"/>
    <w:rsid w:val="00B808A4"/>
    <w:rsid w:val="00B81371"/>
    <w:rsid w:val="00B818B8"/>
    <w:rsid w:val="00B8225B"/>
    <w:rsid w:val="00B83E2E"/>
    <w:rsid w:val="00B855AA"/>
    <w:rsid w:val="00B8780A"/>
    <w:rsid w:val="00B902E7"/>
    <w:rsid w:val="00B922D9"/>
    <w:rsid w:val="00B926D6"/>
    <w:rsid w:val="00B92E62"/>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4F26"/>
    <w:rsid w:val="00BB5CA9"/>
    <w:rsid w:val="00BB6662"/>
    <w:rsid w:val="00BB7E0C"/>
    <w:rsid w:val="00BC0CE4"/>
    <w:rsid w:val="00BC22CD"/>
    <w:rsid w:val="00BC260A"/>
    <w:rsid w:val="00BC30BF"/>
    <w:rsid w:val="00BC3150"/>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1EE9"/>
    <w:rsid w:val="00C24101"/>
    <w:rsid w:val="00C24B25"/>
    <w:rsid w:val="00C24FF3"/>
    <w:rsid w:val="00C2575E"/>
    <w:rsid w:val="00C26121"/>
    <w:rsid w:val="00C27ABF"/>
    <w:rsid w:val="00C3086E"/>
    <w:rsid w:val="00C315FB"/>
    <w:rsid w:val="00C31713"/>
    <w:rsid w:val="00C317BD"/>
    <w:rsid w:val="00C33279"/>
    <w:rsid w:val="00C34B8F"/>
    <w:rsid w:val="00C35332"/>
    <w:rsid w:val="00C366F4"/>
    <w:rsid w:val="00C37421"/>
    <w:rsid w:val="00C37D4F"/>
    <w:rsid w:val="00C41015"/>
    <w:rsid w:val="00C41131"/>
    <w:rsid w:val="00C411C1"/>
    <w:rsid w:val="00C422BD"/>
    <w:rsid w:val="00C42ED3"/>
    <w:rsid w:val="00C43579"/>
    <w:rsid w:val="00C43A3B"/>
    <w:rsid w:val="00C45581"/>
    <w:rsid w:val="00C45BF0"/>
    <w:rsid w:val="00C46213"/>
    <w:rsid w:val="00C465BE"/>
    <w:rsid w:val="00C4712A"/>
    <w:rsid w:val="00C47468"/>
    <w:rsid w:val="00C47CDC"/>
    <w:rsid w:val="00C50A2B"/>
    <w:rsid w:val="00C51671"/>
    <w:rsid w:val="00C5280A"/>
    <w:rsid w:val="00C5401F"/>
    <w:rsid w:val="00C54922"/>
    <w:rsid w:val="00C55FE8"/>
    <w:rsid w:val="00C601EF"/>
    <w:rsid w:val="00C6199A"/>
    <w:rsid w:val="00C6220B"/>
    <w:rsid w:val="00C62658"/>
    <w:rsid w:val="00C634B7"/>
    <w:rsid w:val="00C634D6"/>
    <w:rsid w:val="00C63CF2"/>
    <w:rsid w:val="00C63E17"/>
    <w:rsid w:val="00C6440A"/>
    <w:rsid w:val="00C648FC"/>
    <w:rsid w:val="00C65EDE"/>
    <w:rsid w:val="00C663BE"/>
    <w:rsid w:val="00C70AB7"/>
    <w:rsid w:val="00C71858"/>
    <w:rsid w:val="00C722C5"/>
    <w:rsid w:val="00C74346"/>
    <w:rsid w:val="00C744AE"/>
    <w:rsid w:val="00C74781"/>
    <w:rsid w:val="00C76B87"/>
    <w:rsid w:val="00C80034"/>
    <w:rsid w:val="00C80729"/>
    <w:rsid w:val="00C828E8"/>
    <w:rsid w:val="00C83579"/>
    <w:rsid w:val="00C83EA7"/>
    <w:rsid w:val="00C84559"/>
    <w:rsid w:val="00C84E31"/>
    <w:rsid w:val="00C862C4"/>
    <w:rsid w:val="00C86977"/>
    <w:rsid w:val="00C86B34"/>
    <w:rsid w:val="00C86FFF"/>
    <w:rsid w:val="00C871C7"/>
    <w:rsid w:val="00C91060"/>
    <w:rsid w:val="00C91720"/>
    <w:rsid w:val="00C928FD"/>
    <w:rsid w:val="00C95593"/>
    <w:rsid w:val="00CA0640"/>
    <w:rsid w:val="00CA2022"/>
    <w:rsid w:val="00CA4741"/>
    <w:rsid w:val="00CA4CF0"/>
    <w:rsid w:val="00CA5465"/>
    <w:rsid w:val="00CA62D4"/>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63A"/>
    <w:rsid w:val="00CC3B04"/>
    <w:rsid w:val="00CC3D18"/>
    <w:rsid w:val="00CC3FC7"/>
    <w:rsid w:val="00CC48D6"/>
    <w:rsid w:val="00CD32FE"/>
    <w:rsid w:val="00CD3CDC"/>
    <w:rsid w:val="00CD3E7D"/>
    <w:rsid w:val="00CD5036"/>
    <w:rsid w:val="00CD6866"/>
    <w:rsid w:val="00CD76D4"/>
    <w:rsid w:val="00CD7893"/>
    <w:rsid w:val="00CD7911"/>
    <w:rsid w:val="00CE03CC"/>
    <w:rsid w:val="00CE7E6A"/>
    <w:rsid w:val="00CF030B"/>
    <w:rsid w:val="00CF23A2"/>
    <w:rsid w:val="00CF5D77"/>
    <w:rsid w:val="00CF6EB2"/>
    <w:rsid w:val="00D00269"/>
    <w:rsid w:val="00D00DE4"/>
    <w:rsid w:val="00D02F72"/>
    <w:rsid w:val="00D07CFB"/>
    <w:rsid w:val="00D10AB0"/>
    <w:rsid w:val="00D12402"/>
    <w:rsid w:val="00D1251A"/>
    <w:rsid w:val="00D12927"/>
    <w:rsid w:val="00D12EE7"/>
    <w:rsid w:val="00D1373C"/>
    <w:rsid w:val="00D16B19"/>
    <w:rsid w:val="00D16BAD"/>
    <w:rsid w:val="00D172B8"/>
    <w:rsid w:val="00D1735B"/>
    <w:rsid w:val="00D17702"/>
    <w:rsid w:val="00D17C3D"/>
    <w:rsid w:val="00D20E91"/>
    <w:rsid w:val="00D218DE"/>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29E4"/>
    <w:rsid w:val="00D446E7"/>
    <w:rsid w:val="00D47265"/>
    <w:rsid w:val="00D47500"/>
    <w:rsid w:val="00D4793C"/>
    <w:rsid w:val="00D525E2"/>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A11BA"/>
    <w:rsid w:val="00DA22D8"/>
    <w:rsid w:val="00DA2D95"/>
    <w:rsid w:val="00DA3A4F"/>
    <w:rsid w:val="00DA42C0"/>
    <w:rsid w:val="00DA52A2"/>
    <w:rsid w:val="00DA57B0"/>
    <w:rsid w:val="00DA7E2F"/>
    <w:rsid w:val="00DB0549"/>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2DA3"/>
    <w:rsid w:val="00E03246"/>
    <w:rsid w:val="00E03508"/>
    <w:rsid w:val="00E03C0E"/>
    <w:rsid w:val="00E04DCE"/>
    <w:rsid w:val="00E066DF"/>
    <w:rsid w:val="00E07128"/>
    <w:rsid w:val="00E073C2"/>
    <w:rsid w:val="00E10AC3"/>
    <w:rsid w:val="00E10C25"/>
    <w:rsid w:val="00E1123F"/>
    <w:rsid w:val="00E11294"/>
    <w:rsid w:val="00E12D1C"/>
    <w:rsid w:val="00E14266"/>
    <w:rsid w:val="00E14307"/>
    <w:rsid w:val="00E15911"/>
    <w:rsid w:val="00E16412"/>
    <w:rsid w:val="00E165DD"/>
    <w:rsid w:val="00E1691C"/>
    <w:rsid w:val="00E16A98"/>
    <w:rsid w:val="00E227C3"/>
    <w:rsid w:val="00E22843"/>
    <w:rsid w:val="00E23111"/>
    <w:rsid w:val="00E23556"/>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3879"/>
    <w:rsid w:val="00E647FF"/>
    <w:rsid w:val="00E64A29"/>
    <w:rsid w:val="00E650C6"/>
    <w:rsid w:val="00E66A80"/>
    <w:rsid w:val="00E66EE6"/>
    <w:rsid w:val="00E67A6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5FF3"/>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3AC"/>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123D"/>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35A"/>
    <w:rsid w:val="00EF5CC0"/>
    <w:rsid w:val="00EF7540"/>
    <w:rsid w:val="00EF75DE"/>
    <w:rsid w:val="00F00649"/>
    <w:rsid w:val="00F01443"/>
    <w:rsid w:val="00F01801"/>
    <w:rsid w:val="00F02219"/>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794"/>
    <w:rsid w:val="00F17EFA"/>
    <w:rsid w:val="00F20933"/>
    <w:rsid w:val="00F21705"/>
    <w:rsid w:val="00F2299C"/>
    <w:rsid w:val="00F231FC"/>
    <w:rsid w:val="00F24AB7"/>
    <w:rsid w:val="00F2567E"/>
    <w:rsid w:val="00F25E84"/>
    <w:rsid w:val="00F26068"/>
    <w:rsid w:val="00F2706D"/>
    <w:rsid w:val="00F2723F"/>
    <w:rsid w:val="00F27ADB"/>
    <w:rsid w:val="00F31178"/>
    <w:rsid w:val="00F3117D"/>
    <w:rsid w:val="00F325F9"/>
    <w:rsid w:val="00F32971"/>
    <w:rsid w:val="00F3400B"/>
    <w:rsid w:val="00F35C44"/>
    <w:rsid w:val="00F37B6F"/>
    <w:rsid w:val="00F40C05"/>
    <w:rsid w:val="00F40E86"/>
    <w:rsid w:val="00F42168"/>
    <w:rsid w:val="00F425B3"/>
    <w:rsid w:val="00F44C78"/>
    <w:rsid w:val="00F44F38"/>
    <w:rsid w:val="00F452C0"/>
    <w:rsid w:val="00F45502"/>
    <w:rsid w:val="00F459E6"/>
    <w:rsid w:val="00F53104"/>
    <w:rsid w:val="00F5372F"/>
    <w:rsid w:val="00F53C70"/>
    <w:rsid w:val="00F55309"/>
    <w:rsid w:val="00F562A9"/>
    <w:rsid w:val="00F56E0D"/>
    <w:rsid w:val="00F60C62"/>
    <w:rsid w:val="00F6300E"/>
    <w:rsid w:val="00F6301A"/>
    <w:rsid w:val="00F637D3"/>
    <w:rsid w:val="00F638B9"/>
    <w:rsid w:val="00F645AF"/>
    <w:rsid w:val="00F66BC9"/>
    <w:rsid w:val="00F67164"/>
    <w:rsid w:val="00F67946"/>
    <w:rsid w:val="00F706D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2406"/>
    <w:rsid w:val="00FA3191"/>
    <w:rsid w:val="00FA5AE3"/>
    <w:rsid w:val="00FA73DD"/>
    <w:rsid w:val="00FB13C2"/>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2"/>
    </o:shapelayout>
  </w:shapeDefaults>
  <w:decimalSymbol w:val="."/>
  <w:listSeparator w:val=","/>
  <w14:docId w14:val="7A4418CD"/>
  <w14:defaultImageDpi w14:val="300"/>
  <w15:docId w15:val="{1A5E344F-3D4B-4C00-B4F1-B459885F2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Ttulo">
    <w:name w:val="Title"/>
    <w:basedOn w:val="Normal"/>
    <w:next w:val="Normal"/>
    <w:link w:val="Ttul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2061585">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13583366">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5186062">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3511034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00955646">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BE6D7-150E-46F2-AEFA-75BBACF10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11627</Words>
  <Characters>63951</Characters>
  <Application>Microsoft Office Word</Application>
  <DocSecurity>0</DocSecurity>
  <Lines>532</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2019-12-11T01:19:00Z</cp:lastPrinted>
  <dcterms:created xsi:type="dcterms:W3CDTF">2022-03-09T04:14:00Z</dcterms:created>
  <dcterms:modified xsi:type="dcterms:W3CDTF">2022-03-09T04:14:00Z</dcterms:modified>
</cp:coreProperties>
</file>