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9FA" w:rsidRDefault="003239FA">
      <w:pPr>
        <w:widowControl w:val="0"/>
        <w:pBdr>
          <w:top w:val="nil"/>
          <w:left w:val="nil"/>
          <w:bottom w:val="nil"/>
          <w:right w:val="nil"/>
          <w:between w:val="nil"/>
        </w:pBdr>
        <w:spacing w:line="276" w:lineRule="auto"/>
      </w:pPr>
      <w:bookmarkStart w:id="0" w:name="_GoBack"/>
      <w:bookmarkEnd w:id="0"/>
    </w:p>
    <w:p w:rsidR="003239FA" w:rsidRPr="00E8262C" w:rsidRDefault="00D53368">
      <w:pPr>
        <w:spacing w:after="280"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celebrada el cuatro de noviembre de dos mil veintidós.</w:t>
      </w: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b/>
          <w:sz w:val="28"/>
          <w:szCs w:val="28"/>
        </w:rPr>
        <w:t>VISTOS</w:t>
      </w:r>
      <w:r w:rsidRPr="00E8262C">
        <w:rPr>
          <w:rFonts w:ascii="Palatino Linotype" w:eastAsia="Palatino Linotype" w:hAnsi="Palatino Linotype" w:cs="Palatino Linotype"/>
        </w:rPr>
        <w:t xml:space="preserve"> los expedientes formados con motivo de los Recursos de Revisión número </w:t>
      </w:r>
      <w:r w:rsidRPr="00E8262C">
        <w:rPr>
          <w:rFonts w:ascii="Palatino Linotype" w:eastAsia="Palatino Linotype" w:hAnsi="Palatino Linotype" w:cs="Palatino Linotype"/>
          <w:b/>
          <w:sz w:val="22"/>
          <w:szCs w:val="22"/>
        </w:rPr>
        <w:t xml:space="preserve">10557/INFOEM/IP/RR/2022, 10558/INFOEM/IP/RR/2022, 10559/INFOEM/IP/RR/2022, 10584/INFOEM/IP/RR/2022, 10585/INFOEM/IP/RR/2022, 10586/INFOEM/IP/RR/2022, 10587/INFOEM/IP/RR/2022, 10588/INFOEM/IP/RR/2022, 10589/INFOEM/IP/RR/2022, 10590/INFOEM/IP/RR/2022, 10591/INFOEM/IP/RR/2022, 10592/INFOEM/IP/RR/2022, 10593/INFOEM/IP/RR/2022, 10594/INFOEM/IP/RR/2022, 10595/INFOEM/IP/RR/2022, 10619/INFOEM/IP/RR/2022, 10620/INFOEM/IP/RR/2022, 10621/INFOEM/IP/RR/2022, 10622/INFOEM/IP/RR/2022, 10623/INFOEM/IP/RR/2022, 10624/INFOEM/IP/RR/2022 10625/INFOEM/IP/RR/2022, 10626/INFOEM/IP/RR/2022, 10627/INFOEM/IP/RR/2022, 10628/INFOEM/IP/RR/2022, 10629/INFOEM/IP/RR/2022, 10630/INFOEM/IP/RR/2022, 10631/INFOEM/IP/RR/2022, 10632/INFOEM/IP/RR/2022, 10634/INFOEM/IP/RR/2022, 10635/INFOEM/IP/RR/2022, 10636/INFOEM/IP/RR/2022, 10637/INFOEM/IP/RR/2022, 10638/INFOEM/IP/RR/2022, 10639/INFOEM/IP/RR/2022, 10640/INFOEM/IP/RR/2022, 10641/INFOEM/IP/RR/2022, 10642/INFOEM/IP/RR/2022, 10643/INFOEM/IP/RR/2022, 10644/INFOEM/IP/RR/2022, 10645/INFOEM/IP/RR/2022, 10646/INFOEM/IP/RR/2022, 10647/INFOEM/IP/RR/2022, 10648/INFOEM/IP/RR/2022, 10649/INFOEM/IP/RR/2022, 10650/INFOEM/IP/RR/2022, 10651/INFOEM/IP/RR/2022, 10652/INFOEM/IP/RR/2022, </w:t>
      </w:r>
      <w:r w:rsidRPr="00E8262C">
        <w:rPr>
          <w:rFonts w:ascii="Palatino Linotype" w:eastAsia="Palatino Linotype" w:hAnsi="Palatino Linotype" w:cs="Palatino Linotype"/>
          <w:b/>
          <w:sz w:val="22"/>
          <w:szCs w:val="22"/>
        </w:rPr>
        <w:lastRenderedPageBreak/>
        <w:t>10653/INFOEM/IP/RR/2022, 10654/INFOEM/IP/RR/2022, 10655/INFOEM/IP/RR/2022, 10656/INFOEM/IP/RR/2022, 10657/INFOEM/IP/RR/2022, 10658/INFOEM/IP/RR/2022, 10659/INFOEM/IP/RR/2022, 10660/INFOEM/IP/RR/2022, 10661/INFOEM/IP/RR/2022, 10662/INFOEM/IP/RR/2022 10664/INFOEM/IP/RR/2022, 10665/INFOEM/IP/RR/2022, 10666/INFOEM/IP/RR/2022, 10667/INFOEM/IP/RR/2022, 10668/INFOEM/IP/RR/2022, 10669/INFOEM/IP/RR/2022, 10670/INFOEM/IP/RR/2022, 10672/INFOEM/IP/RR/2022, 10673/INFOEM/IP/RR/2022, 10674/INFOEM/IP/RR/2022, 10677/INFOEM/IP/RR/2022, 10678/INFOEM/IP/RR/2022, 10679/INFOEM/IP/RR/2022, 10680/INFOEM/IP/RR/2022, 10681/INFOEM/IP/RR/2022, 10682/INFOEM/IP/RR/2022, 10683/INFOEM/IP/RR/2022, 10684/INFOEM/IP/RR/2022, 10685/INFOEM/IP/RR/2022, 10686/INFOEM/IP/RR/2022, 10687/INFOEM/IP/RR/2022, 10688/INFOEM/IP/RR/2022, 10689/INFOEM/IP/RR/2022, 10690/INFOEM/IP/RR/2022, 10691/INFOEM/IP/RR/2022, 10692/INFOEM/IP/RR/2022, 10693/INFOEM/IP/RR/2022, 10694/INFOEM/IP/RR/2022, 10695/INFOEM/IP/RR/2022, 10696/INFOEM/IP/RR/2022, 10698/INFOEM/IP/RR/2022, 10699/INFOEM/IP/RR/2022, 11007/INFOEM/IP/RR/2022, 10701/INFOEM/IP/RR/2022, 10702/INFOEM/IP/RR/2022, 10703/INFOEM/IP/RR/2022, 10704/INFOEM/IP/RR/2022, 10705/INFOEM/IP/RR/2022, 11051/INFOEM/IP/RR/2022, 11052/INFOEM/IP/RR/2022, 11053/INFOEM/IP/RR/2022, 11054/INFOEM/IP/RR/2022, 11055/INFOEM/IP/RR/2022, 11058/INFOEM/IP/RR/2022, 11059/INFOEM/IP/RR/2022, 11077/INFOEM/IP/RR/2022, 11078/INFOEM/IP/RR/2022, 11079/INFOEM/IP/RR/2022, 11080/INFOEM/IP/RR/2022, 11081/INFOEM/IP/RR/2022, 11082/INFOEM/IP/RR/2022, 11083/INFOEM/IP/RR/2022, 11084/INFOEM/IP/RR/2022, 11085/INFOEM/IP/RR/2022, 11086/INFOEM/IP/RR/2022, 11096/INFOEM/IP/RR/2022, 11097/INFOEM/IP/RR/2022, 11098/INFOEM/IP/RR/2022, 11099/INFOEM/IP/RR/2022, 11133/INFOEM/IP/RR/2022, 11134/INFOEM/IP/RR/2022 y 11135/INFOEM/IP/RR/2022,</w:t>
      </w:r>
      <w:r w:rsidRPr="00E8262C">
        <w:rPr>
          <w:rFonts w:ascii="Palatino Linotype" w:eastAsia="Palatino Linotype" w:hAnsi="Palatino Linotype" w:cs="Palatino Linotype"/>
          <w:b/>
        </w:rPr>
        <w:t xml:space="preserve"> </w:t>
      </w:r>
      <w:r w:rsidRPr="00E8262C">
        <w:rPr>
          <w:rFonts w:ascii="Palatino Linotype" w:eastAsia="Palatino Linotype" w:hAnsi="Palatino Linotype" w:cs="Palatino Linotype"/>
        </w:rPr>
        <w:lastRenderedPageBreak/>
        <w:t>promovidos por un particular de forma anónima</w:t>
      </w:r>
      <w:r w:rsidRPr="00E8262C">
        <w:rPr>
          <w:rFonts w:ascii="Palatino Linotype" w:eastAsia="Palatino Linotype" w:hAnsi="Palatino Linotype" w:cs="Palatino Linotype"/>
          <w:b/>
        </w:rPr>
        <w:t xml:space="preserve">, </w:t>
      </w:r>
      <w:r w:rsidRPr="00E8262C">
        <w:rPr>
          <w:rFonts w:ascii="Palatino Linotype" w:eastAsia="Palatino Linotype" w:hAnsi="Palatino Linotype" w:cs="Palatino Linotype"/>
        </w:rPr>
        <w:t xml:space="preserve">a quien en lo sucesivo se le denominara como </w:t>
      </w:r>
      <w:r w:rsidRPr="00E8262C">
        <w:rPr>
          <w:rFonts w:ascii="Palatino Linotype" w:eastAsia="Palatino Linotype" w:hAnsi="Palatino Linotype" w:cs="Palatino Linotype"/>
          <w:b/>
        </w:rPr>
        <w:t>EL RECURRENTE,</w:t>
      </w:r>
      <w:r w:rsidRPr="00E8262C">
        <w:rPr>
          <w:rFonts w:ascii="Palatino Linotype" w:eastAsia="Palatino Linotype" w:hAnsi="Palatino Linotype" w:cs="Palatino Linotype"/>
        </w:rPr>
        <w:t xml:space="preserve"> en contra de las respuestas del </w:t>
      </w:r>
      <w:r w:rsidRPr="00E8262C">
        <w:rPr>
          <w:rFonts w:ascii="Palatino Linotype" w:eastAsia="Palatino Linotype" w:hAnsi="Palatino Linotype" w:cs="Palatino Linotype"/>
          <w:b/>
        </w:rPr>
        <w:t xml:space="preserve">Sistema Municipal Para el Desarrollo Integral de la Familia de Metepec, </w:t>
      </w:r>
      <w:r w:rsidRPr="00E8262C">
        <w:rPr>
          <w:rFonts w:ascii="Palatino Linotype" w:eastAsia="Palatino Linotype" w:hAnsi="Palatino Linotype" w:cs="Palatino Linotype"/>
        </w:rPr>
        <w:t xml:space="preserve">al cual en lo subsecuente se le denominará </w:t>
      </w:r>
      <w:r w:rsidRPr="00E8262C">
        <w:rPr>
          <w:rFonts w:ascii="Palatino Linotype" w:eastAsia="Palatino Linotype" w:hAnsi="Palatino Linotype" w:cs="Palatino Linotype"/>
          <w:b/>
        </w:rPr>
        <w:t xml:space="preserve">EL SUJETO OBLIGADO, </w:t>
      </w:r>
      <w:r w:rsidRPr="00E8262C">
        <w:rPr>
          <w:rFonts w:ascii="Palatino Linotype" w:eastAsia="Palatino Linotype" w:hAnsi="Palatino Linotype" w:cs="Palatino Linotype"/>
        </w:rPr>
        <w:t>se procede a dictar la presente resolución con base en lo siguiente:</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center"/>
        <w:rPr>
          <w:rFonts w:ascii="Palatino Linotype" w:eastAsia="Palatino Linotype" w:hAnsi="Palatino Linotype" w:cs="Palatino Linotype"/>
          <w:b/>
        </w:rPr>
      </w:pPr>
      <w:r w:rsidRPr="00E8262C">
        <w:rPr>
          <w:rFonts w:ascii="Palatino Linotype" w:eastAsia="Palatino Linotype" w:hAnsi="Palatino Linotype" w:cs="Palatino Linotype"/>
          <w:b/>
          <w:sz w:val="28"/>
          <w:szCs w:val="28"/>
        </w:rPr>
        <w:t>A N T E C E D E N T E S</w:t>
      </w:r>
    </w:p>
    <w:p w:rsidR="003239FA" w:rsidRPr="00E8262C" w:rsidRDefault="003239FA">
      <w:pPr>
        <w:rPr>
          <w:rFonts w:ascii="Palatino Linotype" w:eastAsia="Palatino Linotype" w:hAnsi="Palatino Linotype" w:cs="Palatino Linotype"/>
          <w:b/>
        </w:rPr>
      </w:pPr>
    </w:p>
    <w:p w:rsidR="003239FA" w:rsidRPr="00E8262C" w:rsidRDefault="00D53368">
      <w:pPr>
        <w:spacing w:line="360" w:lineRule="auto"/>
        <w:jc w:val="both"/>
        <w:rPr>
          <w:rFonts w:ascii="Palatino Linotype" w:eastAsia="Palatino Linotype" w:hAnsi="Palatino Linotype" w:cs="Palatino Linotype"/>
          <w:b/>
          <w:sz w:val="28"/>
          <w:szCs w:val="28"/>
        </w:rPr>
      </w:pPr>
      <w:bookmarkStart w:id="1" w:name="_heading=h.gjdgxs" w:colFirst="0" w:colLast="0"/>
      <w:bookmarkEnd w:id="1"/>
      <w:r w:rsidRPr="00E8262C">
        <w:rPr>
          <w:rFonts w:ascii="Palatino Linotype" w:eastAsia="Palatino Linotype" w:hAnsi="Palatino Linotype" w:cs="Palatino Linotype"/>
          <w:b/>
          <w:sz w:val="28"/>
          <w:szCs w:val="28"/>
        </w:rPr>
        <w:t>I.</w:t>
      </w:r>
      <w:r w:rsidRPr="00E8262C">
        <w:rPr>
          <w:rFonts w:ascii="Palatino Linotype" w:eastAsia="Palatino Linotype" w:hAnsi="Palatino Linotype" w:cs="Palatino Linotype"/>
          <w:b/>
        </w:rPr>
        <w:t xml:space="preserve"> </w:t>
      </w:r>
      <w:r w:rsidRPr="00E8262C">
        <w:rPr>
          <w:rFonts w:ascii="Palatino Linotype" w:eastAsia="Palatino Linotype" w:hAnsi="Palatino Linotype" w:cs="Palatino Linotype"/>
          <w:b/>
          <w:sz w:val="28"/>
          <w:szCs w:val="28"/>
        </w:rPr>
        <w:t>De la Solicitud de Información</w:t>
      </w: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En fechas </w:t>
      </w:r>
      <w:r w:rsidRPr="00E8262C">
        <w:rPr>
          <w:rFonts w:ascii="Palatino Linotype" w:eastAsia="Palatino Linotype" w:hAnsi="Palatino Linotype" w:cs="Palatino Linotype"/>
          <w:b/>
        </w:rPr>
        <w:t>treinta de marzo, cuatro, cinco y treinta de abril de dos mil veintidós</w:t>
      </w:r>
      <w:r w:rsidRPr="00E8262C">
        <w:rPr>
          <w:rFonts w:ascii="Palatino Linotype" w:eastAsia="Palatino Linotype" w:hAnsi="Palatino Linotype" w:cs="Palatino Linotype"/>
        </w:rPr>
        <w:t xml:space="preserve">, </w:t>
      </w:r>
      <w:r w:rsidRPr="00E8262C">
        <w:rPr>
          <w:rFonts w:ascii="Palatino Linotype" w:eastAsia="Palatino Linotype" w:hAnsi="Palatino Linotype" w:cs="Palatino Linotype"/>
          <w:b/>
        </w:rPr>
        <w:t>EL RECURRENTE</w:t>
      </w:r>
      <w:r w:rsidRPr="00E8262C">
        <w:rPr>
          <w:rFonts w:ascii="Palatino Linotype" w:eastAsia="Palatino Linotype" w:hAnsi="Palatino Linotype" w:cs="Palatino Linotype"/>
        </w:rPr>
        <w:t xml:space="preserve"> presentó a través del Sistema de Acceso a la Información Mexiquense, en lo subsecuente </w:t>
      </w:r>
      <w:r w:rsidRPr="00E8262C">
        <w:rPr>
          <w:rFonts w:ascii="Palatino Linotype" w:eastAsia="Palatino Linotype" w:hAnsi="Palatino Linotype" w:cs="Palatino Linotype"/>
          <w:b/>
        </w:rPr>
        <w:t>EL SAIMEX</w:t>
      </w:r>
      <w:r w:rsidRPr="00E8262C">
        <w:rPr>
          <w:rFonts w:ascii="Palatino Linotype" w:eastAsia="Palatino Linotype" w:hAnsi="Palatino Linotype" w:cs="Palatino Linotype"/>
        </w:rPr>
        <w:t xml:space="preserve"> ante </w:t>
      </w:r>
      <w:r w:rsidRPr="00E8262C">
        <w:rPr>
          <w:rFonts w:ascii="Palatino Linotype" w:eastAsia="Palatino Linotype" w:hAnsi="Palatino Linotype" w:cs="Palatino Linotype"/>
          <w:b/>
        </w:rPr>
        <w:t>EL SUJETO OBLIGADO</w:t>
      </w:r>
      <w:r w:rsidRPr="00E8262C">
        <w:rPr>
          <w:rFonts w:ascii="Palatino Linotype" w:eastAsia="Palatino Linotype" w:hAnsi="Palatino Linotype" w:cs="Palatino Linotype"/>
        </w:rPr>
        <w:t>, las solicitudes de Acceso a la Información Pública, a las cuales se le asignaron los números de expediente</w:t>
      </w:r>
      <w:r w:rsidRPr="00E8262C">
        <w:rPr>
          <w:rFonts w:ascii="Palatino Linotype" w:eastAsia="Palatino Linotype" w:hAnsi="Palatino Linotype" w:cs="Palatino Linotype"/>
          <w:b/>
        </w:rPr>
        <w:t xml:space="preserve"> 04331/DIFMETEPEC/IP/2022, 04332/DIFMETEPEC/IP/2022, 04333/DIFMETEPEC/IP/2022, 04334/DIFMETEPEC/IP/2022, 04335/DIFMETEPEC/IP/2022, 04336/DIFMETEPEC/IP/2022, 04337/DIFMETEPEC/IP/2022, 04338/DIFMETEPEC/IP/2022, 04339/DIFMETEPEC/IP/2022, 04340/DIFMETEPEC/IP/2022, 04341/DIFMETEPEC/IP/2022, 04342/DIFMETEPEC/IP/2022, 04343/DIFMETEPEC/IP/2022, 04344/DIFMETEPEC/IP/2022, 04345/DIFMETEPEC/IP/2022, 04381/DIFMETEPEC/IP/2022, 04382/DIFMETEPEC/IP/2022, 04383/DIFMETEPEC/IP/2022, </w:t>
      </w:r>
      <w:r w:rsidRPr="00E8262C">
        <w:rPr>
          <w:rFonts w:ascii="Palatino Linotype" w:eastAsia="Palatino Linotype" w:hAnsi="Palatino Linotype" w:cs="Palatino Linotype"/>
          <w:b/>
        </w:rPr>
        <w:lastRenderedPageBreak/>
        <w:t xml:space="preserve">04384/DIFMETEPEC/IP/2022, 04385/DIFMETEPEC/IP/2022, 04386/DIFMETEPEC/IP/2022, 04387/DIFMETEPEC/IP/2022, 04388/DIFMETEPEC/IP/2022, 04389/DIFMETEPEC/IP/2022, 04390/DIFMETEPEC/IP/2022, 04391/DIFMETEPEC/IP/2022, 04392/DIFMETEPEC/IP/2022, 04393/DIFMETEPEC/IP/2022, 04394/DIFMETEPEC/IP/2022, 04395/DIFMETEPEC/IP/2022, 04396/DIFMETEPEC/IP/2022, 04397/DIFMETEPEC/IP/2022, 04398/DIFMETEPEC/IP/2022, 04399/DIFMETEPEC/IP/2022, 04400/DIFMETEPEC/IP/2022, 04401/DIFMETEPEC/IP/2022, 04402/DIFMETEPEC/IP/2022, 04403/DIFMETEPEC/IP/2022, 04404/DIFMETEPEC/IP/2022, 04405/DIFMETEPEC/IP/2022, 04406/DIFMETEPEC/IP/2022, 04407/DIFMETEPEC/IP/2022, 04408/DIFMETEPEC/IP/2022, 04409/DIFMETEPEC/IP/2022, 04410/DIFMETEPEC/IP/2022, 04411/DIFMETEPEC/IP/2022, 04412/DIFMETEPEC/IP/2022, 04413/DIFMETEPEC/IP/2022, 04414/DIFMETEPEC/IP/2022, 04415/DIFMETEPEC/IP/2022, 04416/DIFMETEPEC/IP/2022, 04417/DIFMETEPEC/IP/2022, 04418/DIFMETEPEC/IP/2022, 04419/DIFMETEPEC/IP/2022, 04420/DIFMETEPEC/IP/2022, 04421/DIFMETEPEC/IP/2022, 04422/DIFMETEPEC/IP/2022, 04423/DIFMETEPEC/IP/2022, 04424/DIFMETEPEC/IP/2022, 04425/DIFMETEPEC/IP/2022,, 04426/DIFMETEPEC/IP/2022, 04427/DIFMETEPEC/IP/2022, </w:t>
      </w:r>
      <w:r w:rsidRPr="00E8262C">
        <w:rPr>
          <w:rFonts w:ascii="Palatino Linotype" w:eastAsia="Palatino Linotype" w:hAnsi="Palatino Linotype" w:cs="Palatino Linotype"/>
          <w:b/>
        </w:rPr>
        <w:lastRenderedPageBreak/>
        <w:t xml:space="preserve">04428/DIFMETEPEC/IP/2022, 04429/DIFMETEPEC/IP/2022 04430/DIFMETEPEC/IP/2022, 04431/DIFMETEPEC/IP/2022, 04432/DIFMETEPEC/IP/2022, 04433/DIFMETEPEC/IP/2022, 04434/DIFMETEPEC/IP/2022, 04435/DIFMETEPEC/IP/2022,  04436/DIFMETEPEC/IP/2022, 04437/DIFMETEPEC/IP/2022, 04438/DIFMETEPEC/IP/2022, 04439/DIFMETEPEC/IP/2022, 04440/DIFMETEPEC/IP/2022, 04441/DIFMETEPEC/IP/2022, 04442/DIFMETEPEC/IP/2022, 04443/DIFMETEPEC/IP/2022 04444/DIFMETEPEC/IP/2022, 04445/DIFMETEPEC/IP/2022, 04446/DIFMETEPEC/IP/2022, 04447/DIFMETEPEC/IP/2022, 04448/DIFMETEPEC/IP/2022, 04449/DIFMETEPEC/IP/2022, 04450/DIFMETEPEC/IP/2022, 04452/DIFMETEPEC/IP/2022, 04453/DIFMETEPEC/IP/2022, 04454/DIFMETEPEC/IP/2022, 04455/DIFMETEPEC/IP/2022, 04456/DIFMETEPEC/IP/2022, 04457/DIFMETEPEC/IP/2022, 04458/DIFMETEPEC/IP/2022, 04459/DIFMETEPEC/IP/2022, 04460/DIFMETEPEC/IP/2022, 04461/DIFMETEPEC/IP/2022, 04462/DIFMETEPEC/IP/2022, 05196/DIFMETEPEC/IP/2022, 05197/DIFMETEPEC/IP/2022, 05198/DIFMETEPEC/IP/2022, 05199/DIFMETEPEC/IP/2022, 05200/DIFMETEPEC/IP/2022, 05201/DIFMETEPEC/IP/2022, 05202/DIFMETEPEC/IP/2022, 05203/DIFMETEPEC/IP/2022, 05204/DIFMETEPEC/IP/2022, 05205/DIFMETEPEC/IP/2022, </w:t>
      </w:r>
      <w:r w:rsidRPr="00E8262C">
        <w:rPr>
          <w:rFonts w:ascii="Palatino Linotype" w:eastAsia="Palatino Linotype" w:hAnsi="Palatino Linotype" w:cs="Palatino Linotype"/>
          <w:b/>
        </w:rPr>
        <w:lastRenderedPageBreak/>
        <w:t xml:space="preserve">05206/DIFMETEPEC/IP/2022, 05207/DIFMETEPEC/IP/2022, 05208/DIFMETEPEC/IP/2022, 05209/DIFMETEPEC/IP/2022, 05210/DIFMETEPEC/IP/2022, 05211/DIFMETEPEC/IP/2022, 05212/DIFMETEPEC/IP/2022, 05213/DIFMETEPEC/IP/2022, 05214/DIFMETEPEC/IP/2022, 05215/DIFMETEPEC/IP/2022, 05216/DIFMETEPEC/IP/2022, 05217/DIFMETEPEC/IP/2022, 05218/DIFMETEPEC/IP/2022, 05219/DIFMETEPEC/IP/2022, </w:t>
      </w:r>
      <w:r w:rsidRPr="00E8262C">
        <w:rPr>
          <w:rFonts w:ascii="Palatino Linotype" w:eastAsia="Palatino Linotype" w:hAnsi="Palatino Linotype" w:cs="Palatino Linotype"/>
        </w:rPr>
        <w:t>mediante las cuales el particular requirió, lo siguiente:</w:t>
      </w:r>
    </w:p>
    <w:p w:rsidR="003239FA" w:rsidRPr="00E8262C" w:rsidRDefault="003239FA">
      <w:pPr>
        <w:widowControl w:val="0"/>
        <w:spacing w:line="360" w:lineRule="auto"/>
        <w:jc w:val="both"/>
        <w:rPr>
          <w:rFonts w:ascii="Palatino Linotype" w:eastAsia="Palatino Linotype" w:hAnsi="Palatino Linotype" w:cs="Palatino Linotype"/>
        </w:rPr>
      </w:pPr>
    </w:p>
    <w:tbl>
      <w:tblPr>
        <w:tblStyle w:val="afffffffffe"/>
        <w:tblW w:w="849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790"/>
        <w:gridCol w:w="5700"/>
      </w:tblGrid>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jc w:val="center"/>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Folio de la Solicitud</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jc w:val="center"/>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Solicitud</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04331/DIFMETEPEC/IP/2022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04332/DIFMETEPEC/IP/2022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04333/DIFMETEPEC/IP/2022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3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04334/DIFMETEPEC/IP/2022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4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04335/DIFMETEPEC/IP/2022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5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04336/DIFMETEPEC/IP/2022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6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04337/DIFMETEPEC/IP/2022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7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04338/DIFMETEPEC/IP/2022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8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04339/DIFMETEPEC/IP/2022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9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04340/DIFMETEPEC/IP/2022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10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04341/DIFMETEPEC/IP/2022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11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04342/DIFMETEPEC/IP/2022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12 de enero de 2022 así como las medidas sanitarias llevadas a cabo y el nombre de las y </w:t>
            </w:r>
            <w:r w:rsidRPr="00E8262C">
              <w:rPr>
                <w:rFonts w:ascii="Palatino Linotype" w:eastAsia="Palatino Linotype" w:hAnsi="Palatino Linotype" w:cs="Palatino Linotype"/>
                <w:i/>
                <w:sz w:val="20"/>
                <w:szCs w:val="20"/>
              </w:rPr>
              <w:lastRenderedPageBreak/>
              <w:t>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04343/DIFMETEPEC/IP/2022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13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04344/DIFMETEPEC/IP/2022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14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04345/DIFMETEPEC/IP/2022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15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04381/DIFMETEPEC/IP/2022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16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04382/DIFMETEPEC/IP/2022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17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04383/DIFMETEPEC/IP/2022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18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04384/DIFMETEPEC/IP/2022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19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04385/DIFMETEPEC/IP/2022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20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04386/DIFMETEPEC/IP/2022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21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04387/DIFMETEPEC/IP/2022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22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04388/DIFMETEPEC/IP/2022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23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04389/DIFMETEPEC/IP/2022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24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04390/DIFMETEPEC/IP/2022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25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04391/DIFMETEPEC/IP/2022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26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04392/DIFMETEPEC/IP/2022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27 de enero de 2022 así como las medidas sanitarias llevadas a cabo y el nombre de las y </w:t>
            </w:r>
            <w:r w:rsidRPr="00E8262C">
              <w:rPr>
                <w:rFonts w:ascii="Palatino Linotype" w:eastAsia="Palatino Linotype" w:hAnsi="Palatino Linotype" w:cs="Palatino Linotype"/>
                <w:i/>
                <w:sz w:val="20"/>
                <w:szCs w:val="20"/>
              </w:rPr>
              <w:lastRenderedPageBreak/>
              <w:t>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04393/DIFMETEPEC/IP/2022</w:t>
            </w:r>
          </w:p>
          <w:p w:rsidR="003239FA" w:rsidRPr="00E8262C" w:rsidRDefault="003239FA">
            <w:pPr>
              <w:widowControl w:val="0"/>
              <w:spacing w:line="276" w:lineRule="auto"/>
              <w:rPr>
                <w:rFonts w:ascii="Palatino Linotype" w:eastAsia="Palatino Linotype" w:hAnsi="Palatino Linotype" w:cs="Palatino Linotype"/>
                <w:b/>
                <w:sz w:val="20"/>
                <w:szCs w:val="20"/>
              </w:rPr>
            </w:pP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28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04394/DIFMETEPEC/IP/2022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29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04395/DIFMETEPEC/IP/2022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30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04396/DIFMETEPEC/IP/2022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31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04397/DIFMETEPEC/IP/2022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04398/DIFMETEPEC/IP/2022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04399/DIFMETEPEC/IP/2022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3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04400/DIFMETEPEC/IP/2022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4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04401/DIFMETEPEC/IP/2022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5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04402/DIFMETEPEC/IP/2022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6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04403/DIFMETEPEC/IP/2022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7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04404/DIFMETEPEC/IP/2022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8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04405/DIFMETEPEC/IP/2022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9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04406/DIFMETEPEC/IP/2022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10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04407/DIFMETEPEC/IP/2022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11 de febrero de 2022 así como las medidas sanitarias llevadas a cabo y el nombre de </w:t>
            </w:r>
            <w:r w:rsidRPr="00E8262C">
              <w:rPr>
                <w:rFonts w:ascii="Palatino Linotype" w:eastAsia="Palatino Linotype" w:hAnsi="Palatino Linotype" w:cs="Palatino Linotype"/>
                <w:i/>
                <w:sz w:val="20"/>
                <w:szCs w:val="20"/>
              </w:rPr>
              <w:lastRenderedPageBreak/>
              <w:t>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04408/DIFMETEPEC/IP/2022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12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04409/DIFMETEPEC/IP/2022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13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04410/DIFMETEPEC/IP/2022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14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04411/DIFMETEPEC/IP/2022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15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04412/DIFMETEPEC/IP/2022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16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04413/DIFMETEPEC/IP/2022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17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04414/DIFMETEPEC/IP/2022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18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04415/DIFMETEPEC/IP/2022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19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04416/DIFMETEPEC/IP/2022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20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04417/DIFMETEPEC/IP/2022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21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04418/DIFMETEPEC/IP/2022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22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04419/DIFMETEPEC/IP/2022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23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04420/DIFMETEPEC/IP/2022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24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04421/DIFMETEPEC/IP/2022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25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04422/DIFMETEPEC/IP/2022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26 de febrero de 2022 así como las medidas sanitarias llevadas a cabo y el nombre de </w:t>
            </w:r>
            <w:r w:rsidRPr="00E8262C">
              <w:rPr>
                <w:rFonts w:ascii="Palatino Linotype" w:eastAsia="Palatino Linotype" w:hAnsi="Palatino Linotype" w:cs="Palatino Linotype"/>
                <w:i/>
                <w:sz w:val="20"/>
                <w:szCs w:val="20"/>
              </w:rPr>
              <w:lastRenderedPageBreak/>
              <w:t>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04423/DIFMETEPEC/IP/2022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27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04424/DIFMETEPEC/IP/2022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28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04425/DIFMETEPEC/IP/2022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04426/DIFMETEPEC/IP/2022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04427/DIFMETEPEC/IP/2022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3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04428/DIFMETEPEC/IP/2022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4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04429/DIFMETEPEC/IP/2022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5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04430/DIFMETEPEC/IP/2022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6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04431/DIFMETEPEC/IP/2022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7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04432/DIFMETEPEC/IP/2022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8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04433/DIFMETEPEC/IP/2022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9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04434/DIFMETEPEC/IP/2022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10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04435/DIFMETEPEC/IP/2022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11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04436/DIFMETEPEC/IP/2022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12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04437/DIFMETEPEC/IP/2022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13 de marzo de 2022 así como las medidas sanitarias llevadas a cabo y el nombre de las y </w:t>
            </w:r>
            <w:r w:rsidRPr="00E8262C">
              <w:rPr>
                <w:rFonts w:ascii="Palatino Linotype" w:eastAsia="Palatino Linotype" w:hAnsi="Palatino Linotype" w:cs="Palatino Linotype"/>
                <w:i/>
                <w:sz w:val="20"/>
                <w:szCs w:val="20"/>
              </w:rPr>
              <w:lastRenderedPageBreak/>
              <w:t>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04438/DIFMETEPEC/IP/2022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14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04439/DIFMETEPEC/IP/2022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15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04440/DIFMETEPEC/IP/2022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16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04441/DIFMETEPEC/IP/2022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17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04442/DIFMETEPEC/IP/2022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17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04443/DIFMETEPEC/IP/2022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18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04444/DIFMETEPEC/IP/2022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19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04445/DIFMETEPEC/IP/2022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20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04446/DIFMETEPEC/IP/2022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21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04447/DIFMETEPEC/IP/2022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22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04448/DIFMETEPEC/IP/2022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23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04449/DIFMETEPEC/IP/2022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24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04450/DIFMETEPEC/IP/2022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25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04452/DIFMETEPEC/IP/2022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26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04453/DIFMETEPEC/IP/2022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27 de marzo de 2022 así como las medidas sanitarias llevadas a cabo y el nombre de las y </w:t>
            </w:r>
            <w:r w:rsidRPr="00E8262C">
              <w:rPr>
                <w:rFonts w:ascii="Palatino Linotype" w:eastAsia="Palatino Linotype" w:hAnsi="Palatino Linotype" w:cs="Palatino Linotype"/>
                <w:i/>
                <w:sz w:val="20"/>
                <w:szCs w:val="20"/>
              </w:rPr>
              <w:lastRenderedPageBreak/>
              <w:t>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04454/DIFMETEPEC/IP/2022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28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04455/DIFMETEPEC/IP/2022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29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04456/DIFMETEPEC/IP/2022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30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04457/DIFMETEPEC/IP/2022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31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04458/DIFMETEPEC/IP/2022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04459/DIFMETEPEC/IP/2022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04460/DIFMETEPEC/IP/2022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3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04461/DIFMETEPEC/IP/2022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4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04462/DIFMETEPEC/IP/2022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5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05196/DIFMETEPEC/IP/2022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7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05197/DIFMETEPEC/IP/2022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8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05198/DIFMETEPEC/IP/2022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9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05199/DIFMETEPEC/IP/2022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10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05200/DIFMETEPEC/IP/2022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11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05201/DIFMETEPEC/IP/2022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12 de abril de 2022 así como las medidas sanitarias llevadas a cabo y el nombre de las y </w:t>
            </w:r>
            <w:r w:rsidRPr="00E8262C">
              <w:rPr>
                <w:rFonts w:ascii="Palatino Linotype" w:eastAsia="Palatino Linotype" w:hAnsi="Palatino Linotype" w:cs="Palatino Linotype"/>
                <w:i/>
                <w:sz w:val="20"/>
                <w:szCs w:val="20"/>
              </w:rPr>
              <w:lastRenderedPageBreak/>
              <w:t>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05202/DIFMETEPEC/IP/2022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13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05203/DIFMETEPEC/IP/2022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14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05204/DIFMETEPEC/IP/2022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15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05205/DIFMETEPEC/IP/2022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16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05206/DIFMETEPEC/IP/2022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17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05207/DIFMETEPEC/IP/2022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18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05208/DIFMETEPEC/IP/2022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19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05209/DIFMETEPEC/IP/2022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20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05210/DIFMETEPEC/IP/2022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21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05211/DIFMETEPEC/IP/2022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22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05212/DIFMETEPEC/IP/2022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23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05213/DIFMETEPEC/IP/2022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24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05214/DIFMETEPEC/IP/2022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25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05215/DIFMETEPEC/IP/2022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26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05216/DIFMETEPEC/IP/2022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27 de abril de 2022 así como las medidas sanitarias llevadas a cabo y el nombre de las y </w:t>
            </w:r>
            <w:r w:rsidRPr="00E8262C">
              <w:rPr>
                <w:rFonts w:ascii="Palatino Linotype" w:eastAsia="Palatino Linotype" w:hAnsi="Palatino Linotype" w:cs="Palatino Linotype"/>
                <w:i/>
                <w:sz w:val="20"/>
                <w:szCs w:val="20"/>
              </w:rPr>
              <w:lastRenderedPageBreak/>
              <w:t>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05217/DIFMETEPEC/IP/2022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28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05218/DIFMETEPEC/IP/2022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29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05219/DIFMETEPEC/IP/2022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30 de abril de 2022 así como las medidas sanitarias llevadas a cabo y el nombre de las y los asistentes.</w:t>
            </w:r>
          </w:p>
        </w:tc>
      </w:tr>
    </w:tbl>
    <w:p w:rsidR="003239FA" w:rsidRPr="00E8262C" w:rsidRDefault="003239FA">
      <w:pPr>
        <w:widowControl w:val="0"/>
        <w:spacing w:line="360" w:lineRule="auto"/>
        <w:jc w:val="both"/>
        <w:rPr>
          <w:rFonts w:ascii="Palatino Linotype" w:eastAsia="Palatino Linotype" w:hAnsi="Palatino Linotype" w:cs="Palatino Linotype"/>
        </w:rPr>
      </w:pPr>
    </w:p>
    <w:p w:rsidR="003239FA" w:rsidRPr="00E8262C" w:rsidRDefault="00D53368">
      <w:pPr>
        <w:widowControl w:val="0"/>
        <w:spacing w:line="360" w:lineRule="auto"/>
        <w:jc w:val="both"/>
        <w:rPr>
          <w:rFonts w:ascii="Palatino Linotype" w:eastAsia="Palatino Linotype" w:hAnsi="Palatino Linotype" w:cs="Palatino Linotype"/>
          <w:b/>
        </w:rPr>
      </w:pPr>
      <w:r w:rsidRPr="00E8262C">
        <w:rPr>
          <w:rFonts w:ascii="Palatino Linotype" w:eastAsia="Palatino Linotype" w:hAnsi="Palatino Linotype" w:cs="Palatino Linotype"/>
          <w:b/>
        </w:rPr>
        <w:t xml:space="preserve">MODALIDAD DE ENTREGA: </w:t>
      </w:r>
      <w:r w:rsidRPr="00E8262C">
        <w:rPr>
          <w:rFonts w:ascii="Palatino Linotype" w:eastAsia="Palatino Linotype" w:hAnsi="Palatino Linotype" w:cs="Palatino Linotype"/>
        </w:rPr>
        <w:t xml:space="preserve">Vía </w:t>
      </w:r>
      <w:r w:rsidRPr="00E8262C">
        <w:rPr>
          <w:rFonts w:ascii="Palatino Linotype" w:eastAsia="Palatino Linotype" w:hAnsi="Palatino Linotype" w:cs="Palatino Linotype"/>
          <w:b/>
        </w:rPr>
        <w:t xml:space="preserve">SAIMEX </w:t>
      </w:r>
    </w:p>
    <w:p w:rsidR="003239FA" w:rsidRPr="00E8262C" w:rsidRDefault="003239FA">
      <w:pPr>
        <w:widowControl w:val="0"/>
        <w:spacing w:line="360" w:lineRule="auto"/>
        <w:jc w:val="both"/>
        <w:rPr>
          <w:rFonts w:ascii="Palatino Linotype" w:eastAsia="Palatino Linotype" w:hAnsi="Palatino Linotype" w:cs="Palatino Linotype"/>
          <w:b/>
        </w:rPr>
      </w:pPr>
    </w:p>
    <w:p w:rsidR="003239FA" w:rsidRPr="00E8262C" w:rsidRDefault="00D53368">
      <w:pPr>
        <w:spacing w:line="360" w:lineRule="auto"/>
        <w:jc w:val="both"/>
        <w:rPr>
          <w:rFonts w:ascii="Palatino Linotype" w:eastAsia="Palatino Linotype" w:hAnsi="Palatino Linotype" w:cs="Palatino Linotype"/>
          <w:b/>
          <w:sz w:val="28"/>
          <w:szCs w:val="28"/>
        </w:rPr>
      </w:pPr>
      <w:r w:rsidRPr="00E8262C">
        <w:rPr>
          <w:rFonts w:ascii="Palatino Linotype" w:eastAsia="Palatino Linotype" w:hAnsi="Palatino Linotype" w:cs="Palatino Linotype"/>
          <w:b/>
          <w:sz w:val="28"/>
          <w:szCs w:val="28"/>
        </w:rPr>
        <w:t xml:space="preserve">II. Solicitud de Aclaración </w:t>
      </w: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En fechas seis, dieciocho y diecinueve de abril, así como diez de mayo de dos mil veintidós, </w:t>
      </w:r>
      <w:r w:rsidRPr="00E8262C">
        <w:rPr>
          <w:rFonts w:ascii="Palatino Linotype" w:eastAsia="Palatino Linotype" w:hAnsi="Palatino Linotype" w:cs="Palatino Linotype"/>
          <w:b/>
        </w:rPr>
        <w:t xml:space="preserve">EL SUJETO OBLIGADO </w:t>
      </w:r>
      <w:r w:rsidRPr="00E8262C">
        <w:rPr>
          <w:rFonts w:ascii="Palatino Linotype" w:eastAsia="Palatino Linotype" w:hAnsi="Palatino Linotype" w:cs="Palatino Linotype"/>
        </w:rPr>
        <w:t xml:space="preserve">solicitó una aclaración en los términos siguientes para todas las solicitudes de información: </w:t>
      </w:r>
    </w:p>
    <w:p w:rsidR="003239FA" w:rsidRPr="00E8262C" w:rsidRDefault="003239FA">
      <w:pPr>
        <w:ind w:left="850" w:right="899"/>
        <w:jc w:val="both"/>
        <w:rPr>
          <w:rFonts w:ascii="Palatino Linotype" w:eastAsia="Palatino Linotype" w:hAnsi="Palatino Linotype" w:cs="Palatino Linotype"/>
          <w:i/>
          <w:sz w:val="22"/>
          <w:szCs w:val="22"/>
        </w:rPr>
      </w:pPr>
    </w:p>
    <w:p w:rsidR="003239FA" w:rsidRPr="00E8262C" w:rsidRDefault="00D53368">
      <w:pPr>
        <w:ind w:left="850" w:right="899"/>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“LA SOLICITUD NO ES CLARA, SE SOLICITA SE HAGA ACLARACION TOTAL DE LA INFORMACIÓN A OBTENER” (Sic)</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lastRenderedPageBreak/>
        <w:t xml:space="preserve">Requerimiento que fue desahogado por el particular en fechas doce y veintisiete de abril, así como doce de mayo de dos mil veintidós, reiterando sus solicitudes iniciales en todos los casos.   </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b/>
          <w:sz w:val="28"/>
          <w:szCs w:val="28"/>
        </w:rPr>
      </w:pPr>
      <w:r w:rsidRPr="00E8262C">
        <w:rPr>
          <w:rFonts w:ascii="Palatino Linotype" w:eastAsia="Palatino Linotype" w:hAnsi="Palatino Linotype" w:cs="Palatino Linotype"/>
          <w:b/>
          <w:sz w:val="28"/>
          <w:szCs w:val="28"/>
        </w:rPr>
        <w:t>III. Turno de requerimiento del Sujeto Obligado</w:t>
      </w: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De las constancias que obran en los expedientes electrónicos del SAIMEX se advierten en fechas diez y diecinueve de mayo, así como dos de junio de dos mil veintidós los turnos realizados por el Titular de la Unidad de Transparencia a los servidores públicos habilitados que estimó competentes, en términos de lo establecido por el artículo 162 de la Ley de Transparencia y Acceso a la Información Pública del Estado de México y Municipios. </w:t>
      </w:r>
    </w:p>
    <w:p w:rsidR="003239FA" w:rsidRPr="00E8262C" w:rsidRDefault="003239FA">
      <w:pPr>
        <w:widowControl w:val="0"/>
        <w:jc w:val="both"/>
        <w:rPr>
          <w:rFonts w:ascii="Palatino Linotype" w:eastAsia="Palatino Linotype" w:hAnsi="Palatino Linotype" w:cs="Palatino Linotype"/>
          <w:b/>
        </w:rPr>
      </w:pPr>
    </w:p>
    <w:p w:rsidR="003239FA" w:rsidRPr="00E8262C" w:rsidRDefault="00D53368">
      <w:pPr>
        <w:widowControl w:val="0"/>
        <w:spacing w:line="360" w:lineRule="auto"/>
        <w:jc w:val="both"/>
        <w:rPr>
          <w:rFonts w:ascii="Palatino Linotype" w:eastAsia="Palatino Linotype" w:hAnsi="Palatino Linotype" w:cs="Palatino Linotype"/>
          <w:b/>
          <w:sz w:val="28"/>
          <w:szCs w:val="28"/>
        </w:rPr>
      </w:pPr>
      <w:r w:rsidRPr="00E8262C">
        <w:rPr>
          <w:rFonts w:ascii="Palatino Linotype" w:eastAsia="Palatino Linotype" w:hAnsi="Palatino Linotype" w:cs="Palatino Linotype"/>
          <w:b/>
          <w:sz w:val="28"/>
          <w:szCs w:val="28"/>
        </w:rPr>
        <w:t xml:space="preserve">IV. Prórroga </w:t>
      </w:r>
    </w:p>
    <w:p w:rsidR="003239FA" w:rsidRPr="00E8262C" w:rsidRDefault="00D53368">
      <w:pPr>
        <w:widowControl w:val="0"/>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En fechas diez y diecinueve de mayo de dos mil veintidós </w:t>
      </w:r>
      <w:r w:rsidRPr="00E8262C">
        <w:rPr>
          <w:rFonts w:ascii="Palatino Linotype" w:eastAsia="Palatino Linotype" w:hAnsi="Palatino Linotype" w:cs="Palatino Linotype"/>
          <w:b/>
        </w:rPr>
        <w:t>EL SUJETO OBLIGADO notificó</w:t>
      </w:r>
      <w:r w:rsidRPr="00E8262C">
        <w:rPr>
          <w:rFonts w:ascii="Palatino Linotype" w:eastAsia="Palatino Linotype" w:hAnsi="Palatino Linotype" w:cs="Palatino Linotype"/>
        </w:rPr>
        <w:t xml:space="preserve"> al particular la prórroga de siete días hábiles para dar respuesta a las solicitudes de información.  </w:t>
      </w:r>
    </w:p>
    <w:p w:rsidR="003239FA" w:rsidRPr="00E8262C" w:rsidRDefault="003239FA">
      <w:pPr>
        <w:widowControl w:val="0"/>
        <w:spacing w:line="360" w:lineRule="auto"/>
        <w:jc w:val="both"/>
        <w:rPr>
          <w:rFonts w:ascii="Palatino Linotype" w:eastAsia="Palatino Linotype" w:hAnsi="Palatino Linotype" w:cs="Palatino Linotype"/>
          <w:b/>
        </w:rPr>
      </w:pPr>
    </w:p>
    <w:p w:rsidR="003239FA" w:rsidRPr="00E8262C" w:rsidRDefault="00D53368">
      <w:pPr>
        <w:widowControl w:val="0"/>
        <w:spacing w:line="360" w:lineRule="auto"/>
        <w:jc w:val="both"/>
        <w:rPr>
          <w:rFonts w:ascii="Palatino Linotype" w:eastAsia="Palatino Linotype" w:hAnsi="Palatino Linotype" w:cs="Palatino Linotype"/>
          <w:b/>
          <w:sz w:val="28"/>
          <w:szCs w:val="28"/>
        </w:rPr>
      </w:pPr>
      <w:r w:rsidRPr="00E8262C">
        <w:rPr>
          <w:rFonts w:ascii="Palatino Linotype" w:eastAsia="Palatino Linotype" w:hAnsi="Palatino Linotype" w:cs="Palatino Linotype"/>
          <w:b/>
          <w:sz w:val="28"/>
          <w:szCs w:val="28"/>
        </w:rPr>
        <w:t>V. Respuesta del Sujeto Obligado</w:t>
      </w:r>
    </w:p>
    <w:p w:rsidR="003239FA" w:rsidRPr="00E8262C" w:rsidRDefault="00D53368">
      <w:pPr>
        <w:widowControl w:val="0"/>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En fechas diecinueve</w:t>
      </w:r>
      <w:r w:rsidRPr="00E8262C">
        <w:rPr>
          <w:rFonts w:ascii="Palatino Linotype" w:eastAsia="Palatino Linotype" w:hAnsi="Palatino Linotype" w:cs="Palatino Linotype"/>
          <w:b/>
        </w:rPr>
        <w:t xml:space="preserve"> y treinta de mayo, así como tres de junio de dos mil veintidós</w:t>
      </w:r>
      <w:r w:rsidRPr="00E8262C">
        <w:rPr>
          <w:rFonts w:ascii="Palatino Linotype" w:eastAsia="Palatino Linotype" w:hAnsi="Palatino Linotype" w:cs="Palatino Linotype"/>
        </w:rPr>
        <w:t xml:space="preserve">, </w:t>
      </w:r>
      <w:r w:rsidRPr="00E8262C">
        <w:rPr>
          <w:rFonts w:ascii="Palatino Linotype" w:eastAsia="Palatino Linotype" w:hAnsi="Palatino Linotype" w:cs="Palatino Linotype"/>
          <w:b/>
        </w:rPr>
        <w:t>EL SUJETO OBLIGADO</w:t>
      </w:r>
      <w:r w:rsidRPr="00E8262C">
        <w:rPr>
          <w:rFonts w:ascii="Palatino Linotype" w:eastAsia="Palatino Linotype" w:hAnsi="Palatino Linotype" w:cs="Palatino Linotype"/>
        </w:rPr>
        <w:t xml:space="preserve"> dio respuesta a todas las solicitudes de información en el tenor siguiente: </w:t>
      </w:r>
    </w:p>
    <w:p w:rsidR="003239FA" w:rsidRPr="00E8262C" w:rsidRDefault="00D53368">
      <w:pPr>
        <w:widowControl w:val="0"/>
        <w:ind w:left="850" w:right="899"/>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3239FA" w:rsidRPr="00E8262C" w:rsidRDefault="003239FA">
      <w:pPr>
        <w:widowControl w:val="0"/>
        <w:jc w:val="both"/>
        <w:rPr>
          <w:rFonts w:ascii="Palatino Linotype" w:eastAsia="Palatino Linotype" w:hAnsi="Palatino Linotype" w:cs="Palatino Linotype"/>
          <w:i/>
          <w:sz w:val="22"/>
          <w:szCs w:val="22"/>
        </w:rPr>
      </w:pPr>
    </w:p>
    <w:p w:rsidR="003239FA" w:rsidRPr="00E8262C" w:rsidRDefault="00D53368">
      <w:pPr>
        <w:widowControl w:val="0"/>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Adjuntando el documento denominado “</w:t>
      </w:r>
      <w:r w:rsidRPr="00E8262C">
        <w:rPr>
          <w:rFonts w:ascii="Palatino Linotype" w:eastAsia="Palatino Linotype" w:hAnsi="Palatino Linotype" w:cs="Palatino Linotype"/>
          <w:i/>
        </w:rPr>
        <w:t xml:space="preserve">acta primer sesión extraordinaria Comité de transparencia.pdf” </w:t>
      </w:r>
      <w:r w:rsidRPr="00E8262C">
        <w:rPr>
          <w:rFonts w:ascii="Palatino Linotype" w:eastAsia="Palatino Linotype" w:hAnsi="Palatino Linotype" w:cs="Palatino Linotype"/>
        </w:rPr>
        <w:t xml:space="preserve">de cuyo contenido se aprecia el Acta de la Primera Sesión Extraordinaria del Comité de Transparencia del ente recurrido en fecha veinticinco de febrero de dos mil veintidós en donde se aprobó el cambio de modalidad a consulta directa de la información toda vez que las solicitudes turnadas requieren llevar a cabo el estudio y procesamiento de la información, lo cual sobrepasa sus capacidades, aunado a la situación de la pandemia por </w:t>
      </w:r>
      <w:proofErr w:type="spellStart"/>
      <w:r w:rsidRPr="00E8262C">
        <w:rPr>
          <w:rFonts w:ascii="Palatino Linotype" w:eastAsia="Palatino Linotype" w:hAnsi="Palatino Linotype" w:cs="Palatino Linotype"/>
        </w:rPr>
        <w:t>Covid</w:t>
      </w:r>
      <w:proofErr w:type="spellEnd"/>
      <w:r w:rsidRPr="00E8262C">
        <w:rPr>
          <w:rFonts w:ascii="Palatino Linotype" w:eastAsia="Palatino Linotype" w:hAnsi="Palatino Linotype" w:cs="Palatino Linotype"/>
        </w:rPr>
        <w:t xml:space="preserve">- 19 que requiere de desarrollar sus actividades con el personal indispensable. </w:t>
      </w:r>
    </w:p>
    <w:p w:rsidR="003239FA" w:rsidRPr="00E8262C" w:rsidRDefault="003239FA">
      <w:pPr>
        <w:widowControl w:val="0"/>
        <w:spacing w:line="360" w:lineRule="auto"/>
        <w:jc w:val="both"/>
        <w:rPr>
          <w:rFonts w:ascii="Palatino Linotype" w:eastAsia="Palatino Linotype" w:hAnsi="Palatino Linotype" w:cs="Palatino Linotype"/>
        </w:rPr>
      </w:pPr>
    </w:p>
    <w:p w:rsidR="003239FA" w:rsidRPr="00E8262C" w:rsidRDefault="00D53368">
      <w:pPr>
        <w:widowControl w:val="0"/>
        <w:spacing w:line="360" w:lineRule="auto"/>
        <w:jc w:val="both"/>
        <w:rPr>
          <w:rFonts w:ascii="Palatino Linotype" w:eastAsia="Palatino Linotype" w:hAnsi="Palatino Linotype" w:cs="Palatino Linotype"/>
          <w:b/>
        </w:rPr>
      </w:pPr>
      <w:r w:rsidRPr="00E8262C">
        <w:rPr>
          <w:rFonts w:ascii="Palatino Linotype" w:eastAsia="Palatino Linotype" w:hAnsi="Palatino Linotype" w:cs="Palatino Linotype"/>
          <w:b/>
          <w:sz w:val="28"/>
          <w:szCs w:val="28"/>
        </w:rPr>
        <w:t>IV. Del Recurso de Revisión</w:t>
      </w:r>
      <w:r w:rsidRPr="00E8262C">
        <w:rPr>
          <w:rFonts w:ascii="Palatino Linotype" w:eastAsia="Palatino Linotype" w:hAnsi="Palatino Linotype" w:cs="Palatino Linotype"/>
          <w:b/>
        </w:rPr>
        <w:t>.</w:t>
      </w:r>
    </w:p>
    <w:p w:rsidR="003239FA" w:rsidRPr="00E8262C" w:rsidRDefault="00D53368">
      <w:pPr>
        <w:widowControl w:val="0"/>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Inconforme por las respuestas del</w:t>
      </w:r>
      <w:r w:rsidRPr="00E8262C">
        <w:rPr>
          <w:rFonts w:ascii="Palatino Linotype" w:eastAsia="Palatino Linotype" w:hAnsi="Palatino Linotype" w:cs="Palatino Linotype"/>
          <w:b/>
        </w:rPr>
        <w:t xml:space="preserve"> SUJETO OBLIGADO</w:t>
      </w:r>
      <w:r w:rsidRPr="00E8262C">
        <w:rPr>
          <w:rFonts w:ascii="Palatino Linotype" w:eastAsia="Palatino Linotype" w:hAnsi="Palatino Linotype" w:cs="Palatino Linotype"/>
        </w:rPr>
        <w:t xml:space="preserve">, en fecha </w:t>
      </w:r>
      <w:r w:rsidRPr="00E8262C">
        <w:rPr>
          <w:rFonts w:ascii="Palatino Linotype" w:eastAsia="Palatino Linotype" w:hAnsi="Palatino Linotype" w:cs="Palatino Linotype"/>
          <w:b/>
        </w:rPr>
        <w:t>seis de junio de dos mil veintidós</w:t>
      </w:r>
      <w:r w:rsidRPr="00E8262C">
        <w:rPr>
          <w:rFonts w:ascii="Palatino Linotype" w:eastAsia="Palatino Linotype" w:hAnsi="Palatino Linotype" w:cs="Palatino Linotype"/>
        </w:rPr>
        <w:t xml:space="preserve">, </w:t>
      </w:r>
      <w:r w:rsidRPr="00E8262C">
        <w:rPr>
          <w:rFonts w:ascii="Palatino Linotype" w:eastAsia="Palatino Linotype" w:hAnsi="Palatino Linotype" w:cs="Palatino Linotype"/>
          <w:b/>
        </w:rPr>
        <w:t xml:space="preserve">EL RECURRENTE </w:t>
      </w:r>
      <w:r w:rsidRPr="00E8262C">
        <w:rPr>
          <w:rFonts w:ascii="Palatino Linotype" w:eastAsia="Palatino Linotype" w:hAnsi="Palatino Linotype" w:cs="Palatino Linotype"/>
        </w:rPr>
        <w:t xml:space="preserve">interpuso los Recursos de Revisión, los cuales fueron </w:t>
      </w:r>
      <w:r w:rsidRPr="00E8262C">
        <w:rPr>
          <w:rFonts w:ascii="Palatino Linotype" w:eastAsia="Palatino Linotype" w:hAnsi="Palatino Linotype" w:cs="Palatino Linotype"/>
        </w:rPr>
        <w:lastRenderedPageBreak/>
        <w:t xml:space="preserve">registrados en </w:t>
      </w:r>
      <w:r w:rsidRPr="00E8262C">
        <w:rPr>
          <w:rFonts w:ascii="Palatino Linotype" w:eastAsia="Palatino Linotype" w:hAnsi="Palatino Linotype" w:cs="Palatino Linotype"/>
          <w:b/>
        </w:rPr>
        <w:t>EL SAIMEX</w:t>
      </w:r>
      <w:r w:rsidRPr="00E8262C">
        <w:rPr>
          <w:rFonts w:ascii="Palatino Linotype" w:eastAsia="Palatino Linotype" w:hAnsi="Palatino Linotype" w:cs="Palatino Linotype"/>
        </w:rPr>
        <w:t xml:space="preserve"> y se les asignaron los números de expediente  </w:t>
      </w:r>
      <w:r w:rsidRPr="00E8262C">
        <w:rPr>
          <w:rFonts w:ascii="Palatino Linotype" w:eastAsia="Palatino Linotype" w:hAnsi="Palatino Linotype" w:cs="Palatino Linotype"/>
          <w:b/>
          <w:sz w:val="22"/>
          <w:szCs w:val="22"/>
        </w:rPr>
        <w:t xml:space="preserve">10557/INFOEM/IP/RR/2022, 10558/INFOEM/IP/RR/2022, 10559/INFOEM/IP/RR/2022, 10584/INFOEM/IP/RR/2022, 10585/INFOEM/IP/RR/2022, 10586/INFOEM/IP/RR/2022, 10587/INFOEM/IP/RR/2022, 10588/INFOEM/IP/RR/2022, 10589/INFOEM/IP/RR/2022, 10590/INFOEM/IP/RR/2022, 10591/INFOEM/IP/RR/2022, 10592/INFOEM/IP/RR/2022, 10593/INFOEM/IP/RR/2022, 10594/INFOEM/IP/RR/2022, 10595/INFOEM/IP/RR/2022, 10619/INFOEM/IP/RR/2022, 10620/INFOEM/IP/RR/2022, 10621/INFOEM/IP/RR/2022, 10622/INFOEM/IP/RR/2022, 10623/INFOEM/IP/RR/2022, 10624/INFOEM/IP/RR/2022 10625/INFOEM/IP/RR/2022, 10626/INFOEM/IP/RR/2022, 10627/INFOEM/IP/RR/2022, 10628/INFOEM/IP/RR/2022, 10629/INFOEM/IP/RR/2022, 10630/INFOEM/IP/RR/2022, 10631/INFOEM/IP/RR/2022, 10632/INFOEM/IP/RR/2022, 10634/INFOEM/IP/RR/2022, 10635/INFOEM/IP/RR/2022, 10636/INFOEM/IP/RR/2022, 10637/INFOEM/IP/RR/2022, 10638/INFOEM/IP/RR/2022, 10639/INFOEM/IP/RR/2022, 10640/INFOEM/IP/RR/2022, 10641/INFOEM/IP/RR/2022, 10642/INFOEM/IP/RR/2022, 10643/INFOEM/IP/RR/2022, 10644/INFOEM/IP/RR/2022, 10645/INFOEM/IP/RR/2022, 10646/INFOEM/IP/RR/2022, 10647/INFOEM/IP/RR/2022, 10648/INFOEM/IP/RR/2022, 10649/INFOEM/IP/RR/2022, 10650/INFOEM/IP/RR/2022, 10651/INFOEM/IP/RR/2022, 10652/INFOEM/IP/RR/2022, 10653/INFOEM/IP/RR/2022, 10654/INFOEM/IP/RR/2022, 10655/INFOEM/IP/RR/2022, 10656/INFOEM/IP/RR/2022, 10657/INFOEM/IP/RR/2022, 10658/INFOEM/IP/RR/2022, 10659/INFOEM/IP/RR/2022, 10660/INFOEM/IP/RR/2022, 10661/INFOEM/IP/RR/2022, 10662/INFOEM/IP/RR/2022 10664/INFOEM/IP/RR/2022, 10665/INFOEM/IP/RR/2022, 10666/INFOEM/IP/RR/2022, 10667/INFOEM/IP/RR/2022, 10668/INFOEM/IP/RR/2022, 10669/INFOEM/IP/RR/2022, 10670/INFOEM/IP/RR/2022, 10672/INFOEM/IP/RR/2022, </w:t>
      </w:r>
      <w:r w:rsidRPr="00E8262C">
        <w:rPr>
          <w:rFonts w:ascii="Palatino Linotype" w:eastAsia="Palatino Linotype" w:hAnsi="Palatino Linotype" w:cs="Palatino Linotype"/>
          <w:b/>
          <w:sz w:val="22"/>
          <w:szCs w:val="22"/>
        </w:rPr>
        <w:lastRenderedPageBreak/>
        <w:t xml:space="preserve">10673/INFOEM/IP/RR/2022, 10674/INFOEM/IP/RR/2022, 10677/INFOEM/IP/RR/2022, 10678/INFOEM/IP/RR/2022, 10679/INFOEM/IP/RR/2022, 10680/INFOEM/IP/RR/2022, 10681/INFOEM/IP/RR/2022, 10682/INFOEM/IP/RR/2022, 10683/INFOEM/IP/RR/2022, 10684/INFOEM/IP/RR/2022, 10685/INFOEM/IP/RR/2022, 10686/INFOEM/IP/RR/2022, 10687/INFOEM/IP/RR/2022, 10688/INFOEM/IP/RR/2022, 10689/INFOEM/IP/RR/2022, 10690/INFOEM/IP/RR/2022, 10691/INFOEM/IP/RR/2022, 10692/INFOEM/IP/RR/2022, 10693/INFOEM/IP/RR/2022, 10694/INFOEM/IP/RR/2022, 10695/INFOEM/IP/RR/2022, 10696/INFOEM/IP/RR/2022, 10698/INFOEM/IP/RR/2022, 10699/INFOEM/IP/RR/2022, 10700/INFOEM/IP/RR/2022, 10701/INFOEM/IP/RR/2022, 10702/INFOEM/IP/RR/2022, 10703/INFOEM/IP/RR/2022, 10704/INFOEM/IP/RR/2022, 10705/INFOEM/IP/RR/2022, 11051/INFOEM/IP/RR/2022, 11052/INFOEM/IP/RR/2022, 11053/INFOEM/IP/RR/2022, 11054/INFOEM/IP/RR/2022, 11055/INFOEM/IP/RR/2022, 11058/INFOEM/IP/RR/2022, 11059/INFOEM/IP/RR/2022, 11077/INFOEM/IP/RR/2022, 11078/INFOEM/IP/RR/2022, 11079/INFOEM/IP/RR/2022, 11080/INFOEM/IP/RR/2022, 11081/INFOEM/IP/RR/2022, 11082/INFOEM/IP/RR/2022, 11083/INFOEM/IP/RR/2022, 11084/INFOEM/IP/RR/2022, 11085/INFOEM/IP/RR/2022, 11086/INFOEM/IP/RR/2022, 11096/INFOEM/IP/RR/2022, 11097/INFOEM/IP/RR/2022, 11098/INFOEM/IP/RR/2022, 11099/INFOEM/IP/RR/2022, 11133/INFOEM/IP/RR/2022, 11134/INFOEM/IP/RR/2022 y 11135/INFOEM/IP/RR/2022, </w:t>
      </w:r>
      <w:r w:rsidRPr="00E8262C">
        <w:rPr>
          <w:rFonts w:ascii="Palatino Linotype" w:eastAsia="Palatino Linotype" w:hAnsi="Palatino Linotype" w:cs="Palatino Linotype"/>
          <w:b/>
        </w:rPr>
        <w:t xml:space="preserve"> </w:t>
      </w:r>
      <w:r w:rsidRPr="00E8262C">
        <w:rPr>
          <w:rFonts w:ascii="Palatino Linotype" w:eastAsia="Palatino Linotype" w:hAnsi="Palatino Linotype" w:cs="Palatino Linotype"/>
        </w:rPr>
        <w:t xml:space="preserve">donde los motivos de agravio fueron los siguientes: </w:t>
      </w:r>
    </w:p>
    <w:p w:rsidR="003239FA" w:rsidRPr="00E8262C" w:rsidRDefault="003239FA">
      <w:pPr>
        <w:widowControl w:val="0"/>
        <w:rPr>
          <w:rFonts w:ascii="Palatino Linotype" w:eastAsia="Palatino Linotype" w:hAnsi="Palatino Linotype" w:cs="Palatino Linotype"/>
          <w:b/>
          <w:u w:val="single"/>
        </w:rPr>
      </w:pPr>
    </w:p>
    <w:p w:rsidR="003239FA" w:rsidRPr="00E8262C" w:rsidRDefault="00D53368">
      <w:pPr>
        <w:widowControl w:val="0"/>
        <w:rPr>
          <w:rFonts w:ascii="Palatino Linotype" w:eastAsia="Palatino Linotype" w:hAnsi="Palatino Linotype" w:cs="Palatino Linotype"/>
          <w:b/>
          <w:u w:val="single"/>
        </w:rPr>
      </w:pPr>
      <w:r w:rsidRPr="00E8262C">
        <w:rPr>
          <w:rFonts w:ascii="Palatino Linotype" w:eastAsia="Palatino Linotype" w:hAnsi="Palatino Linotype" w:cs="Palatino Linotype"/>
          <w:b/>
          <w:u w:val="single"/>
        </w:rPr>
        <w:t xml:space="preserve">Acto impugnado: </w:t>
      </w:r>
    </w:p>
    <w:p w:rsidR="003239FA" w:rsidRPr="00E8262C" w:rsidRDefault="003239FA">
      <w:pPr>
        <w:widowControl w:val="0"/>
        <w:rPr>
          <w:rFonts w:ascii="Palatino Linotype" w:eastAsia="Palatino Linotype" w:hAnsi="Palatino Linotype" w:cs="Palatino Linotype"/>
          <w:b/>
          <w:u w:val="single"/>
        </w:rPr>
      </w:pPr>
    </w:p>
    <w:p w:rsidR="003239FA" w:rsidRPr="00E8262C" w:rsidRDefault="00D53368">
      <w:pPr>
        <w:widowControl w:val="0"/>
        <w:ind w:left="850" w:right="899"/>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“La respuesta proporcionada por el Sujeto Obligado.” (Sic)</w:t>
      </w:r>
    </w:p>
    <w:p w:rsidR="003239FA" w:rsidRPr="00E8262C" w:rsidRDefault="003239FA">
      <w:pPr>
        <w:widowControl w:val="0"/>
        <w:ind w:left="850" w:right="899"/>
        <w:rPr>
          <w:rFonts w:ascii="Palatino Linotype" w:eastAsia="Palatino Linotype" w:hAnsi="Palatino Linotype" w:cs="Palatino Linotype"/>
          <w:i/>
          <w:sz w:val="22"/>
          <w:szCs w:val="22"/>
        </w:rPr>
      </w:pPr>
    </w:p>
    <w:p w:rsidR="003239FA" w:rsidRPr="00E8262C" w:rsidRDefault="00D53368">
      <w:pPr>
        <w:widowControl w:val="0"/>
        <w:rPr>
          <w:rFonts w:ascii="Palatino Linotype" w:eastAsia="Palatino Linotype" w:hAnsi="Palatino Linotype" w:cs="Palatino Linotype"/>
          <w:b/>
          <w:u w:val="single"/>
        </w:rPr>
      </w:pPr>
      <w:r w:rsidRPr="00E8262C">
        <w:rPr>
          <w:rFonts w:ascii="Palatino Linotype" w:eastAsia="Palatino Linotype" w:hAnsi="Palatino Linotype" w:cs="Palatino Linotype"/>
          <w:b/>
          <w:u w:val="single"/>
        </w:rPr>
        <w:t xml:space="preserve">Razones o motivos de Inconformidad: </w:t>
      </w:r>
    </w:p>
    <w:p w:rsidR="003239FA" w:rsidRPr="00E8262C" w:rsidRDefault="00D53368">
      <w:pPr>
        <w:widowControl w:val="0"/>
        <w:rPr>
          <w:rFonts w:ascii="Palatino Linotype" w:eastAsia="Palatino Linotype" w:hAnsi="Palatino Linotype" w:cs="Palatino Linotype"/>
          <w:b/>
          <w:u w:val="single"/>
        </w:rPr>
      </w:pPr>
      <w:r w:rsidRPr="00E8262C">
        <w:rPr>
          <w:rFonts w:ascii="Palatino Linotype" w:eastAsia="Palatino Linotype" w:hAnsi="Palatino Linotype" w:cs="Palatino Linotype"/>
          <w:b/>
          <w:u w:val="single"/>
        </w:rPr>
        <w:lastRenderedPageBreak/>
        <w:t xml:space="preserve"> </w:t>
      </w:r>
    </w:p>
    <w:p w:rsidR="003239FA" w:rsidRPr="00E8262C" w:rsidRDefault="00D53368">
      <w:pPr>
        <w:widowControl w:val="0"/>
        <w:ind w:left="850" w:right="899"/>
        <w:jc w:val="both"/>
        <w:rPr>
          <w:rFonts w:ascii="Palatino Linotype" w:eastAsia="Palatino Linotype" w:hAnsi="Palatino Linotype" w:cs="Palatino Linotype"/>
        </w:rPr>
      </w:pPr>
      <w:r w:rsidRPr="00E8262C">
        <w:rPr>
          <w:rFonts w:ascii="Palatino Linotype" w:eastAsia="Palatino Linotype" w:hAnsi="Palatino Linotype" w:cs="Palatino Linotype"/>
          <w:i/>
          <w:sz w:val="22"/>
          <w:szCs w:val="22"/>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w:t>
      </w:r>
      <w:r w:rsidRPr="00E8262C">
        <w:rPr>
          <w:rFonts w:ascii="Palatino Linotype" w:eastAsia="Palatino Linotype" w:hAnsi="Palatino Linotype" w:cs="Palatino Linotype"/>
          <w:i/>
          <w:sz w:val="22"/>
          <w:szCs w:val="22"/>
        </w:rPr>
        <w:lastRenderedPageBreak/>
        <w:t xml:space="preserve">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w:t>
      </w:r>
      <w:r w:rsidRPr="00E8262C">
        <w:rPr>
          <w:rFonts w:ascii="Palatino Linotype" w:eastAsia="Palatino Linotype" w:hAnsi="Palatino Linotype" w:cs="Palatino Linotype"/>
          <w:i/>
          <w:sz w:val="22"/>
          <w:szCs w:val="22"/>
        </w:rPr>
        <w:lastRenderedPageBreak/>
        <w:t xml:space="preserve">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w:t>
      </w:r>
      <w:proofErr w:type="spellStart"/>
      <w:r w:rsidRPr="00E8262C">
        <w:rPr>
          <w:rFonts w:ascii="Palatino Linotype" w:eastAsia="Palatino Linotype" w:hAnsi="Palatino Linotype" w:cs="Palatino Linotype"/>
          <w:i/>
          <w:sz w:val="22"/>
          <w:szCs w:val="22"/>
        </w:rPr>
        <w:t>por que</w:t>
      </w:r>
      <w:proofErr w:type="spellEnd"/>
      <w:r w:rsidRPr="00E8262C">
        <w:rPr>
          <w:rFonts w:ascii="Palatino Linotype" w:eastAsia="Palatino Linotype" w:hAnsi="Palatino Linotype" w:cs="Palatino Linotype"/>
          <w:i/>
          <w:sz w:val="22"/>
          <w:szCs w:val="22"/>
        </w:rPr>
        <w:t xml:space="preserv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w:t>
      </w:r>
      <w:proofErr w:type="spellStart"/>
      <w:r w:rsidRPr="00E8262C">
        <w:rPr>
          <w:rFonts w:ascii="Palatino Linotype" w:eastAsia="Palatino Linotype" w:hAnsi="Palatino Linotype" w:cs="Palatino Linotype"/>
          <w:i/>
          <w:sz w:val="22"/>
          <w:szCs w:val="22"/>
        </w:rPr>
        <w:t>publica</w:t>
      </w:r>
      <w:proofErr w:type="spellEnd"/>
      <w:r w:rsidRPr="00E8262C">
        <w:rPr>
          <w:rFonts w:ascii="Palatino Linotype" w:eastAsia="Palatino Linotype" w:hAnsi="Palatino Linotype" w:cs="Palatino Linotype"/>
          <w:i/>
          <w:sz w:val="22"/>
          <w:szCs w:val="22"/>
        </w:rPr>
        <w:t xml:space="preserve"> solicitada, toda vez que emite una respuesta en la cual, pretende sin motivación y justificación alguna cambiar la modalidad de entrega de la información. En este sentido es importante considerar que el sujeto obligado no niega en </w:t>
      </w:r>
      <w:proofErr w:type="spellStart"/>
      <w:r w:rsidRPr="00E8262C">
        <w:rPr>
          <w:rFonts w:ascii="Palatino Linotype" w:eastAsia="Palatino Linotype" w:hAnsi="Palatino Linotype" w:cs="Palatino Linotype"/>
          <w:i/>
          <w:sz w:val="22"/>
          <w:szCs w:val="22"/>
        </w:rPr>
        <w:t>ningún</w:t>
      </w:r>
      <w:proofErr w:type="spellEnd"/>
      <w:r w:rsidRPr="00E8262C">
        <w:rPr>
          <w:rFonts w:ascii="Palatino Linotype" w:eastAsia="Palatino Linotype" w:hAnsi="Palatino Linotype" w:cs="Palatino Linotype"/>
          <w:i/>
          <w:sz w:val="22"/>
          <w:szCs w:val="22"/>
        </w:rPr>
        <w:t xml:space="preserve"> momento la existencia de la </w:t>
      </w:r>
      <w:proofErr w:type="spellStart"/>
      <w:r w:rsidRPr="00E8262C">
        <w:rPr>
          <w:rFonts w:ascii="Palatino Linotype" w:eastAsia="Palatino Linotype" w:hAnsi="Palatino Linotype" w:cs="Palatino Linotype"/>
          <w:i/>
          <w:sz w:val="22"/>
          <w:szCs w:val="22"/>
        </w:rPr>
        <w:t>información</w:t>
      </w:r>
      <w:proofErr w:type="spellEnd"/>
      <w:r w:rsidRPr="00E8262C">
        <w:rPr>
          <w:rFonts w:ascii="Palatino Linotype" w:eastAsia="Palatino Linotype" w:hAnsi="Palatino Linotype" w:cs="Palatino Linotype"/>
          <w:i/>
          <w:sz w:val="22"/>
          <w:szCs w:val="22"/>
        </w:rPr>
        <w:t xml:space="preserve"> requerida, todo lo contrario por lo que en aquellos casos en que </w:t>
      </w:r>
      <w:proofErr w:type="spellStart"/>
      <w:r w:rsidRPr="00E8262C">
        <w:rPr>
          <w:rFonts w:ascii="Palatino Linotype" w:eastAsia="Palatino Linotype" w:hAnsi="Palatino Linotype" w:cs="Palatino Linotype"/>
          <w:i/>
          <w:sz w:val="22"/>
          <w:szCs w:val="22"/>
        </w:rPr>
        <w:t>éste</w:t>
      </w:r>
      <w:proofErr w:type="spellEnd"/>
      <w:r w:rsidRPr="00E8262C">
        <w:rPr>
          <w:rFonts w:ascii="Palatino Linotype" w:eastAsia="Palatino Linotype" w:hAnsi="Palatino Linotype" w:cs="Palatino Linotype"/>
          <w:i/>
          <w:sz w:val="22"/>
          <w:szCs w:val="22"/>
        </w:rPr>
        <w:t xml:space="preserv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w:t>
      </w:r>
      <w:r w:rsidRPr="00E8262C">
        <w:rPr>
          <w:rFonts w:ascii="Palatino Linotype" w:eastAsia="Palatino Linotype" w:hAnsi="Palatino Linotype" w:cs="Palatino Linotype"/>
          <w:i/>
          <w:sz w:val="22"/>
          <w:szCs w:val="22"/>
        </w:rPr>
        <w:lastRenderedPageBreak/>
        <w:t>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 (Sic)</w:t>
      </w:r>
    </w:p>
    <w:p w:rsidR="003239FA" w:rsidRPr="00E8262C" w:rsidRDefault="003239FA">
      <w:pPr>
        <w:spacing w:line="360" w:lineRule="auto"/>
        <w:jc w:val="both"/>
        <w:rPr>
          <w:rFonts w:ascii="Palatino Linotype" w:eastAsia="Palatino Linotype" w:hAnsi="Palatino Linotype" w:cs="Palatino Linotype"/>
          <w:b/>
          <w:sz w:val="28"/>
          <w:szCs w:val="28"/>
        </w:rPr>
      </w:pPr>
    </w:p>
    <w:p w:rsidR="003239FA" w:rsidRPr="00E8262C" w:rsidRDefault="00D53368">
      <w:pPr>
        <w:spacing w:line="360" w:lineRule="auto"/>
        <w:jc w:val="both"/>
        <w:rPr>
          <w:rFonts w:ascii="Palatino Linotype" w:eastAsia="Palatino Linotype" w:hAnsi="Palatino Linotype" w:cs="Palatino Linotype"/>
          <w:b/>
          <w:sz w:val="28"/>
          <w:szCs w:val="28"/>
        </w:rPr>
      </w:pPr>
      <w:r w:rsidRPr="00E8262C">
        <w:rPr>
          <w:rFonts w:ascii="Palatino Linotype" w:eastAsia="Palatino Linotype" w:hAnsi="Palatino Linotype" w:cs="Palatino Linotype"/>
          <w:b/>
          <w:sz w:val="28"/>
          <w:szCs w:val="28"/>
        </w:rPr>
        <w:t xml:space="preserve">V. Del turno del Recurso de Revisión. </w:t>
      </w: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El </w:t>
      </w:r>
      <w:r w:rsidRPr="00E8262C">
        <w:rPr>
          <w:rFonts w:ascii="Palatino Linotype" w:eastAsia="Palatino Linotype" w:hAnsi="Palatino Linotype" w:cs="Palatino Linotype"/>
          <w:b/>
        </w:rPr>
        <w:t>seis de junio de dos mil veintidós</w:t>
      </w:r>
      <w:r w:rsidRPr="00E8262C">
        <w:rPr>
          <w:rFonts w:ascii="Palatino Linotype" w:eastAsia="Palatino Linotype" w:hAnsi="Palatino Linotype" w:cs="Palatino Linotype"/>
        </w:rPr>
        <w:t xml:space="preserve">, los Recursos de Revisión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turnaron a los Comisionados de este Instituto, a efecto de decretar su admisión o </w:t>
      </w:r>
      <w:proofErr w:type="spellStart"/>
      <w:r w:rsidRPr="00E8262C">
        <w:rPr>
          <w:rFonts w:ascii="Palatino Linotype" w:eastAsia="Palatino Linotype" w:hAnsi="Palatino Linotype" w:cs="Palatino Linotype"/>
        </w:rPr>
        <w:t>desechamiento</w:t>
      </w:r>
      <w:proofErr w:type="spellEnd"/>
      <w:r w:rsidRPr="00E8262C">
        <w:rPr>
          <w:rFonts w:ascii="Palatino Linotype" w:eastAsia="Palatino Linotype" w:hAnsi="Palatino Linotype" w:cs="Palatino Linotype"/>
        </w:rPr>
        <w:t>.</w:t>
      </w:r>
    </w:p>
    <w:p w:rsidR="003239FA" w:rsidRPr="00E8262C" w:rsidRDefault="003239FA">
      <w:pPr>
        <w:tabs>
          <w:tab w:val="center" w:pos="4252"/>
          <w:tab w:val="right" w:pos="8504"/>
        </w:tabs>
        <w:spacing w:line="360" w:lineRule="auto"/>
        <w:jc w:val="both"/>
        <w:rPr>
          <w:rFonts w:ascii="Palatino Linotype" w:eastAsia="Palatino Linotype" w:hAnsi="Palatino Linotype" w:cs="Palatino Linotype"/>
          <w:b/>
        </w:rPr>
      </w:pPr>
    </w:p>
    <w:p w:rsidR="003239FA" w:rsidRPr="00E8262C" w:rsidRDefault="00D53368">
      <w:pPr>
        <w:tabs>
          <w:tab w:val="center" w:pos="4252"/>
          <w:tab w:val="right" w:pos="8504"/>
        </w:tabs>
        <w:spacing w:line="360" w:lineRule="auto"/>
        <w:jc w:val="both"/>
        <w:rPr>
          <w:rFonts w:ascii="Palatino Linotype" w:eastAsia="Palatino Linotype" w:hAnsi="Palatino Linotype" w:cs="Palatino Linotype"/>
          <w:b/>
        </w:rPr>
      </w:pPr>
      <w:r w:rsidRPr="00E8262C">
        <w:rPr>
          <w:rFonts w:ascii="Palatino Linotype" w:eastAsia="Palatino Linotype" w:hAnsi="Palatino Linotype" w:cs="Palatino Linotype"/>
          <w:b/>
        </w:rPr>
        <w:t>a) Admisión del Recurso de Revisión</w:t>
      </w:r>
    </w:p>
    <w:p w:rsidR="003239FA" w:rsidRPr="00E8262C" w:rsidRDefault="00D53368">
      <w:pPr>
        <w:tabs>
          <w:tab w:val="center" w:pos="4252"/>
          <w:tab w:val="right" w:pos="8504"/>
        </w:tabs>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lastRenderedPageBreak/>
        <w:t>De las constancias que obran en el expediente electrónico del</w:t>
      </w:r>
      <w:r w:rsidRPr="00E8262C">
        <w:rPr>
          <w:rFonts w:ascii="Palatino Linotype" w:eastAsia="Palatino Linotype" w:hAnsi="Palatino Linotype" w:cs="Palatino Linotype"/>
          <w:b/>
        </w:rPr>
        <w:t xml:space="preserve"> SAIMEX</w:t>
      </w:r>
      <w:r w:rsidRPr="00E8262C">
        <w:rPr>
          <w:rFonts w:ascii="Palatino Linotype" w:eastAsia="Palatino Linotype" w:hAnsi="Palatino Linotype" w:cs="Palatino Linotype"/>
        </w:rPr>
        <w:t xml:space="preserve">, se advierte que en fechas </w:t>
      </w:r>
      <w:r w:rsidRPr="00E8262C">
        <w:rPr>
          <w:rFonts w:ascii="Palatino Linotype" w:eastAsia="Palatino Linotype" w:hAnsi="Palatino Linotype" w:cs="Palatino Linotype"/>
          <w:b/>
        </w:rPr>
        <w:t>siete, ocho, nueve, diez, trece y catorce de junio de dos mil veintidós</w:t>
      </w:r>
      <w:r w:rsidRPr="00E8262C">
        <w:rPr>
          <w:rFonts w:ascii="Palatino Linotype" w:eastAsia="Palatino Linotype" w:hAnsi="Palatino Linotype" w:cs="Palatino Linotype"/>
        </w:rPr>
        <w:t xml:space="preserve">, se acordó la admisión a trámite de los Recursos de Revisión que nos ocupan; así como la integración de los expedientes respectivos, mismos que se pusieron a disposición de las partes, para que en un plazo máximo de siete días hábiles </w:t>
      </w:r>
      <w:r w:rsidRPr="00E8262C">
        <w:rPr>
          <w:rFonts w:ascii="Palatino Linotype" w:eastAsia="Palatino Linotype" w:hAnsi="Palatino Linotype" w:cs="Palatino Linotype"/>
          <w:b/>
        </w:rPr>
        <w:t xml:space="preserve">EL RECURRENTE </w:t>
      </w:r>
      <w:r w:rsidRPr="00E8262C">
        <w:rPr>
          <w:rFonts w:ascii="Palatino Linotype" w:eastAsia="Palatino Linotype" w:hAnsi="Palatino Linotype" w:cs="Palatino Linotype"/>
        </w:rPr>
        <w:t xml:space="preserve">manifestara lo que a su derecho conviniera, a efecto de presentar pruebas y alegatos; así como, para que </w:t>
      </w:r>
      <w:r w:rsidRPr="00E8262C">
        <w:rPr>
          <w:rFonts w:ascii="Palatino Linotype" w:eastAsia="Palatino Linotype" w:hAnsi="Palatino Linotype" w:cs="Palatino Linotype"/>
          <w:b/>
        </w:rPr>
        <w:t xml:space="preserve">EL SUJETO OBLIGADO </w:t>
      </w:r>
      <w:r w:rsidRPr="00E8262C">
        <w:rPr>
          <w:rFonts w:ascii="Palatino Linotype" w:eastAsia="Palatino Linotype" w:hAnsi="Palatino Linotype" w:cs="Palatino Linotype"/>
        </w:rPr>
        <w:t>rindiera los Informes Justificados correspondientes; lo anterior, conforme a lo dispuesto por el artículo 185 de la Ley de Transparencia y Acceso a la Información Pública del Estado de México y Municipios.</w:t>
      </w:r>
    </w:p>
    <w:p w:rsidR="003239FA" w:rsidRPr="00E8262C" w:rsidRDefault="003239FA">
      <w:pPr>
        <w:tabs>
          <w:tab w:val="center" w:pos="4252"/>
          <w:tab w:val="right" w:pos="8504"/>
        </w:tabs>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b/>
        </w:rPr>
      </w:pPr>
      <w:r w:rsidRPr="00E8262C">
        <w:rPr>
          <w:rFonts w:ascii="Palatino Linotype" w:eastAsia="Palatino Linotype" w:hAnsi="Palatino Linotype" w:cs="Palatino Linotype"/>
          <w:b/>
        </w:rPr>
        <w:t>b) Informe Justificado</w:t>
      </w:r>
    </w:p>
    <w:p w:rsidR="003239FA" w:rsidRPr="00E8262C" w:rsidRDefault="00D53368">
      <w:pPr>
        <w:widowControl w:val="0"/>
        <w:tabs>
          <w:tab w:val="left" w:pos="0"/>
        </w:tabs>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Conforme a las constancias que obran en el expediente del </w:t>
      </w:r>
      <w:r w:rsidRPr="00E8262C">
        <w:rPr>
          <w:rFonts w:ascii="Palatino Linotype" w:eastAsia="Palatino Linotype" w:hAnsi="Palatino Linotype" w:cs="Palatino Linotype"/>
          <w:b/>
        </w:rPr>
        <w:t>SAIMEX,</w:t>
      </w:r>
      <w:r w:rsidRPr="00E8262C">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 </w:t>
      </w:r>
      <w:r w:rsidRPr="00E8262C">
        <w:rPr>
          <w:rFonts w:ascii="Palatino Linotype" w:eastAsia="Palatino Linotype" w:hAnsi="Palatino Linotype" w:cs="Palatino Linotype"/>
          <w:b/>
        </w:rPr>
        <w:t>RECURRENTE</w:t>
      </w:r>
      <w:r w:rsidRPr="00E8262C">
        <w:rPr>
          <w:rFonts w:ascii="Palatino Linotype" w:eastAsia="Palatino Linotype" w:hAnsi="Palatino Linotype" w:cs="Palatino Linotype"/>
        </w:rPr>
        <w:t xml:space="preserve">, no realizó las manifestaciones que conforme a derecho le corresponden. Por su parte </w:t>
      </w:r>
      <w:r w:rsidRPr="00E8262C">
        <w:rPr>
          <w:rFonts w:ascii="Palatino Linotype" w:eastAsia="Palatino Linotype" w:hAnsi="Palatino Linotype" w:cs="Palatino Linotype"/>
          <w:b/>
        </w:rPr>
        <w:t xml:space="preserve">EL SUJETO OBLIGADO </w:t>
      </w:r>
      <w:r w:rsidRPr="00E8262C">
        <w:rPr>
          <w:rFonts w:ascii="Palatino Linotype" w:eastAsia="Palatino Linotype" w:hAnsi="Palatino Linotype" w:cs="Palatino Linotype"/>
        </w:rPr>
        <w:t xml:space="preserve">fue omiso en rendir sus Informes Justificados. </w:t>
      </w:r>
    </w:p>
    <w:p w:rsidR="003239FA" w:rsidRPr="00E8262C" w:rsidRDefault="003239FA">
      <w:pPr>
        <w:spacing w:line="360" w:lineRule="auto"/>
        <w:jc w:val="both"/>
        <w:rPr>
          <w:rFonts w:ascii="Palatino Linotype" w:eastAsia="Palatino Linotype" w:hAnsi="Palatino Linotype" w:cs="Palatino Linotype"/>
          <w:b/>
          <w:sz w:val="28"/>
          <w:szCs w:val="28"/>
        </w:rPr>
      </w:pPr>
    </w:p>
    <w:p w:rsidR="003239FA" w:rsidRPr="00E8262C" w:rsidRDefault="00D53368">
      <w:pPr>
        <w:spacing w:line="360" w:lineRule="auto"/>
        <w:jc w:val="both"/>
        <w:rPr>
          <w:rFonts w:ascii="Palatino Linotype" w:eastAsia="Palatino Linotype" w:hAnsi="Palatino Linotype" w:cs="Palatino Linotype"/>
          <w:b/>
        </w:rPr>
      </w:pPr>
      <w:r w:rsidRPr="00E8262C">
        <w:rPr>
          <w:rFonts w:ascii="Palatino Linotype" w:eastAsia="Palatino Linotype" w:hAnsi="Palatino Linotype" w:cs="Palatino Linotype"/>
          <w:b/>
          <w:sz w:val="28"/>
          <w:szCs w:val="28"/>
        </w:rPr>
        <w:t xml:space="preserve">c) </w:t>
      </w:r>
      <w:r w:rsidRPr="00E8262C">
        <w:rPr>
          <w:rFonts w:ascii="Palatino Linotype" w:eastAsia="Palatino Linotype" w:hAnsi="Palatino Linotype" w:cs="Palatino Linotype"/>
          <w:b/>
        </w:rPr>
        <w:t xml:space="preserve">Acumulación </w:t>
      </w: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Por economía procesal y con la finalidad de evitar resoluciones contradictorias, en la </w:t>
      </w:r>
      <w:r w:rsidRPr="00E8262C">
        <w:rPr>
          <w:rFonts w:ascii="Palatino Linotype" w:eastAsia="Palatino Linotype" w:hAnsi="Palatino Linotype" w:cs="Palatino Linotype"/>
          <w:b/>
        </w:rPr>
        <w:t xml:space="preserve">Vigésima Tercera Sesión Ordinaria celebrada el veintiuno de junio de dos mil </w:t>
      </w:r>
      <w:r w:rsidRPr="00E8262C">
        <w:rPr>
          <w:rFonts w:ascii="Palatino Linotype" w:eastAsia="Palatino Linotype" w:hAnsi="Palatino Linotype" w:cs="Palatino Linotype"/>
          <w:b/>
        </w:rPr>
        <w:lastRenderedPageBreak/>
        <w:t>veintidós</w:t>
      </w:r>
      <w:r w:rsidRPr="00E8262C">
        <w:rPr>
          <w:rFonts w:ascii="Palatino Linotype" w:eastAsia="Palatino Linotype" w:hAnsi="Palatino Linotype" w:cs="Palatino Linotype"/>
        </w:rPr>
        <w:t>, el Pleno de este Instituto determinó acumular los Recursos de Revisión</w:t>
      </w:r>
      <w:r w:rsidRPr="00E8262C">
        <w:rPr>
          <w:rFonts w:ascii="Palatino Linotype" w:eastAsia="Palatino Linotype" w:hAnsi="Palatino Linotype" w:cs="Palatino Linotype"/>
          <w:b/>
          <w:sz w:val="22"/>
          <w:szCs w:val="22"/>
        </w:rPr>
        <w:t>, acordando</w:t>
      </w:r>
      <w:r w:rsidRPr="00E8262C">
        <w:rPr>
          <w:rFonts w:ascii="Palatino Linotype" w:eastAsia="Palatino Linotype" w:hAnsi="Palatino Linotype" w:cs="Palatino Linotype"/>
        </w:rPr>
        <w:t xml:space="preserve"> la elaboración del proyecto de resolución por parte de la Comisionada Sharon Cristina Morales Martínez </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b/>
        </w:rPr>
      </w:pPr>
      <w:r w:rsidRPr="00E8262C">
        <w:rPr>
          <w:rFonts w:ascii="Palatino Linotype" w:eastAsia="Palatino Linotype" w:hAnsi="Palatino Linotype" w:cs="Palatino Linotype"/>
          <w:b/>
        </w:rPr>
        <w:t xml:space="preserve">d) Ampliación del Recurso de Revisión </w:t>
      </w: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El </w:t>
      </w:r>
      <w:r w:rsidRPr="00E8262C">
        <w:rPr>
          <w:rFonts w:ascii="Palatino Linotype" w:eastAsia="Palatino Linotype" w:hAnsi="Palatino Linotype" w:cs="Palatino Linotype"/>
          <w:b/>
        </w:rPr>
        <w:t>veinticinco de agosto de dos mil veintidós</w:t>
      </w:r>
      <w:r w:rsidRPr="00E8262C">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rsidR="003239FA" w:rsidRPr="00E8262C" w:rsidRDefault="003239FA">
      <w:pPr>
        <w:spacing w:line="360" w:lineRule="auto"/>
        <w:jc w:val="both"/>
        <w:rPr>
          <w:rFonts w:ascii="Palatino Linotype" w:eastAsia="Palatino Linotype" w:hAnsi="Palatino Linotype" w:cs="Palatino Linotype"/>
          <w:b/>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w:t>
      </w:r>
      <w:r w:rsidRPr="00E8262C">
        <w:rPr>
          <w:rFonts w:ascii="Palatino Linotype" w:eastAsia="Palatino Linotype" w:hAnsi="Palatino Linotype" w:cs="Palatino Linotype"/>
        </w:rPr>
        <w:lastRenderedPageBreak/>
        <w:t>medir la razonabilidad del plazo de resolución de asuntos conforme a los parámetros establecidos por diversos órganos jurisdiccionales federales, aplicables también en procedimientos análogos, como el que nos ocupa.</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numPr>
          <w:ilvl w:val="0"/>
          <w:numId w:val="1"/>
        </w:num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3239FA" w:rsidRPr="00E8262C" w:rsidRDefault="003239FA">
      <w:pPr>
        <w:spacing w:line="360" w:lineRule="auto"/>
        <w:ind w:left="927"/>
        <w:jc w:val="both"/>
        <w:rPr>
          <w:rFonts w:ascii="Palatino Linotype" w:eastAsia="Palatino Linotype" w:hAnsi="Palatino Linotype" w:cs="Palatino Linotype"/>
        </w:rPr>
      </w:pPr>
    </w:p>
    <w:p w:rsidR="003239FA" w:rsidRPr="00E8262C" w:rsidRDefault="00D53368">
      <w:pPr>
        <w:numPr>
          <w:ilvl w:val="0"/>
          <w:numId w:val="1"/>
        </w:num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lastRenderedPageBreak/>
        <w:t>Actividad Procesal del interesado. Acciones u omisiones del interesado.</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numPr>
          <w:ilvl w:val="0"/>
          <w:numId w:val="1"/>
        </w:num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Conducta de la Autoridad: Las Acciones u omisiones realizadas en el procedimiento. Así como si la autoridad actuó con la debida diligencia.</w:t>
      </w:r>
    </w:p>
    <w:p w:rsidR="003239FA" w:rsidRPr="00E8262C" w:rsidRDefault="003239FA">
      <w:pPr>
        <w:spacing w:line="360" w:lineRule="auto"/>
        <w:ind w:left="708"/>
        <w:rPr>
          <w:rFonts w:ascii="Palatino Linotype" w:eastAsia="Palatino Linotype" w:hAnsi="Palatino Linotype" w:cs="Palatino Linotype"/>
        </w:rPr>
      </w:pPr>
    </w:p>
    <w:p w:rsidR="003239FA" w:rsidRPr="00E8262C" w:rsidRDefault="00D53368">
      <w:pPr>
        <w:spacing w:line="360" w:lineRule="auto"/>
        <w:ind w:left="567"/>
        <w:jc w:val="both"/>
        <w:rPr>
          <w:rFonts w:ascii="Palatino Linotype" w:eastAsia="Palatino Linotype" w:hAnsi="Palatino Linotype" w:cs="Palatino Linotype"/>
        </w:rPr>
      </w:pPr>
      <w:r w:rsidRPr="00E8262C">
        <w:rPr>
          <w:rFonts w:ascii="Palatino Linotype" w:eastAsia="Palatino Linotype" w:hAnsi="Palatino Linotype" w:cs="Palatino Linotype"/>
        </w:rPr>
        <w:t>d) La afectación generada en la situación jurídica de la persona involucrada en el proceso: Violación a sus derechos humanos.</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b/>
        </w:rPr>
      </w:pPr>
      <w:r w:rsidRPr="00E8262C">
        <w:rPr>
          <w:rFonts w:ascii="Palatino Linotype" w:eastAsia="Palatino Linotype" w:hAnsi="Palatino Linotype" w:cs="Palatino Linotype"/>
        </w:rPr>
        <w:t>Argumento que encuentra sustento en la jurisprudencia P</w:t>
      </w:r>
      <w:proofErr w:type="gramStart"/>
      <w:r w:rsidRPr="00E8262C">
        <w:rPr>
          <w:rFonts w:ascii="Palatino Linotype" w:eastAsia="Palatino Linotype" w:hAnsi="Palatino Linotype" w:cs="Palatino Linotype"/>
        </w:rPr>
        <w:t>./</w:t>
      </w:r>
      <w:proofErr w:type="gramEnd"/>
      <w:r w:rsidRPr="00E8262C">
        <w:rPr>
          <w:rFonts w:ascii="Palatino Linotype" w:eastAsia="Palatino Linotype" w:hAnsi="Palatino Linotype" w:cs="Palatino Linotype"/>
        </w:rPr>
        <w:t xml:space="preserve">J. 32/92 emitida por el Pleno de la Suprema Corte de Justicia de la Nación de rubro </w:t>
      </w:r>
      <w:r w:rsidRPr="00E8262C">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E8262C">
        <w:rPr>
          <w:rFonts w:ascii="Palatino Linotype" w:eastAsia="Palatino Linotype" w:hAnsi="Palatino Linotype" w:cs="Palatino Linotype"/>
        </w:rPr>
        <w:t>, visible en la Gaceta del Seminario Judicial de la Federación con el registro digital 205635.</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 </w:t>
      </w:r>
      <w:r w:rsidRPr="00E8262C">
        <w:rPr>
          <w:rFonts w:ascii="Palatino Linotype" w:eastAsia="Palatino Linotype" w:hAnsi="Palatino Linotype" w:cs="Palatino Linotype"/>
          <w:i/>
        </w:rPr>
        <w:t>“PLAZO RAZONABLE PARA RESOLVER. DIMENSIÓN Y EFECTOS DE ESTE CONCEPTO CUANDO SE ADUCE EXCESIVA CARGA DE TRABAJO.”</w:t>
      </w:r>
      <w:r w:rsidRPr="00E8262C">
        <w:rPr>
          <w:rFonts w:ascii="Palatino Linotype" w:eastAsia="Palatino Linotype" w:hAnsi="Palatino Linotype" w:cs="Palatino Linotype"/>
        </w:rPr>
        <w:t xml:space="preserve"> consultable en el Seminario Judicial de la Federación y su gaceta, con el registro digital 2002351.</w:t>
      </w:r>
    </w:p>
    <w:p w:rsidR="003239FA" w:rsidRPr="00E8262C" w:rsidRDefault="003239FA">
      <w:pPr>
        <w:spacing w:line="360" w:lineRule="auto"/>
        <w:jc w:val="both"/>
        <w:rPr>
          <w:rFonts w:ascii="Palatino Linotype" w:eastAsia="Palatino Linotype" w:hAnsi="Palatino Linotype" w:cs="Palatino Linotype"/>
          <w:b/>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i/>
        </w:rPr>
        <w:t>“PLAZO RAZONABLE PARA RESOLVER. CONCEPTO Y ELEMENTOS QUE LO INTEGRAN A LA LUZ DEL DERECHO INTERNACIONAL DE LOS DERECHOS HUMANOS.”</w:t>
      </w:r>
      <w:r w:rsidRPr="00E8262C">
        <w:rPr>
          <w:rFonts w:ascii="Palatino Linotype" w:eastAsia="Palatino Linotype" w:hAnsi="Palatino Linotype" w:cs="Palatino Linotype"/>
        </w:rPr>
        <w:t>, visible en el Seminario Judicial de la Federación y su gaceta, con el registro digital 2002350, y</w:t>
      </w: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b/>
        </w:rPr>
        <w:t xml:space="preserve">d) Requerimiento de información adicional </w:t>
      </w: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En fecha </w:t>
      </w:r>
      <w:r w:rsidRPr="00E8262C">
        <w:rPr>
          <w:rFonts w:ascii="Palatino Linotype" w:eastAsia="Palatino Linotype" w:hAnsi="Palatino Linotype" w:cs="Palatino Linotype"/>
          <w:b/>
        </w:rPr>
        <w:t>veintiséis de septiembre de dos mil veintidós,</w:t>
      </w:r>
      <w:r w:rsidRPr="00E8262C">
        <w:rPr>
          <w:rFonts w:ascii="Palatino Linotype" w:eastAsia="Palatino Linotype" w:hAnsi="Palatino Linotype" w:cs="Palatino Linotype"/>
        </w:rPr>
        <w:t xml:space="preserve"> se realizó un requerimiento de información adicional al </w:t>
      </w:r>
      <w:r w:rsidRPr="00E8262C">
        <w:rPr>
          <w:rFonts w:ascii="Palatino Linotype" w:eastAsia="Palatino Linotype" w:hAnsi="Palatino Linotype" w:cs="Palatino Linotype"/>
          <w:b/>
        </w:rPr>
        <w:t>SUJETO OBLIGADO</w:t>
      </w:r>
      <w:r w:rsidRPr="00E8262C">
        <w:rPr>
          <w:rFonts w:ascii="Palatino Linotype" w:eastAsia="Palatino Linotype" w:hAnsi="Palatino Linotype" w:cs="Palatino Linotype"/>
        </w:rPr>
        <w:t xml:space="preserve">, solicitando aportara mayores elementos para fundar y motivar de forma adecuada el cambio de modalidad referido en respuesta. </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b/>
        </w:rPr>
      </w:pPr>
      <w:r w:rsidRPr="00E8262C">
        <w:rPr>
          <w:rFonts w:ascii="Palatino Linotype" w:eastAsia="Palatino Linotype" w:hAnsi="Palatino Linotype" w:cs="Palatino Linotype"/>
          <w:b/>
        </w:rPr>
        <w:t>f) Cierre de Instrucción</w:t>
      </w: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Por lo que, una vez analizado el estado procesal que guardaba el expediente, el </w:t>
      </w:r>
      <w:r w:rsidRPr="00E8262C">
        <w:rPr>
          <w:rFonts w:ascii="Palatino Linotype" w:eastAsia="Palatino Linotype" w:hAnsi="Palatino Linotype" w:cs="Palatino Linotype"/>
          <w:b/>
        </w:rPr>
        <w:t>veinte de octubre de dos mil veintidós</w:t>
      </w:r>
      <w:r w:rsidRPr="00E8262C">
        <w:rPr>
          <w:rFonts w:ascii="Palatino Linotype" w:eastAsia="Palatino Linotype" w:hAnsi="Palatino Linotype" w:cs="Palatino Linotype"/>
        </w:rPr>
        <w:t xml:space="preserve">, la </w:t>
      </w:r>
      <w:r w:rsidRPr="00E8262C">
        <w:rPr>
          <w:rFonts w:ascii="Palatino Linotype" w:eastAsia="Palatino Linotype" w:hAnsi="Palatino Linotype" w:cs="Palatino Linotype"/>
          <w:b/>
        </w:rPr>
        <w:t xml:space="preserve">Comisionada Sharon Christina Morales Martínez </w:t>
      </w:r>
      <w:r w:rsidRPr="00E8262C">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y Acceso a la Información Pública del Estado de México y Municipios, a excepción de los recursos número </w:t>
      </w:r>
      <w:r w:rsidRPr="00E8262C">
        <w:rPr>
          <w:rFonts w:ascii="Palatino Linotype" w:eastAsia="Palatino Linotype" w:hAnsi="Palatino Linotype" w:cs="Palatino Linotype"/>
          <w:b/>
        </w:rPr>
        <w:t>10629/INFOEM/IP/RR/2022</w:t>
      </w:r>
      <w:r w:rsidRPr="00E8262C">
        <w:rPr>
          <w:rFonts w:ascii="Palatino Linotype" w:eastAsia="Palatino Linotype" w:hAnsi="Palatino Linotype" w:cs="Palatino Linotype"/>
        </w:rPr>
        <w:t xml:space="preserve"> y </w:t>
      </w:r>
      <w:r w:rsidRPr="00E8262C">
        <w:rPr>
          <w:rFonts w:ascii="Palatino Linotype" w:eastAsia="Palatino Linotype" w:hAnsi="Palatino Linotype" w:cs="Palatino Linotype"/>
          <w:b/>
        </w:rPr>
        <w:t>11135/INFOEM/IP/RR/2022,</w:t>
      </w:r>
      <w:r w:rsidRPr="00E8262C">
        <w:rPr>
          <w:rFonts w:ascii="Palatino Linotype" w:eastAsia="Palatino Linotype" w:hAnsi="Palatino Linotype" w:cs="Palatino Linotype"/>
        </w:rPr>
        <w:t xml:space="preserve"> en los cuales los Comisionados Ponentes de origen decretaron el Cierre de la Instrucción en fecha veintidós de junio de dos mil veintidós.</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jc w:val="center"/>
        <w:rPr>
          <w:rFonts w:ascii="Palatino Linotype" w:eastAsia="Palatino Linotype" w:hAnsi="Palatino Linotype" w:cs="Palatino Linotype"/>
          <w:b/>
          <w:sz w:val="28"/>
          <w:szCs w:val="28"/>
        </w:rPr>
      </w:pPr>
      <w:r w:rsidRPr="00E8262C">
        <w:rPr>
          <w:rFonts w:ascii="Palatino Linotype" w:eastAsia="Palatino Linotype" w:hAnsi="Palatino Linotype" w:cs="Palatino Linotype"/>
          <w:b/>
          <w:sz w:val="28"/>
          <w:szCs w:val="28"/>
        </w:rPr>
        <w:lastRenderedPageBreak/>
        <w:t>CONSIDERANDO</w:t>
      </w:r>
    </w:p>
    <w:p w:rsidR="003239FA" w:rsidRPr="00E8262C" w:rsidRDefault="003239FA">
      <w:pPr>
        <w:jc w:val="center"/>
        <w:rPr>
          <w:rFonts w:ascii="Palatino Linotype" w:eastAsia="Palatino Linotype" w:hAnsi="Palatino Linotype" w:cs="Palatino Linotype"/>
          <w:b/>
          <w:sz w:val="28"/>
          <w:szCs w:val="28"/>
        </w:rPr>
      </w:pPr>
    </w:p>
    <w:p w:rsidR="003239FA" w:rsidRPr="00E8262C" w:rsidRDefault="00D53368">
      <w:pPr>
        <w:widowControl w:val="0"/>
        <w:tabs>
          <w:tab w:val="left" w:pos="1701"/>
        </w:tabs>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b/>
          <w:sz w:val="28"/>
          <w:szCs w:val="28"/>
        </w:rPr>
        <w:t>PRIMERO.</w:t>
      </w:r>
      <w:r w:rsidRPr="00E8262C">
        <w:rPr>
          <w:rFonts w:ascii="Palatino Linotype" w:eastAsia="Palatino Linotype" w:hAnsi="Palatino Linotype" w:cs="Palatino Linotype"/>
          <w:b/>
        </w:rPr>
        <w:t xml:space="preserve"> Competencia</w:t>
      </w:r>
      <w:r w:rsidRPr="00E8262C">
        <w:rPr>
          <w:rFonts w:ascii="Palatino Linotype" w:eastAsia="Palatino Linotype" w:hAnsi="Palatino Linotype" w:cs="Palatino Linotype"/>
        </w:rPr>
        <w:t>.</w:t>
      </w:r>
      <w:r w:rsidRPr="00E8262C">
        <w:rPr>
          <w:rFonts w:ascii="Palatino Linotype" w:eastAsia="Palatino Linotype" w:hAnsi="Palatino Linotype" w:cs="Palatino Linotype"/>
          <w:b/>
        </w:rPr>
        <w:t xml:space="preserve"> </w:t>
      </w:r>
    </w:p>
    <w:p w:rsidR="003239FA" w:rsidRPr="00E8262C" w:rsidRDefault="00D53368">
      <w:pPr>
        <w:widowControl w:val="0"/>
        <w:tabs>
          <w:tab w:val="left" w:pos="1701"/>
        </w:tabs>
        <w:spacing w:line="360" w:lineRule="auto"/>
        <w:jc w:val="both"/>
        <w:rPr>
          <w:rFonts w:ascii="Palatino Linotype" w:eastAsia="Palatino Linotype" w:hAnsi="Palatino Linotype" w:cs="Palatino Linotype"/>
        </w:rPr>
      </w:pPr>
      <w:bookmarkStart w:id="2" w:name="_heading=h.3znysh7" w:colFirst="0" w:colLast="0"/>
      <w:bookmarkEnd w:id="2"/>
      <w:r w:rsidRPr="00E8262C">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3239FA" w:rsidRPr="00E8262C" w:rsidRDefault="003239FA">
      <w:pPr>
        <w:widowControl w:val="0"/>
        <w:tabs>
          <w:tab w:val="left" w:pos="1701"/>
          <w:tab w:val="left" w:pos="2977"/>
        </w:tabs>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b/>
        </w:rPr>
      </w:pPr>
      <w:r w:rsidRPr="00E8262C">
        <w:rPr>
          <w:rFonts w:ascii="Palatino Linotype" w:eastAsia="Palatino Linotype" w:hAnsi="Palatino Linotype" w:cs="Palatino Linotype"/>
          <w:b/>
          <w:sz w:val="28"/>
          <w:szCs w:val="28"/>
        </w:rPr>
        <w:t>SEGUNDO</w:t>
      </w:r>
      <w:r w:rsidRPr="00E8262C">
        <w:rPr>
          <w:rFonts w:ascii="Palatino Linotype" w:eastAsia="Palatino Linotype" w:hAnsi="Palatino Linotype" w:cs="Palatino Linotype"/>
          <w:b/>
        </w:rPr>
        <w:t xml:space="preserve">. Interés. </w:t>
      </w:r>
    </w:p>
    <w:p w:rsidR="003239FA" w:rsidRPr="00E8262C" w:rsidRDefault="00D53368">
      <w:pPr>
        <w:spacing w:line="360" w:lineRule="auto"/>
        <w:jc w:val="both"/>
        <w:rPr>
          <w:rFonts w:ascii="Palatino Linotype" w:eastAsia="Palatino Linotype" w:hAnsi="Palatino Linotype" w:cs="Palatino Linotype"/>
          <w:b/>
          <w:color w:val="000000"/>
        </w:rPr>
      </w:pPr>
      <w:r w:rsidRPr="00E8262C">
        <w:rPr>
          <w:rFonts w:ascii="Palatino Linotype" w:eastAsia="Palatino Linotype" w:hAnsi="Palatino Linotype" w:cs="Palatino Linotype"/>
          <w:color w:val="000000"/>
        </w:rPr>
        <w:t>Los Recursos de Revisión materia del presente estudio fueron interpuestos por parte legítima, en atención a que se present</w:t>
      </w:r>
      <w:r w:rsidRPr="00E8262C">
        <w:rPr>
          <w:rFonts w:ascii="Palatino Linotype" w:eastAsia="Palatino Linotype" w:hAnsi="Palatino Linotype" w:cs="Palatino Linotype"/>
        </w:rPr>
        <w:t>aron</w:t>
      </w:r>
      <w:r w:rsidRPr="00E8262C">
        <w:rPr>
          <w:rFonts w:ascii="Palatino Linotype" w:eastAsia="Palatino Linotype" w:hAnsi="Palatino Linotype" w:cs="Palatino Linotype"/>
          <w:color w:val="000000"/>
        </w:rPr>
        <w:t xml:space="preserve"> por </w:t>
      </w:r>
      <w:r w:rsidRPr="00E8262C">
        <w:rPr>
          <w:rFonts w:ascii="Palatino Linotype" w:eastAsia="Palatino Linotype" w:hAnsi="Palatino Linotype" w:cs="Palatino Linotype"/>
          <w:b/>
          <w:color w:val="000000"/>
        </w:rPr>
        <w:t>EL RECURRENTE,</w:t>
      </w:r>
      <w:r w:rsidRPr="00E8262C">
        <w:rPr>
          <w:rFonts w:ascii="Palatino Linotype" w:eastAsia="Palatino Linotype" w:hAnsi="Palatino Linotype" w:cs="Palatino Linotype"/>
          <w:color w:val="000000"/>
        </w:rPr>
        <w:t xml:space="preserve"> quien es la misma persona que formuló la solicitud de Acceso a la Información Pública al </w:t>
      </w:r>
      <w:r w:rsidRPr="00E8262C">
        <w:rPr>
          <w:rFonts w:ascii="Palatino Linotype" w:eastAsia="Palatino Linotype" w:hAnsi="Palatino Linotype" w:cs="Palatino Linotype"/>
          <w:b/>
          <w:color w:val="000000"/>
        </w:rPr>
        <w:t xml:space="preserve">SUJETO OBLIGADO, </w:t>
      </w:r>
      <w:r w:rsidRPr="00E8262C">
        <w:rPr>
          <w:rFonts w:ascii="Palatino Linotype" w:eastAsia="Palatino Linotype" w:hAnsi="Palatino Linotype" w:cs="Palatino Linotype"/>
          <w:color w:val="000000"/>
        </w:rPr>
        <w:t xml:space="preserve">pues para ello, es necesario que el particular ingrese al </w:t>
      </w:r>
      <w:r w:rsidRPr="00E8262C">
        <w:rPr>
          <w:rFonts w:ascii="Palatino Linotype" w:eastAsia="Palatino Linotype" w:hAnsi="Palatino Linotype" w:cs="Palatino Linotype"/>
          <w:b/>
          <w:color w:val="000000"/>
        </w:rPr>
        <w:t xml:space="preserve">SAIMEX </w:t>
      </w:r>
      <w:r w:rsidRPr="00E8262C">
        <w:rPr>
          <w:rFonts w:ascii="Palatino Linotype" w:eastAsia="Palatino Linotype" w:hAnsi="Palatino Linotype" w:cs="Palatino Linotype"/>
          <w:color w:val="000000"/>
        </w:rPr>
        <w:t>mediante la utilización de su clave de usuario y contraseña.</w:t>
      </w:r>
    </w:p>
    <w:p w:rsidR="003239FA" w:rsidRPr="00E8262C" w:rsidRDefault="003239FA">
      <w:pPr>
        <w:tabs>
          <w:tab w:val="center" w:pos="4252"/>
          <w:tab w:val="right" w:pos="8504"/>
        </w:tabs>
        <w:spacing w:line="360" w:lineRule="auto"/>
        <w:ind w:left="-57"/>
        <w:jc w:val="both"/>
        <w:rPr>
          <w:rFonts w:ascii="Palatino Linotype" w:eastAsia="Palatino Linotype" w:hAnsi="Palatino Linotype" w:cs="Palatino Linotype"/>
          <w:b/>
          <w:sz w:val="28"/>
          <w:szCs w:val="28"/>
        </w:rPr>
      </w:pPr>
    </w:p>
    <w:p w:rsidR="003239FA" w:rsidRPr="00E8262C" w:rsidRDefault="00D53368">
      <w:pPr>
        <w:tabs>
          <w:tab w:val="center" w:pos="4252"/>
          <w:tab w:val="right" w:pos="8504"/>
        </w:tabs>
        <w:spacing w:line="360" w:lineRule="auto"/>
        <w:ind w:left="-57"/>
        <w:jc w:val="both"/>
        <w:rPr>
          <w:rFonts w:ascii="Palatino Linotype" w:eastAsia="Palatino Linotype" w:hAnsi="Palatino Linotype" w:cs="Palatino Linotype"/>
        </w:rPr>
      </w:pPr>
      <w:r w:rsidRPr="00E8262C">
        <w:rPr>
          <w:rFonts w:ascii="Palatino Linotype" w:eastAsia="Palatino Linotype" w:hAnsi="Palatino Linotype" w:cs="Palatino Linotype"/>
          <w:b/>
          <w:sz w:val="28"/>
          <w:szCs w:val="28"/>
        </w:rPr>
        <w:lastRenderedPageBreak/>
        <w:t>TERCERO.</w:t>
      </w:r>
      <w:r w:rsidRPr="00E8262C">
        <w:rPr>
          <w:rFonts w:ascii="Palatino Linotype" w:eastAsia="Palatino Linotype" w:hAnsi="Palatino Linotype" w:cs="Palatino Linotype"/>
        </w:rPr>
        <w:t xml:space="preserve"> </w:t>
      </w:r>
      <w:r w:rsidRPr="00E8262C">
        <w:rPr>
          <w:rFonts w:ascii="Palatino Linotype" w:eastAsia="Palatino Linotype" w:hAnsi="Palatino Linotype" w:cs="Palatino Linotype"/>
          <w:b/>
        </w:rPr>
        <w:t>Justificación de la Acumulación de los Recursos.</w:t>
      </w:r>
      <w:r w:rsidRPr="00E8262C">
        <w:rPr>
          <w:rFonts w:ascii="Palatino Linotype" w:eastAsia="Palatino Linotype" w:hAnsi="Palatino Linotype" w:cs="Palatino Linotype"/>
        </w:rPr>
        <w:t xml:space="preserve"> </w:t>
      </w:r>
    </w:p>
    <w:p w:rsidR="003239FA" w:rsidRPr="00E8262C" w:rsidRDefault="00D53368">
      <w:pPr>
        <w:tabs>
          <w:tab w:val="center" w:pos="4252"/>
          <w:tab w:val="right" w:pos="8504"/>
        </w:tabs>
        <w:spacing w:line="360" w:lineRule="auto"/>
        <w:ind w:left="-57"/>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De las constancias que obran en los expedientes acumulados, se advierte que en los Recursos de Revisión número </w:t>
      </w:r>
      <w:r w:rsidRPr="00E8262C">
        <w:rPr>
          <w:rFonts w:ascii="Palatino Linotype" w:eastAsia="Palatino Linotype" w:hAnsi="Palatino Linotype" w:cs="Palatino Linotype"/>
          <w:b/>
          <w:sz w:val="22"/>
          <w:szCs w:val="22"/>
        </w:rPr>
        <w:t xml:space="preserve">10557/INFOEM/IP/RR/2022, 10558/INFOEM/IP/RR/2022, 10559/INFOEM/IP/RR/2022, 10584/INFOEM/IP/RR/2022, 10585/INFOEM/IP/RR/2022, 10586/INFOEM/IP/RR/2022, 10587/INFOEM/IP/RR/2022, 10588/INFOEM/IP/RR/2022, 10589/INFOEM/IP/RR/2022, 10590/INFOEM/IP/RR/2022, 10591/INFOEM/IP/RR/2022, 10592/INFOEM/IP/RR/2022, 10593/INFOEM/IP/RR/2022, 10594/INFOEM/IP/RR/2022, 10595/INFOEM/IP/RR/2022, 10619/INFOEM/IP/RR/2022, 10620/INFOEM/IP/RR/2022, 10621/INFOEM/IP/RR/2022, 10622/INFOEM/IP/RR/2022, 10623/INFOEM/IP/RR/2022, 10624/INFOEM/IP/RR/2022 10625/INFOEM/IP/RR/2022, 10626/INFOEM/IP/RR/2022, 10627/INFOEM/IP/RR/2022, 10628/INFOEM/IP/RR/2022, 10629/INFOEM/IP/RR/2022, 10630/INFOEM/IP/RR/2022, 10631/INFOEM/IP/RR/2022, 10632/INFOEM/IP/RR/2022, 10634/INFOEM/IP/RR/2022, 10635/INFOEM/IP/RR/2022, 10636/INFOEM/IP/RR/2022, 10637/INFOEM/IP/RR/2022, 10638/INFOEM/IP/RR/2022, 10639/INFOEM/IP/RR/2022, 10640/INFOEM/IP/RR/2022, 10641/INFOEM/IP/RR/2022, 10642/INFOEM/IP/RR/2022, 10643/INFOEM/IP/RR/2022, 10644/INFOEM/IP/RR/2022, 10645/INFOEM/IP/RR/2022, 10646/INFOEM/IP/RR/2022, 10647/INFOEM/IP/RR/2022, 10648/INFOEM/IP/RR/2022, 10649/INFOEM/IP/RR/2022, 10650/INFOEM/IP/RR/2022, 10651/INFOEM/IP/RR/2022, 10652/INFOEM/IP/RR/2022, 10653/INFOEM/IP/RR/2022, 10654/INFOEM/IP/RR/2022, 10655/INFOEM/IP/RR/2022, 10656/INFOEM/IP/RR/2022, 10657/INFOEM/IP/RR/2022, 10658/INFOEM/IP/RR/2022, 10659/INFOEM/IP/RR/2022, 10660/INFOEM/IP/RR/2022, 10661/INFOEM/IP/RR/2022, 10662/INFOEM/IP/RR/2022 10664/INFOEM/IP/RR/2022, 10665/INFOEM/IP/RR/2022, 10666/INFOEM/IP/RR/2022, 10667/INFOEM/IP/RR/2022, </w:t>
      </w:r>
      <w:r w:rsidRPr="00E8262C">
        <w:rPr>
          <w:rFonts w:ascii="Palatino Linotype" w:eastAsia="Palatino Linotype" w:hAnsi="Palatino Linotype" w:cs="Palatino Linotype"/>
          <w:b/>
          <w:sz w:val="22"/>
          <w:szCs w:val="22"/>
        </w:rPr>
        <w:lastRenderedPageBreak/>
        <w:t>10668/INFOEM/IP/RR/2022, 10669/INFOEM/IP/RR/2022, 10670/INFOEM/IP/RR/2022, 10672/INFOEM/IP/RR/2022, 10673/INFOEM/IP/RR/2022, 10674/INFOEM/IP/RR/2022, 10677/INFOEM/IP/RR/2022, 10678/INFOEM/IP/RR/2022, 10679/INFOEM/IP/RR/2022, 10680/INFOEM/IP/RR/2022, 10681/INFOEM/IP/RR/2022, 10682/INFOEM/IP/RR/2022, 10683/INFOEM/IP/RR/2022, 10684/INFOEM/IP/RR/2022, 10685/INFOEM/IP/RR/2022, 10686/INFOEM/IP/RR/2022, 10687/INFOEM/IP/RR/2022, 10688/INFOEM/IP/RR/2022, 10689/INFOEM/IP/RR/2022, 10690/INFOEM/IP/RR/2022, 10691/INFOEM/IP/RR/2022, 10692/INFOEM/IP/RR/2022, 10693/INFOEM/IP/RR/2022, 10694/INFOEM/IP/RR/2022, 10695/INFOEM/IP/RR/2022, 10696/INFOEM/IP/RR/2022, 10698/INFOEM/IP/RR/2022, 10699/INFOEM/IP/RR/2022, 10700/INFOEM/IP/RR/2022, 10701/INFOEM/IP/RR/2022, 10702/INFOEM/IP/RR/2022, 10703/INFOEM/IP/RR/2022, 10704/INFOEM/IP/RR/2022, 10705/INFOEM/IP/RR/2022, 11051/INFOEM/IP/RR/2022, 11052/INFOEM/IP/RR/2022, 11053/INFOEM/IP/RR/2022, 11054/INFOEM/IP/RR/2022, 11055/INFOEM/IP/RR/2022, 11058/INFOEM/IP/RR/2022, 11059/INFOEM/IP/RR/2022, 11077/INFOEM/IP/RR/2022, 11078/INFOEM/IP/RR/2022, 11079/INFOEM/IP/RR/2022, 11080/INFOEM/IP/RR/2022, 11081/INFOEM/IP/RR/2022, 11082/INFOEM/IP/RR/2022, 11083/INFOEM/IP/RR/2022, 11084/INFOEM/IP/RR/2022, 11085/INFOEM/IP/RR/2022, 11086/INFOEM/IP/RR/2022, 11096/INFOEM/IP/RR/2022, 11097/INFOEM/IP/RR/2022, 11098/INFOEM/IP/RR/2022, 11099/INFOEM/IP/RR/2022, 11133/INFOEM/IP/RR/2022, 11134/INFOEM/IP/RR/2022 y 11135/INFOEM/IP/RR/2022,</w:t>
      </w:r>
      <w:r w:rsidRPr="00E8262C">
        <w:rPr>
          <w:rFonts w:ascii="Palatino Linotype" w:eastAsia="Palatino Linotype" w:hAnsi="Palatino Linotype" w:cs="Palatino Linotype"/>
          <w:b/>
        </w:rPr>
        <w:t xml:space="preserve">  </w:t>
      </w:r>
      <w:r w:rsidRPr="00E8262C">
        <w:rPr>
          <w:rFonts w:ascii="Palatino Linotype" w:eastAsia="Palatino Linotype" w:hAnsi="Palatino Linotype" w:cs="Palatino Linotype"/>
        </w:rPr>
        <w:t xml:space="preserve">fueron presentados por el mismo </w:t>
      </w:r>
      <w:r w:rsidRPr="00E8262C">
        <w:rPr>
          <w:rFonts w:ascii="Palatino Linotype" w:eastAsia="Palatino Linotype" w:hAnsi="Palatino Linotype" w:cs="Palatino Linotype"/>
          <w:b/>
        </w:rPr>
        <w:t>RECURRENTE</w:t>
      </w:r>
      <w:r w:rsidRPr="00E8262C">
        <w:rPr>
          <w:rFonts w:ascii="Palatino Linotype" w:eastAsia="Palatino Linotype" w:hAnsi="Palatino Linotype" w:cs="Palatino Linotype"/>
        </w:rPr>
        <w:t xml:space="preserve"> respecto de los actos u omisiones del mismo </w:t>
      </w:r>
      <w:r w:rsidRPr="00E8262C">
        <w:rPr>
          <w:rFonts w:ascii="Palatino Linotype" w:eastAsia="Palatino Linotype" w:hAnsi="Palatino Linotype" w:cs="Palatino Linotype"/>
          <w:b/>
        </w:rPr>
        <w:t>SUJETO OBLIGADO</w:t>
      </w:r>
      <w:r w:rsidRPr="00E8262C">
        <w:rPr>
          <w:rFonts w:ascii="Palatino Linotype" w:eastAsia="Palatino Linotype" w:hAnsi="Palatino Linotype" w:cs="Palatino Linotype"/>
        </w:rPr>
        <w:t xml:space="preserve">, razón por la cual, resulta conveniente su trámite de forma unificada para homogéneamente resolver y evitar la emisión de resoluciones contradictorias, derivado de ello este Órgano Garante realizó </w:t>
      </w:r>
      <w:r w:rsidRPr="00E8262C">
        <w:rPr>
          <w:rFonts w:ascii="Palatino Linotype" w:eastAsia="Palatino Linotype" w:hAnsi="Palatino Linotype" w:cs="Palatino Linotype"/>
        </w:rPr>
        <w:lastRenderedPageBreak/>
        <w:t>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3239FA" w:rsidRPr="00E8262C" w:rsidRDefault="003239FA">
      <w:pPr>
        <w:tabs>
          <w:tab w:val="center" w:pos="4252"/>
          <w:tab w:val="right" w:pos="8504"/>
        </w:tabs>
        <w:spacing w:line="360" w:lineRule="auto"/>
        <w:ind w:left="-57"/>
        <w:jc w:val="both"/>
        <w:rPr>
          <w:rFonts w:ascii="Palatino Linotype" w:eastAsia="Palatino Linotype" w:hAnsi="Palatino Linotype" w:cs="Palatino Linotype"/>
        </w:rPr>
      </w:pPr>
    </w:p>
    <w:p w:rsidR="003239FA" w:rsidRPr="00E8262C" w:rsidRDefault="003239FA">
      <w:pPr>
        <w:tabs>
          <w:tab w:val="left" w:pos="8222"/>
        </w:tabs>
        <w:ind w:left="851" w:right="1134"/>
        <w:jc w:val="center"/>
        <w:rPr>
          <w:rFonts w:ascii="Palatino Linotype" w:eastAsia="Palatino Linotype" w:hAnsi="Palatino Linotype" w:cs="Palatino Linotype"/>
          <w:b/>
          <w:i/>
          <w:sz w:val="22"/>
          <w:szCs w:val="22"/>
        </w:rPr>
      </w:pPr>
    </w:p>
    <w:p w:rsidR="003239FA" w:rsidRPr="00E8262C" w:rsidRDefault="00D53368">
      <w:pPr>
        <w:tabs>
          <w:tab w:val="left" w:pos="8222"/>
        </w:tabs>
        <w:ind w:left="851" w:right="1134"/>
        <w:jc w:val="center"/>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b/>
          <w:i/>
          <w:sz w:val="22"/>
          <w:szCs w:val="22"/>
        </w:rPr>
        <w:t>“Código de Procedimientos Administrativos del Estado de México</w:t>
      </w:r>
    </w:p>
    <w:p w:rsidR="003239FA" w:rsidRPr="00E8262C" w:rsidRDefault="00D53368">
      <w:pPr>
        <w:tabs>
          <w:tab w:val="left" w:pos="8222"/>
        </w:tabs>
        <w:ind w:left="851" w:right="1134"/>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w:t>
      </w:r>
      <w:r w:rsidRPr="00E8262C">
        <w:rPr>
          <w:rFonts w:ascii="Palatino Linotype" w:eastAsia="Palatino Linotype" w:hAnsi="Palatino Linotype" w:cs="Palatino Linotype"/>
          <w:b/>
          <w:i/>
          <w:sz w:val="22"/>
          <w:szCs w:val="22"/>
        </w:rPr>
        <w:t>Artículo 18</w:t>
      </w:r>
      <w:r w:rsidRPr="00E8262C">
        <w:rPr>
          <w:rFonts w:ascii="Palatino Linotype" w:eastAsia="Palatino Linotype" w:hAnsi="Palatino Linotype" w:cs="Palatino Linotype"/>
          <w:i/>
          <w:sz w:val="22"/>
          <w:szCs w:val="22"/>
        </w:rPr>
        <w:t xml:space="preserve">.- </w:t>
      </w:r>
      <w:r w:rsidRPr="00E8262C">
        <w:rPr>
          <w:rFonts w:ascii="Palatino Linotype" w:eastAsia="Palatino Linotype" w:hAnsi="Palatino Linotype" w:cs="Palatino Linotype"/>
          <w:b/>
          <w:i/>
          <w:sz w:val="22"/>
          <w:szCs w:val="22"/>
        </w:rPr>
        <w:t xml:space="preserve">La autoridad administrativa o el Tribunal </w:t>
      </w:r>
      <w:r w:rsidRPr="00E8262C">
        <w:rPr>
          <w:rFonts w:ascii="Palatino Linotype" w:eastAsia="Palatino Linotype" w:hAnsi="Palatino Linotype" w:cs="Palatino Linotype"/>
          <w:b/>
          <w:i/>
          <w:sz w:val="22"/>
          <w:szCs w:val="22"/>
          <w:u w:val="single"/>
        </w:rPr>
        <w:t>acordarán la acumulación de los expedientes</w:t>
      </w:r>
      <w:r w:rsidRPr="00E8262C">
        <w:rPr>
          <w:rFonts w:ascii="Palatino Linotype" w:eastAsia="Palatino Linotype" w:hAnsi="Palatino Linotype" w:cs="Palatino Linotype"/>
          <w:b/>
          <w:i/>
          <w:sz w:val="22"/>
          <w:szCs w:val="22"/>
        </w:rPr>
        <w:t xml:space="preserve"> del procedimiento y proceso administrativo que ante ellos se sigan, de oficio</w:t>
      </w:r>
      <w:r w:rsidRPr="00E8262C">
        <w:rPr>
          <w:rFonts w:ascii="Palatino Linotype" w:eastAsia="Palatino Linotype" w:hAnsi="Palatino Linotype" w:cs="Palatino Linotype"/>
          <w:i/>
          <w:sz w:val="22"/>
          <w:szCs w:val="22"/>
        </w:rPr>
        <w:t xml:space="preserve"> o a petición de parte, </w:t>
      </w:r>
      <w:r w:rsidRPr="00E8262C">
        <w:rPr>
          <w:rFonts w:ascii="Palatino Linotype" w:eastAsia="Palatino Linotype" w:hAnsi="Palatino Linotype" w:cs="Palatino Linotype"/>
          <w:b/>
          <w:i/>
          <w:sz w:val="22"/>
          <w:szCs w:val="22"/>
          <w:u w:val="single"/>
        </w:rPr>
        <w:t>cuando las partes</w:t>
      </w:r>
      <w:r w:rsidRPr="00E8262C">
        <w:rPr>
          <w:rFonts w:ascii="Palatino Linotype" w:eastAsia="Palatino Linotype" w:hAnsi="Palatino Linotype" w:cs="Palatino Linotype"/>
          <w:i/>
          <w:sz w:val="22"/>
          <w:szCs w:val="22"/>
        </w:rPr>
        <w:t xml:space="preserve"> o los actos administrativos </w:t>
      </w:r>
      <w:r w:rsidRPr="00E8262C">
        <w:rPr>
          <w:rFonts w:ascii="Palatino Linotype" w:eastAsia="Palatino Linotype" w:hAnsi="Palatino Linotype" w:cs="Palatino Linotype"/>
          <w:b/>
          <w:i/>
          <w:sz w:val="22"/>
          <w:szCs w:val="22"/>
          <w:u w:val="single"/>
        </w:rPr>
        <w:t>sean iguales</w:t>
      </w:r>
      <w:r w:rsidRPr="00E8262C">
        <w:rPr>
          <w:rFonts w:ascii="Palatino Linotype" w:eastAsia="Palatino Linotype" w:hAnsi="Palatino Linotype" w:cs="Palatino Linotype"/>
          <w:i/>
          <w:sz w:val="22"/>
          <w:szCs w:val="22"/>
        </w:rPr>
        <w:t xml:space="preserve">, se trate de actos conexos o </w:t>
      </w:r>
      <w:r w:rsidRPr="00E8262C">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E8262C">
        <w:rPr>
          <w:rFonts w:ascii="Palatino Linotype" w:eastAsia="Palatino Linotype" w:hAnsi="Palatino Linotype" w:cs="Palatino Linotype"/>
          <w:i/>
          <w:sz w:val="22"/>
          <w:szCs w:val="22"/>
        </w:rPr>
        <w:t>. La misma regla se aplicará, en lo conducente, para la separación de los expedientes.”</w:t>
      </w:r>
    </w:p>
    <w:p w:rsidR="003239FA" w:rsidRPr="00E8262C" w:rsidRDefault="00D53368">
      <w:pPr>
        <w:tabs>
          <w:tab w:val="left" w:pos="8222"/>
        </w:tabs>
        <w:ind w:left="851" w:right="1134"/>
        <w:jc w:val="center"/>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b/>
          <w:i/>
          <w:sz w:val="22"/>
          <w:szCs w:val="22"/>
        </w:rPr>
        <w:t xml:space="preserve">Ley de Transparencia y Acceso a la Información Pública del Estado de México y Municipios </w:t>
      </w:r>
    </w:p>
    <w:p w:rsidR="003239FA" w:rsidRPr="00E8262C" w:rsidRDefault="00D53368">
      <w:pPr>
        <w:tabs>
          <w:tab w:val="left" w:pos="8222"/>
        </w:tabs>
        <w:ind w:left="851" w:right="1134"/>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w:t>
      </w:r>
      <w:r w:rsidRPr="00E8262C">
        <w:rPr>
          <w:rFonts w:ascii="Palatino Linotype" w:eastAsia="Palatino Linotype" w:hAnsi="Palatino Linotype" w:cs="Palatino Linotype"/>
          <w:b/>
          <w:i/>
          <w:sz w:val="22"/>
          <w:szCs w:val="22"/>
        </w:rPr>
        <w:t xml:space="preserve">Artículo 195. </w:t>
      </w:r>
      <w:r w:rsidRPr="00E8262C">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rsidR="003239FA" w:rsidRPr="00E8262C" w:rsidRDefault="00D53368">
      <w:pPr>
        <w:tabs>
          <w:tab w:val="left" w:pos="8222"/>
        </w:tabs>
        <w:ind w:left="851" w:right="1134"/>
        <w:jc w:val="both"/>
        <w:rPr>
          <w:rFonts w:ascii="Palatino Linotype" w:eastAsia="Palatino Linotype" w:hAnsi="Palatino Linotype" w:cs="Palatino Linotype"/>
          <w:sz w:val="22"/>
          <w:szCs w:val="22"/>
        </w:rPr>
      </w:pPr>
      <w:r w:rsidRPr="00E8262C">
        <w:rPr>
          <w:rFonts w:ascii="Palatino Linotype" w:eastAsia="Palatino Linotype" w:hAnsi="Palatino Linotype" w:cs="Palatino Linotype"/>
          <w:sz w:val="22"/>
          <w:szCs w:val="22"/>
        </w:rPr>
        <w:t>(Énfasis añadido)</w:t>
      </w:r>
    </w:p>
    <w:p w:rsidR="003239FA" w:rsidRPr="00E8262C" w:rsidRDefault="003239FA">
      <w:pPr>
        <w:jc w:val="both"/>
        <w:rPr>
          <w:rFonts w:ascii="Palatino Linotype" w:eastAsia="Palatino Linotype" w:hAnsi="Palatino Linotype" w:cs="Palatino Linotype"/>
          <w:b/>
        </w:rPr>
      </w:pPr>
    </w:p>
    <w:p w:rsidR="003239FA" w:rsidRPr="00E8262C" w:rsidRDefault="00D53368">
      <w:pPr>
        <w:tabs>
          <w:tab w:val="center" w:pos="4252"/>
          <w:tab w:val="right" w:pos="8504"/>
        </w:tabs>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De lo dispuesto en los numerales citados en el párrafo que antecede, dicha acumulación procede cuando:</w:t>
      </w:r>
    </w:p>
    <w:p w:rsidR="003239FA" w:rsidRPr="00E8262C" w:rsidRDefault="00D53368">
      <w:pPr>
        <w:numPr>
          <w:ilvl w:val="0"/>
          <w:numId w:val="2"/>
        </w:numPr>
        <w:tabs>
          <w:tab w:val="center" w:pos="4252"/>
          <w:tab w:val="right" w:pos="8504"/>
        </w:tabs>
        <w:spacing w:line="360" w:lineRule="auto"/>
        <w:jc w:val="both"/>
      </w:pPr>
      <w:r w:rsidRPr="00E8262C">
        <w:rPr>
          <w:rFonts w:ascii="Palatino Linotype" w:eastAsia="Palatino Linotype" w:hAnsi="Palatino Linotype" w:cs="Palatino Linotype"/>
        </w:rPr>
        <w:t>El solicitante y la información referida sean las mismas;</w:t>
      </w:r>
    </w:p>
    <w:p w:rsidR="003239FA" w:rsidRPr="00E8262C" w:rsidRDefault="00D53368">
      <w:pPr>
        <w:numPr>
          <w:ilvl w:val="0"/>
          <w:numId w:val="2"/>
        </w:numPr>
        <w:tabs>
          <w:tab w:val="center" w:pos="4252"/>
          <w:tab w:val="right" w:pos="8504"/>
        </w:tabs>
        <w:spacing w:line="360" w:lineRule="auto"/>
        <w:jc w:val="both"/>
      </w:pPr>
      <w:r w:rsidRPr="00E8262C">
        <w:rPr>
          <w:rFonts w:ascii="Palatino Linotype" w:eastAsia="Palatino Linotype" w:hAnsi="Palatino Linotype" w:cs="Palatino Linotype"/>
        </w:rPr>
        <w:t>Las partes o los actos impugnados sean iguales;</w:t>
      </w:r>
    </w:p>
    <w:p w:rsidR="003239FA" w:rsidRPr="00E8262C" w:rsidRDefault="00D53368">
      <w:pPr>
        <w:numPr>
          <w:ilvl w:val="0"/>
          <w:numId w:val="2"/>
        </w:numPr>
        <w:tabs>
          <w:tab w:val="center" w:pos="4252"/>
          <w:tab w:val="right" w:pos="8504"/>
        </w:tabs>
        <w:spacing w:line="360" w:lineRule="auto"/>
        <w:jc w:val="both"/>
      </w:pPr>
      <w:r w:rsidRPr="00E8262C">
        <w:rPr>
          <w:rFonts w:ascii="Palatino Linotype" w:eastAsia="Palatino Linotype" w:hAnsi="Palatino Linotype" w:cs="Palatino Linotype"/>
        </w:rPr>
        <w:t>Cuando se trate del mismo solicitante, el mismo Sujeto Obligado, y</w:t>
      </w:r>
    </w:p>
    <w:p w:rsidR="003239FA" w:rsidRPr="00E8262C" w:rsidRDefault="00D53368">
      <w:pPr>
        <w:numPr>
          <w:ilvl w:val="0"/>
          <w:numId w:val="2"/>
        </w:numPr>
        <w:tabs>
          <w:tab w:val="center" w:pos="4252"/>
          <w:tab w:val="right" w:pos="8504"/>
        </w:tabs>
        <w:spacing w:line="360" w:lineRule="auto"/>
        <w:ind w:left="357"/>
        <w:jc w:val="both"/>
      </w:pPr>
      <w:r w:rsidRPr="00E8262C">
        <w:rPr>
          <w:rFonts w:ascii="Palatino Linotype" w:eastAsia="Palatino Linotype" w:hAnsi="Palatino Linotype" w:cs="Palatino Linotype"/>
        </w:rPr>
        <w:t>Aun tratándose de solicitudes diversas, resulte conveniente la resolución unificada de los asuntos</w:t>
      </w:r>
      <w:r w:rsidRPr="00E8262C">
        <w:rPr>
          <w:rFonts w:ascii="Palatino Linotype" w:eastAsia="Palatino Linotype" w:hAnsi="Palatino Linotype" w:cs="Palatino Linotype"/>
          <w:i/>
        </w:rPr>
        <w:t>.</w:t>
      </w:r>
    </w:p>
    <w:p w:rsidR="003239FA" w:rsidRPr="00E8262C" w:rsidRDefault="003239FA">
      <w:pPr>
        <w:widowControl w:val="0"/>
        <w:spacing w:line="360" w:lineRule="auto"/>
        <w:jc w:val="both"/>
        <w:rPr>
          <w:rFonts w:ascii="Palatino Linotype" w:eastAsia="Palatino Linotype" w:hAnsi="Palatino Linotype" w:cs="Palatino Linotype"/>
        </w:rPr>
      </w:pPr>
    </w:p>
    <w:p w:rsidR="003239FA" w:rsidRPr="00E8262C" w:rsidRDefault="00D53368">
      <w:pPr>
        <w:widowControl w:val="0"/>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De tal suerte que, como se mencionó anteriormente, los Recursos de Revisión que nos ocupan fueron interpuestos por el mismo </w:t>
      </w:r>
      <w:r w:rsidRPr="00E8262C">
        <w:rPr>
          <w:rFonts w:ascii="Palatino Linotype" w:eastAsia="Palatino Linotype" w:hAnsi="Palatino Linotype" w:cs="Palatino Linotype"/>
          <w:b/>
        </w:rPr>
        <w:t>RECURRENTE</w:t>
      </w:r>
      <w:r w:rsidRPr="00E8262C">
        <w:rPr>
          <w:rFonts w:ascii="Palatino Linotype" w:eastAsia="Palatino Linotype" w:hAnsi="Palatino Linotype" w:cs="Palatino Linotype"/>
        </w:rPr>
        <w:t xml:space="preserve"> ante el mismo </w:t>
      </w:r>
      <w:r w:rsidRPr="00E8262C">
        <w:rPr>
          <w:rFonts w:ascii="Palatino Linotype" w:eastAsia="Palatino Linotype" w:hAnsi="Palatino Linotype" w:cs="Palatino Linotype"/>
          <w:b/>
        </w:rPr>
        <w:t>SUJETO OBLIGADO</w:t>
      </w:r>
      <w:r w:rsidRPr="00E8262C">
        <w:rPr>
          <w:rFonts w:ascii="Palatino Linotype" w:eastAsia="Palatino Linotype" w:hAnsi="Palatino Linotype" w:cs="Palatino Linotype"/>
        </w:rPr>
        <w:t>, por lo que, resulta conveniente la resolución conjunta por economía procesal y con el fin de no emitir resoluciones contradictorias entre sí, en caso de resolverlos en forma separada por Ponentes diferentes.</w:t>
      </w:r>
    </w:p>
    <w:p w:rsidR="003239FA" w:rsidRPr="00E8262C" w:rsidRDefault="003239FA">
      <w:pPr>
        <w:tabs>
          <w:tab w:val="center" w:pos="4252"/>
          <w:tab w:val="right" w:pos="8504"/>
        </w:tabs>
        <w:spacing w:line="360" w:lineRule="auto"/>
        <w:ind w:left="-57"/>
        <w:jc w:val="both"/>
        <w:rPr>
          <w:rFonts w:ascii="Palatino Linotype" w:eastAsia="Palatino Linotype" w:hAnsi="Palatino Linotype" w:cs="Palatino Linotype"/>
          <w:b/>
        </w:rPr>
      </w:pPr>
    </w:p>
    <w:p w:rsidR="003239FA" w:rsidRPr="00E8262C" w:rsidRDefault="00D53368">
      <w:pPr>
        <w:tabs>
          <w:tab w:val="center" w:pos="4252"/>
          <w:tab w:val="right" w:pos="8504"/>
        </w:tabs>
        <w:spacing w:line="360" w:lineRule="auto"/>
        <w:ind w:left="-57"/>
        <w:jc w:val="both"/>
        <w:rPr>
          <w:rFonts w:ascii="Palatino Linotype" w:eastAsia="Palatino Linotype" w:hAnsi="Palatino Linotype" w:cs="Palatino Linotype"/>
          <w:color w:val="000000"/>
        </w:rPr>
      </w:pPr>
      <w:r w:rsidRPr="00E8262C">
        <w:rPr>
          <w:rFonts w:ascii="Palatino Linotype" w:eastAsia="Palatino Linotype" w:hAnsi="Palatino Linotype" w:cs="Palatino Linotype"/>
          <w:b/>
          <w:sz w:val="26"/>
          <w:szCs w:val="26"/>
        </w:rPr>
        <w:t>CUARTO.</w:t>
      </w:r>
      <w:r w:rsidRPr="00E8262C">
        <w:rPr>
          <w:rFonts w:ascii="Palatino Linotype" w:eastAsia="Palatino Linotype" w:hAnsi="Palatino Linotype" w:cs="Palatino Linotype"/>
          <w:b/>
        </w:rPr>
        <w:t xml:space="preserve"> </w:t>
      </w:r>
      <w:r w:rsidRPr="00E8262C">
        <w:rPr>
          <w:rFonts w:ascii="Palatino Linotype" w:eastAsia="Palatino Linotype" w:hAnsi="Palatino Linotype" w:cs="Palatino Linotype"/>
          <w:b/>
          <w:color w:val="000000"/>
        </w:rPr>
        <w:t>Oportunidad</w:t>
      </w:r>
      <w:r w:rsidRPr="00E8262C">
        <w:rPr>
          <w:rFonts w:ascii="Palatino Linotype" w:eastAsia="Palatino Linotype" w:hAnsi="Palatino Linotype" w:cs="Palatino Linotype"/>
          <w:color w:val="000000"/>
        </w:rPr>
        <w:t xml:space="preserve">. </w:t>
      </w:r>
    </w:p>
    <w:p w:rsidR="003239FA" w:rsidRPr="00E8262C" w:rsidRDefault="00D53368">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E8262C">
        <w:rPr>
          <w:rFonts w:ascii="Palatino Linotype" w:eastAsia="Palatino Linotype" w:hAnsi="Palatino Linotype" w:cs="Palatino Linotype"/>
        </w:rPr>
        <w:t>Los</w:t>
      </w:r>
      <w:r w:rsidRPr="00E8262C">
        <w:rPr>
          <w:rFonts w:ascii="Palatino Linotype" w:eastAsia="Palatino Linotype" w:hAnsi="Palatino Linotype" w:cs="Palatino Linotype"/>
          <w:color w:val="000000"/>
        </w:rPr>
        <w:t xml:space="preserve"> Recursos de Revisión fueron interpuestos dentro del plazo de quince días hábiles, contados a partir del día siguiente al que </w:t>
      </w:r>
      <w:r w:rsidRPr="00E8262C">
        <w:rPr>
          <w:rFonts w:ascii="Palatino Linotype" w:eastAsia="Palatino Linotype" w:hAnsi="Palatino Linotype" w:cs="Palatino Linotype"/>
          <w:b/>
        </w:rPr>
        <w:t xml:space="preserve">EL RECURRENTE </w:t>
      </w:r>
      <w:r w:rsidRPr="00E8262C">
        <w:rPr>
          <w:rFonts w:ascii="Palatino Linotype" w:eastAsia="Palatino Linotype" w:hAnsi="Palatino Linotype" w:cs="Palatino Linotype"/>
          <w:color w:val="000000"/>
        </w:rPr>
        <w:t>tuvo conocimiento de las respuestas impugnadas; tal y como, lo prevé el artículo 178 de la Ley de Transparencia y Acceso a la Información Pública del Estado de México y Municipios, que establece:</w:t>
      </w:r>
    </w:p>
    <w:p w:rsidR="003239FA" w:rsidRPr="00E8262C" w:rsidRDefault="003239FA">
      <w:pPr>
        <w:ind w:left="720" w:right="709"/>
        <w:jc w:val="both"/>
        <w:rPr>
          <w:rFonts w:ascii="Palatino Linotype" w:eastAsia="Palatino Linotype" w:hAnsi="Palatino Linotype" w:cs="Palatino Linotype"/>
          <w:i/>
          <w:sz w:val="22"/>
          <w:szCs w:val="22"/>
        </w:rPr>
      </w:pPr>
    </w:p>
    <w:p w:rsidR="003239FA" w:rsidRPr="00E8262C" w:rsidRDefault="00D53368">
      <w:pPr>
        <w:ind w:left="851" w:right="899"/>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w:t>
      </w:r>
      <w:r w:rsidRPr="00E8262C">
        <w:rPr>
          <w:rFonts w:ascii="Palatino Linotype" w:eastAsia="Palatino Linotype" w:hAnsi="Palatino Linotype" w:cs="Palatino Linotype"/>
          <w:b/>
          <w:i/>
          <w:sz w:val="22"/>
          <w:szCs w:val="22"/>
        </w:rPr>
        <w:t>Artículo 178.</w:t>
      </w:r>
      <w:r w:rsidRPr="00E8262C">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3239FA" w:rsidRPr="00E8262C" w:rsidRDefault="003239FA">
      <w:pPr>
        <w:ind w:left="851" w:right="899"/>
        <w:jc w:val="both"/>
        <w:rPr>
          <w:rFonts w:ascii="Palatino Linotype" w:eastAsia="Palatino Linotype" w:hAnsi="Palatino Linotype" w:cs="Palatino Linotype"/>
          <w:i/>
          <w:sz w:val="22"/>
          <w:szCs w:val="22"/>
        </w:rPr>
      </w:pPr>
    </w:p>
    <w:p w:rsidR="003239FA" w:rsidRPr="00E8262C" w:rsidRDefault="00D53368">
      <w:pPr>
        <w:ind w:left="851" w:right="899"/>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3239FA" w:rsidRPr="00E8262C" w:rsidRDefault="003239FA">
      <w:pPr>
        <w:ind w:left="851" w:right="899"/>
        <w:jc w:val="both"/>
        <w:rPr>
          <w:rFonts w:ascii="Palatino Linotype" w:eastAsia="Palatino Linotype" w:hAnsi="Palatino Linotype" w:cs="Palatino Linotype"/>
          <w:i/>
          <w:sz w:val="22"/>
          <w:szCs w:val="22"/>
        </w:rPr>
      </w:pPr>
    </w:p>
    <w:p w:rsidR="003239FA" w:rsidRPr="00E8262C" w:rsidRDefault="00D53368">
      <w:pPr>
        <w:ind w:left="851" w:right="899"/>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rsidR="003239FA" w:rsidRPr="00E8262C" w:rsidRDefault="003239FA">
      <w:pPr>
        <w:ind w:left="720" w:right="709"/>
        <w:jc w:val="both"/>
        <w:rPr>
          <w:rFonts w:ascii="Palatino Linotype" w:eastAsia="Palatino Linotype" w:hAnsi="Palatino Linotype" w:cs="Palatino Linotype"/>
          <w:i/>
          <w:sz w:val="22"/>
          <w:szCs w:val="22"/>
        </w:rPr>
      </w:pPr>
    </w:p>
    <w:p w:rsidR="003239FA" w:rsidRPr="00E8262C" w:rsidRDefault="00D53368">
      <w:pPr>
        <w:spacing w:line="360" w:lineRule="auto"/>
        <w:jc w:val="both"/>
        <w:rPr>
          <w:rFonts w:ascii="Palatino Linotype" w:eastAsia="Palatino Linotype" w:hAnsi="Palatino Linotype" w:cs="Palatino Linotype"/>
        </w:rPr>
      </w:pPr>
      <w:bookmarkStart w:id="3" w:name="_heading=h.2et92p0" w:colFirst="0" w:colLast="0"/>
      <w:bookmarkEnd w:id="3"/>
      <w:r w:rsidRPr="00E8262C">
        <w:rPr>
          <w:rFonts w:ascii="Palatino Linotype" w:eastAsia="Palatino Linotype" w:hAnsi="Palatino Linotype" w:cs="Palatino Linotype"/>
        </w:rPr>
        <w:lastRenderedPageBreak/>
        <w:t xml:space="preserve">En esa tesitura, atendiendo a que </w:t>
      </w:r>
      <w:r w:rsidRPr="00E8262C">
        <w:rPr>
          <w:rFonts w:ascii="Palatino Linotype" w:eastAsia="Palatino Linotype" w:hAnsi="Palatino Linotype" w:cs="Palatino Linotype"/>
          <w:b/>
        </w:rPr>
        <w:t>EL SUJETO OBLIGADO</w:t>
      </w:r>
      <w:r w:rsidRPr="00E8262C">
        <w:rPr>
          <w:rFonts w:ascii="Palatino Linotype" w:eastAsia="Palatino Linotype" w:hAnsi="Palatino Linotype" w:cs="Palatino Linotype"/>
        </w:rPr>
        <w:t xml:space="preserve"> notificó las respuestas a las solicitudes de Acceso a la Información Pública los días </w:t>
      </w:r>
      <w:r w:rsidRPr="00E8262C">
        <w:rPr>
          <w:rFonts w:ascii="Palatino Linotype" w:eastAsia="Palatino Linotype" w:hAnsi="Palatino Linotype" w:cs="Palatino Linotype"/>
          <w:b/>
        </w:rPr>
        <w:t>diecinueve, treinta de mayo y tres de junio de dos mil veintidós</w:t>
      </w:r>
      <w:r w:rsidRPr="00E8262C">
        <w:rPr>
          <w:rFonts w:ascii="Palatino Linotype" w:eastAsia="Palatino Linotype" w:hAnsi="Palatino Linotype" w:cs="Palatino Linotype"/>
        </w:rPr>
        <w:t xml:space="preserve">; así, el plazo de quince días hábiles que el artículo 178 de la Ley de la materia otorga a </w:t>
      </w:r>
      <w:r w:rsidRPr="00E8262C">
        <w:rPr>
          <w:rFonts w:ascii="Palatino Linotype" w:eastAsia="Palatino Linotype" w:hAnsi="Palatino Linotype" w:cs="Palatino Linotype"/>
          <w:b/>
        </w:rPr>
        <w:t xml:space="preserve">EL RECURRENTE </w:t>
      </w:r>
      <w:r w:rsidRPr="00E8262C">
        <w:rPr>
          <w:rFonts w:ascii="Palatino Linotype" w:eastAsia="Palatino Linotype" w:hAnsi="Palatino Linotype" w:cs="Palatino Linotype"/>
        </w:rPr>
        <w:t xml:space="preserve">para presentar el respectivo a los Recurso de Revisión cuya respuesta fue notificada el día diecinueve de mayo, transcurrió del </w:t>
      </w:r>
      <w:r w:rsidRPr="00E8262C">
        <w:rPr>
          <w:rFonts w:ascii="Palatino Linotype" w:eastAsia="Palatino Linotype" w:hAnsi="Palatino Linotype" w:cs="Palatino Linotype"/>
          <w:b/>
        </w:rPr>
        <w:t>veinte de mayo al nueve de junio de dos mil veintidós.</w:t>
      </w:r>
      <w:r w:rsidRPr="00E8262C">
        <w:rPr>
          <w:rFonts w:ascii="Palatino Linotype" w:eastAsia="Palatino Linotype" w:hAnsi="Palatino Linotype" w:cs="Palatino Linotype"/>
        </w:rPr>
        <w:t xml:space="preserve"> </w:t>
      </w:r>
    </w:p>
    <w:p w:rsidR="003239FA" w:rsidRPr="00E8262C" w:rsidRDefault="003239FA">
      <w:pPr>
        <w:spacing w:line="360" w:lineRule="auto"/>
        <w:jc w:val="both"/>
        <w:rPr>
          <w:rFonts w:ascii="Palatino Linotype" w:eastAsia="Palatino Linotype" w:hAnsi="Palatino Linotype" w:cs="Palatino Linotype"/>
        </w:rPr>
      </w:pPr>
      <w:bookmarkStart w:id="4" w:name="_heading=h.qqe4twu7rpj1" w:colFirst="0" w:colLast="0"/>
      <w:bookmarkEnd w:id="4"/>
    </w:p>
    <w:p w:rsidR="003239FA" w:rsidRPr="00E8262C" w:rsidRDefault="00D53368">
      <w:pPr>
        <w:spacing w:line="360" w:lineRule="auto"/>
        <w:jc w:val="both"/>
        <w:rPr>
          <w:rFonts w:ascii="Palatino Linotype" w:eastAsia="Palatino Linotype" w:hAnsi="Palatino Linotype" w:cs="Palatino Linotype"/>
          <w:b/>
        </w:rPr>
      </w:pPr>
      <w:bookmarkStart w:id="5" w:name="_heading=h.5t53xle51sl3" w:colFirst="0" w:colLast="0"/>
      <w:bookmarkEnd w:id="5"/>
      <w:r w:rsidRPr="00E8262C">
        <w:rPr>
          <w:rFonts w:ascii="Palatino Linotype" w:eastAsia="Palatino Linotype" w:hAnsi="Palatino Linotype" w:cs="Palatino Linotype"/>
        </w:rPr>
        <w:t xml:space="preserve">Por su parte para aquellos recursos cuya respuesta fue notificada en fecha treinta de mayo de dos mil veintidós, el plazo para presentar el Recurso de Revisión transcurrió del día </w:t>
      </w:r>
      <w:r w:rsidRPr="00E8262C">
        <w:rPr>
          <w:rFonts w:ascii="Palatino Linotype" w:eastAsia="Palatino Linotype" w:hAnsi="Palatino Linotype" w:cs="Palatino Linotype"/>
          <w:b/>
        </w:rPr>
        <w:t xml:space="preserve">treinta y uno de mayo al veinte de junio de dos mil veintidós </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b/>
        </w:rPr>
      </w:pPr>
      <w:bookmarkStart w:id="6" w:name="_heading=h.iwilkyfct2r6" w:colFirst="0" w:colLast="0"/>
      <w:bookmarkEnd w:id="6"/>
      <w:r w:rsidRPr="00E8262C">
        <w:rPr>
          <w:rFonts w:ascii="Palatino Linotype" w:eastAsia="Palatino Linotype" w:hAnsi="Palatino Linotype" w:cs="Palatino Linotype"/>
        </w:rPr>
        <w:t xml:space="preserve">Y en el caso de los recursos cuya respuesta fue notificada en fecha tres de junio de dos mil veintidós, el plazo para presentar el Recurso de Revisión transcurrió del día </w:t>
      </w:r>
      <w:r w:rsidRPr="00E8262C">
        <w:rPr>
          <w:rFonts w:ascii="Palatino Linotype" w:eastAsia="Palatino Linotype" w:hAnsi="Palatino Linotype" w:cs="Palatino Linotype"/>
          <w:b/>
        </w:rPr>
        <w:t xml:space="preserve">seis al veinticuatro de junio de dos mil veintidós </w:t>
      </w:r>
    </w:p>
    <w:p w:rsidR="003239FA" w:rsidRPr="00E8262C" w:rsidRDefault="003239FA">
      <w:pPr>
        <w:spacing w:line="360" w:lineRule="auto"/>
        <w:jc w:val="both"/>
        <w:rPr>
          <w:rFonts w:ascii="Palatino Linotype" w:eastAsia="Palatino Linotype" w:hAnsi="Palatino Linotype" w:cs="Palatino Linotype"/>
        </w:rPr>
      </w:pPr>
      <w:bookmarkStart w:id="7" w:name="_heading=h.txm462vhllg" w:colFirst="0" w:colLast="0"/>
      <w:bookmarkEnd w:id="7"/>
    </w:p>
    <w:p w:rsidR="003239FA" w:rsidRPr="00E8262C" w:rsidRDefault="00D53368">
      <w:pPr>
        <w:spacing w:line="360" w:lineRule="auto"/>
        <w:jc w:val="both"/>
        <w:rPr>
          <w:rFonts w:ascii="Palatino Linotype" w:eastAsia="Palatino Linotype" w:hAnsi="Palatino Linotype" w:cs="Palatino Linotype"/>
        </w:rPr>
      </w:pPr>
      <w:bookmarkStart w:id="8" w:name="_heading=h.uaamdzggke5u" w:colFirst="0" w:colLast="0"/>
      <w:bookmarkEnd w:id="8"/>
      <w:r w:rsidRPr="00E8262C">
        <w:rPr>
          <w:rFonts w:ascii="Palatino Linotype" w:eastAsia="Palatino Linotype" w:hAnsi="Palatino Linotype" w:cs="Palatino Linotype"/>
        </w:rPr>
        <w:t xml:space="preserve">Sin contemplar en el cómputo de dichos plazos los días veintiuno, veintidós, veintiocho y veintinueve de mayo, así como cuatro, cinco, once, doce, dieciocho y diecinueve de junio de dos mil veintidós por corresponder a sábados y domingos, considerados como días inhábiles, en términos del artículo 3, fracción X de la Ley de Transparencia y Acceso a la Información Pública del Estado de México y Municipios. </w:t>
      </w:r>
    </w:p>
    <w:p w:rsidR="003239FA" w:rsidRPr="00E8262C" w:rsidRDefault="003239FA">
      <w:pPr>
        <w:spacing w:line="360" w:lineRule="auto"/>
        <w:jc w:val="both"/>
        <w:rPr>
          <w:rFonts w:ascii="Palatino Linotype" w:eastAsia="Palatino Linotype" w:hAnsi="Palatino Linotype" w:cs="Palatino Linotype"/>
        </w:rPr>
      </w:pPr>
      <w:bookmarkStart w:id="9" w:name="_heading=h.t1q1lfpx91gf" w:colFirst="0" w:colLast="0"/>
      <w:bookmarkEnd w:id="9"/>
    </w:p>
    <w:p w:rsidR="003239FA" w:rsidRPr="00E8262C" w:rsidRDefault="00D53368">
      <w:pPr>
        <w:spacing w:line="360" w:lineRule="auto"/>
        <w:jc w:val="both"/>
        <w:rPr>
          <w:rFonts w:ascii="Palatino Linotype" w:eastAsia="Palatino Linotype" w:hAnsi="Palatino Linotype" w:cs="Palatino Linotype"/>
        </w:rPr>
      </w:pPr>
      <w:bookmarkStart w:id="10" w:name="_heading=h.3sz8co4vmdaq" w:colFirst="0" w:colLast="0"/>
      <w:bookmarkEnd w:id="10"/>
      <w:r w:rsidRPr="00E8262C">
        <w:rPr>
          <w:rFonts w:ascii="Palatino Linotype" w:eastAsia="Palatino Linotype" w:hAnsi="Palatino Linotype" w:cs="Palatino Linotype"/>
        </w:rPr>
        <w:lastRenderedPageBreak/>
        <w:t xml:space="preserve">En ese tenor se advierte que </w:t>
      </w:r>
      <w:r w:rsidRPr="00E8262C">
        <w:rPr>
          <w:rFonts w:ascii="Palatino Linotype" w:eastAsia="Palatino Linotype" w:hAnsi="Palatino Linotype" w:cs="Palatino Linotype"/>
          <w:b/>
        </w:rPr>
        <w:t>EL RECURRENTE</w:t>
      </w:r>
      <w:r w:rsidRPr="00E8262C">
        <w:rPr>
          <w:rFonts w:ascii="Palatino Linotype" w:eastAsia="Palatino Linotype" w:hAnsi="Palatino Linotype" w:cs="Palatino Linotype"/>
        </w:rPr>
        <w:t xml:space="preserve"> presentó los medios de impugnación, el día seis de junio y, en consecuencia, los Recursos de Revisión de mérito se encuentran dentro del plazo dispuesto en el artículo 178, de la Ley de Transparencia y Acceso a la Información Pública del Estado de México y Municipios. </w:t>
      </w:r>
    </w:p>
    <w:p w:rsidR="003239FA" w:rsidRPr="00E8262C" w:rsidRDefault="003239FA">
      <w:pPr>
        <w:spacing w:line="360" w:lineRule="auto"/>
        <w:jc w:val="both"/>
        <w:rPr>
          <w:rFonts w:ascii="Palatino Linotype" w:eastAsia="Palatino Linotype" w:hAnsi="Palatino Linotype" w:cs="Palatino Linotype"/>
        </w:rPr>
      </w:pPr>
      <w:bookmarkStart w:id="11" w:name="_heading=h.sxcz4yprmcgv" w:colFirst="0" w:colLast="0"/>
      <w:bookmarkEnd w:id="11"/>
    </w:p>
    <w:p w:rsidR="003239FA" w:rsidRPr="00E8262C" w:rsidRDefault="00D53368">
      <w:pPr>
        <w:spacing w:line="360" w:lineRule="auto"/>
        <w:ind w:right="49"/>
        <w:jc w:val="both"/>
        <w:rPr>
          <w:rFonts w:ascii="Palatino Linotype" w:eastAsia="Palatino Linotype" w:hAnsi="Palatino Linotype" w:cs="Palatino Linotype"/>
          <w:b/>
        </w:rPr>
      </w:pPr>
      <w:r w:rsidRPr="00E8262C">
        <w:rPr>
          <w:rFonts w:ascii="Palatino Linotype" w:eastAsia="Palatino Linotype" w:hAnsi="Palatino Linotype" w:cs="Palatino Linotype"/>
          <w:b/>
          <w:sz w:val="28"/>
          <w:szCs w:val="28"/>
        </w:rPr>
        <w:t>QUINTO</w:t>
      </w:r>
      <w:r w:rsidRPr="00E8262C">
        <w:rPr>
          <w:rFonts w:ascii="Palatino Linotype" w:eastAsia="Palatino Linotype" w:hAnsi="Palatino Linotype" w:cs="Palatino Linotype"/>
          <w:b/>
        </w:rPr>
        <w:t xml:space="preserve">. </w:t>
      </w:r>
      <w:proofErr w:type="spellStart"/>
      <w:r w:rsidRPr="00E8262C">
        <w:rPr>
          <w:rFonts w:ascii="Palatino Linotype" w:eastAsia="Palatino Linotype" w:hAnsi="Palatino Linotype" w:cs="Palatino Linotype"/>
          <w:b/>
        </w:rPr>
        <w:t>Procedibilidad</w:t>
      </w:r>
      <w:proofErr w:type="spellEnd"/>
      <w:r w:rsidRPr="00E8262C">
        <w:rPr>
          <w:rFonts w:ascii="Palatino Linotype" w:eastAsia="Palatino Linotype" w:hAnsi="Palatino Linotype" w:cs="Palatino Linotype"/>
          <w:b/>
        </w:rPr>
        <w:t xml:space="preserve">. </w:t>
      </w:r>
    </w:p>
    <w:p w:rsidR="003239FA" w:rsidRPr="00E8262C" w:rsidRDefault="00D53368">
      <w:pPr>
        <w:spacing w:line="360" w:lineRule="auto"/>
        <w:ind w:right="49"/>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rsidR="003239FA" w:rsidRPr="00E8262C" w:rsidRDefault="003239FA">
      <w:pPr>
        <w:spacing w:line="360" w:lineRule="auto"/>
        <w:ind w:right="49"/>
        <w:jc w:val="both"/>
        <w:rPr>
          <w:rFonts w:ascii="Palatino Linotype" w:eastAsia="Palatino Linotype" w:hAnsi="Palatino Linotype" w:cs="Palatino Linotype"/>
        </w:rPr>
      </w:pPr>
    </w:p>
    <w:p w:rsidR="003239FA" w:rsidRPr="00E8262C" w:rsidRDefault="00D53368">
      <w:pPr>
        <w:tabs>
          <w:tab w:val="left" w:pos="851"/>
        </w:tabs>
        <w:ind w:left="851" w:right="901"/>
        <w:jc w:val="both"/>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b/>
          <w:i/>
          <w:sz w:val="22"/>
          <w:szCs w:val="22"/>
        </w:rPr>
        <w:t xml:space="preserve">“Artículo 180. </w:t>
      </w:r>
      <w:r w:rsidRPr="00E8262C">
        <w:rPr>
          <w:rFonts w:ascii="Palatino Linotype" w:eastAsia="Palatino Linotype" w:hAnsi="Palatino Linotype" w:cs="Palatino Linotype"/>
          <w:i/>
          <w:sz w:val="22"/>
          <w:szCs w:val="22"/>
        </w:rPr>
        <w:t>El Recurso de Revisión contendrá:</w:t>
      </w:r>
      <w:r w:rsidRPr="00E8262C">
        <w:rPr>
          <w:rFonts w:ascii="Palatino Linotype" w:eastAsia="Palatino Linotype" w:hAnsi="Palatino Linotype" w:cs="Palatino Linotype"/>
          <w:b/>
          <w:i/>
          <w:sz w:val="22"/>
          <w:szCs w:val="22"/>
        </w:rPr>
        <w:t xml:space="preserve"> </w:t>
      </w:r>
    </w:p>
    <w:p w:rsidR="003239FA" w:rsidRPr="00E8262C" w:rsidRDefault="00D53368">
      <w:pPr>
        <w:tabs>
          <w:tab w:val="left" w:pos="851"/>
        </w:tabs>
        <w:ind w:left="851" w:right="901"/>
        <w:jc w:val="both"/>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b/>
          <w:i/>
          <w:sz w:val="22"/>
          <w:szCs w:val="22"/>
        </w:rPr>
        <w:t>…</w:t>
      </w:r>
    </w:p>
    <w:p w:rsidR="003239FA" w:rsidRPr="00E8262C" w:rsidRDefault="00D53368">
      <w:pPr>
        <w:tabs>
          <w:tab w:val="left" w:pos="851"/>
        </w:tabs>
        <w:ind w:left="851" w:right="901"/>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 xml:space="preserve">II. El nombre del solicitante </w:t>
      </w:r>
      <w:r w:rsidRPr="00E8262C">
        <w:rPr>
          <w:rFonts w:ascii="Palatino Linotype" w:eastAsia="Palatino Linotype" w:hAnsi="Palatino Linotype" w:cs="Palatino Linotype"/>
          <w:b/>
          <w:i/>
          <w:color w:val="222222"/>
          <w:sz w:val="22"/>
          <w:szCs w:val="22"/>
        </w:rPr>
        <w:t>que</w:t>
      </w:r>
      <w:r w:rsidRPr="00E8262C">
        <w:rPr>
          <w:rFonts w:ascii="Palatino Linotype" w:eastAsia="Palatino Linotype" w:hAnsi="Palatino Linotype" w:cs="Palatino Linotype"/>
          <w:b/>
          <w:i/>
          <w:sz w:val="22"/>
          <w:szCs w:val="22"/>
        </w:rPr>
        <w:t xml:space="preserve"> recurre </w:t>
      </w:r>
      <w:r w:rsidRPr="00E8262C">
        <w:rPr>
          <w:rFonts w:ascii="Palatino Linotype" w:eastAsia="Palatino Linotype" w:hAnsi="Palatino Linotype" w:cs="Palatino Linotype"/>
          <w:i/>
          <w:sz w:val="22"/>
          <w:szCs w:val="22"/>
        </w:rPr>
        <w:t>o de su representante y, en su caso</w:t>
      </w:r>
      <w:proofErr w:type="gramStart"/>
      <w:r w:rsidRPr="00E8262C">
        <w:rPr>
          <w:rFonts w:ascii="Palatino Linotype" w:eastAsia="Palatino Linotype" w:hAnsi="Palatino Linotype" w:cs="Palatino Linotype"/>
          <w:i/>
          <w:sz w:val="22"/>
          <w:szCs w:val="22"/>
        </w:rPr>
        <w:t>, …</w:t>
      </w:r>
      <w:proofErr w:type="gramEnd"/>
    </w:p>
    <w:p w:rsidR="003239FA" w:rsidRPr="00E8262C" w:rsidRDefault="00D53368">
      <w:pPr>
        <w:tabs>
          <w:tab w:val="left" w:pos="851"/>
        </w:tabs>
        <w:ind w:left="851" w:right="901"/>
        <w:jc w:val="both"/>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b/>
          <w:i/>
          <w:sz w:val="22"/>
          <w:szCs w:val="22"/>
        </w:rPr>
        <w:t xml:space="preserve">En caso de </w:t>
      </w:r>
      <w:r w:rsidRPr="00E8262C">
        <w:rPr>
          <w:rFonts w:ascii="Palatino Linotype" w:eastAsia="Palatino Linotype" w:hAnsi="Palatino Linotype" w:cs="Palatino Linotype"/>
          <w:b/>
          <w:i/>
          <w:color w:val="222222"/>
          <w:sz w:val="22"/>
          <w:szCs w:val="22"/>
        </w:rPr>
        <w:t>que</w:t>
      </w:r>
      <w:r w:rsidRPr="00E8262C">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E8262C">
        <w:rPr>
          <w:rFonts w:ascii="Palatino Linotype" w:eastAsia="Palatino Linotype" w:hAnsi="Palatino Linotype" w:cs="Palatino Linotype"/>
          <w:i/>
          <w:sz w:val="22"/>
          <w:szCs w:val="22"/>
        </w:rPr>
        <w:t>, IV, VII y VIII.</w:t>
      </w:r>
      <w:r w:rsidRPr="00E8262C">
        <w:rPr>
          <w:rFonts w:ascii="Palatino Linotype" w:eastAsia="Palatino Linotype" w:hAnsi="Palatino Linotype" w:cs="Palatino Linotype"/>
          <w:b/>
          <w:i/>
          <w:sz w:val="22"/>
          <w:szCs w:val="22"/>
        </w:rPr>
        <w:t>”</w:t>
      </w:r>
    </w:p>
    <w:p w:rsidR="003239FA" w:rsidRPr="00E8262C" w:rsidRDefault="00D53368">
      <w:pPr>
        <w:tabs>
          <w:tab w:val="left" w:pos="851"/>
        </w:tabs>
        <w:ind w:left="851" w:right="901"/>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(Énfasis añadido)</w:t>
      </w:r>
    </w:p>
    <w:p w:rsidR="003239FA" w:rsidRPr="00E8262C" w:rsidRDefault="003239FA">
      <w:pPr>
        <w:tabs>
          <w:tab w:val="left" w:pos="851"/>
        </w:tabs>
        <w:ind w:right="901"/>
        <w:jc w:val="both"/>
        <w:rPr>
          <w:rFonts w:ascii="Palatino Linotype" w:eastAsia="Palatino Linotype" w:hAnsi="Palatino Linotype" w:cs="Palatino Linotype"/>
          <w:i/>
          <w:sz w:val="22"/>
          <w:szCs w:val="22"/>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E8262C">
        <w:rPr>
          <w:rFonts w:ascii="Palatino Linotype" w:eastAsia="Palatino Linotype" w:hAnsi="Palatino Linotype" w:cs="Palatino Linotype"/>
          <w:b/>
        </w:rPr>
        <w:t>;</w:t>
      </w:r>
      <w:r w:rsidRPr="00E8262C">
        <w:rPr>
          <w:rFonts w:ascii="Palatino Linotype" w:eastAsia="Palatino Linotype" w:hAnsi="Palatino Linotype" w:cs="Palatino Linotype"/>
        </w:rPr>
        <w:t xml:space="preserve"> por lo que, en el presente caso, al haber sido presentado el Recurso de Revisión vía </w:t>
      </w:r>
      <w:r w:rsidRPr="00E8262C">
        <w:rPr>
          <w:rFonts w:ascii="Palatino Linotype" w:eastAsia="Palatino Linotype" w:hAnsi="Palatino Linotype" w:cs="Palatino Linotype"/>
          <w:b/>
        </w:rPr>
        <w:t>SAIMEX</w:t>
      </w:r>
      <w:r w:rsidRPr="00E8262C">
        <w:rPr>
          <w:rFonts w:ascii="Palatino Linotype" w:eastAsia="Palatino Linotype" w:hAnsi="Palatino Linotype" w:cs="Palatino Linotype"/>
        </w:rPr>
        <w:t>, dicho requisito resulta innecesario.</w:t>
      </w:r>
    </w:p>
    <w:p w:rsidR="003239FA" w:rsidRPr="00E8262C" w:rsidRDefault="003239FA">
      <w:pPr>
        <w:spacing w:line="360" w:lineRule="auto"/>
        <w:jc w:val="both"/>
        <w:rPr>
          <w:rFonts w:ascii="Palatino Linotype" w:eastAsia="Palatino Linotype" w:hAnsi="Palatino Linotype" w:cs="Palatino Linotype"/>
          <w:b/>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lastRenderedPageBreak/>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E8262C">
        <w:rPr>
          <w:rFonts w:ascii="Palatino Linotype" w:eastAsia="Palatino Linotype" w:hAnsi="Palatino Linotype" w:cs="Palatino Linotype"/>
          <w:b/>
          <w:u w:val="single"/>
        </w:rPr>
        <w:t xml:space="preserve">el nombre no es un requisito </w:t>
      </w:r>
      <w:r w:rsidRPr="00E8262C">
        <w:rPr>
          <w:rFonts w:ascii="Palatino Linotype" w:eastAsia="Palatino Linotype" w:hAnsi="Palatino Linotype" w:cs="Palatino Linotype"/>
          <w:b/>
          <w:i/>
          <w:u w:val="single"/>
        </w:rPr>
        <w:t>sine qua non</w:t>
      </w:r>
      <w:r w:rsidRPr="00E8262C">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sz w:val="22"/>
          <w:szCs w:val="22"/>
        </w:rPr>
      </w:pPr>
      <w:r w:rsidRPr="00E8262C">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rsidR="003239FA" w:rsidRPr="00E8262C" w:rsidRDefault="003239FA">
      <w:pPr>
        <w:tabs>
          <w:tab w:val="left" w:pos="851"/>
        </w:tabs>
        <w:ind w:left="851" w:right="901"/>
        <w:jc w:val="both"/>
        <w:rPr>
          <w:rFonts w:ascii="Palatino Linotype" w:eastAsia="Palatino Linotype" w:hAnsi="Palatino Linotype" w:cs="Palatino Linotype"/>
          <w:sz w:val="22"/>
          <w:szCs w:val="22"/>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Asimismo, se estima que el requisito relativo al nombre de </w:t>
      </w:r>
      <w:r w:rsidRPr="00E8262C">
        <w:rPr>
          <w:rFonts w:ascii="Palatino Linotype" w:eastAsia="Palatino Linotype" w:hAnsi="Palatino Linotype" w:cs="Palatino Linotype"/>
          <w:b/>
        </w:rPr>
        <w:t>EL RECURRENTE</w:t>
      </w:r>
      <w:r w:rsidRPr="00E8262C">
        <w:rPr>
          <w:rFonts w:ascii="Palatino Linotype" w:eastAsia="Palatino Linotype" w:hAnsi="Palatino Linotype" w:cs="Palatino Linotype"/>
        </w:rPr>
        <w:t xml:space="preserve">  no constituye un presupuesto indispensable de </w:t>
      </w:r>
      <w:proofErr w:type="spellStart"/>
      <w:r w:rsidRPr="00E8262C">
        <w:rPr>
          <w:rFonts w:ascii="Palatino Linotype" w:eastAsia="Palatino Linotype" w:hAnsi="Palatino Linotype" w:cs="Palatino Linotype"/>
        </w:rPr>
        <w:t>procedibilidad</w:t>
      </w:r>
      <w:proofErr w:type="spellEnd"/>
      <w:r w:rsidRPr="00E8262C">
        <w:rPr>
          <w:rFonts w:ascii="Palatino Linotype" w:eastAsia="Palatino Linotype" w:hAnsi="Palatino Linotype" w:cs="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w:t>
      </w:r>
      <w:r w:rsidRPr="00E8262C">
        <w:rPr>
          <w:rFonts w:ascii="Palatino Linotype" w:eastAsia="Palatino Linotype" w:hAnsi="Palatino Linotype" w:cs="Palatino Linotype"/>
        </w:rPr>
        <w:lastRenderedPageBreak/>
        <w:t xml:space="preserve">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E8262C">
        <w:rPr>
          <w:rFonts w:ascii="Palatino Linotype" w:eastAsia="Palatino Linotype" w:hAnsi="Palatino Linotype" w:cs="Palatino Linotype"/>
          <w:b/>
        </w:rPr>
        <w:t xml:space="preserve">EL RECURRENTE </w:t>
      </w:r>
      <w:r w:rsidRPr="00E8262C">
        <w:rPr>
          <w:rFonts w:ascii="Palatino Linotype" w:eastAsia="Palatino Linotype" w:hAnsi="Palatino Linotype" w:cs="Palatino Linotype"/>
        </w:rPr>
        <w:t xml:space="preserve"> es la misma persona que realizó la solicitud de Acceso a la Información Pública que ahora se impugna.</w:t>
      </w:r>
    </w:p>
    <w:p w:rsidR="003239FA" w:rsidRPr="00E8262C" w:rsidRDefault="003239FA">
      <w:pPr>
        <w:tabs>
          <w:tab w:val="left" w:pos="851"/>
        </w:tabs>
        <w:ind w:left="851" w:right="901"/>
        <w:jc w:val="both"/>
        <w:rPr>
          <w:rFonts w:ascii="Palatino Linotype" w:eastAsia="Palatino Linotype" w:hAnsi="Palatino Linotype" w:cs="Palatino Linotype"/>
          <w:sz w:val="22"/>
          <w:szCs w:val="22"/>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3239FA" w:rsidRPr="00E8262C" w:rsidRDefault="003239FA">
      <w:pPr>
        <w:spacing w:line="360" w:lineRule="auto"/>
        <w:jc w:val="both"/>
        <w:rPr>
          <w:rFonts w:ascii="Palatino Linotype" w:eastAsia="Palatino Linotype" w:hAnsi="Palatino Linotype" w:cs="Palatino Linotype"/>
          <w:b/>
          <w:sz w:val="28"/>
          <w:szCs w:val="28"/>
        </w:rPr>
      </w:pPr>
    </w:p>
    <w:p w:rsidR="003239FA" w:rsidRPr="00E8262C" w:rsidRDefault="00D53368">
      <w:pPr>
        <w:spacing w:line="360" w:lineRule="auto"/>
        <w:jc w:val="both"/>
        <w:rPr>
          <w:rFonts w:ascii="Palatino Linotype" w:eastAsia="Palatino Linotype" w:hAnsi="Palatino Linotype" w:cs="Palatino Linotype"/>
          <w:b/>
        </w:rPr>
      </w:pPr>
      <w:r w:rsidRPr="00E8262C">
        <w:rPr>
          <w:rFonts w:ascii="Palatino Linotype" w:eastAsia="Palatino Linotype" w:hAnsi="Palatino Linotype" w:cs="Palatino Linotype"/>
          <w:b/>
          <w:sz w:val="28"/>
          <w:szCs w:val="28"/>
        </w:rPr>
        <w:t>SEXTO</w:t>
      </w:r>
      <w:r w:rsidRPr="00E8262C">
        <w:rPr>
          <w:rFonts w:ascii="Palatino Linotype" w:eastAsia="Palatino Linotype" w:hAnsi="Palatino Linotype" w:cs="Palatino Linotype"/>
          <w:b/>
        </w:rPr>
        <w:t xml:space="preserve">. Estudio y resolución del asunto. </w:t>
      </w:r>
    </w:p>
    <w:p w:rsidR="003239FA" w:rsidRPr="00E8262C" w:rsidRDefault="00D53368">
      <w:pPr>
        <w:spacing w:line="360" w:lineRule="auto"/>
        <w:ind w:right="49"/>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En primer lugar, es conveniente recordar que, el particular solicitó del </w:t>
      </w:r>
      <w:r w:rsidRPr="00E8262C">
        <w:rPr>
          <w:rFonts w:ascii="Palatino Linotype" w:eastAsia="Palatino Linotype" w:hAnsi="Palatino Linotype" w:cs="Palatino Linotype"/>
          <w:b/>
        </w:rPr>
        <w:t>SUJETO OBLIGADO</w:t>
      </w:r>
      <w:r w:rsidRPr="00E8262C">
        <w:rPr>
          <w:rFonts w:ascii="Palatino Linotype" w:eastAsia="Palatino Linotype" w:hAnsi="Palatino Linotype" w:cs="Palatino Linotype"/>
        </w:rPr>
        <w:t xml:space="preserve"> lo siguiente: </w:t>
      </w:r>
    </w:p>
    <w:p w:rsidR="003239FA" w:rsidRPr="00E8262C" w:rsidRDefault="003239FA">
      <w:pPr>
        <w:widowControl w:val="0"/>
        <w:spacing w:line="360" w:lineRule="auto"/>
        <w:jc w:val="both"/>
        <w:rPr>
          <w:rFonts w:ascii="Palatino Linotype" w:eastAsia="Palatino Linotype" w:hAnsi="Palatino Linotype" w:cs="Palatino Linotype"/>
        </w:rPr>
      </w:pPr>
    </w:p>
    <w:tbl>
      <w:tblPr>
        <w:tblStyle w:val="affffffffff"/>
        <w:tblW w:w="849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790"/>
        <w:gridCol w:w="5700"/>
      </w:tblGrid>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jc w:val="center"/>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Folio de la Solicitud</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jc w:val="center"/>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Solicitud</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04331/DIFMETEPEC/IP/2022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04332/DIFMETEPEC/IP/2022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04333/DIFMETEPEC/IP/2022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3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04334/DIFMETEPEC/IP/2022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4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04335/DIFMETEPEC/IP/2022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5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04336/DIFMETEPEC/IP/2022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6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04337/DIFMETEPEC/IP/2022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7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04338/DIFMETEPEC/IP/2022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8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04339/DIFMETEPEC/IP/2022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9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04340/DIFMETEPEC/IP/2022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10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04341/DIFMETEPEC/IP/2022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11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04342/DIFMETEPEC/IP/2022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12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04343/DIFMETEPEC/IP/2022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13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04344/DIFMETEPEC/IP/2022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14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04345/DIFMETEPEC/IP/2022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15 de enero de 2022 así como las medidas sanitarias llevadas a cabo y el nombre de las y </w:t>
            </w:r>
            <w:r w:rsidRPr="00E8262C">
              <w:rPr>
                <w:rFonts w:ascii="Palatino Linotype" w:eastAsia="Palatino Linotype" w:hAnsi="Palatino Linotype" w:cs="Palatino Linotype"/>
                <w:i/>
                <w:sz w:val="20"/>
                <w:szCs w:val="20"/>
              </w:rPr>
              <w:lastRenderedPageBreak/>
              <w:t>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04381/DIFMETEPEC/IP/2022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16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04382/DIFMETEPEC/IP/2022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17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04383/DIFMETEPEC/IP/2022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18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04384/DIFMETEPEC/IP/2022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19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04385/DIFMETEPEC/IP/2022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20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04386/DIFMETEPEC/IP/2022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21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04387/DIFMETEPEC/IP/2022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22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04388/DIFMETEPEC/IP/2022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23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04389/DIFMETEPEC/IP/2022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24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04390/DIFMETEPEC/IP/2022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25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04391/DIFMETEPEC/IP/2022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26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04392/DIFMETEPEC/IP/2022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27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04393/DIFMETEPEC/IP/2022</w:t>
            </w:r>
          </w:p>
          <w:p w:rsidR="003239FA" w:rsidRPr="00E8262C" w:rsidRDefault="003239FA">
            <w:pPr>
              <w:widowControl w:val="0"/>
              <w:spacing w:line="276" w:lineRule="auto"/>
              <w:rPr>
                <w:rFonts w:ascii="Palatino Linotype" w:eastAsia="Palatino Linotype" w:hAnsi="Palatino Linotype" w:cs="Palatino Linotype"/>
                <w:b/>
                <w:sz w:val="20"/>
                <w:szCs w:val="20"/>
              </w:rPr>
            </w:pP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28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04394/DIFMETEPEC/IP/2022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29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04395/DIFMETEPEC/IP/2022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30 de enero de 2022 así como las medidas sanitarias llevadas a cabo y el nombre de las y </w:t>
            </w:r>
            <w:r w:rsidRPr="00E8262C">
              <w:rPr>
                <w:rFonts w:ascii="Palatino Linotype" w:eastAsia="Palatino Linotype" w:hAnsi="Palatino Linotype" w:cs="Palatino Linotype"/>
                <w:i/>
                <w:sz w:val="20"/>
                <w:szCs w:val="20"/>
              </w:rPr>
              <w:lastRenderedPageBreak/>
              <w:t>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04396/DIFMETEPEC/IP/2022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31 de enero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04397/DIFMETEPEC/IP/2022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04398/DIFMETEPEC/IP/2022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04399/DIFMETEPEC/IP/2022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3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04400/DIFMETEPEC/IP/2022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4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04401/DIFMETEPEC/IP/2022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5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04402/DIFMETEPEC/IP/2022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6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04403/DIFMETEPEC/IP/2022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7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04404/DIFMETEPEC/IP/2022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8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04405/DIFMETEPEC/IP/2022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9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04406/DIFMETEPEC/IP/2022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10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04407/DIFMETEPEC/IP/2022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11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04408/DIFMETEPEC/IP/2022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12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04409/DIFMETEPEC/IP/2022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13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04410/DIFMETEPEC/IP/2022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14 de febrero de 2022 así como las medidas sanitarias llevadas a cabo y el nombre de </w:t>
            </w:r>
            <w:r w:rsidRPr="00E8262C">
              <w:rPr>
                <w:rFonts w:ascii="Palatino Linotype" w:eastAsia="Palatino Linotype" w:hAnsi="Palatino Linotype" w:cs="Palatino Linotype"/>
                <w:i/>
                <w:sz w:val="20"/>
                <w:szCs w:val="20"/>
              </w:rPr>
              <w:lastRenderedPageBreak/>
              <w:t>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04411/DIFMETEPEC/IP/2022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15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04412/DIFMETEPEC/IP/2022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16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04413/DIFMETEPEC/IP/2022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17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04414/DIFMETEPEC/IP/2022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18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04415/DIFMETEPEC/IP/2022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19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04416/DIFMETEPEC/IP/2022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20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04417/DIFMETEPEC/IP/2022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21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04418/DIFMETEPEC/IP/2022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22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04419/DIFMETEPEC/IP/2022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23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04420/DIFMETEPEC/IP/2022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24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04421/DIFMETEPEC/IP/2022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25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04422/DIFMETEPEC/IP/2022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26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04423/DIFMETEPEC/IP/2022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27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04424/DIFMETEPEC/IP/2022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28 de febrero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04425/DIFMETEPEC/IP/2022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 de marzo de 2022 así como las medidas sanitarias llevadas a cabo y el nombre de las y </w:t>
            </w:r>
            <w:r w:rsidRPr="00E8262C">
              <w:rPr>
                <w:rFonts w:ascii="Palatino Linotype" w:eastAsia="Palatino Linotype" w:hAnsi="Palatino Linotype" w:cs="Palatino Linotype"/>
                <w:i/>
                <w:sz w:val="20"/>
                <w:szCs w:val="20"/>
              </w:rPr>
              <w:lastRenderedPageBreak/>
              <w:t>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04426/DIFMETEPEC/IP/2022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04427/DIFMETEPEC/IP/2022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3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04428/DIFMETEPEC/IP/2022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4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04429/DIFMETEPEC/IP/2022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5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04430/DIFMETEPEC/IP/2022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6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04431/DIFMETEPEC/IP/2022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7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04432/DIFMETEPEC/IP/2022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8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04433/DIFMETEPEC/IP/2022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9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04434/DIFMETEPEC/IP/2022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10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04435/DIFMETEPEC/IP/2022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11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04436/DIFMETEPEC/IP/2022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12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04437/DIFMETEPEC/IP/2022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13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04438/DIFMETEPEC/IP/2022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14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04439/DIFMETEPEC/IP/2022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15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04440/DIFMETEPEC/IP/2022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16 de marzo de 2022 así como las medidas sanitarias llevadas a cabo y el nombre de las y </w:t>
            </w:r>
            <w:r w:rsidRPr="00E8262C">
              <w:rPr>
                <w:rFonts w:ascii="Palatino Linotype" w:eastAsia="Palatino Linotype" w:hAnsi="Palatino Linotype" w:cs="Palatino Linotype"/>
                <w:i/>
                <w:sz w:val="20"/>
                <w:szCs w:val="20"/>
              </w:rPr>
              <w:lastRenderedPageBreak/>
              <w:t>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04441/DIFMETEPEC/IP/2022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17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04442/DIFMETEPEC/IP/2022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17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04443/DIFMETEPEC/IP/2022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18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04444/DIFMETEPEC/IP/2022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19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04445/DIFMETEPEC/IP/2022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20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04446/DIFMETEPEC/IP/2022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21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04447/DIFMETEPEC/IP/2022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22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04448/DIFMETEPEC/IP/2022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23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04449/DIFMETEPEC/IP/2022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24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04450/DIFMETEPEC/IP/2022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25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04452/DIFMETEPEC/IP/2022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26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04453/DIFMETEPEC/IP/2022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27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04454/DIFMETEPEC/IP/2022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28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04455/DIFMETEPEC/IP/2022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29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04456/DIFMETEPEC/IP/2022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30 de marzo de 2022 así como las medidas sanitarias llevadas a cabo y el nombre de las y </w:t>
            </w:r>
            <w:r w:rsidRPr="00E8262C">
              <w:rPr>
                <w:rFonts w:ascii="Palatino Linotype" w:eastAsia="Palatino Linotype" w:hAnsi="Palatino Linotype" w:cs="Palatino Linotype"/>
                <w:i/>
                <w:sz w:val="20"/>
                <w:szCs w:val="20"/>
              </w:rPr>
              <w:lastRenderedPageBreak/>
              <w:t>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04457/DIFMETEPEC/IP/2022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31 de marzo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04458/DIFMETEPEC/IP/2022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04459/DIFMETEPEC/IP/2022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04460/DIFMETEPEC/IP/2022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3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04461/DIFMETEPEC/IP/2022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4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04462/DIFMETEPEC/IP/2022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5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04804/DIFMETEPEC/IP/2022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6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05196/DIFMETEPEC/IP/2022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7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05197/DIFMETEPEC/IP/2022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8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05198/DIFMETEPEC/IP/2022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9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05199/DIFMETEPEC/IP/2022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10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05200/DIFMETEPEC/IP/2022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11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05201/DIFMETEPEC/IP/2022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12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05202/DIFMETEPEC/IP/2022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13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05203/DIFMETEPEC/IP/2022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14 de abril de 2022 así como las medidas sanitarias llevadas a cabo y el nombre de las y </w:t>
            </w:r>
            <w:r w:rsidRPr="00E8262C">
              <w:rPr>
                <w:rFonts w:ascii="Palatino Linotype" w:eastAsia="Palatino Linotype" w:hAnsi="Palatino Linotype" w:cs="Palatino Linotype"/>
                <w:i/>
                <w:sz w:val="20"/>
                <w:szCs w:val="20"/>
              </w:rPr>
              <w:lastRenderedPageBreak/>
              <w:t>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05204/DIFMETEPEC/IP/2022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15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05205/DIFMETEPEC/IP/2022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16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05206/DIFMETEPEC/IP/2022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17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05207/DIFMETEPEC/IP/2022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18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05208/DIFMETEPEC/IP/2022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19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05209/DIFMETEPEC/IP/2022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20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05210/DIFMETEPEC/IP/2022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21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05211/DIFMETEPEC/IP/2022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22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05212/DIFMETEPEC/IP/2022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23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05213/DIFMETEPEC/IP/2022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24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05214/DIFMETEPEC/IP/2022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25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05215/DIFMETEPEC/IP/2022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26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05216/DIFMETEPEC/IP/2022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27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05217/DIFMETEPEC/IP/2022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28 de abril de 2022 así como las medidas sanitarias llevadas a cabo y el nombre de las y 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t>05218/DIFMETEPEC/IP/2022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29 de abril de 2022 así como las medidas sanitarias llevadas a cabo y el nombre de las y </w:t>
            </w:r>
            <w:r w:rsidRPr="00E8262C">
              <w:rPr>
                <w:rFonts w:ascii="Palatino Linotype" w:eastAsia="Palatino Linotype" w:hAnsi="Palatino Linotype" w:cs="Palatino Linotype"/>
                <w:i/>
                <w:sz w:val="20"/>
                <w:szCs w:val="20"/>
              </w:rPr>
              <w:lastRenderedPageBreak/>
              <w:t>los asistentes.</w:t>
            </w:r>
          </w:p>
        </w:tc>
      </w:tr>
      <w:tr w:rsidR="003239FA" w:rsidRPr="00E8262C">
        <w:trPr>
          <w:trHeight w:val="525"/>
        </w:trPr>
        <w:tc>
          <w:tcPr>
            <w:tcW w:w="27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b/>
                <w:sz w:val="20"/>
                <w:szCs w:val="20"/>
              </w:rPr>
            </w:pPr>
            <w:r w:rsidRPr="00E8262C">
              <w:rPr>
                <w:rFonts w:ascii="Palatino Linotype" w:eastAsia="Palatino Linotype" w:hAnsi="Palatino Linotype" w:cs="Palatino Linotype"/>
                <w:b/>
                <w:sz w:val="20"/>
                <w:szCs w:val="20"/>
              </w:rPr>
              <w:lastRenderedPageBreak/>
              <w:t>05219/DIFMETEPEC/IP/2022</w:t>
            </w:r>
          </w:p>
        </w:tc>
        <w:tc>
          <w:tcPr>
            <w:tcW w:w="57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239FA" w:rsidRPr="00E8262C" w:rsidRDefault="00D53368">
            <w:pPr>
              <w:widowControl w:val="0"/>
              <w:spacing w:line="276" w:lineRule="auto"/>
              <w:rPr>
                <w:rFonts w:ascii="Palatino Linotype" w:eastAsia="Palatino Linotype" w:hAnsi="Palatino Linotype" w:cs="Palatino Linotype"/>
                <w:i/>
                <w:sz w:val="20"/>
                <w:szCs w:val="20"/>
              </w:rPr>
            </w:pPr>
            <w:r w:rsidRPr="00E8262C">
              <w:rPr>
                <w:rFonts w:ascii="Palatino Linotype" w:eastAsia="Palatino Linotype" w:hAnsi="Palatino Linotype" w:cs="Palatino Linotype"/>
                <w:i/>
                <w:sz w:val="20"/>
                <w:szCs w:val="20"/>
              </w:rPr>
              <w:t xml:space="preserve">Solicito el documento en </w:t>
            </w:r>
            <w:proofErr w:type="spellStart"/>
            <w:r w:rsidRPr="00E8262C">
              <w:rPr>
                <w:rFonts w:ascii="Palatino Linotype" w:eastAsia="Palatino Linotype" w:hAnsi="Palatino Linotype" w:cs="Palatino Linotype"/>
                <w:i/>
                <w:sz w:val="20"/>
                <w:szCs w:val="20"/>
              </w:rPr>
              <w:t>pdf</w:t>
            </w:r>
            <w:proofErr w:type="spellEnd"/>
            <w:r w:rsidRPr="00E8262C">
              <w:rPr>
                <w:rFonts w:ascii="Palatino Linotype" w:eastAsia="Palatino Linotype" w:hAnsi="Palatino Linotype" w:cs="Palatino Linotype"/>
                <w:i/>
                <w:sz w:val="20"/>
                <w:szCs w:val="20"/>
              </w:rPr>
              <w:t xml:space="preserve"> en el que conste el número y nombre de los clubes de adultos mayores que se reunieron el 30 de abril de 2022 así como las medidas sanitarias llevadas a cabo y el nombre de las y los asistentes.</w:t>
            </w:r>
          </w:p>
        </w:tc>
      </w:tr>
    </w:tbl>
    <w:p w:rsidR="003239FA" w:rsidRPr="00E8262C" w:rsidRDefault="003239FA">
      <w:pPr>
        <w:widowControl w:val="0"/>
        <w:spacing w:line="360" w:lineRule="auto"/>
        <w:jc w:val="both"/>
        <w:rPr>
          <w:rFonts w:ascii="Palatino Linotype" w:eastAsia="Palatino Linotype" w:hAnsi="Palatino Linotype" w:cs="Palatino Linotype"/>
        </w:rPr>
      </w:pPr>
    </w:p>
    <w:p w:rsidR="003239FA" w:rsidRPr="00E8262C" w:rsidRDefault="00D53368">
      <w:pPr>
        <w:tabs>
          <w:tab w:val="left" w:pos="709"/>
        </w:tabs>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En su respuesta el ente recurrido adjuntó el documento denominado “</w:t>
      </w:r>
      <w:r w:rsidRPr="00E8262C">
        <w:rPr>
          <w:rFonts w:ascii="Palatino Linotype" w:eastAsia="Palatino Linotype" w:hAnsi="Palatino Linotype" w:cs="Palatino Linotype"/>
          <w:i/>
        </w:rPr>
        <w:t xml:space="preserve">acta primer sesión extraordinaria Comité de transparencia.pdf” </w:t>
      </w:r>
      <w:r w:rsidRPr="00E8262C">
        <w:rPr>
          <w:rFonts w:ascii="Palatino Linotype" w:eastAsia="Palatino Linotype" w:hAnsi="Palatino Linotype" w:cs="Palatino Linotype"/>
        </w:rPr>
        <w:t xml:space="preserve">de cuyo contenido se aprecia el Acta de la Primera Sesión Extraordinaria del Comité de Transparencia del ente recurrido en fecha veinticinco de febrero de dos mil veintidós en donde se aprobó el cambio de modalidad a consulta directa de la información toda vez que las solicitudes turnadas requieren llevar a cabo el estudio y procesamiento de la información, lo cual sobrepasa sus capacidades, aunado a la situación de la pandemia por </w:t>
      </w:r>
      <w:proofErr w:type="spellStart"/>
      <w:r w:rsidRPr="00E8262C">
        <w:rPr>
          <w:rFonts w:ascii="Palatino Linotype" w:eastAsia="Palatino Linotype" w:hAnsi="Palatino Linotype" w:cs="Palatino Linotype"/>
        </w:rPr>
        <w:t>Covid</w:t>
      </w:r>
      <w:proofErr w:type="spellEnd"/>
      <w:r w:rsidRPr="00E8262C">
        <w:rPr>
          <w:rFonts w:ascii="Palatino Linotype" w:eastAsia="Palatino Linotype" w:hAnsi="Palatino Linotype" w:cs="Palatino Linotype"/>
        </w:rPr>
        <w:t xml:space="preserve">- 19 que requiere de desarrollar sus actividades con el personal indispensable. </w:t>
      </w:r>
    </w:p>
    <w:p w:rsidR="003239FA" w:rsidRPr="00E8262C" w:rsidRDefault="003239FA">
      <w:pPr>
        <w:tabs>
          <w:tab w:val="left" w:pos="709"/>
        </w:tabs>
        <w:spacing w:line="360" w:lineRule="auto"/>
        <w:jc w:val="both"/>
        <w:rPr>
          <w:rFonts w:ascii="Palatino Linotype" w:eastAsia="Palatino Linotype" w:hAnsi="Palatino Linotype" w:cs="Palatino Linotype"/>
        </w:rPr>
      </w:pPr>
    </w:p>
    <w:p w:rsidR="003239FA" w:rsidRPr="00E8262C" w:rsidRDefault="00D53368">
      <w:pPr>
        <w:tabs>
          <w:tab w:val="left" w:pos="709"/>
        </w:tabs>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Inconforme con la respuesta, el particular presentó el medio de impugnación en estudio, en el que se queja del cambio de modalidad realizado por </w:t>
      </w:r>
      <w:r w:rsidRPr="00E8262C">
        <w:rPr>
          <w:rFonts w:ascii="Palatino Linotype" w:eastAsia="Palatino Linotype" w:hAnsi="Palatino Linotype" w:cs="Palatino Linotype"/>
          <w:b/>
        </w:rPr>
        <w:t>EL SUJETO OBLIGADO</w:t>
      </w:r>
      <w:r w:rsidRPr="00E8262C">
        <w:rPr>
          <w:rFonts w:ascii="Palatino Linotype" w:eastAsia="Palatino Linotype" w:hAnsi="Palatino Linotype" w:cs="Palatino Linotype"/>
        </w:rPr>
        <w:t xml:space="preserve"> indicando que no se justifica dicho cambio. </w:t>
      </w:r>
    </w:p>
    <w:p w:rsidR="003239FA" w:rsidRPr="00E8262C" w:rsidRDefault="00D53368">
      <w:pPr>
        <w:tabs>
          <w:tab w:val="left" w:pos="2422"/>
        </w:tabs>
        <w:spacing w:before="280" w:after="280" w:line="360" w:lineRule="auto"/>
        <w:ind w:right="49"/>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Así bien es preciso señalar que, </w:t>
      </w:r>
      <w:r w:rsidRPr="00E8262C">
        <w:rPr>
          <w:rFonts w:ascii="Palatino Linotype" w:eastAsia="Palatino Linotype" w:hAnsi="Palatino Linotype" w:cs="Palatino Linotype"/>
          <w:b/>
        </w:rPr>
        <w:t>EL SUJETO OBLIGADO</w:t>
      </w:r>
      <w:r w:rsidRPr="00E8262C">
        <w:rPr>
          <w:rFonts w:ascii="Palatino Linotype" w:eastAsia="Palatino Linotype" w:hAnsi="Palatino Linotype" w:cs="Palatino Linotype"/>
        </w:rPr>
        <w:t xml:space="preserve"> acepta poseer la información solicitada pues incluso determinar ponerla a disposición del particular en sus instalaciones, motivo por el cual </w:t>
      </w:r>
      <w:r w:rsidRPr="00E8262C">
        <w:rPr>
          <w:rFonts w:ascii="Palatino Linotype" w:eastAsia="Palatino Linotype" w:hAnsi="Palatino Linotype" w:cs="Palatino Linotype"/>
          <w:b/>
        </w:rPr>
        <w:t>EL RECURRENTE</w:t>
      </w:r>
      <w:r w:rsidRPr="00E8262C">
        <w:rPr>
          <w:rFonts w:ascii="Palatino Linotype" w:eastAsia="Palatino Linotype" w:hAnsi="Palatino Linotype" w:cs="Palatino Linotype"/>
        </w:rPr>
        <w:t xml:space="preserve"> se inconforma pues este solicitó le fuese entregada la información vía SAIMEX, lo cual en consecuencia actualiza las </w:t>
      </w:r>
      <w:r w:rsidRPr="00E8262C">
        <w:rPr>
          <w:rFonts w:ascii="Palatino Linotype" w:eastAsia="Palatino Linotype" w:hAnsi="Palatino Linotype" w:cs="Palatino Linotype"/>
        </w:rPr>
        <w:lastRenderedPageBreak/>
        <w:t xml:space="preserve">hipótesis de </w:t>
      </w:r>
      <w:proofErr w:type="spellStart"/>
      <w:r w:rsidRPr="00E8262C">
        <w:rPr>
          <w:rFonts w:ascii="Palatino Linotype" w:eastAsia="Palatino Linotype" w:hAnsi="Palatino Linotype" w:cs="Palatino Linotype"/>
        </w:rPr>
        <w:t>procedibilidad</w:t>
      </w:r>
      <w:proofErr w:type="spellEnd"/>
      <w:r w:rsidRPr="00E8262C">
        <w:rPr>
          <w:rFonts w:ascii="Palatino Linotype" w:eastAsia="Palatino Linotype" w:hAnsi="Palatino Linotype" w:cs="Palatino Linotype"/>
        </w:rPr>
        <w:t xml:space="preserve"> prevista en las fracción VIII, del artículo 179 de la Ley de la materia, el cual a la letra dice:</w:t>
      </w:r>
    </w:p>
    <w:p w:rsidR="003239FA" w:rsidRPr="00E8262C" w:rsidRDefault="00D53368">
      <w:pPr>
        <w:ind w:left="851" w:right="901"/>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w:t>
      </w:r>
      <w:r w:rsidRPr="00E8262C">
        <w:rPr>
          <w:rFonts w:ascii="Palatino Linotype" w:eastAsia="Palatino Linotype" w:hAnsi="Palatino Linotype" w:cs="Palatino Linotype"/>
          <w:b/>
          <w:i/>
          <w:sz w:val="22"/>
          <w:szCs w:val="22"/>
        </w:rPr>
        <w:t>Artículo 179.</w:t>
      </w:r>
      <w:r w:rsidRPr="00E8262C">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3239FA" w:rsidRPr="00E8262C" w:rsidRDefault="00D53368">
      <w:pPr>
        <w:ind w:left="851" w:right="901"/>
        <w:jc w:val="both"/>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b/>
          <w:i/>
          <w:sz w:val="22"/>
          <w:szCs w:val="22"/>
        </w:rPr>
        <w:t>(…)</w:t>
      </w:r>
    </w:p>
    <w:p w:rsidR="003239FA" w:rsidRPr="00E8262C" w:rsidRDefault="00D53368">
      <w:pPr>
        <w:ind w:left="851" w:right="901"/>
        <w:jc w:val="both"/>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b/>
          <w:i/>
          <w:sz w:val="22"/>
          <w:szCs w:val="22"/>
        </w:rPr>
        <w:t>VIII. La notificación, entrega o puesta a disposición de información en una modalidad o formato distinto al solicitado;</w:t>
      </w:r>
    </w:p>
    <w:p w:rsidR="003239FA" w:rsidRPr="00E8262C" w:rsidRDefault="00D53368">
      <w:pPr>
        <w:ind w:left="851" w:right="901"/>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w:t>
      </w:r>
      <w:r w:rsidRPr="00E8262C">
        <w:rPr>
          <w:rFonts w:ascii="Palatino Linotype" w:eastAsia="Palatino Linotype" w:hAnsi="Palatino Linotype" w:cs="Palatino Linotype"/>
          <w:i/>
          <w:sz w:val="22"/>
          <w:szCs w:val="22"/>
        </w:rPr>
        <w:t>”</w:t>
      </w:r>
    </w:p>
    <w:p w:rsidR="003239FA" w:rsidRPr="00E8262C" w:rsidRDefault="00D53368">
      <w:pPr>
        <w:ind w:left="851" w:right="901"/>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(Énfasis añadido)</w:t>
      </w:r>
    </w:p>
    <w:p w:rsidR="003239FA" w:rsidRPr="00E8262C" w:rsidRDefault="003239FA">
      <w:pPr>
        <w:ind w:left="851" w:right="901"/>
        <w:jc w:val="both"/>
        <w:rPr>
          <w:rFonts w:ascii="Palatino Linotype" w:eastAsia="Palatino Linotype" w:hAnsi="Palatino Linotype" w:cs="Palatino Linotype"/>
          <w:i/>
          <w:sz w:val="22"/>
          <w:szCs w:val="22"/>
        </w:rPr>
      </w:pPr>
    </w:p>
    <w:p w:rsidR="003239FA" w:rsidRPr="00E8262C" w:rsidRDefault="00D53368">
      <w:pPr>
        <w:widowControl w:val="0"/>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El precepto legal antes citado, establece como supuesto de procedencia del Recurso de Revisión, el cambio de modalidad a consulta directa, por parte del </w:t>
      </w:r>
      <w:r w:rsidRPr="00E8262C">
        <w:rPr>
          <w:rFonts w:ascii="Palatino Linotype" w:eastAsia="Palatino Linotype" w:hAnsi="Palatino Linotype" w:cs="Palatino Linotype"/>
          <w:b/>
        </w:rPr>
        <w:t>SUJETO OBLIGADO</w:t>
      </w:r>
      <w:r w:rsidRPr="00E8262C">
        <w:rPr>
          <w:rFonts w:ascii="Palatino Linotype" w:eastAsia="Palatino Linotype" w:hAnsi="Palatino Linotype" w:cs="Palatino Linotype"/>
        </w:rPr>
        <w:t xml:space="preserve">, situación que se actualiza en el caso en concreto.  </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De tal manera es importante referir, que </w:t>
      </w:r>
      <w:r w:rsidRPr="00E8262C">
        <w:rPr>
          <w:rFonts w:ascii="Palatino Linotype" w:eastAsia="Palatino Linotype" w:hAnsi="Palatino Linotype" w:cs="Palatino Linotype"/>
          <w:b/>
        </w:rPr>
        <w:t>EL RECURRENTE</w:t>
      </w:r>
      <w:r w:rsidRPr="00E8262C">
        <w:rPr>
          <w:rFonts w:ascii="Palatino Linotype" w:eastAsia="Palatino Linotype" w:hAnsi="Palatino Linotype" w:cs="Palatino Linotype"/>
        </w:rPr>
        <w:t xml:space="preserve"> al momento de presentar las solicitudes de información que dieron origen a los Recurso de Revisión que nos ocupan, eligió como modalidad de entrega </w:t>
      </w:r>
      <w:r w:rsidRPr="00E8262C">
        <w:rPr>
          <w:rFonts w:ascii="Palatino Linotype" w:eastAsia="Palatino Linotype" w:hAnsi="Palatino Linotype" w:cs="Palatino Linotype"/>
          <w:b/>
          <w:u w:val="single"/>
        </w:rPr>
        <w:t>Vía SAIMEX</w:t>
      </w:r>
      <w:r w:rsidRPr="00E8262C">
        <w:rPr>
          <w:rFonts w:ascii="Palatino Linotype" w:eastAsia="Palatino Linotype" w:hAnsi="Palatino Linotype" w:cs="Palatino Linotype"/>
        </w:rPr>
        <w:t xml:space="preserve">, por su parte, </w:t>
      </w:r>
      <w:r w:rsidRPr="00E8262C">
        <w:rPr>
          <w:rFonts w:ascii="Palatino Linotype" w:eastAsia="Palatino Linotype" w:hAnsi="Palatino Linotype" w:cs="Palatino Linotype"/>
          <w:b/>
        </w:rPr>
        <w:t>EL SUJETO OBLIGADO</w:t>
      </w:r>
      <w:r w:rsidRPr="00E8262C">
        <w:rPr>
          <w:rFonts w:ascii="Palatino Linotype" w:eastAsia="Palatino Linotype" w:hAnsi="Palatino Linotype" w:cs="Palatino Linotype"/>
        </w:rPr>
        <w:t xml:space="preserve"> señala tener la información a disposición del particular en sus oficina, cambiando de forma unilateral la modalidad de entrega a consulta directa (in situ). </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Así bien, es de señalar que los Sujetos Obligados deben respetar la forma seleccionada por los particulares para la entrega de la información; por lo que, si, en este caso en particular, el solicitante eligió </w:t>
      </w:r>
      <w:r w:rsidRPr="00E8262C">
        <w:rPr>
          <w:rFonts w:ascii="Palatino Linotype" w:eastAsia="Palatino Linotype" w:hAnsi="Palatino Linotype" w:cs="Palatino Linotype"/>
          <w:b/>
        </w:rPr>
        <w:t>EL SAIMEX</w:t>
      </w:r>
      <w:r w:rsidRPr="00E8262C">
        <w:rPr>
          <w:rFonts w:ascii="Palatino Linotype" w:eastAsia="Palatino Linotype" w:hAnsi="Palatino Linotype" w:cs="Palatino Linotype"/>
        </w:rPr>
        <w:t xml:space="preserve">, el responsable de la Unidad de Transparencia debió agregar los archivos electrónicos que contengan la información </w:t>
      </w:r>
      <w:r w:rsidRPr="00E8262C">
        <w:rPr>
          <w:rFonts w:ascii="Palatino Linotype" w:eastAsia="Palatino Linotype" w:hAnsi="Palatino Linotype" w:cs="Palatino Linotype"/>
        </w:rPr>
        <w:lastRenderedPageBreak/>
        <w:t xml:space="preserve">requerida en dicho sistema, en versión pública y si bien es cierto que manifestó un caso de imposibilidad técnica y administrativa, para determinar cambiar la modalidad de entrega,  lo cierto es también que de la información remitida en respuesta  no se acreditó que la información solicitada excediera las capacidades tanto administrativas respecto de su unidad como técnicas, en lo relativo al sistema electrónico </w:t>
      </w:r>
      <w:r w:rsidRPr="00E8262C">
        <w:rPr>
          <w:rFonts w:ascii="Palatino Linotype" w:eastAsia="Palatino Linotype" w:hAnsi="Palatino Linotype" w:cs="Palatino Linotype"/>
          <w:b/>
        </w:rPr>
        <w:t>(SAIMEX),</w:t>
      </w:r>
      <w:r w:rsidRPr="00E8262C">
        <w:rPr>
          <w:rFonts w:ascii="Palatino Linotype" w:eastAsia="Palatino Linotype" w:hAnsi="Palatino Linotype" w:cs="Palatino Linotype"/>
        </w:rPr>
        <w:t xml:space="preserve"> al cual se debe cargar dicha información para ser entregada, </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De igual modo, se advierte que </w:t>
      </w:r>
      <w:r w:rsidRPr="00E8262C">
        <w:rPr>
          <w:rFonts w:ascii="Palatino Linotype" w:eastAsia="Palatino Linotype" w:hAnsi="Palatino Linotype" w:cs="Palatino Linotype"/>
          <w:b/>
        </w:rPr>
        <w:t>EL SUJETO OBLIGADO no refirió la fecha de entrega, nombre del servidor público responsable de poner a su disposición la información requerida,</w:t>
      </w:r>
      <w:r w:rsidRPr="00E8262C">
        <w:rPr>
          <w:rFonts w:ascii="Palatino Linotype" w:eastAsia="Palatino Linotype" w:hAnsi="Palatino Linotype" w:cs="Palatino Linotype"/>
        </w:rPr>
        <w:t xml:space="preserve"> </w:t>
      </w:r>
      <w:r w:rsidRPr="00E8262C">
        <w:rPr>
          <w:rFonts w:ascii="Palatino Linotype" w:eastAsia="Palatino Linotype" w:hAnsi="Palatino Linotype" w:cs="Palatino Linotype"/>
          <w:b/>
        </w:rPr>
        <w:t>ni la cantidad de hojas a las que asciende la información solicitada</w:t>
      </w:r>
      <w:r w:rsidRPr="00E8262C">
        <w:rPr>
          <w:rFonts w:ascii="Palatino Linotype" w:eastAsia="Palatino Linotype" w:hAnsi="Palatino Linotype" w:cs="Palatino Linotype"/>
        </w:rPr>
        <w:t xml:space="preserve"> o para el caso el tamaño de los archivos que contienen dichos documentos, como se aprecia a continuación del contenido del Acta de la Sesión del Comité de Transparencia mediante la cual se aprobó el cambio de modalidad a consulta directa, misma que se inserta a continuación: </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center"/>
        <w:rPr>
          <w:rFonts w:ascii="Palatino Linotype" w:eastAsia="Palatino Linotype" w:hAnsi="Palatino Linotype" w:cs="Palatino Linotype"/>
        </w:rPr>
      </w:pPr>
      <w:r w:rsidRPr="00E8262C">
        <w:rPr>
          <w:rFonts w:ascii="Palatino Linotype" w:eastAsia="Palatino Linotype" w:hAnsi="Palatino Linotype" w:cs="Palatino Linotype"/>
          <w:noProof/>
        </w:rPr>
        <w:lastRenderedPageBreak/>
        <w:drawing>
          <wp:inline distT="114300" distB="114300" distL="114300" distR="114300">
            <wp:extent cx="5019675" cy="3244629"/>
            <wp:effectExtent l="0" t="0" r="0" b="0"/>
            <wp:docPr id="2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b="47020"/>
                    <a:stretch>
                      <a:fillRect/>
                    </a:stretch>
                  </pic:blipFill>
                  <pic:spPr>
                    <a:xfrm>
                      <a:off x="0" y="0"/>
                      <a:ext cx="5019675" cy="3244629"/>
                    </a:xfrm>
                    <a:prstGeom prst="rect">
                      <a:avLst/>
                    </a:prstGeom>
                    <a:ln/>
                  </pic:spPr>
                </pic:pic>
              </a:graphicData>
            </a:graphic>
          </wp:inline>
        </w:drawing>
      </w:r>
    </w:p>
    <w:p w:rsidR="003239FA" w:rsidRPr="00E8262C" w:rsidRDefault="00D53368">
      <w:pPr>
        <w:spacing w:line="360" w:lineRule="auto"/>
        <w:jc w:val="center"/>
        <w:rPr>
          <w:rFonts w:ascii="Palatino Linotype" w:eastAsia="Palatino Linotype" w:hAnsi="Palatino Linotype" w:cs="Palatino Linotype"/>
        </w:rPr>
      </w:pPr>
      <w:r w:rsidRPr="00E8262C">
        <w:rPr>
          <w:rFonts w:ascii="Palatino Linotype" w:eastAsia="Palatino Linotype" w:hAnsi="Palatino Linotype" w:cs="Palatino Linotype"/>
          <w:noProof/>
        </w:rPr>
        <w:drawing>
          <wp:inline distT="114300" distB="114300" distL="114300" distR="114300">
            <wp:extent cx="5019675" cy="2537046"/>
            <wp:effectExtent l="0" t="0" r="0" b="0"/>
            <wp:docPr id="2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t="58574"/>
                    <a:stretch>
                      <a:fillRect/>
                    </a:stretch>
                  </pic:blipFill>
                  <pic:spPr>
                    <a:xfrm>
                      <a:off x="0" y="0"/>
                      <a:ext cx="5019675" cy="2537046"/>
                    </a:xfrm>
                    <a:prstGeom prst="rect">
                      <a:avLst/>
                    </a:prstGeom>
                    <a:ln/>
                  </pic:spPr>
                </pic:pic>
              </a:graphicData>
            </a:graphic>
          </wp:inline>
        </w:drawing>
      </w:r>
    </w:p>
    <w:p w:rsidR="003239FA" w:rsidRPr="00E8262C" w:rsidRDefault="00D53368">
      <w:pPr>
        <w:spacing w:line="360" w:lineRule="auto"/>
        <w:jc w:val="center"/>
        <w:rPr>
          <w:rFonts w:ascii="Palatino Linotype" w:eastAsia="Palatino Linotype" w:hAnsi="Palatino Linotype" w:cs="Palatino Linotype"/>
        </w:rPr>
      </w:pPr>
      <w:r w:rsidRPr="00E8262C">
        <w:rPr>
          <w:rFonts w:ascii="Palatino Linotype" w:eastAsia="Palatino Linotype" w:hAnsi="Palatino Linotype" w:cs="Palatino Linotype"/>
          <w:noProof/>
        </w:rPr>
        <w:lastRenderedPageBreak/>
        <w:drawing>
          <wp:inline distT="114300" distB="114300" distL="114300" distR="114300">
            <wp:extent cx="4938078" cy="3730133"/>
            <wp:effectExtent l="0" t="0" r="0" b="0"/>
            <wp:docPr id="2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b="45912"/>
                    <a:stretch>
                      <a:fillRect/>
                    </a:stretch>
                  </pic:blipFill>
                  <pic:spPr>
                    <a:xfrm>
                      <a:off x="0" y="0"/>
                      <a:ext cx="4938078" cy="3730133"/>
                    </a:xfrm>
                    <a:prstGeom prst="rect">
                      <a:avLst/>
                    </a:prstGeom>
                    <a:ln/>
                  </pic:spPr>
                </pic:pic>
              </a:graphicData>
            </a:graphic>
          </wp:inline>
        </w:drawing>
      </w:r>
    </w:p>
    <w:p w:rsidR="003239FA" w:rsidRPr="00E8262C" w:rsidRDefault="00D53368">
      <w:pPr>
        <w:spacing w:line="360" w:lineRule="auto"/>
        <w:jc w:val="center"/>
        <w:rPr>
          <w:rFonts w:ascii="Palatino Linotype" w:eastAsia="Palatino Linotype" w:hAnsi="Palatino Linotype" w:cs="Palatino Linotype"/>
        </w:rPr>
      </w:pPr>
      <w:r w:rsidRPr="00E8262C">
        <w:rPr>
          <w:rFonts w:ascii="Palatino Linotype" w:eastAsia="Palatino Linotype" w:hAnsi="Palatino Linotype" w:cs="Palatino Linotype"/>
          <w:noProof/>
        </w:rPr>
        <w:lastRenderedPageBreak/>
        <w:drawing>
          <wp:inline distT="114300" distB="114300" distL="114300" distR="114300">
            <wp:extent cx="4867275" cy="3089496"/>
            <wp:effectExtent l="0" t="0" r="0" b="0"/>
            <wp:docPr id="2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t="54507"/>
                    <a:stretch>
                      <a:fillRect/>
                    </a:stretch>
                  </pic:blipFill>
                  <pic:spPr>
                    <a:xfrm>
                      <a:off x="0" y="0"/>
                      <a:ext cx="4867275" cy="3089496"/>
                    </a:xfrm>
                    <a:prstGeom prst="rect">
                      <a:avLst/>
                    </a:prstGeom>
                    <a:ln/>
                  </pic:spPr>
                </pic:pic>
              </a:graphicData>
            </a:graphic>
          </wp:inline>
        </w:drawing>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Asimismo del documento referido se aprecia que el cambio de modalidad en comento fue aprobado en fecha veinticinco de febrero de dos mil veintidós lo cual es previo a la fecha de recepción de las solicitudes de información el veinticinco de marzo de dos mil veintidós, razón por la cual el cambio de modalidad aprobado fue previo a la recepción de la solicitud, es decir, no atendió a las circunstancias específicas de la información solicitada o del caso en concreto, sino que fue realizado como una medida general. </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En consecuencia, dicho cambio de modalidad no se efectuó con la debida fundamentación y motivación que debe acompañar todo acto de autoridad, siendo esta </w:t>
      </w:r>
      <w:r w:rsidRPr="00E8262C">
        <w:rPr>
          <w:rFonts w:ascii="Palatino Linotype" w:eastAsia="Palatino Linotype" w:hAnsi="Palatino Linotype" w:cs="Palatino Linotype"/>
        </w:rPr>
        <w:lastRenderedPageBreak/>
        <w:t>una obligación que tiene todo ente público de expresar los preceptos jurídicos aplicables al asunto motivo del acto y las razones o argumentos de su actuar.</w:t>
      </w:r>
    </w:p>
    <w:p w:rsidR="003239FA" w:rsidRPr="00E8262C" w:rsidRDefault="003239FA">
      <w:pPr>
        <w:spacing w:line="360" w:lineRule="auto"/>
        <w:ind w:right="51"/>
        <w:jc w:val="both"/>
        <w:rPr>
          <w:rFonts w:ascii="Palatino Linotype" w:eastAsia="Palatino Linotype" w:hAnsi="Palatino Linotype" w:cs="Palatino Linotype"/>
        </w:rPr>
      </w:pPr>
    </w:p>
    <w:p w:rsidR="003239FA" w:rsidRPr="00E8262C" w:rsidRDefault="00D53368">
      <w:pPr>
        <w:spacing w:line="360" w:lineRule="auto"/>
        <w:ind w:right="49"/>
        <w:jc w:val="both"/>
        <w:rPr>
          <w:rFonts w:ascii="Palatino Linotype" w:eastAsia="Palatino Linotype" w:hAnsi="Palatino Linotype" w:cs="Palatino Linotype"/>
        </w:rPr>
      </w:pPr>
      <w:r w:rsidRPr="00E8262C">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rsidR="003239FA" w:rsidRPr="00E8262C" w:rsidRDefault="003239FA">
      <w:pPr>
        <w:ind w:left="850" w:right="900"/>
        <w:jc w:val="both"/>
        <w:rPr>
          <w:rFonts w:ascii="Palatino Linotype" w:eastAsia="Palatino Linotype" w:hAnsi="Palatino Linotype" w:cs="Palatino Linotype"/>
          <w:i/>
          <w:sz w:val="22"/>
          <w:szCs w:val="22"/>
        </w:rPr>
      </w:pPr>
    </w:p>
    <w:p w:rsidR="003239FA" w:rsidRPr="00E8262C" w:rsidRDefault="00D53368">
      <w:pPr>
        <w:ind w:left="850" w:right="900"/>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w:t>
      </w:r>
      <w:r w:rsidRPr="00E8262C">
        <w:rPr>
          <w:rFonts w:ascii="Palatino Linotype" w:eastAsia="Palatino Linotype" w:hAnsi="Palatino Linotype" w:cs="Palatino Linotype"/>
          <w:b/>
          <w:i/>
          <w:sz w:val="22"/>
          <w:szCs w:val="22"/>
        </w:rPr>
        <w:t xml:space="preserve">FUNDAMENTACION Y MOTIVACION. </w:t>
      </w:r>
      <w:r w:rsidRPr="00E8262C">
        <w:rPr>
          <w:rFonts w:ascii="Palatino Linotype" w:eastAsia="Palatino Linotype" w:hAnsi="Palatino Linotype" w:cs="Palatino Linotype"/>
          <w:i/>
          <w:sz w:val="22"/>
          <w:szCs w:val="22"/>
        </w:rPr>
        <w:t xml:space="preserve">La </w:t>
      </w:r>
      <w:r w:rsidRPr="00E8262C">
        <w:rPr>
          <w:rFonts w:ascii="Palatino Linotype" w:eastAsia="Palatino Linotype" w:hAnsi="Palatino Linotype" w:cs="Palatino Linotype"/>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8262C">
        <w:rPr>
          <w:rFonts w:ascii="Palatino Linotype" w:eastAsia="Palatino Linotype" w:hAnsi="Palatino Linotype" w:cs="Palatino Linotype"/>
          <w:b/>
          <w:i/>
          <w:sz w:val="22"/>
          <w:szCs w:val="22"/>
        </w:rPr>
        <w:t xml:space="preserve">…” </w:t>
      </w:r>
      <w:r w:rsidRPr="00E8262C">
        <w:rPr>
          <w:rFonts w:ascii="Palatino Linotype" w:eastAsia="Palatino Linotype" w:hAnsi="Palatino Linotype" w:cs="Palatino Linotype"/>
          <w:i/>
          <w:sz w:val="22"/>
          <w:szCs w:val="22"/>
        </w:rPr>
        <w:t>(Sic)</w:t>
      </w:r>
    </w:p>
    <w:p w:rsidR="003239FA" w:rsidRPr="00E8262C" w:rsidRDefault="003239FA">
      <w:pPr>
        <w:ind w:left="850" w:right="900"/>
        <w:jc w:val="both"/>
        <w:rPr>
          <w:rFonts w:ascii="Palatino Linotype" w:eastAsia="Palatino Linotype" w:hAnsi="Palatino Linotype" w:cs="Palatino Linotype"/>
          <w:i/>
          <w:sz w:val="22"/>
          <w:szCs w:val="22"/>
        </w:rPr>
      </w:pPr>
    </w:p>
    <w:p w:rsidR="003239FA" w:rsidRPr="00E8262C" w:rsidRDefault="00D53368">
      <w:pPr>
        <w:spacing w:line="360" w:lineRule="auto"/>
        <w:ind w:right="51"/>
        <w:jc w:val="both"/>
        <w:rPr>
          <w:rFonts w:ascii="Palatino Linotype" w:eastAsia="Palatino Linotype" w:hAnsi="Palatino Linotype" w:cs="Palatino Linotype"/>
        </w:rPr>
      </w:pPr>
      <w:r w:rsidRPr="00E8262C">
        <w:rPr>
          <w:rFonts w:ascii="Palatino Linotype" w:eastAsia="Palatino Linotype" w:hAnsi="Palatino Linotype" w:cs="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3239FA" w:rsidRPr="00E8262C" w:rsidRDefault="003239FA">
      <w:pPr>
        <w:spacing w:line="360" w:lineRule="auto"/>
        <w:ind w:right="51"/>
        <w:jc w:val="both"/>
        <w:rPr>
          <w:rFonts w:ascii="Palatino Linotype" w:eastAsia="Palatino Linotype" w:hAnsi="Palatino Linotype" w:cs="Palatino Linotype"/>
        </w:rPr>
      </w:pPr>
    </w:p>
    <w:p w:rsidR="003239FA" w:rsidRPr="00E8262C" w:rsidRDefault="00D53368">
      <w:pPr>
        <w:spacing w:line="360" w:lineRule="auto"/>
        <w:ind w:right="51"/>
        <w:jc w:val="both"/>
        <w:rPr>
          <w:rFonts w:ascii="Palatino Linotype" w:eastAsia="Palatino Linotype" w:hAnsi="Palatino Linotype" w:cs="Palatino Linotype"/>
        </w:rPr>
      </w:pPr>
      <w:r w:rsidRPr="00E8262C">
        <w:rPr>
          <w:rFonts w:ascii="Palatino Linotype" w:eastAsia="Palatino Linotype" w:hAnsi="Palatino Linotype" w:cs="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rsidR="003239FA" w:rsidRPr="00E8262C" w:rsidRDefault="003239FA">
      <w:pPr>
        <w:ind w:left="850" w:right="900"/>
        <w:jc w:val="both"/>
        <w:rPr>
          <w:rFonts w:ascii="Palatino Linotype" w:eastAsia="Palatino Linotype" w:hAnsi="Palatino Linotype" w:cs="Palatino Linotype"/>
          <w:b/>
          <w:i/>
          <w:sz w:val="22"/>
          <w:szCs w:val="22"/>
        </w:rPr>
      </w:pPr>
    </w:p>
    <w:p w:rsidR="003239FA" w:rsidRPr="00E8262C" w:rsidRDefault="00D53368">
      <w:pPr>
        <w:ind w:left="850" w:right="900"/>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E8262C">
        <w:rPr>
          <w:rFonts w:ascii="Palatino Linotype" w:eastAsia="Palatino Linotype" w:hAnsi="Palatino Linotype" w:cs="Palatino Linotype"/>
          <w:i/>
          <w:sz w:val="22"/>
          <w:szCs w:val="22"/>
        </w:rPr>
        <w:t xml:space="preserve">. El contenido formal de la garantía de legalidad prevista en el artículo 16 constitucional relativa a la </w:t>
      </w:r>
      <w:r w:rsidRPr="00E8262C">
        <w:rPr>
          <w:rFonts w:ascii="Palatino Linotype" w:eastAsia="Palatino Linotype" w:hAnsi="Palatino Linotype" w:cs="Palatino Linotype"/>
          <w:b/>
          <w:i/>
          <w:sz w:val="22"/>
          <w:szCs w:val="22"/>
        </w:rPr>
        <w:t xml:space="preserve">fundamentación y motivación tiene como </w:t>
      </w:r>
      <w:r w:rsidRPr="00E8262C">
        <w:rPr>
          <w:rFonts w:ascii="Palatino Linotype" w:eastAsia="Palatino Linotype" w:hAnsi="Palatino Linotype" w:cs="Palatino Linotype"/>
          <w:b/>
          <w:i/>
          <w:sz w:val="22"/>
          <w:szCs w:val="22"/>
        </w:rPr>
        <w:lastRenderedPageBreak/>
        <w:t>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E8262C">
        <w:rPr>
          <w:rFonts w:ascii="Palatino Linotype" w:eastAsia="Palatino Linotype" w:hAnsi="Palatino Linotype" w:cs="Palatino Linotype"/>
          <w:i/>
          <w:sz w:val="22"/>
          <w:szCs w:val="22"/>
        </w:rPr>
        <w:t xml:space="preserve">. Por tanto, </w:t>
      </w:r>
      <w:r w:rsidRPr="00E8262C">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sidRPr="00E8262C">
        <w:rPr>
          <w:rFonts w:ascii="Palatino Linotype" w:eastAsia="Palatino Linotype" w:hAnsi="Palatino Linotype" w:cs="Palatino Linotype"/>
          <w:i/>
          <w:sz w:val="22"/>
          <w:szCs w:val="22"/>
        </w:rPr>
        <w:t>, que impida la finalidad del conocimiento, comprobación y defensa pertinente</w:t>
      </w:r>
      <w:r w:rsidRPr="00E8262C">
        <w:rPr>
          <w:rFonts w:ascii="Palatino Linotype" w:eastAsia="Palatino Linotype" w:hAnsi="Palatino Linotype" w:cs="Palatino Linotype"/>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E8262C">
        <w:rPr>
          <w:rFonts w:ascii="Palatino Linotype" w:eastAsia="Palatino Linotype" w:hAnsi="Palatino Linotype" w:cs="Palatino Linotype"/>
          <w:i/>
          <w:sz w:val="22"/>
          <w:szCs w:val="22"/>
        </w:rPr>
        <w:t>.”</w:t>
      </w:r>
      <w:r w:rsidRPr="00E8262C">
        <w:rPr>
          <w:rFonts w:ascii="Palatino Linotype" w:eastAsia="Palatino Linotype" w:hAnsi="Palatino Linotype" w:cs="Palatino Linotype"/>
        </w:rPr>
        <w:t xml:space="preserve"> </w:t>
      </w:r>
      <w:r w:rsidRPr="00E8262C">
        <w:rPr>
          <w:rFonts w:ascii="Palatino Linotype" w:eastAsia="Palatino Linotype" w:hAnsi="Palatino Linotype" w:cs="Palatino Linotype"/>
          <w:i/>
          <w:sz w:val="22"/>
          <w:szCs w:val="22"/>
        </w:rPr>
        <w:t>(Sic)</w:t>
      </w:r>
    </w:p>
    <w:p w:rsidR="003239FA" w:rsidRPr="00E8262C" w:rsidRDefault="003239FA">
      <w:pPr>
        <w:ind w:left="850" w:right="900"/>
        <w:jc w:val="both"/>
        <w:rPr>
          <w:rFonts w:ascii="Palatino Linotype" w:eastAsia="Palatino Linotype" w:hAnsi="Palatino Linotype" w:cs="Palatino Linotype"/>
          <w:i/>
          <w:sz w:val="22"/>
          <w:szCs w:val="22"/>
        </w:rPr>
      </w:pPr>
    </w:p>
    <w:p w:rsidR="003239FA" w:rsidRPr="00E8262C" w:rsidRDefault="003239FA">
      <w:pPr>
        <w:ind w:left="850" w:right="900"/>
        <w:jc w:val="both"/>
        <w:rPr>
          <w:rFonts w:ascii="Palatino Linotype" w:eastAsia="Palatino Linotype" w:hAnsi="Palatino Linotype" w:cs="Palatino Linotype"/>
          <w:i/>
          <w:sz w:val="22"/>
          <w:szCs w:val="22"/>
        </w:rPr>
      </w:pPr>
    </w:p>
    <w:p w:rsidR="003239FA" w:rsidRPr="00E8262C" w:rsidRDefault="00D53368">
      <w:pPr>
        <w:spacing w:line="360" w:lineRule="auto"/>
        <w:ind w:right="49"/>
        <w:jc w:val="both"/>
        <w:rPr>
          <w:rFonts w:ascii="Palatino Linotype" w:eastAsia="Palatino Linotype" w:hAnsi="Palatino Linotype" w:cs="Palatino Linotype"/>
        </w:rPr>
      </w:pPr>
      <w:r w:rsidRPr="00E8262C">
        <w:rPr>
          <w:rFonts w:ascii="Palatino Linotype" w:eastAsia="Palatino Linotype" w:hAnsi="Palatino Linotype" w:cs="Palatino Linotype"/>
        </w:rPr>
        <w:t>Atendiendo lo anterior,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3239FA" w:rsidRPr="00E8262C" w:rsidRDefault="003239FA">
      <w:pPr>
        <w:spacing w:line="360" w:lineRule="auto"/>
        <w:ind w:right="49"/>
        <w:jc w:val="both"/>
        <w:rPr>
          <w:rFonts w:ascii="Palatino Linotype" w:eastAsia="Palatino Linotype" w:hAnsi="Palatino Linotype" w:cs="Palatino Linotype"/>
        </w:rPr>
      </w:pPr>
    </w:p>
    <w:p w:rsidR="003239FA" w:rsidRPr="00E8262C" w:rsidRDefault="00D53368">
      <w:pPr>
        <w:spacing w:line="360" w:lineRule="auto"/>
        <w:ind w:right="49"/>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De forma que, no basta con solamente referir el precepto legal aplicable, sino que debe de estar claramente relacionado con el caso en concreto; es decir, si se argumenta una imposibilidad técnica o humana debe estar debidamente soportada con el fundamento legal corresponde y la explicación de porqué dicha norma es procedente en el supuesto del que se trate. </w:t>
      </w:r>
    </w:p>
    <w:p w:rsidR="003239FA" w:rsidRPr="00E8262C" w:rsidRDefault="003239FA">
      <w:pPr>
        <w:spacing w:line="360" w:lineRule="auto"/>
        <w:ind w:right="49"/>
        <w:jc w:val="both"/>
        <w:rPr>
          <w:rFonts w:ascii="Palatino Linotype" w:eastAsia="Palatino Linotype" w:hAnsi="Palatino Linotype" w:cs="Palatino Linotype"/>
        </w:rPr>
      </w:pPr>
    </w:p>
    <w:p w:rsidR="003239FA" w:rsidRPr="00E8262C" w:rsidRDefault="00D53368">
      <w:pPr>
        <w:spacing w:line="360" w:lineRule="auto"/>
        <w:ind w:right="49"/>
        <w:jc w:val="both"/>
        <w:rPr>
          <w:rFonts w:ascii="Palatino Linotype" w:eastAsia="Palatino Linotype" w:hAnsi="Palatino Linotype" w:cs="Palatino Linotype"/>
        </w:rPr>
      </w:pPr>
      <w:r w:rsidRPr="00E8262C">
        <w:rPr>
          <w:rFonts w:ascii="Palatino Linotype" w:eastAsia="Palatino Linotype" w:hAnsi="Palatino Linotype" w:cs="Palatino Linotype"/>
        </w:rPr>
        <w:t>En tal sentido, es importante señalar lo que establece el artículo 158 de la Ley de Transparencia y Acceso a la Información pública del Estado de México y Municipios:</w:t>
      </w:r>
    </w:p>
    <w:p w:rsidR="003239FA" w:rsidRPr="00E8262C" w:rsidRDefault="00D53368">
      <w:pPr>
        <w:widowControl w:val="0"/>
        <w:ind w:left="709" w:right="75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w:t>
      </w:r>
      <w:r w:rsidRPr="00E8262C">
        <w:rPr>
          <w:rFonts w:ascii="Palatino Linotype" w:eastAsia="Palatino Linotype" w:hAnsi="Palatino Linotype" w:cs="Palatino Linotype"/>
          <w:b/>
          <w:i/>
          <w:sz w:val="22"/>
          <w:szCs w:val="22"/>
        </w:rPr>
        <w:t xml:space="preserve">Artículo 158. </w:t>
      </w:r>
      <w:r w:rsidRPr="00E8262C">
        <w:rPr>
          <w:rFonts w:ascii="Palatino Linotype" w:eastAsia="Palatino Linotype" w:hAnsi="Palatino Linotype" w:cs="Palatino Linotype"/>
          <w:i/>
          <w:sz w:val="22"/>
          <w:szCs w:val="22"/>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rsidR="003239FA" w:rsidRPr="00E8262C" w:rsidRDefault="00D53368">
      <w:pPr>
        <w:widowControl w:val="0"/>
        <w:ind w:left="709" w:right="760"/>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En todo caso, se facilitará su copia simple o certificada, así como su reproducción por cualquier medio disponible en las instalaciones del sujeto obligado o que, en su caso, aporte el solicitante.”</w:t>
      </w:r>
    </w:p>
    <w:p w:rsidR="003239FA" w:rsidRPr="00E8262C" w:rsidRDefault="00D53368">
      <w:pPr>
        <w:widowControl w:val="0"/>
        <w:ind w:left="709" w:right="760"/>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(Énfasis añadido)</w:t>
      </w:r>
    </w:p>
    <w:p w:rsidR="003239FA" w:rsidRPr="00E8262C" w:rsidRDefault="003239FA">
      <w:pPr>
        <w:widowControl w:val="0"/>
        <w:spacing w:line="360" w:lineRule="auto"/>
        <w:jc w:val="both"/>
        <w:rPr>
          <w:rFonts w:ascii="Palatino Linotype" w:eastAsia="Palatino Linotype" w:hAnsi="Palatino Linotype" w:cs="Palatino Linotype"/>
        </w:rPr>
      </w:pPr>
    </w:p>
    <w:p w:rsidR="003239FA" w:rsidRPr="00E8262C" w:rsidRDefault="00D53368">
      <w:pPr>
        <w:widowControl w:val="0"/>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El precepto legal antes citado, establece que el cambio de modalidad es de forma excepcional, que sólo tendrá lugar cuando lo inicialmente solicitado implique que la dependencia o entidad deba hacer un análisis, estudio o procesamiento de datos para cuya realización no tenga las suficientes capacidades técnicas de cumplir en tiempo señalado por la normatividad, para emitir su respectiva respuesta y mediante dichas excepciones se podrá poner a disposición la información en las instalaciones del </w:t>
      </w:r>
      <w:r w:rsidRPr="00E8262C">
        <w:rPr>
          <w:rFonts w:ascii="Palatino Linotype" w:eastAsia="Palatino Linotype" w:hAnsi="Palatino Linotype" w:cs="Palatino Linotype"/>
          <w:b/>
        </w:rPr>
        <w:t>SUJETO OBLIGADO</w:t>
      </w:r>
      <w:r w:rsidRPr="00E8262C">
        <w:rPr>
          <w:rFonts w:ascii="Palatino Linotype" w:eastAsia="Palatino Linotype" w:hAnsi="Palatino Linotype" w:cs="Palatino Linotype"/>
        </w:rPr>
        <w:t>, en términos del ordinal 158 citado con anterioridad.</w:t>
      </w:r>
    </w:p>
    <w:p w:rsidR="003239FA" w:rsidRPr="00E8262C" w:rsidRDefault="003239FA">
      <w:pPr>
        <w:widowControl w:val="0"/>
        <w:spacing w:line="360" w:lineRule="auto"/>
        <w:jc w:val="both"/>
        <w:rPr>
          <w:rFonts w:ascii="Palatino Linotype" w:eastAsia="Palatino Linotype" w:hAnsi="Palatino Linotype" w:cs="Palatino Linotype"/>
        </w:rPr>
      </w:pPr>
    </w:p>
    <w:p w:rsidR="003239FA" w:rsidRPr="00E8262C" w:rsidRDefault="00D53368">
      <w:pPr>
        <w:spacing w:line="360" w:lineRule="auto"/>
        <w:ind w:right="49"/>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Por lo anterior y ya que del contenido de la respuesta remitida por </w:t>
      </w:r>
      <w:r w:rsidRPr="00E8262C">
        <w:rPr>
          <w:rFonts w:ascii="Palatino Linotype" w:eastAsia="Palatino Linotype" w:hAnsi="Palatino Linotype" w:cs="Palatino Linotype"/>
          <w:b/>
        </w:rPr>
        <w:t xml:space="preserve">EL SUJETO OBLIGADO </w:t>
      </w:r>
      <w:r w:rsidRPr="00E8262C">
        <w:rPr>
          <w:rFonts w:ascii="Palatino Linotype" w:eastAsia="Palatino Linotype" w:hAnsi="Palatino Linotype" w:cs="Palatino Linotype"/>
        </w:rPr>
        <w:t xml:space="preserve">no se advierten elementos suficientes para poder determinar la procedencia del cambio de modalidad sugerido por el ente recurrido. Esta Ponencia </w:t>
      </w:r>
      <w:r w:rsidRPr="00E8262C">
        <w:rPr>
          <w:rFonts w:ascii="Palatino Linotype" w:eastAsia="Palatino Linotype" w:hAnsi="Palatino Linotype" w:cs="Palatino Linotype"/>
        </w:rPr>
        <w:lastRenderedPageBreak/>
        <w:t>hizo un requerimiento de información adicional en fecha seis de octubre  de dos mil veintidós, al Titular de la Unidad de Transparencia, sin que se haya recibido respuesta.</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En consecuencia, dicho cambio de modalidad decidido unilateralmente por </w:t>
      </w:r>
      <w:r w:rsidRPr="00E8262C">
        <w:rPr>
          <w:rFonts w:ascii="Palatino Linotype" w:eastAsia="Palatino Linotype" w:hAnsi="Palatino Linotype" w:cs="Palatino Linotype"/>
          <w:b/>
        </w:rPr>
        <w:t>EL SUJETO OBLIGADO</w:t>
      </w:r>
      <w:r w:rsidRPr="00E8262C">
        <w:rPr>
          <w:rFonts w:ascii="Palatino Linotype" w:eastAsia="Palatino Linotype" w:hAnsi="Palatino Linotype" w:cs="Palatino Linotype"/>
        </w:rPr>
        <w:t xml:space="preserve"> es improcedente por no haberse realizado en apego a lo establecido por la Ley de Transparencia y Acceso a la Información Pública del Estado de México y Municipios. </w:t>
      </w:r>
    </w:p>
    <w:p w:rsidR="003239FA" w:rsidRPr="00E8262C" w:rsidRDefault="003239FA">
      <w:pPr>
        <w:tabs>
          <w:tab w:val="left" w:pos="709"/>
        </w:tabs>
        <w:spacing w:line="360" w:lineRule="auto"/>
        <w:jc w:val="both"/>
        <w:rPr>
          <w:rFonts w:ascii="Palatino Linotype" w:eastAsia="Palatino Linotype" w:hAnsi="Palatino Linotype" w:cs="Palatino Linotype"/>
        </w:rPr>
      </w:pPr>
    </w:p>
    <w:p w:rsidR="003239FA" w:rsidRPr="00E8262C" w:rsidRDefault="00D53368">
      <w:pPr>
        <w:tabs>
          <w:tab w:val="left" w:pos="709"/>
        </w:tabs>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En cuanto a la naturaleza de la información, se debe agregar que el derecho humano de Acceso a la Información Pública se verifica a través de la consulta a toda la información generada obtenida, adquirida, transformada o administrada por los sujetos obligados, misma que es en primera instancia pública y debe ser accesible a cualquier persona, lo anterior conforme a l contenido de los artículos 4 y 12, de la Ley de Transparencia y Acceso a la Información Pública del Estado de México y Municipios, mismos que son del tenor siguiente:</w:t>
      </w:r>
    </w:p>
    <w:p w:rsidR="003239FA" w:rsidRPr="00E8262C" w:rsidRDefault="003239FA"/>
    <w:p w:rsidR="003239FA" w:rsidRPr="00E8262C" w:rsidRDefault="003239FA">
      <w:pPr>
        <w:spacing w:line="259" w:lineRule="auto"/>
        <w:ind w:left="567" w:right="567"/>
        <w:jc w:val="both"/>
        <w:rPr>
          <w:rFonts w:ascii="Palatino Linotype" w:eastAsia="Palatino Linotype" w:hAnsi="Palatino Linotype" w:cs="Palatino Linotype"/>
          <w:i/>
          <w:sz w:val="22"/>
          <w:szCs w:val="22"/>
        </w:rPr>
      </w:pPr>
    </w:p>
    <w:p w:rsidR="003239FA" w:rsidRPr="00E8262C" w:rsidRDefault="00D53368">
      <w:pPr>
        <w:spacing w:line="259" w:lineRule="auto"/>
        <w:ind w:left="567" w:right="56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w:t>
      </w:r>
      <w:r w:rsidRPr="00E8262C">
        <w:rPr>
          <w:rFonts w:ascii="Palatino Linotype" w:eastAsia="Palatino Linotype" w:hAnsi="Palatino Linotype" w:cs="Palatino Linotype"/>
          <w:b/>
          <w:i/>
          <w:sz w:val="22"/>
          <w:szCs w:val="22"/>
        </w:rPr>
        <w:t>Artículo 4.</w:t>
      </w:r>
      <w:r w:rsidRPr="00E8262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3239FA" w:rsidRPr="00E8262C" w:rsidRDefault="003239FA">
      <w:pPr>
        <w:spacing w:line="259" w:lineRule="auto"/>
        <w:ind w:left="567" w:right="567"/>
        <w:jc w:val="both"/>
        <w:rPr>
          <w:rFonts w:ascii="Palatino Linotype" w:eastAsia="Palatino Linotype" w:hAnsi="Palatino Linotype" w:cs="Palatino Linotype"/>
          <w:b/>
          <w:i/>
          <w:sz w:val="22"/>
          <w:szCs w:val="22"/>
          <w:u w:val="single"/>
        </w:rPr>
      </w:pPr>
    </w:p>
    <w:p w:rsidR="003239FA" w:rsidRPr="00E8262C" w:rsidRDefault="00D53368">
      <w:pPr>
        <w:spacing w:line="259" w:lineRule="auto"/>
        <w:ind w:left="567" w:right="56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u w:val="single"/>
        </w:rPr>
        <w:t>Toda la información generada, obtenida, adquirida, transformada, administrada o en posesión de los sujetos obligados es pública y accesible de manera permanente a cualquier persona</w:t>
      </w:r>
      <w:r w:rsidRPr="00E8262C">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w:t>
      </w:r>
      <w:r w:rsidRPr="00E8262C">
        <w:rPr>
          <w:rFonts w:ascii="Palatino Linotype" w:eastAsia="Palatino Linotype" w:hAnsi="Palatino Linotype" w:cs="Palatino Linotype"/>
          <w:i/>
          <w:sz w:val="22"/>
          <w:szCs w:val="22"/>
        </w:rPr>
        <w:lastRenderedPageBreak/>
        <w:t>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239FA" w:rsidRPr="00E8262C" w:rsidRDefault="003239FA">
      <w:pPr>
        <w:spacing w:line="259" w:lineRule="auto"/>
        <w:ind w:left="567" w:right="567"/>
        <w:jc w:val="both"/>
        <w:rPr>
          <w:rFonts w:ascii="Palatino Linotype" w:eastAsia="Palatino Linotype" w:hAnsi="Palatino Linotype" w:cs="Palatino Linotype"/>
          <w:i/>
          <w:sz w:val="22"/>
          <w:szCs w:val="22"/>
        </w:rPr>
      </w:pPr>
    </w:p>
    <w:p w:rsidR="003239FA" w:rsidRPr="00E8262C" w:rsidRDefault="00D53368">
      <w:pPr>
        <w:spacing w:line="259" w:lineRule="auto"/>
        <w:ind w:left="567" w:right="56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3239FA" w:rsidRPr="00E8262C" w:rsidRDefault="003239FA">
      <w:pPr>
        <w:ind w:left="567" w:right="567"/>
      </w:pPr>
    </w:p>
    <w:p w:rsidR="003239FA" w:rsidRPr="00E8262C" w:rsidRDefault="00D53368">
      <w:pPr>
        <w:spacing w:line="259" w:lineRule="auto"/>
        <w:ind w:left="567" w:right="56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Artículo 12.</w:t>
      </w:r>
      <w:r w:rsidRPr="00E8262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w:t>
      </w:r>
    </w:p>
    <w:p w:rsidR="003239FA" w:rsidRPr="00E8262C" w:rsidRDefault="00D53368">
      <w:pPr>
        <w:spacing w:line="259" w:lineRule="auto"/>
        <w:ind w:left="567" w:right="56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u w:val="single"/>
        </w:rPr>
        <w:t>Los sujetos obligados sólo proporcionarán la información pública que se les requiera y que obre en sus archivos y en el estado en que ésta se encuentre.</w:t>
      </w:r>
      <w:r w:rsidRPr="00E8262C">
        <w:rPr>
          <w:rFonts w:ascii="Palatino Linotype" w:eastAsia="Palatino Linotype" w:hAnsi="Palatino Linotype" w:cs="Palatino Linotype"/>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p>
    <w:p w:rsidR="003239FA" w:rsidRPr="00E8262C" w:rsidRDefault="003239FA"/>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Por consiguiente, los preceptos legales transcritos establecen que </w:t>
      </w:r>
      <w:r w:rsidRPr="00E8262C">
        <w:rPr>
          <w:rFonts w:ascii="Palatino Linotype" w:eastAsia="Palatino Linotype" w:hAnsi="Palatino Linotype" w:cs="Palatino Linotype"/>
          <w:b/>
          <w:u w:val="single"/>
        </w:rPr>
        <w:t>los Sujetos Obligados se encuentran constreñidos a entregar la información pública solicitada por los particulares</w:t>
      </w:r>
      <w:r w:rsidRPr="00E8262C">
        <w:rPr>
          <w:rFonts w:ascii="Palatino Linotype" w:eastAsia="Palatino Linotype" w:hAnsi="Palatino Linotype" w:cs="Palatino Linotype"/>
        </w:rPr>
        <w:t xml:space="preserve"> y que ésta misma se encuentre en sus archivos o que obre en su posesión, </w:t>
      </w:r>
      <w:r w:rsidRPr="00E8262C">
        <w:rPr>
          <w:rFonts w:ascii="Palatino Linotype" w:eastAsia="Palatino Linotype" w:hAnsi="Palatino Linotype" w:cs="Palatino Linotype"/>
          <w:b/>
          <w:u w:val="single"/>
        </w:rPr>
        <w:t>privilegiando en todo momento el principio de máxima publicidad,</w:t>
      </w:r>
      <w:r w:rsidRPr="00E8262C">
        <w:rPr>
          <w:rFonts w:ascii="Palatino Linotype" w:eastAsia="Palatino Linotype" w:hAnsi="Palatino Linotype" w:cs="Palatino Linotype"/>
        </w:rPr>
        <w:t xml:space="preserve"> sin generarla, procesarla, resumirla, ni presentarla conforme al interés del solicitante. </w:t>
      </w:r>
    </w:p>
    <w:p w:rsidR="003239FA" w:rsidRPr="00E8262C" w:rsidRDefault="003239FA">
      <w:pPr>
        <w:spacing w:line="259" w:lineRule="auto"/>
        <w:ind w:right="901"/>
        <w:jc w:val="both"/>
        <w:rPr>
          <w:rFonts w:ascii="Palatino Linotype" w:eastAsia="Palatino Linotype" w:hAnsi="Palatino Linotype" w:cs="Palatino Linotype"/>
          <w:b/>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Asimismo, el artículo 24, de la Ley de la materia, señala que los Sujetos Obligados sólo proporcionarán la información pública que generen, administren o posean en el ejercicio de sus atribuciones; por consiguiente, la información pública se encuentra a </w:t>
      </w:r>
      <w:r w:rsidRPr="00E8262C">
        <w:rPr>
          <w:rFonts w:ascii="Palatino Linotype" w:eastAsia="Palatino Linotype" w:hAnsi="Palatino Linotype" w:cs="Palatino Linotype"/>
        </w:rPr>
        <w:lastRenderedPageBreak/>
        <w:t>disposición de cualquier persona, lo que implica que es deber de los Sujetos Obligados, garantizar a toda persona el derecho de acceso a la información pública.</w:t>
      </w:r>
    </w:p>
    <w:p w:rsidR="003239FA" w:rsidRPr="00E8262C" w:rsidRDefault="003239FA"/>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3239FA" w:rsidRPr="00E8262C" w:rsidRDefault="003239FA"/>
    <w:p w:rsidR="003239FA" w:rsidRPr="00E8262C" w:rsidRDefault="003239FA"/>
    <w:p w:rsidR="003239FA" w:rsidRPr="00E8262C" w:rsidRDefault="00D53368">
      <w:pPr>
        <w:spacing w:line="259" w:lineRule="auto"/>
        <w:ind w:left="567" w:right="56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w:t>
      </w:r>
      <w:r w:rsidRPr="00E8262C">
        <w:rPr>
          <w:rFonts w:ascii="Palatino Linotype" w:eastAsia="Palatino Linotype" w:hAnsi="Palatino Linotype" w:cs="Palatino Linotype"/>
          <w:b/>
          <w:i/>
          <w:sz w:val="22"/>
          <w:szCs w:val="22"/>
        </w:rPr>
        <w:t xml:space="preserve">Artículo 3. </w:t>
      </w:r>
      <w:r w:rsidRPr="00E8262C">
        <w:rPr>
          <w:rFonts w:ascii="Palatino Linotype" w:eastAsia="Palatino Linotype" w:hAnsi="Palatino Linotype" w:cs="Palatino Linotype"/>
          <w:i/>
          <w:sz w:val="22"/>
          <w:szCs w:val="22"/>
        </w:rPr>
        <w:t>Para los efectos de la presente Ley se entenderá por:</w:t>
      </w:r>
    </w:p>
    <w:p w:rsidR="003239FA" w:rsidRPr="00E8262C" w:rsidRDefault="00D53368">
      <w:pPr>
        <w:spacing w:line="259" w:lineRule="auto"/>
        <w:ind w:left="567" w:right="56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XI. Documento:</w:t>
      </w:r>
      <w:r w:rsidRPr="00E8262C">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239FA" w:rsidRPr="00E8262C" w:rsidRDefault="003239FA"/>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De lo que se concluye que el derecho de acceso a la información pública se satisface en los casos en los que se entregue el soporte documental en los que conste la información requerida por los solicitantes. </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Además, es importante señalar que, de acuerdo al artículo 18, de la Ley en la materia, estipula que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rsidR="003239FA" w:rsidRPr="00E8262C" w:rsidRDefault="003239FA">
      <w:pPr>
        <w:spacing w:line="360" w:lineRule="auto"/>
        <w:jc w:val="both"/>
        <w:rPr>
          <w:rFonts w:ascii="Palatino Linotype" w:eastAsia="Palatino Linotype" w:hAnsi="Palatino Linotype" w:cs="Palatino Linotype"/>
          <w:sz w:val="23"/>
          <w:szCs w:val="23"/>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De la misma forma, de acuerdo con el contenido del artículo 160, de la Ley General de Transparencia y Acceso a la Información Pública que a la letra dispone:</w:t>
      </w:r>
    </w:p>
    <w:p w:rsidR="003239FA" w:rsidRPr="00E8262C" w:rsidRDefault="003239FA"/>
    <w:p w:rsidR="003239FA" w:rsidRPr="00E8262C" w:rsidRDefault="00D53368">
      <w:pPr>
        <w:ind w:left="567" w:right="899"/>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Artículo 160</w:t>
      </w:r>
      <w:r w:rsidRPr="00E8262C">
        <w:rPr>
          <w:rFonts w:ascii="Palatino Linotype" w:eastAsia="Palatino Linotype" w:hAnsi="Palatino Linotype" w:cs="Palatino Linotype"/>
          <w:i/>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3239FA" w:rsidRPr="00E8262C" w:rsidRDefault="003239FA">
      <w:pPr>
        <w:ind w:left="567" w:right="567"/>
        <w:jc w:val="both"/>
        <w:rPr>
          <w:rFonts w:ascii="Palatino Linotype" w:eastAsia="Palatino Linotype" w:hAnsi="Palatino Linotype" w:cs="Palatino Linotype"/>
          <w:i/>
          <w:sz w:val="22"/>
          <w:szCs w:val="22"/>
        </w:rPr>
      </w:pPr>
    </w:p>
    <w:p w:rsidR="003239FA" w:rsidRPr="00E8262C" w:rsidRDefault="00D53368">
      <w:pPr>
        <w:spacing w:line="360" w:lineRule="auto"/>
        <w:ind w:right="474"/>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En tal sentido, el Manual de Organización del Sistema Municipal para el Desarrollo Integral de la Familia de Metepec prevé la existencia de la Coordinación </w:t>
      </w:r>
      <w:r w:rsidRPr="00E8262C">
        <w:rPr>
          <w:rFonts w:ascii="Palatino Linotype" w:eastAsia="Palatino Linotype" w:hAnsi="Palatino Linotype" w:cs="Palatino Linotype"/>
        </w:rPr>
        <w:lastRenderedPageBreak/>
        <w:t>de Atención a Personas Adultas Mayores, misma que tendrá como objetivo el brindar atención integral a las personas adultas mayores con servicio de salud, asesorías jurídicas, actividades deportivas, culturales y recreativas en clubes,  como lo señala el punto 3.1.1 que se transcribe a continuación:</w:t>
      </w:r>
    </w:p>
    <w:p w:rsidR="003239FA" w:rsidRPr="00E8262C" w:rsidRDefault="003239FA">
      <w:pPr>
        <w:ind w:right="567"/>
        <w:jc w:val="both"/>
        <w:rPr>
          <w:rFonts w:ascii="Palatino Linotype" w:eastAsia="Palatino Linotype" w:hAnsi="Palatino Linotype" w:cs="Palatino Linotype"/>
        </w:rPr>
      </w:pPr>
    </w:p>
    <w:p w:rsidR="003239FA" w:rsidRPr="00E8262C" w:rsidRDefault="00D53368">
      <w:pPr>
        <w:pBdr>
          <w:top w:val="nil"/>
          <w:left w:val="nil"/>
          <w:bottom w:val="nil"/>
          <w:right w:val="nil"/>
          <w:between w:val="nil"/>
        </w:pBdr>
        <w:ind w:left="850" w:right="899"/>
        <w:jc w:val="both"/>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b/>
          <w:i/>
          <w:sz w:val="22"/>
          <w:szCs w:val="22"/>
        </w:rPr>
        <w:t xml:space="preserve">“3.1.1. COORDINACIÓN DE ATENCIÓN A PERSONAS ADULTAS MAYORES OBJETIVO </w:t>
      </w:r>
    </w:p>
    <w:p w:rsidR="003239FA" w:rsidRPr="00E8262C" w:rsidRDefault="00D53368">
      <w:pPr>
        <w:pBdr>
          <w:top w:val="nil"/>
          <w:left w:val="nil"/>
          <w:bottom w:val="nil"/>
          <w:right w:val="nil"/>
          <w:between w:val="nil"/>
        </w:pBdr>
        <w:ind w:left="850" w:right="899"/>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Brindar atención integral a las personas adultas mayores del municipio de Metepec con servicio de salud, </w:t>
      </w:r>
      <w:r w:rsidRPr="00E8262C">
        <w:rPr>
          <w:rFonts w:ascii="Palatino Linotype" w:eastAsia="Palatino Linotype" w:hAnsi="Palatino Linotype" w:cs="Palatino Linotype"/>
          <w:b/>
          <w:i/>
          <w:sz w:val="22"/>
          <w:szCs w:val="22"/>
        </w:rPr>
        <w:t>asesorías jurídicas, actividades deportivas,</w:t>
      </w:r>
      <w:r w:rsidRPr="00E8262C">
        <w:rPr>
          <w:rFonts w:ascii="Palatino Linotype" w:eastAsia="Palatino Linotype" w:hAnsi="Palatino Linotype" w:cs="Palatino Linotype"/>
          <w:i/>
          <w:sz w:val="22"/>
          <w:szCs w:val="22"/>
        </w:rPr>
        <w:t xml:space="preserve"> </w:t>
      </w:r>
      <w:r w:rsidRPr="00E8262C">
        <w:rPr>
          <w:rFonts w:ascii="Palatino Linotype" w:eastAsia="Palatino Linotype" w:hAnsi="Palatino Linotype" w:cs="Palatino Linotype"/>
          <w:b/>
          <w:i/>
          <w:sz w:val="22"/>
          <w:szCs w:val="22"/>
        </w:rPr>
        <w:t>culturales y recreativas en clubes</w:t>
      </w:r>
      <w:r w:rsidRPr="00E8262C">
        <w:rPr>
          <w:rFonts w:ascii="Palatino Linotype" w:eastAsia="Palatino Linotype" w:hAnsi="Palatino Linotype" w:cs="Palatino Linotype"/>
          <w:i/>
          <w:sz w:val="22"/>
          <w:szCs w:val="22"/>
        </w:rPr>
        <w:t>.”</w:t>
      </w:r>
    </w:p>
    <w:p w:rsidR="003239FA" w:rsidRPr="00E8262C" w:rsidRDefault="00D53368">
      <w:pPr>
        <w:pBdr>
          <w:top w:val="nil"/>
          <w:left w:val="nil"/>
          <w:bottom w:val="nil"/>
          <w:right w:val="nil"/>
          <w:between w:val="nil"/>
        </w:pBdr>
        <w:ind w:left="850" w:right="899"/>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w:t>
      </w:r>
      <w:proofErr w:type="gramStart"/>
      <w:r w:rsidRPr="00E8262C">
        <w:rPr>
          <w:rFonts w:ascii="Palatino Linotype" w:eastAsia="Palatino Linotype" w:hAnsi="Palatino Linotype" w:cs="Palatino Linotype"/>
          <w:i/>
          <w:sz w:val="22"/>
          <w:szCs w:val="22"/>
        </w:rPr>
        <w:t>énfasis</w:t>
      </w:r>
      <w:proofErr w:type="gramEnd"/>
      <w:r w:rsidRPr="00E8262C">
        <w:rPr>
          <w:rFonts w:ascii="Palatino Linotype" w:eastAsia="Palatino Linotype" w:hAnsi="Palatino Linotype" w:cs="Palatino Linotype"/>
          <w:i/>
          <w:sz w:val="22"/>
          <w:szCs w:val="22"/>
        </w:rPr>
        <w:t xml:space="preserve"> añadido)</w:t>
      </w:r>
    </w:p>
    <w:p w:rsidR="003239FA" w:rsidRPr="00E8262C" w:rsidRDefault="003239FA">
      <w:pPr>
        <w:pBdr>
          <w:top w:val="nil"/>
          <w:left w:val="nil"/>
          <w:bottom w:val="nil"/>
          <w:right w:val="nil"/>
          <w:between w:val="nil"/>
        </w:pBdr>
        <w:spacing w:line="360" w:lineRule="auto"/>
        <w:jc w:val="both"/>
        <w:rPr>
          <w:rFonts w:ascii="Palatino Linotype" w:eastAsia="Palatino Linotype" w:hAnsi="Palatino Linotype" w:cs="Palatino Linotype"/>
        </w:rPr>
      </w:pPr>
    </w:p>
    <w:p w:rsidR="003239FA" w:rsidRPr="00E8262C" w:rsidRDefault="00D53368">
      <w:pPr>
        <w:pBdr>
          <w:top w:val="nil"/>
          <w:left w:val="nil"/>
          <w:bottom w:val="nil"/>
          <w:right w:val="nil"/>
          <w:between w:val="nil"/>
        </w:pBd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Así, dicha coordinación encuentra dentro de sus funciones las de proponer actividades educativas, culturales y recreativas con las personas adultas mayores, supervisar la atención que se brinda en los clubes de día localizados en el municipio de Metepec,  promover actividades de esparcimiento y recreación a personas adultas mayores y supervisar y reportar al superior inmediato sobre el desarrollo de las actividades encomendadas a su área, entre otras que se advierten del contenido del precepto referido:</w:t>
      </w:r>
    </w:p>
    <w:p w:rsidR="003239FA" w:rsidRPr="00E8262C" w:rsidRDefault="003239FA">
      <w:pPr>
        <w:pBdr>
          <w:top w:val="nil"/>
          <w:left w:val="nil"/>
          <w:bottom w:val="nil"/>
          <w:right w:val="nil"/>
          <w:between w:val="nil"/>
        </w:pBdr>
        <w:spacing w:line="360" w:lineRule="auto"/>
        <w:jc w:val="both"/>
        <w:rPr>
          <w:rFonts w:ascii="Palatino Linotype" w:eastAsia="Palatino Linotype" w:hAnsi="Palatino Linotype" w:cs="Palatino Linotype"/>
        </w:rPr>
      </w:pPr>
    </w:p>
    <w:p w:rsidR="003239FA" w:rsidRPr="00E8262C" w:rsidRDefault="00D53368">
      <w:pPr>
        <w:pBdr>
          <w:top w:val="nil"/>
          <w:left w:val="nil"/>
          <w:bottom w:val="nil"/>
          <w:right w:val="nil"/>
          <w:between w:val="nil"/>
        </w:pBdr>
        <w:ind w:left="850" w:right="757"/>
        <w:jc w:val="both"/>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b/>
          <w:i/>
          <w:sz w:val="22"/>
          <w:szCs w:val="22"/>
        </w:rPr>
        <w:t xml:space="preserve">“FUNCIONES </w:t>
      </w:r>
    </w:p>
    <w:p w:rsidR="003239FA" w:rsidRPr="00E8262C" w:rsidRDefault="00D53368">
      <w:pPr>
        <w:pBdr>
          <w:top w:val="nil"/>
          <w:left w:val="nil"/>
          <w:bottom w:val="nil"/>
          <w:right w:val="nil"/>
          <w:between w:val="nil"/>
        </w:pBdr>
        <w:ind w:left="850" w:right="75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1. Promover el respeto a los Derechos Humanos de las personas Adultas Mayores. </w:t>
      </w:r>
    </w:p>
    <w:p w:rsidR="003239FA" w:rsidRPr="00E8262C" w:rsidRDefault="00D53368">
      <w:pPr>
        <w:pBdr>
          <w:top w:val="nil"/>
          <w:left w:val="nil"/>
          <w:bottom w:val="nil"/>
          <w:right w:val="nil"/>
          <w:between w:val="nil"/>
        </w:pBdr>
        <w:ind w:left="850" w:right="75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2. Reportar al superior inmediato sobre el desarrollo de las actividades encomendadas a su área; </w:t>
      </w:r>
    </w:p>
    <w:p w:rsidR="003239FA" w:rsidRPr="00E8262C" w:rsidRDefault="00D53368">
      <w:pPr>
        <w:pBdr>
          <w:top w:val="nil"/>
          <w:left w:val="nil"/>
          <w:bottom w:val="nil"/>
          <w:right w:val="nil"/>
          <w:between w:val="nil"/>
        </w:pBdr>
        <w:ind w:left="850" w:right="75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3. Supervisar que la atención y resolución de los asuntos de su competencia se cumplan de acuerdo a los lineamientos aplicables y atención con las políticas institucionales; </w:t>
      </w:r>
    </w:p>
    <w:p w:rsidR="003239FA" w:rsidRPr="00E8262C" w:rsidRDefault="00D53368">
      <w:pPr>
        <w:pBdr>
          <w:top w:val="nil"/>
          <w:left w:val="nil"/>
          <w:bottom w:val="nil"/>
          <w:right w:val="nil"/>
          <w:between w:val="nil"/>
        </w:pBdr>
        <w:ind w:left="850" w:right="75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lastRenderedPageBreak/>
        <w:t xml:space="preserve">4. Promover la participación de la sociedad en las acciones de revalorización de las personas adultas mayores, para garantizarles una vida activa dentro de la sociedad y su núcleo familiar; </w:t>
      </w:r>
    </w:p>
    <w:p w:rsidR="003239FA" w:rsidRPr="00E8262C" w:rsidRDefault="00D53368">
      <w:pPr>
        <w:pBdr>
          <w:top w:val="nil"/>
          <w:left w:val="nil"/>
          <w:bottom w:val="nil"/>
          <w:right w:val="nil"/>
          <w:between w:val="nil"/>
        </w:pBdr>
        <w:ind w:left="850" w:right="75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5. Concertar con las dependencias públicas y privadas la firma de convenios de coordinación y colaboración que coadyuven al desarrollo de la economía de las personas adultas mayores; </w:t>
      </w:r>
    </w:p>
    <w:p w:rsidR="003239FA" w:rsidRPr="00E8262C" w:rsidRDefault="00D53368">
      <w:pPr>
        <w:pBdr>
          <w:top w:val="nil"/>
          <w:left w:val="nil"/>
          <w:bottom w:val="nil"/>
          <w:right w:val="nil"/>
          <w:between w:val="nil"/>
        </w:pBdr>
        <w:ind w:left="850" w:right="757"/>
        <w:jc w:val="both"/>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b/>
          <w:i/>
          <w:sz w:val="22"/>
          <w:szCs w:val="22"/>
        </w:rPr>
        <w:t xml:space="preserve">6. Proponer actividades educativas, culturales y recreativas con las personas adultas mayores, fomentando una cultura de respeto y trato digno, coadyuvando a su reincorporación y revalorización social; </w:t>
      </w:r>
    </w:p>
    <w:p w:rsidR="003239FA" w:rsidRPr="00E8262C" w:rsidRDefault="00D53368">
      <w:pPr>
        <w:pBdr>
          <w:top w:val="nil"/>
          <w:left w:val="nil"/>
          <w:bottom w:val="nil"/>
          <w:right w:val="nil"/>
          <w:between w:val="nil"/>
        </w:pBdr>
        <w:ind w:left="850" w:right="757"/>
        <w:jc w:val="both"/>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b/>
          <w:i/>
          <w:sz w:val="22"/>
          <w:szCs w:val="22"/>
        </w:rPr>
        <w:t xml:space="preserve">7. Supervisar la atención que se brinda en las casas de Día del Adulto Mayor, así como sus clubes de día localizados en el municipio de Metepec; </w:t>
      </w:r>
    </w:p>
    <w:p w:rsidR="003239FA" w:rsidRPr="00E8262C" w:rsidRDefault="00D53368">
      <w:pPr>
        <w:pBdr>
          <w:top w:val="nil"/>
          <w:left w:val="nil"/>
          <w:bottom w:val="nil"/>
          <w:right w:val="nil"/>
          <w:between w:val="nil"/>
        </w:pBdr>
        <w:ind w:left="850" w:right="757"/>
        <w:jc w:val="both"/>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b/>
          <w:i/>
          <w:sz w:val="22"/>
          <w:szCs w:val="22"/>
        </w:rPr>
        <w:t xml:space="preserve">8. Promover actividades de esparcimiento y recreación a personas adultas mayores, como paseos y campamentos, en coordinación con el DIFEM; </w:t>
      </w:r>
    </w:p>
    <w:p w:rsidR="003239FA" w:rsidRPr="00E8262C" w:rsidRDefault="00D53368">
      <w:pPr>
        <w:pBdr>
          <w:top w:val="nil"/>
          <w:left w:val="nil"/>
          <w:bottom w:val="nil"/>
          <w:right w:val="nil"/>
          <w:between w:val="nil"/>
        </w:pBdr>
        <w:ind w:left="850" w:right="75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9. Promover la convivencia de las personas adultas mayores de Metepec con otros municipios, a través de actividades físicas, manuales, recreativas y culturales;</w:t>
      </w:r>
    </w:p>
    <w:p w:rsidR="003239FA" w:rsidRPr="00E8262C" w:rsidRDefault="00D53368">
      <w:pPr>
        <w:pBdr>
          <w:top w:val="nil"/>
          <w:left w:val="nil"/>
          <w:bottom w:val="nil"/>
          <w:right w:val="nil"/>
          <w:between w:val="nil"/>
        </w:pBdr>
        <w:ind w:left="850" w:right="757"/>
        <w:jc w:val="both"/>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b/>
          <w:i/>
          <w:sz w:val="22"/>
          <w:szCs w:val="22"/>
        </w:rPr>
        <w:t xml:space="preserve">10. Promover convivencias intergeneracionales con las personas adultas mayores; </w:t>
      </w:r>
    </w:p>
    <w:p w:rsidR="003239FA" w:rsidRPr="00E8262C" w:rsidRDefault="00D53368">
      <w:pPr>
        <w:pBdr>
          <w:top w:val="nil"/>
          <w:left w:val="nil"/>
          <w:bottom w:val="nil"/>
          <w:right w:val="nil"/>
          <w:between w:val="nil"/>
        </w:pBdr>
        <w:ind w:left="850" w:right="75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11. Gestionar la emisión de credenciales federales para personas adultas mayores; </w:t>
      </w:r>
    </w:p>
    <w:p w:rsidR="003239FA" w:rsidRPr="00E8262C" w:rsidRDefault="00D53368">
      <w:pPr>
        <w:pBdr>
          <w:top w:val="nil"/>
          <w:left w:val="nil"/>
          <w:bottom w:val="nil"/>
          <w:right w:val="nil"/>
          <w:between w:val="nil"/>
        </w:pBdr>
        <w:ind w:left="850" w:right="75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12. Proponer y supervisar que la atención y resolución de los asuntos de su competencia, se cumplan de acuerdo a los ordenamientos legales aplicables; </w:t>
      </w:r>
    </w:p>
    <w:p w:rsidR="003239FA" w:rsidRPr="00E8262C" w:rsidRDefault="00D53368">
      <w:pPr>
        <w:pBdr>
          <w:top w:val="nil"/>
          <w:left w:val="nil"/>
          <w:bottom w:val="nil"/>
          <w:right w:val="nil"/>
          <w:between w:val="nil"/>
        </w:pBdr>
        <w:ind w:left="850" w:right="757"/>
        <w:jc w:val="both"/>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b/>
          <w:i/>
          <w:sz w:val="22"/>
          <w:szCs w:val="22"/>
        </w:rPr>
        <w:t xml:space="preserve">13. Supervisar y reportar al superior inmediato sobre el desarrollo de las actividades encomendadas a su área; </w:t>
      </w:r>
    </w:p>
    <w:p w:rsidR="003239FA" w:rsidRPr="00E8262C" w:rsidRDefault="00D53368">
      <w:pPr>
        <w:pBdr>
          <w:top w:val="nil"/>
          <w:left w:val="nil"/>
          <w:bottom w:val="nil"/>
          <w:right w:val="nil"/>
          <w:between w:val="nil"/>
        </w:pBdr>
        <w:ind w:left="850" w:right="75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14. Realizar sus actividades sustantivas en coordinación con la Dirección de Programas Asistenciales y verificar que éstas se lleven a cabo de manera adecuada a fin de lograr el cumplimiento de las metas establecidas en el Plan Trianual de Desarrollo del Organismo; </w:t>
      </w:r>
    </w:p>
    <w:p w:rsidR="003239FA" w:rsidRPr="00E8262C" w:rsidRDefault="00D53368">
      <w:pPr>
        <w:pBdr>
          <w:top w:val="nil"/>
          <w:left w:val="nil"/>
          <w:bottom w:val="nil"/>
          <w:right w:val="nil"/>
          <w:between w:val="nil"/>
        </w:pBdr>
        <w:ind w:left="850" w:right="75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15. Controlar el funcionamiento de la Coordinación en todos sus aspectos, ejecutando los planes y programas aprobados por la Junta de Gobierno del Sistema DIF Municipal de Metepec; </w:t>
      </w:r>
    </w:p>
    <w:p w:rsidR="003239FA" w:rsidRPr="00E8262C" w:rsidRDefault="00D53368">
      <w:pPr>
        <w:pBdr>
          <w:top w:val="nil"/>
          <w:left w:val="nil"/>
          <w:bottom w:val="nil"/>
          <w:right w:val="nil"/>
          <w:between w:val="nil"/>
        </w:pBdr>
        <w:ind w:left="850" w:right="75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16. Supervisar y avalar el avance de las metas de los proyectos de cada coordinación de acuerdo al Programa Trianual de Asistencia Social y el Plan Operativo Anual; </w:t>
      </w:r>
    </w:p>
    <w:p w:rsidR="003239FA" w:rsidRPr="00E8262C" w:rsidRDefault="00D53368">
      <w:pPr>
        <w:pBdr>
          <w:top w:val="nil"/>
          <w:left w:val="nil"/>
          <w:bottom w:val="nil"/>
          <w:right w:val="nil"/>
          <w:between w:val="nil"/>
        </w:pBdr>
        <w:ind w:left="850" w:right="75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17. Rendir los informes que la Dirección de Programas Asistenciales solicite; </w:t>
      </w:r>
    </w:p>
    <w:p w:rsidR="003239FA" w:rsidRPr="00E8262C" w:rsidRDefault="00D53368">
      <w:pPr>
        <w:pBdr>
          <w:top w:val="nil"/>
          <w:left w:val="nil"/>
          <w:bottom w:val="nil"/>
          <w:right w:val="nil"/>
          <w:between w:val="nil"/>
        </w:pBdr>
        <w:ind w:left="850" w:right="75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18. Verificar la información requerida para su publicación por Internet en el portal y página de transparencia del Sistema; </w:t>
      </w:r>
    </w:p>
    <w:p w:rsidR="003239FA" w:rsidRPr="00E8262C" w:rsidRDefault="00D53368">
      <w:pPr>
        <w:pBdr>
          <w:top w:val="nil"/>
          <w:left w:val="nil"/>
          <w:bottom w:val="nil"/>
          <w:right w:val="nil"/>
          <w:between w:val="nil"/>
        </w:pBdr>
        <w:ind w:left="850" w:right="75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lastRenderedPageBreak/>
        <w:t xml:space="preserve">19. Conocer y atender denuncias de </w:t>
      </w:r>
      <w:proofErr w:type="spellStart"/>
      <w:r w:rsidRPr="00E8262C">
        <w:rPr>
          <w:rFonts w:ascii="Palatino Linotype" w:eastAsia="Palatino Linotype" w:hAnsi="Palatino Linotype" w:cs="Palatino Linotype"/>
          <w:i/>
          <w:sz w:val="22"/>
          <w:szCs w:val="22"/>
        </w:rPr>
        <w:t>vulneraciòn</w:t>
      </w:r>
      <w:proofErr w:type="spellEnd"/>
      <w:r w:rsidRPr="00E8262C">
        <w:rPr>
          <w:rFonts w:ascii="Palatino Linotype" w:eastAsia="Palatino Linotype" w:hAnsi="Palatino Linotype" w:cs="Palatino Linotype"/>
          <w:i/>
          <w:sz w:val="22"/>
          <w:szCs w:val="22"/>
        </w:rPr>
        <w:t xml:space="preserve"> de derechos que involucren a personas adultas mayores, a través del grupo multidisciplinario; </w:t>
      </w:r>
    </w:p>
    <w:p w:rsidR="003239FA" w:rsidRPr="00E8262C" w:rsidRDefault="00D53368">
      <w:pPr>
        <w:pBdr>
          <w:top w:val="nil"/>
          <w:left w:val="nil"/>
          <w:bottom w:val="nil"/>
          <w:right w:val="nil"/>
          <w:between w:val="nil"/>
        </w:pBdr>
        <w:ind w:left="850" w:right="75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20. Proporcionar información, datos y cooperación técnica que le sean requeridos por las áreas y autoridades competentes; y </w:t>
      </w:r>
    </w:p>
    <w:p w:rsidR="003239FA" w:rsidRPr="00E8262C" w:rsidRDefault="00D53368">
      <w:pPr>
        <w:pBdr>
          <w:top w:val="nil"/>
          <w:left w:val="nil"/>
          <w:bottom w:val="nil"/>
          <w:right w:val="nil"/>
          <w:between w:val="nil"/>
        </w:pBdr>
        <w:ind w:left="850" w:right="75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21. Desarrollar las demás funciones que le encomiende su superior jerárquico, en el ámbito de su competencia.”</w:t>
      </w:r>
    </w:p>
    <w:p w:rsidR="003239FA" w:rsidRPr="00E8262C" w:rsidRDefault="00D53368">
      <w:pPr>
        <w:pBdr>
          <w:top w:val="nil"/>
          <w:left w:val="nil"/>
          <w:bottom w:val="nil"/>
          <w:right w:val="nil"/>
          <w:between w:val="nil"/>
        </w:pBdr>
        <w:ind w:left="850" w:right="757"/>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w:t>
      </w:r>
      <w:proofErr w:type="gramStart"/>
      <w:r w:rsidRPr="00E8262C">
        <w:rPr>
          <w:rFonts w:ascii="Palatino Linotype" w:eastAsia="Palatino Linotype" w:hAnsi="Palatino Linotype" w:cs="Palatino Linotype"/>
          <w:i/>
          <w:sz w:val="22"/>
          <w:szCs w:val="22"/>
        </w:rPr>
        <w:t>énfasis</w:t>
      </w:r>
      <w:proofErr w:type="gramEnd"/>
      <w:r w:rsidRPr="00E8262C">
        <w:rPr>
          <w:rFonts w:ascii="Palatino Linotype" w:eastAsia="Palatino Linotype" w:hAnsi="Palatino Linotype" w:cs="Palatino Linotype"/>
          <w:i/>
          <w:sz w:val="22"/>
          <w:szCs w:val="22"/>
        </w:rPr>
        <w:t xml:space="preserve"> añadido)</w:t>
      </w:r>
    </w:p>
    <w:p w:rsidR="003239FA" w:rsidRPr="00E8262C" w:rsidRDefault="003239FA">
      <w:pPr>
        <w:pBdr>
          <w:top w:val="nil"/>
          <w:left w:val="nil"/>
          <w:bottom w:val="nil"/>
          <w:right w:val="nil"/>
          <w:between w:val="nil"/>
        </w:pBdr>
        <w:spacing w:line="360" w:lineRule="auto"/>
        <w:jc w:val="both"/>
        <w:rPr>
          <w:rFonts w:ascii="Palatino Linotype" w:eastAsia="Palatino Linotype" w:hAnsi="Palatino Linotype" w:cs="Palatino Linotype"/>
        </w:rPr>
      </w:pPr>
    </w:p>
    <w:p w:rsidR="003239FA" w:rsidRPr="00E8262C" w:rsidRDefault="00D53368">
      <w:pPr>
        <w:pBdr>
          <w:top w:val="nil"/>
          <w:left w:val="nil"/>
          <w:bottom w:val="nil"/>
          <w:right w:val="nil"/>
          <w:between w:val="nil"/>
        </w:pBd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Aunado a lo anterior, esta Ponencia revisó el portal de IPOMEX del </w:t>
      </w:r>
      <w:r w:rsidRPr="00E8262C">
        <w:rPr>
          <w:rFonts w:ascii="Palatino Linotype" w:eastAsia="Palatino Linotype" w:hAnsi="Palatino Linotype" w:cs="Palatino Linotype"/>
          <w:b/>
        </w:rPr>
        <w:t>SUJETO OBLIGADO</w:t>
      </w:r>
      <w:r w:rsidRPr="00E8262C">
        <w:rPr>
          <w:rFonts w:ascii="Palatino Linotype" w:eastAsia="Palatino Linotype" w:hAnsi="Palatino Linotype" w:cs="Palatino Linotype"/>
        </w:rPr>
        <w:t xml:space="preserve"> en el apartado referente a los “Programas que ofrecen” donde se puede acceder al Registro Municipal de Trámites y Servicios en donde se incluyen los Clubes de Adultos Mayores, como se observa de las capturas de pantalla que se insertan a continuación: </w:t>
      </w:r>
    </w:p>
    <w:p w:rsidR="003239FA" w:rsidRPr="00E8262C" w:rsidRDefault="003239FA">
      <w:pPr>
        <w:pBdr>
          <w:top w:val="nil"/>
          <w:left w:val="nil"/>
          <w:bottom w:val="nil"/>
          <w:right w:val="nil"/>
          <w:between w:val="nil"/>
        </w:pBdr>
        <w:spacing w:line="360" w:lineRule="auto"/>
        <w:jc w:val="both"/>
        <w:rPr>
          <w:rFonts w:ascii="Palatino Linotype" w:eastAsia="Palatino Linotype" w:hAnsi="Palatino Linotype" w:cs="Palatino Linotype"/>
        </w:rPr>
      </w:pPr>
    </w:p>
    <w:p w:rsidR="003239FA" w:rsidRPr="00E8262C" w:rsidRDefault="00D53368">
      <w:pPr>
        <w:spacing w:line="360" w:lineRule="auto"/>
        <w:jc w:val="center"/>
        <w:rPr>
          <w:rFonts w:ascii="Palatino Linotype" w:eastAsia="Palatino Linotype" w:hAnsi="Palatino Linotype" w:cs="Palatino Linotype"/>
        </w:rPr>
      </w:pPr>
      <w:r w:rsidRPr="00E8262C">
        <w:rPr>
          <w:rFonts w:ascii="Palatino Linotype" w:eastAsia="Palatino Linotype" w:hAnsi="Palatino Linotype" w:cs="Palatino Linotype"/>
          <w:noProof/>
        </w:rPr>
        <w:drawing>
          <wp:inline distT="114300" distB="114300" distL="114300" distR="114300">
            <wp:extent cx="4672648" cy="618834"/>
            <wp:effectExtent l="0" t="0" r="0" b="0"/>
            <wp:docPr id="2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b="86672"/>
                    <a:stretch>
                      <a:fillRect/>
                    </a:stretch>
                  </pic:blipFill>
                  <pic:spPr>
                    <a:xfrm>
                      <a:off x="0" y="0"/>
                      <a:ext cx="4672648" cy="618834"/>
                    </a:xfrm>
                    <a:prstGeom prst="rect">
                      <a:avLst/>
                    </a:prstGeom>
                    <a:ln/>
                  </pic:spPr>
                </pic:pic>
              </a:graphicData>
            </a:graphic>
          </wp:inline>
        </w:drawing>
      </w:r>
    </w:p>
    <w:p w:rsidR="003239FA" w:rsidRPr="00E8262C" w:rsidRDefault="00D53368">
      <w:pPr>
        <w:spacing w:line="360" w:lineRule="auto"/>
        <w:jc w:val="center"/>
        <w:rPr>
          <w:rFonts w:ascii="Palatino Linotype" w:eastAsia="Palatino Linotype" w:hAnsi="Palatino Linotype" w:cs="Palatino Linotype"/>
        </w:rPr>
      </w:pPr>
      <w:r w:rsidRPr="00E8262C">
        <w:rPr>
          <w:rFonts w:ascii="Palatino Linotype" w:eastAsia="Palatino Linotype" w:hAnsi="Palatino Linotype" w:cs="Palatino Linotype"/>
          <w:noProof/>
        </w:rPr>
        <w:drawing>
          <wp:inline distT="114300" distB="114300" distL="114300" distR="114300">
            <wp:extent cx="3810000" cy="2508471"/>
            <wp:effectExtent l="0" t="0" r="0" b="0"/>
            <wp:docPr id="2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t="33327"/>
                    <a:stretch>
                      <a:fillRect/>
                    </a:stretch>
                  </pic:blipFill>
                  <pic:spPr>
                    <a:xfrm>
                      <a:off x="0" y="0"/>
                      <a:ext cx="3810000" cy="2508471"/>
                    </a:xfrm>
                    <a:prstGeom prst="rect">
                      <a:avLst/>
                    </a:prstGeom>
                    <a:ln/>
                  </pic:spPr>
                </pic:pic>
              </a:graphicData>
            </a:graphic>
          </wp:inline>
        </w:drawing>
      </w:r>
    </w:p>
    <w:p w:rsidR="003239FA" w:rsidRPr="00E8262C" w:rsidRDefault="00D53368">
      <w:pPr>
        <w:pBdr>
          <w:top w:val="nil"/>
          <w:left w:val="nil"/>
          <w:bottom w:val="nil"/>
          <w:right w:val="nil"/>
          <w:between w:val="nil"/>
        </w:pBdr>
        <w:spacing w:line="360" w:lineRule="auto"/>
        <w:jc w:val="center"/>
        <w:rPr>
          <w:rFonts w:ascii="Palatino Linotype" w:eastAsia="Palatino Linotype" w:hAnsi="Palatino Linotype" w:cs="Palatino Linotype"/>
        </w:rPr>
      </w:pPr>
      <w:r w:rsidRPr="00E8262C">
        <w:rPr>
          <w:rFonts w:ascii="Palatino Linotype" w:eastAsia="Palatino Linotype" w:hAnsi="Palatino Linotype" w:cs="Palatino Linotype"/>
          <w:noProof/>
        </w:rPr>
        <w:lastRenderedPageBreak/>
        <w:drawing>
          <wp:inline distT="114300" distB="114300" distL="114300" distR="114300">
            <wp:extent cx="4766256" cy="2760380"/>
            <wp:effectExtent l="0" t="0" r="0" b="0"/>
            <wp:docPr id="2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766256" cy="2760380"/>
                    </a:xfrm>
                    <a:prstGeom prst="rect">
                      <a:avLst/>
                    </a:prstGeom>
                    <a:ln/>
                  </pic:spPr>
                </pic:pic>
              </a:graphicData>
            </a:graphic>
          </wp:inline>
        </w:drawing>
      </w:r>
    </w:p>
    <w:p w:rsidR="003239FA" w:rsidRPr="00E8262C" w:rsidRDefault="00D53368">
      <w:pPr>
        <w:pBdr>
          <w:top w:val="nil"/>
          <w:left w:val="nil"/>
          <w:bottom w:val="nil"/>
          <w:right w:val="nil"/>
          <w:between w:val="nil"/>
        </w:pBdr>
        <w:spacing w:line="360" w:lineRule="auto"/>
        <w:rPr>
          <w:rFonts w:ascii="Palatino Linotype" w:eastAsia="Palatino Linotype" w:hAnsi="Palatino Linotype" w:cs="Palatino Linotype"/>
        </w:rPr>
      </w:pPr>
      <w:r w:rsidRPr="00E8262C">
        <w:rPr>
          <w:rFonts w:ascii="Palatino Linotype" w:eastAsia="Palatino Linotype" w:hAnsi="Palatino Linotype" w:cs="Palatino Linotype"/>
        </w:rPr>
        <w:t xml:space="preserve">Por su parte, dentro de la página de trámites Municipales previamente referida se puede consultar la información relativa a los Clubes de adultos </w:t>
      </w:r>
      <w:proofErr w:type="gramStart"/>
      <w:r w:rsidRPr="00E8262C">
        <w:rPr>
          <w:rFonts w:ascii="Palatino Linotype" w:eastAsia="Palatino Linotype" w:hAnsi="Palatino Linotype" w:cs="Palatino Linotype"/>
        </w:rPr>
        <w:t>mayores ,</w:t>
      </w:r>
      <w:proofErr w:type="gramEnd"/>
      <w:r w:rsidRPr="00E8262C">
        <w:rPr>
          <w:rFonts w:ascii="Palatino Linotype" w:eastAsia="Palatino Linotype" w:hAnsi="Palatino Linotype" w:cs="Palatino Linotype"/>
        </w:rPr>
        <w:t xml:space="preserve"> misma que remite a la dirección electrónica: </w:t>
      </w:r>
    </w:p>
    <w:p w:rsidR="003239FA" w:rsidRPr="00E8262C" w:rsidRDefault="00D53368">
      <w:pPr>
        <w:pBdr>
          <w:top w:val="nil"/>
          <w:left w:val="nil"/>
          <w:bottom w:val="nil"/>
          <w:right w:val="nil"/>
          <w:between w:val="nil"/>
        </w:pBdr>
        <w:spacing w:line="360" w:lineRule="auto"/>
        <w:rPr>
          <w:rFonts w:ascii="Palatino Linotype" w:eastAsia="Palatino Linotype" w:hAnsi="Palatino Linotype" w:cs="Palatino Linotype"/>
        </w:rPr>
      </w:pPr>
      <w:r w:rsidRPr="00E8262C">
        <w:rPr>
          <w:rFonts w:ascii="Palatino Linotype" w:eastAsia="Palatino Linotype" w:hAnsi="Palatino Linotype" w:cs="Palatino Linotype"/>
        </w:rPr>
        <w:t xml:space="preserve"> </w:t>
      </w:r>
      <w:hyperlink r:id="rId12">
        <w:r w:rsidRPr="00E8262C">
          <w:rPr>
            <w:rFonts w:ascii="Palatino Linotype" w:eastAsia="Palatino Linotype" w:hAnsi="Palatino Linotype" w:cs="Palatino Linotype"/>
            <w:color w:val="1155CC"/>
            <w:u w:val="single"/>
          </w:rPr>
          <w:t>http://sistemas2.edomex.gob.mx/TramitesyServicios/Tramite?tram=5300&amp;cont=0</w:t>
        </w:r>
      </w:hyperlink>
    </w:p>
    <w:p w:rsidR="003239FA" w:rsidRPr="00E8262C" w:rsidRDefault="003239FA">
      <w:pPr>
        <w:pBdr>
          <w:top w:val="nil"/>
          <w:left w:val="nil"/>
          <w:bottom w:val="nil"/>
          <w:right w:val="nil"/>
          <w:between w:val="nil"/>
        </w:pBdr>
        <w:spacing w:line="360" w:lineRule="auto"/>
        <w:rPr>
          <w:rFonts w:ascii="Palatino Linotype" w:eastAsia="Palatino Linotype" w:hAnsi="Palatino Linotype" w:cs="Palatino Linotype"/>
        </w:rPr>
      </w:pPr>
    </w:p>
    <w:p w:rsidR="003239FA" w:rsidRPr="00E8262C" w:rsidRDefault="003239FA">
      <w:pPr>
        <w:pBdr>
          <w:top w:val="nil"/>
          <w:left w:val="nil"/>
          <w:bottom w:val="nil"/>
          <w:right w:val="nil"/>
          <w:between w:val="nil"/>
        </w:pBdr>
        <w:spacing w:line="360" w:lineRule="auto"/>
        <w:rPr>
          <w:rFonts w:ascii="Palatino Linotype" w:eastAsia="Palatino Linotype" w:hAnsi="Palatino Linotype" w:cs="Palatino Linotype"/>
        </w:rPr>
      </w:pPr>
    </w:p>
    <w:p w:rsidR="003239FA" w:rsidRPr="00E8262C" w:rsidRDefault="003239FA">
      <w:pPr>
        <w:pBdr>
          <w:top w:val="nil"/>
          <w:left w:val="nil"/>
          <w:bottom w:val="nil"/>
          <w:right w:val="nil"/>
          <w:between w:val="nil"/>
        </w:pBdr>
        <w:spacing w:line="360" w:lineRule="auto"/>
        <w:rPr>
          <w:rFonts w:ascii="Palatino Linotype" w:eastAsia="Palatino Linotype" w:hAnsi="Palatino Linotype" w:cs="Palatino Linotype"/>
        </w:rPr>
      </w:pPr>
    </w:p>
    <w:p w:rsidR="003239FA" w:rsidRPr="00E8262C" w:rsidRDefault="003239FA">
      <w:pPr>
        <w:pBdr>
          <w:top w:val="nil"/>
          <w:left w:val="nil"/>
          <w:bottom w:val="nil"/>
          <w:right w:val="nil"/>
          <w:between w:val="nil"/>
        </w:pBdr>
        <w:spacing w:line="360" w:lineRule="auto"/>
        <w:rPr>
          <w:rFonts w:ascii="Palatino Linotype" w:eastAsia="Palatino Linotype" w:hAnsi="Palatino Linotype" w:cs="Palatino Linotype"/>
        </w:rPr>
      </w:pPr>
    </w:p>
    <w:p w:rsidR="003239FA" w:rsidRPr="00E8262C" w:rsidRDefault="003239FA">
      <w:pPr>
        <w:pBdr>
          <w:top w:val="nil"/>
          <w:left w:val="nil"/>
          <w:bottom w:val="nil"/>
          <w:right w:val="nil"/>
          <w:between w:val="nil"/>
        </w:pBdr>
        <w:spacing w:line="360" w:lineRule="auto"/>
        <w:rPr>
          <w:rFonts w:ascii="Palatino Linotype" w:eastAsia="Palatino Linotype" w:hAnsi="Palatino Linotype" w:cs="Palatino Linotype"/>
        </w:rPr>
      </w:pPr>
    </w:p>
    <w:p w:rsidR="003239FA" w:rsidRPr="00E8262C" w:rsidRDefault="003239FA">
      <w:pPr>
        <w:pBdr>
          <w:top w:val="nil"/>
          <w:left w:val="nil"/>
          <w:bottom w:val="nil"/>
          <w:right w:val="nil"/>
          <w:between w:val="nil"/>
        </w:pBdr>
        <w:spacing w:line="360" w:lineRule="auto"/>
        <w:rPr>
          <w:rFonts w:ascii="Palatino Linotype" w:eastAsia="Palatino Linotype" w:hAnsi="Palatino Linotype" w:cs="Palatino Linotype"/>
        </w:rPr>
      </w:pPr>
    </w:p>
    <w:p w:rsidR="003239FA" w:rsidRPr="00E8262C" w:rsidRDefault="003239FA">
      <w:pPr>
        <w:pBdr>
          <w:top w:val="nil"/>
          <w:left w:val="nil"/>
          <w:bottom w:val="nil"/>
          <w:right w:val="nil"/>
          <w:between w:val="nil"/>
        </w:pBdr>
        <w:spacing w:line="360" w:lineRule="auto"/>
        <w:rPr>
          <w:rFonts w:ascii="Palatino Linotype" w:eastAsia="Palatino Linotype" w:hAnsi="Palatino Linotype" w:cs="Palatino Linotype"/>
        </w:rPr>
      </w:pPr>
    </w:p>
    <w:p w:rsidR="003239FA" w:rsidRPr="00E8262C" w:rsidRDefault="003239FA">
      <w:pPr>
        <w:pBdr>
          <w:top w:val="nil"/>
          <w:left w:val="nil"/>
          <w:bottom w:val="nil"/>
          <w:right w:val="nil"/>
          <w:between w:val="nil"/>
        </w:pBdr>
        <w:spacing w:line="360" w:lineRule="auto"/>
        <w:rPr>
          <w:rFonts w:ascii="Palatino Linotype" w:eastAsia="Palatino Linotype" w:hAnsi="Palatino Linotype" w:cs="Palatino Linotype"/>
        </w:rPr>
      </w:pPr>
    </w:p>
    <w:p w:rsidR="003239FA" w:rsidRPr="00E8262C" w:rsidRDefault="00D53368">
      <w:pPr>
        <w:pBdr>
          <w:top w:val="nil"/>
          <w:left w:val="nil"/>
          <w:bottom w:val="nil"/>
          <w:right w:val="nil"/>
          <w:between w:val="nil"/>
        </w:pBdr>
        <w:spacing w:line="360" w:lineRule="auto"/>
        <w:rPr>
          <w:rFonts w:ascii="Palatino Linotype" w:eastAsia="Palatino Linotype" w:hAnsi="Palatino Linotype" w:cs="Palatino Linotype"/>
        </w:rPr>
      </w:pPr>
      <w:r w:rsidRPr="00E8262C">
        <w:rPr>
          <w:rFonts w:ascii="Palatino Linotype" w:eastAsia="Palatino Linotype" w:hAnsi="Palatino Linotype" w:cs="Palatino Linotype"/>
        </w:rPr>
        <w:lastRenderedPageBreak/>
        <w:t xml:space="preserve">Donde se observa la siguiente información: </w:t>
      </w:r>
    </w:p>
    <w:p w:rsidR="003239FA" w:rsidRPr="00E8262C" w:rsidRDefault="00D53368">
      <w:pPr>
        <w:pBdr>
          <w:top w:val="nil"/>
          <w:left w:val="nil"/>
          <w:bottom w:val="nil"/>
          <w:right w:val="nil"/>
          <w:between w:val="nil"/>
        </w:pBdr>
        <w:spacing w:line="360" w:lineRule="auto"/>
        <w:jc w:val="center"/>
        <w:rPr>
          <w:rFonts w:ascii="Palatino Linotype" w:eastAsia="Palatino Linotype" w:hAnsi="Palatino Linotype" w:cs="Palatino Linotype"/>
        </w:rPr>
      </w:pPr>
      <w:r w:rsidRPr="00E8262C">
        <w:rPr>
          <w:rFonts w:ascii="Palatino Linotype" w:eastAsia="Palatino Linotype" w:hAnsi="Palatino Linotype" w:cs="Palatino Linotype"/>
          <w:noProof/>
        </w:rPr>
        <w:drawing>
          <wp:inline distT="114300" distB="114300" distL="114300" distR="114300">
            <wp:extent cx="5305425" cy="3868239"/>
            <wp:effectExtent l="0" t="0" r="0" b="0"/>
            <wp:docPr id="2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t="4218"/>
                    <a:stretch>
                      <a:fillRect/>
                    </a:stretch>
                  </pic:blipFill>
                  <pic:spPr>
                    <a:xfrm>
                      <a:off x="0" y="0"/>
                      <a:ext cx="5305425" cy="3868239"/>
                    </a:xfrm>
                    <a:prstGeom prst="rect">
                      <a:avLst/>
                    </a:prstGeom>
                    <a:ln/>
                  </pic:spPr>
                </pic:pic>
              </a:graphicData>
            </a:graphic>
          </wp:inline>
        </w:drawing>
      </w:r>
    </w:p>
    <w:p w:rsidR="003239FA" w:rsidRPr="00E8262C" w:rsidRDefault="00D53368">
      <w:pPr>
        <w:pBdr>
          <w:top w:val="nil"/>
          <w:left w:val="nil"/>
          <w:bottom w:val="nil"/>
          <w:right w:val="nil"/>
          <w:between w:val="nil"/>
        </w:pBdr>
        <w:spacing w:line="360" w:lineRule="auto"/>
        <w:jc w:val="center"/>
        <w:rPr>
          <w:rFonts w:ascii="Palatino Linotype" w:eastAsia="Palatino Linotype" w:hAnsi="Palatino Linotype" w:cs="Palatino Linotype"/>
        </w:rPr>
      </w:pPr>
      <w:r w:rsidRPr="00E8262C">
        <w:rPr>
          <w:rFonts w:ascii="Palatino Linotype" w:eastAsia="Palatino Linotype" w:hAnsi="Palatino Linotype" w:cs="Palatino Linotype"/>
          <w:noProof/>
        </w:rPr>
        <w:drawing>
          <wp:inline distT="114300" distB="114300" distL="114300" distR="114300">
            <wp:extent cx="5418773" cy="1809228"/>
            <wp:effectExtent l="0" t="0" r="0" b="0"/>
            <wp:docPr id="2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418773" cy="1809228"/>
                    </a:xfrm>
                    <a:prstGeom prst="rect">
                      <a:avLst/>
                    </a:prstGeom>
                    <a:ln/>
                  </pic:spPr>
                </pic:pic>
              </a:graphicData>
            </a:graphic>
          </wp:inline>
        </w:drawing>
      </w:r>
    </w:p>
    <w:p w:rsidR="003239FA" w:rsidRPr="00E8262C" w:rsidRDefault="00D53368">
      <w:pPr>
        <w:pBdr>
          <w:top w:val="nil"/>
          <w:left w:val="nil"/>
          <w:bottom w:val="nil"/>
          <w:right w:val="nil"/>
          <w:between w:val="nil"/>
        </w:pBd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lastRenderedPageBreak/>
        <w:t xml:space="preserve">De las imágenes anteriores, se desprende que, para acceder al club del Adulto Mayor, estos deberán presentarse, solicitar al responsable del club su inscripción y llenar el registro correspondiente. </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Adicionalmente, es de precisar que, aunque la solicitud de información y la respuesta estén dirigidas y atendidas por un Sujeto Obligado,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3239FA" w:rsidRPr="00E8262C" w:rsidRDefault="003239FA">
      <w:pPr>
        <w:rPr>
          <w:rFonts w:ascii="Palatino Linotype" w:eastAsia="Palatino Linotype" w:hAnsi="Palatino Linotype" w:cs="Palatino Linotype"/>
        </w:rPr>
      </w:pPr>
    </w:p>
    <w:p w:rsidR="003239FA" w:rsidRPr="00E8262C" w:rsidRDefault="00D53368">
      <w:pPr>
        <w:ind w:left="567" w:right="708"/>
        <w:jc w:val="both"/>
        <w:rPr>
          <w:rFonts w:ascii="Palatino Linotype" w:eastAsia="Palatino Linotype" w:hAnsi="Palatino Linotype" w:cs="Palatino Linotype"/>
          <w:i/>
        </w:rPr>
      </w:pPr>
      <w:r w:rsidRPr="00E8262C">
        <w:rPr>
          <w:rFonts w:ascii="Palatino Linotype" w:eastAsia="Palatino Linotype" w:hAnsi="Palatino Linotype" w:cs="Palatino Linotype"/>
          <w:b/>
          <w:i/>
        </w:rPr>
        <w:t>Artículo 3.</w:t>
      </w:r>
      <w:r w:rsidRPr="00E8262C">
        <w:rPr>
          <w:rFonts w:ascii="Palatino Linotype" w:eastAsia="Palatino Linotype" w:hAnsi="Palatino Linotype" w:cs="Palatino Linotype"/>
          <w:i/>
        </w:rPr>
        <w:t xml:space="preserve"> Para los efectos de la presente Ley se entenderá por:</w:t>
      </w:r>
    </w:p>
    <w:p w:rsidR="003239FA" w:rsidRPr="00E8262C" w:rsidRDefault="00D53368">
      <w:pPr>
        <w:ind w:left="567" w:right="708"/>
        <w:jc w:val="both"/>
        <w:rPr>
          <w:rFonts w:ascii="Palatino Linotype" w:eastAsia="Palatino Linotype" w:hAnsi="Palatino Linotype" w:cs="Palatino Linotype"/>
          <w:i/>
        </w:rPr>
      </w:pPr>
      <w:r w:rsidRPr="00E8262C">
        <w:rPr>
          <w:rFonts w:ascii="Palatino Linotype" w:eastAsia="Palatino Linotype" w:hAnsi="Palatino Linotype" w:cs="Palatino Linotype"/>
          <w:i/>
        </w:rPr>
        <w:t>(…)</w:t>
      </w:r>
    </w:p>
    <w:p w:rsidR="003239FA" w:rsidRPr="00E8262C" w:rsidRDefault="00D53368">
      <w:pPr>
        <w:ind w:left="567" w:right="708"/>
        <w:jc w:val="both"/>
        <w:rPr>
          <w:rFonts w:ascii="Palatino Linotype" w:eastAsia="Palatino Linotype" w:hAnsi="Palatino Linotype" w:cs="Palatino Linotype"/>
          <w:i/>
        </w:rPr>
      </w:pPr>
      <w:r w:rsidRPr="00E8262C">
        <w:rPr>
          <w:rFonts w:ascii="Palatino Linotype" w:eastAsia="Palatino Linotype" w:hAnsi="Palatino Linotype" w:cs="Palatino Linotype"/>
          <w:b/>
          <w:i/>
        </w:rPr>
        <w:t xml:space="preserve">XXXIX. Servidor público habilitado: </w:t>
      </w:r>
      <w:r w:rsidRPr="00E8262C">
        <w:rPr>
          <w:rFonts w:ascii="Palatino Linotype" w:eastAsia="Palatino Linotype" w:hAnsi="Palatino Linotype" w:cs="Palatino Linotype"/>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3239FA" w:rsidRPr="00E8262C" w:rsidRDefault="00D53368">
      <w:pPr>
        <w:ind w:left="567" w:right="708"/>
        <w:jc w:val="both"/>
        <w:rPr>
          <w:rFonts w:ascii="Palatino Linotype" w:eastAsia="Palatino Linotype" w:hAnsi="Palatino Linotype" w:cs="Palatino Linotype"/>
          <w:i/>
        </w:rPr>
      </w:pPr>
      <w:r w:rsidRPr="00E8262C">
        <w:rPr>
          <w:rFonts w:ascii="Palatino Linotype" w:eastAsia="Palatino Linotype" w:hAnsi="Palatino Linotype" w:cs="Palatino Linotype"/>
          <w:i/>
        </w:rPr>
        <w:t>(…)</w:t>
      </w:r>
    </w:p>
    <w:p w:rsidR="003239FA" w:rsidRPr="00E8262C" w:rsidRDefault="003239FA">
      <w:pPr>
        <w:ind w:left="567" w:right="708"/>
        <w:jc w:val="both"/>
        <w:rPr>
          <w:rFonts w:ascii="Palatino Linotype" w:eastAsia="Palatino Linotype" w:hAnsi="Palatino Linotype" w:cs="Palatino Linotype"/>
          <w:b/>
          <w:i/>
        </w:rPr>
      </w:pPr>
    </w:p>
    <w:p w:rsidR="003239FA" w:rsidRPr="00E8262C" w:rsidRDefault="00D53368">
      <w:pPr>
        <w:ind w:left="567" w:right="708"/>
        <w:jc w:val="both"/>
        <w:rPr>
          <w:rFonts w:ascii="Palatino Linotype" w:eastAsia="Palatino Linotype" w:hAnsi="Palatino Linotype" w:cs="Palatino Linotype"/>
          <w:i/>
        </w:rPr>
      </w:pPr>
      <w:r w:rsidRPr="00E8262C">
        <w:rPr>
          <w:rFonts w:ascii="Palatino Linotype" w:eastAsia="Palatino Linotype" w:hAnsi="Palatino Linotype" w:cs="Palatino Linotype"/>
          <w:b/>
          <w:i/>
        </w:rPr>
        <w:t>Artículo 58.</w:t>
      </w:r>
      <w:r w:rsidRPr="00E8262C">
        <w:rPr>
          <w:rFonts w:ascii="Palatino Linotype" w:eastAsia="Palatino Linotype" w:hAnsi="Palatino Linotype" w:cs="Palatino Linotype"/>
          <w:i/>
        </w:rPr>
        <w:t xml:space="preserve"> Los servidores públicos habilitados serán designados por el titular del sujeto obligado a propuesta del responsable de la Unidad de Transparencia.</w:t>
      </w:r>
    </w:p>
    <w:p w:rsidR="003239FA" w:rsidRPr="00E8262C" w:rsidRDefault="003239FA">
      <w:pPr>
        <w:ind w:left="567" w:right="708"/>
        <w:jc w:val="both"/>
        <w:rPr>
          <w:rFonts w:ascii="Palatino Linotype" w:eastAsia="Palatino Linotype" w:hAnsi="Palatino Linotype" w:cs="Palatino Linotype"/>
          <w:i/>
        </w:rPr>
      </w:pPr>
    </w:p>
    <w:p w:rsidR="003239FA" w:rsidRPr="00E8262C" w:rsidRDefault="00D53368">
      <w:pPr>
        <w:ind w:left="567" w:right="708"/>
        <w:jc w:val="both"/>
        <w:rPr>
          <w:rFonts w:ascii="Palatino Linotype" w:eastAsia="Palatino Linotype" w:hAnsi="Palatino Linotype" w:cs="Palatino Linotype"/>
          <w:i/>
        </w:rPr>
      </w:pPr>
      <w:r w:rsidRPr="00E8262C">
        <w:rPr>
          <w:rFonts w:ascii="Palatino Linotype" w:eastAsia="Palatino Linotype" w:hAnsi="Palatino Linotype" w:cs="Palatino Linotype"/>
          <w:b/>
          <w:i/>
        </w:rPr>
        <w:t>Artículo 59.</w:t>
      </w:r>
      <w:r w:rsidRPr="00E8262C">
        <w:rPr>
          <w:rFonts w:ascii="Palatino Linotype" w:eastAsia="Palatino Linotype" w:hAnsi="Palatino Linotype" w:cs="Palatino Linotype"/>
          <w:i/>
        </w:rPr>
        <w:t xml:space="preserve"> </w:t>
      </w:r>
      <w:r w:rsidRPr="00E8262C">
        <w:rPr>
          <w:rFonts w:ascii="Palatino Linotype" w:eastAsia="Palatino Linotype" w:hAnsi="Palatino Linotype" w:cs="Palatino Linotype"/>
          <w:b/>
          <w:i/>
          <w:u w:val="single"/>
        </w:rPr>
        <w:t>Los servidores públicos habilitados</w:t>
      </w:r>
      <w:r w:rsidRPr="00E8262C">
        <w:rPr>
          <w:rFonts w:ascii="Palatino Linotype" w:eastAsia="Palatino Linotype" w:hAnsi="Palatino Linotype" w:cs="Palatino Linotype"/>
          <w:i/>
        </w:rPr>
        <w:t xml:space="preserve"> tendrán las funciones siguientes:</w:t>
      </w:r>
    </w:p>
    <w:p w:rsidR="003239FA" w:rsidRPr="00E8262C" w:rsidRDefault="00D53368">
      <w:pPr>
        <w:ind w:left="567" w:right="708"/>
        <w:jc w:val="both"/>
        <w:rPr>
          <w:rFonts w:ascii="Palatino Linotype" w:eastAsia="Palatino Linotype" w:hAnsi="Palatino Linotype" w:cs="Palatino Linotype"/>
          <w:i/>
        </w:rPr>
      </w:pPr>
      <w:r w:rsidRPr="00E8262C">
        <w:rPr>
          <w:rFonts w:ascii="Palatino Linotype" w:eastAsia="Palatino Linotype" w:hAnsi="Palatino Linotype" w:cs="Palatino Linotype"/>
          <w:i/>
        </w:rPr>
        <w:t xml:space="preserve">I. </w:t>
      </w:r>
      <w:r w:rsidRPr="00E8262C">
        <w:rPr>
          <w:rFonts w:ascii="Palatino Linotype" w:eastAsia="Palatino Linotype" w:hAnsi="Palatino Linotype" w:cs="Palatino Linotype"/>
          <w:b/>
          <w:i/>
          <w:u w:val="single"/>
        </w:rPr>
        <w:t>Localizar la información que le solicite la Unidad de Transparencia</w:t>
      </w:r>
      <w:r w:rsidRPr="00E8262C">
        <w:rPr>
          <w:rFonts w:ascii="Palatino Linotype" w:eastAsia="Palatino Linotype" w:hAnsi="Palatino Linotype" w:cs="Palatino Linotype"/>
          <w:i/>
        </w:rPr>
        <w:t>;</w:t>
      </w:r>
    </w:p>
    <w:p w:rsidR="003239FA" w:rsidRPr="00E8262C" w:rsidRDefault="00D53368">
      <w:pPr>
        <w:ind w:left="567" w:right="708"/>
        <w:jc w:val="both"/>
        <w:rPr>
          <w:rFonts w:ascii="Palatino Linotype" w:eastAsia="Palatino Linotype" w:hAnsi="Palatino Linotype" w:cs="Palatino Linotype"/>
          <w:i/>
        </w:rPr>
      </w:pPr>
      <w:r w:rsidRPr="00E8262C">
        <w:rPr>
          <w:rFonts w:ascii="Palatino Linotype" w:eastAsia="Palatino Linotype" w:hAnsi="Palatino Linotype" w:cs="Palatino Linotype"/>
          <w:i/>
        </w:rPr>
        <w:t xml:space="preserve">II. </w:t>
      </w:r>
      <w:r w:rsidRPr="00E8262C">
        <w:rPr>
          <w:rFonts w:ascii="Palatino Linotype" w:eastAsia="Palatino Linotype" w:hAnsi="Palatino Linotype" w:cs="Palatino Linotype"/>
          <w:b/>
          <w:i/>
          <w:u w:val="single"/>
        </w:rPr>
        <w:t>Proporcionar la información que obre en los archivos y que le sea solicitada por la Unidad de Transparencia</w:t>
      </w:r>
      <w:r w:rsidRPr="00E8262C">
        <w:rPr>
          <w:rFonts w:ascii="Palatino Linotype" w:eastAsia="Palatino Linotype" w:hAnsi="Palatino Linotype" w:cs="Palatino Linotype"/>
          <w:i/>
        </w:rPr>
        <w:t>;</w:t>
      </w:r>
    </w:p>
    <w:p w:rsidR="003239FA" w:rsidRPr="00E8262C" w:rsidRDefault="00D53368">
      <w:pPr>
        <w:ind w:left="567" w:right="708"/>
        <w:jc w:val="both"/>
        <w:rPr>
          <w:rFonts w:ascii="Palatino Linotype" w:eastAsia="Palatino Linotype" w:hAnsi="Palatino Linotype" w:cs="Palatino Linotype"/>
          <w:i/>
        </w:rPr>
      </w:pPr>
      <w:r w:rsidRPr="00E8262C">
        <w:rPr>
          <w:rFonts w:ascii="Palatino Linotype" w:eastAsia="Palatino Linotype" w:hAnsi="Palatino Linotype" w:cs="Palatino Linotype"/>
          <w:i/>
        </w:rPr>
        <w:t>III. Apoyar a la Unidad de Transparencia en lo que esta le solicite para el cumplimiento de sus funciones;</w:t>
      </w:r>
    </w:p>
    <w:p w:rsidR="003239FA" w:rsidRPr="00E8262C" w:rsidRDefault="00D53368">
      <w:pPr>
        <w:ind w:left="567" w:right="708"/>
        <w:jc w:val="both"/>
        <w:rPr>
          <w:rFonts w:ascii="Palatino Linotype" w:eastAsia="Palatino Linotype" w:hAnsi="Palatino Linotype" w:cs="Palatino Linotype"/>
          <w:i/>
        </w:rPr>
      </w:pPr>
      <w:r w:rsidRPr="00E8262C">
        <w:rPr>
          <w:rFonts w:ascii="Palatino Linotype" w:eastAsia="Palatino Linotype" w:hAnsi="Palatino Linotype" w:cs="Palatino Linotype"/>
          <w:i/>
        </w:rPr>
        <w:t>IV. Proporcionar a la Unidad de Transparencia, las modificaciones a la información pública de oficio que obre en su poder;</w:t>
      </w:r>
    </w:p>
    <w:p w:rsidR="003239FA" w:rsidRPr="00E8262C" w:rsidRDefault="00D53368">
      <w:pPr>
        <w:ind w:left="567" w:right="708"/>
        <w:jc w:val="both"/>
        <w:rPr>
          <w:rFonts w:ascii="Palatino Linotype" w:eastAsia="Palatino Linotype" w:hAnsi="Palatino Linotype" w:cs="Palatino Linotype"/>
          <w:i/>
        </w:rPr>
      </w:pPr>
      <w:r w:rsidRPr="00E8262C">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rsidR="003239FA" w:rsidRPr="00E8262C" w:rsidRDefault="00D53368">
      <w:pPr>
        <w:ind w:left="567" w:right="708"/>
        <w:jc w:val="both"/>
        <w:rPr>
          <w:rFonts w:ascii="Palatino Linotype" w:eastAsia="Palatino Linotype" w:hAnsi="Palatino Linotype" w:cs="Palatino Linotype"/>
          <w:i/>
        </w:rPr>
      </w:pPr>
      <w:r w:rsidRPr="00E8262C">
        <w:rPr>
          <w:rFonts w:ascii="Palatino Linotype" w:eastAsia="Palatino Linotype" w:hAnsi="Palatino Linotype" w:cs="Palatino Linotype"/>
          <w:i/>
        </w:rPr>
        <w:t>VI. Verificar, una vez analizado el contenido de la información, que no se encuentre en los supuestos de información clasificada; y</w:t>
      </w:r>
    </w:p>
    <w:p w:rsidR="003239FA" w:rsidRPr="00E8262C" w:rsidRDefault="00D53368">
      <w:pPr>
        <w:ind w:left="567" w:right="708"/>
        <w:jc w:val="both"/>
        <w:rPr>
          <w:rFonts w:ascii="Palatino Linotype" w:eastAsia="Palatino Linotype" w:hAnsi="Palatino Linotype" w:cs="Palatino Linotype"/>
          <w:i/>
        </w:rPr>
      </w:pPr>
      <w:r w:rsidRPr="00E8262C">
        <w:rPr>
          <w:rFonts w:ascii="Palatino Linotype" w:eastAsia="Palatino Linotype" w:hAnsi="Palatino Linotype" w:cs="Palatino Linotype"/>
          <w:i/>
        </w:rPr>
        <w:t>VII. Dar cuenta a la Unidad de Transparencia del vencimiento de los plazos de reserva.</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En otras palabras, no cumplió con lo que para tal efecto dispone el artículo 162, de la Ley de Transparencia y Acceso a la Información Pública del Estado de México y Municipios, que índica:</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ind w:left="567"/>
        <w:jc w:val="both"/>
        <w:rPr>
          <w:rFonts w:ascii="Palatino Linotype" w:eastAsia="Palatino Linotype" w:hAnsi="Palatino Linotype" w:cs="Palatino Linotype"/>
          <w:i/>
        </w:rPr>
      </w:pPr>
      <w:r w:rsidRPr="00E8262C">
        <w:rPr>
          <w:rFonts w:ascii="Palatino Linotype" w:eastAsia="Palatino Linotype" w:hAnsi="Palatino Linotype" w:cs="Palatino Linotype"/>
          <w:b/>
          <w:i/>
        </w:rPr>
        <w:t xml:space="preserve">Artículo 162. </w:t>
      </w:r>
      <w:r w:rsidRPr="00E8262C">
        <w:rPr>
          <w:rFonts w:ascii="Palatino Linotype" w:eastAsia="Palatino Linotype" w:hAnsi="Palatino Linotype" w:cs="Palatino Linotype"/>
          <w:i/>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lastRenderedPageBreak/>
        <w:t>Bajo ese contexto, se considera que el pronunciamiento realizado desde su respuesta primigenia por el Sujeto Obligado no colma con la información solicitada por el particular.</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Y de los razonamientos anteriores, se puede determinar que en efecto </w:t>
      </w:r>
      <w:r w:rsidRPr="00E8262C">
        <w:rPr>
          <w:rFonts w:ascii="Palatino Linotype" w:eastAsia="Palatino Linotype" w:hAnsi="Palatino Linotype" w:cs="Palatino Linotype"/>
          <w:b/>
        </w:rPr>
        <w:t xml:space="preserve">EL SUJETO OBLIGADO </w:t>
      </w:r>
      <w:r w:rsidRPr="00E8262C">
        <w:rPr>
          <w:rFonts w:ascii="Palatino Linotype" w:eastAsia="Palatino Linotype" w:hAnsi="Palatino Linotype" w:cs="Palatino Linotype"/>
        </w:rPr>
        <w:t xml:space="preserve">cuenta con facultades para conocer, administrar y poseer el número y nombre de los Clubes de Adultos Mayores reunidos en el mes de enero, febrero, marzo y abril de dos mil veintidós, así como las medidas sanitarias llevadas a cabo. </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Por otra parte, con respecto a los nombres de las personas asistentes a los Clubes de Adultos Mayores, el  Reglamento de Clubes de las Personas Adultas Mayores, señala en su punto III sobre la participación de los asistentes que de forma general la asistencia es voluntaria y el club no reconoce ninguna actividad con fin de lucro o que involucre recursos económicos, no obstante de la redacción del inciso b) del punto previamente señalado, se observa que existen ocasiones en las que los asistentes, es decir las persona asistentes reciben apoyos como despensas como se aprecia a continuación: </w:t>
      </w:r>
    </w:p>
    <w:p w:rsidR="003239FA" w:rsidRPr="00E8262C" w:rsidRDefault="003239FA">
      <w:pPr>
        <w:spacing w:line="360" w:lineRule="auto"/>
        <w:ind w:right="49"/>
        <w:jc w:val="both"/>
        <w:rPr>
          <w:rFonts w:ascii="Palatino Linotype" w:eastAsia="Palatino Linotype" w:hAnsi="Palatino Linotype" w:cs="Palatino Linotype"/>
        </w:rPr>
      </w:pPr>
    </w:p>
    <w:p w:rsidR="003239FA" w:rsidRPr="00E8262C" w:rsidRDefault="00D53368">
      <w:pPr>
        <w:ind w:left="850" w:right="899"/>
        <w:jc w:val="both"/>
        <w:rPr>
          <w:rFonts w:ascii="Palatino Linotype" w:eastAsia="Palatino Linotype" w:hAnsi="Palatino Linotype" w:cs="Palatino Linotype"/>
          <w:b/>
          <w:i/>
          <w:sz w:val="22"/>
          <w:szCs w:val="22"/>
          <w:u w:val="single"/>
        </w:rPr>
      </w:pPr>
      <w:r w:rsidRPr="00E8262C">
        <w:rPr>
          <w:rFonts w:ascii="Palatino Linotype" w:eastAsia="Palatino Linotype" w:hAnsi="Palatino Linotype" w:cs="Palatino Linotype"/>
          <w:b/>
          <w:i/>
          <w:sz w:val="22"/>
          <w:szCs w:val="22"/>
          <w:u w:val="single"/>
        </w:rPr>
        <w:t xml:space="preserve">“III. DE LA PARTICIPACIÓN DE LOS SOCIOS </w:t>
      </w:r>
    </w:p>
    <w:p w:rsidR="003239FA" w:rsidRPr="00E8262C" w:rsidRDefault="00D53368">
      <w:pPr>
        <w:ind w:left="850" w:right="899"/>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a) La asistencia a los clubes es voluntaria y ayuda al buen desempeño de las actividades programadas en el mismo, sin embargo es importante puntualizar que en el caso en que el Instituto programe actividades, festivales, paseos, etc., en donde el cupo sea limitado, los socios con asistencia regular tendrán preferencia corroborando lo anterior con la lista de asistencia.</w:t>
      </w:r>
    </w:p>
    <w:p w:rsidR="003239FA" w:rsidRPr="00E8262C" w:rsidRDefault="00D53368">
      <w:pPr>
        <w:ind w:left="850" w:right="899"/>
        <w:jc w:val="both"/>
        <w:rPr>
          <w:rFonts w:ascii="Palatino Linotype" w:eastAsia="Palatino Linotype" w:hAnsi="Palatino Linotype" w:cs="Palatino Linotype"/>
          <w:b/>
          <w:i/>
          <w:sz w:val="22"/>
          <w:szCs w:val="22"/>
          <w:u w:val="single"/>
        </w:rPr>
      </w:pPr>
      <w:r w:rsidRPr="00E8262C">
        <w:rPr>
          <w:rFonts w:ascii="Palatino Linotype" w:eastAsia="Palatino Linotype" w:hAnsi="Palatino Linotype" w:cs="Palatino Linotype"/>
          <w:b/>
          <w:i/>
          <w:sz w:val="22"/>
          <w:szCs w:val="22"/>
          <w:u w:val="single"/>
        </w:rPr>
        <w:lastRenderedPageBreak/>
        <w:t>b) En el caso de designación de apoyos como despensas y otros, igualmente se dará preferencia a los socios con mayor asistencia pero a la vez con mayor necesidad según estudio socioeconómico.</w:t>
      </w:r>
    </w:p>
    <w:p w:rsidR="003239FA" w:rsidRPr="00E8262C" w:rsidRDefault="00D53368">
      <w:pPr>
        <w:ind w:left="850" w:right="899"/>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c) Los clubes de las personas adultas mayores son espacios creados para el bienestar y desarrollo de las personas adultas mayores por lo que no se permite en ellos la asistencia cotidiana de niños y jóvenes, así como en excursiones, paseos, actividades, etc., exclusivas para socios. </w:t>
      </w:r>
    </w:p>
    <w:p w:rsidR="003239FA" w:rsidRPr="00E8262C" w:rsidRDefault="00D53368">
      <w:pPr>
        <w:ind w:left="850" w:right="899"/>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d) Para protección y seguridad de los socios no se permite la ingestión de bebidas alcohólicas o cualquier otro estimulante en las instalaciones del club, ni en eventos, excursiones y actividades organizadas por este, de igual manera no podrá llegar bajo los efectos de estos. </w:t>
      </w:r>
    </w:p>
    <w:p w:rsidR="003239FA" w:rsidRPr="00E8262C" w:rsidRDefault="00D53368">
      <w:pPr>
        <w:ind w:left="850" w:right="899"/>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e) Las actividades con fines de lucro no favorecen el bienestar común por lo que no están autorizadas por la Dirección de Programas Estatales y las Delegaciones Estatales y/o Municipales; tandas, cajas de ahorro, ventas, paseos organizados por particulares, etc. </w:t>
      </w:r>
    </w:p>
    <w:p w:rsidR="003239FA" w:rsidRPr="00E8262C" w:rsidRDefault="00D53368">
      <w:pPr>
        <w:ind w:left="850" w:right="899"/>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f) En aquellas actividades en las que se requiera de material para su realización, el socio deberá adquirirlo en el lugar de su preferencia. </w:t>
      </w:r>
    </w:p>
    <w:p w:rsidR="003239FA" w:rsidRPr="00E8262C" w:rsidRDefault="00D53368">
      <w:pPr>
        <w:ind w:left="850" w:right="899"/>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g) Los objetos personales u objetos de valor de los socios no son responsabilidad del Instituto, por lo que se recomienda que cada uno se responsabilice de su cuidado. </w:t>
      </w:r>
    </w:p>
    <w:p w:rsidR="003239FA" w:rsidRPr="00E8262C" w:rsidRDefault="00D53368">
      <w:pPr>
        <w:ind w:left="850" w:right="899"/>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h) El mobiliario, equipos, herramientas, implementos deportivos, etc., que se encuentran en cada club, son para beneficio común por lo que su conservación, cuidado y buen uso es responsabilidad de cada uno de los socios. </w:t>
      </w:r>
    </w:p>
    <w:p w:rsidR="003239FA" w:rsidRPr="00E8262C" w:rsidRDefault="00D53368">
      <w:pPr>
        <w:ind w:left="850" w:right="899"/>
        <w:jc w:val="both"/>
        <w:rPr>
          <w:rFonts w:ascii="Palatino Linotype" w:eastAsia="Palatino Linotype" w:hAnsi="Palatino Linotype" w:cs="Palatino Linotype"/>
          <w:i/>
          <w:sz w:val="22"/>
          <w:szCs w:val="22"/>
        </w:rPr>
      </w:pPr>
      <w:proofErr w:type="gramStart"/>
      <w:r w:rsidRPr="00E8262C">
        <w:rPr>
          <w:rFonts w:ascii="Palatino Linotype" w:eastAsia="Palatino Linotype" w:hAnsi="Palatino Linotype" w:cs="Palatino Linotype"/>
          <w:i/>
          <w:sz w:val="22"/>
          <w:szCs w:val="22"/>
        </w:rPr>
        <w:t>i</w:t>
      </w:r>
      <w:proofErr w:type="gramEnd"/>
      <w:r w:rsidRPr="00E8262C">
        <w:rPr>
          <w:rFonts w:ascii="Palatino Linotype" w:eastAsia="Palatino Linotype" w:hAnsi="Palatino Linotype" w:cs="Palatino Linotype"/>
          <w:i/>
          <w:sz w:val="22"/>
          <w:szCs w:val="22"/>
        </w:rPr>
        <w:t>) En el caso de las actividades que requieran especificar un horario de salida y regreso (paseos, convivencias, eventos especiales o foráneos, etc.) se dará un tiempo de tolerancia de 15 minutos de espera.”</w:t>
      </w:r>
    </w:p>
    <w:p w:rsidR="003239FA" w:rsidRPr="00E8262C" w:rsidRDefault="00D53368">
      <w:pPr>
        <w:ind w:left="850" w:right="899"/>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w:t>
      </w:r>
      <w:proofErr w:type="gramStart"/>
      <w:r w:rsidRPr="00E8262C">
        <w:rPr>
          <w:rFonts w:ascii="Palatino Linotype" w:eastAsia="Palatino Linotype" w:hAnsi="Palatino Linotype" w:cs="Palatino Linotype"/>
          <w:i/>
          <w:sz w:val="22"/>
          <w:szCs w:val="22"/>
        </w:rPr>
        <w:t>énfasis</w:t>
      </w:r>
      <w:proofErr w:type="gramEnd"/>
      <w:r w:rsidRPr="00E8262C">
        <w:rPr>
          <w:rFonts w:ascii="Palatino Linotype" w:eastAsia="Palatino Linotype" w:hAnsi="Palatino Linotype" w:cs="Palatino Linotype"/>
          <w:i/>
          <w:sz w:val="22"/>
          <w:szCs w:val="22"/>
        </w:rPr>
        <w:t xml:space="preserve"> añadido)</w:t>
      </w:r>
    </w:p>
    <w:p w:rsidR="003239FA" w:rsidRPr="00E8262C" w:rsidRDefault="003239FA">
      <w:pPr>
        <w:spacing w:line="360" w:lineRule="auto"/>
        <w:ind w:right="49"/>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Luego entonces, si los socios reciben apoyos económicos, la fracción II del artículo 92 de la Ley de Transparencia y Acceso a la Información Pública del Estado de México y Municipios, prevé la obligación de los Sujetos Obligados de publicar la información relacionada con los programas de subsidios, estímulos y apoyos, que ofrecen,  tal y como se advierte a continuación:</w:t>
      </w:r>
    </w:p>
    <w:p w:rsidR="003239FA" w:rsidRPr="00E8262C" w:rsidRDefault="003239FA">
      <w:pPr>
        <w:ind w:left="708"/>
        <w:rPr>
          <w:rFonts w:ascii="Palatino Linotype" w:eastAsia="Palatino Linotype" w:hAnsi="Palatino Linotype" w:cs="Palatino Linotype"/>
        </w:rPr>
      </w:pPr>
    </w:p>
    <w:p w:rsidR="003239FA" w:rsidRPr="00E8262C" w:rsidRDefault="00D53368">
      <w:pPr>
        <w:ind w:left="505"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 xml:space="preserve">“Artículo 92. Los sujetos obligados deberán poner a disposición del público de manera permanente y actualizada </w:t>
      </w:r>
      <w:r w:rsidRPr="00E8262C">
        <w:rPr>
          <w:rFonts w:ascii="Palatino Linotype" w:eastAsia="Palatino Linotype" w:hAnsi="Palatino Linotype" w:cs="Palatino Linotype"/>
          <w:i/>
          <w:sz w:val="22"/>
          <w:szCs w:val="22"/>
        </w:rPr>
        <w:t>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239FA" w:rsidRPr="00E8262C" w:rsidRDefault="003239FA">
      <w:pPr>
        <w:ind w:left="505" w:right="901"/>
        <w:jc w:val="both"/>
        <w:rPr>
          <w:rFonts w:ascii="Palatino Linotype" w:eastAsia="Palatino Linotype" w:hAnsi="Palatino Linotype" w:cs="Palatino Linotype"/>
          <w:b/>
          <w:i/>
          <w:sz w:val="22"/>
          <w:szCs w:val="22"/>
        </w:rPr>
      </w:pPr>
    </w:p>
    <w:p w:rsidR="003239FA" w:rsidRPr="00E8262C" w:rsidRDefault="00D53368">
      <w:pPr>
        <w:ind w:left="505" w:right="901"/>
        <w:jc w:val="both"/>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b/>
          <w:i/>
          <w:sz w:val="22"/>
          <w:szCs w:val="22"/>
        </w:rPr>
        <w:t>(…)</w:t>
      </w:r>
    </w:p>
    <w:p w:rsidR="003239FA" w:rsidRPr="00E8262C" w:rsidRDefault="00D53368">
      <w:pPr>
        <w:ind w:left="505" w:right="900"/>
        <w:jc w:val="both"/>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b/>
          <w:i/>
          <w:sz w:val="22"/>
          <w:szCs w:val="22"/>
        </w:rPr>
        <w:t xml:space="preserve">XIV. La información de los programas de subsidios, estímulos y apoyos, </w:t>
      </w:r>
      <w:r w:rsidRPr="00E8262C">
        <w:rPr>
          <w:rFonts w:ascii="Palatino Linotype" w:eastAsia="Palatino Linotype" w:hAnsi="Palatino Linotype" w:cs="Palatino Linotype"/>
          <w:i/>
          <w:sz w:val="22"/>
          <w:szCs w:val="22"/>
        </w:rPr>
        <w:t>en el que se deberá informar respecto de los programas de transferencia, de servicios, de infraestructura social y de subsidio, en los que se deberá contener lo siguiente</w:t>
      </w:r>
      <w:r w:rsidRPr="00E8262C">
        <w:rPr>
          <w:rFonts w:ascii="Palatino Linotype" w:eastAsia="Palatino Linotype" w:hAnsi="Palatino Linotype" w:cs="Palatino Linotype"/>
          <w:b/>
          <w:i/>
          <w:sz w:val="22"/>
          <w:szCs w:val="22"/>
        </w:rPr>
        <w:t>:</w:t>
      </w:r>
    </w:p>
    <w:p w:rsidR="003239FA" w:rsidRPr="00E8262C" w:rsidRDefault="00D53368">
      <w:pPr>
        <w:ind w:left="1225" w:right="900"/>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a) Área;</w:t>
      </w:r>
    </w:p>
    <w:p w:rsidR="003239FA" w:rsidRPr="00E8262C" w:rsidRDefault="00D53368">
      <w:pPr>
        <w:ind w:left="1225" w:right="900"/>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b) Denominación del programa;</w:t>
      </w:r>
    </w:p>
    <w:p w:rsidR="003239FA" w:rsidRPr="00E8262C" w:rsidRDefault="00D53368">
      <w:pPr>
        <w:ind w:left="1225" w:right="900"/>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c) Periodo de vigencia; </w:t>
      </w:r>
    </w:p>
    <w:p w:rsidR="003239FA" w:rsidRPr="00E8262C" w:rsidRDefault="00D53368">
      <w:pPr>
        <w:ind w:left="1225" w:right="900"/>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d) Diseño, objetivos y alcances; </w:t>
      </w:r>
    </w:p>
    <w:p w:rsidR="003239FA" w:rsidRPr="00E8262C" w:rsidRDefault="00D53368">
      <w:pPr>
        <w:ind w:left="1225" w:right="900"/>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e) Metas físicas; </w:t>
      </w:r>
    </w:p>
    <w:p w:rsidR="003239FA" w:rsidRPr="00E8262C" w:rsidRDefault="00D53368">
      <w:pPr>
        <w:ind w:left="1225" w:right="900"/>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f) Población beneficiada estimada; </w:t>
      </w:r>
    </w:p>
    <w:p w:rsidR="003239FA" w:rsidRPr="00E8262C" w:rsidRDefault="00D53368">
      <w:pPr>
        <w:ind w:left="1225" w:right="900"/>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g) Monto aprobado, modificado y ejercido, así como los calendarios de su programación presupuestal; </w:t>
      </w:r>
    </w:p>
    <w:p w:rsidR="003239FA" w:rsidRPr="00E8262C" w:rsidRDefault="00D53368">
      <w:pPr>
        <w:ind w:left="1225" w:right="900"/>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h) Requisitos y procedimientos de acceso; </w:t>
      </w:r>
    </w:p>
    <w:p w:rsidR="003239FA" w:rsidRPr="00E8262C" w:rsidRDefault="00D53368">
      <w:pPr>
        <w:ind w:left="1225" w:right="900"/>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i) Procedimiento de queja o inconformidad ciudadana; </w:t>
      </w:r>
    </w:p>
    <w:p w:rsidR="003239FA" w:rsidRPr="00E8262C" w:rsidRDefault="00D53368">
      <w:pPr>
        <w:ind w:left="1225" w:right="900"/>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j) Mecanismos de exigibilidad; </w:t>
      </w:r>
    </w:p>
    <w:p w:rsidR="003239FA" w:rsidRPr="00E8262C" w:rsidRDefault="00D53368">
      <w:pPr>
        <w:ind w:left="1225" w:right="900"/>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k) Mecanismos e informes de evaluación y seguimiento de recomendaciones; </w:t>
      </w:r>
    </w:p>
    <w:p w:rsidR="003239FA" w:rsidRPr="00E8262C" w:rsidRDefault="00D53368">
      <w:pPr>
        <w:ind w:left="1225" w:right="900"/>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l) Indicadores con nombre, definición, método de cálculo, unidad de medida; dimensión, frecuencia de medición, nombre de las bases de datos utilizadas para su cálculo; </w:t>
      </w:r>
    </w:p>
    <w:p w:rsidR="003239FA" w:rsidRPr="00E8262C" w:rsidRDefault="00D53368">
      <w:pPr>
        <w:ind w:left="1225" w:right="900"/>
        <w:jc w:val="both"/>
        <w:rPr>
          <w:rFonts w:ascii="Palatino Linotype" w:eastAsia="Palatino Linotype" w:hAnsi="Palatino Linotype" w:cs="Palatino Linotype"/>
          <w:i/>
          <w:sz w:val="22"/>
          <w:szCs w:val="22"/>
        </w:rPr>
      </w:pPr>
      <w:proofErr w:type="gramStart"/>
      <w:r w:rsidRPr="00E8262C">
        <w:rPr>
          <w:rFonts w:ascii="Palatino Linotype" w:eastAsia="Palatino Linotype" w:hAnsi="Palatino Linotype" w:cs="Palatino Linotype"/>
          <w:i/>
          <w:sz w:val="22"/>
          <w:szCs w:val="22"/>
        </w:rPr>
        <w:t>m)Formas</w:t>
      </w:r>
      <w:proofErr w:type="gramEnd"/>
      <w:r w:rsidRPr="00E8262C">
        <w:rPr>
          <w:rFonts w:ascii="Palatino Linotype" w:eastAsia="Palatino Linotype" w:hAnsi="Palatino Linotype" w:cs="Palatino Linotype"/>
          <w:i/>
          <w:sz w:val="22"/>
          <w:szCs w:val="22"/>
        </w:rPr>
        <w:t xml:space="preserve"> de participación social; </w:t>
      </w:r>
    </w:p>
    <w:p w:rsidR="003239FA" w:rsidRPr="00E8262C" w:rsidRDefault="00D53368">
      <w:pPr>
        <w:ind w:left="1225" w:right="900"/>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n) Articulación con otros programas sociales; </w:t>
      </w:r>
    </w:p>
    <w:p w:rsidR="003239FA" w:rsidRPr="00E8262C" w:rsidRDefault="00D53368">
      <w:pPr>
        <w:ind w:left="1225" w:right="900"/>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ñ) Vínculo a las reglas de operación o documento equivalente; </w:t>
      </w:r>
    </w:p>
    <w:p w:rsidR="003239FA" w:rsidRPr="00E8262C" w:rsidRDefault="00D53368">
      <w:pPr>
        <w:ind w:left="1225" w:right="900"/>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o) Informes periódicos sobre la ejecución y los resultados de las evaluaciones realizadas; y </w:t>
      </w:r>
    </w:p>
    <w:p w:rsidR="003239FA" w:rsidRPr="00E8262C" w:rsidRDefault="00D53368">
      <w:pPr>
        <w:ind w:left="1225" w:right="900"/>
        <w:jc w:val="both"/>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b/>
          <w:i/>
          <w:sz w:val="22"/>
          <w:szCs w:val="22"/>
        </w:rPr>
        <w:t xml:space="preserve">p) Padrón de beneficiarios mismo que deberá contener los siguientes datos: nombre de la persona física o denominación social de las personas jurídicas colectivas beneficiadas, el monto, recurso, beneficio o apoyo </w:t>
      </w:r>
      <w:r w:rsidRPr="00E8262C">
        <w:rPr>
          <w:rFonts w:ascii="Palatino Linotype" w:eastAsia="Palatino Linotype" w:hAnsi="Palatino Linotype" w:cs="Palatino Linotype"/>
          <w:b/>
          <w:i/>
          <w:sz w:val="22"/>
          <w:szCs w:val="22"/>
        </w:rPr>
        <w:lastRenderedPageBreak/>
        <w:t xml:space="preserve">otorgado para cada una de ellas, unidad territorial, en su caso, edad y sexo. </w:t>
      </w:r>
    </w:p>
    <w:p w:rsidR="003239FA" w:rsidRPr="00E8262C" w:rsidRDefault="00D53368">
      <w:pPr>
        <w:ind w:left="1225" w:right="900"/>
        <w:jc w:val="both"/>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b/>
          <w:i/>
          <w:sz w:val="22"/>
          <w:szCs w:val="22"/>
        </w:rPr>
        <w:t>(…)”</w:t>
      </w:r>
    </w:p>
    <w:p w:rsidR="003239FA" w:rsidRPr="00E8262C" w:rsidRDefault="00D53368">
      <w:pPr>
        <w:ind w:left="1225" w:right="900"/>
        <w:jc w:val="both"/>
        <w:rPr>
          <w:rFonts w:ascii="Palatino Linotype" w:eastAsia="Palatino Linotype" w:hAnsi="Palatino Linotype" w:cs="Palatino Linotype"/>
          <w:sz w:val="22"/>
          <w:szCs w:val="22"/>
        </w:rPr>
      </w:pPr>
      <w:r w:rsidRPr="00E8262C">
        <w:rPr>
          <w:rFonts w:ascii="Palatino Linotype" w:eastAsia="Palatino Linotype" w:hAnsi="Palatino Linotype" w:cs="Palatino Linotype"/>
          <w:sz w:val="22"/>
          <w:szCs w:val="22"/>
        </w:rPr>
        <w:t>(Énfasis añadido)</w:t>
      </w:r>
    </w:p>
    <w:p w:rsidR="003239FA" w:rsidRPr="00E8262C" w:rsidRDefault="003239FA">
      <w:pPr>
        <w:spacing w:line="360" w:lineRule="auto"/>
        <w:ind w:right="49"/>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Robustece lo anterior y lo hasta aquí expuesto lo que señalan los </w:t>
      </w:r>
      <w:r w:rsidRPr="00E8262C">
        <w:rPr>
          <w:rFonts w:ascii="Palatino Linotype" w:eastAsia="Palatino Linotype" w:hAnsi="Palatino Linotype" w:cs="Palatino Linotype"/>
          <w:i/>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E8262C">
        <w:rPr>
          <w:rFonts w:ascii="Palatino Linotype" w:eastAsia="Palatino Linotype" w:hAnsi="Palatino Linotype" w:cs="Palatino Linotype"/>
        </w:rPr>
        <w:t>publicados originalmente en el Diario Oficial de la Federación del 04 de mayo de 2016, así como su última reforma publicada en el Diario Oficial de la Federación del 28 de diciembre de 2020; en su fracción dos que indica lo siguiente:</w:t>
      </w:r>
    </w:p>
    <w:p w:rsidR="003239FA" w:rsidRPr="00E8262C" w:rsidRDefault="003239FA">
      <w:pPr>
        <w:ind w:left="708"/>
        <w:rPr>
          <w:rFonts w:ascii="Palatino Linotype" w:eastAsia="Palatino Linotype" w:hAnsi="Palatino Linotype" w:cs="Palatino Linotype"/>
        </w:rPr>
      </w:pPr>
    </w:p>
    <w:p w:rsidR="003239FA" w:rsidRPr="00E8262C" w:rsidRDefault="00D53368">
      <w:pPr>
        <w:ind w:left="850" w:right="758"/>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w:t>
      </w:r>
      <w:r w:rsidRPr="00E8262C">
        <w:rPr>
          <w:rFonts w:ascii="Palatino Linotype" w:eastAsia="Palatino Linotype" w:hAnsi="Palatino Linotype" w:cs="Palatino Linotype"/>
          <w:i/>
          <w:sz w:val="22"/>
          <w:szCs w:val="22"/>
        </w:rPr>
        <w:t xml:space="preserve">Para dar cumplimiento a esta fracción, el sujeto obligado deberá organizar y publicar la información relativa a todos los programas que </w:t>
      </w:r>
      <w:proofErr w:type="spellStart"/>
      <w:r w:rsidRPr="00E8262C">
        <w:rPr>
          <w:rFonts w:ascii="Palatino Linotype" w:eastAsia="Palatino Linotype" w:hAnsi="Palatino Linotype" w:cs="Palatino Linotype"/>
          <w:i/>
          <w:sz w:val="22"/>
          <w:szCs w:val="22"/>
        </w:rPr>
        <w:t>desarrolla</w:t>
      </w:r>
      <w:proofErr w:type="gramStart"/>
      <w:r w:rsidRPr="00E8262C">
        <w:rPr>
          <w:rFonts w:ascii="Palatino Linotype" w:eastAsia="Palatino Linotype" w:hAnsi="Palatino Linotype" w:cs="Palatino Linotype"/>
          <w:i/>
          <w:sz w:val="22"/>
          <w:szCs w:val="22"/>
        </w:rPr>
        <w:t>,regula</w:t>
      </w:r>
      <w:proofErr w:type="spellEnd"/>
      <w:proofErr w:type="gramEnd"/>
      <w:r w:rsidRPr="00E8262C">
        <w:rPr>
          <w:rFonts w:ascii="Palatino Linotype" w:eastAsia="Palatino Linotype" w:hAnsi="Palatino Linotype" w:cs="Palatino Linotype"/>
          <w:i/>
          <w:sz w:val="22"/>
          <w:szCs w:val="22"/>
        </w:rPr>
        <w:t xml:space="preserve"> y/o tiene a su cargo y que impliquen subsidios, estímulos y apoyos en efectivo y/o en especie. Se trata de los programas que de acuerdo con la correspondiente normatividad, los sujetos obligados dirijan a la población para incidir en su bienestar y hacer efectivos sus derechos, ya sea programas municipales; planes y programas estatales; programas institucionales, regionales y especiales; y los inherentes al Programa Nacional de Desarrollo Social. Se deberá incluir toda aquella información sobre los programas sociales –tanto de los sujetos a Reglas de Operación establecidas en el Decreto de Presupuesto de Egresos como otros programas, acciones y proyectos desarrollados por el sujeto obligado y que impliquen la erogación y/o uso de recursos y bienes públicos–, los del ejercicio en curso y dos anteriores. </w:t>
      </w:r>
    </w:p>
    <w:p w:rsidR="003239FA" w:rsidRPr="00E8262C" w:rsidRDefault="00D53368">
      <w:pPr>
        <w:ind w:left="850" w:right="758"/>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Respecto al tipo o naturaleza del programa social se deberá especificar si corresponde a alguno de los siguientes: </w:t>
      </w:r>
    </w:p>
    <w:p w:rsidR="003239FA" w:rsidRPr="00E8262C" w:rsidRDefault="00D53368">
      <w:pPr>
        <w:ind w:left="1570" w:right="758"/>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lastRenderedPageBreak/>
        <w:t>a. Programas de transferencia:</w:t>
      </w:r>
      <w:r w:rsidRPr="00E8262C">
        <w:rPr>
          <w:rFonts w:ascii="Palatino Linotype" w:eastAsia="Palatino Linotype" w:hAnsi="Palatino Linotype" w:cs="Palatino Linotype"/>
          <w:i/>
          <w:sz w:val="22"/>
          <w:szCs w:val="22"/>
        </w:rPr>
        <w:t xml:space="preserve"> implican la entrega directa a una persona física o moral ya sea de recursos monetarios o bienes materiales. </w:t>
      </w:r>
    </w:p>
    <w:p w:rsidR="003239FA" w:rsidRPr="00E8262C" w:rsidRDefault="00D53368">
      <w:pPr>
        <w:ind w:left="1570" w:right="758"/>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b. Programas de servicios:</w:t>
      </w:r>
      <w:r w:rsidRPr="00E8262C">
        <w:rPr>
          <w:rFonts w:ascii="Palatino Linotype" w:eastAsia="Palatino Linotype" w:hAnsi="Palatino Linotype" w:cs="Palatino Linotype"/>
          <w:i/>
          <w:sz w:val="22"/>
          <w:szCs w:val="22"/>
        </w:rPr>
        <w:t xml:space="preserve"> ofrecen un conjunto de actividades con el fin de atender necesidades específicas de determinada comunidad: servicios de educación, de salud, de vivienda, etcétera. </w:t>
      </w:r>
    </w:p>
    <w:p w:rsidR="003239FA" w:rsidRPr="00E8262C" w:rsidRDefault="00D53368">
      <w:pPr>
        <w:ind w:left="1570" w:right="758"/>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c. Programas de infraestructura social:</w:t>
      </w:r>
      <w:r w:rsidRPr="00E8262C">
        <w:rPr>
          <w:rFonts w:ascii="Palatino Linotype" w:eastAsia="Palatino Linotype" w:hAnsi="Palatino Linotype" w:cs="Palatino Linotype"/>
          <w:i/>
          <w:sz w:val="22"/>
          <w:szCs w:val="22"/>
        </w:rPr>
        <w:t xml:space="preserve"> se implementan para la construcción, remodelación o mantenimiento de infraestructura pública. </w:t>
      </w:r>
    </w:p>
    <w:p w:rsidR="003239FA" w:rsidRPr="00E8262C" w:rsidRDefault="00D53368">
      <w:pPr>
        <w:ind w:left="1570" w:right="758"/>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d. Programas de subsidio:</w:t>
      </w:r>
      <w:r w:rsidRPr="00E8262C">
        <w:rPr>
          <w:rFonts w:ascii="Palatino Linotype" w:eastAsia="Palatino Linotype" w:hAnsi="Palatino Linotype" w:cs="Palatino Linotype"/>
          <w:i/>
          <w:sz w:val="22"/>
          <w:szCs w:val="22"/>
        </w:rPr>
        <w:t xml:space="preserve"> otorgan recursos directos para reducir el cobro a las y los usuarios o consumidores de un bien o servicio y así fomentar el desarrollo de actividades sociales o económicas prioritarias de interés general. </w:t>
      </w:r>
    </w:p>
    <w:p w:rsidR="003239FA" w:rsidRPr="00E8262C" w:rsidRDefault="00D53368">
      <w:pPr>
        <w:ind w:left="850" w:right="758"/>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Respecto a los programas sociales que desarrollan, regulan y/o tienen a su cargo los sujetos obligados de las Entidades y dependencias de la Administración Pública Federal publicarán los datos de los padrones de beneficiarios de acuerdo con la Ley General de Desarrollo Social y los Lineamientos para la constitución, actualización, autenticidad, inalterabilidad, seguridad y difusión de la información del Padrón de Beneficiario emitidos por la Secretaría del Bienestar, para lo cual se utilizarán los catálogos elaborados por dicha Secretaría y que, de conformidad con el lineamiento Octavo, forman parte de los Anexos que pueden ser consultados en la dirección: https://pub.bienestar.gob.mx/catalogs pestaña “Anexos”</w:t>
      </w:r>
    </w:p>
    <w:p w:rsidR="003239FA" w:rsidRPr="00E8262C" w:rsidRDefault="00D53368">
      <w:pPr>
        <w:ind w:left="850" w:right="758"/>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w:t>
      </w:r>
    </w:p>
    <w:p w:rsidR="003239FA" w:rsidRPr="00E8262C" w:rsidRDefault="00D53368">
      <w:pPr>
        <w:ind w:left="850" w:right="758"/>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Cuando el programa implementado es abierto a las personas y no existe un mecanismo o base de datos respecto de los padrones de beneficiarios, los sujetos obligados deberán publicar información general estadística sobre los beneficios del programa. En aquellos casos en que los programas presentados por los sujetos obligados tengan más de una modalidad, subprograma o vertiente de ejecución o ésta sea muy compleja, se deberá publicar la información por separado respecto del mismo programa. </w:t>
      </w:r>
    </w:p>
    <w:p w:rsidR="003239FA" w:rsidRPr="00E8262C" w:rsidRDefault="00D53368">
      <w:pPr>
        <w:ind w:left="850" w:right="758"/>
        <w:jc w:val="both"/>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i/>
          <w:sz w:val="22"/>
          <w:szCs w:val="22"/>
        </w:rPr>
        <w:t xml:space="preserve">La información de esta fracción se deberá actualizar trimestralmente; en su caso, especificar las razones por las cuales algún rubro no pueda ser actualizado mediante una nota fundamentada, motivada y actualizada al periodo que corresponda. </w:t>
      </w:r>
      <w:r w:rsidRPr="00E8262C">
        <w:rPr>
          <w:rFonts w:ascii="Palatino Linotype" w:eastAsia="Palatino Linotype" w:hAnsi="Palatino Linotype" w:cs="Palatino Linotype"/>
          <w:b/>
          <w:i/>
          <w:sz w:val="22"/>
          <w:szCs w:val="22"/>
        </w:rPr>
        <w:t>”</w:t>
      </w:r>
    </w:p>
    <w:p w:rsidR="003239FA" w:rsidRPr="00E8262C" w:rsidRDefault="00D53368">
      <w:pPr>
        <w:ind w:left="850" w:right="758"/>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(Énfasis añadido)</w:t>
      </w:r>
    </w:p>
    <w:p w:rsidR="003239FA" w:rsidRPr="00E8262C" w:rsidRDefault="003239FA">
      <w:pPr>
        <w:ind w:left="850" w:right="758"/>
        <w:jc w:val="both"/>
        <w:rPr>
          <w:rFonts w:ascii="Palatino Linotype" w:eastAsia="Palatino Linotype" w:hAnsi="Palatino Linotype" w:cs="Palatino Linotype"/>
          <w:i/>
          <w:sz w:val="22"/>
          <w:szCs w:val="22"/>
        </w:rPr>
      </w:pPr>
    </w:p>
    <w:p w:rsidR="003239FA" w:rsidRPr="00E8262C" w:rsidRDefault="00D53368">
      <w:pPr>
        <w:spacing w:line="360" w:lineRule="auto"/>
        <w:ind w:left="425" w:right="190"/>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Del análisis de los preceptos antes planteados se desprende que los Sujetos Obligados deberán poner a disposición de los particulares la información relacionada con los programas sociales y apoyos que ofrezcan dentro de los </w:t>
      </w:r>
      <w:r w:rsidRPr="00E8262C">
        <w:rPr>
          <w:rFonts w:ascii="Palatino Linotype" w:eastAsia="Palatino Linotype" w:hAnsi="Palatino Linotype" w:cs="Palatino Linotype"/>
        </w:rPr>
        <w:lastRenderedPageBreak/>
        <w:t xml:space="preserve">cuales se deberá incluir el padrón de beneficiarios, donde se observe el nombre de los beneficiarios como se puede apreciar en la imagen que se inserta a continuación: </w:t>
      </w:r>
    </w:p>
    <w:p w:rsidR="003239FA" w:rsidRPr="00E8262C" w:rsidRDefault="00D53368">
      <w:pPr>
        <w:ind w:left="850" w:right="758"/>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noProof/>
          <w:sz w:val="22"/>
          <w:szCs w:val="22"/>
        </w:rPr>
        <w:drawing>
          <wp:inline distT="114300" distB="114300" distL="114300" distR="114300">
            <wp:extent cx="5143500" cy="3171825"/>
            <wp:effectExtent l="0" t="0" r="0" b="0"/>
            <wp:docPr id="2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143500" cy="3171825"/>
                    </a:xfrm>
                    <a:prstGeom prst="rect">
                      <a:avLst/>
                    </a:prstGeom>
                    <a:ln/>
                  </pic:spPr>
                </pic:pic>
              </a:graphicData>
            </a:graphic>
          </wp:inline>
        </w:drawing>
      </w:r>
    </w:p>
    <w:p w:rsidR="003239FA" w:rsidRPr="00E8262C" w:rsidRDefault="003239FA">
      <w:pPr>
        <w:spacing w:line="360" w:lineRule="auto"/>
        <w:ind w:right="49"/>
        <w:rPr>
          <w:rFonts w:ascii="Palatino Linotype" w:eastAsia="Palatino Linotype" w:hAnsi="Palatino Linotype" w:cs="Palatino Linotype"/>
        </w:rPr>
      </w:pPr>
    </w:p>
    <w:p w:rsidR="003239FA" w:rsidRPr="00E8262C" w:rsidRDefault="00D53368">
      <w:pPr>
        <w:spacing w:line="360" w:lineRule="auto"/>
        <w:ind w:right="49"/>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Es así que la información contenida en los padrones de beneficiarios es por regla general de naturaleza pública, toda vez que se refiere a personas que reciben recursos públicos y por tanto aportar su nombre es parte de la rendición de cuentas y de transparentar la función pública. </w:t>
      </w:r>
    </w:p>
    <w:p w:rsidR="003239FA" w:rsidRPr="00E8262C" w:rsidRDefault="003239FA">
      <w:pPr>
        <w:spacing w:line="360" w:lineRule="auto"/>
        <w:ind w:right="49"/>
        <w:jc w:val="both"/>
        <w:rPr>
          <w:rFonts w:ascii="Palatino Linotype" w:eastAsia="Palatino Linotype" w:hAnsi="Palatino Linotype" w:cs="Palatino Linotype"/>
        </w:rPr>
      </w:pPr>
    </w:p>
    <w:p w:rsidR="003239FA" w:rsidRPr="00E8262C" w:rsidRDefault="00D53368">
      <w:pPr>
        <w:spacing w:line="360" w:lineRule="auto"/>
        <w:ind w:right="49"/>
        <w:jc w:val="both"/>
        <w:rPr>
          <w:rFonts w:ascii="Palatino Linotype" w:eastAsia="Palatino Linotype" w:hAnsi="Palatino Linotype" w:cs="Palatino Linotype"/>
          <w:shd w:val="clear" w:color="auto" w:fill="FFF2CC"/>
        </w:rPr>
      </w:pPr>
      <w:r w:rsidRPr="00CF4E00">
        <w:rPr>
          <w:rFonts w:ascii="Palatino Linotype" w:eastAsia="Palatino Linotype" w:hAnsi="Palatino Linotype" w:cs="Palatino Linotype"/>
        </w:rPr>
        <w:t>No obstante, en el caso en que dichos particulares no hayan recibidos recursos públicos, su nombre corresponde a un dato personal que no abona a la rendición de</w:t>
      </w:r>
      <w:r w:rsidRPr="00E8262C">
        <w:rPr>
          <w:rFonts w:ascii="Palatino Linotype" w:eastAsia="Palatino Linotype" w:hAnsi="Palatino Linotype" w:cs="Palatino Linotype"/>
          <w:shd w:val="clear" w:color="auto" w:fill="FFF2CC"/>
        </w:rPr>
        <w:t xml:space="preserve"> </w:t>
      </w:r>
      <w:r w:rsidRPr="00CF4E00">
        <w:rPr>
          <w:rFonts w:ascii="Palatino Linotype" w:eastAsia="Palatino Linotype" w:hAnsi="Palatino Linotype" w:cs="Palatino Linotype"/>
        </w:rPr>
        <w:lastRenderedPageBreak/>
        <w:t xml:space="preserve">cuentas y </w:t>
      </w:r>
      <w:r w:rsidRPr="00CF4E00">
        <w:rPr>
          <w:rFonts w:ascii="Palatino Linotype" w:eastAsia="Palatino Linotype" w:hAnsi="Palatino Linotype" w:cs="Palatino Linotype"/>
          <w:b/>
        </w:rPr>
        <w:t>EL SUJETO OBLIGADO</w:t>
      </w:r>
      <w:r w:rsidRPr="00CF4E00">
        <w:rPr>
          <w:rFonts w:ascii="Palatino Linotype" w:eastAsia="Palatino Linotype" w:hAnsi="Palatino Linotype" w:cs="Palatino Linotype"/>
        </w:rPr>
        <w:t xml:space="preserve"> deberá hacer entrega del acuerdo debidamente fundado y motivado donde su Comité de Transparencia clasifiqué como confidencial dicha información</w:t>
      </w:r>
      <w:r w:rsidRPr="00E8262C">
        <w:rPr>
          <w:rFonts w:ascii="Palatino Linotype" w:eastAsia="Palatino Linotype" w:hAnsi="Palatino Linotype" w:cs="Palatino Linotype"/>
          <w:shd w:val="clear" w:color="auto" w:fill="FFF2CC"/>
        </w:rPr>
        <w:t xml:space="preserve"> </w:t>
      </w:r>
    </w:p>
    <w:p w:rsidR="003239FA" w:rsidRPr="00E8262C" w:rsidRDefault="003239FA">
      <w:pPr>
        <w:spacing w:line="360" w:lineRule="auto"/>
        <w:ind w:right="49"/>
        <w:jc w:val="both"/>
        <w:rPr>
          <w:rFonts w:ascii="Palatino Linotype" w:eastAsia="Palatino Linotype" w:hAnsi="Palatino Linotype" w:cs="Palatino Linotype"/>
        </w:rPr>
      </w:pPr>
    </w:p>
    <w:p w:rsidR="003239FA" w:rsidRPr="00E8262C" w:rsidRDefault="00D53368">
      <w:pPr>
        <w:spacing w:line="360" w:lineRule="auto"/>
        <w:ind w:right="49"/>
        <w:jc w:val="both"/>
        <w:rPr>
          <w:rFonts w:ascii="Palatino Linotype" w:eastAsia="Palatino Linotype" w:hAnsi="Palatino Linotype" w:cs="Palatino Linotype"/>
        </w:rPr>
      </w:pPr>
      <w:r w:rsidRPr="00E8262C">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rsidR="003239FA" w:rsidRPr="00E8262C" w:rsidRDefault="003239FA">
      <w:pPr>
        <w:ind w:left="850" w:right="900"/>
        <w:jc w:val="both"/>
        <w:rPr>
          <w:rFonts w:ascii="Palatino Linotype" w:eastAsia="Palatino Linotype" w:hAnsi="Palatino Linotype" w:cs="Palatino Linotype"/>
          <w:i/>
          <w:sz w:val="22"/>
          <w:szCs w:val="22"/>
        </w:rPr>
      </w:pPr>
    </w:p>
    <w:p w:rsidR="003239FA" w:rsidRPr="00E8262C" w:rsidRDefault="00D53368">
      <w:pPr>
        <w:ind w:left="850" w:right="900"/>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w:t>
      </w:r>
      <w:r w:rsidRPr="00E8262C">
        <w:rPr>
          <w:rFonts w:ascii="Palatino Linotype" w:eastAsia="Palatino Linotype" w:hAnsi="Palatino Linotype" w:cs="Palatino Linotype"/>
          <w:b/>
          <w:i/>
          <w:sz w:val="22"/>
          <w:szCs w:val="22"/>
        </w:rPr>
        <w:t xml:space="preserve">FUNDAMENTACION Y MOTIVACION. </w:t>
      </w:r>
      <w:r w:rsidRPr="00E8262C">
        <w:rPr>
          <w:rFonts w:ascii="Palatino Linotype" w:eastAsia="Palatino Linotype" w:hAnsi="Palatino Linotype" w:cs="Palatino Linotype"/>
          <w:i/>
          <w:sz w:val="22"/>
          <w:szCs w:val="22"/>
        </w:rPr>
        <w:t xml:space="preserve">La </w:t>
      </w:r>
      <w:r w:rsidRPr="00E8262C">
        <w:rPr>
          <w:rFonts w:ascii="Palatino Linotype" w:eastAsia="Palatino Linotype" w:hAnsi="Palatino Linotype" w:cs="Palatino Linotype"/>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8262C">
        <w:rPr>
          <w:rFonts w:ascii="Palatino Linotype" w:eastAsia="Palatino Linotype" w:hAnsi="Palatino Linotype" w:cs="Palatino Linotype"/>
          <w:b/>
          <w:i/>
          <w:sz w:val="22"/>
          <w:szCs w:val="22"/>
        </w:rPr>
        <w:t xml:space="preserve">…” </w:t>
      </w:r>
      <w:r w:rsidRPr="00E8262C">
        <w:rPr>
          <w:rFonts w:ascii="Palatino Linotype" w:eastAsia="Palatino Linotype" w:hAnsi="Palatino Linotype" w:cs="Palatino Linotype"/>
          <w:i/>
          <w:sz w:val="22"/>
          <w:szCs w:val="22"/>
        </w:rPr>
        <w:t>(Sic)</w:t>
      </w:r>
    </w:p>
    <w:p w:rsidR="003239FA" w:rsidRPr="00E8262C" w:rsidRDefault="003239FA">
      <w:pPr>
        <w:ind w:left="850" w:right="900"/>
        <w:jc w:val="both"/>
        <w:rPr>
          <w:rFonts w:ascii="Palatino Linotype" w:eastAsia="Palatino Linotype" w:hAnsi="Palatino Linotype" w:cs="Palatino Linotype"/>
          <w:i/>
          <w:sz w:val="22"/>
          <w:szCs w:val="22"/>
        </w:rPr>
      </w:pPr>
    </w:p>
    <w:p w:rsidR="003239FA" w:rsidRPr="00E8262C" w:rsidRDefault="00D53368">
      <w:pPr>
        <w:spacing w:line="360" w:lineRule="auto"/>
        <w:ind w:right="51"/>
        <w:jc w:val="both"/>
        <w:rPr>
          <w:rFonts w:ascii="Palatino Linotype" w:eastAsia="Palatino Linotype" w:hAnsi="Palatino Linotype" w:cs="Palatino Linotype"/>
        </w:rPr>
      </w:pPr>
      <w:r w:rsidRPr="00E8262C">
        <w:rPr>
          <w:rFonts w:ascii="Palatino Linotype" w:eastAsia="Palatino Linotype" w:hAnsi="Palatino Linotype" w:cs="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3239FA" w:rsidRPr="00E8262C" w:rsidRDefault="003239FA">
      <w:pPr>
        <w:spacing w:line="360" w:lineRule="auto"/>
        <w:ind w:right="51"/>
        <w:jc w:val="both"/>
        <w:rPr>
          <w:rFonts w:ascii="Palatino Linotype" w:eastAsia="Palatino Linotype" w:hAnsi="Palatino Linotype" w:cs="Palatino Linotype"/>
        </w:rPr>
      </w:pPr>
    </w:p>
    <w:p w:rsidR="003239FA" w:rsidRPr="00E8262C" w:rsidRDefault="00D53368">
      <w:pPr>
        <w:spacing w:line="360" w:lineRule="auto"/>
        <w:ind w:right="51"/>
        <w:jc w:val="both"/>
        <w:rPr>
          <w:rFonts w:ascii="Palatino Linotype" w:eastAsia="Palatino Linotype" w:hAnsi="Palatino Linotype" w:cs="Palatino Linotype"/>
        </w:rPr>
      </w:pPr>
      <w:r w:rsidRPr="00E8262C">
        <w:rPr>
          <w:rFonts w:ascii="Palatino Linotype" w:eastAsia="Palatino Linotype" w:hAnsi="Palatino Linotype" w:cs="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rsidR="003239FA" w:rsidRPr="00E8262C" w:rsidRDefault="003239FA">
      <w:pPr>
        <w:ind w:left="850" w:right="900"/>
        <w:jc w:val="both"/>
        <w:rPr>
          <w:rFonts w:ascii="Palatino Linotype" w:eastAsia="Palatino Linotype" w:hAnsi="Palatino Linotype" w:cs="Palatino Linotype"/>
          <w:b/>
          <w:i/>
          <w:sz w:val="22"/>
          <w:szCs w:val="22"/>
        </w:rPr>
      </w:pPr>
    </w:p>
    <w:p w:rsidR="003239FA" w:rsidRPr="00E8262C" w:rsidRDefault="00D53368">
      <w:pPr>
        <w:ind w:left="850" w:right="900"/>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 xml:space="preserve">“FUNDAMENTACIÓN Y MOTIVACIÓN. EL ASPECTO FORMAL DE LA GARANTÍA Y SU FINALIDAD SE TRADUCEN EN EXPLICAR, JUSTIFICAR, POSIBILITAR LA DEFENSA Y COMUNICAR LA </w:t>
      </w:r>
      <w:r w:rsidRPr="00E8262C">
        <w:rPr>
          <w:rFonts w:ascii="Palatino Linotype" w:eastAsia="Palatino Linotype" w:hAnsi="Palatino Linotype" w:cs="Palatino Linotype"/>
          <w:b/>
          <w:i/>
          <w:sz w:val="22"/>
          <w:szCs w:val="22"/>
        </w:rPr>
        <w:lastRenderedPageBreak/>
        <w:t>DECISIÓN</w:t>
      </w:r>
      <w:r w:rsidRPr="00E8262C">
        <w:rPr>
          <w:rFonts w:ascii="Palatino Linotype" w:eastAsia="Palatino Linotype" w:hAnsi="Palatino Linotype" w:cs="Palatino Linotype"/>
          <w:i/>
          <w:sz w:val="22"/>
          <w:szCs w:val="22"/>
        </w:rPr>
        <w:t xml:space="preserve">. El contenido formal de la garantía de legalidad prevista en el artículo 16 constitucional relativa a la </w:t>
      </w:r>
      <w:r w:rsidRPr="00E8262C">
        <w:rPr>
          <w:rFonts w:ascii="Palatino Linotype" w:eastAsia="Palatino Linotype" w:hAnsi="Palatino Linotype" w:cs="Palatino Linotype"/>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E8262C">
        <w:rPr>
          <w:rFonts w:ascii="Palatino Linotype" w:eastAsia="Palatino Linotype" w:hAnsi="Palatino Linotype" w:cs="Palatino Linotype"/>
          <w:i/>
          <w:sz w:val="22"/>
          <w:szCs w:val="22"/>
        </w:rPr>
        <w:t xml:space="preserve">. Por tanto, </w:t>
      </w:r>
      <w:r w:rsidRPr="00E8262C">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sidRPr="00E8262C">
        <w:rPr>
          <w:rFonts w:ascii="Palatino Linotype" w:eastAsia="Palatino Linotype" w:hAnsi="Palatino Linotype" w:cs="Palatino Linotype"/>
          <w:i/>
          <w:sz w:val="22"/>
          <w:szCs w:val="22"/>
        </w:rPr>
        <w:t>, que impida la finalidad del conocimiento, comprobación y defensa pertinente</w:t>
      </w:r>
      <w:r w:rsidRPr="00E8262C">
        <w:rPr>
          <w:rFonts w:ascii="Palatino Linotype" w:eastAsia="Palatino Linotype" w:hAnsi="Palatino Linotype" w:cs="Palatino Linotype"/>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E8262C">
        <w:rPr>
          <w:rFonts w:ascii="Palatino Linotype" w:eastAsia="Palatino Linotype" w:hAnsi="Palatino Linotype" w:cs="Palatino Linotype"/>
          <w:i/>
          <w:sz w:val="22"/>
          <w:szCs w:val="22"/>
        </w:rPr>
        <w:t>.”</w:t>
      </w:r>
      <w:r w:rsidRPr="00E8262C">
        <w:rPr>
          <w:rFonts w:ascii="Palatino Linotype" w:eastAsia="Palatino Linotype" w:hAnsi="Palatino Linotype" w:cs="Palatino Linotype"/>
        </w:rPr>
        <w:t xml:space="preserve"> </w:t>
      </w:r>
      <w:r w:rsidRPr="00E8262C">
        <w:rPr>
          <w:rFonts w:ascii="Palatino Linotype" w:eastAsia="Palatino Linotype" w:hAnsi="Palatino Linotype" w:cs="Palatino Linotype"/>
          <w:i/>
          <w:sz w:val="22"/>
          <w:szCs w:val="22"/>
        </w:rPr>
        <w:t>(Sic)</w:t>
      </w:r>
    </w:p>
    <w:p w:rsidR="003239FA" w:rsidRPr="00E8262C" w:rsidRDefault="003239FA">
      <w:pPr>
        <w:ind w:left="850" w:right="900"/>
        <w:jc w:val="both"/>
        <w:rPr>
          <w:rFonts w:ascii="Palatino Linotype" w:eastAsia="Palatino Linotype" w:hAnsi="Palatino Linotype" w:cs="Palatino Linotype"/>
          <w:i/>
          <w:sz w:val="22"/>
          <w:szCs w:val="22"/>
        </w:rPr>
      </w:pPr>
    </w:p>
    <w:p w:rsidR="003239FA" w:rsidRPr="00E8262C" w:rsidRDefault="003239FA">
      <w:pPr>
        <w:ind w:left="850" w:right="900"/>
        <w:jc w:val="both"/>
        <w:rPr>
          <w:rFonts w:ascii="Palatino Linotype" w:eastAsia="Palatino Linotype" w:hAnsi="Palatino Linotype" w:cs="Palatino Linotype"/>
          <w:i/>
          <w:sz w:val="22"/>
          <w:szCs w:val="22"/>
        </w:rPr>
      </w:pPr>
    </w:p>
    <w:p w:rsidR="003239FA" w:rsidRPr="00E8262C" w:rsidRDefault="00D53368">
      <w:pPr>
        <w:spacing w:line="360" w:lineRule="auto"/>
        <w:ind w:right="49"/>
        <w:jc w:val="both"/>
        <w:rPr>
          <w:rFonts w:ascii="Palatino Linotype" w:eastAsia="Palatino Linotype" w:hAnsi="Palatino Linotype" w:cs="Palatino Linotype"/>
        </w:rPr>
      </w:pPr>
      <w:r w:rsidRPr="00E8262C">
        <w:rPr>
          <w:rFonts w:ascii="Palatino Linotype" w:eastAsia="Palatino Linotype" w:hAnsi="Palatino Linotype" w:cs="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3239FA" w:rsidRPr="00E8262C" w:rsidRDefault="003239FA">
      <w:pPr>
        <w:spacing w:line="360" w:lineRule="auto"/>
        <w:ind w:right="49"/>
        <w:jc w:val="both"/>
        <w:rPr>
          <w:rFonts w:ascii="Palatino Linotype" w:eastAsia="Palatino Linotype" w:hAnsi="Palatino Linotype" w:cs="Palatino Linotype"/>
        </w:rPr>
      </w:pPr>
    </w:p>
    <w:p w:rsidR="003239FA" w:rsidRPr="00E8262C" w:rsidRDefault="00D53368">
      <w:pPr>
        <w:spacing w:line="360" w:lineRule="auto"/>
        <w:ind w:right="49"/>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Así bien, no basta con solamente referir el precepto legal aplicable, sino que debe de estar claramente relacionado con el caso en concreto; es decir, soportado con el </w:t>
      </w:r>
      <w:r w:rsidRPr="00E8262C">
        <w:rPr>
          <w:rFonts w:ascii="Palatino Linotype" w:eastAsia="Palatino Linotype" w:hAnsi="Palatino Linotype" w:cs="Palatino Linotype"/>
        </w:rPr>
        <w:lastRenderedPageBreak/>
        <w:t xml:space="preserve">fundamento legal correspondiente y la explicación de porqué dicha norma es procedente en el supuesto del que se trate. </w:t>
      </w:r>
    </w:p>
    <w:p w:rsidR="003239FA" w:rsidRPr="00E8262C" w:rsidRDefault="003239FA">
      <w:pPr>
        <w:spacing w:line="360" w:lineRule="auto"/>
        <w:ind w:right="49"/>
        <w:jc w:val="both"/>
        <w:rPr>
          <w:rFonts w:ascii="Palatino Linotype" w:eastAsia="Palatino Linotype" w:hAnsi="Palatino Linotype" w:cs="Palatino Linotype"/>
        </w:rPr>
      </w:pPr>
    </w:p>
    <w:p w:rsidR="003239FA" w:rsidRPr="00E8262C" w:rsidRDefault="00D53368">
      <w:pPr>
        <w:spacing w:line="360" w:lineRule="auto"/>
        <w:ind w:right="49"/>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Por último, se advierte que el particular solicitó dicha información en un formato específico, siendo este </w:t>
      </w:r>
      <w:proofErr w:type="spellStart"/>
      <w:r w:rsidRPr="00E8262C">
        <w:rPr>
          <w:rFonts w:ascii="Palatino Linotype" w:eastAsia="Palatino Linotype" w:hAnsi="Palatino Linotype" w:cs="Palatino Linotype"/>
        </w:rPr>
        <w:t>pdf</w:t>
      </w:r>
      <w:proofErr w:type="spellEnd"/>
      <w:r w:rsidRPr="00E8262C">
        <w:rPr>
          <w:rFonts w:ascii="Palatino Linotype" w:eastAsia="Palatino Linotype" w:hAnsi="Palatino Linotype" w:cs="Palatino Linotype"/>
        </w:rPr>
        <w:t xml:space="preserve">, no obstante, no se advierte fuente obligación que constriña al ente recurrido a generar la información en ese formato, por lo que en términos del artículo 12 de la Ley de Transparencia y Acceso a la Información Pública del Estado de México y Municipios, los Sujetos Obligados, no están obligados a generar documentos a modo, dicho de otra manera, estos cumplen al entregar la información tal y como la tengan en sus archivos, incluyendo el formato en que se haya generado de origen.  </w:t>
      </w:r>
    </w:p>
    <w:p w:rsidR="003239FA" w:rsidRPr="00E8262C" w:rsidRDefault="003239FA">
      <w:pPr>
        <w:spacing w:line="360" w:lineRule="auto"/>
        <w:jc w:val="both"/>
        <w:rPr>
          <w:rFonts w:ascii="Palatino Linotype" w:eastAsia="Palatino Linotype" w:hAnsi="Palatino Linotype" w:cs="Palatino Linotype"/>
        </w:rPr>
      </w:pPr>
      <w:bookmarkStart w:id="12" w:name="_heading=h.qh1h14gr9qsn" w:colFirst="0" w:colLast="0"/>
      <w:bookmarkEnd w:id="12"/>
    </w:p>
    <w:p w:rsidR="003239FA" w:rsidRPr="00E8262C" w:rsidRDefault="00D53368">
      <w:pPr>
        <w:spacing w:before="280" w:after="280"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Por lo que dadas las razones anteriores y, con la finalidad de privilegiar el derecho de acceso a la información pública del </w:t>
      </w:r>
      <w:r w:rsidRPr="00E8262C">
        <w:rPr>
          <w:rFonts w:ascii="Palatino Linotype" w:eastAsia="Palatino Linotype" w:hAnsi="Palatino Linotype" w:cs="Palatino Linotype"/>
          <w:b/>
        </w:rPr>
        <w:t xml:space="preserve">RECURRENTE, </w:t>
      </w:r>
      <w:r w:rsidRPr="00E8262C">
        <w:rPr>
          <w:rFonts w:ascii="Palatino Linotype" w:eastAsia="Palatino Linotype" w:hAnsi="Palatino Linotype" w:cs="Palatino Linotype"/>
        </w:rPr>
        <w:t xml:space="preserve">el Pleno de este Instituto, estima que las razones o motivos de inconformidad hechos valer por </w:t>
      </w:r>
      <w:r w:rsidRPr="00E8262C">
        <w:rPr>
          <w:rFonts w:ascii="Palatino Linotype" w:eastAsia="Palatino Linotype" w:hAnsi="Palatino Linotype" w:cs="Palatino Linotype"/>
          <w:b/>
        </w:rPr>
        <w:t>EL RECURRENTE</w:t>
      </w:r>
      <w:r w:rsidRPr="00E8262C">
        <w:rPr>
          <w:rFonts w:ascii="Palatino Linotype" w:eastAsia="Palatino Linotype" w:hAnsi="Palatino Linotype" w:cs="Palatino Linotype"/>
        </w:rPr>
        <w:t xml:space="preserve"> resultan parcialmente </w:t>
      </w:r>
      <w:r w:rsidRPr="00E8262C">
        <w:rPr>
          <w:rFonts w:ascii="Palatino Linotype" w:eastAsia="Palatino Linotype" w:hAnsi="Palatino Linotype" w:cs="Palatino Linotype"/>
          <w:b/>
        </w:rPr>
        <w:t>fundadas</w:t>
      </w:r>
      <w:r w:rsidRPr="00E8262C">
        <w:rPr>
          <w:rFonts w:ascii="Palatino Linotype" w:eastAsia="Palatino Linotype" w:hAnsi="Palatino Linotype" w:cs="Palatino Linotype"/>
        </w:rPr>
        <w:t xml:space="preserve"> y suficientes para </w:t>
      </w:r>
      <w:r w:rsidRPr="00E8262C">
        <w:rPr>
          <w:rFonts w:ascii="Palatino Linotype" w:eastAsia="Palatino Linotype" w:hAnsi="Palatino Linotype" w:cs="Palatino Linotype"/>
          <w:b/>
        </w:rPr>
        <w:t xml:space="preserve">REVOCAR </w:t>
      </w:r>
      <w:r w:rsidRPr="00E8262C">
        <w:rPr>
          <w:rFonts w:ascii="Palatino Linotype" w:eastAsia="Palatino Linotype" w:hAnsi="Palatino Linotype" w:cs="Palatino Linotype"/>
        </w:rPr>
        <w:t xml:space="preserve"> las respuestas del </w:t>
      </w:r>
      <w:r w:rsidRPr="00E8262C">
        <w:rPr>
          <w:rFonts w:ascii="Palatino Linotype" w:eastAsia="Palatino Linotype" w:hAnsi="Palatino Linotype" w:cs="Palatino Linotype"/>
          <w:b/>
        </w:rPr>
        <w:t xml:space="preserve">SUJETO OBLIGADO </w:t>
      </w:r>
      <w:r w:rsidRPr="00E8262C">
        <w:rPr>
          <w:rFonts w:ascii="Palatino Linotype" w:eastAsia="Palatino Linotype" w:hAnsi="Palatino Linotype" w:cs="Palatino Linotype"/>
        </w:rPr>
        <w:t xml:space="preserve">a las solicitudes de información recaídas en los Recursos de Revisión número </w:t>
      </w:r>
      <w:r w:rsidRPr="00E8262C">
        <w:rPr>
          <w:rFonts w:ascii="Palatino Linotype" w:eastAsia="Palatino Linotype" w:hAnsi="Palatino Linotype" w:cs="Palatino Linotype"/>
          <w:b/>
          <w:sz w:val="22"/>
          <w:szCs w:val="22"/>
        </w:rPr>
        <w:t xml:space="preserve">10557/INFOEM/IP/RR/2022, 10558/INFOEM/IP/RR/2022, 10559/INFOEM/IP/RR/2022, 10584/INFOEM/IP/RR/2022, 10585/INFOEM/IP/RR/2022, 10586/INFOEM/IP/RR/2022, 10587/INFOEM/IP/RR/2022, 10588/INFOEM/IP/RR/2022, 10589/INFOEM/IP/RR/2022, 10590/INFOEM/IP/RR/2022, 10591/INFOEM/IP/RR/2022, 10592/INFOEM/IP/RR/2022, 10593/INFOEM/IP/RR/2022, 10594/INFOEM/IP/RR/2022, </w:t>
      </w:r>
      <w:r w:rsidRPr="00E8262C">
        <w:rPr>
          <w:rFonts w:ascii="Palatino Linotype" w:eastAsia="Palatino Linotype" w:hAnsi="Palatino Linotype" w:cs="Palatino Linotype"/>
          <w:b/>
          <w:sz w:val="22"/>
          <w:szCs w:val="22"/>
        </w:rPr>
        <w:lastRenderedPageBreak/>
        <w:t xml:space="preserve">10595/INFOEM/IP/RR/2022, 10619/INFOEM/IP/RR/2022, 10620/INFOEM/IP/RR/2022, 10621/INFOEM/IP/RR/2022, 10622/INFOEM/IP/RR/2022, 10623/INFOEM/IP/RR/2022, 10624/INFOEM/IP/RR/2022 10625/INFOEM/IP/RR/2022, 10626/INFOEM/IP/RR/2022, 10627/INFOEM/IP/RR/2022, 10628/INFOEM/IP/RR/2022, 10629/INFOEM/IP/RR/2022, 10630/INFOEM/IP/RR/2022, 10631/INFOEM/IP/RR/2022, 10632/INFOEM/IP/RR/2022, 10634/INFOEM/IP/RR/2022, 10635/INFOEM/IP/RR/2022, 10636/INFOEM/IP/RR/2022, 10637/INFOEM/IP/RR/2022, 10638/INFOEM/IP/RR/2022, 10639/INFOEM/IP/RR/2022, 10640/INFOEM/IP/RR/2022, 10641/INFOEM/IP/RR/2022, 10642/INFOEM/IP/RR/2022, 10643/INFOEM/IP/RR/2022, 10644/INFOEM/IP/RR/2022, 10645/INFOEM/IP/RR/2022, 10646/INFOEM/IP/RR/2022, 10647/INFOEM/IP/RR/2022, 10648/INFOEM/IP/RR/2022, 10649/INFOEM/IP/RR/2022, 10650/INFOEM/IP/RR/2022, 10651/INFOEM/IP/RR/2022, 10652/INFOEM/IP/RR/2022, 10653/INFOEM/IP/RR/2022, 10654/INFOEM/IP/RR/2022, 10655/INFOEM/IP/RR/2022, 10656/INFOEM/IP/RR/2022, 10657/INFOEM/IP/RR/2022, 10658/INFOEM/IP/RR/2022, 10659/INFOEM/IP/RR/2022, 10660/INFOEM/IP/RR/2022, 10661/INFOEM/IP/RR/2022, 10662/INFOEM/IP/RR/2022 10664/INFOEM/IP/RR/2022, 10665/INFOEM/IP/RR/2022, 10666/INFOEM/IP/RR/2022, 10667/INFOEM/IP/RR/2022, 10668/INFOEM/IP/RR/2022, 10669/INFOEM/IP/RR/2022, 10670/INFOEM/IP/RR/2022, 10672/INFOEM/IP/RR/2022, 10673/INFOEM/IP/RR/2022, 10674/INFOEM/IP/RR/2022, 10677/INFOEM/IP/RR/2022, 10678/INFOEM/IP/RR/2022, 10679/INFOEM/IP/RR/2022, 10680/INFOEM/IP/RR/2022, 10681/INFOEM/IP/RR/2022, 10682/INFOEM/IP/RR/2022, 10683/INFOEM/IP/RR/2022, 10684/INFOEM/IP/RR/2022, 10685/INFOEM/IP/RR/2022, 10686/INFOEM/IP/RR/2022, 10687/INFOEM/IP/RR/2022, 10688/INFOEM/IP/RR/2022, 10689/INFOEM/IP/RR/2022, 10690/INFOEM/IP/RR/2022, 10691/INFOEM/IP/RR/2022, 10692/INFOEM/IP/RR/2022, 10693/INFOEM/IP/RR/2022, 10694/INFOEM/IP/RR/2022, </w:t>
      </w:r>
      <w:r w:rsidRPr="00E8262C">
        <w:rPr>
          <w:rFonts w:ascii="Palatino Linotype" w:eastAsia="Palatino Linotype" w:hAnsi="Palatino Linotype" w:cs="Palatino Linotype"/>
          <w:b/>
          <w:sz w:val="22"/>
          <w:szCs w:val="22"/>
        </w:rPr>
        <w:lastRenderedPageBreak/>
        <w:t>10695/INFOEM/IP/RR/2022, 10696/INFOEM/IP/RR/2022, 10698/INFOEM/IP/RR/2022, 10699/INFOEM/IP/RR/2022, 11007/INFOEM/IP/RR/2022, 10701/INFOEM/IP/RR/2022, 10702/INFOEM/IP/RR/2022, 10703/INFOEM/IP/RR/2022, 10704/INFOEM/IP/RR/2022, 10705/INFOEM/IP/RR/2022, 11051/INFOEM/IP/RR/2022, 11052/INFOEM/IP/RR/2022, 11053/INFOEM/IP/RR/2022, 11054/INFOEM/IP/RR/2022, 11055/INFOEM/IP/RR/2022, 11058/INFOEM/IP/RR/2022, 11059/INFOEM/IP/RR/2022, 11077/INFOEM/IP/RR/2022, 11078/INFOEM/IP/RR/2022, 11079/INFOEM/IP/RR/2022, 11080/INFOEM/IP/RR/2022, 11081/INFOEM/IP/RR/2022, 11082/INFOEM/IP/RR/2022, 11083/INFOEM/IP/RR/2022, 11084/INFOEM/IP/RR/2022, 11085/INFOEM/IP/RR/2022, 11086/INFOEM/IP/RR/2022, 11096/INFOEM/IP/RR/2022, 11097/INFOEM/IP/RR/2022, 11098/INFOEM/IP/RR/2022, 11099/INFOEM/IP/RR/2022, 11133/INFOEM/IP/RR/2022, 11134/INFOEM/IP/RR/2022 y 11135/INFOEM/IP/RR/2022,</w:t>
      </w:r>
      <w:r w:rsidRPr="00E8262C">
        <w:rPr>
          <w:rFonts w:ascii="Palatino Linotype" w:eastAsia="Palatino Linotype" w:hAnsi="Palatino Linotype" w:cs="Palatino Linotype"/>
        </w:rPr>
        <w:t xml:space="preserve"> y ordenar al</w:t>
      </w:r>
      <w:r w:rsidRPr="00E8262C">
        <w:rPr>
          <w:rFonts w:ascii="Palatino Linotype" w:eastAsia="Palatino Linotype" w:hAnsi="Palatino Linotype" w:cs="Palatino Linotype"/>
          <w:b/>
        </w:rPr>
        <w:t xml:space="preserve"> SUJETO OBLIGADO</w:t>
      </w:r>
      <w:r w:rsidRPr="00E8262C">
        <w:rPr>
          <w:rFonts w:ascii="Palatino Linotype" w:eastAsia="Palatino Linotype" w:hAnsi="Palatino Linotype" w:cs="Palatino Linotype"/>
        </w:rPr>
        <w:t xml:space="preserve"> haga entrega del soporte documental, en caso de ser necesario en versión pública, donde consten  el número y nombre de los Clubes de Adultos Mayores reunidos en el mes de enero, febrero, marzo y abril de dos mil veintidós, así como las medidas sanitarias llevadas a cabo y el listado de personas que asisten a dichos clubes. </w:t>
      </w:r>
    </w:p>
    <w:p w:rsidR="003239FA" w:rsidRPr="00E8262C" w:rsidRDefault="00D53368">
      <w:pPr>
        <w:spacing w:line="360" w:lineRule="auto"/>
        <w:jc w:val="both"/>
        <w:rPr>
          <w:rFonts w:ascii="Palatino Linotype" w:eastAsia="Palatino Linotype" w:hAnsi="Palatino Linotype" w:cs="Palatino Linotype"/>
        </w:rPr>
      </w:pPr>
      <w:bookmarkStart w:id="13" w:name="_heading=h.97p39k13tnhd" w:colFirst="0" w:colLast="0"/>
      <w:bookmarkEnd w:id="13"/>
      <w:r w:rsidRPr="00E8262C">
        <w:rPr>
          <w:rFonts w:ascii="Palatino Linotype" w:eastAsia="Palatino Linotype" w:hAnsi="Palatino Linotype" w:cs="Palatino Linotype"/>
        </w:rPr>
        <w:t xml:space="preserve">Si los asistentes no hubiesen recibido recurso público alguno, </w:t>
      </w:r>
      <w:r w:rsidRPr="00E8262C">
        <w:rPr>
          <w:rFonts w:ascii="Palatino Linotype" w:eastAsia="Palatino Linotype" w:hAnsi="Palatino Linotype" w:cs="Palatino Linotype"/>
          <w:b/>
        </w:rPr>
        <w:t>EL SUJETO OBLIGADO</w:t>
      </w:r>
      <w:r w:rsidRPr="00E8262C">
        <w:rPr>
          <w:rFonts w:ascii="Palatino Linotype" w:eastAsia="Palatino Linotype" w:hAnsi="Palatino Linotype" w:cs="Palatino Linotype"/>
        </w:rPr>
        <w:t xml:space="preserve"> deberá hacer entrega del acuerdo debidamente fundado y motivado donde se clasifique la información a sus nombres como confidencial.  </w:t>
      </w:r>
    </w:p>
    <w:p w:rsidR="003239FA" w:rsidRPr="00E8262C" w:rsidRDefault="00D53368">
      <w:pPr>
        <w:spacing w:before="280" w:after="280"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Para el caso de que en alguno de los días no se haya generado información, bastará con que así lo manifieste </w:t>
      </w:r>
      <w:r w:rsidRPr="00E8262C">
        <w:rPr>
          <w:rFonts w:ascii="Palatino Linotype" w:eastAsia="Palatino Linotype" w:hAnsi="Palatino Linotype" w:cs="Palatino Linotype"/>
          <w:b/>
        </w:rPr>
        <w:t>EL SUJETO OBLIGADO</w:t>
      </w:r>
      <w:r w:rsidRPr="00E8262C">
        <w:rPr>
          <w:rFonts w:ascii="Palatino Linotype" w:eastAsia="Palatino Linotype" w:hAnsi="Palatino Linotype" w:cs="Palatino Linotype"/>
        </w:rPr>
        <w:t xml:space="preserve"> de forma fundada y motivada. </w:t>
      </w: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lastRenderedPageBreak/>
        <w:t xml:space="preserve">Así de ser necesaria la versión pública, sólo podrán ser testados los datos que actualicen las hipótesis normativas previstas en dicho precepto legal, y deberá procederse a su clasificación mediante las formalidades de Ley, es decir, que el Comité de Transparencia del </w:t>
      </w:r>
      <w:r w:rsidRPr="00E8262C">
        <w:rPr>
          <w:rFonts w:ascii="Palatino Linotype" w:eastAsia="Palatino Linotype" w:hAnsi="Palatino Linotype" w:cs="Palatino Linotype"/>
          <w:b/>
        </w:rPr>
        <w:t>SUJETO OBLIGADO</w:t>
      </w:r>
      <w:r w:rsidRPr="00E8262C">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Por ende, </w:t>
      </w:r>
      <w:r w:rsidRPr="00E8262C">
        <w:rPr>
          <w:rFonts w:ascii="Palatino Linotype" w:eastAsia="Palatino Linotype" w:hAnsi="Palatino Linotype" w:cs="Palatino Linotype"/>
          <w:b/>
        </w:rPr>
        <w:t>EL SUJETO OBLIGADO</w:t>
      </w:r>
      <w:r w:rsidRPr="00E8262C">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3239FA" w:rsidRPr="00E8262C" w:rsidRDefault="00D53368">
      <w:pPr>
        <w:ind w:left="851" w:right="902"/>
        <w:jc w:val="center"/>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b/>
          <w:i/>
          <w:sz w:val="22"/>
          <w:szCs w:val="22"/>
        </w:rPr>
        <w:lastRenderedPageBreak/>
        <w:t>Ley de Transparencia y Acceso a la Información Pública del Estado de México y Municipios</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w:t>
      </w:r>
      <w:r w:rsidRPr="00E8262C">
        <w:rPr>
          <w:rFonts w:ascii="Palatino Linotype" w:eastAsia="Palatino Linotype" w:hAnsi="Palatino Linotype" w:cs="Palatino Linotype"/>
          <w:b/>
          <w:i/>
          <w:sz w:val="22"/>
          <w:szCs w:val="22"/>
        </w:rPr>
        <w:t xml:space="preserve">Artículo 49. </w:t>
      </w:r>
      <w:r w:rsidRPr="00E8262C">
        <w:rPr>
          <w:rFonts w:ascii="Palatino Linotype" w:eastAsia="Palatino Linotype" w:hAnsi="Palatino Linotype" w:cs="Palatino Linotype"/>
          <w:i/>
          <w:sz w:val="22"/>
          <w:szCs w:val="22"/>
        </w:rPr>
        <w:t>Los Comités de Transparencia tendrán las siguientes atribuciones:</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VIII.</w:t>
      </w:r>
      <w:r w:rsidRPr="00E8262C">
        <w:rPr>
          <w:rFonts w:ascii="Palatino Linotype" w:eastAsia="Palatino Linotype" w:hAnsi="Palatino Linotype" w:cs="Palatino Linotype"/>
          <w:i/>
          <w:sz w:val="22"/>
          <w:szCs w:val="22"/>
        </w:rPr>
        <w:t xml:space="preserve"> </w:t>
      </w:r>
      <w:r w:rsidRPr="00E8262C">
        <w:rPr>
          <w:rFonts w:ascii="Palatino Linotype" w:eastAsia="Palatino Linotype" w:hAnsi="Palatino Linotype" w:cs="Palatino Linotype"/>
          <w:b/>
          <w:i/>
          <w:sz w:val="22"/>
          <w:szCs w:val="22"/>
        </w:rPr>
        <w:t>Aprobar</w:t>
      </w:r>
      <w:r w:rsidRPr="00E8262C">
        <w:rPr>
          <w:rFonts w:ascii="Palatino Linotype" w:eastAsia="Palatino Linotype" w:hAnsi="Palatino Linotype" w:cs="Palatino Linotype"/>
          <w:i/>
          <w:sz w:val="22"/>
          <w:szCs w:val="22"/>
        </w:rPr>
        <w:t>, modificar o revocar la clasificación de la información;</w:t>
      </w:r>
    </w:p>
    <w:p w:rsidR="003239FA" w:rsidRPr="00E8262C" w:rsidRDefault="00D53368">
      <w:pPr>
        <w:ind w:left="851" w:right="902"/>
        <w:jc w:val="both"/>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b/>
          <w:i/>
          <w:sz w:val="22"/>
          <w:szCs w:val="22"/>
        </w:rPr>
        <w:t>Artículo 132.</w:t>
      </w:r>
      <w:r w:rsidRPr="00E8262C">
        <w:rPr>
          <w:rFonts w:ascii="Palatino Linotype" w:eastAsia="Palatino Linotype" w:hAnsi="Palatino Linotype" w:cs="Palatino Linotype"/>
          <w:i/>
          <w:sz w:val="22"/>
          <w:szCs w:val="22"/>
        </w:rPr>
        <w:t xml:space="preserve"> </w:t>
      </w:r>
      <w:r w:rsidRPr="00E8262C">
        <w:rPr>
          <w:rFonts w:ascii="Palatino Linotype" w:eastAsia="Palatino Linotype" w:hAnsi="Palatino Linotype" w:cs="Palatino Linotype"/>
          <w:b/>
          <w:i/>
          <w:sz w:val="22"/>
          <w:szCs w:val="22"/>
        </w:rPr>
        <w:t>La clasificación de la información se llevará a cabo en el momento en que:</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II.</w:t>
      </w:r>
      <w:r w:rsidRPr="00E8262C">
        <w:rPr>
          <w:rFonts w:ascii="Palatino Linotype" w:eastAsia="Palatino Linotype" w:hAnsi="Palatino Linotype" w:cs="Palatino Linotype"/>
          <w:i/>
          <w:sz w:val="22"/>
          <w:szCs w:val="22"/>
        </w:rPr>
        <w:t xml:space="preserve"> Se determine mediante resolución de autoridad competente; o</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III</w:t>
      </w:r>
      <w:r w:rsidRPr="00E8262C">
        <w:rPr>
          <w:rFonts w:ascii="Palatino Linotype" w:eastAsia="Palatino Linotype" w:hAnsi="Palatino Linotype" w:cs="Palatino Linotype"/>
          <w:i/>
          <w:sz w:val="22"/>
          <w:szCs w:val="22"/>
        </w:rPr>
        <w:t xml:space="preserve">. </w:t>
      </w:r>
      <w:r w:rsidRPr="00E8262C">
        <w:rPr>
          <w:rFonts w:ascii="Palatino Linotype" w:eastAsia="Palatino Linotype" w:hAnsi="Palatino Linotype" w:cs="Palatino Linotype"/>
          <w:b/>
          <w:i/>
          <w:sz w:val="22"/>
          <w:szCs w:val="22"/>
        </w:rPr>
        <w:t>Se generen versiones públicas para dar cumplimiento a las obligaciones de transparencia previstas en esta Ley</w:t>
      </w:r>
      <w:r w:rsidRPr="00E8262C">
        <w:rPr>
          <w:rFonts w:ascii="Palatino Linotype" w:eastAsia="Palatino Linotype" w:hAnsi="Palatino Linotype" w:cs="Palatino Linotype"/>
          <w:i/>
          <w:sz w:val="22"/>
          <w:szCs w:val="22"/>
        </w:rPr>
        <w:t>.”</w:t>
      </w:r>
    </w:p>
    <w:p w:rsidR="003239FA" w:rsidRPr="00E8262C" w:rsidRDefault="00D53368">
      <w:pPr>
        <w:ind w:left="851" w:right="902"/>
        <w:jc w:val="center"/>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b/>
          <w:i/>
          <w:sz w:val="22"/>
          <w:szCs w:val="22"/>
        </w:rPr>
        <w:t>Lineamientos Generales en materia de Clasificación y Desclasificación de la Información</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w:t>
      </w:r>
      <w:r w:rsidRPr="00E8262C">
        <w:rPr>
          <w:rFonts w:ascii="Palatino Linotype" w:eastAsia="Palatino Linotype" w:hAnsi="Palatino Linotype" w:cs="Palatino Linotype"/>
          <w:b/>
          <w:i/>
          <w:sz w:val="22"/>
          <w:szCs w:val="22"/>
        </w:rPr>
        <w:t>Segundo.-</w:t>
      </w:r>
      <w:r w:rsidRPr="00E8262C">
        <w:rPr>
          <w:rFonts w:ascii="Palatino Linotype" w:eastAsia="Palatino Linotype" w:hAnsi="Palatino Linotype" w:cs="Palatino Linotype"/>
          <w:i/>
          <w:sz w:val="22"/>
          <w:szCs w:val="22"/>
        </w:rPr>
        <w:t xml:space="preserve"> Para efectos de los presentes Lineamientos Generales, se entenderá por:</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XVIII.</w:t>
      </w:r>
      <w:r w:rsidRPr="00E8262C">
        <w:rPr>
          <w:rFonts w:ascii="Palatino Linotype" w:eastAsia="Palatino Linotype" w:hAnsi="Palatino Linotype" w:cs="Palatino Linotype"/>
          <w:i/>
          <w:sz w:val="22"/>
          <w:szCs w:val="22"/>
        </w:rPr>
        <w:t xml:space="preserve"> </w:t>
      </w:r>
      <w:r w:rsidRPr="00E8262C">
        <w:rPr>
          <w:rFonts w:ascii="Palatino Linotype" w:eastAsia="Palatino Linotype" w:hAnsi="Palatino Linotype" w:cs="Palatino Linotype"/>
          <w:b/>
          <w:i/>
          <w:sz w:val="22"/>
          <w:szCs w:val="22"/>
        </w:rPr>
        <w:t>Versión pública:</w:t>
      </w:r>
      <w:r w:rsidRPr="00E8262C">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E8262C">
        <w:rPr>
          <w:rFonts w:ascii="Palatino Linotype" w:eastAsia="Palatino Linotype" w:hAnsi="Palatino Linotype" w:cs="Palatino Linotype"/>
          <w:b/>
          <w:i/>
          <w:sz w:val="22"/>
          <w:szCs w:val="22"/>
        </w:rPr>
        <w:t>fundando y motivando la</w:t>
      </w:r>
      <w:r w:rsidRPr="00E8262C">
        <w:rPr>
          <w:rFonts w:ascii="Palatino Linotype" w:eastAsia="Palatino Linotype" w:hAnsi="Palatino Linotype" w:cs="Palatino Linotype"/>
          <w:i/>
          <w:sz w:val="22"/>
          <w:szCs w:val="22"/>
        </w:rPr>
        <w:t xml:space="preserve"> reserva o </w:t>
      </w:r>
      <w:r w:rsidRPr="00E8262C">
        <w:rPr>
          <w:rFonts w:ascii="Palatino Linotype" w:eastAsia="Palatino Linotype" w:hAnsi="Palatino Linotype" w:cs="Palatino Linotype"/>
          <w:b/>
          <w:i/>
          <w:sz w:val="22"/>
          <w:szCs w:val="22"/>
        </w:rPr>
        <w:t>confidencialidad</w:t>
      </w:r>
      <w:r w:rsidRPr="00E8262C">
        <w:rPr>
          <w:rFonts w:ascii="Palatino Linotype" w:eastAsia="Palatino Linotype" w:hAnsi="Palatino Linotype" w:cs="Palatino Linotype"/>
          <w:i/>
          <w:sz w:val="22"/>
          <w:szCs w:val="22"/>
        </w:rPr>
        <w:t>, a través de la resolución que para tal efecto emita el Comité de Transparencia.</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Cuarto.</w:t>
      </w:r>
      <w:r w:rsidRPr="00E8262C">
        <w:rPr>
          <w:rFonts w:ascii="Palatino Linotype" w:eastAsia="Palatino Linotype" w:hAnsi="Palatino Linotype" w:cs="Palatino Linotype"/>
          <w:i/>
          <w:sz w:val="22"/>
          <w:szCs w:val="22"/>
        </w:rPr>
        <w:t xml:space="preserve"> </w:t>
      </w:r>
      <w:r w:rsidRPr="00E8262C">
        <w:rPr>
          <w:rFonts w:ascii="Palatino Linotype" w:eastAsia="Palatino Linotype" w:hAnsi="Palatino Linotype" w:cs="Palatino Linotype"/>
          <w:b/>
          <w:i/>
          <w:sz w:val="22"/>
          <w:szCs w:val="22"/>
        </w:rPr>
        <w:t>Para clasificar la información como</w:t>
      </w:r>
      <w:r w:rsidRPr="00E8262C">
        <w:rPr>
          <w:rFonts w:ascii="Palatino Linotype" w:eastAsia="Palatino Linotype" w:hAnsi="Palatino Linotype" w:cs="Palatino Linotype"/>
          <w:i/>
          <w:sz w:val="22"/>
          <w:szCs w:val="22"/>
        </w:rPr>
        <w:t xml:space="preserve"> reservada o </w:t>
      </w:r>
      <w:r w:rsidRPr="00E8262C">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E8262C">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Quinto.</w:t>
      </w:r>
      <w:r w:rsidRPr="00E8262C">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Sexto.</w:t>
      </w:r>
      <w:r w:rsidRPr="00E8262C">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w:t>
      </w:r>
      <w:r w:rsidRPr="00E8262C">
        <w:rPr>
          <w:rFonts w:ascii="Palatino Linotype" w:eastAsia="Palatino Linotype" w:hAnsi="Palatino Linotype" w:cs="Palatino Linotype"/>
          <w:i/>
          <w:sz w:val="22"/>
          <w:szCs w:val="22"/>
        </w:rPr>
        <w:lastRenderedPageBreak/>
        <w:t>documentos antes de que se genere la información o cuando éstos no obren en sus archivos.</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Séptimo.</w:t>
      </w:r>
      <w:r w:rsidRPr="00E8262C">
        <w:rPr>
          <w:rFonts w:ascii="Palatino Linotype" w:eastAsia="Palatino Linotype" w:hAnsi="Palatino Linotype" w:cs="Palatino Linotype"/>
          <w:i/>
          <w:sz w:val="22"/>
          <w:szCs w:val="22"/>
        </w:rPr>
        <w:t xml:space="preserve"> La clasificación de la información se llevará a cabo en el momento en que:</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I.</w:t>
      </w:r>
      <w:r w:rsidRPr="00E8262C">
        <w:rPr>
          <w:rFonts w:ascii="Palatino Linotype" w:eastAsia="Palatino Linotype" w:hAnsi="Palatino Linotype" w:cs="Palatino Linotype"/>
          <w:i/>
          <w:sz w:val="22"/>
          <w:szCs w:val="22"/>
        </w:rPr>
        <w:t xml:space="preserve"> Se reciba una solicitud de acceso a la información;</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II.</w:t>
      </w:r>
      <w:r w:rsidRPr="00E8262C">
        <w:rPr>
          <w:rFonts w:ascii="Palatino Linotype" w:eastAsia="Palatino Linotype" w:hAnsi="Palatino Linotype" w:cs="Palatino Linotype"/>
          <w:i/>
          <w:sz w:val="22"/>
          <w:szCs w:val="22"/>
        </w:rPr>
        <w:t xml:space="preserve"> Se determine mediante resolución de autoridad competente, o</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III.</w:t>
      </w:r>
      <w:r w:rsidRPr="00E8262C">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Octavo.</w:t>
      </w:r>
      <w:r w:rsidRPr="00E8262C">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Noveno.</w:t>
      </w:r>
      <w:r w:rsidRPr="00E8262C">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Décimo.</w:t>
      </w:r>
      <w:r w:rsidRPr="00E8262C">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w:t>
      </w:r>
      <w:r w:rsidRPr="00E8262C">
        <w:rPr>
          <w:rFonts w:ascii="Palatino Linotype" w:eastAsia="Palatino Linotype" w:hAnsi="Palatino Linotype" w:cs="Palatino Linotype"/>
          <w:i/>
          <w:sz w:val="22"/>
          <w:szCs w:val="22"/>
        </w:rPr>
        <w:lastRenderedPageBreak/>
        <w:t>conocimientos técnicos y legales que le permitan manejar adecuadamente la información clasificada, en los términos de los Lineamientos para la Organización y Conservación de Archivos.</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3239FA" w:rsidRPr="00E8262C" w:rsidRDefault="00D53368">
      <w:pPr>
        <w:ind w:left="851" w:right="902"/>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Décimo primero.</w:t>
      </w:r>
      <w:r w:rsidRPr="00E8262C">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3239FA" w:rsidRPr="00E8262C" w:rsidRDefault="003239FA">
      <w:pPr>
        <w:ind w:left="851" w:right="902"/>
        <w:jc w:val="both"/>
        <w:rPr>
          <w:rFonts w:ascii="Palatino Linotype" w:eastAsia="Palatino Linotype" w:hAnsi="Palatino Linotype" w:cs="Palatino Linotype"/>
          <w:i/>
          <w:sz w:val="22"/>
          <w:szCs w:val="22"/>
        </w:rPr>
      </w:pPr>
    </w:p>
    <w:p w:rsidR="003239FA" w:rsidRPr="00E8262C" w:rsidRDefault="00D53368">
      <w:pPr>
        <w:ind w:left="850" w:right="901"/>
        <w:jc w:val="center"/>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b/>
          <w:i/>
          <w:sz w:val="22"/>
          <w:szCs w:val="22"/>
        </w:rPr>
        <w:t>CAPÍTULO VIII</w:t>
      </w:r>
    </w:p>
    <w:p w:rsidR="003239FA" w:rsidRPr="00E8262C" w:rsidRDefault="00D53368">
      <w:pPr>
        <w:ind w:left="850" w:right="901"/>
        <w:jc w:val="center"/>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b/>
          <w:i/>
          <w:sz w:val="22"/>
          <w:szCs w:val="22"/>
        </w:rPr>
        <w:t>DE LA LEYENDA DE CLASIFICACIÓN</w:t>
      </w:r>
    </w:p>
    <w:p w:rsidR="003239FA" w:rsidRPr="00E8262C" w:rsidRDefault="00D53368">
      <w:pPr>
        <w:ind w:left="850" w:right="901"/>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 xml:space="preserve">Quincuagésimo. </w:t>
      </w:r>
      <w:r w:rsidRPr="00E8262C">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E8262C">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3239FA" w:rsidRPr="00E8262C" w:rsidRDefault="00D53368">
      <w:pPr>
        <w:ind w:left="850" w:right="901"/>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w:t>
      </w:r>
    </w:p>
    <w:p w:rsidR="003239FA" w:rsidRPr="00E8262C" w:rsidRDefault="00D53368">
      <w:pPr>
        <w:ind w:left="850" w:right="901"/>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i/>
          <w:sz w:val="22"/>
          <w:szCs w:val="22"/>
        </w:rPr>
        <w:t xml:space="preserve">Quincuagésimo tercero. </w:t>
      </w:r>
      <w:r w:rsidRPr="00E8262C">
        <w:rPr>
          <w:rFonts w:ascii="Palatino Linotype" w:eastAsia="Palatino Linotype" w:hAnsi="Palatino Linotype" w:cs="Palatino Linotype"/>
          <w:b/>
          <w:i/>
          <w:sz w:val="22"/>
          <w:szCs w:val="22"/>
          <w:u w:val="single"/>
        </w:rPr>
        <w:t>El formato para señalar la clasificación parcial de un documento</w:t>
      </w:r>
      <w:r w:rsidRPr="00E8262C">
        <w:rPr>
          <w:rFonts w:ascii="Palatino Linotype" w:eastAsia="Palatino Linotype" w:hAnsi="Palatino Linotype" w:cs="Palatino Linotype"/>
          <w:i/>
          <w:sz w:val="22"/>
          <w:szCs w:val="22"/>
        </w:rPr>
        <w:t>, es el siguiente:</w:t>
      </w:r>
    </w:p>
    <w:p w:rsidR="003239FA" w:rsidRPr="00E8262C" w:rsidRDefault="003239FA">
      <w:pPr>
        <w:ind w:left="850" w:right="901"/>
        <w:jc w:val="both"/>
        <w:rPr>
          <w:rFonts w:ascii="Palatino Linotype" w:eastAsia="Palatino Linotype" w:hAnsi="Palatino Linotype" w:cs="Palatino Linotype"/>
          <w:i/>
          <w:sz w:val="22"/>
          <w:szCs w:val="22"/>
        </w:rPr>
      </w:pPr>
    </w:p>
    <w:tbl>
      <w:tblPr>
        <w:tblStyle w:val="affffffffff0"/>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3239FA" w:rsidRPr="00E8262C">
        <w:trPr>
          <w:jc w:val="center"/>
        </w:trPr>
        <w:tc>
          <w:tcPr>
            <w:tcW w:w="1129" w:type="dxa"/>
            <w:tcBorders>
              <w:top w:val="single" w:sz="4" w:space="0" w:color="000000"/>
              <w:left w:val="single" w:sz="4" w:space="0" w:color="000000"/>
              <w:bottom w:val="single" w:sz="4" w:space="0" w:color="000000"/>
              <w:right w:val="single" w:sz="4" w:space="0" w:color="000000"/>
            </w:tcBorders>
          </w:tcPr>
          <w:p w:rsidR="003239FA" w:rsidRPr="00E8262C" w:rsidRDefault="003239FA">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239FA" w:rsidRPr="00E8262C" w:rsidRDefault="00D53368">
            <w:pPr>
              <w:jc w:val="center"/>
              <w:rPr>
                <w:rFonts w:ascii="Palatino Linotype" w:eastAsia="Palatino Linotype" w:hAnsi="Palatino Linotype" w:cs="Palatino Linotype"/>
                <w:b/>
                <w:i/>
              </w:rPr>
            </w:pPr>
            <w:r w:rsidRPr="00E8262C">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3239FA" w:rsidRPr="00E8262C" w:rsidRDefault="00D53368">
            <w:pPr>
              <w:jc w:val="center"/>
              <w:rPr>
                <w:rFonts w:ascii="Palatino Linotype" w:eastAsia="Palatino Linotype" w:hAnsi="Palatino Linotype" w:cs="Palatino Linotype"/>
                <w:b/>
                <w:i/>
              </w:rPr>
            </w:pPr>
            <w:r w:rsidRPr="00E8262C">
              <w:rPr>
                <w:rFonts w:ascii="Palatino Linotype" w:eastAsia="Palatino Linotype" w:hAnsi="Palatino Linotype" w:cs="Palatino Linotype"/>
                <w:b/>
                <w:i/>
              </w:rPr>
              <w:t>Dónde:</w:t>
            </w:r>
          </w:p>
        </w:tc>
      </w:tr>
      <w:tr w:rsidR="003239FA" w:rsidRPr="00E8262C">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3239FA" w:rsidRPr="00E8262C" w:rsidRDefault="00D53368">
            <w:pPr>
              <w:jc w:val="center"/>
              <w:rPr>
                <w:rFonts w:ascii="Palatino Linotype" w:eastAsia="Palatino Linotype" w:hAnsi="Palatino Linotype" w:cs="Palatino Linotype"/>
                <w:b/>
                <w:i/>
              </w:rPr>
            </w:pPr>
            <w:r w:rsidRPr="00E8262C">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3239FA" w:rsidRPr="00E8262C" w:rsidRDefault="00D53368">
            <w:pPr>
              <w:jc w:val="center"/>
              <w:rPr>
                <w:rFonts w:ascii="Palatino Linotype" w:eastAsia="Palatino Linotype" w:hAnsi="Palatino Linotype" w:cs="Palatino Linotype"/>
                <w:i/>
              </w:rPr>
            </w:pPr>
            <w:r w:rsidRPr="00E8262C">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3239FA" w:rsidRPr="00E8262C" w:rsidRDefault="00D53368">
            <w:pPr>
              <w:jc w:val="both"/>
              <w:rPr>
                <w:rFonts w:ascii="Palatino Linotype" w:eastAsia="Palatino Linotype" w:hAnsi="Palatino Linotype" w:cs="Palatino Linotype"/>
                <w:i/>
              </w:rPr>
            </w:pPr>
            <w:r w:rsidRPr="00E8262C">
              <w:rPr>
                <w:rFonts w:ascii="Palatino Linotype" w:eastAsia="Palatino Linotype" w:hAnsi="Palatino Linotype" w:cs="Palatino Linotype"/>
                <w:i/>
              </w:rPr>
              <w:t>Se anotará la fecha en la que el Comité de Transparencia confirmó la clasificación del documento, en su caso.</w:t>
            </w:r>
          </w:p>
        </w:tc>
      </w:tr>
      <w:tr w:rsidR="003239FA" w:rsidRPr="00E8262C">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3239FA" w:rsidRPr="00E8262C" w:rsidRDefault="003239F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239FA" w:rsidRPr="00E8262C" w:rsidRDefault="00D53368">
            <w:pPr>
              <w:jc w:val="center"/>
              <w:rPr>
                <w:rFonts w:ascii="Palatino Linotype" w:eastAsia="Palatino Linotype" w:hAnsi="Palatino Linotype" w:cs="Palatino Linotype"/>
                <w:i/>
              </w:rPr>
            </w:pPr>
            <w:r w:rsidRPr="00E8262C">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3239FA" w:rsidRPr="00E8262C" w:rsidRDefault="00D53368">
            <w:pPr>
              <w:jc w:val="both"/>
              <w:rPr>
                <w:rFonts w:ascii="Palatino Linotype" w:eastAsia="Palatino Linotype" w:hAnsi="Palatino Linotype" w:cs="Palatino Linotype"/>
                <w:i/>
              </w:rPr>
            </w:pPr>
            <w:r w:rsidRPr="00E8262C">
              <w:rPr>
                <w:rFonts w:ascii="Palatino Linotype" w:eastAsia="Palatino Linotype" w:hAnsi="Palatino Linotype" w:cs="Palatino Linotype"/>
                <w:i/>
              </w:rPr>
              <w:t>Se señalará el nombre del área del cual es titular quien clasifica.</w:t>
            </w:r>
          </w:p>
        </w:tc>
      </w:tr>
      <w:tr w:rsidR="003239FA" w:rsidRPr="00E8262C">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3239FA" w:rsidRPr="00E8262C" w:rsidRDefault="003239F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239FA" w:rsidRPr="00E8262C" w:rsidRDefault="00D53368">
            <w:pPr>
              <w:jc w:val="center"/>
              <w:rPr>
                <w:rFonts w:ascii="Palatino Linotype" w:eastAsia="Palatino Linotype" w:hAnsi="Palatino Linotype" w:cs="Palatino Linotype"/>
                <w:i/>
              </w:rPr>
            </w:pPr>
            <w:r w:rsidRPr="00E8262C">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3239FA" w:rsidRPr="00E8262C" w:rsidRDefault="00D53368">
            <w:pPr>
              <w:jc w:val="both"/>
              <w:rPr>
                <w:rFonts w:ascii="Palatino Linotype" w:eastAsia="Palatino Linotype" w:hAnsi="Palatino Linotype" w:cs="Palatino Linotype"/>
                <w:i/>
              </w:rPr>
            </w:pPr>
            <w:r w:rsidRPr="00E8262C">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sidRPr="00E8262C">
              <w:rPr>
                <w:rFonts w:ascii="Palatino Linotype" w:eastAsia="Palatino Linotype" w:hAnsi="Palatino Linotype" w:cs="Palatino Linotype"/>
                <w:i/>
              </w:rPr>
              <w:t>anotarán</w:t>
            </w:r>
            <w:proofErr w:type="gramEnd"/>
            <w:r w:rsidRPr="00E8262C">
              <w:rPr>
                <w:rFonts w:ascii="Palatino Linotype" w:eastAsia="Palatino Linotype" w:hAnsi="Palatino Linotype" w:cs="Palatino Linotype"/>
                <w:i/>
              </w:rPr>
              <w:t xml:space="preserve"> todas las páginas que lo conforman. Si </w:t>
            </w:r>
            <w:r w:rsidRPr="00E8262C">
              <w:rPr>
                <w:rFonts w:ascii="Palatino Linotype" w:eastAsia="Palatino Linotype" w:hAnsi="Palatino Linotype" w:cs="Palatino Linotype"/>
                <w:i/>
              </w:rPr>
              <w:lastRenderedPageBreak/>
              <w:t>el documento no contiene información reservada, se tachará este apartado.</w:t>
            </w:r>
          </w:p>
        </w:tc>
      </w:tr>
      <w:tr w:rsidR="003239FA" w:rsidRPr="00E8262C">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3239FA" w:rsidRPr="00E8262C" w:rsidRDefault="003239F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239FA" w:rsidRPr="00E8262C" w:rsidRDefault="00D53368">
            <w:pPr>
              <w:jc w:val="center"/>
              <w:rPr>
                <w:rFonts w:ascii="Palatino Linotype" w:eastAsia="Palatino Linotype" w:hAnsi="Palatino Linotype" w:cs="Palatino Linotype"/>
                <w:i/>
              </w:rPr>
            </w:pPr>
            <w:r w:rsidRPr="00E8262C">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3239FA" w:rsidRPr="00E8262C" w:rsidRDefault="00D53368">
            <w:pPr>
              <w:jc w:val="both"/>
              <w:rPr>
                <w:rFonts w:ascii="Palatino Linotype" w:eastAsia="Palatino Linotype" w:hAnsi="Palatino Linotype" w:cs="Palatino Linotype"/>
                <w:i/>
              </w:rPr>
            </w:pPr>
            <w:r w:rsidRPr="00E8262C">
              <w:rPr>
                <w:rFonts w:ascii="Palatino Linotype" w:eastAsia="Palatino Linotype" w:hAnsi="Palatino Linotype" w:cs="Palatino Linotype"/>
                <w:i/>
              </w:rPr>
              <w:t>Se anotará el número de años o meses por los que se mantendrá el documento o las partes del mismo como reservado.</w:t>
            </w:r>
          </w:p>
        </w:tc>
      </w:tr>
      <w:tr w:rsidR="003239FA" w:rsidRPr="00E8262C">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3239FA" w:rsidRPr="00E8262C" w:rsidRDefault="003239F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239FA" w:rsidRPr="00E8262C" w:rsidRDefault="00D53368">
            <w:pPr>
              <w:jc w:val="center"/>
              <w:rPr>
                <w:rFonts w:ascii="Palatino Linotype" w:eastAsia="Palatino Linotype" w:hAnsi="Palatino Linotype" w:cs="Palatino Linotype"/>
                <w:i/>
              </w:rPr>
            </w:pPr>
            <w:r w:rsidRPr="00E8262C">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3239FA" w:rsidRPr="00E8262C" w:rsidRDefault="00D53368">
            <w:pPr>
              <w:jc w:val="both"/>
              <w:rPr>
                <w:rFonts w:ascii="Palatino Linotype" w:eastAsia="Palatino Linotype" w:hAnsi="Palatino Linotype" w:cs="Palatino Linotype"/>
                <w:i/>
              </w:rPr>
            </w:pPr>
            <w:r w:rsidRPr="00E8262C">
              <w:rPr>
                <w:rFonts w:ascii="Palatino Linotype" w:eastAsia="Palatino Linotype" w:hAnsi="Palatino Linotype" w:cs="Palatino Linotype"/>
                <w:i/>
              </w:rPr>
              <w:t>Se señalará el nombre del ordenamiento, el o los artículos, fracción(es), párrafo(s) con base en los cuales se sustente la reserva.</w:t>
            </w:r>
          </w:p>
        </w:tc>
      </w:tr>
      <w:tr w:rsidR="003239FA" w:rsidRPr="00E8262C">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3239FA" w:rsidRPr="00E8262C" w:rsidRDefault="003239F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239FA" w:rsidRPr="00E8262C" w:rsidRDefault="00D53368">
            <w:pPr>
              <w:jc w:val="center"/>
              <w:rPr>
                <w:rFonts w:ascii="Palatino Linotype" w:eastAsia="Palatino Linotype" w:hAnsi="Palatino Linotype" w:cs="Palatino Linotype"/>
                <w:i/>
              </w:rPr>
            </w:pPr>
            <w:r w:rsidRPr="00E8262C">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3239FA" w:rsidRPr="00E8262C" w:rsidRDefault="00D53368">
            <w:pPr>
              <w:jc w:val="both"/>
              <w:rPr>
                <w:rFonts w:ascii="Palatino Linotype" w:eastAsia="Palatino Linotype" w:hAnsi="Palatino Linotype" w:cs="Palatino Linotype"/>
                <w:i/>
              </w:rPr>
            </w:pPr>
            <w:r w:rsidRPr="00E8262C">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3239FA" w:rsidRPr="00E8262C">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3239FA" w:rsidRPr="00E8262C" w:rsidRDefault="003239F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239FA" w:rsidRPr="00E8262C" w:rsidRDefault="00D53368">
            <w:pPr>
              <w:jc w:val="center"/>
              <w:rPr>
                <w:rFonts w:ascii="Palatino Linotype" w:eastAsia="Palatino Linotype" w:hAnsi="Palatino Linotype" w:cs="Palatino Linotype"/>
                <w:b/>
                <w:i/>
                <w:u w:val="single"/>
              </w:rPr>
            </w:pPr>
            <w:r w:rsidRPr="00E8262C">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rsidR="003239FA" w:rsidRPr="00E8262C" w:rsidRDefault="00D53368">
            <w:pPr>
              <w:jc w:val="both"/>
              <w:rPr>
                <w:rFonts w:ascii="Palatino Linotype" w:eastAsia="Palatino Linotype" w:hAnsi="Palatino Linotype" w:cs="Palatino Linotype"/>
                <w:i/>
              </w:rPr>
            </w:pPr>
            <w:r w:rsidRPr="00E8262C">
              <w:rPr>
                <w:rFonts w:ascii="Palatino Linotype" w:eastAsia="Palatino Linotype" w:hAnsi="Palatino Linotype" w:cs="Palatino Linotype"/>
                <w:i/>
              </w:rPr>
              <w:t xml:space="preserve">Se indicarán, en su caso, </w:t>
            </w:r>
            <w:r w:rsidRPr="00E8262C">
              <w:rPr>
                <w:rFonts w:ascii="Palatino Linotype" w:eastAsia="Palatino Linotype" w:hAnsi="Palatino Linotype" w:cs="Palatino Linotype"/>
                <w:b/>
                <w:i/>
                <w:u w:val="single"/>
              </w:rPr>
              <w:t>las partes o páginas del documento que se clasifica como confidencial</w:t>
            </w:r>
            <w:r w:rsidRPr="00E8262C">
              <w:rPr>
                <w:rFonts w:ascii="Palatino Linotype" w:eastAsia="Palatino Linotype" w:hAnsi="Palatino Linotype" w:cs="Palatino Linotype"/>
                <w:i/>
              </w:rPr>
              <w:t xml:space="preserve">. </w:t>
            </w:r>
            <w:r w:rsidRPr="00E8262C">
              <w:rPr>
                <w:rFonts w:ascii="Palatino Linotype" w:eastAsia="Palatino Linotype" w:hAnsi="Palatino Linotype" w:cs="Palatino Linotype"/>
                <w:b/>
                <w:i/>
                <w:u w:val="single"/>
              </w:rPr>
              <w:t>Si el documento fuera confidencial en su totalidad, se anotarán todas las páginas que lo conforman</w:t>
            </w:r>
            <w:r w:rsidRPr="00E8262C">
              <w:rPr>
                <w:rFonts w:ascii="Palatino Linotype" w:eastAsia="Palatino Linotype" w:hAnsi="Palatino Linotype" w:cs="Palatino Linotype"/>
                <w:i/>
              </w:rPr>
              <w:t>. Si el documento no contiene información confidencial, se tachará este apartado.</w:t>
            </w:r>
          </w:p>
        </w:tc>
      </w:tr>
      <w:tr w:rsidR="003239FA" w:rsidRPr="00E8262C">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3239FA" w:rsidRPr="00E8262C" w:rsidRDefault="003239F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239FA" w:rsidRPr="00E8262C" w:rsidRDefault="00D53368">
            <w:pPr>
              <w:jc w:val="center"/>
              <w:rPr>
                <w:rFonts w:ascii="Palatino Linotype" w:eastAsia="Palatino Linotype" w:hAnsi="Palatino Linotype" w:cs="Palatino Linotype"/>
                <w:i/>
              </w:rPr>
            </w:pPr>
            <w:r w:rsidRPr="00E8262C">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3239FA" w:rsidRPr="00E8262C" w:rsidRDefault="00D53368">
            <w:pPr>
              <w:jc w:val="both"/>
              <w:rPr>
                <w:rFonts w:ascii="Palatino Linotype" w:eastAsia="Palatino Linotype" w:hAnsi="Palatino Linotype" w:cs="Palatino Linotype"/>
                <w:i/>
              </w:rPr>
            </w:pPr>
            <w:r w:rsidRPr="00E8262C">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3239FA" w:rsidRPr="00E8262C">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3239FA" w:rsidRPr="00E8262C" w:rsidRDefault="003239F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239FA" w:rsidRPr="00E8262C" w:rsidRDefault="00D53368">
            <w:pPr>
              <w:jc w:val="center"/>
              <w:rPr>
                <w:rFonts w:ascii="Palatino Linotype" w:eastAsia="Palatino Linotype" w:hAnsi="Palatino Linotype" w:cs="Palatino Linotype"/>
                <w:i/>
              </w:rPr>
            </w:pPr>
            <w:r w:rsidRPr="00E8262C">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3239FA" w:rsidRPr="00E8262C" w:rsidRDefault="00D53368">
            <w:pPr>
              <w:jc w:val="both"/>
              <w:rPr>
                <w:rFonts w:ascii="Palatino Linotype" w:eastAsia="Palatino Linotype" w:hAnsi="Palatino Linotype" w:cs="Palatino Linotype"/>
                <w:i/>
              </w:rPr>
            </w:pPr>
            <w:r w:rsidRPr="00E8262C">
              <w:rPr>
                <w:rFonts w:ascii="Palatino Linotype" w:eastAsia="Palatino Linotype" w:hAnsi="Palatino Linotype" w:cs="Palatino Linotype"/>
                <w:i/>
              </w:rPr>
              <w:t>Rúbrica autógrafa de quien clasifica.</w:t>
            </w:r>
          </w:p>
        </w:tc>
      </w:tr>
      <w:tr w:rsidR="003239FA" w:rsidRPr="00E8262C">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3239FA" w:rsidRPr="00E8262C" w:rsidRDefault="003239F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239FA" w:rsidRPr="00E8262C" w:rsidRDefault="00D53368">
            <w:pPr>
              <w:jc w:val="center"/>
              <w:rPr>
                <w:rFonts w:ascii="Palatino Linotype" w:eastAsia="Palatino Linotype" w:hAnsi="Palatino Linotype" w:cs="Palatino Linotype"/>
                <w:i/>
              </w:rPr>
            </w:pPr>
            <w:r w:rsidRPr="00E8262C">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3239FA" w:rsidRPr="00E8262C" w:rsidRDefault="00D53368">
            <w:pPr>
              <w:jc w:val="both"/>
              <w:rPr>
                <w:rFonts w:ascii="Palatino Linotype" w:eastAsia="Palatino Linotype" w:hAnsi="Palatino Linotype" w:cs="Palatino Linotype"/>
                <w:i/>
              </w:rPr>
            </w:pPr>
            <w:r w:rsidRPr="00E8262C">
              <w:rPr>
                <w:rFonts w:ascii="Palatino Linotype" w:eastAsia="Palatino Linotype" w:hAnsi="Palatino Linotype" w:cs="Palatino Linotype"/>
                <w:i/>
              </w:rPr>
              <w:t>Se anotará la fecha en que se desclasifica el documento.</w:t>
            </w:r>
          </w:p>
        </w:tc>
      </w:tr>
      <w:tr w:rsidR="003239FA" w:rsidRPr="00E8262C">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3239FA" w:rsidRPr="00E8262C" w:rsidRDefault="003239F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239FA" w:rsidRPr="00E8262C" w:rsidRDefault="00D53368">
            <w:pPr>
              <w:jc w:val="center"/>
              <w:rPr>
                <w:rFonts w:ascii="Palatino Linotype" w:eastAsia="Palatino Linotype" w:hAnsi="Palatino Linotype" w:cs="Palatino Linotype"/>
                <w:i/>
              </w:rPr>
            </w:pPr>
            <w:r w:rsidRPr="00E8262C">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3239FA" w:rsidRPr="00E8262C" w:rsidRDefault="00D53368">
            <w:pPr>
              <w:rPr>
                <w:rFonts w:ascii="Palatino Linotype" w:eastAsia="Palatino Linotype" w:hAnsi="Palatino Linotype" w:cs="Palatino Linotype"/>
                <w:i/>
              </w:rPr>
            </w:pPr>
            <w:r w:rsidRPr="00E8262C">
              <w:rPr>
                <w:rFonts w:ascii="Palatino Linotype" w:eastAsia="Palatino Linotype" w:hAnsi="Palatino Linotype" w:cs="Palatino Linotype"/>
                <w:i/>
              </w:rPr>
              <w:t>Rúbrica autógrafa de quien desclasifica.</w:t>
            </w:r>
          </w:p>
        </w:tc>
      </w:tr>
    </w:tbl>
    <w:p w:rsidR="003239FA" w:rsidRPr="00E8262C" w:rsidRDefault="00D53368">
      <w:pPr>
        <w:ind w:left="709" w:right="709"/>
        <w:jc w:val="both"/>
        <w:rPr>
          <w:rFonts w:ascii="Palatino Linotype" w:eastAsia="Palatino Linotype" w:hAnsi="Palatino Linotype" w:cs="Palatino Linotype"/>
          <w:sz w:val="22"/>
          <w:szCs w:val="22"/>
        </w:rPr>
      </w:pPr>
      <w:r w:rsidRPr="00E8262C">
        <w:rPr>
          <w:rFonts w:ascii="Palatino Linotype" w:eastAsia="Palatino Linotype" w:hAnsi="Palatino Linotype" w:cs="Palatino Linotype"/>
          <w:sz w:val="22"/>
          <w:szCs w:val="22"/>
        </w:rPr>
        <w:t>(Énfasis Añadido)</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Es importante referir que, </w:t>
      </w:r>
      <w:r w:rsidRPr="00E8262C">
        <w:rPr>
          <w:rFonts w:ascii="Palatino Linotype" w:eastAsia="Palatino Linotype" w:hAnsi="Palatino Linotype" w:cs="Palatino Linotype"/>
          <w:b/>
        </w:rPr>
        <w:t>EL SUJETO OBLIGADO</w:t>
      </w:r>
      <w:r w:rsidRPr="00E8262C">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E8262C">
        <w:rPr>
          <w:rFonts w:ascii="Palatino Linotype" w:eastAsia="Palatino Linotype" w:hAnsi="Palatino Linotype" w:cs="Palatino Linotype"/>
          <w:b/>
        </w:rPr>
        <w:t xml:space="preserve"> </w:t>
      </w:r>
      <w:r w:rsidRPr="00E8262C">
        <w:rPr>
          <w:rFonts w:ascii="Palatino Linotype" w:eastAsia="Palatino Linotype" w:hAnsi="Palatino Linotype" w:cs="Palatino Linotype"/>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239FA" w:rsidRPr="00E8262C" w:rsidRDefault="00D53368">
      <w:pPr>
        <w:spacing w:before="240" w:after="240" w:line="360" w:lineRule="auto"/>
        <w:ind w:right="49"/>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Por último, no se omite comentar que este Organismo Garante advierte que la información solicitada, pueden suponer un tamaño difícil de procesar a efecto de atender la solicitud de información, este Órgano Garante determina que el ordenar la entrega de la información solicitada en un plazo de 10 días hábiles implicaría una carga desproporcionada contra el Sistema Municipal Para el Desarrollo Integral de la Familia de Metepec; por lo tanto, y a efecto de procurar un correcto equilibrio entre el derecho de acceso a la información, así como la capacidad de dar cumplimiento a las resoluciones, siguiendo los principios de eficacia y prontitud, se determina que el </w:t>
      </w:r>
      <w:r w:rsidRPr="00E8262C">
        <w:rPr>
          <w:rFonts w:ascii="Palatino Linotype" w:eastAsia="Palatino Linotype" w:hAnsi="Palatino Linotype" w:cs="Palatino Linotype"/>
        </w:rPr>
        <w:lastRenderedPageBreak/>
        <w:t>plazo para dar cumplimiento a esta resolución será de 30 días hábiles posteriores a la notificación de la misma.</w:t>
      </w:r>
    </w:p>
    <w:p w:rsidR="003239FA" w:rsidRPr="00E8262C" w:rsidRDefault="00D53368">
      <w:pPr>
        <w:spacing w:before="240" w:after="240" w:line="360" w:lineRule="auto"/>
        <w:ind w:right="49"/>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Asimismo, en caso de que existiera impedimento justificado para la entrega de la información por la vía seleccionada por el particular, a efecto de privilegiar el derecho de acceso a la información, se considera procedente ordenar al </w:t>
      </w:r>
      <w:r w:rsidRPr="00E8262C">
        <w:rPr>
          <w:rFonts w:ascii="Palatino Linotype" w:eastAsia="Palatino Linotype" w:hAnsi="Palatino Linotype" w:cs="Palatino Linotype"/>
          <w:b/>
        </w:rPr>
        <w:t>SUJETO OBLIGADO</w:t>
      </w:r>
      <w:r w:rsidRPr="00E8262C">
        <w:rPr>
          <w:rFonts w:ascii="Palatino Linotype" w:eastAsia="Palatino Linotype" w:hAnsi="Palatino Linotype" w:cs="Palatino Linotype"/>
        </w:rPr>
        <w:t xml:space="preserve"> a efecto de que proporcione otras modalidades para de la entrega de la información, a través del Sistema de Acceso a la Información Mexiquense (SAIMEX); preferentemente electrónicas como Disco Compacto, o un dispositivo de almacenamiento o incluso copias simples o certificadas si se acredita la imposibilidad de entregarlas en medio electrónico, todo esto, previo pago de los derechos correspondientes según lo dispuesto por el artículo 148 del Código Financiero del Estado de México y Municipios, que a la letra señala lo siguiente:</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ind w:left="851" w:right="851"/>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Artículo 148.- Por la expedición de documentos solicitados en el ejercicio del derecho a la información pública, se pagarán los derechos conforme a la siguiente:</w:t>
      </w:r>
    </w:p>
    <w:p w:rsidR="003239FA" w:rsidRPr="00E8262C" w:rsidRDefault="003239FA">
      <w:pPr>
        <w:ind w:left="851" w:right="851"/>
        <w:jc w:val="both"/>
        <w:rPr>
          <w:rFonts w:ascii="Palatino Linotype" w:eastAsia="Palatino Linotype" w:hAnsi="Palatino Linotype" w:cs="Palatino Linotype"/>
          <w:i/>
          <w:sz w:val="22"/>
          <w:szCs w:val="22"/>
        </w:rPr>
      </w:pPr>
    </w:p>
    <w:p w:rsidR="003239FA" w:rsidRPr="00E8262C" w:rsidRDefault="00D53368">
      <w:pPr>
        <w:ind w:left="851" w:right="851"/>
        <w:jc w:val="center"/>
        <w:rPr>
          <w:rFonts w:ascii="Palatino Linotype" w:eastAsia="Palatino Linotype" w:hAnsi="Palatino Linotype" w:cs="Palatino Linotype"/>
          <w:b/>
          <w:i/>
          <w:sz w:val="22"/>
          <w:szCs w:val="22"/>
        </w:rPr>
      </w:pPr>
      <w:r w:rsidRPr="00E8262C">
        <w:rPr>
          <w:rFonts w:ascii="Palatino Linotype" w:eastAsia="Palatino Linotype" w:hAnsi="Palatino Linotype" w:cs="Palatino Linotype"/>
          <w:b/>
          <w:i/>
          <w:sz w:val="22"/>
          <w:szCs w:val="22"/>
        </w:rPr>
        <w:t>T A R I F A</w:t>
      </w:r>
    </w:p>
    <w:p w:rsidR="003239FA" w:rsidRPr="00E8262C" w:rsidRDefault="003239FA">
      <w:pPr>
        <w:ind w:left="851" w:right="851"/>
        <w:rPr>
          <w:rFonts w:ascii="Palatino Linotype" w:eastAsia="Palatino Linotype" w:hAnsi="Palatino Linotype" w:cs="Palatino Linotype"/>
          <w:i/>
          <w:sz w:val="22"/>
          <w:szCs w:val="22"/>
        </w:rPr>
      </w:pPr>
    </w:p>
    <w:p w:rsidR="003239FA" w:rsidRPr="00E8262C" w:rsidRDefault="00D53368">
      <w:pPr>
        <w:ind w:left="851" w:right="851"/>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CONCEPTO  </w:t>
      </w:r>
      <w:r w:rsidRPr="00E8262C">
        <w:rPr>
          <w:rFonts w:ascii="Palatino Linotype" w:eastAsia="Palatino Linotype" w:hAnsi="Palatino Linotype" w:cs="Palatino Linotype"/>
          <w:i/>
          <w:sz w:val="22"/>
          <w:szCs w:val="22"/>
        </w:rPr>
        <w:tab/>
      </w:r>
      <w:r w:rsidRPr="00E8262C">
        <w:rPr>
          <w:rFonts w:ascii="Palatino Linotype" w:eastAsia="Palatino Linotype" w:hAnsi="Palatino Linotype" w:cs="Palatino Linotype"/>
          <w:i/>
          <w:sz w:val="22"/>
          <w:szCs w:val="22"/>
        </w:rPr>
        <w:tab/>
      </w:r>
      <w:r w:rsidRPr="00E8262C">
        <w:rPr>
          <w:rFonts w:ascii="Palatino Linotype" w:eastAsia="Palatino Linotype" w:hAnsi="Palatino Linotype" w:cs="Palatino Linotype"/>
          <w:i/>
          <w:sz w:val="22"/>
          <w:szCs w:val="22"/>
        </w:rPr>
        <w:tab/>
      </w:r>
      <w:r w:rsidRPr="00E8262C">
        <w:rPr>
          <w:rFonts w:ascii="Palatino Linotype" w:eastAsia="Palatino Linotype" w:hAnsi="Palatino Linotype" w:cs="Palatino Linotype"/>
          <w:i/>
          <w:sz w:val="22"/>
          <w:szCs w:val="22"/>
        </w:rPr>
        <w:tab/>
        <w:t>NÚMERO DE VECES EL VALOR</w:t>
      </w:r>
    </w:p>
    <w:p w:rsidR="003239FA" w:rsidRPr="00E8262C" w:rsidRDefault="00D53368">
      <w:pPr>
        <w:ind w:left="851" w:right="851"/>
        <w:jc w:val="right"/>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DIARIO DE LA UNIDAD DE</w:t>
      </w:r>
    </w:p>
    <w:p w:rsidR="003239FA" w:rsidRPr="00E8262C" w:rsidRDefault="00D53368">
      <w:pPr>
        <w:ind w:left="851" w:right="851"/>
        <w:jc w:val="right"/>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MEDIDA Y ACTUALIZACIÓN</w:t>
      </w:r>
    </w:p>
    <w:p w:rsidR="003239FA" w:rsidRPr="00E8262C" w:rsidRDefault="00D53368">
      <w:pPr>
        <w:ind w:left="851" w:right="851"/>
        <w:jc w:val="right"/>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VIGENTE</w:t>
      </w:r>
    </w:p>
    <w:p w:rsidR="003239FA" w:rsidRPr="00E8262C" w:rsidRDefault="00D53368">
      <w:pPr>
        <w:ind w:left="851" w:right="851"/>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I. Por la expedición de copias simples:</w:t>
      </w:r>
    </w:p>
    <w:p w:rsidR="003239FA" w:rsidRPr="00E8262C" w:rsidRDefault="00D53368">
      <w:pPr>
        <w:ind w:left="851" w:right="851"/>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A). Por la primera hoja. </w:t>
      </w:r>
      <w:r w:rsidRPr="00E8262C">
        <w:rPr>
          <w:rFonts w:ascii="Palatino Linotype" w:eastAsia="Palatino Linotype" w:hAnsi="Palatino Linotype" w:cs="Palatino Linotype"/>
          <w:i/>
          <w:sz w:val="22"/>
          <w:szCs w:val="22"/>
        </w:rPr>
        <w:tab/>
      </w:r>
      <w:r w:rsidRPr="00E8262C">
        <w:rPr>
          <w:rFonts w:ascii="Palatino Linotype" w:eastAsia="Palatino Linotype" w:hAnsi="Palatino Linotype" w:cs="Palatino Linotype"/>
          <w:i/>
          <w:sz w:val="22"/>
          <w:szCs w:val="22"/>
        </w:rPr>
        <w:tab/>
      </w:r>
      <w:r w:rsidRPr="00E8262C">
        <w:rPr>
          <w:rFonts w:ascii="Palatino Linotype" w:eastAsia="Palatino Linotype" w:hAnsi="Palatino Linotype" w:cs="Palatino Linotype"/>
          <w:i/>
          <w:sz w:val="22"/>
          <w:szCs w:val="22"/>
        </w:rPr>
        <w:tab/>
      </w:r>
      <w:r w:rsidRPr="00E8262C">
        <w:rPr>
          <w:rFonts w:ascii="Palatino Linotype" w:eastAsia="Palatino Linotype" w:hAnsi="Palatino Linotype" w:cs="Palatino Linotype"/>
          <w:i/>
          <w:sz w:val="22"/>
          <w:szCs w:val="22"/>
        </w:rPr>
        <w:tab/>
      </w:r>
      <w:r w:rsidRPr="00E8262C">
        <w:rPr>
          <w:rFonts w:ascii="Palatino Linotype" w:eastAsia="Palatino Linotype" w:hAnsi="Palatino Linotype" w:cs="Palatino Linotype"/>
          <w:i/>
          <w:sz w:val="22"/>
          <w:szCs w:val="22"/>
        </w:rPr>
        <w:tab/>
      </w:r>
      <w:r w:rsidRPr="00E8262C">
        <w:rPr>
          <w:rFonts w:ascii="Palatino Linotype" w:eastAsia="Palatino Linotype" w:hAnsi="Palatino Linotype" w:cs="Palatino Linotype"/>
          <w:i/>
          <w:sz w:val="22"/>
          <w:szCs w:val="22"/>
        </w:rPr>
        <w:tab/>
        <w:t>0.224</w:t>
      </w:r>
    </w:p>
    <w:p w:rsidR="003239FA" w:rsidRPr="00E8262C" w:rsidRDefault="00D53368">
      <w:pPr>
        <w:ind w:left="851" w:right="851"/>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B). Por cada hoja subsecuente. </w:t>
      </w:r>
      <w:r w:rsidRPr="00E8262C">
        <w:rPr>
          <w:rFonts w:ascii="Palatino Linotype" w:eastAsia="Palatino Linotype" w:hAnsi="Palatino Linotype" w:cs="Palatino Linotype"/>
          <w:i/>
          <w:sz w:val="22"/>
          <w:szCs w:val="22"/>
        </w:rPr>
        <w:tab/>
      </w:r>
      <w:r w:rsidRPr="00E8262C">
        <w:rPr>
          <w:rFonts w:ascii="Palatino Linotype" w:eastAsia="Palatino Linotype" w:hAnsi="Palatino Linotype" w:cs="Palatino Linotype"/>
          <w:i/>
          <w:sz w:val="22"/>
          <w:szCs w:val="22"/>
        </w:rPr>
        <w:tab/>
      </w:r>
      <w:r w:rsidRPr="00E8262C">
        <w:rPr>
          <w:rFonts w:ascii="Palatino Linotype" w:eastAsia="Palatino Linotype" w:hAnsi="Palatino Linotype" w:cs="Palatino Linotype"/>
          <w:i/>
          <w:sz w:val="22"/>
          <w:szCs w:val="22"/>
        </w:rPr>
        <w:tab/>
      </w:r>
      <w:r w:rsidRPr="00E8262C">
        <w:rPr>
          <w:rFonts w:ascii="Palatino Linotype" w:eastAsia="Palatino Linotype" w:hAnsi="Palatino Linotype" w:cs="Palatino Linotype"/>
          <w:i/>
          <w:sz w:val="22"/>
          <w:szCs w:val="22"/>
        </w:rPr>
        <w:tab/>
      </w:r>
      <w:r w:rsidRPr="00E8262C">
        <w:rPr>
          <w:rFonts w:ascii="Palatino Linotype" w:eastAsia="Palatino Linotype" w:hAnsi="Palatino Linotype" w:cs="Palatino Linotype"/>
          <w:i/>
          <w:sz w:val="22"/>
          <w:szCs w:val="22"/>
        </w:rPr>
        <w:tab/>
        <w:t>0.016</w:t>
      </w:r>
    </w:p>
    <w:p w:rsidR="003239FA" w:rsidRPr="00E8262C" w:rsidRDefault="00D53368">
      <w:pPr>
        <w:ind w:left="851" w:right="851"/>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lastRenderedPageBreak/>
        <w:t>II. Por la expedición de copias certificadas:</w:t>
      </w:r>
    </w:p>
    <w:p w:rsidR="003239FA" w:rsidRPr="00E8262C" w:rsidRDefault="00D53368">
      <w:pPr>
        <w:ind w:left="851" w:right="851"/>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A). Por la primera hoja.</w:t>
      </w:r>
      <w:r w:rsidRPr="00E8262C">
        <w:rPr>
          <w:rFonts w:ascii="Palatino Linotype" w:eastAsia="Palatino Linotype" w:hAnsi="Palatino Linotype" w:cs="Palatino Linotype"/>
          <w:i/>
          <w:sz w:val="22"/>
          <w:szCs w:val="22"/>
        </w:rPr>
        <w:tab/>
      </w:r>
      <w:r w:rsidRPr="00E8262C">
        <w:rPr>
          <w:rFonts w:ascii="Palatino Linotype" w:eastAsia="Palatino Linotype" w:hAnsi="Palatino Linotype" w:cs="Palatino Linotype"/>
          <w:i/>
          <w:sz w:val="22"/>
          <w:szCs w:val="22"/>
        </w:rPr>
        <w:tab/>
      </w:r>
      <w:r w:rsidRPr="00E8262C">
        <w:rPr>
          <w:rFonts w:ascii="Palatino Linotype" w:eastAsia="Palatino Linotype" w:hAnsi="Palatino Linotype" w:cs="Palatino Linotype"/>
          <w:i/>
          <w:sz w:val="22"/>
          <w:szCs w:val="22"/>
        </w:rPr>
        <w:tab/>
      </w:r>
      <w:r w:rsidRPr="00E8262C">
        <w:rPr>
          <w:rFonts w:ascii="Palatino Linotype" w:eastAsia="Palatino Linotype" w:hAnsi="Palatino Linotype" w:cs="Palatino Linotype"/>
          <w:i/>
          <w:sz w:val="22"/>
          <w:szCs w:val="22"/>
        </w:rPr>
        <w:tab/>
      </w:r>
      <w:r w:rsidRPr="00E8262C">
        <w:rPr>
          <w:rFonts w:ascii="Palatino Linotype" w:eastAsia="Palatino Linotype" w:hAnsi="Palatino Linotype" w:cs="Palatino Linotype"/>
          <w:i/>
          <w:sz w:val="22"/>
          <w:szCs w:val="22"/>
        </w:rPr>
        <w:tab/>
      </w:r>
      <w:r w:rsidRPr="00E8262C">
        <w:rPr>
          <w:rFonts w:ascii="Palatino Linotype" w:eastAsia="Palatino Linotype" w:hAnsi="Palatino Linotype" w:cs="Palatino Linotype"/>
          <w:i/>
          <w:sz w:val="22"/>
          <w:szCs w:val="22"/>
        </w:rPr>
        <w:tab/>
        <w:t>0.850</w:t>
      </w:r>
    </w:p>
    <w:p w:rsidR="003239FA" w:rsidRPr="00E8262C" w:rsidRDefault="00D53368">
      <w:pPr>
        <w:ind w:left="851" w:right="851"/>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B). Por cada hoja subsecuente. </w:t>
      </w:r>
      <w:r w:rsidRPr="00E8262C">
        <w:rPr>
          <w:rFonts w:ascii="Palatino Linotype" w:eastAsia="Palatino Linotype" w:hAnsi="Palatino Linotype" w:cs="Palatino Linotype"/>
          <w:i/>
          <w:sz w:val="22"/>
          <w:szCs w:val="22"/>
        </w:rPr>
        <w:tab/>
      </w:r>
      <w:r w:rsidRPr="00E8262C">
        <w:rPr>
          <w:rFonts w:ascii="Palatino Linotype" w:eastAsia="Palatino Linotype" w:hAnsi="Palatino Linotype" w:cs="Palatino Linotype"/>
          <w:i/>
          <w:sz w:val="22"/>
          <w:szCs w:val="22"/>
        </w:rPr>
        <w:tab/>
      </w:r>
      <w:r w:rsidRPr="00E8262C">
        <w:rPr>
          <w:rFonts w:ascii="Palatino Linotype" w:eastAsia="Palatino Linotype" w:hAnsi="Palatino Linotype" w:cs="Palatino Linotype"/>
          <w:i/>
          <w:sz w:val="22"/>
          <w:szCs w:val="22"/>
        </w:rPr>
        <w:tab/>
      </w:r>
      <w:r w:rsidRPr="00E8262C">
        <w:rPr>
          <w:rFonts w:ascii="Palatino Linotype" w:eastAsia="Palatino Linotype" w:hAnsi="Palatino Linotype" w:cs="Palatino Linotype"/>
          <w:i/>
          <w:sz w:val="22"/>
          <w:szCs w:val="22"/>
        </w:rPr>
        <w:tab/>
      </w:r>
      <w:r w:rsidRPr="00E8262C">
        <w:rPr>
          <w:rFonts w:ascii="Palatino Linotype" w:eastAsia="Palatino Linotype" w:hAnsi="Palatino Linotype" w:cs="Palatino Linotype"/>
          <w:i/>
          <w:sz w:val="22"/>
          <w:szCs w:val="22"/>
        </w:rPr>
        <w:tab/>
        <w:t>0.417</w:t>
      </w:r>
    </w:p>
    <w:p w:rsidR="003239FA" w:rsidRPr="00E8262C" w:rsidRDefault="00D53368">
      <w:pPr>
        <w:ind w:left="851" w:right="851"/>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III. Por la expedición de información en medios magnéticos. </w:t>
      </w:r>
      <w:r w:rsidRPr="00E8262C">
        <w:rPr>
          <w:rFonts w:ascii="Palatino Linotype" w:eastAsia="Palatino Linotype" w:hAnsi="Palatino Linotype" w:cs="Palatino Linotype"/>
          <w:i/>
          <w:sz w:val="22"/>
          <w:szCs w:val="22"/>
        </w:rPr>
        <w:tab/>
      </w:r>
      <w:r w:rsidRPr="00E8262C">
        <w:rPr>
          <w:rFonts w:ascii="Palatino Linotype" w:eastAsia="Palatino Linotype" w:hAnsi="Palatino Linotype" w:cs="Palatino Linotype"/>
          <w:i/>
          <w:sz w:val="22"/>
          <w:szCs w:val="22"/>
        </w:rPr>
        <w:tab/>
        <w:t>0.224</w:t>
      </w:r>
    </w:p>
    <w:p w:rsidR="003239FA" w:rsidRPr="00E8262C" w:rsidRDefault="00D53368">
      <w:pPr>
        <w:ind w:left="851" w:right="851"/>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IV. Para la expedición de información en disco compacto por</w:t>
      </w:r>
    </w:p>
    <w:p w:rsidR="003239FA" w:rsidRPr="00E8262C" w:rsidRDefault="00D53368">
      <w:pPr>
        <w:ind w:left="851" w:right="851"/>
        <w:jc w:val="both"/>
        <w:rPr>
          <w:rFonts w:ascii="Palatino Linotype" w:eastAsia="Palatino Linotype" w:hAnsi="Palatino Linotype" w:cs="Palatino Linotype"/>
          <w:i/>
          <w:sz w:val="22"/>
          <w:szCs w:val="22"/>
        </w:rPr>
      </w:pPr>
      <w:proofErr w:type="gramStart"/>
      <w:r w:rsidRPr="00E8262C">
        <w:rPr>
          <w:rFonts w:ascii="Palatino Linotype" w:eastAsia="Palatino Linotype" w:hAnsi="Palatino Linotype" w:cs="Palatino Linotype"/>
          <w:i/>
          <w:sz w:val="22"/>
          <w:szCs w:val="22"/>
        </w:rPr>
        <w:t>cada</w:t>
      </w:r>
      <w:proofErr w:type="gramEnd"/>
      <w:r w:rsidRPr="00E8262C">
        <w:rPr>
          <w:rFonts w:ascii="Palatino Linotype" w:eastAsia="Palatino Linotype" w:hAnsi="Palatino Linotype" w:cs="Palatino Linotype"/>
          <w:i/>
          <w:sz w:val="22"/>
          <w:szCs w:val="22"/>
        </w:rPr>
        <w:t xml:space="preserve"> disco. 0.336</w:t>
      </w:r>
    </w:p>
    <w:p w:rsidR="003239FA" w:rsidRPr="00E8262C" w:rsidRDefault="00D53368">
      <w:pPr>
        <w:ind w:left="851" w:right="851"/>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V. Por el escaneo y digitalización de documentos. </w:t>
      </w:r>
      <w:r w:rsidRPr="00E8262C">
        <w:rPr>
          <w:rFonts w:ascii="Palatino Linotype" w:eastAsia="Palatino Linotype" w:hAnsi="Palatino Linotype" w:cs="Palatino Linotype"/>
          <w:i/>
          <w:sz w:val="22"/>
          <w:szCs w:val="22"/>
        </w:rPr>
        <w:tab/>
      </w:r>
      <w:r w:rsidRPr="00E8262C">
        <w:rPr>
          <w:rFonts w:ascii="Palatino Linotype" w:eastAsia="Palatino Linotype" w:hAnsi="Palatino Linotype" w:cs="Palatino Linotype"/>
          <w:i/>
          <w:sz w:val="22"/>
          <w:szCs w:val="22"/>
        </w:rPr>
        <w:tab/>
      </w:r>
      <w:r w:rsidRPr="00E8262C">
        <w:rPr>
          <w:rFonts w:ascii="Palatino Linotype" w:eastAsia="Palatino Linotype" w:hAnsi="Palatino Linotype" w:cs="Palatino Linotype"/>
          <w:i/>
          <w:sz w:val="22"/>
          <w:szCs w:val="22"/>
        </w:rPr>
        <w:tab/>
        <w:t>0.008</w:t>
      </w:r>
    </w:p>
    <w:p w:rsidR="003239FA" w:rsidRPr="00E8262C" w:rsidRDefault="003239FA">
      <w:pPr>
        <w:ind w:left="851" w:right="851"/>
        <w:jc w:val="both"/>
        <w:rPr>
          <w:rFonts w:ascii="Palatino Linotype" w:eastAsia="Palatino Linotype" w:hAnsi="Palatino Linotype" w:cs="Palatino Linotype"/>
          <w:i/>
          <w:sz w:val="22"/>
          <w:szCs w:val="22"/>
        </w:rPr>
      </w:pPr>
    </w:p>
    <w:p w:rsidR="003239FA" w:rsidRPr="00E8262C" w:rsidRDefault="00D53368">
      <w:pPr>
        <w:ind w:left="851" w:right="851"/>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Para los supuestos establecidos en las fracciones III y IV, el solicitante podrá proporcionar a la autoridad municipal, el medio en el que requiera le sea </w:t>
      </w:r>
      <w:proofErr w:type="gramStart"/>
      <w:r w:rsidRPr="00E8262C">
        <w:rPr>
          <w:rFonts w:ascii="Palatino Linotype" w:eastAsia="Palatino Linotype" w:hAnsi="Palatino Linotype" w:cs="Palatino Linotype"/>
          <w:i/>
          <w:sz w:val="22"/>
          <w:szCs w:val="22"/>
        </w:rPr>
        <w:t>entregada</w:t>
      </w:r>
      <w:proofErr w:type="gramEnd"/>
      <w:r w:rsidRPr="00E8262C">
        <w:rPr>
          <w:rFonts w:ascii="Palatino Linotype" w:eastAsia="Palatino Linotype" w:hAnsi="Palatino Linotype" w:cs="Palatino Linotype"/>
          <w:i/>
          <w:sz w:val="22"/>
          <w:szCs w:val="22"/>
        </w:rPr>
        <w:t xml:space="preserve"> la información pública, en cuyo caso no habrá costo que cubrir.</w:t>
      </w:r>
    </w:p>
    <w:p w:rsidR="003239FA" w:rsidRPr="00E8262C" w:rsidRDefault="003239FA">
      <w:pPr>
        <w:ind w:left="851" w:right="851"/>
        <w:jc w:val="both"/>
        <w:rPr>
          <w:rFonts w:ascii="Palatino Linotype" w:eastAsia="Palatino Linotype" w:hAnsi="Palatino Linotype" w:cs="Palatino Linotype"/>
          <w:i/>
          <w:sz w:val="22"/>
          <w:szCs w:val="22"/>
        </w:rPr>
      </w:pP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rPr>
        <w:t>No obstante, a lo anterior, la información deberá ser entregada sin costo, cuando implique la entrega de no más de veinte hojas simples y para el caso de que el particular proporcione los medios en lo que requiere le sea entregada la información, no será procedente el cobro de la misma.</w:t>
      </w:r>
    </w:p>
    <w:p w:rsidR="003239FA" w:rsidRPr="00E8262C" w:rsidRDefault="003239FA">
      <w:pPr>
        <w:spacing w:line="360" w:lineRule="auto"/>
        <w:jc w:val="both"/>
        <w:rPr>
          <w:rFonts w:ascii="Palatino Linotype" w:eastAsia="Palatino Linotype" w:hAnsi="Palatino Linotype" w:cs="Palatino Linotype"/>
        </w:rPr>
      </w:pPr>
      <w:bookmarkStart w:id="14" w:name="_heading=h.wbo8w9rs5uy5" w:colFirst="0" w:colLast="0"/>
      <w:bookmarkEnd w:id="14"/>
    </w:p>
    <w:p w:rsidR="003239FA" w:rsidRPr="00E8262C" w:rsidRDefault="00D53368">
      <w:pPr>
        <w:spacing w:line="360" w:lineRule="auto"/>
        <w:jc w:val="both"/>
        <w:rPr>
          <w:rFonts w:ascii="Palatino Linotype" w:eastAsia="Palatino Linotype" w:hAnsi="Palatino Linotype" w:cs="Palatino Linotype"/>
        </w:rPr>
      </w:pPr>
      <w:bookmarkStart w:id="15" w:name="_heading=h.o0ckd9ct3r20" w:colFirst="0" w:colLast="0"/>
      <w:bookmarkEnd w:id="15"/>
      <w:r w:rsidRPr="00E8262C">
        <w:rPr>
          <w:rFonts w:ascii="Palatino Linotype" w:eastAsia="Palatino Linotype" w:hAnsi="Palatino Linotype" w:cs="Palatino Linotype"/>
        </w:rPr>
        <w:t xml:space="preserve">Finalmente, con respecto de las manifestaciones realizadas por </w:t>
      </w:r>
      <w:r w:rsidRPr="00E8262C">
        <w:rPr>
          <w:rFonts w:ascii="Palatino Linotype" w:eastAsia="Palatino Linotype" w:hAnsi="Palatino Linotype" w:cs="Palatino Linotype"/>
          <w:b/>
        </w:rPr>
        <w:t>EL RECURRENTE</w:t>
      </w:r>
      <w:r w:rsidRPr="00E8262C">
        <w:rPr>
          <w:rFonts w:ascii="Palatino Linotype" w:eastAsia="Palatino Linotype" w:hAnsi="Palatino Linotype" w:cs="Palatino Linotype"/>
        </w:rPr>
        <w:t xml:space="preserve"> como razones o motivos de inconformidad, consistentes en </w:t>
      </w:r>
      <w:r w:rsidRPr="00E8262C">
        <w:rPr>
          <w:rFonts w:ascii="Palatino Linotype" w:eastAsia="Palatino Linotype" w:hAnsi="Palatino Linotype" w:cs="Palatino Linotype"/>
          <w:i/>
        </w:rPr>
        <w:t xml:space="preserve">“…se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w:t>
      </w:r>
      <w:r w:rsidRPr="00E8262C">
        <w:rPr>
          <w:rFonts w:ascii="Palatino Linotype" w:eastAsia="Palatino Linotype" w:hAnsi="Palatino Linotype" w:cs="Palatino Linotype"/>
        </w:rPr>
        <w:t xml:space="preserve">sin embargo es de precisarse que el Recurso de Revisión </w:t>
      </w:r>
      <w:r w:rsidRPr="00E8262C">
        <w:rPr>
          <w:rFonts w:ascii="Palatino Linotype" w:eastAsia="Palatino Linotype" w:hAnsi="Palatino Linotype" w:cs="Palatino Linotype"/>
        </w:rPr>
        <w:lastRenderedPageBreak/>
        <w:t xml:space="preserve">no es el medio para sancionar, aunado a que este Organismo no advierte de las constancias que obran en el expediente electrónico del SAIMEX elementos suficientes para determinar girar oficio al Órgano Interno de Control. </w:t>
      </w:r>
    </w:p>
    <w:p w:rsidR="003239FA" w:rsidRPr="00E8262C" w:rsidRDefault="003239FA">
      <w:pPr>
        <w:spacing w:line="360" w:lineRule="auto"/>
        <w:ind w:right="49"/>
        <w:jc w:val="both"/>
        <w:rPr>
          <w:rFonts w:ascii="Palatino Linotype" w:eastAsia="Palatino Linotype" w:hAnsi="Palatino Linotype" w:cs="Palatino Linotype"/>
        </w:rPr>
      </w:pPr>
    </w:p>
    <w:p w:rsidR="003239FA" w:rsidRPr="00E8262C" w:rsidRDefault="00D53368">
      <w:pPr>
        <w:spacing w:line="360" w:lineRule="auto"/>
        <w:ind w:right="49"/>
        <w:jc w:val="both"/>
        <w:rPr>
          <w:rFonts w:ascii="Palatino Linotype" w:eastAsia="Palatino Linotype" w:hAnsi="Palatino Linotype" w:cs="Palatino Linotype"/>
        </w:rPr>
      </w:pPr>
      <w:r w:rsidRPr="00E8262C">
        <w:rPr>
          <w:rFonts w:ascii="Palatino Linotype" w:eastAsia="Palatino Linotype" w:hAnsi="Palatino Linotype" w:cs="Palatino Linotype"/>
        </w:rPr>
        <w:t xml:space="preserve">Así, con fundamento en lo previsto en los artículos 5, párrafos trigésimos, trigésimos primero y trigésimos segundos,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rsidR="003239FA" w:rsidRPr="00E8262C" w:rsidRDefault="003239FA">
      <w:pPr>
        <w:spacing w:line="360" w:lineRule="auto"/>
        <w:jc w:val="both"/>
        <w:rPr>
          <w:rFonts w:ascii="Palatino Linotype" w:eastAsia="Palatino Linotype" w:hAnsi="Palatino Linotype" w:cs="Palatino Linotype"/>
        </w:rPr>
      </w:pPr>
    </w:p>
    <w:p w:rsidR="003239FA" w:rsidRPr="00E8262C" w:rsidRDefault="00D53368">
      <w:pPr>
        <w:spacing w:line="360" w:lineRule="auto"/>
        <w:jc w:val="center"/>
        <w:rPr>
          <w:rFonts w:ascii="Palatino Linotype" w:eastAsia="Palatino Linotype" w:hAnsi="Palatino Linotype" w:cs="Palatino Linotype"/>
          <w:b/>
          <w:sz w:val="26"/>
          <w:szCs w:val="26"/>
        </w:rPr>
      </w:pPr>
      <w:r w:rsidRPr="00E8262C">
        <w:rPr>
          <w:rFonts w:ascii="Palatino Linotype" w:eastAsia="Palatino Linotype" w:hAnsi="Palatino Linotype" w:cs="Palatino Linotype"/>
          <w:b/>
          <w:sz w:val="26"/>
          <w:szCs w:val="26"/>
        </w:rPr>
        <w:t>RESUELVE</w:t>
      </w:r>
    </w:p>
    <w:p w:rsidR="003239FA" w:rsidRPr="00E8262C" w:rsidRDefault="003239FA">
      <w:pPr>
        <w:spacing w:line="360" w:lineRule="auto"/>
        <w:jc w:val="center"/>
        <w:rPr>
          <w:rFonts w:ascii="Palatino Linotype" w:eastAsia="Palatino Linotype" w:hAnsi="Palatino Linotype" w:cs="Palatino Linotype"/>
          <w:b/>
          <w:sz w:val="26"/>
          <w:szCs w:val="26"/>
        </w:rPr>
      </w:pPr>
    </w:p>
    <w:p w:rsidR="003239FA" w:rsidRPr="00E8262C" w:rsidRDefault="00D53368">
      <w:pPr>
        <w:spacing w:line="360" w:lineRule="auto"/>
        <w:ind w:right="49"/>
        <w:jc w:val="both"/>
        <w:rPr>
          <w:rFonts w:ascii="Palatino Linotype" w:eastAsia="Palatino Linotype" w:hAnsi="Palatino Linotype" w:cs="Palatino Linotype"/>
        </w:rPr>
      </w:pPr>
      <w:r w:rsidRPr="00E8262C">
        <w:rPr>
          <w:rFonts w:ascii="Palatino Linotype" w:eastAsia="Palatino Linotype" w:hAnsi="Palatino Linotype" w:cs="Palatino Linotype"/>
          <w:b/>
        </w:rPr>
        <w:t xml:space="preserve">PRIMERO. </w:t>
      </w:r>
      <w:r w:rsidRPr="00E8262C">
        <w:rPr>
          <w:rFonts w:ascii="Palatino Linotype" w:eastAsia="Palatino Linotype" w:hAnsi="Palatino Linotype" w:cs="Palatino Linotype"/>
        </w:rPr>
        <w:t xml:space="preserve">Resultan </w:t>
      </w:r>
      <w:r w:rsidRPr="00E8262C">
        <w:rPr>
          <w:rFonts w:ascii="Palatino Linotype" w:eastAsia="Palatino Linotype" w:hAnsi="Palatino Linotype" w:cs="Palatino Linotype"/>
          <w:b/>
        </w:rPr>
        <w:t>parcialmente fundados</w:t>
      </w:r>
      <w:r w:rsidRPr="00E8262C">
        <w:rPr>
          <w:rFonts w:ascii="Palatino Linotype" w:eastAsia="Palatino Linotype" w:hAnsi="Palatino Linotype" w:cs="Palatino Linotype"/>
        </w:rPr>
        <w:t xml:space="preserve"> los motivos de inconformidad hechos valer por </w:t>
      </w:r>
      <w:r w:rsidRPr="00E8262C">
        <w:rPr>
          <w:rFonts w:ascii="Palatino Linotype" w:eastAsia="Palatino Linotype" w:hAnsi="Palatino Linotype" w:cs="Palatino Linotype"/>
          <w:b/>
        </w:rPr>
        <w:t>EL RECURRENTE</w:t>
      </w:r>
      <w:r w:rsidRPr="00E8262C">
        <w:rPr>
          <w:rFonts w:ascii="Palatino Linotype" w:eastAsia="Palatino Linotype" w:hAnsi="Palatino Linotype" w:cs="Palatino Linotype"/>
        </w:rPr>
        <w:t xml:space="preserve"> en los Recursos de Revisión </w:t>
      </w:r>
      <w:r w:rsidRPr="00E8262C">
        <w:rPr>
          <w:rFonts w:ascii="Palatino Linotype" w:eastAsia="Palatino Linotype" w:hAnsi="Palatino Linotype" w:cs="Palatino Linotype"/>
          <w:b/>
          <w:sz w:val="22"/>
          <w:szCs w:val="22"/>
        </w:rPr>
        <w:t xml:space="preserve">10557/INFOEM/IP/RR/2022, 10558/INFOEM/IP/RR/2022, 10559/INFOEM/IP/RR/2022, 10584/INFOEM/IP/RR/2022, 10585/INFOEM/IP/RR/2022, 10586/INFOEM/IP/RR/2022, 10587/INFOEM/IP/RR/2022, 10588/INFOEM/IP/RR/2022, 10589/INFOEM/IP/RR/2022, 10590/INFOEM/IP/RR/2022, 10591/INFOEM/IP/RR/2022, 10592/INFOEM/IP/RR/2022, 10593/INFOEM/IP/RR/2022, 10594/INFOEM/IP/RR/2022, 10595/INFOEM/IP/RR/2022, 10619/INFOEM/IP/RR/2022, 10620/INFOEM/IP/RR/2022, 10621/INFOEM/IP/RR/2022, 10622/INFOEM/IP/RR/2022, 10623/INFOEM/IP/RR/2022, 10624/INFOEM/IP/RR/2022 10625/INFOEM/IP/RR/2022, 10626/INFOEM/IP/RR/2022, 10627/INFOEM/IP/RR/2022, 10628/INFOEM/IP/RR/2022, </w:t>
      </w:r>
      <w:r w:rsidRPr="00E8262C">
        <w:rPr>
          <w:rFonts w:ascii="Palatino Linotype" w:eastAsia="Palatino Linotype" w:hAnsi="Palatino Linotype" w:cs="Palatino Linotype"/>
          <w:b/>
          <w:sz w:val="22"/>
          <w:szCs w:val="22"/>
        </w:rPr>
        <w:lastRenderedPageBreak/>
        <w:t xml:space="preserve">10629/INFOEM/IP/RR/2022, 10630/INFOEM/IP/RR/2022, 10631/INFOEM/IP/RR/2022, 10632/INFOEM/IP/RR/2022, 10634/INFOEM/IP/RR/2022, 10635/INFOEM/IP/RR/2022, 10636/INFOEM/IP/RR/2022, 10637/INFOEM/IP/RR/2022, 10638/INFOEM/IP/RR/2022, 10639/INFOEM/IP/RR/2022, 10640/INFOEM/IP/RR/2022, 10641/INFOEM/IP/RR/2022, 10642/INFOEM/IP/RR/2022, 10643/INFOEM/IP/RR/2022, 10644/INFOEM/IP/RR/2022, 10645/INFOEM/IP/RR/2022, 10646/INFOEM/IP/RR/2022, 10647/INFOEM/IP/RR/2022, 10648/INFOEM/IP/RR/2022, 10649/INFOEM/IP/RR/2022, 10650/INFOEM/IP/RR/2022, 10651/INFOEM/IP/RR/2022, 10652/INFOEM/IP/RR/2022, 10653/INFOEM/IP/RR/2022, 10654/INFOEM/IP/RR/2022, 10655/INFOEM/IP/RR/2022, 10656/INFOEM/IP/RR/2022, 10657/INFOEM/IP/RR/2022, 10658/INFOEM/IP/RR/2022, 10659/INFOEM/IP/RR/2022, 10660/INFOEM/IP/RR/2022, 10661/INFOEM/IP/RR/2022, 10662/INFOEM/IP/RR/2022 10664/INFOEM/IP/RR/2022, 10665/INFOEM/IP/RR/2022, 10666/INFOEM/IP/RR/2022, 10667/INFOEM/IP/RR/2022, 10668/INFOEM/IP/RR/2022, 10669/INFOEM/IP/RR/2022, 10670/INFOEM/IP/RR/2022, 10672/INFOEM/IP/RR/2022, 10673/INFOEM/IP/RR/2022, 10674/INFOEM/IP/RR/2022, 10677/INFOEM/IP/RR/2022, 10678/INFOEM/IP/RR/2022, 10679/INFOEM/IP/RR/2022, 10680/INFOEM/IP/RR/2022, 10681/INFOEM/IP/RR/2022, 10682/INFOEM/IP/RR/2022, 10683/INFOEM/IP/RR/2022, 10684/INFOEM/IP/RR/2022, 10685/INFOEM/IP/RR/2022, 10686/INFOEM/IP/RR/2022, 10687/INFOEM/IP/RR/2022, 10688/INFOEM/IP/RR/2022, 10689/INFOEM/IP/RR/2022, 10690/INFOEM/IP/RR/2022, 10691/INFOEM/IP/RR/2022, 10692/INFOEM/IP/RR/2022, 10693/INFOEM/IP/RR/2022, 10694/INFOEM/IP/RR/2022, 10695/INFOEM/IP/RR/2022, 10696/INFOEM/IP/RR/2022, 10698/INFOEM/IP/RR/2022, 10699/INFOEM/IP/RR/2022, 10700/INFOEM/IP/RR/2022, 10701/INFOEM/IP/RR/2022, 10702/INFOEM/IP/RR/2022, 10703/INFOEM/IP/RR/2022, 10704/INFOEM/IP/RR/2022, 10705/INFOEM/IP/RR/2022, 11051/INFOEM/IP/RR/2022, </w:t>
      </w:r>
      <w:r w:rsidRPr="00E8262C">
        <w:rPr>
          <w:rFonts w:ascii="Palatino Linotype" w:eastAsia="Palatino Linotype" w:hAnsi="Palatino Linotype" w:cs="Palatino Linotype"/>
          <w:b/>
          <w:sz w:val="22"/>
          <w:szCs w:val="22"/>
        </w:rPr>
        <w:lastRenderedPageBreak/>
        <w:t>11052/INFOEM/IP/RR/2022, 11053/INFOEM/IP/RR/2022, 11054/INFOEM/IP/RR/2022, 11055/INFOEM/IP/RR/2022, 11058/INFOEM/IP/RR/2022, 11059/INFOEM/IP/RR/2022, 11077/INFOEM/IP/RR/2022, 11078/INFOEM/IP/RR/2022, 11079/INFOEM/IP/RR/2022, 11080/INFOEM/IP/RR/2022, 11081/INFOEM/IP/RR/2022, 11082/INFOEM/IP/RR/2022, 11083/INFOEM/IP/RR/2022, 11084/INFOEM/IP/RR/2022, 11085/INFOEM/IP/RR/2022, 11086/INFOEM/IP/RR/2022, 11096/INFOEM/IP/RR/2022, 11097/INFOEM/IP/RR/2022, 11098/INFOEM/IP/RR/2022, 11099/INFOEM/IP/RR/2022, 11133/INFOEM/IP/RR/2022, 11134/INFOEM/IP/RR/2022 y 11135/INFOEM/IP/RR/2022,</w:t>
      </w:r>
      <w:r w:rsidRPr="00E8262C">
        <w:rPr>
          <w:rFonts w:ascii="Palatino Linotype" w:eastAsia="Palatino Linotype" w:hAnsi="Palatino Linotype" w:cs="Palatino Linotype"/>
          <w:b/>
        </w:rPr>
        <w:t xml:space="preserve"> </w:t>
      </w:r>
      <w:r w:rsidRPr="00E8262C">
        <w:rPr>
          <w:rFonts w:ascii="Palatino Linotype" w:eastAsia="Palatino Linotype" w:hAnsi="Palatino Linotype" w:cs="Palatino Linotype"/>
        </w:rPr>
        <w:t xml:space="preserve">en términos del considerando </w:t>
      </w:r>
      <w:r w:rsidRPr="00E8262C">
        <w:rPr>
          <w:rFonts w:ascii="Palatino Linotype" w:eastAsia="Palatino Linotype" w:hAnsi="Palatino Linotype" w:cs="Palatino Linotype"/>
          <w:b/>
        </w:rPr>
        <w:t>SEXTO</w:t>
      </w:r>
      <w:r w:rsidRPr="00E8262C">
        <w:rPr>
          <w:rFonts w:ascii="Palatino Linotype" w:eastAsia="Palatino Linotype" w:hAnsi="Palatino Linotype" w:cs="Palatino Linotype"/>
        </w:rPr>
        <w:t>.</w:t>
      </w:r>
    </w:p>
    <w:p w:rsidR="003239FA" w:rsidRPr="00E8262C" w:rsidRDefault="003239FA">
      <w:pPr>
        <w:widowControl w:val="0"/>
        <w:spacing w:line="360" w:lineRule="auto"/>
        <w:jc w:val="both"/>
        <w:rPr>
          <w:rFonts w:ascii="Palatino Linotype" w:eastAsia="Palatino Linotype" w:hAnsi="Palatino Linotype" w:cs="Palatino Linotype"/>
          <w:b/>
        </w:rPr>
      </w:pPr>
    </w:p>
    <w:p w:rsidR="003239FA" w:rsidRPr="00E8262C" w:rsidRDefault="00D53368">
      <w:pPr>
        <w:widowControl w:val="0"/>
        <w:spacing w:line="360" w:lineRule="auto"/>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b/>
        </w:rPr>
        <w:t xml:space="preserve">SEGUNDO. </w:t>
      </w:r>
      <w:r w:rsidRPr="00E8262C">
        <w:rPr>
          <w:rFonts w:ascii="Palatino Linotype" w:eastAsia="Palatino Linotype" w:hAnsi="Palatino Linotype" w:cs="Palatino Linotype"/>
        </w:rPr>
        <w:t xml:space="preserve"> Se </w:t>
      </w:r>
      <w:r w:rsidRPr="00E8262C">
        <w:rPr>
          <w:rFonts w:ascii="Palatino Linotype" w:eastAsia="Palatino Linotype" w:hAnsi="Palatino Linotype" w:cs="Palatino Linotype"/>
          <w:b/>
        </w:rPr>
        <w:t xml:space="preserve">REVOCAN </w:t>
      </w:r>
      <w:r w:rsidRPr="00E8262C">
        <w:rPr>
          <w:rFonts w:ascii="Palatino Linotype" w:eastAsia="Palatino Linotype" w:hAnsi="Palatino Linotype" w:cs="Palatino Linotype"/>
        </w:rPr>
        <w:t xml:space="preserve">las respuestas emitidas por </w:t>
      </w:r>
      <w:r w:rsidRPr="00E8262C">
        <w:rPr>
          <w:rFonts w:ascii="Palatino Linotype" w:eastAsia="Palatino Linotype" w:hAnsi="Palatino Linotype" w:cs="Palatino Linotype"/>
          <w:b/>
        </w:rPr>
        <w:t>EL</w:t>
      </w:r>
      <w:r w:rsidRPr="00E8262C">
        <w:rPr>
          <w:rFonts w:ascii="Palatino Linotype" w:eastAsia="Palatino Linotype" w:hAnsi="Palatino Linotype" w:cs="Palatino Linotype"/>
        </w:rPr>
        <w:t xml:space="preserve"> </w:t>
      </w:r>
      <w:r w:rsidRPr="00E8262C">
        <w:rPr>
          <w:rFonts w:ascii="Palatino Linotype" w:eastAsia="Palatino Linotype" w:hAnsi="Palatino Linotype" w:cs="Palatino Linotype"/>
          <w:b/>
        </w:rPr>
        <w:t>SUJETO OBLIGADO</w:t>
      </w:r>
      <w:r w:rsidRPr="00E8262C">
        <w:rPr>
          <w:rFonts w:ascii="Palatino Linotype" w:eastAsia="Palatino Linotype" w:hAnsi="Palatino Linotype" w:cs="Palatino Linotype"/>
        </w:rPr>
        <w:t xml:space="preserve"> y se ordena que en términos del Considerando </w:t>
      </w:r>
      <w:r w:rsidRPr="00E8262C">
        <w:rPr>
          <w:rFonts w:ascii="Palatino Linotype" w:eastAsia="Palatino Linotype" w:hAnsi="Palatino Linotype" w:cs="Palatino Linotype"/>
          <w:b/>
        </w:rPr>
        <w:t>SEXTO</w:t>
      </w:r>
      <w:r w:rsidRPr="00E8262C">
        <w:rPr>
          <w:rFonts w:ascii="Palatino Linotype" w:eastAsia="Palatino Linotype" w:hAnsi="Palatino Linotype" w:cs="Palatino Linotype"/>
        </w:rPr>
        <w:t xml:space="preserve"> haga entrega al</w:t>
      </w:r>
      <w:r w:rsidRPr="00E8262C">
        <w:rPr>
          <w:rFonts w:ascii="Palatino Linotype" w:eastAsia="Palatino Linotype" w:hAnsi="Palatino Linotype" w:cs="Palatino Linotype"/>
          <w:b/>
        </w:rPr>
        <w:t xml:space="preserve"> RECURRENTE </w:t>
      </w:r>
      <w:r w:rsidRPr="00E8262C">
        <w:rPr>
          <w:rFonts w:ascii="Palatino Linotype" w:eastAsia="Palatino Linotype" w:hAnsi="Palatino Linotype" w:cs="Palatino Linotype"/>
        </w:rPr>
        <w:t xml:space="preserve">mediante el Sistema de Acceso a la Información Mexiquense (SAIMEX), de lo siguiente: </w:t>
      </w:r>
    </w:p>
    <w:p w:rsidR="003239FA" w:rsidRPr="00E8262C" w:rsidRDefault="00D53368">
      <w:pPr>
        <w:tabs>
          <w:tab w:val="left" w:pos="709"/>
        </w:tabs>
        <w:ind w:left="850" w:right="899"/>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El soporte documental, en caso de ser necesario en versión pública, donde consten  el número y nombre de los Clubes de Adultos Mayores reunidos en el mes de enero, febrero, marzo y abril de dos mil veintidós, así como las medidas sanitarias llevadas a </w:t>
      </w:r>
      <w:r w:rsidRPr="00CF4E00">
        <w:rPr>
          <w:rFonts w:ascii="Palatino Linotype" w:eastAsia="Palatino Linotype" w:hAnsi="Palatino Linotype" w:cs="Palatino Linotype"/>
          <w:i/>
          <w:sz w:val="22"/>
          <w:szCs w:val="22"/>
        </w:rPr>
        <w:t xml:space="preserve">cabo y el listado de </w:t>
      </w:r>
      <w:r w:rsidR="00E8262C" w:rsidRPr="00CF4E00">
        <w:rPr>
          <w:rFonts w:ascii="Palatino Linotype" w:eastAsia="Palatino Linotype" w:hAnsi="Palatino Linotype" w:cs="Palatino Linotype"/>
          <w:i/>
          <w:sz w:val="22"/>
          <w:szCs w:val="22"/>
        </w:rPr>
        <w:t xml:space="preserve">las </w:t>
      </w:r>
      <w:r w:rsidRPr="00CF4E00">
        <w:rPr>
          <w:rFonts w:ascii="Palatino Linotype" w:eastAsia="Palatino Linotype" w:hAnsi="Palatino Linotype" w:cs="Palatino Linotype"/>
          <w:i/>
          <w:sz w:val="22"/>
          <w:szCs w:val="22"/>
        </w:rPr>
        <w:t>personas asistentes a dichos clubes.</w:t>
      </w:r>
      <w:r w:rsidRPr="00E8262C">
        <w:rPr>
          <w:rFonts w:ascii="Palatino Linotype" w:eastAsia="Palatino Linotype" w:hAnsi="Palatino Linotype" w:cs="Palatino Linotype"/>
          <w:i/>
          <w:sz w:val="22"/>
          <w:szCs w:val="22"/>
        </w:rPr>
        <w:t xml:space="preserve"> </w:t>
      </w:r>
    </w:p>
    <w:p w:rsidR="003239FA" w:rsidRPr="00E8262C" w:rsidRDefault="003239FA">
      <w:pPr>
        <w:tabs>
          <w:tab w:val="left" w:pos="709"/>
        </w:tabs>
        <w:ind w:left="850" w:right="899"/>
        <w:jc w:val="both"/>
        <w:rPr>
          <w:rFonts w:ascii="Palatino Linotype" w:eastAsia="Palatino Linotype" w:hAnsi="Palatino Linotype" w:cs="Palatino Linotype"/>
          <w:i/>
          <w:sz w:val="22"/>
          <w:szCs w:val="22"/>
        </w:rPr>
      </w:pPr>
    </w:p>
    <w:p w:rsidR="003239FA" w:rsidRPr="00E8262C" w:rsidRDefault="00D53368">
      <w:pPr>
        <w:tabs>
          <w:tab w:val="left" w:pos="709"/>
        </w:tabs>
        <w:ind w:left="850" w:right="899"/>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Si las personas asistentes no hubiesen recibido recurso público alguno, </w:t>
      </w:r>
      <w:r w:rsidRPr="00E8262C">
        <w:rPr>
          <w:rFonts w:ascii="Palatino Linotype" w:eastAsia="Palatino Linotype" w:hAnsi="Palatino Linotype" w:cs="Palatino Linotype"/>
          <w:b/>
          <w:i/>
          <w:sz w:val="22"/>
          <w:szCs w:val="22"/>
        </w:rPr>
        <w:t>EL SUJETO OBLIGADO</w:t>
      </w:r>
      <w:r w:rsidRPr="00E8262C">
        <w:rPr>
          <w:rFonts w:ascii="Palatino Linotype" w:eastAsia="Palatino Linotype" w:hAnsi="Palatino Linotype" w:cs="Palatino Linotype"/>
          <w:i/>
          <w:sz w:val="22"/>
          <w:szCs w:val="22"/>
        </w:rPr>
        <w:t xml:space="preserve"> deberá hacer entrega del acuerdo debidamente fundado y motivado donde se clasifique la información a sus nombres como confidencial. </w:t>
      </w:r>
    </w:p>
    <w:p w:rsidR="003239FA" w:rsidRPr="00E8262C" w:rsidRDefault="003239FA">
      <w:pPr>
        <w:tabs>
          <w:tab w:val="left" w:pos="709"/>
        </w:tabs>
        <w:ind w:right="899"/>
        <w:jc w:val="both"/>
        <w:rPr>
          <w:rFonts w:ascii="Palatino Linotype" w:eastAsia="Palatino Linotype" w:hAnsi="Palatino Linotype" w:cs="Palatino Linotype"/>
          <w:i/>
          <w:sz w:val="22"/>
          <w:szCs w:val="22"/>
        </w:rPr>
      </w:pPr>
    </w:p>
    <w:p w:rsidR="003239FA" w:rsidRPr="00E8262C" w:rsidRDefault="00D53368">
      <w:pPr>
        <w:tabs>
          <w:tab w:val="left" w:pos="709"/>
        </w:tabs>
        <w:ind w:left="850" w:right="899"/>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Debiendo notificar al </w:t>
      </w:r>
      <w:r w:rsidRPr="00E8262C">
        <w:rPr>
          <w:rFonts w:ascii="Palatino Linotype" w:eastAsia="Palatino Linotype" w:hAnsi="Palatino Linotype" w:cs="Palatino Linotype"/>
          <w:b/>
          <w:i/>
          <w:sz w:val="22"/>
          <w:szCs w:val="22"/>
        </w:rPr>
        <w:t>RECURRENTE</w:t>
      </w:r>
      <w:r w:rsidRPr="00E8262C">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rsidR="003239FA" w:rsidRPr="00E8262C" w:rsidRDefault="003239FA">
      <w:pPr>
        <w:tabs>
          <w:tab w:val="left" w:pos="709"/>
        </w:tabs>
        <w:ind w:left="850" w:right="899"/>
        <w:jc w:val="both"/>
        <w:rPr>
          <w:rFonts w:ascii="Palatino Linotype" w:eastAsia="Palatino Linotype" w:hAnsi="Palatino Linotype" w:cs="Palatino Linotype"/>
          <w:i/>
          <w:sz w:val="22"/>
          <w:szCs w:val="22"/>
        </w:rPr>
      </w:pPr>
    </w:p>
    <w:p w:rsidR="003239FA" w:rsidRPr="00E8262C" w:rsidRDefault="00D53368">
      <w:pPr>
        <w:tabs>
          <w:tab w:val="left" w:pos="709"/>
        </w:tabs>
        <w:ind w:left="850" w:right="899"/>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 xml:space="preserve">Si para alguno de los días no se haya generado información, bastará con que así lo manifieste </w:t>
      </w:r>
      <w:r w:rsidRPr="00E8262C">
        <w:rPr>
          <w:rFonts w:ascii="Palatino Linotype" w:eastAsia="Palatino Linotype" w:hAnsi="Palatino Linotype" w:cs="Palatino Linotype"/>
          <w:b/>
          <w:i/>
          <w:sz w:val="22"/>
          <w:szCs w:val="22"/>
        </w:rPr>
        <w:t>EL SUJETO OBLIGADO</w:t>
      </w:r>
      <w:r w:rsidRPr="00E8262C">
        <w:rPr>
          <w:rFonts w:ascii="Palatino Linotype" w:eastAsia="Palatino Linotype" w:hAnsi="Palatino Linotype" w:cs="Palatino Linotype"/>
          <w:i/>
          <w:sz w:val="22"/>
          <w:szCs w:val="22"/>
        </w:rPr>
        <w:t xml:space="preserve"> de forma fundada y motivada. </w:t>
      </w:r>
    </w:p>
    <w:p w:rsidR="003239FA" w:rsidRPr="00E8262C" w:rsidRDefault="003239FA">
      <w:pPr>
        <w:tabs>
          <w:tab w:val="left" w:pos="709"/>
        </w:tabs>
        <w:ind w:left="850" w:right="899"/>
        <w:jc w:val="both"/>
        <w:rPr>
          <w:rFonts w:ascii="Palatino Linotype" w:eastAsia="Palatino Linotype" w:hAnsi="Palatino Linotype" w:cs="Palatino Linotype"/>
          <w:i/>
          <w:sz w:val="22"/>
          <w:szCs w:val="22"/>
        </w:rPr>
      </w:pPr>
    </w:p>
    <w:p w:rsidR="003239FA" w:rsidRPr="00E8262C" w:rsidRDefault="00D53368">
      <w:pPr>
        <w:tabs>
          <w:tab w:val="left" w:pos="709"/>
        </w:tabs>
        <w:ind w:left="850" w:right="899"/>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lastRenderedPageBreak/>
        <w:t xml:space="preserve">En caso de existir un impedimento justificado para la entrega vía SAIMEX, el </w:t>
      </w:r>
      <w:r w:rsidRPr="00E8262C">
        <w:rPr>
          <w:rFonts w:ascii="Palatino Linotype" w:eastAsia="Palatino Linotype" w:hAnsi="Palatino Linotype" w:cs="Palatino Linotype"/>
          <w:b/>
          <w:i/>
          <w:sz w:val="22"/>
          <w:szCs w:val="22"/>
        </w:rPr>
        <w:t>SUJETO OBLIGADO</w:t>
      </w:r>
      <w:r w:rsidRPr="00E8262C">
        <w:rPr>
          <w:rFonts w:ascii="Palatino Linotype" w:eastAsia="Palatino Linotype" w:hAnsi="Palatino Linotype" w:cs="Palatino Linotype"/>
          <w:i/>
          <w:sz w:val="22"/>
          <w:szCs w:val="22"/>
        </w:rPr>
        <w:t xml:space="preserve"> deberá privilegiar la modalidad electrónica, previo pago de los derechos correspondientes en medios como, correo electrónico (este se debe entregar sin costo), disco compacto, dispositivo de almacenamiento USB. En caso de que exista imposibilidad fundada podrá ofrecer otras modalidades como copias simples o certificadas, con posibilidad de entrega en la Unidad de Transparencia o a domicilio por correo certificado.</w:t>
      </w:r>
    </w:p>
    <w:p w:rsidR="003239FA" w:rsidRPr="00E8262C" w:rsidRDefault="003239FA">
      <w:pPr>
        <w:tabs>
          <w:tab w:val="left" w:pos="709"/>
        </w:tabs>
        <w:ind w:left="850" w:right="899"/>
        <w:jc w:val="both"/>
        <w:rPr>
          <w:rFonts w:ascii="Palatino Linotype" w:eastAsia="Palatino Linotype" w:hAnsi="Palatino Linotype" w:cs="Palatino Linotype"/>
          <w:i/>
          <w:sz w:val="22"/>
          <w:szCs w:val="22"/>
        </w:rPr>
      </w:pPr>
    </w:p>
    <w:p w:rsidR="003239FA" w:rsidRPr="00E8262C" w:rsidRDefault="00D53368">
      <w:pPr>
        <w:tabs>
          <w:tab w:val="left" w:pos="709"/>
        </w:tabs>
        <w:ind w:left="850" w:right="899"/>
        <w:jc w:val="both"/>
        <w:rPr>
          <w:rFonts w:ascii="Palatino Linotype" w:eastAsia="Palatino Linotype" w:hAnsi="Palatino Linotype" w:cs="Palatino Linotype"/>
          <w:i/>
          <w:sz w:val="22"/>
          <w:szCs w:val="22"/>
        </w:rPr>
      </w:pPr>
      <w:r w:rsidRPr="00E8262C">
        <w:rPr>
          <w:rFonts w:ascii="Palatino Linotype" w:eastAsia="Palatino Linotype" w:hAnsi="Palatino Linotype" w:cs="Palatino Linotype"/>
          <w:i/>
          <w:sz w:val="22"/>
          <w:szCs w:val="22"/>
        </w:rPr>
        <w:t>En el supuesto de que el Recurrente proporcione el dispositivo electrónico y acuda por la información a la Unidad de Transparencia, la entrega de la información, será sin costo.</w:t>
      </w:r>
    </w:p>
    <w:p w:rsidR="003239FA" w:rsidRPr="00E8262C" w:rsidRDefault="003239FA">
      <w:pPr>
        <w:tabs>
          <w:tab w:val="left" w:pos="709"/>
        </w:tabs>
        <w:ind w:left="850" w:right="899"/>
        <w:jc w:val="both"/>
        <w:rPr>
          <w:rFonts w:ascii="Palatino Linotype" w:eastAsia="Palatino Linotype" w:hAnsi="Palatino Linotype" w:cs="Palatino Linotype"/>
          <w:i/>
          <w:sz w:val="22"/>
          <w:szCs w:val="22"/>
        </w:rPr>
      </w:pPr>
    </w:p>
    <w:p w:rsidR="003239FA" w:rsidRPr="00E8262C" w:rsidRDefault="003239FA">
      <w:pPr>
        <w:tabs>
          <w:tab w:val="left" w:pos="709"/>
        </w:tabs>
        <w:ind w:right="899"/>
        <w:jc w:val="both"/>
        <w:rPr>
          <w:rFonts w:ascii="Palatino Linotype" w:eastAsia="Palatino Linotype" w:hAnsi="Palatino Linotype" w:cs="Palatino Linotype"/>
          <w:b/>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b/>
        </w:rPr>
        <w:t>TERCERO. Notifíquese</w:t>
      </w:r>
      <w:r w:rsidRPr="00E8262C">
        <w:rPr>
          <w:rFonts w:ascii="Palatino Linotype" w:eastAsia="Palatino Linotype" w:hAnsi="Palatino Linotype" w:cs="Palatino Linotype"/>
          <w:b/>
          <w:i/>
        </w:rPr>
        <w:t xml:space="preserve"> </w:t>
      </w:r>
      <w:r w:rsidRPr="00E8262C">
        <w:rPr>
          <w:rFonts w:ascii="Palatino Linotype" w:eastAsia="Palatino Linotype" w:hAnsi="Palatino Linotype" w:cs="Palatino Linotype"/>
        </w:rPr>
        <w:t>al Titular de la Unidad de Transparencia del</w:t>
      </w:r>
      <w:r w:rsidRPr="00E8262C">
        <w:rPr>
          <w:rFonts w:ascii="Palatino Linotype" w:eastAsia="Palatino Linotype" w:hAnsi="Palatino Linotype" w:cs="Palatino Linotype"/>
          <w:b/>
        </w:rPr>
        <w:t xml:space="preserve"> </w:t>
      </w:r>
      <w:r w:rsidRPr="00E8262C">
        <w:rPr>
          <w:rFonts w:ascii="Palatino Linotype" w:eastAsia="Palatino Linotype" w:hAnsi="Palatino Linotype" w:cs="Palatino Linotype"/>
        </w:rPr>
        <w:t>Sujeto Obligado por medio del Sistema de Acceso a la Información Mexiquense (</w:t>
      </w:r>
      <w:r w:rsidRPr="00E8262C">
        <w:rPr>
          <w:rFonts w:ascii="Palatino Linotype" w:eastAsia="Palatino Linotype" w:hAnsi="Palatino Linotype" w:cs="Palatino Linotype"/>
          <w:b/>
        </w:rPr>
        <w:t>SAIMEX),</w:t>
      </w:r>
      <w:r w:rsidRPr="00E8262C">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treinta días hábiles, debiendo informar a este Instituto en un plazo de tres días hábiles siguientes sobre el cumplimiento dado a la presente resolución. </w:t>
      </w:r>
    </w:p>
    <w:p w:rsidR="003239FA" w:rsidRPr="00E8262C" w:rsidRDefault="003239FA">
      <w:pPr>
        <w:spacing w:line="360" w:lineRule="auto"/>
        <w:jc w:val="both"/>
        <w:rPr>
          <w:rFonts w:ascii="Palatino Linotype" w:eastAsia="Palatino Linotype" w:hAnsi="Palatino Linotype" w:cs="Palatino Linotype"/>
          <w:b/>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b/>
        </w:rPr>
        <w:t xml:space="preserve">CUARTO. </w:t>
      </w:r>
      <w:r w:rsidRPr="00E8262C">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3239FA" w:rsidRPr="00E8262C" w:rsidRDefault="003239FA">
      <w:pPr>
        <w:spacing w:line="360" w:lineRule="auto"/>
        <w:jc w:val="both"/>
        <w:rPr>
          <w:rFonts w:ascii="Palatino Linotype" w:eastAsia="Palatino Linotype" w:hAnsi="Palatino Linotype" w:cs="Palatino Linotype"/>
          <w:b/>
        </w:rPr>
      </w:pPr>
    </w:p>
    <w:p w:rsidR="003239FA" w:rsidRPr="00E8262C" w:rsidRDefault="00D53368">
      <w:pPr>
        <w:spacing w:line="360" w:lineRule="auto"/>
        <w:jc w:val="both"/>
        <w:rPr>
          <w:rFonts w:ascii="Palatino Linotype" w:eastAsia="Palatino Linotype" w:hAnsi="Palatino Linotype" w:cs="Palatino Linotype"/>
        </w:rPr>
      </w:pPr>
      <w:r w:rsidRPr="00E8262C">
        <w:rPr>
          <w:rFonts w:ascii="Palatino Linotype" w:eastAsia="Palatino Linotype" w:hAnsi="Palatino Linotype" w:cs="Palatino Linotype"/>
          <w:b/>
        </w:rPr>
        <w:lastRenderedPageBreak/>
        <w:t xml:space="preserve">QUINTO. Notifíquese </w:t>
      </w:r>
      <w:r w:rsidRPr="00E8262C">
        <w:rPr>
          <w:rFonts w:ascii="Palatino Linotype" w:eastAsia="Palatino Linotype" w:hAnsi="Palatino Linotype" w:cs="Palatino Linotype"/>
        </w:rPr>
        <w:t>la presente resolución al Recurrente mediante el Sistema de Acceso a la Información Mexiquense (SAIMEX) y hágase de su conocimiento que, de conformidad con lo establecido en el artículo 196 de la Ley de Transparencia y Acceso a la Información Pública del Estado de México y Municipios, podrá impugnarla vía juicio de amparo en los términos de las leyes aplicables podrá promover el Juicio de Amparo en los términos de las leyes aplicables.</w:t>
      </w:r>
    </w:p>
    <w:p w:rsidR="003239FA" w:rsidRPr="00E8262C" w:rsidRDefault="003239FA">
      <w:pPr>
        <w:widowControl w:val="0"/>
        <w:spacing w:line="360" w:lineRule="auto"/>
        <w:jc w:val="both"/>
        <w:rPr>
          <w:rFonts w:ascii="Palatino Linotype" w:eastAsia="Palatino Linotype" w:hAnsi="Palatino Linotype" w:cs="Palatino Linotype"/>
        </w:rPr>
      </w:pPr>
    </w:p>
    <w:p w:rsidR="003239FA" w:rsidRPr="00E8262C" w:rsidRDefault="00D53368">
      <w:pPr>
        <w:spacing w:line="360" w:lineRule="auto"/>
        <w:jc w:val="both"/>
        <w:rPr>
          <w:rFonts w:ascii="Palatino Linotype" w:eastAsia="Palatino Linotype" w:hAnsi="Palatino Linotype" w:cs="Palatino Linotype"/>
        </w:rPr>
      </w:pPr>
      <w:bookmarkStart w:id="16" w:name="_heading=h.30j0zll" w:colFirst="0" w:colLast="0"/>
      <w:bookmarkEnd w:id="16"/>
      <w:r w:rsidRPr="00E8262C">
        <w:rPr>
          <w:rFonts w:ascii="Palatino Linotype" w:eastAsia="Palatino Linotype" w:hAnsi="Palatino Linotype" w:cs="Palatino Linotype"/>
        </w:rPr>
        <w:t xml:space="preserve">ASÍ LO RESUELVE, POR </w:t>
      </w:r>
      <w:r w:rsidR="00B02F30">
        <w:rPr>
          <w:rFonts w:ascii="Palatino Linotype" w:eastAsia="Palatino Linotype" w:hAnsi="Palatino Linotype" w:cs="Palatino Linotype"/>
        </w:rPr>
        <w:t>MAYORÍA</w:t>
      </w:r>
      <w:r w:rsidRPr="00E8262C">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B02F30">
        <w:rPr>
          <w:rFonts w:ascii="Palatino Linotype" w:eastAsia="Palatino Linotype" w:hAnsi="Palatino Linotype" w:cs="Palatino Linotype"/>
        </w:rPr>
        <w:t xml:space="preserve"> EMITIENDO VOTO DISIDENTE</w:t>
      </w:r>
      <w:r w:rsidRPr="00E8262C">
        <w:rPr>
          <w:rFonts w:ascii="Palatino Linotype" w:eastAsia="Palatino Linotype" w:hAnsi="Palatino Linotype" w:cs="Palatino Linotype"/>
        </w:rPr>
        <w:t>; EN LA TRIGÉSIMA NOVENA SESIÓN ORDINARIA CELEBRADA EL CUATRO DE NOVIEMBRE  DE DOS MIL VEINTIDÓS, ANTE EL SECRETARIO TÉCNICO DEL PLENO, ALEXIS TAPIA RAMÍREZ.</w:t>
      </w:r>
    </w:p>
    <w:p w:rsidR="003239FA" w:rsidRDefault="00D53368">
      <w:pPr>
        <w:spacing w:line="360" w:lineRule="auto"/>
        <w:jc w:val="both"/>
        <w:rPr>
          <w:rFonts w:ascii="Palatino Linotype" w:eastAsia="Palatino Linotype" w:hAnsi="Palatino Linotype" w:cs="Palatino Linotype"/>
          <w:sz w:val="14"/>
          <w:szCs w:val="14"/>
        </w:rPr>
      </w:pPr>
      <w:r w:rsidRPr="00E8262C">
        <w:rPr>
          <w:rFonts w:ascii="Palatino Linotype" w:eastAsia="Palatino Linotype" w:hAnsi="Palatino Linotype" w:cs="Palatino Linotype"/>
          <w:sz w:val="14"/>
          <w:szCs w:val="14"/>
        </w:rPr>
        <w:t>SCMM/BLA/DEMF/PMRE</w:t>
      </w:r>
    </w:p>
    <w:p w:rsidR="003239FA" w:rsidRDefault="00D53368">
      <w:pPr>
        <w:rPr>
          <w:rFonts w:ascii="Palatino Linotype" w:eastAsia="Palatino Linotype" w:hAnsi="Palatino Linotype" w:cs="Palatino Linotype"/>
        </w:rPr>
      </w:pPr>
      <w:r>
        <w:br w:type="page"/>
      </w:r>
    </w:p>
    <w:p w:rsidR="003239FA" w:rsidRDefault="003239FA">
      <w:pPr>
        <w:spacing w:line="360" w:lineRule="auto"/>
        <w:jc w:val="both"/>
        <w:rPr>
          <w:rFonts w:ascii="Palatino Linotype" w:eastAsia="Palatino Linotype" w:hAnsi="Palatino Linotype" w:cs="Palatino Linotype"/>
        </w:rPr>
      </w:pPr>
    </w:p>
    <w:p w:rsidR="003239FA" w:rsidRDefault="003239FA">
      <w:pPr>
        <w:spacing w:line="360" w:lineRule="auto"/>
        <w:jc w:val="both"/>
        <w:rPr>
          <w:rFonts w:ascii="Palatino Linotype" w:eastAsia="Palatino Linotype" w:hAnsi="Palatino Linotype" w:cs="Palatino Linotype"/>
        </w:rPr>
      </w:pPr>
    </w:p>
    <w:p w:rsidR="003239FA" w:rsidRDefault="003239FA">
      <w:pPr>
        <w:spacing w:line="360" w:lineRule="auto"/>
        <w:jc w:val="both"/>
        <w:rPr>
          <w:rFonts w:ascii="Palatino Linotype" w:eastAsia="Palatino Linotype" w:hAnsi="Palatino Linotype" w:cs="Palatino Linotype"/>
        </w:rPr>
      </w:pPr>
    </w:p>
    <w:p w:rsidR="003239FA" w:rsidRDefault="003239FA">
      <w:pPr>
        <w:spacing w:line="360" w:lineRule="auto"/>
        <w:jc w:val="both"/>
        <w:rPr>
          <w:rFonts w:ascii="Palatino Linotype" w:eastAsia="Palatino Linotype" w:hAnsi="Palatino Linotype" w:cs="Palatino Linotype"/>
        </w:rPr>
      </w:pPr>
    </w:p>
    <w:p w:rsidR="003239FA" w:rsidRDefault="003239FA">
      <w:pPr>
        <w:spacing w:line="360" w:lineRule="auto"/>
        <w:jc w:val="both"/>
        <w:rPr>
          <w:rFonts w:ascii="Palatino Linotype" w:eastAsia="Palatino Linotype" w:hAnsi="Palatino Linotype" w:cs="Palatino Linotype"/>
        </w:rPr>
      </w:pPr>
    </w:p>
    <w:p w:rsidR="003239FA" w:rsidRDefault="003239FA">
      <w:pPr>
        <w:spacing w:line="360" w:lineRule="auto"/>
        <w:jc w:val="both"/>
        <w:rPr>
          <w:rFonts w:ascii="Palatino Linotype" w:eastAsia="Palatino Linotype" w:hAnsi="Palatino Linotype" w:cs="Palatino Linotype"/>
        </w:rPr>
      </w:pPr>
    </w:p>
    <w:p w:rsidR="003239FA" w:rsidRDefault="003239FA">
      <w:pPr>
        <w:spacing w:line="360" w:lineRule="auto"/>
        <w:jc w:val="both"/>
        <w:rPr>
          <w:rFonts w:ascii="Palatino Linotype" w:eastAsia="Palatino Linotype" w:hAnsi="Palatino Linotype" w:cs="Palatino Linotype"/>
        </w:rPr>
      </w:pPr>
    </w:p>
    <w:p w:rsidR="003239FA" w:rsidRDefault="003239FA">
      <w:pPr>
        <w:spacing w:line="360" w:lineRule="auto"/>
        <w:jc w:val="both"/>
        <w:rPr>
          <w:rFonts w:ascii="Palatino Linotype" w:eastAsia="Palatino Linotype" w:hAnsi="Palatino Linotype" w:cs="Palatino Linotype"/>
        </w:rPr>
      </w:pPr>
    </w:p>
    <w:p w:rsidR="003239FA" w:rsidRDefault="003239FA">
      <w:pPr>
        <w:spacing w:line="360" w:lineRule="auto"/>
        <w:jc w:val="both"/>
        <w:rPr>
          <w:rFonts w:ascii="Palatino Linotype" w:eastAsia="Palatino Linotype" w:hAnsi="Palatino Linotype" w:cs="Palatino Linotype"/>
        </w:rPr>
      </w:pPr>
    </w:p>
    <w:p w:rsidR="003239FA" w:rsidRDefault="003239FA">
      <w:pPr>
        <w:spacing w:line="360" w:lineRule="auto"/>
        <w:jc w:val="both"/>
        <w:rPr>
          <w:rFonts w:ascii="Palatino Linotype" w:eastAsia="Palatino Linotype" w:hAnsi="Palatino Linotype" w:cs="Palatino Linotype"/>
        </w:rPr>
      </w:pPr>
    </w:p>
    <w:p w:rsidR="003239FA" w:rsidRDefault="003239FA">
      <w:pPr>
        <w:spacing w:line="360" w:lineRule="auto"/>
        <w:jc w:val="both"/>
        <w:rPr>
          <w:rFonts w:ascii="Palatino Linotype" w:eastAsia="Palatino Linotype" w:hAnsi="Palatino Linotype" w:cs="Palatino Linotype"/>
        </w:rPr>
      </w:pPr>
    </w:p>
    <w:p w:rsidR="003239FA" w:rsidRDefault="003239FA">
      <w:pPr>
        <w:spacing w:line="360" w:lineRule="auto"/>
        <w:jc w:val="both"/>
        <w:rPr>
          <w:rFonts w:ascii="Palatino Linotype" w:eastAsia="Palatino Linotype" w:hAnsi="Palatino Linotype" w:cs="Palatino Linotype"/>
        </w:rPr>
      </w:pPr>
    </w:p>
    <w:p w:rsidR="003239FA" w:rsidRDefault="003239FA">
      <w:pPr>
        <w:spacing w:line="360" w:lineRule="auto"/>
        <w:jc w:val="both"/>
        <w:rPr>
          <w:rFonts w:ascii="Palatino Linotype" w:eastAsia="Palatino Linotype" w:hAnsi="Palatino Linotype" w:cs="Palatino Linotype"/>
        </w:rPr>
      </w:pPr>
    </w:p>
    <w:p w:rsidR="003239FA" w:rsidRDefault="003239FA">
      <w:pPr>
        <w:spacing w:line="360" w:lineRule="auto"/>
        <w:jc w:val="both"/>
        <w:rPr>
          <w:rFonts w:ascii="Palatino Linotype" w:eastAsia="Palatino Linotype" w:hAnsi="Palatino Linotype" w:cs="Palatino Linotype"/>
        </w:rPr>
      </w:pPr>
    </w:p>
    <w:p w:rsidR="003239FA" w:rsidRDefault="003239FA">
      <w:pPr>
        <w:spacing w:line="360" w:lineRule="auto"/>
        <w:jc w:val="both"/>
        <w:rPr>
          <w:rFonts w:ascii="Palatino Linotype" w:eastAsia="Palatino Linotype" w:hAnsi="Palatino Linotype" w:cs="Palatino Linotype"/>
        </w:rPr>
      </w:pPr>
    </w:p>
    <w:p w:rsidR="003239FA" w:rsidRDefault="003239FA">
      <w:pPr>
        <w:spacing w:line="360" w:lineRule="auto"/>
        <w:jc w:val="both"/>
        <w:rPr>
          <w:rFonts w:ascii="Palatino Linotype" w:eastAsia="Palatino Linotype" w:hAnsi="Palatino Linotype" w:cs="Palatino Linotype"/>
        </w:rPr>
      </w:pPr>
    </w:p>
    <w:p w:rsidR="003239FA" w:rsidRDefault="003239FA">
      <w:pPr>
        <w:spacing w:line="360" w:lineRule="auto"/>
        <w:jc w:val="both"/>
        <w:rPr>
          <w:rFonts w:ascii="Palatino Linotype" w:eastAsia="Palatino Linotype" w:hAnsi="Palatino Linotype" w:cs="Palatino Linotype"/>
        </w:rPr>
      </w:pPr>
    </w:p>
    <w:p w:rsidR="003239FA" w:rsidRDefault="003239FA">
      <w:pPr>
        <w:spacing w:line="360" w:lineRule="auto"/>
        <w:jc w:val="both"/>
        <w:rPr>
          <w:rFonts w:ascii="Palatino Linotype" w:eastAsia="Palatino Linotype" w:hAnsi="Palatino Linotype" w:cs="Palatino Linotype"/>
        </w:rPr>
      </w:pPr>
    </w:p>
    <w:sectPr w:rsidR="003239FA">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B54" w:rsidRDefault="00452B54">
      <w:r>
        <w:separator/>
      </w:r>
    </w:p>
  </w:endnote>
  <w:endnote w:type="continuationSeparator" w:id="0">
    <w:p w:rsidR="00452B54" w:rsidRDefault="00452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9FA" w:rsidRDefault="00D5336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E52A75">
      <w:rPr>
        <w:rFonts w:ascii="Palatino Linotype" w:eastAsia="Palatino Linotype" w:hAnsi="Palatino Linotype" w:cs="Palatino Linotype"/>
        <w:noProof/>
        <w:color w:val="000000"/>
        <w:sz w:val="22"/>
        <w:szCs w:val="22"/>
      </w:rPr>
      <w:t>105</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E52A75">
      <w:rPr>
        <w:rFonts w:ascii="Palatino Linotype" w:eastAsia="Palatino Linotype" w:hAnsi="Palatino Linotype" w:cs="Palatino Linotype"/>
        <w:noProof/>
        <w:color w:val="000000"/>
        <w:sz w:val="22"/>
        <w:szCs w:val="22"/>
      </w:rPr>
      <w:t>106</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9FA" w:rsidRDefault="00D53368">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E52A75">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E52A75">
      <w:rPr>
        <w:rFonts w:ascii="Palatino Linotype" w:eastAsia="Palatino Linotype" w:hAnsi="Palatino Linotype" w:cs="Palatino Linotype"/>
        <w:noProof/>
        <w:color w:val="000000"/>
        <w:sz w:val="22"/>
        <w:szCs w:val="22"/>
      </w:rPr>
      <w:t>106</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B54" w:rsidRDefault="00452B54">
      <w:r>
        <w:separator/>
      </w:r>
    </w:p>
  </w:footnote>
  <w:footnote w:type="continuationSeparator" w:id="0">
    <w:p w:rsidR="00452B54" w:rsidRDefault="00452B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9FA" w:rsidRDefault="00E52A75">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9FA" w:rsidRDefault="00E52A75">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138.05pt;margin-top:-111.95pt;width:540pt;height:10in;z-index:-251659776;mso-position-horizontal:absolute;mso-position-horizontal-relative:margin;mso-position-vertical:absolute;mso-position-vertical-relative:margin">
          <v:imagedata r:id="rId1" o:title="image3" croptop="-8531f" cropbottom="8531f" cropleft="19205f" cropright="-19205f"/>
          <w10:wrap anchorx="margin" anchory="margin"/>
        </v:shape>
      </w:pict>
    </w:r>
  </w:p>
  <w:tbl>
    <w:tblPr>
      <w:tblStyle w:val="affffffffff1"/>
      <w:tblW w:w="9534" w:type="dxa"/>
      <w:tblInd w:w="-257" w:type="dxa"/>
      <w:tblLayout w:type="fixed"/>
      <w:tblLook w:val="0400" w:firstRow="0" w:lastRow="0" w:firstColumn="0" w:lastColumn="0" w:noHBand="0" w:noVBand="1"/>
    </w:tblPr>
    <w:tblGrid>
      <w:gridCol w:w="3261"/>
      <w:gridCol w:w="2551"/>
      <w:gridCol w:w="3722"/>
    </w:tblGrid>
    <w:tr w:rsidR="003239FA">
      <w:tc>
        <w:tcPr>
          <w:tcW w:w="3261" w:type="dxa"/>
          <w:vMerge w:val="restart"/>
        </w:tcPr>
        <w:p w:rsidR="003239FA" w:rsidRDefault="00D53368">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extent cx="1692162" cy="852673"/>
                <wp:effectExtent l="0" t="0" r="0" b="0"/>
                <wp:docPr id="2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rsidR="003239FA" w:rsidRDefault="00D53368">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rsidR="003239FA" w:rsidRDefault="00D53368">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10557/INFOEM/IP/RR/2022 y acumulados </w:t>
          </w:r>
        </w:p>
      </w:tc>
    </w:tr>
    <w:tr w:rsidR="003239FA">
      <w:tc>
        <w:tcPr>
          <w:tcW w:w="3261" w:type="dxa"/>
          <w:vMerge/>
        </w:tcPr>
        <w:p w:rsidR="003239FA" w:rsidRDefault="003239F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rsidR="003239FA" w:rsidRDefault="00D53368">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rsidR="003239FA" w:rsidRDefault="00D53368">
          <w:pPr>
            <w:jc w:val="both"/>
            <w:rPr>
              <w:rFonts w:ascii="Palatino Linotype" w:eastAsia="Palatino Linotype" w:hAnsi="Palatino Linotype" w:cs="Palatino Linotype"/>
              <w:b/>
            </w:rPr>
          </w:pPr>
          <w:r>
            <w:rPr>
              <w:rFonts w:ascii="Palatino Linotype" w:eastAsia="Palatino Linotype" w:hAnsi="Palatino Linotype" w:cs="Palatino Linotype"/>
              <w:b/>
            </w:rPr>
            <w:t>Sistema Municipal para el Desarrollo Integral de la Familia de Metepec</w:t>
          </w:r>
        </w:p>
      </w:tc>
    </w:tr>
    <w:tr w:rsidR="003239FA">
      <w:trPr>
        <w:trHeight w:val="228"/>
      </w:trPr>
      <w:tc>
        <w:tcPr>
          <w:tcW w:w="3261" w:type="dxa"/>
          <w:vMerge/>
        </w:tcPr>
        <w:p w:rsidR="003239FA" w:rsidRDefault="003239F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rsidR="003239FA" w:rsidRDefault="00D53368">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rsidR="003239FA" w:rsidRDefault="00D53368">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rsidR="003239FA" w:rsidRDefault="003239FA">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9FA" w:rsidRDefault="00E52A75">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margin-left:0;margin-top:0;width:540pt;height:10in;z-index:-251658752;mso-position-horizontal:center;mso-position-horizontal-relative:margin;mso-position-vertical:center;mso-position-vertical-relative:margin">
          <v:imagedata r:id="rId1" o:title="image3"/>
          <w10:wrap anchorx="margin" anchory="margin"/>
        </v:shape>
      </w:pict>
    </w:r>
  </w:p>
  <w:tbl>
    <w:tblPr>
      <w:tblStyle w:val="affffffffff2"/>
      <w:tblW w:w="9900" w:type="dxa"/>
      <w:tblInd w:w="-948" w:type="dxa"/>
      <w:tblLayout w:type="fixed"/>
      <w:tblLook w:val="0400" w:firstRow="0" w:lastRow="0" w:firstColumn="0" w:lastColumn="0" w:noHBand="0" w:noVBand="1"/>
    </w:tblPr>
    <w:tblGrid>
      <w:gridCol w:w="3805"/>
      <w:gridCol w:w="3000"/>
      <w:gridCol w:w="3095"/>
    </w:tblGrid>
    <w:tr w:rsidR="003239FA">
      <w:tc>
        <w:tcPr>
          <w:tcW w:w="3805" w:type="dxa"/>
          <w:vMerge w:val="restart"/>
          <w:shd w:val="clear" w:color="auto" w:fill="auto"/>
        </w:tcPr>
        <w:p w:rsidR="003239FA" w:rsidRDefault="00D53368">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extent cx="1692162" cy="852673"/>
                <wp:effectExtent l="0" t="0" r="0" b="0"/>
                <wp:docPr id="2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rsidR="003239FA" w:rsidRDefault="00D53368">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rsidR="003239FA" w:rsidRDefault="00D53368">
          <w:pPr>
            <w:jc w:val="both"/>
            <w:rPr>
              <w:rFonts w:ascii="Palatino Linotype" w:eastAsia="Palatino Linotype" w:hAnsi="Palatino Linotype" w:cs="Palatino Linotype"/>
              <w:b/>
            </w:rPr>
          </w:pPr>
          <w:r>
            <w:rPr>
              <w:rFonts w:ascii="Palatino Linotype" w:eastAsia="Palatino Linotype" w:hAnsi="Palatino Linotype" w:cs="Palatino Linotype"/>
              <w:b/>
            </w:rPr>
            <w:t>10557/INFOEM/IP/RR/2022 y acumulados</w:t>
          </w:r>
        </w:p>
      </w:tc>
    </w:tr>
    <w:tr w:rsidR="003239FA">
      <w:tc>
        <w:tcPr>
          <w:tcW w:w="3805" w:type="dxa"/>
          <w:vMerge/>
          <w:shd w:val="clear" w:color="auto" w:fill="auto"/>
        </w:tcPr>
        <w:p w:rsidR="003239FA" w:rsidRDefault="003239F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3239FA" w:rsidRDefault="00D53368">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rsidR="003239FA" w:rsidRDefault="003239FA">
          <w:pPr>
            <w:jc w:val="both"/>
            <w:rPr>
              <w:rFonts w:ascii="Palatino Linotype" w:eastAsia="Palatino Linotype" w:hAnsi="Palatino Linotype" w:cs="Palatino Linotype"/>
              <w:b/>
            </w:rPr>
          </w:pPr>
        </w:p>
      </w:tc>
    </w:tr>
    <w:tr w:rsidR="003239FA">
      <w:trPr>
        <w:trHeight w:val="228"/>
      </w:trPr>
      <w:tc>
        <w:tcPr>
          <w:tcW w:w="3805" w:type="dxa"/>
          <w:vMerge/>
          <w:shd w:val="clear" w:color="auto" w:fill="auto"/>
        </w:tcPr>
        <w:p w:rsidR="003239FA" w:rsidRDefault="003239F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3239FA" w:rsidRDefault="00D53368">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rsidR="003239FA" w:rsidRDefault="00D53368">
          <w:pPr>
            <w:jc w:val="both"/>
            <w:rPr>
              <w:rFonts w:ascii="Palatino Linotype" w:eastAsia="Palatino Linotype" w:hAnsi="Palatino Linotype" w:cs="Palatino Linotype"/>
              <w:b/>
            </w:rPr>
          </w:pPr>
          <w:r>
            <w:rPr>
              <w:rFonts w:ascii="Palatino Linotype" w:eastAsia="Palatino Linotype" w:hAnsi="Palatino Linotype" w:cs="Palatino Linotype"/>
              <w:b/>
            </w:rPr>
            <w:t>Sistema Municipal para el Desarrollo Integral de la Familia de Metepec</w:t>
          </w:r>
        </w:p>
      </w:tc>
    </w:tr>
    <w:tr w:rsidR="003239FA">
      <w:tc>
        <w:tcPr>
          <w:tcW w:w="3805" w:type="dxa"/>
          <w:vMerge/>
          <w:shd w:val="clear" w:color="auto" w:fill="auto"/>
        </w:tcPr>
        <w:p w:rsidR="003239FA" w:rsidRDefault="003239FA">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3239FA" w:rsidRDefault="00D53368">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rsidR="003239FA" w:rsidRDefault="00D53368">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rsidR="003239FA" w:rsidRDefault="003239FA">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EA747E"/>
    <w:multiLevelType w:val="multilevel"/>
    <w:tmpl w:val="CB96B1A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6E463892"/>
    <w:multiLevelType w:val="multilevel"/>
    <w:tmpl w:val="D332BEAE"/>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w:eastAsia="Noto Sans" w:hAnsi="Noto Sans" w:cs="Noto Sans"/>
      </w:rPr>
    </w:lvl>
    <w:lvl w:ilvl="3">
      <w:start w:val="1"/>
      <w:numFmt w:val="decimal"/>
      <w:lvlText w:val=""/>
      <w:lvlJc w:val="left"/>
      <w:pPr>
        <w:ind w:left="2520" w:hanging="360"/>
      </w:pPr>
      <w:rPr>
        <w:rFonts w:ascii="Noto Sans" w:eastAsia="Noto Sans" w:hAnsi="Noto Sans" w:cs="Noto San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w:eastAsia="Noto Sans" w:hAnsi="Noto Sans" w:cs="Noto Sans"/>
      </w:rPr>
    </w:lvl>
    <w:lvl w:ilvl="6">
      <w:start w:val="1"/>
      <w:numFmt w:val="decimal"/>
      <w:lvlText w:val=""/>
      <w:lvlJc w:val="left"/>
      <w:pPr>
        <w:ind w:left="4680" w:hanging="360"/>
      </w:pPr>
      <w:rPr>
        <w:rFonts w:ascii="Noto Sans" w:eastAsia="Noto Sans" w:hAnsi="Noto Sans" w:cs="Noto San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w:eastAsia="Noto Sans" w:hAnsi="Noto Sans" w:cs="Noto San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9FA"/>
    <w:rsid w:val="003239FA"/>
    <w:rsid w:val="00452B54"/>
    <w:rsid w:val="00695335"/>
    <w:rsid w:val="0083701B"/>
    <w:rsid w:val="00B02F30"/>
    <w:rsid w:val="00B863E6"/>
    <w:rsid w:val="00CF4E00"/>
    <w:rsid w:val="00D53368"/>
    <w:rsid w:val="00E52A75"/>
    <w:rsid w:val="00E826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9ACCE4C-BCDD-4D41-A579-461AD28CA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f0"/>
    <w:tblPr>
      <w:tblStyleRowBandSize w:val="1"/>
      <w:tblStyleColBandSize w:val="1"/>
      <w:tblCellMar>
        <w:top w:w="100" w:type="dxa"/>
        <w:left w:w="100" w:type="dxa"/>
        <w:bottom w:w="100" w:type="dxa"/>
        <w:right w:w="100" w:type="dxa"/>
      </w:tblCellMar>
    </w:tblPr>
  </w:style>
  <w:style w:type="table" w:customStyle="1" w:styleId="a0">
    <w:basedOn w:val="TableNormalff0"/>
    <w:tblPr>
      <w:tblStyleRowBandSize w:val="1"/>
      <w:tblStyleColBandSize w:val="1"/>
      <w:tblCellMar>
        <w:left w:w="115" w:type="dxa"/>
        <w:right w:w="115" w:type="dxa"/>
      </w:tblCellMar>
    </w:tblPr>
  </w:style>
  <w:style w:type="table" w:customStyle="1" w:styleId="a1">
    <w:basedOn w:val="TableNormalff0"/>
    <w:tblPr>
      <w:tblStyleRowBandSize w:val="1"/>
      <w:tblStyleColBandSize w:val="1"/>
      <w:tblCellMar>
        <w:left w:w="115" w:type="dxa"/>
        <w:right w:w="115" w:type="dxa"/>
      </w:tblCellMar>
    </w:tblPr>
  </w:style>
  <w:style w:type="table" w:customStyle="1" w:styleId="a2">
    <w:basedOn w:val="TableNormalff0"/>
    <w:tblPr>
      <w:tblStyleRowBandSize w:val="1"/>
      <w:tblStyleColBandSize w:val="1"/>
      <w:tblCellMar>
        <w:left w:w="115" w:type="dxa"/>
        <w:right w:w="115" w:type="dxa"/>
      </w:tblCellMar>
    </w:tblPr>
  </w:style>
  <w:style w:type="table" w:customStyle="1" w:styleId="a3">
    <w:basedOn w:val="TableNormalff0"/>
    <w:tblPr>
      <w:tblStyleRowBandSize w:val="1"/>
      <w:tblStyleColBandSize w:val="1"/>
      <w:tblCellMar>
        <w:left w:w="115" w:type="dxa"/>
        <w:right w:w="115" w:type="dxa"/>
      </w:tblCellMar>
    </w:tblPr>
  </w:style>
  <w:style w:type="table" w:customStyle="1" w:styleId="a4">
    <w:basedOn w:val="TableNormalff0"/>
    <w:tblPr>
      <w:tblStyleRowBandSize w:val="1"/>
      <w:tblStyleColBandSize w:val="1"/>
      <w:tblCellMar>
        <w:left w:w="115" w:type="dxa"/>
        <w:right w:w="115" w:type="dxa"/>
      </w:tblCellMar>
    </w:tblPr>
  </w:style>
  <w:style w:type="table" w:customStyle="1" w:styleId="a5">
    <w:basedOn w:val="TableNormalff0"/>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f0"/>
    <w:tblPr>
      <w:tblStyleRowBandSize w:val="1"/>
      <w:tblStyleColBandSize w:val="1"/>
      <w:tblCellMar>
        <w:left w:w="115" w:type="dxa"/>
        <w:right w:w="115" w:type="dxa"/>
      </w:tblCellMar>
    </w:tblPr>
  </w:style>
  <w:style w:type="table" w:customStyle="1" w:styleId="a7">
    <w:basedOn w:val="TableNormalff0"/>
    <w:tblPr>
      <w:tblStyleRowBandSize w:val="1"/>
      <w:tblStyleColBandSize w:val="1"/>
      <w:tblCellMar>
        <w:left w:w="115" w:type="dxa"/>
        <w:right w:w="115" w:type="dxa"/>
      </w:tblCellMar>
    </w:tblPr>
  </w:style>
  <w:style w:type="table" w:customStyle="1" w:styleId="a8">
    <w:basedOn w:val="TableNormalff0"/>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f0"/>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d"/>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d"/>
    <w:tblPr>
      <w:tblStyleRowBandSize w:val="1"/>
      <w:tblStyleColBandSize w:val="1"/>
      <w:tblCellMar>
        <w:top w:w="100" w:type="dxa"/>
        <w:left w:w="100" w:type="dxa"/>
        <w:bottom w:w="100" w:type="dxa"/>
        <w:right w:w="100" w:type="dxa"/>
      </w:tblCellMar>
    </w:tblPr>
  </w:style>
  <w:style w:type="table" w:customStyle="1" w:styleId="af4">
    <w:basedOn w:val="TableNormalfd"/>
    <w:tblPr>
      <w:tblStyleRowBandSize w:val="1"/>
      <w:tblStyleColBandSize w:val="1"/>
      <w:tblCellMar>
        <w:top w:w="100" w:type="dxa"/>
        <w:left w:w="100" w:type="dxa"/>
        <w:bottom w:w="100" w:type="dxa"/>
        <w:right w:w="100" w:type="dxa"/>
      </w:tblCellMar>
    </w:tblPr>
  </w:style>
  <w:style w:type="table" w:customStyle="1" w:styleId="af5">
    <w:basedOn w:val="TableNormalfd"/>
    <w:tblPr>
      <w:tblStyleRowBandSize w:val="1"/>
      <w:tblStyleColBandSize w:val="1"/>
      <w:tblCellMar>
        <w:top w:w="100" w:type="dxa"/>
        <w:left w:w="100" w:type="dxa"/>
        <w:bottom w:w="100" w:type="dxa"/>
        <w:right w:w="100" w:type="dxa"/>
      </w:tblCellMar>
    </w:tblPr>
  </w:style>
  <w:style w:type="table" w:customStyle="1" w:styleId="af6">
    <w:basedOn w:val="TableNormalfd"/>
    <w:tblPr>
      <w:tblStyleRowBandSize w:val="1"/>
      <w:tblStyleColBandSize w:val="1"/>
      <w:tblCellMar>
        <w:top w:w="100" w:type="dxa"/>
        <w:left w:w="100" w:type="dxa"/>
        <w:bottom w:w="100" w:type="dxa"/>
        <w:right w:w="100" w:type="dxa"/>
      </w:tblCellMar>
    </w:tblPr>
  </w:style>
  <w:style w:type="table" w:customStyle="1" w:styleId="af7">
    <w:basedOn w:val="TableNormalfd"/>
    <w:tblPr>
      <w:tblStyleRowBandSize w:val="1"/>
      <w:tblStyleColBandSize w:val="1"/>
      <w:tblCellMar>
        <w:top w:w="100" w:type="dxa"/>
        <w:left w:w="100" w:type="dxa"/>
        <w:bottom w:w="100" w:type="dxa"/>
        <w:right w:w="100" w:type="dxa"/>
      </w:tblCellMar>
    </w:tblPr>
  </w:style>
  <w:style w:type="table" w:customStyle="1" w:styleId="af8">
    <w:basedOn w:val="TableNormal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8"/>
    <w:rPr>
      <w:rFonts w:ascii="Arial" w:eastAsia="Arial" w:hAnsi="Arial" w:cs="Arial"/>
      <w:sz w:val="22"/>
      <w:szCs w:val="22"/>
    </w:rPr>
    <w:tblPr>
      <w:tblStyleRowBandSize w:val="1"/>
      <w:tblStyleColBandSize w:val="1"/>
      <w:tblCellMar>
        <w:left w:w="115" w:type="dxa"/>
        <w:right w:w="115" w:type="dxa"/>
      </w:tblCellMar>
    </w:tblPr>
  </w:style>
  <w:style w:type="table" w:customStyle="1" w:styleId="affb">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3">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4">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7">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c">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e"/>
    <w:tblPr>
      <w:tblStyleRowBandSize w:val="1"/>
      <w:tblStyleColBandSize w:val="1"/>
      <w:tblCellMar>
        <w:top w:w="100" w:type="dxa"/>
        <w:left w:w="100" w:type="dxa"/>
        <w:bottom w:w="100" w:type="dxa"/>
        <w:right w:w="100" w:type="dxa"/>
      </w:tblCellMar>
    </w:tblPr>
  </w:style>
  <w:style w:type="table" w:customStyle="1" w:styleId="afffffff0">
    <w:basedOn w:val="TableNormale"/>
    <w:tblPr>
      <w:tblStyleRowBandSize w:val="1"/>
      <w:tblStyleColBandSize w:val="1"/>
      <w:tblCellMar>
        <w:top w:w="100" w:type="dxa"/>
        <w:left w:w="100" w:type="dxa"/>
        <w:bottom w:w="100" w:type="dxa"/>
        <w:right w:w="100" w:type="dxa"/>
      </w:tblCellMar>
    </w:tblPr>
  </w:style>
  <w:style w:type="table" w:customStyle="1" w:styleId="afffffff1">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8">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1">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2">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3">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4">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5">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6">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7">
    <w:basedOn w:val="TableNormal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8">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9">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a">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b">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c">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d">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e">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0">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1">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2">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3">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4">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5">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6">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7">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8">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9">
    <w:basedOn w:val="TableNormal2"/>
    <w:tblPr>
      <w:tblStyleRowBandSize w:val="1"/>
      <w:tblStyleColBandSize w:val="1"/>
      <w:tblCellMar>
        <w:top w:w="100" w:type="dxa"/>
        <w:left w:w="100" w:type="dxa"/>
        <w:bottom w:w="100" w:type="dxa"/>
        <w:right w:w="100" w:type="dxa"/>
      </w:tblCellMar>
    </w:tblPr>
  </w:style>
  <w:style w:type="table" w:customStyle="1" w:styleId="afffffffffa">
    <w:basedOn w:val="TableNormal2"/>
    <w:tblPr>
      <w:tblStyleRowBandSize w:val="1"/>
      <w:tblStyleColBandSize w:val="1"/>
      <w:tblCellMar>
        <w:top w:w="100" w:type="dxa"/>
        <w:left w:w="100" w:type="dxa"/>
        <w:bottom w:w="100" w:type="dxa"/>
        <w:right w:w="100" w:type="dxa"/>
      </w:tblCellMar>
    </w:tblPr>
  </w:style>
  <w:style w:type="table" w:customStyle="1" w:styleId="afffffffffb">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c">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d">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e">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0">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1">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2">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stemas2.edomex.gob.mx/TramitesyServicios/Tramite?tram=5300&amp;cont=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h0j1dqySgRPQeVaD65PFbE8oPQ==">AMUW2mUuDyTMWoam21zNK2Uykt6cIWuMChwUqxWADJKYFzktePuuyTtTBeSdOmGeBYqS0I60q92lkTMmOn7ZwEM/neRyIHH5zyygqJgZQIyZgDRxY7YZw1Qm3v5fJUCYRFzMjh3OqzF4LRG98jVIaKPYalYa9KHNF05vvJ3r4R5oajiN2Rc7fXgoMB3QpPs42isfb9Om5aTonGMxXXRROPXiJqwg8stmnwzuwvmCjo334wqBVPp71/BjUMKoON+RMV5xSgAXUtr2uNGSUzxeJPok0BoIBX7+v09xG6c+CgnK3CjEAB3RT6w8X4uU7JnM41NhG0ZILOV7wPytQXQkiI0Joop2GBFy/A6M72qlGUEk/mmAtliSqXC0pLjgJ1jIS+Z9HIvDlmpoBu4DMlO+WgDCk5N02Mo6Go/aXjV72Y0ZBZLzGMhbzg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106</Pages>
  <Words>26054</Words>
  <Characters>143300</Characters>
  <Application>Microsoft Office Word</Application>
  <DocSecurity>0</DocSecurity>
  <Lines>1194</Lines>
  <Paragraphs>338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 infoem</cp:lastModifiedBy>
  <cp:revision>5</cp:revision>
  <cp:lastPrinted>2022-11-07T16:07:00Z</cp:lastPrinted>
  <dcterms:created xsi:type="dcterms:W3CDTF">2022-10-25T22:33:00Z</dcterms:created>
  <dcterms:modified xsi:type="dcterms:W3CDTF">2022-11-07T16:10:00Z</dcterms:modified>
</cp:coreProperties>
</file>