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once de mayo del dos mil veintidós.</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rtl w:val="0"/>
        </w:rPr>
        <w:t xml:space="preserve">01139/INFOEM/IP/RR/2022;</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un particular que no proporcionó su nombre</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con número de folio </w:t>
      </w:r>
      <w:r w:rsidDel="00000000" w:rsidR="00000000" w:rsidRPr="00000000">
        <w:rPr>
          <w:rFonts w:ascii="Palatino Linotype" w:cs="Palatino Linotype" w:eastAsia="Palatino Linotype" w:hAnsi="Palatino Linotype"/>
          <w:b w:val="1"/>
          <w:rtl w:val="0"/>
        </w:rPr>
        <w:t xml:space="preserve">00016/CAEM/IP/2022, </w:t>
      </w:r>
      <w:r w:rsidDel="00000000" w:rsidR="00000000" w:rsidRPr="00000000">
        <w:rPr>
          <w:rFonts w:ascii="Palatino Linotype" w:cs="Palatino Linotype" w:eastAsia="Palatino Linotype" w:hAnsi="Palatino Linotype"/>
          <w:rtl w:val="0"/>
        </w:rPr>
        <w:t xml:space="preserve">por parte de la </w:t>
      </w:r>
      <w:r w:rsidDel="00000000" w:rsidR="00000000" w:rsidRPr="00000000">
        <w:rPr>
          <w:rFonts w:ascii="Palatino Linotype" w:cs="Palatino Linotype" w:eastAsia="Palatino Linotype" w:hAnsi="Palatino Linotype"/>
          <w:b w:val="1"/>
          <w:rtl w:val="0"/>
        </w:rPr>
        <w:t xml:space="preserve">Comisión del Agua del Estado de México</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w:t>
      </w:r>
    </w:p>
    <w:p w:rsidR="00000000" w:rsidDel="00000000" w:rsidP="00000000" w:rsidRDefault="00000000" w:rsidRPr="00000000" w14:paraId="00000003">
      <w:pPr>
        <w:numPr>
          <w:ilvl w:val="0"/>
          <w:numId w:val="2"/>
        </w:numPr>
        <w:pBdr>
          <w:top w:space="0" w:sz="0" w:val="nil"/>
          <w:left w:space="0" w:sz="0" w:val="nil"/>
          <w:bottom w:space="0" w:sz="0" w:val="nil"/>
          <w:right w:space="0" w:sz="0" w:val="nil"/>
          <w:between w:space="0" w:sz="0" w:val="nil"/>
        </w:pBdr>
        <w:spacing w:after="240" w:before="240" w:line="360" w:lineRule="auto"/>
        <w:ind w:left="1077"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Solicitud de acceso a la información. </w:t>
      </w:r>
      <w:r w:rsidDel="00000000" w:rsidR="00000000" w:rsidRPr="00000000">
        <w:rPr>
          <w:rFonts w:ascii="Palatino Linotype" w:cs="Palatino Linotype" w:eastAsia="Palatino Linotype" w:hAnsi="Palatino Linotype"/>
          <w:rtl w:val="0"/>
        </w:rPr>
        <w:t xml:space="preserve">Con fecha ocho de febrero del dos mil veintidós,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requiriéndole lo siguiente:</w:t>
      </w:r>
      <w:r w:rsidDel="00000000" w:rsidR="00000000" w:rsidRPr="00000000">
        <w:rPr>
          <w:rtl w:val="0"/>
        </w:rPr>
      </w:r>
    </w:p>
    <w:p w:rsidR="00000000" w:rsidDel="00000000" w:rsidP="00000000" w:rsidRDefault="00000000" w:rsidRPr="00000000" w14:paraId="00000005">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“Adjunto solicitud” (Sic)</w:t>
      </w:r>
    </w:p>
    <w:p w:rsidR="00000000" w:rsidDel="00000000" w:rsidP="00000000" w:rsidRDefault="00000000" w:rsidRPr="00000000" w14:paraId="00000006">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7">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08">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particular adjuntó a su solicitud el archivo electrónico denominado “</w:t>
      </w:r>
      <w:hyperlink r:id="rId7">
        <w:r w:rsidDel="00000000" w:rsidR="00000000" w:rsidRPr="00000000">
          <w:rPr>
            <w:rFonts w:ascii="Palatino Linotype" w:cs="Palatino Linotype" w:eastAsia="Palatino Linotype" w:hAnsi="Palatino Linotype"/>
            <w:rtl w:val="0"/>
          </w:rPr>
          <w:t xml:space="preserve">Agua edomex.pdf</w:t>
        </w:r>
      </w:hyperlink>
      <w:r w:rsidDel="00000000" w:rsidR="00000000" w:rsidRPr="00000000">
        <w:rPr>
          <w:rFonts w:ascii="Palatino Linotype" w:cs="Palatino Linotype" w:eastAsia="Palatino Linotype" w:hAnsi="Palatino Linotype"/>
          <w:rtl w:val="0"/>
        </w:rPr>
        <w:t xml:space="preserve">”, el cual contiene el siguiente requerimiento de información:</w:t>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rPr>
      </w:pPr>
      <w:r w:rsidDel="00000000" w:rsidR="00000000" w:rsidRPr="00000000">
        <w:rPr/>
        <w:drawing>
          <wp:inline distB="0" distT="0" distL="0" distR="0">
            <wp:extent cx="5365750" cy="927100"/>
            <wp:effectExtent b="0" l="0" r="0" t="0"/>
            <wp:docPr id="49" name="image2.png"/>
            <a:graphic>
              <a:graphicData uri="http://schemas.openxmlformats.org/drawingml/2006/picture">
                <pic:pic>
                  <pic:nvPicPr>
                    <pic:cNvPr id="0" name="image2.png"/>
                    <pic:cNvPicPr preferRelativeResize="0"/>
                  </pic:nvPicPr>
                  <pic:blipFill>
                    <a:blip r:embed="rId8"/>
                    <a:srcRect b="48299" l="38018" r="22606" t="24742"/>
                    <a:stretch>
                      <a:fillRect/>
                    </a:stretch>
                  </pic:blipFill>
                  <pic:spPr>
                    <a:xfrm>
                      <a:off x="0" y="0"/>
                      <a:ext cx="5365750" cy="9271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Modalidad elegida para la entrega de la información: </w:t>
      </w:r>
      <w:r w:rsidDel="00000000" w:rsidR="00000000" w:rsidRPr="00000000">
        <w:rPr>
          <w:rFonts w:ascii="Palatino Linotype" w:cs="Palatino Linotype" w:eastAsia="Palatino Linotype" w:hAnsi="Palatino Linotype"/>
          <w:rtl w:val="0"/>
        </w:rPr>
        <w:t xml:space="preserve">a través de SAIMEX.</w:t>
      </w:r>
      <w:r w:rsidDel="00000000" w:rsidR="00000000" w:rsidRPr="00000000">
        <w:rPr>
          <w:rtl w:val="0"/>
        </w:rPr>
      </w:r>
    </w:p>
    <w:p w:rsidR="00000000" w:rsidDel="00000000" w:rsidP="00000000" w:rsidRDefault="00000000" w:rsidRPr="00000000" w14:paraId="0000000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 veintidós de febrero del dos mil veintidós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envió su respuesta a la solicitud de acceso a la información a través del SAIMEX, la cual versa como sigue:</w:t>
      </w:r>
    </w:p>
    <w:p w:rsidR="00000000" w:rsidDel="00000000" w:rsidP="00000000" w:rsidRDefault="00000000" w:rsidRPr="00000000" w14:paraId="0000000C">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D">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Oficio No. 219C0110000301S/ 045 /2022 Naucalpan de Juárez, Estado de México 22 de Febrero de 2022 Estimado Peticionario FOLIO DE LA SOLICITUD: 00016/CAEM/IP/2022 En respuesta a la solicitud recibida, nos permitimos hacer de su conocimiento que con fundamento en los artículos 2, fracciones III, VII; 4; 15; 24 fracciones XI y XXIV de la Ley de Transparencia y Acceso a la Información Pública del Estado de México y Municipios, y en cumplimiento a lo establecido en su artículo 53, su petición formulada en la Unidad de Transparencia de la Comisión del Agua del Estado de México vía electrónica se ha registrado con el número de folio 00016/CAEM/IP/2022, misma que a la letra dice: “Comisión del Agua del Estado de México Buenas tardes, por medio de la presente me dirijo a usted para saludarle y pedir la siguiente información: Cuántos y cuáles son los municipios que no pagan agua en el Estado de México, en cada uno de los municipios que no pagan agua cuántas personas habitan y no pagan agua, desde cuándo, razones por las que no pagan agua, acuerdo en el que se establece que no paguen agua o en su defecto los exhortos para que se pague.” (SIC) Atendiendo lo indicado en los artículos 12, 53, Fracción II, V, VI, y Art 163 de la citada Ley,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En ese sentido, le comento que, respecto a “Cuántos y cuáles son los municipios que no pagan agua en el Estado de México” Toda información relacionada con adeudos está reservada por el término legal de cinco años, conforme a lo establecido por el artículo 125 de la Ley de Transparencia y Acceso a la Información Pública del Estado de México y Municipios. Adicionalmente, le informo que respecto a “en cada uno de los municipios que no pagan agua cuántas personas habitan y no pagan agua, desde cuándo, razones por las que no pagan agua, acuerdo en el que se establece que no paguen agua o en su defecto los exhortos para que se pague” (sic) Dentro de la Ley del Agua para el Estado de México y Municipios no se observa dentro de la atribuciones y funciones contempladas para esta Comisión, determinar y/o realizar estadísticas de los habitantes por municipio y, para el caso concreto, el número de habitantes que “no pagan agua”, tal como lo refiere. Continúa en la página… 2 Oficio No. 219C0110000301S/ 045 /2022 -2- En todo caso, los municipios u organismos operadores podrían detentar dicha información, debido a su responsabilidad directa de determinar el monto de formas de pago por el servicio de agua potable, recibirlo, así como acordar los beneficios que, en su caso, existan por pronto pago o la condonación de multas y recargos. Sin otro particular, reciba un cordial saludo. ATENTAMENTE ALEJANDRO PINEDA OCAMPO JEFE DE LA UNIDAD DE INFORMACIÓN, PLANEACIÓN, PROGRAMACIÓN Y EVALUACIÓN Y TITULAR DE LA UNIDAD DE TRANSPARENCIA </w:t>
      </w:r>
    </w:p>
    <w:p w:rsidR="00000000" w:rsidDel="00000000" w:rsidP="00000000" w:rsidRDefault="00000000" w:rsidRPr="00000000" w14:paraId="0000000E">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F">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Alejandro Pineda Ocampo” (Sic)</w:t>
      </w:r>
    </w:p>
    <w:p w:rsidR="00000000" w:rsidDel="00000000" w:rsidP="00000000" w:rsidRDefault="00000000" w:rsidRPr="00000000" w14:paraId="00000010">
      <w:pPr>
        <w:ind w:left="851"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a su respuesta los archivos electrónicos siguientes:</w:t>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hyperlink r:id="rId9">
        <w:r w:rsidDel="00000000" w:rsidR="00000000" w:rsidRPr="00000000">
          <w:rPr>
            <w:rFonts w:ascii="Palatino Linotype" w:cs="Palatino Linotype" w:eastAsia="Palatino Linotype" w:hAnsi="Palatino Linotype"/>
            <w:rtl w:val="0"/>
          </w:rPr>
          <w:t xml:space="preserve">00016_CAEM_IP_Respuesta_DGAF_2022.pdf</w:t>
        </w:r>
      </w:hyperlink>
      <w:r w:rsidDel="00000000" w:rsidR="00000000" w:rsidRPr="00000000">
        <w:rPr>
          <w:rFonts w:ascii="Palatino Linotype" w:cs="Palatino Linotype" w:eastAsia="Palatino Linotype" w:hAnsi="Palatino Linotype"/>
          <w:rtl w:val="0"/>
        </w:rPr>
        <w:t xml:space="preserve">”, el cual contiene el oficio número 2019C0117L/335/2022, por medio del cual el Director General de Administración y Finanzas, informó al Jefe de la Unidad de Información, Planeación, Programación y Evaluación, y Titular de la Unidad de Transparencia de la Comisión del Agua del Estado de México, que respecto del requerimiento:</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-“Cuántos y cuáles son los municipios que no pagan agua en el Estado de México”, señaló que toda información relacionada con adeudos está reservada por el término legal de cinco años, conforme a lo establecido por el artículo 125 de la Ley de Transparencia y Acceso a la Información Pública del Estado de México y Municipios.</w:t>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adjuntó el acuerdo de reserva respectivo a través del cual fundara y motivara dicha reserva de información. </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al requerimiento del particular, en donde señaló: “en cada uno de los municipios que no pagan agua cuántas personas habitan y no pagan agua, desde cuándo, razones por las que no pagan agua, acuerdo en el que se establece que no paguen agua o en su defecto los exhortos para que se pague”,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señaló que dentro de la Ley del Agua para el Estado de México y Municipios, no se observa dentro de la atribuciones y funciones contempladas para esta Comisión, determinar y/o realizar estadísticas de los habitantes por municipio y, para el caso concreto, el número de habitantes que “no pagan agua”, tal como lo refiere.</w:t>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todo caso, señaló que los municipios u organismos operadores podrían detentar dicha información, debido a su responsabilidad directa de determinar el monto de formas de pago por el servicio de agua potable, recibirlo, así como acordar los beneficios que, en su caso, existan por pronto pago o la condonación de multas y recargos.</w:t>
      </w:r>
    </w:p>
    <w:p w:rsidR="00000000" w:rsidDel="00000000" w:rsidP="00000000" w:rsidRDefault="00000000" w:rsidRPr="00000000" w14:paraId="00000017">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hyperlink r:id="rId10">
        <w:r w:rsidDel="00000000" w:rsidR="00000000" w:rsidRPr="00000000">
          <w:rPr>
            <w:rFonts w:ascii="Palatino Linotype" w:cs="Palatino Linotype" w:eastAsia="Palatino Linotype" w:hAnsi="Palatino Linotype"/>
            <w:rtl w:val="0"/>
          </w:rPr>
          <w:t xml:space="preserve">016 res.docx</w:t>
        </w:r>
      </w:hyperlink>
      <w:r w:rsidDel="00000000" w:rsidR="00000000" w:rsidRPr="00000000">
        <w:rPr>
          <w:rFonts w:ascii="Palatino Linotype" w:cs="Palatino Linotype" w:eastAsia="Palatino Linotype" w:hAnsi="Palatino Linotype"/>
          <w:rtl w:val="0"/>
        </w:rPr>
        <w:t xml:space="preserve">”,  el cual contiene el oficio número 219C0110000301S/ 045 /2022, por medio del cual el Jefe de la Unidad de Información, Planeación, Programación y Evaluación, y Titular de la Unidad de Transparencia de la Comisión del Agua del Estado de México, informó al peticionario la respuesta otorgada por el Director General de Administración y Finanzas, en los términos señalados en el archivo electrónico anterior. </w:t>
      </w:r>
    </w:p>
    <w:p w:rsidR="00000000" w:rsidDel="00000000" w:rsidP="00000000" w:rsidRDefault="00000000" w:rsidRPr="00000000" w14:paraId="0000001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el  solicitante con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interpuso el recurso de revisión a través del SAIMEX en fecha veintitrés de febrero del dos mil veintidós, a través del cual expresó lo siguiente:</w:t>
      </w:r>
    </w:p>
    <w:p w:rsidR="00000000" w:rsidDel="00000000" w:rsidP="00000000" w:rsidRDefault="00000000" w:rsidRPr="00000000" w14:paraId="00000019">
      <w:pPr>
        <w:spacing w:line="36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1A">
      <w:pPr>
        <w:spacing w:after="240"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“Declaran información clasificada pero no se entrega la documentación pertinente ni se justifica dicha clasificación” (Sic)</w:t>
      </w:r>
    </w:p>
    <w:p w:rsidR="00000000" w:rsidDel="00000000" w:rsidP="00000000" w:rsidRDefault="00000000" w:rsidRPr="00000000" w14:paraId="0000001B">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Motivos de inconformidad.</w:t>
      </w:r>
    </w:p>
    <w:p w:rsidR="00000000" w:rsidDel="00000000" w:rsidP="00000000" w:rsidRDefault="00000000" w:rsidRPr="00000000" w14:paraId="0000001C">
      <w:pPr>
        <w:spacing w:after="240" w:lineRule="auto"/>
        <w:ind w:left="851" w:right="900"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“La información clasificada no parece causar alguno de los daños expresados en las bases, principios y disposiciones establecidos en la Ley de Transparencia estatal, Capítulo I, "De la Clasificación y Desclasificación"; sin embargo, conforme al mismo capítulo Artículo 141 la dependencia debió presentar "Las causales de reserva previstas en este Capítulo, se deberán fundar y motivar, a través de la aplicación de la prueba de daño a la que se hace referencia en el presente Título". De igual forma toda información reservada, lo tiene que ver y aprobar el comité de transparencia pero no enviaron el Acta correspondiente, lo que atenta contra la propia Ley y el derecho de acceso a la información.” (Sic)</w:t>
      </w:r>
    </w:p>
    <w:p w:rsidR="00000000" w:rsidDel="00000000" w:rsidP="00000000" w:rsidRDefault="00000000" w:rsidRPr="00000000" w14:paraId="0000001D">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los recurso de revisión número </w:t>
      </w:r>
      <w:r w:rsidDel="00000000" w:rsidR="00000000" w:rsidRPr="00000000">
        <w:rPr>
          <w:rFonts w:ascii="Palatino Linotype" w:cs="Palatino Linotype" w:eastAsia="Palatino Linotype" w:hAnsi="Palatino Linotype"/>
          <w:b w:val="1"/>
          <w:rtl w:val="0"/>
        </w:rPr>
        <w:t xml:space="preserve">01139/INFOEM/IP/RR/2022 </w:t>
      </w:r>
      <w:r w:rsidDel="00000000" w:rsidR="00000000" w:rsidRPr="00000000">
        <w:rPr>
          <w:rFonts w:ascii="Palatino Linotype" w:cs="Palatino Linotype" w:eastAsia="Palatino Linotype" w:hAnsi="Palatino Linotype"/>
          <w:rtl w:val="0"/>
        </w:rPr>
        <w:t xml:space="preserve">fue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turnado por el sistema electrónico del Instituto de Transparencia, Acceso a la Información Pública y Protección de Datos Personales del Estado de México y Municipios, a la Comisionada Ponente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para su análisis, estudio, elaboración del proyecto y presentación ante el pleno de este Instituto.</w:t>
      </w:r>
    </w:p>
    <w:p w:rsidR="00000000" w:rsidDel="00000000" w:rsidP="00000000" w:rsidRDefault="00000000" w:rsidRPr="00000000" w14:paraId="0000001E">
      <w:pPr>
        <w:spacing w:after="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spacing w:after="280" w:before="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 </w:t>
      </w:r>
      <w:r w:rsidDel="00000000" w:rsidR="00000000" w:rsidRPr="00000000">
        <w:rPr>
          <w:rFonts w:ascii="Palatino Linotype" w:cs="Palatino Linotype" w:eastAsia="Palatino Linotype" w:hAnsi="Palatino Linotype"/>
          <w:rtl w:val="0"/>
        </w:rPr>
        <w:t xml:space="preserve">En fecha primero de marzo del dos mil veintidós,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presentara su informe justificado.</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tabs>
          <w:tab w:val="left" w:pos="709"/>
        </w:tabs>
        <w:spacing w:after="240" w:before="12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6. Manifestaciones</w:t>
      </w:r>
      <w:r w:rsidDel="00000000" w:rsidR="00000000" w:rsidRPr="00000000">
        <w:rPr>
          <w:rFonts w:ascii="Palatino Linotype" w:cs="Palatino Linotype" w:eastAsia="Palatino Linotype" w:hAnsi="Palatino Linotype"/>
          <w:color w:val="000000"/>
          <w:rtl w:val="0"/>
        </w:rPr>
        <w:t xml:space="preserve">: De las constancias que integran el expediente en que se actúa se advierte que la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fue omisa en ofrecer pruebas o expresar alegatos.</w:t>
      </w:r>
    </w:p>
    <w:p w:rsidR="00000000" w:rsidDel="00000000" w:rsidP="00000000" w:rsidRDefault="00000000" w:rsidRPr="00000000" w14:paraId="0000002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fecha siete de marzo del año dos mil veintidós, adjuntó el archivo electrónico denominado “</w:t>
      </w:r>
      <w:hyperlink r:id="rId11">
        <w:r w:rsidDel="00000000" w:rsidR="00000000" w:rsidRPr="00000000">
          <w:rPr>
            <w:rFonts w:ascii="Palatino Linotype" w:cs="Palatino Linotype" w:eastAsia="Palatino Linotype" w:hAnsi="Palatino Linotype"/>
            <w:rtl w:val="0"/>
          </w:rPr>
          <w:t xml:space="preserve">RR 1139 04-03-2022-182546.pdf</w:t>
        </w:r>
      </w:hyperlink>
      <w:r w:rsidDel="00000000" w:rsidR="00000000" w:rsidRPr="00000000">
        <w:rPr>
          <w:rFonts w:ascii="Palatino Linotype" w:cs="Palatino Linotype" w:eastAsia="Palatino Linotype" w:hAnsi="Palatino Linotype"/>
          <w:rtl w:val="0"/>
        </w:rPr>
        <w:t xml:space="preserve">”, el cual contiene el informe justificado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cual informó en lo medular que el Servidor Público Habilitado de la Dirección General de Administración y Finanzas, complementó la información solicitada en los siguientes términos:</w:t>
      </w:r>
    </w:p>
    <w:p w:rsidR="00000000" w:rsidDel="00000000" w:rsidP="00000000" w:rsidRDefault="00000000" w:rsidRPr="00000000" w14:paraId="00000022">
      <w:pPr>
        <w:spacing w:line="360" w:lineRule="auto"/>
        <w:jc w:val="both"/>
        <w:rPr/>
      </w:pP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575300" cy="2654300"/>
            <wp:effectExtent b="0" l="0" r="0" t="0"/>
            <wp:docPr id="51" name="image6.png"/>
            <a:graphic>
              <a:graphicData uri="http://schemas.openxmlformats.org/drawingml/2006/picture">
                <pic:pic>
                  <pic:nvPicPr>
                    <pic:cNvPr id="0" name="image6.png"/>
                    <pic:cNvPicPr preferRelativeResize="0"/>
                  </pic:nvPicPr>
                  <pic:blipFill>
                    <a:blip r:embed="rId12"/>
                    <a:srcRect b="6860" l="33378" r="17967" t="32991"/>
                    <a:stretch>
                      <a:fillRect/>
                    </a:stretch>
                  </pic:blipFill>
                  <pic:spPr>
                    <a:xfrm>
                      <a:off x="0" y="0"/>
                      <a:ext cx="55753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Archivo electrónico que se puso a la vista de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términos de la fracción III del artículo 185 de la Ley de Transparencia y Acceso a la Información Pública del Estado de México y Municipios; para que en el término de tres días manifestara lo que a su derecho convenga; sin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hiciera manifestación alguna.</w:t>
      </w:r>
    </w:p>
    <w:p w:rsidR="00000000" w:rsidDel="00000000" w:rsidP="00000000" w:rsidRDefault="00000000" w:rsidRPr="00000000" w14:paraId="0000002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Posteriormente el veintinueve de abril del año dos mil veintidós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en alcance al informe justificado el siguiente archivo electrónico:</w:t>
      </w:r>
    </w:p>
    <w:p w:rsidR="00000000" w:rsidDel="00000000" w:rsidP="00000000" w:rsidRDefault="00000000" w:rsidRPr="00000000" w14:paraId="0000002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hyperlink r:id="rId13">
        <w:r w:rsidDel="00000000" w:rsidR="00000000" w:rsidRPr="00000000">
          <w:rPr>
            <w:rFonts w:ascii="Palatino Linotype" w:cs="Palatino Linotype" w:eastAsia="Palatino Linotype" w:hAnsi="Palatino Linotype"/>
            <w:rtl w:val="0"/>
          </w:rPr>
          <w:t xml:space="preserve">alcance rr113929-04-2022-182016.pdf</w:t>
        </w:r>
      </w:hyperlink>
      <w:r w:rsidDel="00000000" w:rsidR="00000000" w:rsidRPr="00000000">
        <w:rPr>
          <w:rFonts w:ascii="Palatino Linotype" w:cs="Palatino Linotype" w:eastAsia="Palatino Linotype" w:hAnsi="Palatino Linotype"/>
          <w:rtl w:val="0"/>
        </w:rPr>
        <w:t xml:space="preserve">”, el cual contiene el oficio número 219C0117L/0840/2022, por medio del cual el Director General de Administración y Finanzas, informó al Jefe de la Unidad de Información, Planeación, Programación y Evaluación y Titular de la Unidad de Transparencia, ambos de la Comisión del Agua del Estado de México,  que de conformidad al artículo 18 fracción XI de la Ley del Agua del Estado de México, la Comisión del Agua del Estado de México tiene la atribución de convenir con los municipios la prestación temporal de algunos de los servicios, entre ellos el suministro de agua en bloque, por lo tanto, señaló a manera de aclaración, respecto de los municipios (tal y como refiere el requirente), dentro de los registros de la Dirección de Referencia, proporcionó los municipios que no se brinda el servicio de agua en bloque, como se observa a continuación:</w:t>
      </w:r>
    </w:p>
    <w:p w:rsidR="00000000" w:rsidDel="00000000" w:rsidP="00000000" w:rsidRDefault="00000000" w:rsidRPr="00000000" w14:paraId="0000002A">
      <w:pPr>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487074" cy="1872797"/>
            <wp:effectExtent b="0" l="0" r="0" t="0"/>
            <wp:docPr id="50" name="image4.png"/>
            <a:graphic>
              <a:graphicData uri="http://schemas.openxmlformats.org/drawingml/2006/picture">
                <pic:pic>
                  <pic:nvPicPr>
                    <pic:cNvPr id="0" name="image4.png"/>
                    <pic:cNvPicPr preferRelativeResize="0"/>
                  </pic:nvPicPr>
                  <pic:blipFill>
                    <a:blip r:embed="rId14"/>
                    <a:srcRect b="45306" l="42842" r="26244" t="35021"/>
                    <a:stretch>
                      <a:fillRect/>
                    </a:stretch>
                  </pic:blipFill>
                  <pic:spPr>
                    <a:xfrm>
                      <a:off x="0" y="0"/>
                      <a:ext cx="5487074" cy="1872797"/>
                    </a:xfrm>
                    <a:prstGeom prst="rect"/>
                    <a:ln/>
                  </pic:spPr>
                </pic:pic>
              </a:graphicData>
            </a:graphic>
          </wp:inline>
        </w:drawing>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2B">
      <w:pPr>
        <w:spacing w:line="360" w:lineRule="auto"/>
        <w:jc w:val="both"/>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color w:val="ff0000"/>
          <w:highlight w:val="yellow"/>
        </w:rPr>
      </w:pPr>
      <w:r w:rsidDel="00000000" w:rsidR="00000000" w:rsidRPr="00000000">
        <w:rPr/>
        <w:drawing>
          <wp:inline distB="0" distT="0" distL="0" distR="0">
            <wp:extent cx="5552213" cy="3627283"/>
            <wp:effectExtent b="0" l="0" r="0" t="0"/>
            <wp:docPr id="53" name="image3.png"/>
            <a:graphic>
              <a:graphicData uri="http://schemas.openxmlformats.org/drawingml/2006/picture">
                <pic:pic>
                  <pic:nvPicPr>
                    <pic:cNvPr id="0" name="image3.png"/>
                    <pic:cNvPicPr preferRelativeResize="0"/>
                  </pic:nvPicPr>
                  <pic:blipFill>
                    <a:blip r:embed="rId15"/>
                    <a:srcRect b="25615" l="43665" r="25572" t="35453"/>
                    <a:stretch>
                      <a:fillRect/>
                    </a:stretch>
                  </pic:blipFill>
                  <pic:spPr>
                    <a:xfrm>
                      <a:off x="0" y="0"/>
                      <a:ext cx="5552213" cy="362728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360" w:lineRule="auto"/>
        <w:jc w:val="right"/>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Archivo electrónico que se puso a la vista de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términos de la fracción III del artículo 185 de la Ley de Transparencia y Acceso a la Información Pública del Estado de México y Municipios; para que en el término de tres días manifestara lo que a su derecho convenga; sin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hiciera manifestación alguna.</w:t>
      </w:r>
    </w:p>
    <w:p w:rsidR="00000000" w:rsidDel="00000000" w:rsidP="00000000" w:rsidRDefault="00000000" w:rsidRPr="00000000" w14:paraId="0000002F">
      <w:pPr>
        <w:widowControl w:val="0"/>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plazo.</w:t>
      </w:r>
      <w:r w:rsidDel="00000000" w:rsidR="00000000" w:rsidRPr="00000000">
        <w:rPr>
          <w:rFonts w:ascii="Palatino Linotype" w:cs="Palatino Linotype" w:eastAsia="Palatino Linotype" w:hAnsi="Palatino Linotype"/>
          <w:rtl w:val="0"/>
        </w:rPr>
        <w:t xml:space="preserve"> En fech</w:t>
      </w:r>
      <w:r w:rsidDel="00000000" w:rsidR="00000000" w:rsidRPr="00000000">
        <w:rPr>
          <w:rFonts w:ascii="Palatino Linotype" w:cs="Palatino Linotype" w:eastAsia="Palatino Linotype" w:hAnsi="Palatino Linotype"/>
          <w:color w:val="222222"/>
          <w:highlight w:val="white"/>
          <w:rtl w:val="0"/>
        </w:rPr>
        <w:t xml:space="preserve">a seis de mayo del año dos </w:t>
      </w:r>
      <w:r w:rsidDel="00000000" w:rsidR="00000000" w:rsidRPr="00000000">
        <w:rPr>
          <w:rFonts w:ascii="Palatino Linotype" w:cs="Palatino Linotype" w:eastAsia="Palatino Linotype" w:hAnsi="Palatino Linotype"/>
          <w:rtl w:val="0"/>
        </w:rPr>
        <w:t xml:space="preserve">mil veintidós</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rtl w:val="0"/>
        </w:rPr>
        <w:t xml:space="preserve">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30">
      <w:pPr>
        <w:spacing w:after="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3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En fecha nuev</w:t>
      </w:r>
      <w:r w:rsidDel="00000000" w:rsidR="00000000" w:rsidRPr="00000000">
        <w:rPr>
          <w:rFonts w:ascii="Palatino Linotype" w:cs="Palatino Linotype" w:eastAsia="Palatino Linotype" w:hAnsi="Palatino Linotype"/>
          <w:highlight w:val="white"/>
          <w:rtl w:val="0"/>
        </w:rPr>
        <w:t xml:space="preserve">e de mayo del año </w:t>
      </w:r>
      <w:r w:rsidDel="00000000" w:rsidR="00000000" w:rsidRPr="00000000">
        <w:rPr>
          <w:rFonts w:ascii="Palatino Linotype" w:cs="Palatino Linotype" w:eastAsia="Palatino Linotype" w:hAnsi="Palatino Linotype"/>
          <w:rtl w:val="0"/>
        </w:rPr>
        <w:t xml:space="preserve">dos mil veintidós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2">
      <w:pPr>
        <w:widowControl w:val="0"/>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after="240" w:before="240" w:line="360" w:lineRule="auto"/>
        <w:ind w:left="720" w:hanging="720"/>
        <w:jc w:val="cente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 O N S I D E R A N D O:</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highlight w:val="whit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w:t>
      </w:r>
      <w:r w:rsidDel="00000000" w:rsidR="00000000" w:rsidRPr="00000000">
        <w:rPr>
          <w:rFonts w:ascii="Palatino Linotype" w:cs="Palatino Linotype" w:eastAsia="Palatino Linotype" w:hAnsi="Palatino Linotype"/>
          <w:b w:val="1"/>
          <w:highlight w:val="white"/>
          <w:rtl w:val="0"/>
        </w:rPr>
        <w:t xml:space="preserve">RECURRENTE</w:t>
      </w:r>
      <w:r w:rsidDel="00000000" w:rsidR="00000000" w:rsidRPr="00000000">
        <w:rPr>
          <w:rFonts w:ascii="Palatino Linotype" w:cs="Palatino Linotype" w:eastAsia="Palatino Linotype" w:hAnsi="Palatino Linotype"/>
          <w:highlight w:val="white"/>
          <w:rtl w:val="0"/>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sidDel="00000000" w:rsidR="00000000" w:rsidRPr="00000000">
        <w:rPr>
          <w:rFonts w:ascii="Palatino Linotype" w:cs="Palatino Linotype" w:eastAsia="Palatino Linotype" w:hAnsi="Palatino Linotype"/>
          <w:rtl w:val="0"/>
        </w:rPr>
        <w:t xml:space="preserve">9, fracciones I y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p>
    <w:p w:rsidR="00000000" w:rsidDel="00000000" w:rsidP="00000000" w:rsidRDefault="00000000" w:rsidRPr="00000000" w14:paraId="0000003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su respuesta a la solicitud de información el veintidós de febrero del dos mil veintidós, y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su recurso de revisión el veintitrés de febrero del mismo año, esto es al primer día hábil siguiente de aquel en que tuvo conocimiento de la respuesta, evidenciándose que la interposición del recurso se encuentra dentro de los márgenes temporales previstos en el citado precepto legal.</w:t>
      </w:r>
    </w:p>
    <w:p w:rsidR="00000000" w:rsidDel="00000000" w:rsidP="00000000" w:rsidRDefault="00000000" w:rsidRPr="00000000" w14:paraId="00000036">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Al mismo tiempo, tras la revisión del formato de interposición del recurso</w:t>
      </w:r>
      <w:r w:rsidDel="00000000" w:rsidR="00000000" w:rsidRPr="00000000">
        <w:rPr>
          <w:rFonts w:ascii="Palatino Linotype" w:cs="Palatino Linotype" w:eastAsia="Palatino Linotype" w:hAnsi="Palatino Linotype"/>
          <w:rtl w:val="0"/>
        </w:rPr>
        <w:t xml:space="preserve">, es de suma importancia señalar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 proporcionó su nombre</w:t>
      </w:r>
      <w:r w:rsidDel="00000000" w:rsidR="00000000" w:rsidRPr="00000000">
        <w:rPr>
          <w:rFonts w:ascii="Palatino Linotype" w:cs="Palatino Linotype" w:eastAsia="Palatino Linotype" w:hAnsi="Palatino Linotype"/>
          <w:rtl w:val="0"/>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7">
      <w:pPr>
        <w:ind w:left="567" w:right="474"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8">
      <w:pPr>
        <w:spacing w:after="240" w:lineRule="auto"/>
        <w:ind w:left="567" w:right="474"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Del="00000000" w:rsidR="00000000" w:rsidRPr="00000000">
        <w:rPr>
          <w:rFonts w:ascii="Palatino Linotype" w:cs="Palatino Linotype" w:eastAsia="Palatino Linotype" w:hAnsi="Palatino Linotype"/>
          <w:b w:val="1"/>
          <w:color w:val="000000"/>
          <w:rtl w:val="0"/>
        </w:rPr>
        <w:t xml:space="preserve">EL</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SAIMEX</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Ahora bien, resulta procedente la interposición del recurso, según lo aducido por la </w:t>
      </w:r>
      <w:r w:rsidDel="00000000" w:rsidR="00000000" w:rsidRPr="00000000">
        <w:rPr>
          <w:rFonts w:ascii="Palatino Linotype" w:cs="Palatino Linotype" w:eastAsia="Palatino Linotype" w:hAnsi="Palatino Linotype"/>
          <w:b w:val="1"/>
          <w:color w:val="000000"/>
          <w:rtl w:val="0"/>
        </w:rPr>
        <w:t xml:space="preserve">RECURRENTE</w:t>
      </w:r>
      <w:r w:rsidDel="00000000" w:rsidR="00000000" w:rsidRPr="00000000">
        <w:rPr>
          <w:rFonts w:ascii="Palatino Linotype" w:cs="Palatino Linotype" w:eastAsia="Palatino Linotype" w:hAnsi="Palatino Linotype"/>
          <w:color w:val="000000"/>
          <w:rtl w:val="0"/>
        </w:rPr>
        <w:t xml:space="preserve"> en sus razones o motivos de inconformidad, de acuerdo al artículo 179, fracción </w:t>
      </w:r>
      <w:r w:rsidDel="00000000" w:rsidR="00000000" w:rsidRPr="00000000">
        <w:rPr>
          <w:rFonts w:ascii="Palatino Linotype" w:cs="Palatino Linotype" w:eastAsia="Palatino Linotype" w:hAnsi="Palatino Linotype"/>
          <w:rtl w:val="0"/>
        </w:rPr>
        <w:t xml:space="preserve">II</w:t>
      </w:r>
      <w:r w:rsidDel="00000000" w:rsidR="00000000" w:rsidRPr="00000000">
        <w:rPr>
          <w:rFonts w:ascii="Palatino Linotype" w:cs="Palatino Linotype" w:eastAsia="Palatino Linotype" w:hAnsi="Palatino Linotype"/>
          <w:color w:val="000000"/>
          <w:rtl w:val="0"/>
        </w:rPr>
        <w:t xml:space="preserve"> de la Ley de Transparencia y Acceso a la Información Pública del Estado de México y Municipios; que a la letra dice:</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992"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179</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El recurso de revisión</w:t>
      </w:r>
      <w:r w:rsidDel="00000000" w:rsidR="00000000" w:rsidRPr="00000000">
        <w:rPr>
          <w:rFonts w:ascii="Palatino Linotype" w:cs="Palatino Linotype" w:eastAsia="Palatino Linotype" w:hAnsi="Palatino Linotype"/>
          <w:i w:val="1"/>
          <w:color w:val="000000"/>
          <w:sz w:val="22"/>
          <w:szCs w:val="22"/>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color w:val="000000"/>
          <w:sz w:val="22"/>
          <w:szCs w:val="22"/>
          <w:rtl w:val="0"/>
        </w:rPr>
        <w:t xml:space="preserve">, y procederá en contra de las siguientes causas</w:t>
      </w: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240" w:lineRule="auto"/>
        <w:ind w:left="992"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40" w:before="240" w:lineRule="auto"/>
        <w:ind w:left="992" w:right="1043"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sz w:val="22"/>
          <w:szCs w:val="22"/>
          <w:rtl w:val="0"/>
        </w:rPr>
        <w:t xml:space="preserve">II. La clasificación de la información...”(</w:t>
      </w:r>
      <w:r w:rsidDel="00000000" w:rsidR="00000000" w:rsidRPr="00000000">
        <w:rPr>
          <w:rFonts w:ascii="Palatino Linotype" w:cs="Palatino Linotype" w:eastAsia="Palatino Linotype" w:hAnsi="Palatino Linotype"/>
          <w:i w:val="1"/>
          <w:color w:val="000000"/>
          <w:sz w:val="22"/>
          <w:szCs w:val="22"/>
          <w:rtl w:val="0"/>
        </w:rPr>
        <w:t xml:space="preserve">Sic)</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pos="2244"/>
        </w:tabs>
        <w:spacing w:after="240" w:before="240" w:lineRule="auto"/>
        <w:ind w:left="992" w:right="1043" w:firstLine="0"/>
        <w:jc w:val="both"/>
        <w:rPr>
          <w:i w:val="1"/>
          <w:color w:val="000000"/>
        </w:rPr>
      </w:pPr>
      <w:r w:rsidDel="00000000" w:rsidR="00000000" w:rsidRPr="00000000">
        <w:rPr>
          <w:i w:val="1"/>
          <w:color w:val="000000"/>
          <w:rtl w:val="0"/>
        </w:rPr>
        <w:tab/>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Análisis de las causales de improcedencia y sobreseimiento.  </w:t>
      </w:r>
      <w:r w:rsidDel="00000000" w:rsidR="00000000" w:rsidRPr="00000000">
        <w:rPr>
          <w:rFonts w:ascii="Palatino Linotype" w:cs="Palatino Linotype" w:eastAsia="Palatino Linotype" w:hAnsi="Palatino Linotype"/>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000000" w:rsidDel="00000000" w:rsidP="00000000" w:rsidRDefault="00000000" w:rsidRPr="00000000" w14:paraId="0000004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análisis de la solicitud de información pública que motivó el recurso de revisión que ahora se resuelve, se advierte que la particular requirió a la Comisión del Agua del Estado de México, lo siguiente:</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pacing w:line="360" w:lineRule="auto"/>
        <w:ind w:left="480" w:hanging="36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Cuántos y cuáles son los municipios que no pagan agua en el Estado de México, en cada uno de los municipios que no pagan agua cuántas personas habitan y no pagan agua, desde cuándo, razones por las que no pagan agua, acuerdo en el que se establece que no paguen agua o en su defecto los exhortos para que se pague.</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Posteriormente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su respuesta a través del siguiente archivo electrónico:</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hyperlink r:id="rId16">
        <w:r w:rsidDel="00000000" w:rsidR="00000000" w:rsidRPr="00000000">
          <w:rPr>
            <w:rFonts w:ascii="Palatino Linotype" w:cs="Palatino Linotype" w:eastAsia="Palatino Linotype" w:hAnsi="Palatino Linotype"/>
            <w:rtl w:val="0"/>
          </w:rPr>
          <w:t xml:space="preserve">00016_CAEM_IP_Respuesta_DGAF_2022.pdf</w:t>
        </w:r>
      </w:hyperlink>
      <w:r w:rsidDel="00000000" w:rsidR="00000000" w:rsidRPr="00000000">
        <w:rPr>
          <w:rFonts w:ascii="Palatino Linotype" w:cs="Palatino Linotype" w:eastAsia="Palatino Linotype" w:hAnsi="Palatino Linotype"/>
          <w:rtl w:val="0"/>
        </w:rPr>
        <w:t xml:space="preserve">”, el cual contiene el oficio número 2019C0117L/335/2022, por medio del cual el Director General de Administración y Finanzas, informó al Jefe de la Unidad de Información, Planeación, Programación y Evaluación, y Titular de la Unidad de Transparencia de la Comisión del Agua del Estado de México, que respecto del requerimiento:</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-“Cuántos y cuáles son los municipios que no pagan agua en el Estado de México”, señaló que toda información relacionada con adeudos está reservada por el término legal de cinco años, conforme a lo establecido por el artículo 125 de la Ley de Transparencia y Acceso a la Información Pública del Estado de México y Municipios.</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señalar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adjuntó el acuerdo de reserva respectivo a través del cual fundara y motivara dicha reserva de información. </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al requerimiento del particular, en donde señaló: “en cada uno de los municipios que no pagan agua cuántas personas habitan y no pagan agua, desde cuándo, razones por las que no pagan agua, acuerdo en el que se establece que no paguen agua o en su defecto los exhortos para que se pague”,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señaló que dentro de la Ley del Agua para el Estado de México y Municipios, no se observa dentro de la atribuciones y funciones contempladas para esta Comisión, determinar y/o realizar estadísticas de los habitantes por municipio y, para el caso concreto, el número de habitantes que “no pagan agua”, tal como lo refiere.</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todo caso, señaló que los municipios u organismos operadores podrían detentar dicha información, debido a su responsabilidad directa de determinar el monto de formas de pago por el servicio de agua potable, recibirlo, así como acordar los beneficios que, en su caso, existan por pronto pago o la condonación de multas y recargos.</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dicha respuesta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inconformó, en lo medular porque “La información clasificada no parece causar alguno de los daños expresados en las bases, principios y disposiciones establecidos en la Ley de Transparencia estatal, Capítulo I, "De la Clasificación y Desclasificación"; sin embargo, conforme al mismo capítulo Artículo 141 la dependencia debió presentar "Las causales de reserva previstas en este Capítulo, se deberán fundar y motivar, a través de la aplicación de la prueba de daño a la que se hace referencia en el presente Título". De igual forma toda información reservada, lo tiene que ver y aprobar el comité de transparencia pero no enviaron el Acta correspondiente, lo que atenta contra la propia Ley y el derecho de acceso a la información” (Sic)</w:t>
      </w:r>
    </w:p>
    <w:p w:rsidR="00000000" w:rsidDel="00000000" w:rsidP="00000000" w:rsidRDefault="00000000" w:rsidRPr="00000000" w14:paraId="0000004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la interposición del Recurso de Revisión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rindió su informe justificado a través del archivo electrónico denominado “</w:t>
      </w:r>
      <w:hyperlink r:id="rId17">
        <w:r w:rsidDel="00000000" w:rsidR="00000000" w:rsidRPr="00000000">
          <w:rPr>
            <w:rFonts w:ascii="Palatino Linotype" w:cs="Palatino Linotype" w:eastAsia="Palatino Linotype" w:hAnsi="Palatino Linotype"/>
            <w:rtl w:val="0"/>
          </w:rPr>
          <w:t xml:space="preserve">RR 1139 04-03-2022-182546.pdf</w:t>
        </w:r>
      </w:hyperlink>
      <w:r w:rsidDel="00000000" w:rsidR="00000000" w:rsidRPr="00000000">
        <w:rPr>
          <w:rFonts w:ascii="Palatino Linotype" w:cs="Palatino Linotype" w:eastAsia="Palatino Linotype" w:hAnsi="Palatino Linotype"/>
          <w:rtl w:val="0"/>
        </w:rPr>
        <w:t xml:space="preserve">”, el cual contiene en lo medular en la siguiente información:</w:t>
      </w:r>
    </w:p>
    <w:p w:rsidR="00000000" w:rsidDel="00000000" w:rsidP="00000000" w:rsidRDefault="00000000" w:rsidRPr="00000000" w14:paraId="0000004D">
      <w:pPr>
        <w:spacing w:line="360" w:lineRule="auto"/>
        <w:jc w:val="both"/>
        <w:rPr/>
      </w:pP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575300" cy="2654300"/>
            <wp:effectExtent b="0" l="0" r="0" t="0"/>
            <wp:docPr id="52" name="image6.png"/>
            <a:graphic>
              <a:graphicData uri="http://schemas.openxmlformats.org/drawingml/2006/picture">
                <pic:pic>
                  <pic:nvPicPr>
                    <pic:cNvPr id="0" name="image6.png"/>
                    <pic:cNvPicPr preferRelativeResize="0"/>
                  </pic:nvPicPr>
                  <pic:blipFill>
                    <a:blip r:embed="rId12"/>
                    <a:srcRect b="6860" l="33378" r="17967" t="32991"/>
                    <a:stretch>
                      <a:fillRect/>
                    </a:stretch>
                  </pic:blipFill>
                  <pic:spPr>
                    <a:xfrm>
                      <a:off x="0" y="0"/>
                      <a:ext cx="55753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Posteriormente en alcance al informe justificado la Comisión del Agua del Estado de México, proporcionó respecto de los municipios (tal y como refiere el requirente), de los que no se brinda el servicio de agua en bloque, como se observa a continuación:</w:t>
      </w:r>
    </w:p>
    <w:p w:rsidR="00000000" w:rsidDel="00000000" w:rsidP="00000000" w:rsidRDefault="00000000" w:rsidRPr="00000000" w14:paraId="00000051">
      <w:pPr>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487074" cy="1872797"/>
            <wp:effectExtent b="0" l="0" r="0" t="0"/>
            <wp:docPr id="55" name="image4.png"/>
            <a:graphic>
              <a:graphicData uri="http://schemas.openxmlformats.org/drawingml/2006/picture">
                <pic:pic>
                  <pic:nvPicPr>
                    <pic:cNvPr id="0" name="image4.png"/>
                    <pic:cNvPicPr preferRelativeResize="0"/>
                  </pic:nvPicPr>
                  <pic:blipFill>
                    <a:blip r:embed="rId14"/>
                    <a:srcRect b="45306" l="42842" r="26244" t="35021"/>
                    <a:stretch>
                      <a:fillRect/>
                    </a:stretch>
                  </pic:blipFill>
                  <pic:spPr>
                    <a:xfrm>
                      <a:off x="0" y="0"/>
                      <a:ext cx="5487074" cy="1872797"/>
                    </a:xfrm>
                    <a:prstGeom prst="rect"/>
                    <a:ln/>
                  </pic:spPr>
                </pic:pic>
              </a:graphicData>
            </a:graphic>
          </wp:inline>
        </w:drawing>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52">
      <w:pPr>
        <w:spacing w:line="360" w:lineRule="auto"/>
        <w:jc w:val="both"/>
        <w:rPr>
          <w:rFonts w:ascii="Palatino Linotype" w:cs="Palatino Linotype" w:eastAsia="Palatino Linotype" w:hAnsi="Palatino Linotype"/>
          <w:color w:val="ff0000"/>
          <w:highlight w:val="yellow"/>
        </w:rPr>
      </w:pPr>
      <w:r w:rsidDel="00000000" w:rsidR="00000000" w:rsidRPr="00000000">
        <w:rPr/>
        <w:drawing>
          <wp:inline distB="0" distT="0" distL="0" distR="0">
            <wp:extent cx="5552213" cy="3627283"/>
            <wp:effectExtent b="0" l="0" r="0" t="0"/>
            <wp:docPr id="54" name="image3.png"/>
            <a:graphic>
              <a:graphicData uri="http://schemas.openxmlformats.org/drawingml/2006/picture">
                <pic:pic>
                  <pic:nvPicPr>
                    <pic:cNvPr id="0" name="image3.png"/>
                    <pic:cNvPicPr preferRelativeResize="0"/>
                  </pic:nvPicPr>
                  <pic:blipFill>
                    <a:blip r:embed="rId15"/>
                    <a:srcRect b="25615" l="43665" r="25572" t="35453"/>
                    <a:stretch>
                      <a:fillRect/>
                    </a:stretch>
                  </pic:blipFill>
                  <pic:spPr>
                    <a:xfrm>
                      <a:off x="0" y="0"/>
                      <a:ext cx="5552213" cy="3627283"/>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4">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Precisado lo anterior, se advierte en primer término que del análisis a los motivos de inconformidad se advierte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está conforme con parte de la información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respuesta, respecto a:</w:t>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line="360" w:lineRule="auto"/>
        <w:ind w:left="48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cada uno de los municipios que no pagan agua cuántas personas habitan y no pagan agua, desde cuándo, razones por las que no pagan agua, acuerdo en el que se establece que no paguen agua o en su defecto los exhortos para que se pague.</w:t>
      </w:r>
    </w:p>
    <w:p w:rsidR="00000000" w:rsidDel="00000000" w:rsidP="00000000" w:rsidRDefault="00000000" w:rsidRPr="00000000" w14:paraId="00000056">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Toda vez que lo único que impugna fue la clasificación de la información reservada correspondiente a los adeudos que tienen los municipios por concepto de agua, ya que señaló que no se fundó y motivo, a través de la aplicación de la prueba de daño, y que lo tiene que ver y aprobar el comité de transparencia pero no enviaron el Acta correspondiente, lo que atenta contra la propia Ley y el derecho de acceso a la información.</w:t>
      </w:r>
    </w:p>
    <w:p w:rsidR="00000000" w:rsidDel="00000000" w:rsidP="00000000" w:rsidRDefault="00000000" w:rsidRPr="00000000" w14:paraId="0000005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5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spacing w:after="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w:t>
      </w:r>
      <w:r w:rsidDel="00000000" w:rsidR="00000000" w:rsidRPr="00000000">
        <w:rPr>
          <w:rFonts w:ascii="Palatino Linotype" w:cs="Palatino Linotype" w:eastAsia="Palatino Linotype" w:hAnsi="Palatino Linotype"/>
          <w:i w:val="1"/>
          <w:sz w:val="22"/>
          <w:szCs w:val="22"/>
          <w:rtl w:val="0"/>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correspondiente.”(Sic)</w:t>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la parte de la solicitud sobre la que no se expresó inconformidad, debe declararse consentida por el hoy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rsidR="00000000" w:rsidDel="00000000" w:rsidP="00000000" w:rsidRDefault="00000000" w:rsidRPr="00000000" w14:paraId="0000005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sustento a lo anterior,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5D">
      <w:pPr>
        <w:spacing w:after="240" w:before="240"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ACTOS CONSENTIDOS. SON LOS QUE NO SE IMPUGNAN MEDIANTE EL RECURSO IDÓNEO</w:t>
      </w:r>
      <w:r w:rsidDel="00000000" w:rsidR="00000000" w:rsidRPr="00000000">
        <w:rPr>
          <w:rFonts w:ascii="Palatino Linotype" w:cs="Palatino Linotype" w:eastAsia="Palatino Linotype" w:hAnsi="Palatino Linotype"/>
          <w:i w:val="1"/>
          <w:sz w:val="22"/>
          <w:szCs w:val="22"/>
          <w:rtl w:val="0"/>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eficaz.”(Sic)</w:t>
      </w:r>
    </w:p>
    <w:p w:rsidR="00000000" w:rsidDel="00000000" w:rsidP="00000000" w:rsidRDefault="00000000" w:rsidRPr="00000000" w14:paraId="0000005E">
      <w:pPr>
        <w:spacing w:before="240"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5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Determinado lo anterior, importante aclarar, que el particular lo que requirió en su solicitud de acceso a la información pública fue cuántos y cuáles son los municipios que no pagan agua en el Estado de México, no así los adeudos los cuales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pretendió, a través de su respuesta, clasificar como información reservada por el término de cinco años, no obstante, mediante informe justificado el Sujeto Obligado remitió la siguiente información:</w:t>
      </w:r>
    </w:p>
    <w:p w:rsidR="00000000" w:rsidDel="00000000" w:rsidP="00000000" w:rsidRDefault="00000000" w:rsidRPr="00000000" w14:paraId="00000060">
      <w:pPr>
        <w:spacing w:line="360" w:lineRule="auto"/>
        <w:jc w:val="both"/>
        <w:rPr>
          <w:rFonts w:ascii="Palatino Linotype" w:cs="Palatino Linotype" w:eastAsia="Palatino Linotype" w:hAnsi="Palatino Linotype"/>
        </w:rPr>
      </w:pPr>
      <w:bookmarkStart w:colFirst="0" w:colLast="0" w:name="_heading=h.30j0zll"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5554447" cy="1772488"/>
                <wp:effectExtent b="0" l="0" r="0" t="0"/>
                <wp:wrapNone/>
                <wp:docPr id="46" name=""/>
                <a:graphic>
                  <a:graphicData uri="http://schemas.microsoft.com/office/word/2010/wordprocessingShape">
                    <wps:wsp>
                      <wps:cNvCnPr/>
                      <wps:spPr>
                        <a:xfrm>
                          <a:off x="2573539" y="2898519"/>
                          <a:ext cx="5544922" cy="1762963"/>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12700</wp:posOffset>
                </wp:positionV>
                <wp:extent cx="5554447" cy="1772488"/>
                <wp:effectExtent b="0" l="0" r="0" t="0"/>
                <wp:wrapNone/>
                <wp:docPr id="46"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5554447" cy="1772488"/>
                        </a:xfrm>
                        <a:prstGeom prst="rect"/>
                        <a:ln/>
                      </pic:spPr>
                    </pic:pic>
                  </a:graphicData>
                </a:graphic>
              </wp:anchor>
            </w:drawing>
          </mc:Fallback>
        </mc:AlternateContent>
      </w:r>
    </w:p>
    <w:p w:rsidR="00000000" w:rsidDel="00000000" w:rsidP="00000000" w:rsidRDefault="00000000" w:rsidRPr="00000000" w14:paraId="00000061">
      <w:pPr>
        <w:spacing w:line="360" w:lineRule="auto"/>
        <w:jc w:val="both"/>
        <w:rPr>
          <w:rFonts w:ascii="Palatino Linotype" w:cs="Palatino Linotype" w:eastAsia="Palatino Linotype" w:hAnsi="Palatino Linotype"/>
        </w:rPr>
      </w:pPr>
      <w:r w:rsidDel="00000000" w:rsidR="00000000" w:rsidRPr="00000000">
        <w:rPr/>
        <w:drawing>
          <wp:inline distB="0" distT="0" distL="0" distR="0">
            <wp:extent cx="5575300" cy="2654300"/>
            <wp:effectExtent b="0" l="0" r="0" t="0"/>
            <wp:docPr id="56" name="image6.png"/>
            <a:graphic>
              <a:graphicData uri="http://schemas.openxmlformats.org/drawingml/2006/picture">
                <pic:pic>
                  <pic:nvPicPr>
                    <pic:cNvPr id="0" name="image6.png"/>
                    <pic:cNvPicPr preferRelativeResize="0"/>
                  </pic:nvPicPr>
                  <pic:blipFill>
                    <a:blip r:embed="rId12"/>
                    <a:srcRect b="6860" l="33378" r="17967" t="32991"/>
                    <a:stretch>
                      <a:fillRect/>
                    </a:stretch>
                  </pic:blipFill>
                  <pic:spPr>
                    <a:xfrm>
                      <a:off x="0" y="0"/>
                      <a:ext cx="55753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cual se desprende el número total y nombre de los municipios que presentan retrasos en el pago del servicio de agua a la Comisión del Agua del Estado de México, no así los que no pagan agua en el Estado de México, lo que no coincide con lo requerido por el solicitante.</w:t>
      </w:r>
    </w:p>
    <w:p w:rsidR="00000000" w:rsidDel="00000000" w:rsidP="00000000" w:rsidRDefault="00000000" w:rsidRPr="00000000" w14:paraId="0000006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en alcance al informe justificado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proporcionó los municipios de los municipios que no pagan agua en el Estado de México,  en virtud de que no se les brinda el servicio de agua en bloque, colmando con ello el derecho de acceso a la información del recurrente. </w:t>
      </w:r>
    </w:p>
    <w:p w:rsidR="00000000" w:rsidDel="00000000" w:rsidP="00000000" w:rsidRDefault="00000000" w:rsidRPr="00000000" w14:paraId="0000006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Máxime que el área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entregó la información fue la Dirección de Administración y Finanzas, que de acuerdo a sus atribuciones en la competente para generar la información solicitada en términos del artículo 18 fracciones XI y XII, y 22 fracciones VIII a la XIV del Reglamento Interior de la Comisión del Agua del Estado de México, que señala:</w:t>
      </w:r>
    </w:p>
    <w:p w:rsidR="00000000" w:rsidDel="00000000" w:rsidP="00000000" w:rsidRDefault="00000000" w:rsidRPr="00000000" w14:paraId="0000006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9">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“Artículo 18.- Para el cumplimiento de su objeto, la Comisión gozará de autonomía de gestión, financiera y operativa, y tendrá las siguientes atribuciones:</w:t>
      </w:r>
    </w:p>
    <w:p w:rsidR="00000000" w:rsidDel="00000000" w:rsidP="00000000" w:rsidRDefault="00000000" w:rsidRPr="00000000" w14:paraId="0000006A">
      <w:pPr>
        <w:ind w:left="851" w:right="902" w:firstLine="0"/>
        <w:jc w:val="both"/>
        <w:rPr>
          <w:rFonts w:ascii="Palatino Linotype" w:cs="Palatino Linotype" w:eastAsia="Palatino Linotype" w:hAnsi="Palatino Linotype"/>
          <w:b w:val="1"/>
          <w:i w:val="1"/>
          <w:color w:val="000000"/>
          <w:sz w:val="22"/>
          <w:szCs w:val="22"/>
          <w:u w:val="single"/>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XI. Convenir con los municipios la prestación temporal de algunos de los servicios a que se refiere la presente Ley. Durante dicho período temporal, la Comisión tendrá las facultades que esta Ley y su Reglamento otorgan a los municipios y/o a los organismos operadores; </w:t>
      </w:r>
    </w:p>
    <w:p w:rsidR="00000000" w:rsidDel="00000000" w:rsidP="00000000" w:rsidRDefault="00000000" w:rsidRPr="00000000" w14:paraId="0000006B">
      <w:pPr>
        <w:ind w:left="851" w:right="902"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XII. Proporcionar agua en bloque, bajo las condiciones previstas en la presente Ley, su Reglamento y demás normatividad aplicable;</w:t>
      </w:r>
    </w:p>
    <w:p w:rsidR="00000000" w:rsidDel="00000000" w:rsidP="00000000" w:rsidRDefault="00000000" w:rsidRPr="00000000" w14:paraId="0000006C">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6D">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Artículo 22. Corresponden a la Dirección General de Administración y Finanzas las atribuciones siguientes: </w:t>
      </w:r>
    </w:p>
    <w:p w:rsidR="00000000" w:rsidDel="00000000" w:rsidP="00000000" w:rsidRDefault="00000000" w:rsidRPr="00000000" w14:paraId="0000006E">
      <w:pPr>
        <w:ind w:left="851" w:right="902" w:firstLine="0"/>
        <w:jc w:val="both"/>
        <w:rPr>
          <w:rFonts w:ascii="Palatino Linotype" w:cs="Palatino Linotype" w:eastAsia="Palatino Linotype" w:hAnsi="Palatino Linotype"/>
          <w:i w:val="1"/>
          <w:color w:val="000000"/>
          <w:sz w:val="22"/>
          <w:szCs w:val="22"/>
          <w:u w:val="single"/>
        </w:rPr>
      </w:pPr>
      <w:r w:rsidDel="00000000" w:rsidR="00000000" w:rsidRPr="00000000">
        <w:rPr>
          <w:rFonts w:ascii="Palatino Linotype" w:cs="Palatino Linotype" w:eastAsia="Palatino Linotype" w:hAnsi="Palatino Linotype"/>
          <w:i w:val="1"/>
          <w:color w:val="000000"/>
          <w:sz w:val="22"/>
          <w:szCs w:val="22"/>
          <w:rtl w:val="0"/>
        </w:rPr>
        <w:t xml:space="preserve">I. Administrar los recursos humanos, financieros y materiales de la Comisión, </w:t>
      </w:r>
      <w:r w:rsidDel="00000000" w:rsidR="00000000" w:rsidRPr="00000000">
        <w:rPr>
          <w:rFonts w:ascii="Palatino Linotype" w:cs="Palatino Linotype" w:eastAsia="Palatino Linotype" w:hAnsi="Palatino Linotype"/>
          <w:i w:val="1"/>
          <w:color w:val="000000"/>
          <w:sz w:val="22"/>
          <w:szCs w:val="22"/>
          <w:u w:val="single"/>
          <w:rtl w:val="0"/>
        </w:rPr>
        <w:t xml:space="preserve">de acuerdo con las disposiciones aplicables; </w:t>
      </w:r>
    </w:p>
    <w:p w:rsidR="00000000" w:rsidDel="00000000" w:rsidP="00000000" w:rsidRDefault="00000000" w:rsidRPr="00000000" w14:paraId="0000006F">
      <w:pPr>
        <w:ind w:left="851" w:right="902" w:firstLine="0"/>
        <w:jc w:val="both"/>
        <w:rPr>
          <w:rFonts w:ascii="Palatino Linotype" w:cs="Palatino Linotype" w:eastAsia="Palatino Linotype" w:hAnsi="Palatino Linotype"/>
          <w:b w:val="1"/>
          <w:i w:val="1"/>
          <w:color w:val="000000"/>
          <w:sz w:val="22"/>
          <w:szCs w:val="22"/>
          <w:u w:val="single"/>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II. Recaudar los ingresos por los servicios que presta la Comisión; </w:t>
      </w:r>
    </w:p>
    <w:p w:rsidR="00000000" w:rsidDel="00000000" w:rsidP="00000000" w:rsidRDefault="00000000" w:rsidRPr="00000000" w14:paraId="00000070">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III. Establecer las políticas y procedimientos que permitan la eficaz administración de los recursos financieros, humanos y materiales de la Comisión; </w:t>
      </w:r>
    </w:p>
    <w:p w:rsidR="00000000" w:rsidDel="00000000" w:rsidP="00000000" w:rsidRDefault="00000000" w:rsidRPr="00000000" w14:paraId="00000071">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IV. Dirigir las acciones necesarias en la administración de los recursos y operaciones financieras de la Comisión, para el eficiente y eficaz desarrollo de sus atribuciones; </w:t>
      </w:r>
    </w:p>
    <w:p w:rsidR="00000000" w:rsidDel="00000000" w:rsidP="00000000" w:rsidRDefault="00000000" w:rsidRPr="00000000" w14:paraId="00000072">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V. Dirigir las acciones necesarias en la elaboración, integración y aplicación de los presupuestos de ingresos y de egresos; así como en la elaboración, análisis y consolidación de los estados financieros de la Comisión, de conformidad con la legislación aplicable; </w:t>
      </w:r>
    </w:p>
    <w:p w:rsidR="00000000" w:rsidDel="00000000" w:rsidP="00000000" w:rsidRDefault="00000000" w:rsidRPr="00000000" w14:paraId="00000073">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VI. Dirigir las acciones necesarias para proporcionar con oportunidad, los recursos financieros y materiales requeridos por las unidades administrativas de la Comisión; </w:t>
      </w:r>
    </w:p>
    <w:p w:rsidR="00000000" w:rsidDel="00000000" w:rsidP="00000000" w:rsidRDefault="00000000" w:rsidRPr="00000000" w14:paraId="00000074">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VII. Instruir las acciones necesarias para llevar a cabo los procedimientos adquisitivos de bienes, arrendamientos y servicios para el cumplimiento del objeto de la Comisión, con base en la normatividad aplicable; así como suscribir los contratos y convenios derivados de los mismos; </w:t>
      </w:r>
    </w:p>
    <w:p w:rsidR="00000000" w:rsidDel="00000000" w:rsidP="00000000" w:rsidRDefault="00000000" w:rsidRPr="00000000" w14:paraId="00000075">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VIII. Instruir las acciones relativas al registro, asignación, utilización, mantenimiento, conservación y aseguramiento de los valores y bienes muebles e inmuebles propiedad de la Comisión, con base en la normatividad aplicable; </w:t>
      </w:r>
    </w:p>
    <w:p w:rsidR="00000000" w:rsidDel="00000000" w:rsidP="00000000" w:rsidRDefault="00000000" w:rsidRPr="00000000" w14:paraId="00000076">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IX. Ejercer la atribución de autoridad fiscal en términos del presente Reglamento, para hacer efectivos los créditos fiscales a favor de la Comisión, cuando así le sea delegada por el Vocal Ejecutivo; </w:t>
      </w:r>
    </w:p>
    <w:p w:rsidR="00000000" w:rsidDel="00000000" w:rsidP="00000000" w:rsidRDefault="00000000" w:rsidRPr="00000000" w14:paraId="00000077">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X. Determinar la existencia de créditos fiscales, llevar su control y registro, fijando las bases para su liquidación, en términos de la legislación en la materia, así como verificar el cumplimiento del pago de los mismos; </w:t>
      </w:r>
    </w:p>
    <w:p w:rsidR="00000000" w:rsidDel="00000000" w:rsidP="00000000" w:rsidRDefault="00000000" w:rsidRPr="00000000" w14:paraId="00000078">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XI. Iniciar y </w:t>
      </w:r>
      <w:r w:rsidDel="00000000" w:rsidR="00000000" w:rsidRPr="00000000">
        <w:rPr>
          <w:rFonts w:ascii="Palatino Linotype" w:cs="Palatino Linotype" w:eastAsia="Palatino Linotype" w:hAnsi="Palatino Linotype"/>
          <w:i w:val="1"/>
          <w:sz w:val="22"/>
          <w:szCs w:val="22"/>
          <w:rtl w:val="0"/>
        </w:rPr>
        <w:t xml:space="preserve">sustanciar</w:t>
      </w:r>
      <w:r w:rsidDel="00000000" w:rsidR="00000000" w:rsidRPr="00000000">
        <w:rPr>
          <w:rFonts w:ascii="Palatino Linotype" w:cs="Palatino Linotype" w:eastAsia="Palatino Linotype" w:hAnsi="Palatino Linotype"/>
          <w:i w:val="1"/>
          <w:color w:val="000000"/>
          <w:sz w:val="22"/>
          <w:szCs w:val="22"/>
          <w:rtl w:val="0"/>
        </w:rPr>
        <w:t xml:space="preserve"> hasta su resolución, los procedimientos administrativos de ejecución, determinando créditos fiscales, recargos, multas y demás accesorios, en términos de la legislación aplicable; </w:t>
      </w:r>
    </w:p>
    <w:p w:rsidR="00000000" w:rsidDel="00000000" w:rsidP="00000000" w:rsidRDefault="00000000" w:rsidRPr="00000000" w14:paraId="00000079">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XII. Declarar la prescripción o caducidad del crédito fiscal, previo ejercicio de las acciones legales que correspondan; </w:t>
      </w:r>
    </w:p>
    <w:p w:rsidR="00000000" w:rsidDel="00000000" w:rsidP="00000000" w:rsidRDefault="00000000" w:rsidRPr="00000000" w14:paraId="0000007A">
      <w:pPr>
        <w:ind w:left="851" w:right="902" w:firstLine="0"/>
        <w:jc w:val="both"/>
        <w:rPr>
          <w:rFonts w:ascii="Palatino Linotype" w:cs="Palatino Linotype" w:eastAsia="Palatino Linotype" w:hAnsi="Palatino Linotype"/>
          <w:b w:val="1"/>
          <w:i w:val="1"/>
          <w:color w:val="000000"/>
          <w:sz w:val="22"/>
          <w:szCs w:val="22"/>
          <w:u w:val="single"/>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XIII. Establecer y mantener actualizado el padrón de usuarios de los servicios de conducción, suministro y distribución de agua en bloque, cloración y tratamiento de aguas residuales; </w:t>
      </w:r>
    </w:p>
    <w:p w:rsidR="00000000" w:rsidDel="00000000" w:rsidP="00000000" w:rsidRDefault="00000000" w:rsidRPr="00000000" w14:paraId="0000007B">
      <w:pPr>
        <w:ind w:left="851" w:right="902"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XIV. Instruir acciones tendientes a la cobranza por los servicios prestados por la Comisión, estableciendo medidas para el aseguramiento del cobro de los créditos fiscales a favor del Organismo</w:t>
      </w:r>
      <w:r w:rsidDel="00000000" w:rsidR="00000000" w:rsidRPr="00000000">
        <w:rPr>
          <w:rFonts w:ascii="Palatino Linotype" w:cs="Palatino Linotype" w:eastAsia="Palatino Linotype" w:hAnsi="Palatino Linotype"/>
          <w:b w:val="1"/>
          <w:i w:val="1"/>
          <w:color w:val="000000"/>
          <w:sz w:val="22"/>
          <w:szCs w:val="22"/>
          <w:rtl w:val="0"/>
        </w:rPr>
        <w:t xml:space="preserve">; </w:t>
      </w:r>
    </w:p>
    <w:p w:rsidR="00000000" w:rsidDel="00000000" w:rsidP="00000000" w:rsidRDefault="00000000" w:rsidRPr="00000000" w14:paraId="0000007C">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XV. Coordinar el proceso de Mejora Regulatoria de la Comisión y supervisar su cumplimiento; </w:t>
      </w:r>
    </w:p>
    <w:p w:rsidR="00000000" w:rsidDel="00000000" w:rsidP="00000000" w:rsidRDefault="00000000" w:rsidRPr="00000000" w14:paraId="0000007D">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XVI. Presidir los comités de Adquisiciones y de Servicios; y de Arrendamientos, Adquisiciones de Inmuebles y Enajenaciones de la Comisión, de conformidad con las disposiciones jurídicas aplicables, y </w:t>
      </w:r>
    </w:p>
    <w:p w:rsidR="00000000" w:rsidDel="00000000" w:rsidP="00000000" w:rsidRDefault="00000000" w:rsidRPr="00000000" w14:paraId="0000007E">
      <w:pPr>
        <w:ind w:left="851" w:right="902"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XVII. Las demás que le confieran otras disposiciones jurídicas aplicables y aquellas que le encomiende el Vocal Ejecutivo.” (Sic)</w:t>
      </w:r>
    </w:p>
    <w:p w:rsidR="00000000" w:rsidDel="00000000" w:rsidP="00000000" w:rsidRDefault="00000000" w:rsidRPr="00000000" w14:paraId="0000007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se actualiza la causal de sobreseimiento prevista en la fracción III del artículo 192 de la Ley de Transparencia y Acceso a la Información Pública del Estado de México y Municipios, que dispone lo siguiente:</w:t>
      </w:r>
    </w:p>
    <w:p w:rsidR="00000000" w:rsidDel="00000000" w:rsidP="00000000" w:rsidRDefault="00000000" w:rsidRPr="00000000" w14:paraId="00000081">
      <w:pPr>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82">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192. </w:t>
      </w:r>
      <w:r w:rsidDel="00000000" w:rsidR="00000000" w:rsidRPr="00000000">
        <w:rPr>
          <w:rFonts w:ascii="Palatino Linotype" w:cs="Palatino Linotype" w:eastAsia="Palatino Linotype" w:hAnsi="Palatino Linotype"/>
          <w:i w:val="1"/>
          <w:sz w:val="22"/>
          <w:szCs w:val="22"/>
          <w:rtl w:val="0"/>
        </w:rPr>
        <w:t xml:space="preserve">El recurso será sobreseído en todo o en parte cuando una vez admitido, se actualicen alguno de los siguientes supuestos:</w:t>
      </w:r>
    </w:p>
    <w:p w:rsidR="00000000" w:rsidDel="00000000" w:rsidP="00000000" w:rsidRDefault="00000000" w:rsidRPr="00000000" w14:paraId="00000083">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84">
      <w:pPr>
        <w:ind w:left="992" w:right="104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El sujeto obligado responsable del acto lo modifique o revoque de tal manera que el recurso de revisión quede sin materia…”. (Sic)</w:t>
      </w:r>
    </w:p>
    <w:p w:rsidR="00000000" w:rsidDel="00000000" w:rsidP="00000000" w:rsidRDefault="00000000" w:rsidRPr="00000000" w14:paraId="00000085">
      <w:pPr>
        <w:spacing w:line="360" w:lineRule="auto"/>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86">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establecido en el precepto legal citado se advierte que el sobreseimiento del recurso de revisión procede en los siguientes casos:</w:t>
      </w:r>
    </w:p>
    <w:p w:rsidR="00000000" w:rsidDel="00000000" w:rsidP="00000000" w:rsidRDefault="00000000" w:rsidRPr="00000000" w14:paraId="0000008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Cuando el sujeto obligado modifique el acto impugnado.</w:t>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 Cuando el sujeto obligado revoque el acto impugnado.</w:t>
      </w:r>
    </w:p>
    <w:p w:rsidR="00000000" w:rsidDel="00000000" w:rsidP="00000000" w:rsidRDefault="00000000" w:rsidRPr="00000000" w14:paraId="0000008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Quedando en ambos casos el acto combatido sin materia o sin efectos.</w:t>
      </w:r>
    </w:p>
    <w:p w:rsidR="00000000" w:rsidDel="00000000" w:rsidP="00000000" w:rsidRDefault="00000000" w:rsidRPr="00000000" w14:paraId="0000008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observa de lo anterior, un acto impugnado es modificado en aquellos casos en los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después de haber otorgado una respuesta, emite una diversa de manera posterior y en ésta subsana las deficiencias que hubiera tenido, quedando satisfecho el derecho subjetivo accionado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8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hace a la revocación, esta se actualiza cuando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deja sin efectos la primera respuesta y en su lugar emite otra con las características y cualidades suficientes para dejar satisfecho el ejercicio del derecho al acceso a la información pública.</w:t>
      </w:r>
    </w:p>
    <w:p w:rsidR="00000000" w:rsidDel="00000000" w:rsidP="00000000" w:rsidRDefault="00000000" w:rsidRPr="00000000" w14:paraId="0000008C">
      <w:pPr>
        <w:spacing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tenor, un acto impugnado queda sin efectos, cuando aun existiendo jurídicamente (esto es, que no se ha modificado, ni revocado) ya no genera ninguna consecuencia legal.</w:t>
      </w:r>
    </w:p>
    <w:p w:rsidR="00000000" w:rsidDel="00000000" w:rsidP="00000000" w:rsidRDefault="00000000" w:rsidRPr="00000000" w14:paraId="0000008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tanto, en el presente caso queda sin materia toda vez que con el alcance al Informe Justificado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modificó la respuesta al remitir el número y nombre de los municipios que no pagan agua a la Comisión del Agua del Estado de México.</w:t>
      </w:r>
    </w:p>
    <w:p w:rsidR="00000000" w:rsidDel="00000000" w:rsidP="00000000" w:rsidRDefault="00000000" w:rsidRPr="00000000" w14:paraId="0000008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es evidente que con ello queda sin materia el presente recurso de revisión, ya que la inconformidad sobre la información incompleta, se subsanó con la información entregada en alcance al informe justificado dentro del apartado de manifestaciones del SAIMEX, que fue puesta a la vista de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ya no cobraría sentido; y si respecto de la misma no formuló alegato alguno dentro del plazo concedido para tal efecto se entiende que se encuentra satisfecho.</w:t>
      </w:r>
    </w:p>
    <w:p w:rsidR="00000000" w:rsidDel="00000000" w:rsidP="00000000" w:rsidRDefault="00000000" w:rsidRPr="00000000" w14:paraId="0000009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resumen,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dio respuesta completa a la solicitud de acceso a la información pública del ahora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000000" w:rsidDel="00000000" w:rsidP="00000000" w:rsidRDefault="00000000" w:rsidRPr="00000000" w14:paraId="0000009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el </w:t>
      </w:r>
      <w:r w:rsidDel="00000000" w:rsidR="00000000" w:rsidRPr="00000000">
        <w:rPr>
          <w:rFonts w:ascii="Palatino Linotype" w:cs="Palatino Linotype" w:eastAsia="Palatino Linotype" w:hAnsi="Palatino Linotype"/>
          <w:i w:val="1"/>
          <w:rtl w:val="0"/>
        </w:rPr>
        <w:t xml:space="preserve">sobreseimiento</w:t>
      </w:r>
      <w:r w:rsidDel="00000000" w:rsidR="00000000" w:rsidRPr="00000000">
        <w:rPr>
          <w:rFonts w:ascii="Palatino Linotype" w:cs="Palatino Linotype" w:eastAsia="Palatino Linotype" w:hAnsi="Palatino Linotype"/>
          <w:rtl w:val="0"/>
        </w:rPr>
        <w:t xml:space="preserve"> un acto que da por terminado el procedimiento administrativo de impugnación sin resolver el fondo de la cuestión planteada, por presentarse causas que impiden a la autoridad referirse a lo sustancial de lo planteado por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los efectos del sobreseimiento son los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092">
      <w:pPr>
        <w:spacing w:after="240" w:before="240" w:line="360" w:lineRule="auto"/>
        <w:ind w:left="567" w:right="567"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SOBRESEIMIENTO, NO PERMITE ENTRAR AL ESTUDIO DE LAS CUESTIONES DE FONDO</w:t>
      </w:r>
      <w:r w:rsidDel="00000000" w:rsidR="00000000" w:rsidRPr="00000000">
        <w:rPr>
          <w:rtl w:val="0"/>
        </w:rPr>
      </w:r>
    </w:p>
    <w:p w:rsidR="00000000" w:rsidDel="00000000" w:rsidP="00000000" w:rsidRDefault="00000000" w:rsidRPr="00000000" w14:paraId="00000093">
      <w:pPr>
        <w:spacing w:before="24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Localización: 213609. II.2o.183 K. Tribunales Colegiados de Circuito. Octava Época. Semanario Judicial de la Federación. Tomo XIII, Febrero de 1994, Pág. 420</w:t>
      </w:r>
    </w:p>
    <w:p w:rsidR="00000000" w:rsidDel="00000000" w:rsidP="00000000" w:rsidRDefault="00000000" w:rsidRPr="00000000" w14:paraId="00000094">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000000" w:rsidDel="00000000" w:rsidP="00000000" w:rsidRDefault="00000000" w:rsidRPr="00000000" w14:paraId="00000095">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6">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destacar que la decisión de este órgano colegiado de sobreseer el recurso de revisión no implica una limitación o negación a la justicia, según lo ha establecido el Poder Judicial Federal, en el criterio que es aplicable por analogía, con rubro:</w:t>
      </w:r>
    </w:p>
    <w:p w:rsidR="00000000" w:rsidDel="00000000" w:rsidP="00000000" w:rsidRDefault="00000000" w:rsidRPr="00000000" w14:paraId="00000097">
      <w:pPr>
        <w:spacing w:before="24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“DESECHAMIENTO O SOBRESEIMIENTO EN EL JUICIO DE AMPARO. NO IMPLICA DENEGACIÓN DE JUSTICIA NI GENERA INSEGURIDAD JURÍDICA”</w:t>
      </w:r>
    </w:p>
    <w:p w:rsidR="00000000" w:rsidDel="00000000" w:rsidP="00000000" w:rsidRDefault="00000000" w:rsidRPr="00000000" w14:paraId="00000098">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000000" w:rsidDel="00000000" w:rsidP="00000000" w:rsidRDefault="00000000" w:rsidRPr="00000000" w14:paraId="00000099">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A">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9B">
      <w:pPr>
        <w:spacing w:before="240" w:line="360" w:lineRule="auto"/>
        <w:ind w:left="36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III.R E S U E L V E:</w:t>
      </w:r>
    </w:p>
    <w:p w:rsidR="00000000" w:rsidDel="00000000" w:rsidP="00000000" w:rsidRDefault="00000000" w:rsidRPr="00000000" w14:paraId="0000009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highlight w:val="white"/>
          <w:rtl w:val="0"/>
        </w:rPr>
        <w:t xml:space="preserve">Primero</w:t>
      </w:r>
      <w:r w:rsidDel="00000000" w:rsidR="00000000" w:rsidRPr="00000000">
        <w:rPr>
          <w:rFonts w:ascii="Palatino Linotype" w:cs="Palatino Linotype" w:eastAsia="Palatino Linotype" w:hAnsi="Palatino Linotype"/>
          <w:highlight w:val="white"/>
          <w:rtl w:val="0"/>
        </w:rPr>
        <w:t xml:space="preserve">. Se </w:t>
      </w:r>
      <w:r w:rsidDel="00000000" w:rsidR="00000000" w:rsidRPr="00000000">
        <w:rPr>
          <w:rFonts w:ascii="Palatino Linotype" w:cs="Palatino Linotype" w:eastAsia="Palatino Linotype" w:hAnsi="Palatino Linotype"/>
          <w:b w:val="1"/>
          <w:highlight w:val="white"/>
          <w:rtl w:val="0"/>
        </w:rPr>
        <w:t xml:space="preserve">SOBRESEE</w:t>
      </w:r>
      <w:r w:rsidDel="00000000" w:rsidR="00000000" w:rsidRPr="00000000">
        <w:rPr>
          <w:rFonts w:ascii="Palatino Linotype" w:cs="Palatino Linotype" w:eastAsia="Palatino Linotype" w:hAnsi="Palatino Linotype"/>
          <w:highlight w:val="white"/>
          <w:rtl w:val="0"/>
        </w:rPr>
        <w:t xml:space="preserve"> el recurso de revisión número </w:t>
      </w:r>
      <w:r w:rsidDel="00000000" w:rsidR="00000000" w:rsidRPr="00000000">
        <w:rPr>
          <w:rFonts w:ascii="Palatino Linotype" w:cs="Palatino Linotype" w:eastAsia="Palatino Linotype" w:hAnsi="Palatino Linotype"/>
          <w:b w:val="1"/>
          <w:highlight w:val="white"/>
          <w:rtl w:val="0"/>
        </w:rPr>
        <w:t xml:space="preserve">01139/INFOEM/IP/RR/2022</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porque al modificar la respuesta el recurso de revisión quedó sin materia en términos del Considerando Tercero de la presente resolución.</w:t>
      </w:r>
    </w:p>
    <w:p w:rsidR="00000000" w:rsidDel="00000000" w:rsidP="00000000" w:rsidRDefault="00000000" w:rsidRPr="00000000" w14:paraId="0000009D">
      <w:pPr>
        <w:spacing w:line="360" w:lineRule="auto"/>
        <w:jc w:val="both"/>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9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highlight w:val="white"/>
          <w:rtl w:val="0"/>
        </w:rPr>
        <w:t xml:space="preserve">Segundo. Notifíquese vía SAIMEX</w:t>
      </w:r>
      <w:r w:rsidDel="00000000" w:rsidR="00000000" w:rsidRPr="00000000">
        <w:rPr>
          <w:rFonts w:ascii="Palatino Linotype" w:cs="Palatino Linotype" w:eastAsia="Palatino Linotype" w:hAnsi="Palatino Linotype"/>
          <w:b w:val="1"/>
          <w:i w:val="1"/>
          <w:highlight w:val="white"/>
          <w:rtl w:val="0"/>
        </w:rPr>
        <w:t xml:space="preserve">, </w:t>
      </w:r>
      <w:r w:rsidDel="00000000" w:rsidR="00000000" w:rsidRPr="00000000">
        <w:rPr>
          <w:rFonts w:ascii="Palatino Linotype" w:cs="Palatino Linotype" w:eastAsia="Palatino Linotype" w:hAnsi="Palatino Linotype"/>
          <w:highlight w:val="white"/>
          <w:rtl w:val="0"/>
        </w:rPr>
        <w:t xml:space="preserve">al Responsable de la Unidad de Transparencia del </w:t>
      </w:r>
      <w:r w:rsidDel="00000000" w:rsidR="00000000" w:rsidRPr="00000000">
        <w:rPr>
          <w:rFonts w:ascii="Palatino Linotype" w:cs="Palatino Linotype" w:eastAsia="Palatino Linotype" w:hAnsi="Palatino Linotype"/>
          <w:b w:val="1"/>
          <w:highlight w:val="white"/>
          <w:rtl w:val="0"/>
        </w:rPr>
        <w:t xml:space="preserve">SUJETO OBLIGADO</w:t>
      </w:r>
      <w:r w:rsidDel="00000000" w:rsidR="00000000" w:rsidRPr="00000000">
        <w:rPr>
          <w:rFonts w:ascii="Palatino Linotype" w:cs="Palatino Linotype" w:eastAsia="Palatino Linotype" w:hAnsi="Palatino Linotype"/>
          <w:highlight w:val="white"/>
          <w:rtl w:val="0"/>
        </w:rPr>
        <w:t xml:space="preserve"> la presente resolución, para su conocimiento, lo anterior en términos del artículo 189 de la </w:t>
      </w:r>
      <w:r w:rsidDel="00000000" w:rsidR="00000000" w:rsidRPr="00000000">
        <w:rPr>
          <w:rFonts w:ascii="Palatino Linotype" w:cs="Palatino Linotype" w:eastAsia="Palatino Linotype" w:hAnsi="Palatino Linotype"/>
          <w:rtl w:val="0"/>
        </w:rPr>
        <w:t xml:space="preserve">Ley de Transparencia y Acceso a la Información Pública del Estado de México y Municipios.</w:t>
      </w:r>
    </w:p>
    <w:p w:rsidR="00000000" w:rsidDel="00000000" w:rsidP="00000000" w:rsidRDefault="00000000" w:rsidRPr="00000000" w14:paraId="0000009F">
      <w:pPr>
        <w:spacing w:line="360" w:lineRule="auto"/>
        <w:jc w:val="both"/>
        <w:rPr>
          <w:rFonts w:ascii="Palatino Linotype" w:cs="Palatino Linotype" w:eastAsia="Palatino Linotype" w:hAnsi="Palatino Linotype"/>
          <w:highlight w:val="white"/>
        </w:rPr>
      </w:pPr>
      <w:r w:rsidDel="00000000" w:rsidR="00000000" w:rsidRPr="00000000">
        <w:rPr>
          <w:rtl w:val="0"/>
        </w:rPr>
      </w:r>
    </w:p>
    <w:p w:rsidR="00000000" w:rsidDel="00000000" w:rsidP="00000000" w:rsidRDefault="00000000" w:rsidRPr="00000000" w14:paraId="000000A0">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a través </w:t>
      </w:r>
      <w:r w:rsidDel="00000000" w:rsidR="00000000" w:rsidRPr="00000000">
        <w:rPr>
          <w:rFonts w:ascii="Palatino Linotype" w:cs="Palatino Linotype" w:eastAsia="Palatino Linotype" w:hAnsi="Palatino Linotype"/>
          <w:rtl w:val="0"/>
        </w:rPr>
        <w:t xml:space="preserve"> del Sistema de Acceso a la Información Mexiquense y correo electrónico, al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rsidR="00000000" w:rsidDel="00000000" w:rsidP="00000000" w:rsidRDefault="00000000" w:rsidRPr="00000000" w14:paraId="000000A1">
      <w:pPr>
        <w:spacing w:after="240" w:before="240" w:line="360" w:lineRule="auto"/>
        <w:jc w:val="both"/>
        <w:rPr>
          <w:rFonts w:ascii="Palatino Linotype" w:cs="Palatino Linotype" w:eastAsia="Palatino Linotype" w:hAnsi="Palatino Linotype"/>
        </w:rPr>
      </w:pPr>
      <w:bookmarkStart w:colFirst="0" w:colLast="0" w:name="_heading=h.gjdgxs" w:id="1"/>
      <w:bookmarkEnd w:id="1"/>
      <w:r w:rsidDel="00000000" w:rsidR="00000000" w:rsidRPr="00000000">
        <w:rPr>
          <w:rFonts w:ascii="Palatino Linotype" w:cs="Palatino Linotype" w:eastAsia="Palatino Linotype" w:hAnsi="Palatino Linotype"/>
          <w:color w:val="222222"/>
          <w:highlight w:val="whit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ONCE</w:t>
      </w:r>
      <w:r w:rsidDel="00000000" w:rsidR="00000000" w:rsidRPr="00000000">
        <w:rPr>
          <w:rFonts w:ascii="Palatino Linotype" w:cs="Palatino Linotype" w:eastAsia="Palatino Linotype" w:hAnsi="Palatino Linotype"/>
          <w:rtl w:val="0"/>
        </w:rPr>
        <w:t xml:space="preserve"> DE MAYO DEL DOS MIL VEINTIDÓS, ANTE EL SECRETARIO TÉCNICO DEL PLENO ALEXIS TAPIA RAMÍREZ.   </w:t>
      </w:r>
    </w:p>
    <w:p w:rsidR="00000000" w:rsidDel="00000000" w:rsidP="00000000" w:rsidRDefault="00000000" w:rsidRPr="00000000" w14:paraId="000000A2">
      <w:pPr>
        <w:spacing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A">
      <w:pPr>
        <w:spacing w:line="360" w:lineRule="auto"/>
        <w:jc w:val="both"/>
        <w:rPr>
          <w:rFonts w:ascii="Palatino Linotype" w:cs="Palatino Linotype" w:eastAsia="Palatino Linotype" w:hAnsi="Palatino Linotype"/>
        </w:rPr>
        <w:sectPr>
          <w:headerReference r:id="rId19" w:type="default"/>
          <w:headerReference r:id="rId20" w:type="first"/>
          <w:footerReference r:id="rId21" w:type="default"/>
          <w:footerReference r:id="rId22" w:type="first"/>
          <w:pgSz w:h="15840" w:w="12240" w:orient="portrait"/>
          <w:pgMar w:bottom="1276" w:top="1417" w:left="1701" w:right="1701" w:header="709" w:footer="709"/>
          <w:pgNumType w:start="1"/>
          <w:titlePg w:val="1"/>
        </w:sectPr>
      </w:pPr>
      <w:r w:rsidDel="00000000" w:rsidR="00000000" w:rsidRPr="00000000">
        <w:rPr>
          <w:rtl w:val="0"/>
        </w:rPr>
      </w:r>
    </w:p>
    <w:p w:rsidR="00000000" w:rsidDel="00000000" w:rsidP="00000000" w:rsidRDefault="00000000" w:rsidRPr="00000000" w14:paraId="000000AB">
      <w:pPr>
        <w:spacing w:after="240" w:line="360" w:lineRule="auto"/>
        <w:jc w:val="both"/>
        <w:rPr>
          <w:rFonts w:ascii="Palatino Linotype" w:cs="Palatino Linotype" w:eastAsia="Palatino Linotype" w:hAnsi="Palatino Linotype"/>
        </w:rPr>
      </w:pPr>
      <w:r w:rsidDel="00000000" w:rsidR="00000000" w:rsidRPr="00000000">
        <w:rPr>
          <w:rtl w:val="0"/>
        </w:rPr>
      </w:r>
    </w:p>
    <w:sectPr>
      <w:headerReference r:id="rId23" w:type="first"/>
      <w:type w:val="nextPage"/>
      <w:pgSz w:h="15840" w:w="12240" w:orient="portrait"/>
      <w:pgMar w:bottom="1276" w:top="1417"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pos="4419"/>
        <w:tab w:val="right" w:pos="8838"/>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center" w:pos="4419"/>
        <w:tab w:val="right" w:pos="8838"/>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-667459</wp:posOffset>
          </wp:positionH>
          <wp:positionV relativeFrom="paragraph">
            <wp:posOffset>-239698</wp:posOffset>
          </wp:positionV>
          <wp:extent cx="7635240" cy="9942830"/>
          <wp:effectExtent b="0" l="0" r="0" t="0"/>
          <wp:wrapNone/>
          <wp:docPr id="4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240" cy="9942830"/>
                  </a:xfrm>
                  <a:prstGeom prst="rect"/>
                  <a:ln/>
                </pic:spPr>
              </pic:pic>
            </a:graphicData>
          </a:graphic>
        </wp:anchor>
      </w:drawing>
    </w:r>
  </w:p>
  <w:tbl>
    <w:tblPr>
      <w:tblStyle w:val="Table1"/>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A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AE">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01139/INFOEM/IP/RR/2022 </w:t>
          </w:r>
        </w:p>
      </w:tc>
    </w:tr>
    <w:tr>
      <w:trPr>
        <w:cantSplit w:val="0"/>
        <w:tblHeader w:val="0"/>
      </w:trPr>
      <w:tc>
        <w:tcPr>
          <w:vAlign w:val="center"/>
        </w:tcPr>
        <w:p w:rsidR="00000000" w:rsidDel="00000000" w:rsidP="00000000" w:rsidRDefault="00000000" w:rsidRPr="00000000" w14:paraId="000000AF">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0B0">
          <w:pPr>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0B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B2">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Comisión del Agua del Estado de México.</w:t>
          </w:r>
        </w:p>
      </w:tc>
    </w:tr>
    <w:tr>
      <w:trPr>
        <w:cantSplit w:val="0"/>
        <w:tblHeader w:val="0"/>
      </w:trPr>
      <w:tc>
        <w:tcPr>
          <w:vAlign w:val="center"/>
        </w:tcPr>
        <w:p w:rsidR="00000000" w:rsidDel="00000000" w:rsidP="00000000" w:rsidRDefault="00000000" w:rsidRPr="00000000" w14:paraId="000000B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B4">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-680311</wp:posOffset>
          </wp:positionH>
          <wp:positionV relativeFrom="paragraph">
            <wp:posOffset>-454175</wp:posOffset>
          </wp:positionV>
          <wp:extent cx="7635600" cy="9943200"/>
          <wp:effectExtent b="0" l="0" r="0" t="0"/>
          <wp:wrapNone/>
          <wp:docPr id="4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35600" cy="9943200"/>
                  </a:xfrm>
                  <a:prstGeom prst="rect"/>
                  <a:ln/>
                </pic:spPr>
              </pic:pic>
            </a:graphicData>
          </a:graphic>
        </wp:anchor>
      </w:drawing>
    </w:r>
  </w:p>
  <w:tbl>
    <w:tblPr>
      <w:tblStyle w:val="Table2"/>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0B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0B8">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01139/INFOEM/IP/RR/2022.</w:t>
          </w:r>
        </w:p>
      </w:tc>
    </w:tr>
    <w:tr>
      <w:trPr>
        <w:cantSplit w:val="0"/>
        <w:trHeight w:val="228" w:hRule="atLeast"/>
        <w:tblHeader w:val="0"/>
      </w:trPr>
      <w:tc>
        <w:tcPr>
          <w:vAlign w:val="center"/>
        </w:tcPr>
        <w:p w:rsidR="00000000" w:rsidDel="00000000" w:rsidP="00000000" w:rsidRDefault="00000000" w:rsidRPr="00000000" w14:paraId="000000B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0BA">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Comisión del Agua del Estado de México.</w:t>
          </w:r>
        </w:p>
      </w:tc>
    </w:tr>
    <w:tr>
      <w:trPr>
        <w:cantSplit w:val="0"/>
        <w:tblHeader w:val="0"/>
      </w:trPr>
      <w:tc>
        <w:tcPr>
          <w:vAlign w:val="center"/>
        </w:tcPr>
        <w:p w:rsidR="00000000" w:rsidDel="00000000" w:rsidP="00000000" w:rsidRDefault="00000000" w:rsidRPr="00000000" w14:paraId="000000B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0BC">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pos="4419"/>
        <w:tab w:val="right"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bullet"/>
      <w:lvlText w:val="-"/>
      <w:lvlJc w:val="left"/>
      <w:pPr>
        <w:ind w:left="48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Roman"/>
      <w:lvlText w:val="%1."/>
      <w:lvlJc w:val="righ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E5396"/>
    <w:rPr>
      <w:lang w:eastAsia="es-ES"/>
    </w:rPr>
  </w:style>
  <w:style w:type="paragraph" w:styleId="Ttulo1">
    <w:name w:val="heading 1"/>
    <w:basedOn w:val="Normal"/>
    <w:link w:val="Ttulo1Car"/>
    <w:uiPriority w:val="9"/>
    <w:qFormat w:val="1"/>
    <w:rsid w:val="00815308"/>
    <w:pPr>
      <w:spacing w:after="100" w:afterAutospacing="1" w:before="100" w:beforeAutospacing="1"/>
      <w:outlineLvl w:val="0"/>
    </w:pPr>
    <w:rPr>
      <w:b w:val="1"/>
      <w:bCs w:val="1"/>
      <w:kern w:val="36"/>
      <w:sz w:val="48"/>
      <w:szCs w:val="48"/>
      <w:lang w:eastAsia="es-MX" w:val="es-MX"/>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paragraph" w:styleId="Textoindependiente">
    <w:name w:val="Body Text"/>
    <w:basedOn w:val="Normal"/>
    <w:link w:val="TextoindependienteCar"/>
    <w:uiPriority w:val="1"/>
    <w:unhideWhenUsed w:val="1"/>
    <w:qFormat w:val="1"/>
    <w:rsid w:val="002E5396"/>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2E5396"/>
    <w:rPr>
      <w:rFonts w:ascii="Times New Roman" w:cs="Times New Roman" w:hAnsi="Times New Roman"/>
      <w:sz w:val="23"/>
      <w:szCs w:val="23"/>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2E5396"/>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2E5396"/>
    <w:pPr>
      <w:ind w:left="708"/>
    </w:pPr>
    <w:rPr>
      <w:sz w:val="22"/>
      <w:szCs w:val="22"/>
      <w:lang w:eastAsia="en-US"/>
    </w:rPr>
  </w:style>
  <w:style w:type="paragraph" w:styleId="paragraph" w:customStyle="1">
    <w:name w:val="paragraph"/>
    <w:basedOn w:val="Normal"/>
    <w:rsid w:val="002E5396"/>
    <w:pPr>
      <w:spacing w:after="100" w:afterAutospacing="1" w:before="100" w:beforeAutospacing="1"/>
    </w:pPr>
    <w:rPr>
      <w:lang w:eastAsia="es-MX" w:val="es-MX"/>
    </w:rPr>
  </w:style>
  <w:style w:type="character" w:styleId="normaltextrun" w:customStyle="1">
    <w:name w:val="normaltextrun"/>
    <w:basedOn w:val="Fuentedeprrafopredeter"/>
    <w:rsid w:val="002E5396"/>
  </w:style>
  <w:style w:type="character" w:styleId="apple-converted-space" w:customStyle="1">
    <w:name w:val="apple-converted-space"/>
    <w:basedOn w:val="Fuentedeprrafopredeter"/>
    <w:rsid w:val="002E5396"/>
  </w:style>
  <w:style w:type="character" w:styleId="eop" w:customStyle="1">
    <w:name w:val="eop"/>
    <w:basedOn w:val="Fuentedeprrafopredeter"/>
    <w:rsid w:val="002E5396"/>
  </w:style>
  <w:style w:type="table" w:styleId="Tablaconcuadrcula">
    <w:name w:val="Table Grid"/>
    <w:basedOn w:val="Tablanormal"/>
    <w:uiPriority w:val="59"/>
    <w:rsid w:val="002E5396"/>
    <w:rPr>
      <w:rFonts w:eastAsiaTheme="minorEastAsia"/>
      <w:lang w:eastAsia="es-ES" w:val="es-ES_tradnl"/>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
    <w:name w:val="Hyperlink"/>
    <w:basedOn w:val="Fuentedeprrafopredeter"/>
    <w:uiPriority w:val="99"/>
    <w:unhideWhenUsed w:val="1"/>
    <w:rsid w:val="002E5396"/>
    <w:rPr>
      <w:color w:val="0000ff"/>
      <w:u w:val="single"/>
    </w:rPr>
  </w:style>
  <w:style w:type="paragraph" w:styleId="Encabezado">
    <w:name w:val="header"/>
    <w:basedOn w:val="Normal"/>
    <w:link w:val="EncabezadoCar"/>
    <w:uiPriority w:val="99"/>
    <w:unhideWhenUsed w:val="1"/>
    <w:rsid w:val="00224D6A"/>
    <w:pPr>
      <w:tabs>
        <w:tab w:val="center" w:pos="4419"/>
        <w:tab w:val="right" w:pos="8838"/>
      </w:tabs>
    </w:pPr>
  </w:style>
  <w:style w:type="character" w:styleId="EncabezadoCar" w:customStyle="1">
    <w:name w:val="Encabezado Car"/>
    <w:basedOn w:val="Fuentedeprrafopredeter"/>
    <w:link w:val="Encabezado"/>
    <w:uiPriority w:val="99"/>
    <w:rsid w:val="00224D6A"/>
    <w:rPr>
      <w:rFonts w:ascii="Times New Roman" w:cs="Times New Roman" w:eastAsia="Times New Roman" w:hAnsi="Times New Roman"/>
      <w:sz w:val="24"/>
      <w:szCs w:val="24"/>
      <w:lang w:eastAsia="es-ES" w:val="es-ES"/>
    </w:rPr>
  </w:style>
  <w:style w:type="paragraph" w:styleId="Piedepgina">
    <w:name w:val="footer"/>
    <w:basedOn w:val="Normal"/>
    <w:link w:val="PiedepginaCar"/>
    <w:uiPriority w:val="99"/>
    <w:unhideWhenUsed w:val="1"/>
    <w:rsid w:val="00224D6A"/>
    <w:pPr>
      <w:tabs>
        <w:tab w:val="center" w:pos="4419"/>
        <w:tab w:val="right" w:pos="8838"/>
      </w:tabs>
    </w:pPr>
  </w:style>
  <w:style w:type="character" w:styleId="PiedepginaCar" w:customStyle="1">
    <w:name w:val="Pie de página Car"/>
    <w:basedOn w:val="Fuentedeprrafopredeter"/>
    <w:link w:val="Piedepgina"/>
    <w:uiPriority w:val="99"/>
    <w:rsid w:val="00224D6A"/>
    <w:rPr>
      <w:rFonts w:ascii="Times New Roman" w:cs="Times New Roman" w:eastAsia="Times New Roman" w:hAnsi="Times New Roman"/>
      <w:sz w:val="24"/>
      <w:szCs w:val="24"/>
      <w:lang w:eastAsia="es-ES" w:val="es-ES"/>
    </w:rPr>
  </w:style>
  <w:style w:type="paragraph" w:styleId="Sinespaciado">
    <w:name w:val="No Spacing"/>
    <w:aliases w:val="Francesa"/>
    <w:link w:val="SinespaciadoCar"/>
    <w:uiPriority w:val="1"/>
    <w:qFormat w:val="1"/>
    <w:rsid w:val="001E35F1"/>
  </w:style>
  <w:style w:type="character" w:styleId="SinespaciadoCar" w:customStyle="1">
    <w:name w:val="Sin espaciado Car"/>
    <w:aliases w:val="Francesa Car"/>
    <w:link w:val="Sinespaciado"/>
    <w:uiPriority w:val="1"/>
    <w:locked w:val="1"/>
    <w:rsid w:val="001E35F1"/>
  </w:style>
  <w:style w:type="character" w:styleId="Textoennegrita">
    <w:name w:val="Strong"/>
    <w:uiPriority w:val="22"/>
    <w:qFormat w:val="1"/>
    <w:rsid w:val="00FE56B6"/>
    <w:rPr>
      <w:b w:val="1"/>
      <w:bCs w:val="1"/>
    </w:rPr>
  </w:style>
  <w:style w:type="paragraph" w:styleId="Textodeglobo">
    <w:name w:val="Balloon Text"/>
    <w:basedOn w:val="Normal"/>
    <w:link w:val="TextodegloboCar"/>
    <w:uiPriority w:val="99"/>
    <w:semiHidden w:val="1"/>
    <w:unhideWhenUsed w:val="1"/>
    <w:rsid w:val="00E72E93"/>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E72E93"/>
    <w:rPr>
      <w:rFonts w:ascii="Segoe UI" w:cs="Segoe UI" w:eastAsia="Times New Roman" w:hAnsi="Segoe UI"/>
      <w:sz w:val="18"/>
      <w:szCs w:val="18"/>
      <w:lang w:eastAsia="es-ES" w:val="es-ES"/>
    </w:rPr>
  </w:style>
  <w:style w:type="character" w:styleId="Nmerodelnea">
    <w:name w:val="line number"/>
    <w:basedOn w:val="Fuentedeprrafopredeter"/>
    <w:uiPriority w:val="99"/>
    <w:semiHidden w:val="1"/>
    <w:unhideWhenUsed w:val="1"/>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114A6D"/>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cs="Times New Roman" w:eastAsia="Times New Roman" w:hAnsi="Times New Roman"/>
      <w:sz w:val="20"/>
      <w:szCs w:val="20"/>
      <w:lang w:eastAsia="es-ES" w:val="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val="1"/>
    <w:rsid w:val="00114A6D"/>
    <w:rPr>
      <w:vertAlign w:val="superscript"/>
    </w:rPr>
  </w:style>
  <w:style w:type="paragraph" w:styleId="Default" w:customStyle="1">
    <w:name w:val="Default"/>
    <w:rsid w:val="00A13C6C"/>
    <w:pPr>
      <w:autoSpaceDE w:val="0"/>
      <w:autoSpaceDN w:val="0"/>
      <w:adjustRightInd w:val="0"/>
    </w:pPr>
    <w:rPr>
      <w:rFonts w:ascii="Arial" w:cs="Arial" w:hAnsi="Arial"/>
      <w:color w:val="000000"/>
    </w:rPr>
  </w:style>
  <w:style w:type="character" w:styleId="Hipervnculovisitado">
    <w:name w:val="FollowedHyperlink"/>
    <w:basedOn w:val="Fuentedeprrafopredeter"/>
    <w:uiPriority w:val="99"/>
    <w:semiHidden w:val="1"/>
    <w:unhideWhenUsed w:val="1"/>
    <w:rsid w:val="002B22DF"/>
    <w:rPr>
      <w:color w:val="954f72" w:themeColor="followedHyperlink"/>
      <w:u w:val="single"/>
    </w:rPr>
  </w:style>
  <w:style w:type="paragraph" w:styleId="j" w:customStyle="1">
    <w:name w:val="j"/>
    <w:basedOn w:val="Normal"/>
    <w:rsid w:val="00300B23"/>
    <w:pPr>
      <w:spacing w:after="100" w:afterAutospacing="1" w:before="100" w:beforeAutospacing="1"/>
    </w:pPr>
    <w:rPr>
      <w:lang w:eastAsia="es-MX" w:val="es-MX"/>
    </w:rPr>
  </w:style>
  <w:style w:type="character" w:styleId="h" w:customStyle="1">
    <w:name w:val="h"/>
    <w:basedOn w:val="Fuentedeprrafopredeter"/>
    <w:rsid w:val="00300B23"/>
  </w:style>
  <w:style w:type="character" w:styleId="nacep" w:customStyle="1">
    <w:name w:val="n_acep"/>
    <w:basedOn w:val="Fuentedeprrafopredeter"/>
    <w:rsid w:val="00300B23"/>
  </w:style>
  <w:style w:type="character" w:styleId="A8" w:customStyle="1">
    <w:name w:val="A8"/>
    <w:uiPriority w:val="99"/>
    <w:rsid w:val="00180F38"/>
    <w:rPr>
      <w:rFonts w:cs="Raleway"/>
      <w:color w:val="211d1e"/>
      <w:sz w:val="28"/>
      <w:szCs w:val="28"/>
    </w:rPr>
  </w:style>
  <w:style w:type="character" w:styleId="Ttulo1Car" w:customStyle="1">
    <w:name w:val="Título 1 Car"/>
    <w:basedOn w:val="Fuentedeprrafopredeter"/>
    <w:link w:val="Ttulo1"/>
    <w:uiPriority w:val="9"/>
    <w:rsid w:val="00815308"/>
    <w:rPr>
      <w:rFonts w:ascii="Times New Roman" w:cs="Times New Roman" w:eastAsia="Times New Roman" w:hAnsi="Times New Roman"/>
      <w:b w:val="1"/>
      <w:bCs w:val="1"/>
      <w:kern w:val="36"/>
      <w:sz w:val="48"/>
      <w:szCs w:val="48"/>
      <w:lang w:eastAsia="es-MX"/>
    </w:rPr>
  </w:style>
  <w:style w:type="character" w:styleId="apple-style-span" w:customStyle="1">
    <w:name w:val="apple-style-span"/>
    <w:rsid w:val="00F44283"/>
  </w:style>
  <w:style w:type="character" w:styleId="UnresolvedMention" w:customStyle="1">
    <w:name w:val="Unresolved Mention"/>
    <w:basedOn w:val="Fuentedeprrafopredeter"/>
    <w:uiPriority w:val="99"/>
    <w:semiHidden w:val="1"/>
    <w:unhideWhenUsed w:val="1"/>
    <w:rsid w:val="00316E8D"/>
    <w:rPr>
      <w:color w:val="605e5c"/>
      <w:shd w:color="auto" w:fill="e1dfdd" w:val="clear"/>
    </w:rPr>
  </w:style>
  <w:style w:type="paragraph" w:styleId="NormalWeb">
    <w:name w:val="Normal (Web)"/>
    <w:basedOn w:val="Normal"/>
    <w:uiPriority w:val="99"/>
    <w:unhideWhenUsed w:val="1"/>
    <w:rsid w:val="00AB41B0"/>
    <w:pPr>
      <w:spacing w:after="100" w:afterAutospacing="1" w:before="100" w:beforeAutospacing="1"/>
    </w:pPr>
    <w:rPr>
      <w:lang w:eastAsia="es-MX" w:val="es-MX"/>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saimex.org.mx/saimex/solicitud/downloadAttach/1355599.page" TargetMode="External"/><Relationship Id="rId22" Type="http://schemas.openxmlformats.org/officeDocument/2006/relationships/footer" Target="footer1.xml"/><Relationship Id="rId10" Type="http://schemas.openxmlformats.org/officeDocument/2006/relationships/hyperlink" Target="https://www.saimex.org.mx/saimex/solicitud/downloadAttach/1343022.page" TargetMode="External"/><Relationship Id="rId21" Type="http://schemas.openxmlformats.org/officeDocument/2006/relationships/footer" Target="footer2.xml"/><Relationship Id="rId13" Type="http://schemas.openxmlformats.org/officeDocument/2006/relationships/hyperlink" Target="https://www.saimex.org.mx/saimex/solicitud/downloadAttach/1421119.page" TargetMode="External"/><Relationship Id="rId12" Type="http://schemas.openxmlformats.org/officeDocument/2006/relationships/image" Target="media/image6.png"/><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aimex.org.mx/saimex/solicitud/downloadAttach/1340631.page" TargetMode="External"/><Relationship Id="rId15" Type="http://schemas.openxmlformats.org/officeDocument/2006/relationships/image" Target="media/image3.png"/><Relationship Id="rId14" Type="http://schemas.openxmlformats.org/officeDocument/2006/relationships/image" Target="media/image4.png"/><Relationship Id="rId17" Type="http://schemas.openxmlformats.org/officeDocument/2006/relationships/hyperlink" Target="https://www.saimex.org.mx/saimex/solicitud/downloadAttach/1355599.page" TargetMode="External"/><Relationship Id="rId16" Type="http://schemas.openxmlformats.org/officeDocument/2006/relationships/hyperlink" Target="https://www.saimex.org.mx/saimex/solicitud/downloadAttach/1340631.page"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image" Target="media/image5.png"/><Relationship Id="rId7" Type="http://schemas.openxmlformats.org/officeDocument/2006/relationships/hyperlink" Target="https://www.saimex.org.mx/saimex/solicitud/downloadAttach/1324040.page"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2es3yeR5Qci0kIXBQVZTFrpeKA==">AMUW2mXkWM5Q/kMHYL0Yr4VXLXlcM011Sb36PBWlktyQGbWDuojkhtb6BdsdAZ1M95gOZAzMIs9M5Y9P7ekeGveyNxHaho64RFWICDVE0/arkAKA4oD7q3315MXZau2IBI39bKjbVBEv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2022-05-05T14:47:00Z</dcterms:created>
  <dc:creator>USER</dc:creator>
</cp:coreProperties>
</file>