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67CB5"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mayo de dos mil veintidós. </w:t>
      </w:r>
    </w:p>
    <w:p w14:paraId="40FB170D" w14:textId="3338DDEE"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024</w:t>
      </w:r>
      <w:r w:rsidR="00064A37">
        <w:rPr>
          <w:rFonts w:ascii="Palatino Linotype" w:eastAsia="Palatino Linotype" w:hAnsi="Palatino Linotype" w:cs="Palatino Linotype"/>
          <w:b/>
        </w:rPr>
        <w:t>24</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w:t>
      </w:r>
      <w:r w:rsidR="00674658">
        <w:rPr>
          <w:rFonts w:ascii="Palatino Linotype" w:eastAsia="Palatino Linotype" w:hAnsi="Palatino Linotype" w:cs="Palatino Linotype"/>
          <w:b/>
          <w:sz w:val="22"/>
          <w:szCs w:val="22"/>
        </w:rPr>
        <w:t>XXXXXXX</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w:t>
      </w:r>
      <w:bookmarkStart w:id="0" w:name="_GoBack"/>
      <w:bookmarkEnd w:id="0"/>
      <w:r>
        <w:rPr>
          <w:rFonts w:ascii="Palatino Linotype" w:eastAsia="Palatino Linotype" w:hAnsi="Palatino Linotype" w:cs="Palatino Linotype"/>
        </w:rPr>
        <w:t xml:space="preserve">parte del </w:t>
      </w:r>
      <w:r>
        <w:rPr>
          <w:rFonts w:ascii="Palatino Linotype" w:eastAsia="Palatino Linotype" w:hAnsi="Palatino Linotype" w:cs="Palatino Linotype"/>
          <w:b/>
        </w:rPr>
        <w:t xml:space="preserve">Ayuntamiento de Chiautla,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BB02BC1" w14:textId="77777777" w:rsidR="00DC5770" w:rsidRDefault="009622C6">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308B89BE"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veinte de enero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 la Plataforma Nacional de Transparencia (</w:t>
      </w:r>
      <w:r>
        <w:rPr>
          <w:rFonts w:ascii="Palatino Linotype" w:eastAsia="Palatino Linotype" w:hAnsi="Palatino Linotype" w:cs="Palatino Linotype"/>
          <w:b/>
        </w:rPr>
        <w:t>PNT)</w:t>
      </w:r>
      <w:r>
        <w:rPr>
          <w:rFonts w:ascii="Palatino Linotype" w:eastAsia="Palatino Linotype" w:hAnsi="Palatino Linotype" w:cs="Palatino Linotype"/>
        </w:rPr>
        <w:t xml:space="preserve"> vinculada al Sistema de Acceso a la Información Mexiquense, en lo subsecuente el </w:t>
      </w:r>
      <w:proofErr w:type="gramStart"/>
      <w:r>
        <w:rPr>
          <w:rFonts w:ascii="Palatino Linotype" w:eastAsia="Palatino Linotype" w:hAnsi="Palatino Linotype" w:cs="Palatino Linotype"/>
          <w:b/>
        </w:rPr>
        <w:t xml:space="preserve">SAIMEX </w:t>
      </w:r>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00060/CHIAUTLA/IP/2022, </w:t>
      </w:r>
      <w:r>
        <w:rPr>
          <w:rFonts w:ascii="Palatino Linotype" w:eastAsia="Palatino Linotype" w:hAnsi="Palatino Linotype" w:cs="Palatino Linotype"/>
        </w:rPr>
        <w:t xml:space="preserve">mediante la cual requirió la información siguiente: </w:t>
      </w:r>
    </w:p>
    <w:p w14:paraId="743016F6" w14:textId="77777777" w:rsidR="00DC5770" w:rsidRDefault="009622C6">
      <w:pPr>
        <w:spacing w:before="240" w:after="240" w:line="276" w:lineRule="auto"/>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“solicito se informe el destino comprobado de los gastos que fueron aprobados el año pasado para el festejo del bicentenario del municipio, pues debido a la pandemia no se llevó a cabo, por lo que solicito el destino de ese dinero.” </w:t>
      </w:r>
      <w:r>
        <w:rPr>
          <w:rFonts w:ascii="Palatino Linotype" w:eastAsia="Palatino Linotype" w:hAnsi="Palatino Linotype" w:cs="Palatino Linotype"/>
          <w:sz w:val="22"/>
          <w:szCs w:val="22"/>
        </w:rPr>
        <w:t>(Sic)</w:t>
      </w:r>
    </w:p>
    <w:p w14:paraId="73EDCC82"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Anexó el documento:</w:t>
      </w:r>
      <w:r>
        <w:rPr>
          <w:rFonts w:ascii="Palatino Linotype" w:eastAsia="Palatino Linotype" w:hAnsi="Palatino Linotype" w:cs="Palatino Linotype"/>
          <w:b/>
        </w:rPr>
        <w:t xml:space="preserve"> “</w:t>
      </w:r>
      <w:r>
        <w:rPr>
          <w:rFonts w:ascii="Palatino Linotype" w:eastAsia="Palatino Linotype" w:hAnsi="Palatino Linotype" w:cs="Palatino Linotype"/>
          <w:b/>
          <w:i/>
        </w:rPr>
        <w:t xml:space="preserve">Archivo Adjunto a la Solicitud”, </w:t>
      </w:r>
      <w:r>
        <w:rPr>
          <w:rFonts w:ascii="Palatino Linotype" w:eastAsia="Palatino Linotype" w:hAnsi="Palatino Linotype" w:cs="Palatino Linotype"/>
        </w:rPr>
        <w:t>el cual no fue posible aperturar.</w:t>
      </w:r>
    </w:p>
    <w:p w14:paraId="04CB7BDC"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 SAIMEX.</w:t>
      </w:r>
    </w:p>
    <w:p w14:paraId="0D5B584E"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114300" distB="114300" distL="114300" distR="114300" wp14:anchorId="7D6E2089" wp14:editId="04E314A5">
            <wp:extent cx="5612130" cy="6350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635000"/>
                    </a:xfrm>
                    <a:prstGeom prst="rect">
                      <a:avLst/>
                    </a:prstGeom>
                    <a:ln/>
                  </pic:spPr>
                </pic:pic>
              </a:graphicData>
            </a:graphic>
          </wp:inline>
        </w:drawing>
      </w:r>
    </w:p>
    <w:p w14:paraId="0457505A" w14:textId="77777777" w:rsidR="00DC5770" w:rsidRDefault="009622C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quince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4B24006" w14:textId="77777777" w:rsidR="00DC5770" w:rsidRDefault="009622C6">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00060/</w:t>
      </w:r>
      <w:proofErr w:type="spellStart"/>
      <w:r>
        <w:rPr>
          <w:rFonts w:ascii="Palatino Linotype" w:eastAsia="Palatino Linotype" w:hAnsi="Palatino Linotype" w:cs="Palatino Linotype"/>
          <w:i/>
          <w:sz w:val="22"/>
          <w:szCs w:val="22"/>
        </w:rPr>
        <w:t>CHlAUTLA</w:t>
      </w:r>
      <w:proofErr w:type="spellEnd"/>
      <w:r>
        <w:rPr>
          <w:rFonts w:ascii="Palatino Linotype" w:eastAsia="Palatino Linotype" w:hAnsi="Palatino Linotype" w:cs="Palatino Linotype"/>
          <w:i/>
          <w:sz w:val="22"/>
          <w:szCs w:val="22"/>
        </w:rPr>
        <w:t>/</w:t>
      </w:r>
      <w:proofErr w:type="spellStart"/>
      <w:r>
        <w:rPr>
          <w:rFonts w:ascii="Palatino Linotype" w:eastAsia="Palatino Linotype" w:hAnsi="Palatino Linotype" w:cs="Palatino Linotype"/>
          <w:i/>
          <w:sz w:val="22"/>
          <w:szCs w:val="22"/>
        </w:rPr>
        <w:t>lP</w:t>
      </w:r>
      <w:proofErr w:type="spellEnd"/>
      <w:r>
        <w:rPr>
          <w:rFonts w:ascii="Palatino Linotype" w:eastAsia="Palatino Linotype" w:hAnsi="Palatino Linotype" w:cs="Palatino Linotype"/>
          <w:i/>
          <w:sz w:val="22"/>
          <w:szCs w:val="22"/>
        </w:rPr>
        <w:t>/2022, en la cual se realiza el siguiente pedimento: “(…) SOLICITO SE INFORME EL DESTINO COMPROBADO DE LOS GASTOS QUE FUERON APROBADOS EL AÑO PASADO PARA EL FESTEJO DEL BICENTENARIO DEL MUNICIPIO, PUES DEBIDO A LA PANDEMIA NO SE LLEVO A CABO, POR LO QUE SOLICITO EL DESTINO DE ESE DINERO (…) En cumplimiento al mencionado precepto se le informa a usted: Sírvase encontrar los archivos adjuntos en formato PDF el presente documento denominado: 1. RESPUESTA TESORERIA 00060 2. RESPUESTA USUARIO 00060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 L. en C. Melissa Nava González. Titular de la Unidad de Transparencia Del H. Ayuntamiento de Chiautla, México. C.C.P ARCHIVO” (Sic)</w:t>
      </w:r>
    </w:p>
    <w:p w14:paraId="654EE9EA" w14:textId="77777777" w:rsidR="00DC5770" w:rsidRDefault="009622C6">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p>
    <w:p w14:paraId="1F7097A4" w14:textId="77777777" w:rsidR="00DC5770" w:rsidRDefault="009622C6">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El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adjuntó a su respuesta, dos archivos electrónicos que se describen a continuación: </w:t>
      </w:r>
    </w:p>
    <w:p w14:paraId="3D763C0E" w14:textId="77777777" w:rsidR="00DC5770" w:rsidRDefault="009622C6">
      <w:pPr>
        <w:numPr>
          <w:ilvl w:val="0"/>
          <w:numId w:val="2"/>
        </w:numPr>
        <w:pBdr>
          <w:top w:val="nil"/>
          <w:left w:val="nil"/>
          <w:bottom w:val="nil"/>
          <w:right w:val="nil"/>
          <w:between w:val="nil"/>
        </w:pBdr>
        <w:spacing w:before="240" w:line="360" w:lineRule="auto"/>
        <w:ind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rPr>
        <w:lastRenderedPageBreak/>
        <w:t xml:space="preserve">RESPUESTS TESORERIA 00060.pdf, </w:t>
      </w:r>
      <w:r>
        <w:rPr>
          <w:rFonts w:ascii="Palatino Linotype" w:eastAsia="Palatino Linotype" w:hAnsi="Palatino Linotype" w:cs="Palatino Linotype"/>
          <w:color w:val="000000"/>
        </w:rPr>
        <w:t>oficio número CHI/TES/ING/0072/2022, de fecha catorce de febrero de dos mil veintidós, suscrito y signado por e</w:t>
      </w:r>
      <w:r>
        <w:rPr>
          <w:rFonts w:ascii="Palatino Linotype" w:eastAsia="Palatino Linotype" w:hAnsi="Palatino Linotype" w:cs="Palatino Linotype"/>
          <w:b/>
          <w:i/>
          <w:color w:val="000000"/>
          <w:u w:val="single"/>
        </w:rPr>
        <w:t xml:space="preserve">l Tesorero Municipal, </w:t>
      </w:r>
      <w:r>
        <w:rPr>
          <w:rFonts w:ascii="Palatino Linotype" w:eastAsia="Palatino Linotype" w:hAnsi="Palatino Linotype" w:cs="Palatino Linotype"/>
          <w:color w:val="000000"/>
        </w:rPr>
        <w:t xml:space="preserve">mediante el cual informa que: </w:t>
      </w:r>
      <w:r>
        <w:rPr>
          <w:rFonts w:ascii="Palatino Linotype" w:eastAsia="Palatino Linotype" w:hAnsi="Palatino Linotype" w:cs="Palatino Linotype"/>
          <w:i/>
          <w:color w:val="000000"/>
        </w:rPr>
        <w:t xml:space="preserve">“…derivado de su solicitud de información, se realizó una búsqueda en los archivos de tesorería </w:t>
      </w:r>
      <w:r>
        <w:rPr>
          <w:rFonts w:ascii="Palatino Linotype" w:eastAsia="Palatino Linotype" w:hAnsi="Palatino Linotype" w:cs="Palatino Linotype"/>
          <w:b/>
          <w:i/>
          <w:color w:val="000000"/>
        </w:rPr>
        <w:t>sin haber localizado información o evidencia que permita verificar tanto la aplicación del gasto como su reconducción o destino de los recursos</w:t>
      </w:r>
      <w:r>
        <w:rPr>
          <w:rFonts w:ascii="Palatino Linotype" w:eastAsia="Palatino Linotype" w:hAnsi="Palatino Linotype" w:cs="Palatino Linotype"/>
          <w:i/>
          <w:color w:val="000000"/>
        </w:rPr>
        <w:t xml:space="preserve"> …” (Sic)</w:t>
      </w:r>
    </w:p>
    <w:p w14:paraId="7BEAB7E1" w14:textId="77777777" w:rsidR="00DC5770" w:rsidRDefault="009622C6">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color w:val="000000"/>
        </w:rPr>
        <w:t xml:space="preserve">Respuesta usuario 00060.pdf, </w:t>
      </w:r>
      <w:r>
        <w:rPr>
          <w:rFonts w:ascii="Palatino Linotype" w:eastAsia="Palatino Linotype" w:hAnsi="Palatino Linotype" w:cs="Palatino Linotype"/>
          <w:color w:val="000000"/>
        </w:rPr>
        <w:t>oficio número CHI/UTR/191/2022, de fecha catorce de febrero de dos mil veintidós, suscrito y signado por la Titular de la Unidad de Transparencia, mediante el cual informa que encontrará los archivos adjuntos.</w:t>
      </w:r>
    </w:p>
    <w:p w14:paraId="769D27EC" w14:textId="77777777" w:rsidR="00DC5770" w:rsidRDefault="009622C6">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06118C3D" w14:textId="77777777" w:rsidR="00DC5770" w:rsidRDefault="009622C6">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6A3DAB3E" w14:textId="77777777" w:rsidR="00DC5770" w:rsidRDefault="009622C6">
      <w:pPr>
        <w:spacing w:line="276" w:lineRule="auto"/>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“no es lo solicitado” </w:t>
      </w:r>
      <w:r>
        <w:rPr>
          <w:rFonts w:ascii="Palatino Linotype" w:eastAsia="Palatino Linotype" w:hAnsi="Palatino Linotype" w:cs="Palatino Linotype"/>
          <w:i/>
          <w:sz w:val="22"/>
          <w:szCs w:val="22"/>
        </w:rPr>
        <w:t>(Sic)</w:t>
      </w:r>
    </w:p>
    <w:p w14:paraId="5ADF545F" w14:textId="77777777" w:rsidR="00DC5770" w:rsidRDefault="00DC5770">
      <w:pPr>
        <w:spacing w:line="360" w:lineRule="auto"/>
        <w:ind w:left="851" w:right="900"/>
        <w:jc w:val="both"/>
        <w:rPr>
          <w:rFonts w:ascii="Palatino Linotype" w:eastAsia="Palatino Linotype" w:hAnsi="Palatino Linotype" w:cs="Palatino Linotype"/>
          <w:i/>
          <w:sz w:val="22"/>
          <w:szCs w:val="22"/>
        </w:rPr>
      </w:pPr>
    </w:p>
    <w:p w14:paraId="44B49B1A" w14:textId="77777777" w:rsidR="00DC5770" w:rsidRDefault="009622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14:paraId="5FAEFF13" w14:textId="77777777" w:rsidR="00DC5770" w:rsidRDefault="009622C6">
      <w:pPr>
        <w:spacing w:line="276" w:lineRule="auto"/>
        <w:ind w:left="851" w:right="902"/>
        <w:jc w:val="both"/>
        <w:rPr>
          <w:rFonts w:ascii="Palatino Linotype" w:eastAsia="Palatino Linotype" w:hAnsi="Palatino Linotype" w:cs="Palatino Linotype"/>
          <w:sz w:val="22"/>
          <w:szCs w:val="22"/>
        </w:rPr>
      </w:pPr>
      <w:bookmarkStart w:id="2" w:name="_heading=h.30j0zll" w:colFirst="0" w:colLast="0"/>
      <w:bookmarkEnd w:id="2"/>
      <w:r>
        <w:rPr>
          <w:rFonts w:ascii="Palatino Linotype" w:eastAsia="Palatino Linotype" w:hAnsi="Palatino Linotype" w:cs="Palatino Linotype"/>
          <w:sz w:val="22"/>
          <w:szCs w:val="22"/>
        </w:rPr>
        <w:t>El particular no hizo manifestaciones  en este rubro.</w:t>
      </w:r>
    </w:p>
    <w:p w14:paraId="577C5272" w14:textId="77777777" w:rsidR="00DC5770" w:rsidRDefault="00DC5770">
      <w:pPr>
        <w:spacing w:line="276" w:lineRule="auto"/>
        <w:ind w:left="851" w:right="902"/>
        <w:jc w:val="both"/>
        <w:rPr>
          <w:rFonts w:ascii="Palatino Linotype" w:eastAsia="Palatino Linotype" w:hAnsi="Palatino Linotype" w:cs="Palatino Linotype"/>
          <w:sz w:val="22"/>
          <w:szCs w:val="22"/>
        </w:rPr>
      </w:pPr>
    </w:p>
    <w:p w14:paraId="5773B162" w14:textId="77777777" w:rsidR="00DC5770" w:rsidRDefault="009622C6">
      <w:pPr>
        <w:spacing w:line="276"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adjuntó el archivo Archivo1646076873367, el cual no fue posible visualizar.</w:t>
      </w:r>
    </w:p>
    <w:p w14:paraId="0C68F1DE" w14:textId="77777777" w:rsidR="00DC5770" w:rsidRDefault="00DC5770">
      <w:pPr>
        <w:spacing w:line="276" w:lineRule="auto"/>
        <w:ind w:right="49"/>
        <w:jc w:val="both"/>
        <w:rPr>
          <w:rFonts w:ascii="Palatino Linotype" w:eastAsia="Palatino Linotype" w:hAnsi="Palatino Linotype" w:cs="Palatino Linotype"/>
          <w:sz w:val="22"/>
          <w:szCs w:val="22"/>
        </w:rPr>
      </w:pPr>
    </w:p>
    <w:p w14:paraId="31138F64" w14:textId="77777777" w:rsidR="00DC5770" w:rsidRDefault="009622C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5670BC94"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3DFF5E05" w14:textId="77777777" w:rsidR="00DC5770" w:rsidRDefault="009622C6">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SAIMEX, se observa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remite informe justificado, 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 omiso en ejercer dicha prerrogativa en el plazo establecido para tal efecto, como se muestra a continuación:</w:t>
      </w:r>
    </w:p>
    <w:p w14:paraId="08C6C102" w14:textId="77777777" w:rsidR="00DC5770" w:rsidRDefault="009622C6">
      <w:pPr>
        <w:spacing w:after="240" w:line="360" w:lineRule="auto"/>
        <w:jc w:val="both"/>
        <w:rPr>
          <w:rFonts w:ascii="Palatino Linotype" w:eastAsia="Palatino Linotype" w:hAnsi="Palatino Linotype" w:cs="Palatino Linotype"/>
        </w:rPr>
      </w:pPr>
      <w:r>
        <w:rPr>
          <w:noProof/>
          <w:lang w:val="es-MX"/>
        </w:rPr>
        <w:lastRenderedPageBreak/>
        <w:drawing>
          <wp:inline distT="0" distB="0" distL="0" distR="0" wp14:anchorId="169BAE93" wp14:editId="6D84EC74">
            <wp:extent cx="5736175" cy="162211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771" t="25650" r="52816" b="53530"/>
                    <a:stretch>
                      <a:fillRect/>
                    </a:stretch>
                  </pic:blipFill>
                  <pic:spPr>
                    <a:xfrm>
                      <a:off x="0" y="0"/>
                      <a:ext cx="5736175" cy="1622115"/>
                    </a:xfrm>
                    <a:prstGeom prst="rect">
                      <a:avLst/>
                    </a:prstGeom>
                    <a:ln/>
                  </pic:spPr>
                </pic:pic>
              </a:graphicData>
            </a:graphic>
          </wp:inline>
        </w:drawing>
      </w:r>
      <w:r>
        <w:t xml:space="preserve"> </w:t>
      </w:r>
    </w:p>
    <w:p w14:paraId="4BE71F60"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color w:val="000000"/>
        </w:rPr>
        <w:t>dieciséis de mayo de dos mil veintidós</w:t>
      </w:r>
      <w:r>
        <w:rPr>
          <w:rFonts w:ascii="Palatino Linotype" w:eastAsia="Palatino Linotype" w:hAnsi="Palatino Linotype" w:cs="Palatino Linotype"/>
          <w:b/>
        </w:rPr>
        <w:t>,</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7CAB81CF" w14:textId="77777777" w:rsidR="00DC5770" w:rsidRDefault="009622C6">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dieciocho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A9FDD88"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20283A5" w14:textId="77777777" w:rsidR="00DC5770" w:rsidRDefault="00DC5770">
      <w:pPr>
        <w:spacing w:before="240" w:after="240" w:line="360" w:lineRule="auto"/>
        <w:jc w:val="both"/>
        <w:rPr>
          <w:rFonts w:ascii="Palatino Linotype" w:eastAsia="Palatino Linotype" w:hAnsi="Palatino Linotype" w:cs="Palatino Linotype"/>
        </w:rPr>
      </w:pPr>
    </w:p>
    <w:p w14:paraId="75813797" w14:textId="77777777" w:rsidR="00DC5770" w:rsidRDefault="009622C6">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 C O N S I D E R A N D O S</w:t>
      </w:r>
    </w:p>
    <w:p w14:paraId="793E9636" w14:textId="77777777" w:rsidR="00DC5770" w:rsidRDefault="00DC5770">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71158748" w14:textId="77777777" w:rsidR="00DC5770" w:rsidRDefault="009622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1F3C420" w14:textId="77777777" w:rsidR="00DC5770" w:rsidRDefault="009622C6">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B7D9E9"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2B2FBB21" w14:textId="77777777" w:rsidR="00DC5770" w:rsidRDefault="009622C6">
      <w:pPr>
        <w:spacing w:line="276" w:lineRule="auto"/>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 xml:space="preserve">El solicitante podrá interponer, por sí mismo o a través de su representante, de manera directa o por medios electrónicos, recurso de revisión ante el Instituto o ante la Unidad de Transparencia que haya conocido de la </w:t>
      </w:r>
      <w:r>
        <w:rPr>
          <w:rFonts w:ascii="Palatino Linotype" w:eastAsia="Palatino Linotype" w:hAnsi="Palatino Linotype" w:cs="Palatino Linotype"/>
          <w:i/>
          <w:sz w:val="22"/>
          <w:szCs w:val="22"/>
        </w:rPr>
        <w:lastRenderedPageBreak/>
        <w:t>solicitud dentro de los quince días hábiles, siguientes a la fecha de la notificación de la respuesta.”</w:t>
      </w:r>
    </w:p>
    <w:p w14:paraId="612AA1A6" w14:textId="77777777" w:rsidR="00DC5770" w:rsidRDefault="009622C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quince de febrero de dos mil veintidós, </w:t>
      </w:r>
      <w:r>
        <w:rPr>
          <w:rFonts w:ascii="Palatino Linotype" w:eastAsia="Palatino Linotype" w:hAnsi="Palatino Linotype" w:cs="Palatino Linotype"/>
        </w:rPr>
        <w:t xml:space="preserve">mientras que el recurso de revisión interpuesto por la parte recurrente, se tuvo por presentado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 los </w:t>
      </w:r>
      <w:r>
        <w:rPr>
          <w:rFonts w:ascii="Palatino Linotype" w:eastAsia="Palatino Linotype" w:hAnsi="Palatino Linotype" w:cs="Palatino Linotype"/>
          <w:b/>
        </w:rPr>
        <w:t>nueve días hábiles</w:t>
      </w:r>
      <w:r>
        <w:rPr>
          <w:rFonts w:ascii="Palatino Linotype" w:eastAsia="Palatino Linotype" w:hAnsi="Palatino Linotype" w:cs="Palatino Linotype"/>
        </w:rPr>
        <w:t xml:space="preserve"> posteriores en que tuvo conocimiento de la respuesta impugnada.</w:t>
      </w:r>
    </w:p>
    <w:p w14:paraId="3B885424"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810C610"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de suma importancia mencionar que si bien parte no proporcionó nombre completo como se advierte en el detalle de seguimiento del SAIMEX, sin embargo, el no proporcionar un nombre no es motivo para archivar la solicitud de acceso a la información pública como concluida, conforme a lo previsto </w:t>
      </w:r>
      <w:r>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14:paraId="368B3D9D" w14:textId="77777777" w:rsidR="00DC5770" w:rsidRDefault="009622C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6C775CC"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7CFECAB4" w14:textId="77777777" w:rsidR="00DC5770" w:rsidRPr="00C17E6B"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w:t>
      </w:r>
      <w:r w:rsidRPr="00C17E6B">
        <w:rPr>
          <w:rFonts w:ascii="Palatino Linotype" w:eastAsia="Palatino Linotype" w:hAnsi="Palatino Linotype" w:cs="Palatino Linotype"/>
        </w:rPr>
        <w:t>artículo 179, fracción V</w:t>
      </w:r>
      <w:r w:rsidR="00C17E6B" w:rsidRPr="00C17E6B">
        <w:rPr>
          <w:rFonts w:ascii="Palatino Linotype" w:eastAsia="Palatino Linotype" w:hAnsi="Palatino Linotype" w:cs="Palatino Linotype"/>
        </w:rPr>
        <w:t>I</w:t>
      </w:r>
      <w:r w:rsidRPr="00C17E6B">
        <w:rPr>
          <w:rFonts w:ascii="Palatino Linotype" w:eastAsia="Palatino Linotype" w:hAnsi="Palatino Linotype" w:cs="Palatino Linotype"/>
        </w:rPr>
        <w:t xml:space="preserve"> del ordenamiento legal citado, que a la letra dice: </w:t>
      </w:r>
    </w:p>
    <w:p w14:paraId="55B3530D" w14:textId="77777777" w:rsidR="00DC5770" w:rsidRPr="00C17E6B" w:rsidRDefault="009622C6">
      <w:pPr>
        <w:spacing w:before="240" w:after="240" w:line="276" w:lineRule="auto"/>
        <w:ind w:left="567" w:right="900"/>
        <w:jc w:val="both"/>
        <w:rPr>
          <w:rFonts w:ascii="Palatino Linotype" w:eastAsia="Palatino Linotype" w:hAnsi="Palatino Linotype" w:cs="Palatino Linotype"/>
          <w:i/>
          <w:sz w:val="22"/>
          <w:szCs w:val="22"/>
        </w:rPr>
      </w:pPr>
      <w:r w:rsidRPr="00C17E6B">
        <w:rPr>
          <w:rFonts w:ascii="Palatino Linotype" w:eastAsia="Palatino Linotype" w:hAnsi="Palatino Linotype" w:cs="Palatino Linotype"/>
          <w:b/>
          <w:i/>
          <w:sz w:val="22"/>
          <w:szCs w:val="22"/>
        </w:rPr>
        <w:t>“Artículo 179.</w:t>
      </w:r>
      <w:r w:rsidRPr="00C17E6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5B85F6B5" w14:textId="77777777" w:rsidR="00DC5770" w:rsidRPr="00C17E6B" w:rsidRDefault="009622C6">
      <w:pPr>
        <w:spacing w:before="240" w:after="240" w:line="276" w:lineRule="auto"/>
        <w:ind w:left="567" w:right="900"/>
        <w:jc w:val="both"/>
        <w:rPr>
          <w:rFonts w:ascii="Palatino Linotype" w:eastAsia="Palatino Linotype" w:hAnsi="Palatino Linotype" w:cs="Palatino Linotype"/>
          <w:i/>
          <w:sz w:val="22"/>
          <w:szCs w:val="22"/>
        </w:rPr>
      </w:pPr>
      <w:r w:rsidRPr="00C17E6B">
        <w:rPr>
          <w:rFonts w:ascii="Palatino Linotype" w:eastAsia="Palatino Linotype" w:hAnsi="Palatino Linotype" w:cs="Palatino Linotype"/>
          <w:i/>
          <w:sz w:val="22"/>
          <w:szCs w:val="22"/>
        </w:rPr>
        <w:t>…</w:t>
      </w:r>
    </w:p>
    <w:p w14:paraId="3D56678E" w14:textId="77777777" w:rsidR="00DC5770" w:rsidRPr="00C17E6B" w:rsidRDefault="009622C6">
      <w:pPr>
        <w:spacing w:before="240" w:after="240" w:line="276" w:lineRule="auto"/>
        <w:ind w:left="567" w:right="900"/>
        <w:jc w:val="both"/>
        <w:rPr>
          <w:rFonts w:ascii="Palatino Linotype" w:eastAsia="Palatino Linotype" w:hAnsi="Palatino Linotype" w:cs="Palatino Linotype"/>
          <w:b/>
          <w:i/>
          <w:sz w:val="22"/>
          <w:szCs w:val="22"/>
        </w:rPr>
      </w:pPr>
      <w:r w:rsidRPr="00C17E6B">
        <w:rPr>
          <w:rFonts w:ascii="Palatino Linotype" w:eastAsia="Palatino Linotype" w:hAnsi="Palatino Linotype" w:cs="Palatino Linotype"/>
          <w:b/>
          <w:i/>
          <w:sz w:val="22"/>
          <w:szCs w:val="22"/>
        </w:rPr>
        <w:t>V</w:t>
      </w:r>
      <w:r w:rsidR="00C17E6B" w:rsidRPr="00C17E6B">
        <w:rPr>
          <w:rFonts w:ascii="Palatino Linotype" w:eastAsia="Palatino Linotype" w:hAnsi="Palatino Linotype" w:cs="Palatino Linotype"/>
          <w:b/>
          <w:i/>
          <w:sz w:val="22"/>
          <w:szCs w:val="22"/>
        </w:rPr>
        <w:t>I</w:t>
      </w:r>
      <w:r w:rsidRPr="00C17E6B">
        <w:rPr>
          <w:rFonts w:ascii="Palatino Linotype" w:eastAsia="Palatino Linotype" w:hAnsi="Palatino Linotype" w:cs="Palatino Linotype"/>
          <w:b/>
          <w:i/>
          <w:sz w:val="22"/>
          <w:szCs w:val="22"/>
        </w:rPr>
        <w:t xml:space="preserve">. La entrega de información </w:t>
      </w:r>
      <w:r w:rsidR="00C17E6B" w:rsidRPr="00C17E6B">
        <w:rPr>
          <w:rFonts w:ascii="Palatino Linotype" w:eastAsia="Palatino Linotype" w:hAnsi="Palatino Linotype" w:cs="Palatino Linotype"/>
          <w:b/>
          <w:i/>
          <w:sz w:val="22"/>
          <w:szCs w:val="22"/>
        </w:rPr>
        <w:t>que no corresponde con lo solicitado;</w:t>
      </w:r>
    </w:p>
    <w:p w14:paraId="36CF7858" w14:textId="77777777" w:rsidR="00DC5770" w:rsidRDefault="009622C6">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14:paraId="5048A5EE" w14:textId="77777777" w:rsidR="00DC5770" w:rsidRDefault="009622C6">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0E126CC3"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73E32B63" w14:textId="77777777" w:rsidR="00DC5770" w:rsidRDefault="009622C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D0457CB" w14:textId="77777777" w:rsidR="00DC5770" w:rsidRDefault="009622C6">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AA8F710" w14:textId="77777777" w:rsidR="00DC5770" w:rsidRDefault="009622C6">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F1B0572" w14:textId="77777777" w:rsidR="00DC5770" w:rsidRDefault="009622C6">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w:t>
      </w:r>
      <w:r>
        <w:rPr>
          <w:rFonts w:ascii="Palatino Linotype" w:eastAsia="Palatino Linotype" w:hAnsi="Palatino Linotype" w:cs="Palatino Linotype"/>
          <w:b/>
          <w:i/>
          <w:sz w:val="22"/>
          <w:szCs w:val="22"/>
          <w:u w:val="single"/>
        </w:rPr>
        <w:lastRenderedPageBreak/>
        <w:t>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AAC97B7" w14:textId="77777777" w:rsidR="00DC5770" w:rsidRDefault="009622C6">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A45353F" w14:textId="77777777" w:rsidR="00DC5770" w:rsidRDefault="009622C6">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4C18B60F" w14:textId="77777777" w:rsidR="00DC5770" w:rsidRDefault="009622C6">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B0D472C" w14:textId="77777777" w:rsidR="00DC5770" w:rsidRDefault="009622C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77704822" w14:textId="77777777" w:rsidR="00DC5770" w:rsidRDefault="009622C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8C48F3" w14:textId="77777777" w:rsidR="00DC5770" w:rsidRDefault="009622C6">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5D74ADA" w14:textId="77777777" w:rsidR="00DC5770" w:rsidRDefault="009622C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2F5F45FE" w14:textId="77777777" w:rsidR="00DC5770" w:rsidRDefault="009622C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50CEEF9" w14:textId="77777777" w:rsidR="00DC5770" w:rsidRDefault="009622C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C38AE29" w14:textId="77777777" w:rsidR="00DC5770" w:rsidRDefault="009622C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57E1D5A" w14:textId="77777777" w:rsidR="00DC5770" w:rsidRDefault="009622C6">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2390A53"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14DB2BF" w14:textId="77777777" w:rsidR="00DC5770" w:rsidRDefault="009622C6">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CCF23C0" w14:textId="77777777" w:rsidR="00DC5770" w:rsidRDefault="009622C6">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9B6FD7" w14:textId="77777777" w:rsidR="00DC5770" w:rsidRDefault="009622C6">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331E64F2"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0136996" w14:textId="77777777" w:rsidR="00DC5770" w:rsidRDefault="009622C6">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3C678E1" w14:textId="77777777" w:rsidR="00DC5770" w:rsidRDefault="009622C6">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w:t>
      </w:r>
      <w:r>
        <w:rPr>
          <w:rFonts w:ascii="Palatino Linotype" w:eastAsia="Palatino Linotype" w:hAnsi="Palatino Linotype" w:cs="Palatino Linotype"/>
          <w:b/>
          <w:i/>
          <w:sz w:val="22"/>
          <w:szCs w:val="22"/>
        </w:rPr>
        <w:t>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 (Sic)</w:t>
      </w:r>
    </w:p>
    <w:p w14:paraId="20184454" w14:textId="77777777" w:rsidR="00DC5770" w:rsidRDefault="009622C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5E021644" w14:textId="77777777" w:rsidR="00DC5770" w:rsidRDefault="009622C6">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111D210C" w14:textId="77777777" w:rsidR="00DC5770" w:rsidRDefault="009622C6">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258983E1" w14:textId="77777777" w:rsidR="00DC5770" w:rsidRDefault="009622C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7952342" w14:textId="77777777" w:rsidR="00DC5770" w:rsidRDefault="009622C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w:t>
      </w:r>
      <w:r>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14:paraId="1F76709F" w14:textId="77777777" w:rsidR="00DC5770" w:rsidRDefault="009622C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DCB4ED8"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B9C6819" w14:textId="77777777" w:rsidR="00DC5770" w:rsidRDefault="009622C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5A524053" w14:textId="77777777" w:rsidR="00DC5770" w:rsidRDefault="009622C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07AA7AA" w14:textId="77777777" w:rsidR="00DC5770" w:rsidRDefault="009622C6">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w:t>
      </w:r>
      <w:r>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1C7EF3BC"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D593801" w14:textId="77777777" w:rsidR="00DC5770" w:rsidRDefault="009622C6">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2C66DDB" w14:textId="77777777" w:rsidR="00DC5770" w:rsidRDefault="009622C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714F30" w14:textId="77777777" w:rsidR="00DC5770" w:rsidRDefault="009622C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2F7BC2E" w14:textId="77777777" w:rsidR="00DC5770" w:rsidRDefault="009622C6">
      <w:pPr>
        <w:numPr>
          <w:ilvl w:val="0"/>
          <w:numId w:val="1"/>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64FAFF16" w14:textId="77777777" w:rsidR="00DC5770" w:rsidRDefault="009622C6">
      <w:pPr>
        <w:numPr>
          <w:ilvl w:val="0"/>
          <w:numId w:val="1"/>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0C18C8AF" w14:textId="77777777" w:rsidR="00DC5770" w:rsidRDefault="009622C6">
      <w:pPr>
        <w:spacing w:before="240" w:after="240" w:line="276" w:lineRule="auto"/>
        <w:ind w:left="993" w:right="567" w:firstLine="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2DD7A550"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44EDA955" w14:textId="77777777" w:rsidR="00DC5770" w:rsidRDefault="009622C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i/>
          <w:color w:val="000000"/>
        </w:rPr>
        <w:t xml:space="preserve">“solicito se informe el </w:t>
      </w:r>
      <w:r>
        <w:rPr>
          <w:rFonts w:ascii="Palatino Linotype" w:eastAsia="Palatino Linotype" w:hAnsi="Palatino Linotype" w:cs="Palatino Linotype"/>
          <w:b/>
          <w:i/>
          <w:color w:val="000000"/>
        </w:rPr>
        <w:t>destino comprobado de los gastos que fueron aprobados el año pasado para el festejo del bicentenario del municipio,</w:t>
      </w:r>
      <w:r>
        <w:rPr>
          <w:rFonts w:ascii="Palatino Linotype" w:eastAsia="Palatino Linotype" w:hAnsi="Palatino Linotype" w:cs="Palatino Linotype"/>
          <w:i/>
          <w:color w:val="000000"/>
        </w:rPr>
        <w:t xml:space="preserve"> pues debido a la pandemia no se llevó a cabo, por lo que solicito el destino de ese dinero</w:t>
      </w:r>
      <w:r>
        <w:rPr>
          <w:rFonts w:ascii="Palatino Linotype" w:eastAsia="Palatino Linotype" w:hAnsi="Palatino Linotype" w:cs="Palatino Linotype"/>
          <w:color w:val="000000"/>
        </w:rPr>
        <w:t>.” (Sic)</w:t>
      </w:r>
    </w:p>
    <w:p w14:paraId="6C85EF5A"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adjunta oficio número CHI/TES/ING/0072/2022, de fecha catorce de febrero de dos mil veintidós, suscrito y signado por el Tesorero Municipal, mediante el cual informa que: “…</w:t>
      </w:r>
      <w:r>
        <w:rPr>
          <w:rFonts w:ascii="Palatino Linotype" w:eastAsia="Palatino Linotype" w:hAnsi="Palatino Linotype" w:cs="Palatino Linotype"/>
          <w:i/>
        </w:rPr>
        <w:t xml:space="preserve">derivado de </w:t>
      </w:r>
      <w:r>
        <w:rPr>
          <w:rFonts w:ascii="Palatino Linotype" w:eastAsia="Palatino Linotype" w:hAnsi="Palatino Linotype" w:cs="Palatino Linotype"/>
          <w:i/>
        </w:rPr>
        <w:lastRenderedPageBreak/>
        <w:t>su solicitud de información, se realizó una búsqueda en los archivos de tesorería sin haber localizado información o evidencia que permita verificar tanto la aplicación del gasto como su reconducción o destino de los recursos</w:t>
      </w:r>
      <w:r>
        <w:rPr>
          <w:rFonts w:ascii="Palatino Linotype" w:eastAsia="Palatino Linotype" w:hAnsi="Palatino Linotype" w:cs="Palatino Linotype"/>
        </w:rPr>
        <w:t>…” (Sic), tal y como se aprecia en la siguiente captura de pantalla:</w:t>
      </w:r>
    </w:p>
    <w:p w14:paraId="693C48DA" w14:textId="77777777" w:rsidR="00DC5770" w:rsidRDefault="009622C6">
      <w:pPr>
        <w:spacing w:before="240" w:after="240" w:line="360" w:lineRule="auto"/>
        <w:jc w:val="center"/>
        <w:rPr>
          <w:rFonts w:ascii="Palatino Linotype" w:eastAsia="Palatino Linotype" w:hAnsi="Palatino Linotype" w:cs="Palatino Linotype"/>
        </w:rPr>
      </w:pPr>
      <w:r>
        <w:t xml:space="preserve"> </w:t>
      </w:r>
      <w:r>
        <w:rPr>
          <w:noProof/>
          <w:lang w:val="es-MX"/>
        </w:rPr>
        <w:drawing>
          <wp:inline distT="0" distB="0" distL="0" distR="0" wp14:anchorId="1F70210B" wp14:editId="2BB06310">
            <wp:extent cx="4655196" cy="4886581"/>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67050" t="20459" r="5969" b="29187"/>
                    <a:stretch>
                      <a:fillRect/>
                    </a:stretch>
                  </pic:blipFill>
                  <pic:spPr>
                    <a:xfrm>
                      <a:off x="0" y="0"/>
                      <a:ext cx="4655196" cy="4886581"/>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14:anchorId="28D51BE7" wp14:editId="129C4483">
                <wp:simplePos x="0" y="0"/>
                <wp:positionH relativeFrom="column">
                  <wp:posOffset>609600</wp:posOffset>
                </wp:positionH>
                <wp:positionV relativeFrom="paragraph">
                  <wp:posOffset>2730500</wp:posOffset>
                </wp:positionV>
                <wp:extent cx="4524375" cy="523875"/>
                <wp:effectExtent l="0" t="0" r="0" b="0"/>
                <wp:wrapNone/>
                <wp:docPr id="19" name="Rectángulo 19"/>
                <wp:cNvGraphicFramePr/>
                <a:graphic xmlns:a="http://schemas.openxmlformats.org/drawingml/2006/main">
                  <a:graphicData uri="http://schemas.microsoft.com/office/word/2010/wordprocessingShape">
                    <wps:wsp>
                      <wps:cNvSpPr/>
                      <wps:spPr>
                        <a:xfrm>
                          <a:off x="3102863" y="3537113"/>
                          <a:ext cx="4486275" cy="485775"/>
                        </a:xfrm>
                        <a:prstGeom prst="rect">
                          <a:avLst/>
                        </a:prstGeom>
                        <a:noFill/>
                        <a:ln w="38100" cap="flat" cmpd="sng">
                          <a:solidFill>
                            <a:srgbClr val="FF0000"/>
                          </a:solidFill>
                          <a:prstDash val="solid"/>
                          <a:round/>
                          <a:headEnd type="none" w="sm" len="sm"/>
                          <a:tailEnd type="none" w="sm" len="sm"/>
                        </a:ln>
                      </wps:spPr>
                      <wps:txbx>
                        <w:txbxContent>
                          <w:p w14:paraId="1DDAC828" w14:textId="77777777" w:rsidR="00DC5770" w:rsidRDefault="00DC577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609600</wp:posOffset>
                </wp:positionH>
                <wp:positionV relativeFrom="paragraph">
                  <wp:posOffset>2730500</wp:posOffset>
                </wp:positionV>
                <wp:extent cx="4524375" cy="523875"/>
                <wp:effectExtent b="0" l="0" r="0" t="0"/>
                <wp:wrapNone/>
                <wp:docPr id="1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524375" cy="523875"/>
                        </a:xfrm>
                        <a:prstGeom prst="rect"/>
                        <a:ln/>
                      </pic:spPr>
                    </pic:pic>
                  </a:graphicData>
                </a:graphic>
              </wp:anchor>
            </w:drawing>
          </mc:Fallback>
        </mc:AlternateContent>
      </w:r>
    </w:p>
    <w:p w14:paraId="48C3C875" w14:textId="77777777" w:rsidR="00DC5770" w:rsidRDefault="009622C6">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acto impugnado: </w:t>
      </w:r>
      <w:r>
        <w:rPr>
          <w:rFonts w:ascii="Palatino Linotype" w:eastAsia="Palatino Linotype" w:hAnsi="Palatino Linotype" w:cs="Palatino Linotype"/>
          <w:i/>
        </w:rPr>
        <w:t>“</w:t>
      </w:r>
      <w:r>
        <w:rPr>
          <w:rFonts w:ascii="Palatino Linotype" w:eastAsia="Palatino Linotype" w:hAnsi="Palatino Linotype" w:cs="Palatino Linotype"/>
          <w:b/>
          <w:i/>
          <w:u w:val="single"/>
        </w:rPr>
        <w:t>“no es lo solicitado”</w:t>
      </w:r>
      <w:r>
        <w:rPr>
          <w:rFonts w:ascii="Palatino Linotype" w:eastAsia="Palatino Linotype" w:hAnsi="Palatino Linotype" w:cs="Palatino Linotype"/>
          <w:i/>
        </w:rPr>
        <w:t xml:space="preserve"> (Sic)</w:t>
      </w:r>
    </w:p>
    <w:p w14:paraId="19EE149C"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informe justificado, por su parte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omiso al emitir algún pronunciamiento, quedando precluido su derecho.</w:t>
      </w:r>
    </w:p>
    <w:p w14:paraId="5D9971EC"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es necesario señalar que la respuesta que proporcionó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 bien no fue suficiente para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misma fue generada por el área competente para conocer la información, lo anterior de conformidad con los artículos 93 y 95 fracciones I, V y VI de la Ley Orgánica Municipal del Estado de México, que citan lo siguiente: </w:t>
      </w:r>
    </w:p>
    <w:p w14:paraId="62B44EFD" w14:textId="77777777" w:rsidR="00DC5770" w:rsidRDefault="00DC5770">
      <w:pPr>
        <w:spacing w:line="360" w:lineRule="auto"/>
        <w:jc w:val="both"/>
        <w:rPr>
          <w:rFonts w:ascii="Palatino Linotype" w:eastAsia="Palatino Linotype" w:hAnsi="Palatino Linotype" w:cs="Palatino Linotype"/>
          <w:sz w:val="14"/>
          <w:szCs w:val="14"/>
        </w:rPr>
      </w:pPr>
    </w:p>
    <w:p w14:paraId="3A471B19" w14:textId="77777777" w:rsidR="00DC5770" w:rsidRDefault="009622C6">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tesorería municipal es el órgano encargado </w:t>
      </w:r>
      <w:r>
        <w:rPr>
          <w:rFonts w:ascii="Palatino Linotype" w:eastAsia="Palatino Linotype" w:hAnsi="Palatino Linotype" w:cs="Palatino Linotype"/>
          <w:i/>
          <w:sz w:val="22"/>
          <w:szCs w:val="22"/>
        </w:rPr>
        <w:t xml:space="preserve">de la recaudación de los ingresos municipales y responsable </w:t>
      </w:r>
      <w:r>
        <w:rPr>
          <w:rFonts w:ascii="Palatino Linotype" w:eastAsia="Palatino Linotype" w:hAnsi="Palatino Linotype" w:cs="Palatino Linotype"/>
          <w:b/>
          <w:i/>
          <w:sz w:val="22"/>
          <w:szCs w:val="22"/>
        </w:rPr>
        <w:t>de realizar las erogaciones que haga el ayuntamiento.</w:t>
      </w:r>
    </w:p>
    <w:p w14:paraId="54E76A18" w14:textId="77777777" w:rsidR="00DC5770" w:rsidRDefault="00DC5770">
      <w:pPr>
        <w:ind w:left="850" w:right="901"/>
        <w:jc w:val="both"/>
        <w:rPr>
          <w:rFonts w:ascii="Palatino Linotype" w:eastAsia="Palatino Linotype" w:hAnsi="Palatino Linotype" w:cs="Palatino Linotype"/>
          <w:b/>
          <w:i/>
          <w:sz w:val="22"/>
          <w:szCs w:val="22"/>
        </w:rPr>
      </w:pPr>
    </w:p>
    <w:p w14:paraId="4CDDF6A8" w14:textId="77777777" w:rsidR="00DC5770" w:rsidRDefault="00DC5770">
      <w:pPr>
        <w:ind w:left="850" w:right="901"/>
        <w:jc w:val="both"/>
        <w:rPr>
          <w:rFonts w:ascii="Palatino Linotype" w:eastAsia="Palatino Linotype" w:hAnsi="Palatino Linotype" w:cs="Palatino Linotype"/>
          <w:b/>
          <w:i/>
          <w:sz w:val="22"/>
          <w:szCs w:val="22"/>
        </w:rPr>
      </w:pPr>
    </w:p>
    <w:p w14:paraId="7A4C5FFF" w14:textId="77777777" w:rsidR="00DC5770" w:rsidRDefault="009622C6">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95.- Son atribuciones del tesorero municipal:</w:t>
      </w:r>
    </w:p>
    <w:p w14:paraId="5F0BB917" w14:textId="77777777" w:rsidR="00DC5770" w:rsidRDefault="00DC5770">
      <w:pPr>
        <w:ind w:left="850" w:right="901"/>
        <w:jc w:val="both"/>
        <w:rPr>
          <w:rFonts w:ascii="Palatino Linotype" w:eastAsia="Palatino Linotype" w:hAnsi="Palatino Linotype" w:cs="Palatino Linotype"/>
          <w:b/>
          <w:i/>
          <w:sz w:val="22"/>
          <w:szCs w:val="22"/>
        </w:rPr>
      </w:pPr>
    </w:p>
    <w:p w14:paraId="5FC88025" w14:textId="77777777" w:rsidR="00DC5770" w:rsidRDefault="009622C6">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Administrar la hacienda pública municipal, de conformidad con las disposiciones legales aplicables;</w:t>
      </w:r>
    </w:p>
    <w:p w14:paraId="29E8EEA6" w14:textId="77777777" w:rsidR="00DC5770" w:rsidRDefault="009622C6">
      <w:pPr>
        <w:ind w:left="720" w:right="90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14:paraId="68181CA9" w14:textId="77777777" w:rsidR="00DC5770" w:rsidRDefault="009622C6">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00106EBE" w14:textId="77777777" w:rsidR="00DC5770" w:rsidRDefault="00DC5770">
      <w:pPr>
        <w:ind w:left="720" w:right="901"/>
        <w:rPr>
          <w:rFonts w:ascii="Palatino Linotype" w:eastAsia="Palatino Linotype" w:hAnsi="Palatino Linotype" w:cs="Palatino Linotype"/>
          <w:b/>
          <w:i/>
          <w:sz w:val="22"/>
          <w:szCs w:val="22"/>
        </w:rPr>
      </w:pPr>
    </w:p>
    <w:p w14:paraId="11751F5B" w14:textId="77777777" w:rsidR="00DC5770" w:rsidRDefault="009622C6">
      <w:pPr>
        <w:ind w:left="851" w:right="901"/>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VI Llevar los registros contables, financieros y administrativos de los ingresos, egresos, e inventarios.</w:t>
      </w:r>
    </w:p>
    <w:p w14:paraId="55409F9B" w14:textId="77777777" w:rsidR="00DC5770" w:rsidRDefault="009622C6">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2B37D1A0" w14:textId="77777777" w:rsidR="00DC5770" w:rsidRDefault="00DC5770">
      <w:pPr>
        <w:ind w:left="850" w:right="901"/>
        <w:jc w:val="both"/>
        <w:rPr>
          <w:rFonts w:ascii="Palatino Linotype" w:eastAsia="Palatino Linotype" w:hAnsi="Palatino Linotype" w:cs="Palatino Linotype"/>
          <w:i/>
          <w:sz w:val="22"/>
          <w:szCs w:val="22"/>
        </w:rPr>
      </w:pPr>
    </w:p>
    <w:p w14:paraId="1771A000" w14:textId="77777777" w:rsidR="00DC5770" w:rsidRDefault="009622C6">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7D13CE4D" w14:textId="77777777" w:rsidR="00DC5770" w:rsidRDefault="00DC5770">
      <w:pPr>
        <w:spacing w:line="360" w:lineRule="auto"/>
        <w:jc w:val="both"/>
        <w:rPr>
          <w:rFonts w:ascii="Palatino Linotype" w:eastAsia="Palatino Linotype" w:hAnsi="Palatino Linotype" w:cs="Palatino Linotype"/>
        </w:rPr>
      </w:pPr>
    </w:p>
    <w:p w14:paraId="7BDE69EA" w14:textId="77777777" w:rsidR="00DC5770" w:rsidRDefault="009622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observa que es a través de la Tesorería Municipal, que se administra la hacienda pública municipal, así como llevar registros contables de los egresos, por lo que dentro de sus atribuciones, puede generar, poseer o administrar la información solicitada, máxime que existe el capítulo y concepto en específico para los espectáculos cívicos y culturales contemplado en el Manual Único de Contabilidad Gubernamental para las Dependencias y Entidades Públicas del Gobierno y Municipios del Estado de México (vigésima edición) 2021, el cual cabe traer a contexto, mismo que contempla lo siguiente:</w:t>
      </w:r>
    </w:p>
    <w:p w14:paraId="1E921F49" w14:textId="77777777" w:rsidR="00DC5770" w:rsidRDefault="00DC5770">
      <w:pPr>
        <w:spacing w:line="360" w:lineRule="auto"/>
        <w:jc w:val="both"/>
        <w:rPr>
          <w:rFonts w:ascii="Palatino Linotype" w:eastAsia="Palatino Linotype" w:hAnsi="Palatino Linotype" w:cs="Palatino Linotype"/>
          <w:sz w:val="16"/>
          <w:szCs w:val="16"/>
        </w:rPr>
      </w:pPr>
    </w:p>
    <w:p w14:paraId="66C6EEF0" w14:textId="77777777" w:rsidR="00DC5770" w:rsidRDefault="009622C6">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“3800 SERVICIOS OFICIALES</w:t>
      </w:r>
    </w:p>
    <w:p w14:paraId="78C94899" w14:textId="77777777" w:rsidR="00DC5770" w:rsidRDefault="009622C6">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CF3067F" w14:textId="77777777" w:rsidR="00DC5770" w:rsidRDefault="009622C6">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3822 Espectáculos cívicos y culturales. Asignación para cubrir el desarrollo de espectáculos cívicos y culturales para fomentar la identidad entre la ciudadanía.</w:t>
      </w:r>
    </w:p>
    <w:p w14:paraId="724D2C25" w14:textId="77777777" w:rsidR="00DC5770" w:rsidRDefault="009622C6">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5A38ADE" w14:textId="77777777" w:rsidR="00DC5770" w:rsidRDefault="00DC5770">
      <w:pPr>
        <w:spacing w:line="360" w:lineRule="auto"/>
        <w:jc w:val="both"/>
        <w:rPr>
          <w:rFonts w:ascii="Palatino Linotype" w:eastAsia="Palatino Linotype" w:hAnsi="Palatino Linotype" w:cs="Palatino Linotype"/>
          <w:sz w:val="16"/>
          <w:szCs w:val="16"/>
        </w:rPr>
      </w:pPr>
    </w:p>
    <w:p w14:paraId="3E133134" w14:textId="77777777" w:rsidR="00DC5770" w:rsidRDefault="009622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teniendo en cuenta que el Tesorero Municipal tiene la facultad de solicitar recursos públicos para espectáculos cívicos y culturales mediante el Estado Analítico del Ejercicio del Presupuesto de Egresos Detallado (Clasificación por Objeto del Gasto), este Organismo Garante estima que el pronunciamiento fue emitido en efecto por el servidor público habilitado competente.</w:t>
      </w:r>
    </w:p>
    <w:p w14:paraId="01536778"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de la respuesta proporcionada por la Tesorería Municipal, en la que señalan que</w:t>
      </w:r>
      <w:r>
        <w:t xml:space="preserve"> </w:t>
      </w:r>
      <w:r w:rsidR="00C17E6B" w:rsidRPr="00C17E6B">
        <w:t xml:space="preserve">“…derivado de </w:t>
      </w:r>
      <w:r w:rsidR="00E01042">
        <w:t>la</w:t>
      </w:r>
      <w:r w:rsidR="00C17E6B" w:rsidRPr="00C17E6B">
        <w:t xml:space="preserve"> solicitud de información, se realizó una búsqueda en los archivos de tesorería sin haber localizado información o evidencia que permita verificar tanto la aplicación del gasto como su reconducción o destino de los recursos…” (Sic)</w:t>
      </w:r>
      <w:r w:rsidR="00E01042">
        <w:t xml:space="preserve">, </w:t>
      </w:r>
      <w:r>
        <w:rPr>
          <w:rFonts w:ascii="Palatino Linotype" w:eastAsia="Palatino Linotype" w:hAnsi="Palatino Linotype" w:cs="Palatino Linotype"/>
        </w:rPr>
        <w:t xml:space="preserve">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posee, administra ni genera la información </w:t>
      </w:r>
      <w:r>
        <w:rPr>
          <w:rFonts w:ascii="Palatino Linotype" w:eastAsia="Palatino Linotype" w:hAnsi="Palatino Linotype" w:cs="Palatino Linotype"/>
        </w:rPr>
        <w:lastRenderedPageBreak/>
        <w:t xml:space="preserve">requerida por el particular, por lo que constituye un hecho negativo; entonces, si se considera el hecho negativo, es obvio que éste no puede fácticamente obrar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ya que no puede probarse por ser lógica y materialmente imposible.</w:t>
      </w:r>
    </w:p>
    <w:p w14:paraId="77B51652"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79263CAD"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4AF2AC03" w14:textId="77777777" w:rsidR="00DC5770" w:rsidRDefault="009622C6">
      <w:pPr>
        <w:spacing w:line="360" w:lineRule="auto"/>
        <w:ind w:left="860" w:right="5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HECHOS NEGATIVOS, NO SON SUSCEPTIBLES DE DEMOSTRACIÓN.</w:t>
      </w:r>
    </w:p>
    <w:p w14:paraId="5ABDCFF9" w14:textId="77777777" w:rsidR="00DC5770" w:rsidRDefault="009622C6">
      <w:pPr>
        <w:spacing w:line="360" w:lineRule="auto"/>
        <w:ind w:left="860" w:right="5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Tratándose de un hecho negativo, el Juez no tiene </w:t>
      </w:r>
      <w:proofErr w:type="spellStart"/>
      <w:r>
        <w:rPr>
          <w:rFonts w:ascii="Palatino Linotype" w:eastAsia="Palatino Linotype" w:hAnsi="Palatino Linotype" w:cs="Palatino Linotype"/>
          <w:i/>
          <w:sz w:val="22"/>
          <w:szCs w:val="22"/>
        </w:rPr>
        <w:t>por que</w:t>
      </w:r>
      <w:proofErr w:type="spellEnd"/>
      <w:r>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3EE057FA" w14:textId="77777777" w:rsidR="00DC5770" w:rsidRDefault="009622C6">
      <w:pPr>
        <w:spacing w:line="360" w:lineRule="auto"/>
        <w:ind w:left="860" w:right="5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w:t>
      </w:r>
    </w:p>
    <w:p w14:paraId="3F9BE777"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proporcionará la información </w:t>
      </w:r>
      <w:r>
        <w:rPr>
          <w:rFonts w:ascii="Palatino Linotype" w:eastAsia="Palatino Linotype" w:hAnsi="Palatino Linotype" w:cs="Palatino Linotype"/>
        </w:rPr>
        <w:lastRenderedPageBreak/>
        <w:t>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 por ende, las razones o motivos de inconformidad al respecto devienen infundados.</w:t>
      </w:r>
    </w:p>
    <w:p w14:paraId="5B0B8B4F" w14:textId="77777777" w:rsidR="00DC5770" w:rsidRDefault="009622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este Pleno considera necesario dejar claro que,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64EC2FB0" w14:textId="77777777" w:rsidR="00DC5770" w:rsidRDefault="009622C6">
      <w:pPr>
        <w:shd w:val="clear" w:color="auto" w:fill="FFFFFF"/>
        <w:spacing w:line="276" w:lineRule="auto"/>
        <w:ind w:left="1134" w:right="900"/>
        <w:jc w:val="both"/>
        <w:rPr>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222222"/>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EE528C" w14:textId="77777777" w:rsidR="00DC5770" w:rsidRDefault="00DC5770">
      <w:pPr>
        <w:spacing w:line="360" w:lineRule="auto"/>
        <w:jc w:val="both"/>
        <w:rPr>
          <w:rFonts w:ascii="Palatino Linotype" w:eastAsia="Palatino Linotype" w:hAnsi="Palatino Linotype" w:cs="Palatino Linotype"/>
        </w:rPr>
      </w:pPr>
    </w:p>
    <w:p w14:paraId="78E19601" w14:textId="77777777" w:rsidR="00DC5770" w:rsidRDefault="009622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Bajo ese contexto, se considera que con el pronunciamiento realizado  por el </w:t>
      </w:r>
      <w:r>
        <w:rPr>
          <w:rFonts w:ascii="Palatino Linotype" w:eastAsia="Palatino Linotype" w:hAnsi="Palatino Linotype" w:cs="Palatino Linotype"/>
          <w:b/>
        </w:rPr>
        <w:t>Sujeto Obligado en respuesta a la solicitud de información</w:t>
      </w:r>
      <w:r>
        <w:rPr>
          <w:rFonts w:ascii="Palatino Linotype" w:eastAsia="Palatino Linotype" w:hAnsi="Palatino Linotype" w:cs="Palatino Linotype"/>
        </w:rPr>
        <w:t xml:space="preserve">, colma en su totalidad con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014499B5" w14:textId="77777777" w:rsidR="00DC5770" w:rsidRDefault="00DC5770">
      <w:pPr>
        <w:spacing w:line="360" w:lineRule="auto"/>
        <w:jc w:val="both"/>
        <w:rPr>
          <w:rFonts w:ascii="Palatino Linotype" w:eastAsia="Palatino Linotype" w:hAnsi="Palatino Linotype" w:cs="Palatino Linotype"/>
        </w:rPr>
      </w:pPr>
    </w:p>
    <w:p w14:paraId="3FC95340" w14:textId="77777777" w:rsidR="00DC5770" w:rsidRDefault="009622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mérito de lo expuesto en líneas anteriores, resultan </w:t>
      </w:r>
      <w:r>
        <w:rPr>
          <w:rFonts w:ascii="Palatino Linotype" w:eastAsia="Palatino Linotype" w:hAnsi="Palatino Linotype" w:cs="Palatino Linotype"/>
          <w:b/>
        </w:rPr>
        <w:t>infundadas</w:t>
      </w:r>
      <w:r>
        <w:rPr>
          <w:rFonts w:ascii="Palatino Linotype" w:eastAsia="Palatino Linotype" w:hAnsi="Palatino Linotype" w:cs="Palatino Linotype"/>
        </w:rPr>
        <w:t xml:space="preserve"> las razones o motivos de inconformidad que arguye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por ello con fundamento en el artículo 186, fracción II, de la Ley de Transparencia y Acceso a la Información Pública del Estado de México y Municipios, se </w:t>
      </w:r>
      <w:r>
        <w:rPr>
          <w:rFonts w:ascii="Palatino Linotype" w:eastAsia="Palatino Linotype" w:hAnsi="Palatino Linotype" w:cs="Palatino Linotype"/>
          <w:b/>
        </w:rPr>
        <w:t>CONFIRMA</w:t>
      </w:r>
      <w:r>
        <w:rPr>
          <w:rFonts w:ascii="Palatino Linotype" w:eastAsia="Palatino Linotype" w:hAnsi="Palatino Linotype" w:cs="Palatino Linotype"/>
        </w:rPr>
        <w:t xml:space="preserve"> la respuesta a la solicitud de información pública</w:t>
      </w:r>
      <w:r>
        <w:rPr>
          <w:rFonts w:ascii="Palatino Linotype" w:eastAsia="Palatino Linotype" w:hAnsi="Palatino Linotype" w:cs="Palatino Linotype"/>
          <w:b/>
        </w:rPr>
        <w:t xml:space="preserve"> 00060/CHIAUTLA/IP/2022</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que ha sido materia del presente fallo.</w:t>
      </w:r>
    </w:p>
    <w:p w14:paraId="298B9552" w14:textId="77777777" w:rsidR="00DC5770" w:rsidRDefault="009622C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AEC2C46" w14:textId="77777777" w:rsidR="00DC5770" w:rsidRDefault="009622C6">
      <w:pPr>
        <w:pBdr>
          <w:top w:val="nil"/>
          <w:left w:val="nil"/>
          <w:bottom w:val="nil"/>
          <w:right w:val="nil"/>
          <w:between w:val="nil"/>
        </w:pBdr>
        <w:spacing w:before="240" w:after="24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III. R E S U E L V E</w:t>
      </w:r>
    </w:p>
    <w:p w14:paraId="016B7032" w14:textId="77777777" w:rsidR="00DC5770" w:rsidRDefault="00DC5770">
      <w:pPr>
        <w:pBdr>
          <w:top w:val="nil"/>
          <w:left w:val="nil"/>
          <w:bottom w:val="nil"/>
          <w:right w:val="nil"/>
          <w:between w:val="nil"/>
        </w:pBdr>
        <w:spacing w:before="240" w:after="240"/>
        <w:jc w:val="center"/>
        <w:rPr>
          <w:color w:val="000000"/>
        </w:rPr>
      </w:pPr>
    </w:p>
    <w:p w14:paraId="11BBDDE6" w14:textId="77777777" w:rsidR="00DC5770" w:rsidRDefault="009622C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PRIMERO. </w:t>
      </w:r>
      <w:r>
        <w:rPr>
          <w:rFonts w:ascii="Palatino Linotype" w:eastAsia="Palatino Linotype" w:hAnsi="Palatino Linotype" w:cs="Palatino Linotype"/>
          <w:color w:val="000000"/>
        </w:rPr>
        <w:t xml:space="preserve">Resultan </w:t>
      </w:r>
      <w:r>
        <w:rPr>
          <w:rFonts w:ascii="Palatino Linotype" w:eastAsia="Palatino Linotype" w:hAnsi="Palatino Linotype" w:cs="Palatino Linotype"/>
          <w:b/>
          <w:color w:val="000000"/>
        </w:rPr>
        <w:t>INFUNDADA</w:t>
      </w:r>
      <w:r>
        <w:rPr>
          <w:rFonts w:ascii="Palatino Linotype" w:eastAsia="Palatino Linotype" w:hAnsi="Palatino Linotype" w:cs="Palatino Linotype"/>
          <w:color w:val="000000"/>
        </w:rPr>
        <w:t>S las razones o motivos de inconformidad</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hechos valer en el Recurso de Revisión </w:t>
      </w:r>
      <w:r>
        <w:rPr>
          <w:rFonts w:ascii="Palatino Linotype" w:eastAsia="Palatino Linotype" w:hAnsi="Palatino Linotype" w:cs="Palatino Linotype"/>
          <w:b/>
          <w:color w:val="000000"/>
        </w:rPr>
        <w:t>02424/INFOEM/IP/RR/2022</w:t>
      </w:r>
      <w:r>
        <w:rPr>
          <w:rFonts w:ascii="Palatino Linotype" w:eastAsia="Palatino Linotype" w:hAnsi="Palatino Linotype" w:cs="Palatino Linotype"/>
          <w:color w:val="000000"/>
        </w:rPr>
        <w:t>, en términos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del Considerando </w:t>
      </w:r>
      <w:r>
        <w:rPr>
          <w:rFonts w:ascii="Palatino Linotype" w:eastAsia="Palatino Linotype" w:hAnsi="Palatino Linotype" w:cs="Palatino Linotype"/>
          <w:b/>
          <w:color w:val="000000"/>
        </w:rPr>
        <w:t>Cuarto</w:t>
      </w:r>
      <w:r>
        <w:rPr>
          <w:rFonts w:ascii="Palatino Linotype" w:eastAsia="Palatino Linotype" w:hAnsi="Palatino Linotype" w:cs="Palatino Linotype"/>
          <w:color w:val="000000"/>
        </w:rPr>
        <w:t xml:space="preserve"> de la presente resolución.</w:t>
      </w:r>
    </w:p>
    <w:p w14:paraId="6F3C68B7" w14:textId="77777777" w:rsidR="00DC5770" w:rsidRDefault="009622C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w:t>
      </w:r>
    </w:p>
    <w:p w14:paraId="7B8A279B" w14:textId="77777777" w:rsidR="00DC5770" w:rsidRDefault="009622C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lastRenderedPageBreak/>
        <w:t>SEGUNDA</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otorgada a</w:t>
      </w:r>
      <w:r>
        <w:rPr>
          <w:rFonts w:ascii="Palatino Linotype" w:eastAsia="Palatino Linotype" w:hAnsi="Palatino Linotype" w:cs="Palatino Linotype"/>
          <w:color w:val="000000"/>
        </w:rPr>
        <w:t xml:space="preserve"> la solicitud de información </w:t>
      </w:r>
      <w:r>
        <w:rPr>
          <w:rFonts w:ascii="Palatino Linotype" w:eastAsia="Palatino Linotype" w:hAnsi="Palatino Linotype" w:cs="Palatino Linotype"/>
          <w:b/>
          <w:color w:val="000000"/>
        </w:rPr>
        <w:t>00060/CHIAUTLA/IP/2022</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de esta resolución.</w:t>
      </w:r>
    </w:p>
    <w:p w14:paraId="7E1E55EC" w14:textId="77777777" w:rsidR="00DC5770" w:rsidRDefault="00DC5770">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5" w:name="_heading=h.1fob9te" w:colFirst="0" w:colLast="0"/>
      <w:bookmarkEnd w:id="5"/>
    </w:p>
    <w:p w14:paraId="6CD33F3C" w14:textId="77777777" w:rsidR="00DC5770" w:rsidRDefault="009622C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TERCERO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la presente resolución al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para su conocimiento.</w:t>
      </w:r>
    </w:p>
    <w:p w14:paraId="7F2DCE6A" w14:textId="77777777" w:rsidR="00DC5770" w:rsidRDefault="00DC577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B54AED2" w14:textId="77777777" w:rsidR="00DC5770" w:rsidRDefault="009622C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CUARTO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1AC380F0" w14:textId="77777777" w:rsidR="00DC5770" w:rsidRDefault="00DC577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9363813" w14:textId="77777777" w:rsidR="00DC5770" w:rsidRDefault="009622C6">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DE MAYO DE DOS MIL VEINTIDÓS, ANTE EL SECRETARIO TÉCNICO DEL PLENO ALEXIS TAPIA RAMÍREZ.</w:t>
      </w:r>
    </w:p>
    <w:p w14:paraId="10121649" w14:textId="77777777" w:rsidR="00DC5770" w:rsidRDefault="00DC5770">
      <w:pPr>
        <w:spacing w:line="360" w:lineRule="auto"/>
      </w:pPr>
    </w:p>
    <w:p w14:paraId="20ED98C8" w14:textId="77777777" w:rsidR="00DC5770" w:rsidRDefault="00DC5770">
      <w:pPr>
        <w:spacing w:line="360" w:lineRule="auto"/>
        <w:jc w:val="both"/>
        <w:rPr>
          <w:rFonts w:ascii="Palatino Linotype" w:eastAsia="Palatino Linotype" w:hAnsi="Palatino Linotype" w:cs="Palatino Linotype"/>
        </w:rPr>
      </w:pPr>
    </w:p>
    <w:p w14:paraId="560AF537" w14:textId="77777777" w:rsidR="00DC5770" w:rsidRDefault="00DC5770">
      <w:pPr>
        <w:spacing w:after="240" w:line="360" w:lineRule="auto"/>
        <w:ind w:right="49"/>
        <w:jc w:val="both"/>
        <w:rPr>
          <w:rFonts w:ascii="Palatino Linotype" w:eastAsia="Palatino Linotype" w:hAnsi="Palatino Linotype" w:cs="Palatino Linotype"/>
        </w:rPr>
      </w:pPr>
    </w:p>
    <w:sectPr w:rsidR="00DC5770">
      <w:headerReference w:type="default" r:id="rId12"/>
      <w:footerReference w:type="default" r:id="rId13"/>
      <w:headerReference w:type="first" r:id="rId14"/>
      <w:footerReference w:type="first" r:id="rId15"/>
      <w:pgSz w:w="12240" w:h="15840"/>
      <w:pgMar w:top="2552"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C8978" w14:textId="77777777" w:rsidR="001D7DC8" w:rsidRDefault="001D7DC8">
      <w:r>
        <w:separator/>
      </w:r>
    </w:p>
  </w:endnote>
  <w:endnote w:type="continuationSeparator" w:id="0">
    <w:p w14:paraId="749348E9" w14:textId="77777777" w:rsidR="001D7DC8" w:rsidRDefault="001D7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A85E1" w14:textId="77777777" w:rsidR="00DC5770" w:rsidRDefault="009622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74658">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74658">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7EAEE3EC" w14:textId="77777777" w:rsidR="00DC5770" w:rsidRDefault="00DC577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D3F12" w14:textId="77777777" w:rsidR="00DC5770" w:rsidRDefault="009622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7465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74658">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38695C92" w14:textId="77777777" w:rsidR="00DC5770" w:rsidRDefault="00DC577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F87BA" w14:textId="77777777" w:rsidR="001D7DC8" w:rsidRDefault="001D7DC8">
      <w:r>
        <w:separator/>
      </w:r>
    </w:p>
  </w:footnote>
  <w:footnote w:type="continuationSeparator" w:id="0">
    <w:p w14:paraId="69B9F7BA" w14:textId="77777777" w:rsidR="001D7DC8" w:rsidRDefault="001D7DC8">
      <w:r>
        <w:continuationSeparator/>
      </w:r>
    </w:p>
  </w:footnote>
  <w:footnote w:id="1">
    <w:p w14:paraId="2516B3AA" w14:textId="77777777" w:rsidR="00DC5770" w:rsidRDefault="009622C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2F7592C" w14:textId="77777777" w:rsidR="00DC5770" w:rsidRDefault="009622C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0A0F4" w14:textId="77777777" w:rsidR="00DC5770" w:rsidRDefault="009622C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C608D99" wp14:editId="4F251A45">
          <wp:simplePos x="0" y="0"/>
          <wp:positionH relativeFrom="column">
            <wp:posOffset>-1080132</wp:posOffset>
          </wp:positionH>
          <wp:positionV relativeFrom="paragraph">
            <wp:posOffset>-488312</wp:posOffset>
          </wp:positionV>
          <wp:extent cx="7809865" cy="10165715"/>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DC5770" w14:paraId="4C6F554A" w14:textId="77777777">
      <w:tc>
        <w:tcPr>
          <w:tcW w:w="2489" w:type="dxa"/>
          <w:shd w:val="clear" w:color="auto" w:fill="auto"/>
        </w:tcPr>
        <w:p w14:paraId="653B8888" w14:textId="77777777" w:rsidR="00DC5770" w:rsidRDefault="009622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7F1A5B8" w14:textId="77777777" w:rsidR="00DC5770" w:rsidRDefault="009622C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02424/INFOEM/IP/RR/2022</w:t>
          </w:r>
        </w:p>
      </w:tc>
    </w:tr>
    <w:tr w:rsidR="00DC5770" w14:paraId="4F64B14F" w14:textId="77777777">
      <w:trPr>
        <w:trHeight w:val="228"/>
      </w:trPr>
      <w:tc>
        <w:tcPr>
          <w:tcW w:w="2489" w:type="dxa"/>
          <w:shd w:val="clear" w:color="auto" w:fill="auto"/>
          <w:vAlign w:val="center"/>
        </w:tcPr>
        <w:p w14:paraId="6627E2BB" w14:textId="77777777" w:rsidR="00DC5770" w:rsidRDefault="009622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331FA86" w14:textId="77777777" w:rsidR="00DC5770" w:rsidRDefault="009622C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Chiautla</w:t>
          </w:r>
        </w:p>
      </w:tc>
    </w:tr>
    <w:tr w:rsidR="00DC5770" w14:paraId="65A84D09" w14:textId="77777777">
      <w:tc>
        <w:tcPr>
          <w:tcW w:w="2489" w:type="dxa"/>
          <w:shd w:val="clear" w:color="auto" w:fill="auto"/>
          <w:vAlign w:val="center"/>
        </w:tcPr>
        <w:p w14:paraId="64F2FA3D" w14:textId="77777777" w:rsidR="00DC5770" w:rsidRDefault="009622C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876EE7E" w14:textId="77777777" w:rsidR="00DC5770" w:rsidRDefault="009622C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A03661" w14:textId="77777777" w:rsidR="00DC5770" w:rsidRDefault="009622C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B291D" w14:textId="77777777" w:rsidR="00DC5770" w:rsidRDefault="00DC577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DC5770" w14:paraId="3F711C56" w14:textId="77777777">
      <w:tc>
        <w:tcPr>
          <w:tcW w:w="2551" w:type="dxa"/>
          <w:shd w:val="clear" w:color="auto" w:fill="auto"/>
          <w:vAlign w:val="center"/>
        </w:tcPr>
        <w:p w14:paraId="5BF4EC24" w14:textId="77777777" w:rsidR="00DC5770" w:rsidRDefault="009622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E13FA2B" w14:textId="77777777" w:rsidR="00DC5770" w:rsidRDefault="009622C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02424/INFOEM/IP/RR/2022</w:t>
          </w:r>
        </w:p>
      </w:tc>
    </w:tr>
    <w:tr w:rsidR="00DC5770" w14:paraId="11304C04" w14:textId="77777777">
      <w:trPr>
        <w:trHeight w:val="130"/>
      </w:trPr>
      <w:tc>
        <w:tcPr>
          <w:tcW w:w="2551" w:type="dxa"/>
          <w:shd w:val="clear" w:color="auto" w:fill="auto"/>
          <w:vAlign w:val="center"/>
        </w:tcPr>
        <w:p w14:paraId="7158EB7A" w14:textId="77777777" w:rsidR="00DC5770" w:rsidRDefault="009622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B4E9829" w14:textId="041386DC" w:rsidR="00DC5770" w:rsidRDefault="00674658">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p>
      </w:tc>
    </w:tr>
    <w:tr w:rsidR="00DC5770" w14:paraId="5AC490BF" w14:textId="77777777">
      <w:trPr>
        <w:trHeight w:val="228"/>
      </w:trPr>
      <w:tc>
        <w:tcPr>
          <w:tcW w:w="2551" w:type="dxa"/>
          <w:shd w:val="clear" w:color="auto" w:fill="auto"/>
          <w:vAlign w:val="center"/>
        </w:tcPr>
        <w:p w14:paraId="04E0F752" w14:textId="77777777" w:rsidR="00DC5770" w:rsidRDefault="009622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57CAB4D" w14:textId="77777777" w:rsidR="00DC5770" w:rsidRDefault="009622C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Chiautla</w:t>
          </w:r>
        </w:p>
      </w:tc>
    </w:tr>
    <w:tr w:rsidR="00DC5770" w14:paraId="19188F61" w14:textId="77777777">
      <w:tc>
        <w:tcPr>
          <w:tcW w:w="2551" w:type="dxa"/>
          <w:shd w:val="clear" w:color="auto" w:fill="auto"/>
          <w:vAlign w:val="center"/>
        </w:tcPr>
        <w:p w14:paraId="41F1DF2E" w14:textId="77777777" w:rsidR="00DC5770" w:rsidRDefault="009622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70BC1D9" w14:textId="77777777" w:rsidR="00DC5770" w:rsidRDefault="009622C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41454B" w14:textId="77777777" w:rsidR="00DC5770" w:rsidRDefault="009622C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D6DB44A" wp14:editId="54AA51F3">
          <wp:simplePos x="0" y="0"/>
          <wp:positionH relativeFrom="column">
            <wp:posOffset>-1089657</wp:posOffset>
          </wp:positionH>
          <wp:positionV relativeFrom="paragraph">
            <wp:posOffset>-1169667</wp:posOffset>
          </wp:positionV>
          <wp:extent cx="7809865" cy="1016571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FC3518"/>
    <w:multiLevelType w:val="multilevel"/>
    <w:tmpl w:val="0DFC021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5B3F4835"/>
    <w:multiLevelType w:val="multilevel"/>
    <w:tmpl w:val="98044380"/>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770"/>
    <w:rsid w:val="00064A37"/>
    <w:rsid w:val="000D151D"/>
    <w:rsid w:val="001D7DC8"/>
    <w:rsid w:val="006374D8"/>
    <w:rsid w:val="00674658"/>
    <w:rsid w:val="006A2B5D"/>
    <w:rsid w:val="007171E2"/>
    <w:rsid w:val="009622C6"/>
    <w:rsid w:val="00C17E6B"/>
    <w:rsid w:val="00DC5770"/>
    <w:rsid w:val="00E010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DA57E"/>
  <w15:docId w15:val="{98D8E88D-C3BE-4B08-92BD-8FBCB7CA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ggdh4+0ta/pwke/P5ZK5PiGN9Q==">AMUW2mVFYRyrsCy6+wrL3EhXGR2gVvPagRP3t85Mi5jGz8m3CTPJGfHaYMLbw1E3wRIh6PXhw55bQpGA00TLooJUx2uEdAsTnano/gkUQf702WNiS0ph/VWa6pyDoW4hpvl0+YqqLPkyP7hmmMB+hlQUPcRYWXqxSIuZ8+crMPqbGT2CCzh3S2U=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5301</Words>
  <Characters>29159</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6</cp:revision>
  <cp:lastPrinted>2022-05-30T05:52:00Z</cp:lastPrinted>
  <dcterms:created xsi:type="dcterms:W3CDTF">2022-05-19T23:20:00Z</dcterms:created>
  <dcterms:modified xsi:type="dcterms:W3CDTF">2022-06-06T17:13:00Z</dcterms:modified>
</cp:coreProperties>
</file>