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B433" w14:textId="77777777" w:rsidR="0036327D" w:rsidRPr="00B2114D" w:rsidRDefault="004B1C23">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B2114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E52ABB" w:rsidRPr="00B2114D">
        <w:rPr>
          <w:rFonts w:ascii="Palatino Linotype" w:eastAsia="Palatino Linotype" w:hAnsi="Palatino Linotype" w:cs="Palatino Linotype"/>
        </w:rPr>
        <w:t xml:space="preserve">diecisiete </w:t>
      </w:r>
      <w:r w:rsidRPr="00B2114D">
        <w:rPr>
          <w:rFonts w:ascii="Palatino Linotype" w:eastAsia="Palatino Linotype" w:hAnsi="Palatino Linotype" w:cs="Palatino Linotype"/>
        </w:rPr>
        <w:t>de agosto del dos mil veintidós.</w:t>
      </w:r>
    </w:p>
    <w:p w14:paraId="11F1D3FC" w14:textId="5C48EEDB"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Visto</w:t>
      </w:r>
      <w:r w:rsidRPr="00B2114D">
        <w:rPr>
          <w:rFonts w:ascii="Palatino Linotype" w:eastAsia="Palatino Linotype" w:hAnsi="Palatino Linotype" w:cs="Palatino Linotype"/>
        </w:rPr>
        <w:t xml:space="preserve"> el expediente relativo al recurso de revisión </w:t>
      </w:r>
      <w:r w:rsidRPr="00B2114D">
        <w:rPr>
          <w:rFonts w:ascii="Palatino Linotype" w:eastAsia="Palatino Linotype" w:hAnsi="Palatino Linotype" w:cs="Palatino Linotype"/>
          <w:b/>
        </w:rPr>
        <w:t>05619/INFOEM/IP/RR/2022</w:t>
      </w:r>
      <w:r w:rsidRPr="00B2114D">
        <w:rPr>
          <w:rFonts w:ascii="Palatino Linotype" w:eastAsia="Palatino Linotype" w:hAnsi="Palatino Linotype" w:cs="Palatino Linotype"/>
        </w:rPr>
        <w:t xml:space="preserve">, interpuesto por </w:t>
      </w:r>
      <w:r w:rsidR="00BB0591">
        <w:rPr>
          <w:rFonts w:ascii="Palatino Linotype" w:eastAsia="Palatino Linotype" w:hAnsi="Palatino Linotype" w:cs="Palatino Linotype"/>
          <w:b/>
          <w:sz w:val="22"/>
          <w:szCs w:val="22"/>
        </w:rPr>
        <w:t>XXXXX XXXXXX XXXXX</w:t>
      </w:r>
      <w:r w:rsidRPr="00B2114D">
        <w:rPr>
          <w:rFonts w:ascii="Palatino Linotype" w:eastAsia="Palatino Linotype" w:hAnsi="Palatino Linotype" w:cs="Palatino Linotype"/>
        </w:rPr>
        <w:t xml:space="preserve">, a quien se le denominará el </w:t>
      </w:r>
      <w:r w:rsidRPr="00B2114D">
        <w:rPr>
          <w:rFonts w:ascii="Palatino Linotype" w:eastAsia="Palatino Linotype" w:hAnsi="Palatino Linotype" w:cs="Palatino Linotype"/>
          <w:b/>
        </w:rPr>
        <w:t>RECURRENTE</w:t>
      </w:r>
      <w:r w:rsidRPr="00B2114D">
        <w:rPr>
          <w:rFonts w:ascii="Palatino Linotype" w:eastAsia="Palatino Linotype" w:hAnsi="Palatino Linotype" w:cs="Palatino Linotype"/>
        </w:rPr>
        <w:t xml:space="preserve">, en contra de la respuesta a su solicitud de información con número de folio </w:t>
      </w:r>
      <w:r w:rsidRPr="00B2114D">
        <w:rPr>
          <w:rFonts w:ascii="Palatino Linotype" w:eastAsia="Palatino Linotype" w:hAnsi="Palatino Linotype" w:cs="Palatino Linotype"/>
          <w:b/>
        </w:rPr>
        <w:t xml:space="preserve">00017/OASCHIMAL/IP/2022, </w:t>
      </w:r>
      <w:r w:rsidRPr="00B2114D">
        <w:rPr>
          <w:rFonts w:ascii="Palatino Linotype" w:eastAsia="Palatino Linotype" w:hAnsi="Palatino Linotype" w:cs="Palatino Linotype"/>
        </w:rPr>
        <w:t xml:space="preserve">por parte del </w:t>
      </w:r>
      <w:r w:rsidRPr="00B2114D">
        <w:rPr>
          <w:rFonts w:ascii="Palatino Linotype" w:eastAsia="Palatino Linotype" w:hAnsi="Palatino Linotype" w:cs="Palatino Linotype"/>
          <w:b/>
        </w:rPr>
        <w:t xml:space="preserve">ORGANISMO PÚBLICO DESCENTRALIZADO DE AGUA POTABLE ALCANTARILLADO Y SANEAMIENTO DE CHIMALHUACÁN, </w:t>
      </w:r>
      <w:r w:rsidRPr="00B2114D">
        <w:rPr>
          <w:rFonts w:ascii="Palatino Linotype" w:eastAsia="Palatino Linotype" w:hAnsi="Palatino Linotype" w:cs="Palatino Linotype"/>
        </w:rPr>
        <w:t xml:space="preserve">en lo sucesivo el </w:t>
      </w:r>
      <w:r w:rsidRPr="00B2114D">
        <w:rPr>
          <w:rFonts w:ascii="Palatino Linotype" w:eastAsia="Palatino Linotype" w:hAnsi="Palatino Linotype" w:cs="Palatino Linotype"/>
          <w:b/>
        </w:rPr>
        <w:t xml:space="preserve">SUJETO OBLIGADO; </w:t>
      </w:r>
      <w:r w:rsidRPr="00B2114D">
        <w:rPr>
          <w:rFonts w:ascii="Palatino Linotype" w:eastAsia="Palatino Linotype" w:hAnsi="Palatino Linotype" w:cs="Palatino Linotype"/>
        </w:rPr>
        <w:t>se procede a dictar la presente resolución, con base en los siguientes:</w:t>
      </w:r>
    </w:p>
    <w:p w14:paraId="055E1AA8" w14:textId="77777777" w:rsidR="0036327D" w:rsidRPr="00B2114D" w:rsidRDefault="004B1C23">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B2114D">
        <w:rPr>
          <w:rFonts w:ascii="Palatino Linotype" w:eastAsia="Palatino Linotype" w:hAnsi="Palatino Linotype" w:cs="Palatino Linotype"/>
          <w:b/>
          <w:color w:val="000000"/>
        </w:rPr>
        <w:t>A N T E C E D E N T E S:</w:t>
      </w:r>
    </w:p>
    <w:p w14:paraId="063143AD"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1. SOLICITUD DE ACCESO A LA INFORMACIÓN. </w:t>
      </w:r>
      <w:r w:rsidRPr="00B2114D">
        <w:rPr>
          <w:rFonts w:ascii="Palatino Linotype" w:eastAsia="Palatino Linotype" w:hAnsi="Palatino Linotype" w:cs="Palatino Linotype"/>
        </w:rPr>
        <w:t xml:space="preserve">En veintidós de febrero de dos mil veintidós, la parte </w:t>
      </w:r>
      <w:r w:rsidRPr="00B2114D">
        <w:rPr>
          <w:rFonts w:ascii="Palatino Linotype" w:eastAsia="Palatino Linotype" w:hAnsi="Palatino Linotype" w:cs="Palatino Linotype"/>
          <w:b/>
        </w:rPr>
        <w:t>RECURRENTE</w:t>
      </w:r>
      <w:r w:rsidRPr="00B2114D">
        <w:rPr>
          <w:rFonts w:ascii="Palatino Linotype" w:eastAsia="Palatino Linotype" w:hAnsi="Palatino Linotype" w:cs="Palatino Linotype"/>
        </w:rPr>
        <w:t xml:space="preserve"> formuló solicitud de acceso a información pública al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a través del Sistema de Acceso a la Información Mexiquense, en adelante </w:t>
      </w:r>
      <w:r w:rsidRPr="00B2114D">
        <w:rPr>
          <w:rFonts w:ascii="Palatino Linotype" w:eastAsia="Palatino Linotype" w:hAnsi="Palatino Linotype" w:cs="Palatino Linotype"/>
          <w:b/>
        </w:rPr>
        <w:t>SAIMEX,</w:t>
      </w:r>
      <w:r w:rsidRPr="00B2114D">
        <w:rPr>
          <w:rFonts w:ascii="Palatino Linotype" w:eastAsia="Palatino Linotype" w:hAnsi="Palatino Linotype" w:cs="Palatino Linotype"/>
        </w:rPr>
        <w:t xml:space="preserve"> requiriéndole lo siguiente:</w:t>
      </w:r>
    </w:p>
    <w:p w14:paraId="2AFDF082" w14:textId="77777777" w:rsidR="0036327D" w:rsidRPr="00B2114D" w:rsidRDefault="004B1C23">
      <w:pPr>
        <w:ind w:left="851" w:right="758"/>
        <w:jc w:val="both"/>
        <w:rPr>
          <w:rFonts w:ascii="Palatino Linotype" w:eastAsia="Palatino Linotype" w:hAnsi="Palatino Linotype" w:cs="Palatino Linotype"/>
          <w:i/>
        </w:rPr>
      </w:pPr>
      <w:r w:rsidRPr="00B2114D">
        <w:rPr>
          <w:rFonts w:ascii="Palatino Linotype" w:eastAsia="Palatino Linotype" w:hAnsi="Palatino Linotype" w:cs="Palatino Linotype"/>
          <w:i/>
        </w:rPr>
        <w:t>“Solicito me sea proporcionado el tabulador de sueldos base y netos de acuerdo con los puestos que desempeña cada empleado.” (Sic)</w:t>
      </w:r>
    </w:p>
    <w:p w14:paraId="6B006897"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Modalidad elegida para la entrega de la información: </w:t>
      </w:r>
      <w:r w:rsidRPr="00B2114D">
        <w:rPr>
          <w:rFonts w:ascii="Palatino Linotype" w:eastAsia="Palatino Linotype" w:hAnsi="Palatino Linotype" w:cs="Palatino Linotype"/>
        </w:rPr>
        <w:t xml:space="preserve">a través del </w:t>
      </w:r>
      <w:r w:rsidRPr="00B2114D">
        <w:rPr>
          <w:rFonts w:ascii="Palatino Linotype" w:eastAsia="Palatino Linotype" w:hAnsi="Palatino Linotype" w:cs="Palatino Linotype"/>
          <w:b/>
        </w:rPr>
        <w:t>SAIMEX</w:t>
      </w:r>
      <w:r w:rsidRPr="00B2114D">
        <w:rPr>
          <w:rFonts w:ascii="Palatino Linotype" w:eastAsia="Palatino Linotype" w:hAnsi="Palatino Linotype" w:cs="Palatino Linotype"/>
        </w:rPr>
        <w:t>.</w:t>
      </w:r>
    </w:p>
    <w:p w14:paraId="09B95FFF" w14:textId="77777777" w:rsidR="00D63DD4"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2. </w:t>
      </w:r>
      <w:r w:rsidR="00D63DD4" w:rsidRPr="00B2114D">
        <w:rPr>
          <w:rFonts w:ascii="Palatino Linotype" w:eastAsia="Palatino Linotype" w:hAnsi="Palatino Linotype" w:cs="Palatino Linotype"/>
          <w:b/>
        </w:rPr>
        <w:t xml:space="preserve">PRÓRROGA. </w:t>
      </w:r>
      <w:r w:rsidR="00D63DD4" w:rsidRPr="00B2114D">
        <w:rPr>
          <w:rFonts w:ascii="Palatino Linotype" w:eastAsia="Palatino Linotype" w:hAnsi="Palatino Linotype" w:cs="Palatino Linotype"/>
        </w:rPr>
        <w:t xml:space="preserve">El quince de marzo de dos mil veintidós, el </w:t>
      </w:r>
      <w:r w:rsidR="00D63DD4" w:rsidRPr="00B2114D">
        <w:rPr>
          <w:rFonts w:ascii="Palatino Linotype" w:eastAsia="Palatino Linotype" w:hAnsi="Palatino Linotype" w:cs="Palatino Linotype"/>
          <w:b/>
        </w:rPr>
        <w:t xml:space="preserve">SUJETO OBLIGADO </w:t>
      </w:r>
      <w:r w:rsidR="00D63DD4" w:rsidRPr="00B2114D">
        <w:rPr>
          <w:rFonts w:ascii="Palatino Linotype" w:eastAsia="Palatino Linotype" w:hAnsi="Palatino Linotype" w:cs="Palatino Linotype"/>
        </w:rPr>
        <w:t xml:space="preserve">informó que el plazo de 15 días hábiles para atender la solicitud de información </w:t>
      </w:r>
      <w:r w:rsidR="006F393A" w:rsidRPr="00B2114D">
        <w:rPr>
          <w:rFonts w:ascii="Palatino Linotype" w:eastAsia="Palatino Linotype" w:hAnsi="Palatino Linotype" w:cs="Palatino Linotype"/>
        </w:rPr>
        <w:t xml:space="preserve">se prorrogo por 7 días en virtud de las siguientes razones: </w:t>
      </w:r>
    </w:p>
    <w:p w14:paraId="27A465EC" w14:textId="77777777" w:rsidR="006F393A" w:rsidRPr="00B2114D" w:rsidRDefault="006F393A" w:rsidP="006F393A">
      <w:pPr>
        <w:spacing w:before="240" w:after="240" w:line="360" w:lineRule="auto"/>
        <w:ind w:left="851"/>
        <w:jc w:val="both"/>
        <w:rPr>
          <w:rFonts w:ascii="Palatino Linotype" w:eastAsia="Palatino Linotype" w:hAnsi="Palatino Linotype" w:cs="Palatino Linotype"/>
          <w:i/>
        </w:rPr>
      </w:pPr>
      <w:r w:rsidRPr="00B2114D">
        <w:rPr>
          <w:rFonts w:ascii="Palatino Linotype" w:eastAsia="Palatino Linotype" w:hAnsi="Palatino Linotype" w:cs="Palatino Linotype"/>
          <w:i/>
        </w:rPr>
        <w:lastRenderedPageBreak/>
        <w:t>“Aprobada” (Sic)</w:t>
      </w:r>
    </w:p>
    <w:p w14:paraId="68E6CF9F"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RESPUESTA. </w:t>
      </w:r>
      <w:r w:rsidR="006F393A" w:rsidRPr="00B2114D">
        <w:rPr>
          <w:rFonts w:ascii="Palatino Linotype" w:eastAsia="Palatino Linotype" w:hAnsi="Palatino Linotype" w:cs="Palatino Linotype"/>
        </w:rPr>
        <w:t>Con fecha veintiocho</w:t>
      </w:r>
      <w:r w:rsidRPr="00B2114D">
        <w:rPr>
          <w:rFonts w:ascii="Palatino Linotype" w:eastAsia="Palatino Linotype" w:hAnsi="Palatino Linotype" w:cs="Palatino Linotype"/>
        </w:rPr>
        <w:t xml:space="preserve"> de marzo del dos mil veintidós 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envió su respuesta a la solicitud de acceso a la información a través del SAIMEX, la cual versa como sigue:</w:t>
      </w:r>
    </w:p>
    <w:p w14:paraId="79B7EC23" w14:textId="77777777" w:rsidR="0036327D" w:rsidRPr="00B2114D" w:rsidRDefault="004B1C23">
      <w:pPr>
        <w:spacing w:before="240"/>
        <w:ind w:left="851" w:right="902"/>
        <w:jc w:val="both"/>
        <w:rPr>
          <w:rFonts w:ascii="Palatino Linotype" w:eastAsia="Palatino Linotype" w:hAnsi="Palatino Linotype" w:cs="Palatino Linotype"/>
          <w:i/>
          <w:color w:val="000000"/>
        </w:rPr>
      </w:pPr>
      <w:r w:rsidRPr="00B2114D">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EAF1B4" w14:textId="77777777" w:rsidR="0036327D" w:rsidRPr="00B2114D" w:rsidRDefault="004B1C23">
      <w:pPr>
        <w:spacing w:before="240"/>
        <w:ind w:left="851" w:right="902"/>
        <w:jc w:val="both"/>
        <w:rPr>
          <w:rFonts w:ascii="Palatino Linotype" w:eastAsia="Palatino Linotype" w:hAnsi="Palatino Linotype" w:cs="Palatino Linotype"/>
          <w:i/>
          <w:color w:val="000000"/>
        </w:rPr>
      </w:pPr>
      <w:r w:rsidRPr="00B2114D">
        <w:rPr>
          <w:rFonts w:ascii="Palatino Linotype" w:eastAsia="Palatino Linotype" w:hAnsi="Palatino Linotype" w:cs="Palatino Linotype"/>
          <w:i/>
          <w:color w:val="000000"/>
        </w:rPr>
        <w:t>ATENTAMENTE UNIDAD DE TRANSPARENCIA ODAPAS CHIMALHUACAN</w:t>
      </w:r>
    </w:p>
    <w:p w14:paraId="13474AF4" w14:textId="77777777" w:rsidR="0036327D" w:rsidRPr="00B2114D" w:rsidRDefault="004B1C23">
      <w:pPr>
        <w:spacing w:before="240"/>
        <w:ind w:left="851" w:right="902"/>
        <w:jc w:val="both"/>
        <w:rPr>
          <w:rFonts w:ascii="Palatino Linotype" w:eastAsia="Palatino Linotype" w:hAnsi="Palatino Linotype" w:cs="Palatino Linotype"/>
          <w:i/>
          <w:color w:val="000000"/>
        </w:rPr>
      </w:pPr>
      <w:r w:rsidRPr="00B2114D">
        <w:rPr>
          <w:rFonts w:ascii="Palatino Linotype" w:eastAsia="Palatino Linotype" w:hAnsi="Palatino Linotype" w:cs="Palatino Linotype"/>
          <w:i/>
          <w:color w:val="000000"/>
        </w:rPr>
        <w:t>ATENTAMENTE</w:t>
      </w:r>
    </w:p>
    <w:p w14:paraId="31132DD6" w14:textId="77777777" w:rsidR="0036327D" w:rsidRPr="00B2114D" w:rsidRDefault="004B1C23">
      <w:pPr>
        <w:spacing w:before="240"/>
        <w:ind w:left="851" w:right="902"/>
        <w:jc w:val="both"/>
        <w:rPr>
          <w:rFonts w:ascii="Palatino Linotype" w:eastAsia="Palatino Linotype" w:hAnsi="Palatino Linotype" w:cs="Palatino Linotype"/>
          <w:i/>
          <w:color w:val="000000"/>
        </w:rPr>
      </w:pPr>
      <w:r w:rsidRPr="00B2114D">
        <w:rPr>
          <w:rFonts w:ascii="Palatino Linotype" w:eastAsia="Palatino Linotype" w:hAnsi="Palatino Linotype" w:cs="Palatino Linotype"/>
          <w:i/>
          <w:color w:val="000000"/>
        </w:rPr>
        <w:t>Lic. DANIEL CEDILLO VALVERDE” (Sic)</w:t>
      </w:r>
    </w:p>
    <w:p w14:paraId="47D23140" w14:textId="77777777" w:rsidR="0036327D" w:rsidRPr="00B2114D" w:rsidRDefault="0036327D">
      <w:pPr>
        <w:ind w:right="902"/>
        <w:jc w:val="both"/>
        <w:rPr>
          <w:rFonts w:ascii="Palatino Linotype" w:eastAsia="Palatino Linotype" w:hAnsi="Palatino Linotype" w:cs="Palatino Linotype"/>
          <w:i/>
          <w:color w:val="000000"/>
        </w:rPr>
      </w:pPr>
    </w:p>
    <w:p w14:paraId="65B83B2A"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adjuntó a su respuesta los archivos electrónicos denominados “4.- RESPUESTA AL RECURRENTE 00017.pdf” y “4.- Tabulador de Sueldo.pdf”; el primero contiene el oficio UT/ODAPS/00167/2022, de fecha veintiocho de marzo de dos mil veintidós mediante el cual el Titular de la Unidad de Trasparencia del </w:t>
      </w:r>
      <w:r w:rsidRPr="00B2114D">
        <w:rPr>
          <w:rFonts w:ascii="Palatino Linotype" w:eastAsia="Palatino Linotype" w:hAnsi="Palatino Linotype" w:cs="Palatino Linotype"/>
          <w:b/>
        </w:rPr>
        <w:t>Organismo Público Descentralizado de Agua Potable Alcantarillado y Saneamiento de Chimalhuacán,</w:t>
      </w:r>
      <w:r w:rsidRPr="00B2114D">
        <w:rPr>
          <w:rFonts w:ascii="Palatino Linotype" w:eastAsia="Palatino Linotype" w:hAnsi="Palatino Linotype" w:cs="Palatino Linotype"/>
        </w:rPr>
        <w:t xml:space="preserve"> señala que la información solicitada se adjunta en archivo PDF tal como se advierte a continuación:  </w:t>
      </w:r>
    </w:p>
    <w:p w14:paraId="67C2AF12" w14:textId="77777777" w:rsidR="0036327D" w:rsidRPr="00B2114D" w:rsidRDefault="0036327D">
      <w:pPr>
        <w:spacing w:line="360" w:lineRule="auto"/>
        <w:jc w:val="both"/>
        <w:rPr>
          <w:rFonts w:ascii="Palatino Linotype" w:eastAsia="Palatino Linotype" w:hAnsi="Palatino Linotype" w:cs="Palatino Linotype"/>
        </w:rPr>
      </w:pPr>
    </w:p>
    <w:p w14:paraId="32C32633" w14:textId="77777777" w:rsidR="0036327D" w:rsidRPr="00B2114D" w:rsidRDefault="0036327D">
      <w:pPr>
        <w:spacing w:line="360" w:lineRule="auto"/>
        <w:jc w:val="both"/>
        <w:rPr>
          <w:rFonts w:ascii="Palatino Linotype" w:eastAsia="Palatino Linotype" w:hAnsi="Palatino Linotype" w:cs="Palatino Linotype"/>
        </w:rPr>
      </w:pPr>
    </w:p>
    <w:p w14:paraId="039D3225" w14:textId="77777777" w:rsidR="0036327D" w:rsidRPr="00B2114D" w:rsidRDefault="0036327D">
      <w:pPr>
        <w:spacing w:line="360" w:lineRule="auto"/>
        <w:jc w:val="both"/>
        <w:rPr>
          <w:rFonts w:ascii="Palatino Linotype" w:eastAsia="Palatino Linotype" w:hAnsi="Palatino Linotype" w:cs="Palatino Linotype"/>
        </w:rPr>
      </w:pPr>
    </w:p>
    <w:p w14:paraId="40997116" w14:textId="77777777" w:rsidR="0036327D" w:rsidRPr="00B2114D" w:rsidRDefault="0036327D">
      <w:pPr>
        <w:spacing w:line="360" w:lineRule="auto"/>
        <w:jc w:val="both"/>
        <w:rPr>
          <w:rFonts w:ascii="Palatino Linotype" w:eastAsia="Palatino Linotype" w:hAnsi="Palatino Linotype" w:cs="Palatino Linotype"/>
          <w:b/>
        </w:rPr>
      </w:pPr>
    </w:p>
    <w:p w14:paraId="599422F2" w14:textId="77777777" w:rsidR="0036327D" w:rsidRPr="00B2114D" w:rsidRDefault="0036327D">
      <w:pPr>
        <w:spacing w:line="360" w:lineRule="auto"/>
        <w:jc w:val="both"/>
        <w:rPr>
          <w:rFonts w:ascii="Palatino Linotype" w:eastAsia="Palatino Linotype" w:hAnsi="Palatino Linotype" w:cs="Palatino Linotype"/>
          <w:b/>
        </w:rPr>
      </w:pPr>
    </w:p>
    <w:p w14:paraId="230D8278" w14:textId="77777777" w:rsidR="0036327D" w:rsidRPr="00B2114D" w:rsidRDefault="0036327D">
      <w:pPr>
        <w:spacing w:line="360" w:lineRule="auto"/>
        <w:jc w:val="both"/>
        <w:rPr>
          <w:rFonts w:ascii="Palatino Linotype" w:eastAsia="Palatino Linotype" w:hAnsi="Palatino Linotype" w:cs="Palatino Linotype"/>
          <w:b/>
        </w:rPr>
      </w:pPr>
    </w:p>
    <w:p w14:paraId="5853064A" w14:textId="77777777" w:rsidR="0036327D" w:rsidRPr="00B2114D" w:rsidRDefault="0036327D">
      <w:pPr>
        <w:spacing w:line="360" w:lineRule="auto"/>
        <w:jc w:val="both"/>
        <w:rPr>
          <w:rFonts w:ascii="Palatino Linotype" w:eastAsia="Palatino Linotype" w:hAnsi="Palatino Linotype" w:cs="Palatino Linotype"/>
          <w:b/>
        </w:rPr>
      </w:pPr>
    </w:p>
    <w:p w14:paraId="042536C7" w14:textId="77777777" w:rsidR="0036327D" w:rsidRPr="00B2114D" w:rsidRDefault="0036327D">
      <w:pPr>
        <w:spacing w:line="360" w:lineRule="auto"/>
        <w:jc w:val="both"/>
        <w:rPr>
          <w:rFonts w:ascii="Palatino Linotype" w:eastAsia="Palatino Linotype" w:hAnsi="Palatino Linotype" w:cs="Palatino Linotype"/>
          <w:b/>
        </w:rPr>
      </w:pPr>
    </w:p>
    <w:p w14:paraId="22B3275E" w14:textId="77777777" w:rsidR="0036327D" w:rsidRPr="00B2114D" w:rsidRDefault="004B1C23">
      <w:pPr>
        <w:spacing w:line="360" w:lineRule="auto"/>
        <w:jc w:val="both"/>
        <w:rPr>
          <w:rFonts w:ascii="Palatino Linotype" w:eastAsia="Palatino Linotype" w:hAnsi="Palatino Linotype" w:cs="Palatino Linotype"/>
          <w:b/>
        </w:rPr>
      </w:pPr>
      <w:r w:rsidRPr="00B2114D">
        <w:rPr>
          <w:rFonts w:ascii="Palatino Linotype" w:eastAsia="Palatino Linotype" w:hAnsi="Palatino Linotype" w:cs="Palatino Linotype"/>
          <w:noProof/>
          <w:lang w:val="es-MX" w:eastAsia="es-MX"/>
        </w:rPr>
        <w:drawing>
          <wp:inline distT="0" distB="0" distL="0" distR="0" wp14:anchorId="29634178" wp14:editId="5FD36D43">
            <wp:extent cx="5476875" cy="5943600"/>
            <wp:effectExtent l="0" t="0" r="9525" b="0"/>
            <wp:docPr id="58"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10;&#10;Descripción generada automáticamente"/>
                    <pic:cNvPicPr preferRelativeResize="0"/>
                  </pic:nvPicPr>
                  <pic:blipFill>
                    <a:blip r:embed="rId8"/>
                    <a:srcRect l="56517" t="12974" r="7672" b="5552"/>
                    <a:stretch>
                      <a:fillRect/>
                    </a:stretch>
                  </pic:blipFill>
                  <pic:spPr>
                    <a:xfrm>
                      <a:off x="0" y="0"/>
                      <a:ext cx="5477274" cy="5944033"/>
                    </a:xfrm>
                    <a:prstGeom prst="rect">
                      <a:avLst/>
                    </a:prstGeom>
                    <a:ln/>
                  </pic:spPr>
                </pic:pic>
              </a:graphicData>
            </a:graphic>
          </wp:inline>
        </w:drawing>
      </w:r>
    </w:p>
    <w:p w14:paraId="4DFA0808"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lastRenderedPageBreak/>
        <w:t>El segundo archivo en PDF agregado a la respuesta contiene la información que a continuación se ilustra:</w:t>
      </w:r>
    </w:p>
    <w:p w14:paraId="0C12EE4E" w14:textId="77777777" w:rsidR="0036327D" w:rsidRPr="00B2114D" w:rsidRDefault="004B1C23">
      <w:pPr>
        <w:spacing w:line="360" w:lineRule="auto"/>
        <w:jc w:val="both"/>
        <w:rPr>
          <w:rFonts w:ascii="Palatino Linotype" w:eastAsia="Palatino Linotype" w:hAnsi="Palatino Linotype" w:cs="Palatino Linotype"/>
          <w:b/>
        </w:rPr>
      </w:pPr>
      <w:r w:rsidRPr="00B2114D">
        <w:rPr>
          <w:rFonts w:ascii="Palatino Linotype" w:eastAsia="Palatino Linotype" w:hAnsi="Palatino Linotype" w:cs="Palatino Linotype"/>
          <w:b/>
        </w:rPr>
        <w:t xml:space="preserve">    </w:t>
      </w:r>
      <w:r w:rsidRPr="00B2114D">
        <w:rPr>
          <w:rFonts w:ascii="Palatino Linotype" w:eastAsia="Palatino Linotype" w:hAnsi="Palatino Linotype" w:cs="Palatino Linotype"/>
          <w:noProof/>
          <w:lang w:val="es-MX" w:eastAsia="es-MX"/>
        </w:rPr>
        <w:drawing>
          <wp:inline distT="0" distB="0" distL="0" distR="0" wp14:anchorId="4D1386EB" wp14:editId="012BCE93">
            <wp:extent cx="4764722" cy="6610740"/>
            <wp:effectExtent l="0" t="0" r="0" b="0"/>
            <wp:docPr id="60" name="image11.png" descr="Interfaz de usuario gráfica, Aplicación, Tabla, Exce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Aplicación, Tabla, Excel&#10;&#10;Descripción generada automáticamente"/>
                    <pic:cNvPicPr preferRelativeResize="0"/>
                  </pic:nvPicPr>
                  <pic:blipFill>
                    <a:blip r:embed="rId9"/>
                    <a:srcRect l="56008" t="13578" r="11575" b="6457"/>
                    <a:stretch>
                      <a:fillRect/>
                    </a:stretch>
                  </pic:blipFill>
                  <pic:spPr>
                    <a:xfrm>
                      <a:off x="0" y="0"/>
                      <a:ext cx="4764722" cy="6610740"/>
                    </a:xfrm>
                    <a:prstGeom prst="rect">
                      <a:avLst/>
                    </a:prstGeom>
                    <a:ln/>
                  </pic:spPr>
                </pic:pic>
              </a:graphicData>
            </a:graphic>
          </wp:inline>
        </w:drawing>
      </w:r>
    </w:p>
    <w:p w14:paraId="4D4CE02E" w14:textId="77777777" w:rsidR="0036327D" w:rsidRPr="00B2114D" w:rsidRDefault="0036327D">
      <w:pPr>
        <w:spacing w:line="360" w:lineRule="auto"/>
        <w:jc w:val="both"/>
        <w:rPr>
          <w:rFonts w:ascii="Palatino Linotype" w:eastAsia="Palatino Linotype" w:hAnsi="Palatino Linotype" w:cs="Palatino Linotype"/>
          <w:b/>
        </w:rPr>
      </w:pPr>
    </w:p>
    <w:p w14:paraId="1941273F" w14:textId="77777777" w:rsidR="0036327D" w:rsidRPr="00B2114D" w:rsidRDefault="004B1C23">
      <w:pPr>
        <w:spacing w:line="360" w:lineRule="auto"/>
        <w:jc w:val="both"/>
        <w:rPr>
          <w:rFonts w:ascii="Palatino Linotype" w:eastAsia="Palatino Linotype" w:hAnsi="Palatino Linotype" w:cs="Palatino Linotype"/>
          <w:b/>
        </w:rPr>
      </w:pPr>
      <w:r w:rsidRPr="00B2114D">
        <w:rPr>
          <w:rFonts w:ascii="Palatino Linotype" w:eastAsia="Palatino Linotype" w:hAnsi="Palatino Linotype" w:cs="Palatino Linotype"/>
          <w:noProof/>
          <w:lang w:val="es-MX" w:eastAsia="es-MX"/>
        </w:rPr>
        <w:drawing>
          <wp:inline distT="0" distB="0" distL="0" distR="0" wp14:anchorId="08A091C8" wp14:editId="130557DD">
            <wp:extent cx="5475206" cy="6305550"/>
            <wp:effectExtent l="0" t="0" r="0" b="0"/>
            <wp:docPr id="59" name="image1.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Tabla&#10;&#10;Descripción generada automáticamente"/>
                    <pic:cNvPicPr preferRelativeResize="0"/>
                  </pic:nvPicPr>
                  <pic:blipFill>
                    <a:blip r:embed="rId10"/>
                    <a:srcRect l="55839" t="12974" r="14459" b="5852"/>
                    <a:stretch>
                      <a:fillRect/>
                    </a:stretch>
                  </pic:blipFill>
                  <pic:spPr>
                    <a:xfrm>
                      <a:off x="0" y="0"/>
                      <a:ext cx="5476154" cy="6306642"/>
                    </a:xfrm>
                    <a:prstGeom prst="rect">
                      <a:avLst/>
                    </a:prstGeom>
                    <a:ln/>
                  </pic:spPr>
                </pic:pic>
              </a:graphicData>
            </a:graphic>
          </wp:inline>
        </w:drawing>
      </w:r>
    </w:p>
    <w:p w14:paraId="738B49E4" w14:textId="77777777" w:rsidR="0036327D" w:rsidRPr="00B2114D" w:rsidRDefault="004B1C23">
      <w:pPr>
        <w:spacing w:line="360" w:lineRule="auto"/>
        <w:jc w:val="both"/>
        <w:rPr>
          <w:rFonts w:ascii="Palatino Linotype" w:eastAsia="Palatino Linotype" w:hAnsi="Palatino Linotype" w:cs="Palatino Linotype"/>
          <w:b/>
        </w:rPr>
      </w:pPr>
      <w:r w:rsidRPr="00B2114D">
        <w:rPr>
          <w:rFonts w:ascii="Palatino Linotype" w:eastAsia="Palatino Linotype" w:hAnsi="Palatino Linotype" w:cs="Palatino Linotype"/>
          <w:noProof/>
          <w:lang w:val="es-MX" w:eastAsia="es-MX"/>
        </w:rPr>
        <w:lastRenderedPageBreak/>
        <w:drawing>
          <wp:inline distT="0" distB="0" distL="0" distR="0" wp14:anchorId="4F086CB9" wp14:editId="113FD694">
            <wp:extent cx="5509123" cy="6029430"/>
            <wp:effectExtent l="0" t="0" r="0" b="0"/>
            <wp:docPr id="63" name="image3.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 Tabla&#10;&#10;Descripción generada automáticamente"/>
                    <pic:cNvPicPr preferRelativeResize="0"/>
                  </pic:nvPicPr>
                  <pic:blipFill>
                    <a:blip r:embed="rId11"/>
                    <a:srcRect l="56008" t="28062" r="13441" b="12492"/>
                    <a:stretch>
                      <a:fillRect/>
                    </a:stretch>
                  </pic:blipFill>
                  <pic:spPr>
                    <a:xfrm>
                      <a:off x="0" y="0"/>
                      <a:ext cx="5509123" cy="6029430"/>
                    </a:xfrm>
                    <a:prstGeom prst="rect">
                      <a:avLst/>
                    </a:prstGeom>
                    <a:ln/>
                  </pic:spPr>
                </pic:pic>
              </a:graphicData>
            </a:graphic>
          </wp:inline>
        </w:drawing>
      </w:r>
    </w:p>
    <w:p w14:paraId="419E9DE6"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3. INTERPOSICIÓN DEL RECURSO DE REVISIÓN. </w:t>
      </w:r>
      <w:r w:rsidRPr="00B2114D">
        <w:rPr>
          <w:rFonts w:ascii="Palatino Linotype" w:eastAsia="Palatino Linotype" w:hAnsi="Palatino Linotype" w:cs="Palatino Linotype"/>
        </w:rPr>
        <w:t xml:space="preserve">El solicitante, inconforme con la respuesta del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interpuso el recurso de revisión a través del SAIMEX en fecha seis de abril de dos mil veintidós, a través del cual expresó lo siguiente:</w:t>
      </w:r>
    </w:p>
    <w:p w14:paraId="7D1C53F2" w14:textId="77777777" w:rsidR="0036327D" w:rsidRPr="00B2114D" w:rsidRDefault="0036327D">
      <w:pPr>
        <w:spacing w:line="360" w:lineRule="auto"/>
        <w:jc w:val="both"/>
        <w:rPr>
          <w:rFonts w:ascii="Palatino Linotype" w:eastAsia="Palatino Linotype" w:hAnsi="Palatino Linotype" w:cs="Palatino Linotype"/>
        </w:rPr>
      </w:pPr>
    </w:p>
    <w:p w14:paraId="42CD717C" w14:textId="77777777" w:rsidR="0036327D" w:rsidRPr="00B2114D" w:rsidRDefault="004B1C23">
      <w:pPr>
        <w:spacing w:line="360" w:lineRule="auto"/>
        <w:rPr>
          <w:rFonts w:ascii="Palatino Linotype" w:eastAsia="Palatino Linotype" w:hAnsi="Palatino Linotype" w:cs="Palatino Linotype"/>
          <w:b/>
        </w:rPr>
      </w:pPr>
      <w:r w:rsidRPr="00B2114D">
        <w:rPr>
          <w:rFonts w:ascii="Palatino Linotype" w:eastAsia="Palatino Linotype" w:hAnsi="Palatino Linotype" w:cs="Palatino Linotype"/>
          <w:b/>
        </w:rPr>
        <w:t>a) Acto impugnado.</w:t>
      </w:r>
    </w:p>
    <w:p w14:paraId="5E878493" w14:textId="77777777" w:rsidR="0036327D" w:rsidRPr="00B2114D" w:rsidRDefault="004B1C23">
      <w:pPr>
        <w:spacing w:after="240"/>
        <w:ind w:left="851" w:right="900"/>
        <w:jc w:val="both"/>
        <w:rPr>
          <w:rFonts w:ascii="Palatino Linotype" w:eastAsia="Palatino Linotype" w:hAnsi="Palatino Linotype" w:cs="Palatino Linotype"/>
          <w:i/>
          <w:color w:val="000000"/>
        </w:rPr>
      </w:pPr>
      <w:r w:rsidRPr="00B2114D">
        <w:rPr>
          <w:rFonts w:ascii="Palatino Linotype" w:eastAsia="Palatino Linotype" w:hAnsi="Palatino Linotype" w:cs="Palatino Linotype"/>
          <w:i/>
          <w:color w:val="000000"/>
        </w:rPr>
        <w:t>“Organismo Público Descentralizado de Agua Potable Alcantarillado y Saneamiento de Chimalhuacán” (Sic)</w:t>
      </w:r>
    </w:p>
    <w:p w14:paraId="0FF5F623" w14:textId="77777777" w:rsidR="0036327D" w:rsidRPr="00B2114D" w:rsidRDefault="004B1C23">
      <w:pPr>
        <w:spacing w:line="360" w:lineRule="auto"/>
        <w:jc w:val="both"/>
        <w:rPr>
          <w:rFonts w:ascii="Palatino Linotype" w:eastAsia="Palatino Linotype" w:hAnsi="Palatino Linotype" w:cs="Palatino Linotype"/>
          <w:b/>
        </w:rPr>
      </w:pPr>
      <w:r w:rsidRPr="00B2114D">
        <w:rPr>
          <w:rFonts w:ascii="Palatino Linotype" w:eastAsia="Palatino Linotype" w:hAnsi="Palatino Linotype" w:cs="Palatino Linotype"/>
          <w:b/>
        </w:rPr>
        <w:t>b) Motivos de inconformidad.</w:t>
      </w:r>
    </w:p>
    <w:p w14:paraId="69F0646B" w14:textId="77777777" w:rsidR="0036327D" w:rsidRPr="00B2114D" w:rsidRDefault="004B1C23">
      <w:pPr>
        <w:spacing w:after="240"/>
        <w:ind w:left="851" w:right="900"/>
        <w:jc w:val="both"/>
        <w:rPr>
          <w:rFonts w:ascii="Palatino Linotype" w:eastAsia="Palatino Linotype" w:hAnsi="Palatino Linotype" w:cs="Palatino Linotype"/>
          <w:i/>
          <w:color w:val="000000"/>
        </w:rPr>
      </w:pPr>
      <w:r w:rsidRPr="00B2114D">
        <w:rPr>
          <w:rFonts w:ascii="Palatino Linotype" w:eastAsia="Palatino Linotype" w:hAnsi="Palatino Linotype" w:cs="Palatino Linotype"/>
          <w:i/>
          <w:color w:val="000000"/>
        </w:rPr>
        <w:t xml:space="preserve">“Solicite el </w:t>
      </w:r>
      <w:proofErr w:type="spellStart"/>
      <w:r w:rsidRPr="00B2114D">
        <w:rPr>
          <w:rFonts w:ascii="Palatino Linotype" w:eastAsia="Palatino Linotype" w:hAnsi="Palatino Linotype" w:cs="Palatino Linotype"/>
          <w:i/>
          <w:color w:val="000000"/>
        </w:rPr>
        <w:t>sueldi</w:t>
      </w:r>
      <w:proofErr w:type="spellEnd"/>
      <w:r w:rsidRPr="00B2114D">
        <w:rPr>
          <w:rFonts w:ascii="Palatino Linotype" w:eastAsia="Palatino Linotype" w:hAnsi="Palatino Linotype" w:cs="Palatino Linotype"/>
          <w:i/>
          <w:color w:val="000000"/>
        </w:rPr>
        <w:t xml:space="preserve"> base y neto de cada empleado y el Organismo me </w:t>
      </w:r>
      <w:proofErr w:type="spellStart"/>
      <w:r w:rsidRPr="00B2114D">
        <w:rPr>
          <w:rFonts w:ascii="Palatino Linotype" w:eastAsia="Palatino Linotype" w:hAnsi="Palatino Linotype" w:cs="Palatino Linotype"/>
          <w:i/>
          <w:color w:val="000000"/>
        </w:rPr>
        <w:t>envio</w:t>
      </w:r>
      <w:proofErr w:type="spellEnd"/>
      <w:r w:rsidRPr="00B2114D">
        <w:rPr>
          <w:rFonts w:ascii="Palatino Linotype" w:eastAsia="Palatino Linotype" w:hAnsi="Palatino Linotype" w:cs="Palatino Linotype"/>
          <w:i/>
          <w:color w:val="000000"/>
        </w:rPr>
        <w:t xml:space="preserve"> el sueldo diario y quincenal.” (Sic)</w:t>
      </w:r>
    </w:p>
    <w:p w14:paraId="4649568E" w14:textId="77777777" w:rsidR="0036327D" w:rsidRPr="00B2114D" w:rsidRDefault="004B1C23">
      <w:pPr>
        <w:spacing w:before="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4. TURNO. </w:t>
      </w:r>
      <w:r w:rsidRPr="00B2114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B2114D">
        <w:rPr>
          <w:rFonts w:ascii="Palatino Linotype" w:eastAsia="Palatino Linotype" w:hAnsi="Palatino Linotype" w:cs="Palatino Linotype"/>
          <w:b/>
        </w:rPr>
        <w:t xml:space="preserve">05619/INFOEM/IP/RR/2022 </w:t>
      </w:r>
      <w:r w:rsidRPr="00B2114D">
        <w:rPr>
          <w:rFonts w:ascii="Palatino Linotype" w:eastAsia="Palatino Linotype" w:hAnsi="Palatino Linotype" w:cs="Palatino Linotype"/>
        </w:rPr>
        <w:t>se turnó</w:t>
      </w:r>
      <w:r w:rsidRPr="00B2114D">
        <w:rPr>
          <w:rFonts w:ascii="Palatino Linotype" w:eastAsia="Palatino Linotype" w:hAnsi="Palatino Linotype" w:cs="Palatino Linotype"/>
          <w:b/>
        </w:rPr>
        <w:t xml:space="preserve"> </w:t>
      </w:r>
      <w:r w:rsidRPr="00B2114D">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B2114D">
        <w:rPr>
          <w:rFonts w:ascii="Palatino Linotype" w:eastAsia="Palatino Linotype" w:hAnsi="Palatino Linotype" w:cs="Palatino Linotype"/>
          <w:b/>
        </w:rPr>
        <w:t>Guadalupe Ramírez Peña,</w:t>
      </w:r>
      <w:r w:rsidRPr="00B2114D">
        <w:rPr>
          <w:rFonts w:ascii="Palatino Linotype" w:eastAsia="Palatino Linotype" w:hAnsi="Palatino Linotype" w:cs="Palatino Linotype"/>
        </w:rPr>
        <w:t xml:space="preserve"> para su análisis, estudio, elaboración del proyecto y presentación ante el Pleno de este Instituto.</w:t>
      </w:r>
    </w:p>
    <w:p w14:paraId="068A5ED4" w14:textId="77777777" w:rsidR="0036327D" w:rsidRPr="00B2114D" w:rsidRDefault="0036327D">
      <w:pPr>
        <w:spacing w:line="360" w:lineRule="auto"/>
        <w:jc w:val="both"/>
        <w:rPr>
          <w:rFonts w:ascii="Palatino Linotype" w:eastAsia="Palatino Linotype" w:hAnsi="Palatino Linotype" w:cs="Palatino Linotype"/>
        </w:rPr>
      </w:pPr>
    </w:p>
    <w:p w14:paraId="0564AB4F" w14:textId="77777777" w:rsidR="0036327D" w:rsidRPr="00B2114D" w:rsidRDefault="004B1C23">
      <w:pPr>
        <w:spacing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5. ADMISIÓN DEL RECURSO DE REVISIÓN: </w:t>
      </w:r>
      <w:r w:rsidRPr="00B2114D">
        <w:rPr>
          <w:rFonts w:ascii="Palatino Linotype" w:eastAsia="Palatino Linotype" w:hAnsi="Palatino Linotype" w:cs="Palatino Linotype"/>
        </w:rPr>
        <w:t xml:space="preserve">En fecha dieciocho de abril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020CA356" w14:textId="77777777" w:rsidR="0036327D" w:rsidRPr="00B2114D" w:rsidRDefault="004B1C2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i/>
          <w:color w:val="000000"/>
        </w:rPr>
      </w:pPr>
      <w:r w:rsidRPr="00B2114D">
        <w:rPr>
          <w:rFonts w:ascii="Palatino Linotype" w:eastAsia="Palatino Linotype" w:hAnsi="Palatino Linotype" w:cs="Palatino Linotype"/>
          <w:b/>
          <w:color w:val="000000"/>
        </w:rPr>
        <w:t>6. MANIFESTACIONES</w:t>
      </w:r>
      <w:r w:rsidRPr="00B2114D">
        <w:rPr>
          <w:rFonts w:ascii="Palatino Linotype" w:eastAsia="Palatino Linotype" w:hAnsi="Palatino Linotype" w:cs="Palatino Linotype"/>
          <w:color w:val="000000"/>
        </w:rPr>
        <w:t xml:space="preserve">: De las constancias que integran el expediente en que se actúan se advierte que la parte </w:t>
      </w:r>
      <w:r w:rsidRPr="00B2114D">
        <w:rPr>
          <w:rFonts w:ascii="Palatino Linotype" w:eastAsia="Palatino Linotype" w:hAnsi="Palatino Linotype" w:cs="Palatino Linotype"/>
          <w:b/>
          <w:color w:val="000000"/>
        </w:rPr>
        <w:t>RECURRENTE</w:t>
      </w:r>
      <w:r w:rsidRPr="00B2114D">
        <w:rPr>
          <w:rFonts w:ascii="Palatino Linotype" w:eastAsia="Palatino Linotype" w:hAnsi="Palatino Linotype" w:cs="Palatino Linotype"/>
          <w:color w:val="000000"/>
        </w:rPr>
        <w:t xml:space="preserve"> fue omisa en ofrecer alegatos.</w:t>
      </w:r>
    </w:p>
    <w:p w14:paraId="39E2BF1C"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lastRenderedPageBreak/>
        <w:t xml:space="preserve">Por su parte, 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en fecha veintisiete de abril de dos mil veintidós, remite en el apartado de manifestaciones del SAIMEX el archivo electrónico denominado: “</w:t>
      </w:r>
      <w:hyperlink r:id="rId12">
        <w:r w:rsidRPr="00B2114D">
          <w:rPr>
            <w:rFonts w:ascii="Palatino Linotype" w:eastAsia="Palatino Linotype" w:hAnsi="Palatino Linotype" w:cs="Palatino Linotype"/>
          </w:rPr>
          <w:t>5.- Respuesta del recurso de revision.pdf</w:t>
        </w:r>
      </w:hyperlink>
      <w:r w:rsidRPr="00B2114D">
        <w:rPr>
          <w:rFonts w:ascii="Palatino Linotype" w:eastAsia="Palatino Linotype" w:hAnsi="Palatino Linotype" w:cs="Palatino Linotype"/>
        </w:rPr>
        <w:t xml:space="preserve">”, el cual contiene el informe justificado del Titular de la Unidad de Trasparencia del </w:t>
      </w:r>
      <w:r w:rsidRPr="00B2114D">
        <w:rPr>
          <w:rFonts w:ascii="Palatino Linotype" w:eastAsia="Palatino Linotype" w:hAnsi="Palatino Linotype" w:cs="Palatino Linotype"/>
          <w:b/>
        </w:rPr>
        <w:t>Organismo Público Descentralizado de Agua Potable Alcantarillado y Saneamiento de Chimalhuacán</w:t>
      </w:r>
      <w:r w:rsidRPr="00B2114D">
        <w:rPr>
          <w:rFonts w:ascii="Palatino Linotype" w:eastAsia="Palatino Linotype" w:hAnsi="Palatino Linotype" w:cs="Palatino Linotype"/>
        </w:rPr>
        <w:t>, a través del cual ratificó su respuesta inicial, para mayor referencia se muestra a continuación:</w:t>
      </w:r>
    </w:p>
    <w:p w14:paraId="4ACA56BC"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 </w:t>
      </w:r>
      <w:r w:rsidRPr="00B2114D">
        <w:rPr>
          <w:noProof/>
          <w:lang w:val="es-MX" w:eastAsia="es-MX"/>
        </w:rPr>
        <mc:AlternateContent>
          <mc:Choice Requires="wpg">
            <w:drawing>
              <wp:anchor distT="0" distB="0" distL="114300" distR="114300" simplePos="0" relativeHeight="251659264" behindDoc="0" locked="0" layoutInCell="1" hidden="0" allowOverlap="1" wp14:anchorId="5917B3FF" wp14:editId="7D611B5E">
                <wp:simplePos x="0" y="0"/>
                <wp:positionH relativeFrom="column">
                  <wp:posOffset>12701</wp:posOffset>
                </wp:positionH>
                <wp:positionV relativeFrom="paragraph">
                  <wp:posOffset>25400</wp:posOffset>
                </wp:positionV>
                <wp:extent cx="5435600" cy="4473575"/>
                <wp:effectExtent l="0" t="0" r="0" b="0"/>
                <wp:wrapNone/>
                <wp:docPr id="54" name="Conector recto de flecha 54"/>
                <wp:cNvGraphicFramePr/>
                <a:graphic xmlns:a="http://schemas.openxmlformats.org/drawingml/2006/main">
                  <a:graphicData uri="http://schemas.microsoft.com/office/word/2010/wordprocessingShape">
                    <wps:wsp>
                      <wps:cNvCnPr/>
                      <wps:spPr>
                        <a:xfrm>
                          <a:off x="2640900" y="1555913"/>
                          <a:ext cx="5410200" cy="4448175"/>
                        </a:xfrm>
                        <a:prstGeom prst="straightConnector1">
                          <a:avLst/>
                        </a:prstGeom>
                        <a:noFill/>
                        <a:ln w="254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5435600" cy="4473575"/>
                <wp:effectExtent b="0" l="0" r="0" t="0"/>
                <wp:wrapNone/>
                <wp:docPr id="54"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5435600" cy="4473575"/>
                        </a:xfrm>
                        <a:prstGeom prst="rect"/>
                        <a:ln/>
                      </pic:spPr>
                    </pic:pic>
                  </a:graphicData>
                </a:graphic>
              </wp:anchor>
            </w:drawing>
          </mc:Fallback>
        </mc:AlternateContent>
      </w:r>
    </w:p>
    <w:p w14:paraId="4F6E58AA"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noProof/>
          <w:lang w:val="es-MX" w:eastAsia="es-MX"/>
        </w:rPr>
        <w:lastRenderedPageBreak/>
        <w:drawing>
          <wp:inline distT="0" distB="0" distL="0" distR="0" wp14:anchorId="1163EE45" wp14:editId="41B89021">
            <wp:extent cx="5428530" cy="7034510"/>
            <wp:effectExtent l="0" t="0" r="0" b="0"/>
            <wp:docPr id="61" name="image12.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Texto, Aplicación, Word&#10;&#10;Descripción generada automáticamente"/>
                    <pic:cNvPicPr preferRelativeResize="0"/>
                  </pic:nvPicPr>
                  <pic:blipFill>
                    <a:blip r:embed="rId15"/>
                    <a:srcRect l="56688" t="12863" r="7508" b="4646"/>
                    <a:stretch>
                      <a:fillRect/>
                    </a:stretch>
                  </pic:blipFill>
                  <pic:spPr>
                    <a:xfrm>
                      <a:off x="0" y="0"/>
                      <a:ext cx="5428530" cy="7034510"/>
                    </a:xfrm>
                    <a:prstGeom prst="rect">
                      <a:avLst/>
                    </a:prstGeom>
                    <a:ln/>
                  </pic:spPr>
                </pic:pic>
              </a:graphicData>
            </a:graphic>
          </wp:inline>
        </w:drawing>
      </w:r>
    </w:p>
    <w:p w14:paraId="574C60F3"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lastRenderedPageBreak/>
        <w:t xml:space="preserve">El cual se determinó poner a la vista por las aportaciones novedosas que hizo 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en términos de la fracción III del artículo 185 de la Ley de Transparencia y Acceso a la Información Pública del Estado de México y Municipios.</w:t>
      </w:r>
    </w:p>
    <w:p w14:paraId="28303966" w14:textId="77777777" w:rsidR="0036327D" w:rsidRPr="00B2114D" w:rsidRDefault="0036327D">
      <w:pPr>
        <w:spacing w:line="360" w:lineRule="auto"/>
        <w:jc w:val="both"/>
        <w:rPr>
          <w:rFonts w:ascii="Palatino Linotype" w:eastAsia="Palatino Linotype" w:hAnsi="Palatino Linotype" w:cs="Palatino Linotype"/>
          <w:b/>
        </w:rPr>
      </w:pPr>
    </w:p>
    <w:p w14:paraId="5D16BFD7"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7.- AMPLIACIÓN DEL PLAZO PARA EMITIR RESOLUCIÓN</w:t>
      </w:r>
      <w:r w:rsidRPr="00B2114D">
        <w:rPr>
          <w:rFonts w:ascii="Palatino Linotype" w:eastAsia="Palatino Linotype" w:hAnsi="Palatino Linotype" w:cs="Palatino Linotype"/>
        </w:rPr>
        <w:t>. En fecha siete de julio de dos mil veintidós, este Instituto con fundamento en el artículo 181, párrafo tercero, de la Ley de Transparencia y Acceso a la Información Pública del Estado de México y Municipios.</w:t>
      </w:r>
    </w:p>
    <w:p w14:paraId="4CCA8760" w14:textId="77777777" w:rsidR="0036327D" w:rsidRPr="00B2114D" w:rsidRDefault="0036327D">
      <w:pPr>
        <w:spacing w:line="360" w:lineRule="auto"/>
        <w:jc w:val="both"/>
        <w:rPr>
          <w:rFonts w:ascii="Palatino Linotype" w:eastAsia="Palatino Linotype" w:hAnsi="Palatino Linotype" w:cs="Palatino Linotype"/>
        </w:rPr>
      </w:pPr>
    </w:p>
    <w:p w14:paraId="10B859C6"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B58C9FD" w14:textId="77777777" w:rsidR="0036327D" w:rsidRPr="00B2114D" w:rsidRDefault="0036327D">
      <w:pPr>
        <w:spacing w:line="360" w:lineRule="auto"/>
        <w:jc w:val="both"/>
        <w:rPr>
          <w:rFonts w:ascii="Palatino Linotype" w:eastAsia="Palatino Linotype" w:hAnsi="Palatino Linotype" w:cs="Palatino Linotype"/>
        </w:rPr>
      </w:pPr>
    </w:p>
    <w:p w14:paraId="6849A635"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C7A1B0A" w14:textId="77777777" w:rsidR="0036327D" w:rsidRPr="00B2114D" w:rsidRDefault="0036327D">
      <w:pPr>
        <w:spacing w:line="360" w:lineRule="auto"/>
        <w:jc w:val="both"/>
        <w:rPr>
          <w:rFonts w:ascii="Palatino Linotype" w:eastAsia="Palatino Linotype" w:hAnsi="Palatino Linotype" w:cs="Palatino Linotype"/>
        </w:rPr>
      </w:pPr>
    </w:p>
    <w:p w14:paraId="236C3C08"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A47B9E1" w14:textId="77777777" w:rsidR="0036327D" w:rsidRPr="00B2114D" w:rsidRDefault="0036327D">
      <w:pPr>
        <w:spacing w:line="360" w:lineRule="auto"/>
        <w:jc w:val="both"/>
        <w:rPr>
          <w:rFonts w:ascii="Palatino Linotype" w:eastAsia="Palatino Linotype" w:hAnsi="Palatino Linotype" w:cs="Palatino Linotype"/>
        </w:rPr>
      </w:pPr>
    </w:p>
    <w:p w14:paraId="7CB29E56"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B7152E2" w14:textId="77777777" w:rsidR="0036327D" w:rsidRPr="00B2114D" w:rsidRDefault="0036327D">
      <w:pPr>
        <w:spacing w:line="360" w:lineRule="auto"/>
        <w:jc w:val="both"/>
        <w:rPr>
          <w:rFonts w:ascii="Palatino Linotype" w:eastAsia="Palatino Linotype" w:hAnsi="Palatino Linotype" w:cs="Palatino Linotype"/>
        </w:rPr>
      </w:pPr>
    </w:p>
    <w:p w14:paraId="75859BDD" w14:textId="77777777" w:rsidR="0036327D" w:rsidRPr="00B2114D" w:rsidRDefault="004B1C23">
      <w:pPr>
        <w:spacing w:line="360" w:lineRule="auto"/>
        <w:jc w:val="both"/>
        <w:rPr>
          <w:rFonts w:ascii="Palatino Linotype" w:eastAsia="Palatino Linotype" w:hAnsi="Palatino Linotype" w:cs="Palatino Linotype"/>
          <w:strike/>
          <w:color w:val="FF0000"/>
        </w:rPr>
      </w:pPr>
      <w:r w:rsidRPr="00B2114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1B95F8E" w14:textId="77777777" w:rsidR="0036327D" w:rsidRPr="00B2114D" w:rsidRDefault="0036327D">
      <w:pPr>
        <w:spacing w:line="360" w:lineRule="auto"/>
        <w:jc w:val="both"/>
        <w:rPr>
          <w:rFonts w:ascii="Palatino Linotype" w:eastAsia="Palatino Linotype" w:hAnsi="Palatino Linotype" w:cs="Palatino Linotype"/>
        </w:rPr>
      </w:pPr>
    </w:p>
    <w:p w14:paraId="5F937E36" w14:textId="77777777" w:rsidR="0036327D" w:rsidRPr="00B2114D" w:rsidRDefault="004B1C23">
      <w:pPr>
        <w:numPr>
          <w:ilvl w:val="0"/>
          <w:numId w:val="1"/>
        </w:num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85DBD3A" w14:textId="77777777" w:rsidR="0036327D" w:rsidRPr="00B2114D" w:rsidRDefault="0036327D">
      <w:pPr>
        <w:spacing w:line="360" w:lineRule="auto"/>
        <w:ind w:left="927"/>
        <w:jc w:val="both"/>
        <w:rPr>
          <w:rFonts w:ascii="Palatino Linotype" w:eastAsia="Palatino Linotype" w:hAnsi="Palatino Linotype" w:cs="Palatino Linotype"/>
        </w:rPr>
      </w:pPr>
    </w:p>
    <w:p w14:paraId="7F312B37" w14:textId="77777777" w:rsidR="0036327D" w:rsidRPr="00B2114D" w:rsidRDefault="004B1C23">
      <w:pPr>
        <w:numPr>
          <w:ilvl w:val="0"/>
          <w:numId w:val="1"/>
        </w:num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Actividad Procesal del interesado. Acciones u omisiones del interesado.</w:t>
      </w:r>
    </w:p>
    <w:p w14:paraId="1C53D252" w14:textId="77777777" w:rsidR="0036327D" w:rsidRPr="00B2114D" w:rsidRDefault="0036327D">
      <w:pPr>
        <w:spacing w:line="360" w:lineRule="auto"/>
        <w:jc w:val="both"/>
        <w:rPr>
          <w:rFonts w:ascii="Palatino Linotype" w:eastAsia="Palatino Linotype" w:hAnsi="Palatino Linotype" w:cs="Palatino Linotype"/>
        </w:rPr>
      </w:pPr>
    </w:p>
    <w:p w14:paraId="56B858A6" w14:textId="77777777" w:rsidR="0036327D" w:rsidRPr="00B2114D" w:rsidRDefault="004B1C23">
      <w:pPr>
        <w:numPr>
          <w:ilvl w:val="0"/>
          <w:numId w:val="1"/>
        </w:num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Conducta de la Autoridad: Las Acciones u omisiones realizadas en el procedimiento. Así como si la autoridad actuó con la debida diligencia.</w:t>
      </w:r>
    </w:p>
    <w:p w14:paraId="792DAF5E" w14:textId="77777777" w:rsidR="0036327D" w:rsidRPr="00B2114D" w:rsidRDefault="0036327D">
      <w:pPr>
        <w:spacing w:line="360" w:lineRule="auto"/>
        <w:ind w:left="708"/>
        <w:rPr>
          <w:rFonts w:ascii="Palatino Linotype" w:eastAsia="Palatino Linotype" w:hAnsi="Palatino Linotype" w:cs="Palatino Linotype"/>
        </w:rPr>
      </w:pPr>
    </w:p>
    <w:p w14:paraId="68ADABE5" w14:textId="77777777" w:rsidR="0036327D" w:rsidRPr="00B2114D" w:rsidRDefault="004B1C23">
      <w:pPr>
        <w:spacing w:line="360" w:lineRule="auto"/>
        <w:ind w:left="567"/>
        <w:jc w:val="both"/>
        <w:rPr>
          <w:rFonts w:ascii="Palatino Linotype" w:eastAsia="Palatino Linotype" w:hAnsi="Palatino Linotype" w:cs="Palatino Linotype"/>
        </w:rPr>
      </w:pPr>
      <w:r w:rsidRPr="00B2114D">
        <w:rPr>
          <w:rFonts w:ascii="Palatino Linotype" w:eastAsia="Palatino Linotype" w:hAnsi="Palatino Linotype" w:cs="Palatino Linotype"/>
        </w:rPr>
        <w:t>d) La afectación generada en la situación jurídica de la persona involucrada en el proceso: Violación a sus derechos humanos.</w:t>
      </w:r>
    </w:p>
    <w:p w14:paraId="69A86F0B" w14:textId="77777777" w:rsidR="0036327D" w:rsidRPr="00B2114D" w:rsidRDefault="0036327D">
      <w:pPr>
        <w:spacing w:line="360" w:lineRule="auto"/>
        <w:jc w:val="both"/>
        <w:rPr>
          <w:rFonts w:ascii="Palatino Linotype" w:eastAsia="Palatino Linotype" w:hAnsi="Palatino Linotype" w:cs="Palatino Linotype"/>
        </w:rPr>
      </w:pPr>
    </w:p>
    <w:p w14:paraId="7DB8E6B0"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76EB25" w14:textId="77777777" w:rsidR="0036327D" w:rsidRPr="00B2114D" w:rsidRDefault="0036327D">
      <w:pPr>
        <w:spacing w:line="360" w:lineRule="auto"/>
        <w:jc w:val="both"/>
        <w:rPr>
          <w:rFonts w:ascii="Palatino Linotype" w:eastAsia="Palatino Linotype" w:hAnsi="Palatino Linotype" w:cs="Palatino Linotype"/>
        </w:rPr>
      </w:pPr>
    </w:p>
    <w:p w14:paraId="2227B200" w14:textId="77777777" w:rsidR="0036327D" w:rsidRPr="00B2114D" w:rsidRDefault="004B1C23">
      <w:pPr>
        <w:spacing w:line="360" w:lineRule="auto"/>
        <w:jc w:val="both"/>
        <w:rPr>
          <w:rFonts w:ascii="Palatino Linotype" w:eastAsia="Palatino Linotype" w:hAnsi="Palatino Linotype" w:cs="Palatino Linotype"/>
          <w:b/>
        </w:rPr>
      </w:pPr>
      <w:r w:rsidRPr="00B2114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2114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2114D">
        <w:rPr>
          <w:rFonts w:ascii="Palatino Linotype" w:eastAsia="Palatino Linotype" w:hAnsi="Palatino Linotype" w:cs="Palatino Linotype"/>
        </w:rPr>
        <w:t>, visible en la Gaceta del Seminario Judicial de la Federación con el registro digital 205635.</w:t>
      </w:r>
    </w:p>
    <w:p w14:paraId="67E46F62" w14:textId="77777777" w:rsidR="0036327D" w:rsidRPr="00B2114D" w:rsidRDefault="0036327D">
      <w:pPr>
        <w:spacing w:line="360" w:lineRule="auto"/>
        <w:jc w:val="both"/>
        <w:rPr>
          <w:rFonts w:ascii="Palatino Linotype" w:eastAsia="Palatino Linotype" w:hAnsi="Palatino Linotype" w:cs="Palatino Linotype"/>
        </w:rPr>
      </w:pPr>
    </w:p>
    <w:p w14:paraId="4191E415"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B2114D">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E7DF89" w14:textId="77777777" w:rsidR="0036327D" w:rsidRPr="00B2114D" w:rsidRDefault="0036327D">
      <w:pPr>
        <w:spacing w:line="360" w:lineRule="auto"/>
        <w:jc w:val="both"/>
        <w:rPr>
          <w:rFonts w:ascii="Palatino Linotype" w:eastAsia="Palatino Linotype" w:hAnsi="Palatino Linotype" w:cs="Palatino Linotype"/>
        </w:rPr>
      </w:pPr>
    </w:p>
    <w:p w14:paraId="1E773F72"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FC9C67D" w14:textId="77777777" w:rsidR="0036327D" w:rsidRPr="00B2114D" w:rsidRDefault="0036327D">
      <w:pPr>
        <w:spacing w:line="360" w:lineRule="auto"/>
        <w:jc w:val="both"/>
        <w:rPr>
          <w:rFonts w:ascii="Palatino Linotype" w:eastAsia="Palatino Linotype" w:hAnsi="Palatino Linotype" w:cs="Palatino Linotype"/>
        </w:rPr>
      </w:pPr>
    </w:p>
    <w:p w14:paraId="5AD08D97"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 </w:t>
      </w:r>
      <w:r w:rsidRPr="00B2114D">
        <w:rPr>
          <w:rFonts w:ascii="Palatino Linotype" w:eastAsia="Palatino Linotype" w:hAnsi="Palatino Linotype" w:cs="Palatino Linotype"/>
          <w:i/>
        </w:rPr>
        <w:t>“PLAZO RAZONABLE PARA RESOLVER. DIMENSIÓN Y EFECTOS DE ESTE CONCEPTO CUANDO SE ADUCE EXCESIVA CARGA DE TRABAJO.”</w:t>
      </w:r>
      <w:r w:rsidRPr="00B2114D">
        <w:rPr>
          <w:rFonts w:ascii="Palatino Linotype" w:eastAsia="Palatino Linotype" w:hAnsi="Palatino Linotype" w:cs="Palatino Linotype"/>
        </w:rPr>
        <w:t xml:space="preserve"> consultable en el Seminario Judicial de la Federación y su gaceta, con el registro digital 2002351.</w:t>
      </w:r>
    </w:p>
    <w:p w14:paraId="0DD4AE14" w14:textId="77777777" w:rsidR="0036327D" w:rsidRPr="00B2114D" w:rsidRDefault="0036327D">
      <w:pPr>
        <w:spacing w:line="360" w:lineRule="auto"/>
        <w:jc w:val="both"/>
        <w:rPr>
          <w:rFonts w:ascii="Palatino Linotype" w:eastAsia="Palatino Linotype" w:hAnsi="Palatino Linotype" w:cs="Palatino Linotype"/>
          <w:b/>
        </w:rPr>
      </w:pPr>
    </w:p>
    <w:p w14:paraId="3326EF09"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i/>
        </w:rPr>
        <w:t>“PLAZO RAZONABLE PARA RESOLVER. CONCEPTO Y ELEMENTOS QUE LO INTEGRAN A LA LUZ DEL DERECHO INTERNACIONAL DE LOS DERECHOS HUMANOS.”</w:t>
      </w:r>
      <w:r w:rsidRPr="00B2114D">
        <w:rPr>
          <w:rFonts w:ascii="Palatino Linotype" w:eastAsia="Palatino Linotype" w:hAnsi="Palatino Linotype" w:cs="Palatino Linotype"/>
        </w:rPr>
        <w:t>, visible en el Seminario Judicial de la Federación y su gaceta, con el registro digital 2002350.</w:t>
      </w:r>
    </w:p>
    <w:p w14:paraId="77AD07D4" w14:textId="77777777" w:rsidR="0036327D" w:rsidRPr="00B2114D" w:rsidRDefault="0036327D">
      <w:pPr>
        <w:spacing w:line="360" w:lineRule="auto"/>
        <w:jc w:val="both"/>
        <w:rPr>
          <w:rFonts w:ascii="Palatino Linotype" w:eastAsia="Palatino Linotype" w:hAnsi="Palatino Linotype" w:cs="Palatino Linotype"/>
        </w:rPr>
      </w:pPr>
    </w:p>
    <w:p w14:paraId="44124EDF"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D68886C" w14:textId="77777777" w:rsidR="0036327D" w:rsidRPr="00B2114D" w:rsidRDefault="0036327D">
      <w:pPr>
        <w:spacing w:line="360" w:lineRule="auto"/>
        <w:jc w:val="both"/>
        <w:rPr>
          <w:rFonts w:ascii="Palatino Linotype" w:eastAsia="Palatino Linotype" w:hAnsi="Palatino Linotype" w:cs="Palatino Linotype"/>
          <w:b/>
        </w:rPr>
      </w:pPr>
    </w:p>
    <w:p w14:paraId="7E464EAE" w14:textId="77777777" w:rsidR="0036327D" w:rsidRPr="00B2114D" w:rsidRDefault="004B1C23">
      <w:pPr>
        <w:spacing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8. CIERRE DE INSTRUCCIÓN. </w:t>
      </w:r>
      <w:r w:rsidR="006F393A" w:rsidRPr="00B2114D">
        <w:rPr>
          <w:rFonts w:ascii="Palatino Linotype" w:eastAsia="Palatino Linotype" w:hAnsi="Palatino Linotype" w:cs="Palatino Linotype"/>
        </w:rPr>
        <w:t>En fecha cuatro</w:t>
      </w:r>
      <w:r w:rsidRPr="00B2114D">
        <w:rPr>
          <w:rFonts w:ascii="Palatino Linotype" w:eastAsia="Palatino Linotype" w:hAnsi="Palatino Linotype" w:cs="Palatino Linotype"/>
        </w:rPr>
        <w:t xml:space="preserve"> de agosto de dos mil veintidós </w:t>
      </w:r>
      <w:r w:rsidRPr="00B2114D">
        <w:rPr>
          <w:rFonts w:ascii="Palatino Linotype" w:eastAsia="Palatino Linotype" w:hAnsi="Palatino Linotype" w:cs="Palatino Linotype"/>
          <w:color w:val="000000"/>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A4552EF"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08B800E" w14:textId="77777777" w:rsidR="0036327D" w:rsidRPr="00B2114D" w:rsidRDefault="004B1C23">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sidRPr="00B2114D">
        <w:rPr>
          <w:rFonts w:ascii="Palatino Linotype" w:eastAsia="Palatino Linotype" w:hAnsi="Palatino Linotype" w:cs="Palatino Linotype"/>
          <w:b/>
          <w:color w:val="000000"/>
        </w:rPr>
        <w:t>II</w:t>
      </w:r>
      <w:r w:rsidRPr="00B2114D">
        <w:rPr>
          <w:rFonts w:ascii="Palatino Linotype" w:eastAsia="Palatino Linotype" w:hAnsi="Palatino Linotype" w:cs="Palatino Linotype"/>
          <w:b/>
          <w:color w:val="000000"/>
        </w:rPr>
        <w:tab/>
        <w:t>C O N S I D E R A N D O:</w:t>
      </w:r>
    </w:p>
    <w:p w14:paraId="02BC5BC7"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PRIMERO. COMPETENCIA. </w:t>
      </w:r>
      <w:r w:rsidRPr="00B2114D">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w:t>
      </w:r>
      <w:r w:rsidRPr="00B2114D">
        <w:rPr>
          <w:rFonts w:ascii="Palatino Linotype" w:eastAsia="Palatino Linotype" w:hAnsi="Palatino Linotype" w:cs="Palatino Linotype"/>
        </w:rPr>
        <w:lastRenderedPageBreak/>
        <w:t>Información Pública y Protección de Datos Personales del Estado de México y Municipios.</w:t>
      </w:r>
    </w:p>
    <w:p w14:paraId="0F1987BC"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SEGUNDO. OPORTUNIDAD Y PROCEDIBILIDAD DEL RECURSO DE REVISIÓN</w:t>
      </w:r>
      <w:r w:rsidRPr="00B2114D">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emitió su respuesta a la solicitud planteada por la solicitante en fecha veintiocho de marzo del año dos mil veintidós y el</w:t>
      </w:r>
      <w:r w:rsidRPr="00B2114D">
        <w:rPr>
          <w:rFonts w:ascii="Palatino Linotype" w:eastAsia="Palatino Linotype" w:hAnsi="Palatino Linotype" w:cs="Palatino Linotype"/>
          <w:b/>
        </w:rPr>
        <w:t xml:space="preserve"> RECURRENTE</w:t>
      </w:r>
      <w:r w:rsidRPr="00B2114D">
        <w:rPr>
          <w:rFonts w:ascii="Palatino Linotype" w:eastAsia="Palatino Linotype" w:hAnsi="Palatino Linotype" w:cs="Palatino Linotype"/>
        </w:rPr>
        <w:t xml:space="preserve"> presentó su recurso de revisión el seis de abril del mismo año, esto es, al  séptimo día hábil siguiente en que tuvo conocimiento de la respuesta; evidenciándose que la interposición del recurso se encuentra dentro de los márgenes temporales previstos en el citado precepto legal.</w:t>
      </w:r>
    </w:p>
    <w:p w14:paraId="6178FD3D" w14:textId="77777777" w:rsidR="0036327D" w:rsidRPr="00B2114D" w:rsidRDefault="0036327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997F8B7" w14:textId="77777777" w:rsidR="0036327D" w:rsidRPr="00B2114D" w:rsidRDefault="004B1C2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B2114D">
        <w:rPr>
          <w:rFonts w:ascii="Palatino Linotype" w:eastAsia="Palatino Linotype" w:hAnsi="Palatino Linotype" w:cs="Palatino Linotype"/>
          <w:color w:val="000000"/>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2114D">
        <w:rPr>
          <w:rFonts w:ascii="Palatino Linotype" w:eastAsia="Palatino Linotype" w:hAnsi="Palatino Linotype" w:cs="Palatino Linotype"/>
          <w:b/>
          <w:color w:val="000000"/>
        </w:rPr>
        <w:t>EL</w:t>
      </w:r>
      <w:r w:rsidRPr="00B2114D">
        <w:rPr>
          <w:rFonts w:ascii="Palatino Linotype" w:eastAsia="Palatino Linotype" w:hAnsi="Palatino Linotype" w:cs="Palatino Linotype"/>
          <w:color w:val="000000"/>
        </w:rPr>
        <w:t xml:space="preserve"> </w:t>
      </w:r>
      <w:r w:rsidRPr="00B2114D">
        <w:rPr>
          <w:rFonts w:ascii="Palatino Linotype" w:eastAsia="Palatino Linotype" w:hAnsi="Palatino Linotype" w:cs="Palatino Linotype"/>
          <w:b/>
          <w:color w:val="000000"/>
        </w:rPr>
        <w:t>SAIMEX</w:t>
      </w:r>
      <w:r w:rsidRPr="00B2114D">
        <w:rPr>
          <w:rFonts w:ascii="Palatino Linotype" w:eastAsia="Palatino Linotype" w:hAnsi="Palatino Linotype" w:cs="Palatino Linotype"/>
          <w:color w:val="000000"/>
        </w:rPr>
        <w:t>.</w:t>
      </w:r>
    </w:p>
    <w:p w14:paraId="562D8E0C" w14:textId="77777777" w:rsidR="0036327D" w:rsidRPr="00B2114D" w:rsidRDefault="004B1C2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B2114D">
        <w:rPr>
          <w:rFonts w:ascii="Palatino Linotype" w:eastAsia="Palatino Linotype" w:hAnsi="Palatino Linotype" w:cs="Palatino Linotype"/>
        </w:rPr>
        <w:lastRenderedPageBreak/>
        <w:t xml:space="preserve">Finalmente, resulta procedente la interposición del recurso, según lo aducido por el </w:t>
      </w:r>
      <w:r w:rsidRPr="00B2114D">
        <w:rPr>
          <w:rFonts w:ascii="Palatino Linotype" w:eastAsia="Palatino Linotype" w:hAnsi="Palatino Linotype" w:cs="Palatino Linotype"/>
          <w:b/>
        </w:rPr>
        <w:t>RECURRENTE</w:t>
      </w:r>
      <w:r w:rsidRPr="00B2114D">
        <w:rPr>
          <w:rFonts w:ascii="Palatino Linotype" w:eastAsia="Palatino Linotype" w:hAnsi="Palatino Linotype" w:cs="Palatino Linotype"/>
        </w:rPr>
        <w:t xml:space="preserve"> en sus razones o motivos de inconformidad, de acuerdo al artículo 179, fracción VI de la Ley de Transparencia y Acceso a la Información Pública del Estado de México y Municipios; que a la letra dice:</w:t>
      </w:r>
    </w:p>
    <w:p w14:paraId="2CAF4F15" w14:textId="77777777" w:rsidR="0036327D" w:rsidRPr="00B2114D" w:rsidRDefault="004B1C2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B2114D">
        <w:rPr>
          <w:rFonts w:ascii="Palatino Linotype" w:eastAsia="Palatino Linotype" w:hAnsi="Palatino Linotype" w:cs="Palatino Linotype"/>
          <w:b/>
          <w:i/>
        </w:rPr>
        <w:t>“Artículo 179</w:t>
      </w:r>
      <w:r w:rsidRPr="00B2114D">
        <w:rPr>
          <w:rFonts w:ascii="Palatino Linotype" w:eastAsia="Palatino Linotype" w:hAnsi="Palatino Linotype" w:cs="Palatino Linotype"/>
          <w:i/>
        </w:rPr>
        <w:t xml:space="preserve">. </w:t>
      </w:r>
      <w:r w:rsidRPr="00B2114D">
        <w:rPr>
          <w:rFonts w:ascii="Palatino Linotype" w:eastAsia="Palatino Linotype" w:hAnsi="Palatino Linotype" w:cs="Palatino Linotype"/>
          <w:b/>
          <w:i/>
        </w:rPr>
        <w:t>El recurso de revisión</w:t>
      </w:r>
      <w:r w:rsidRPr="00B2114D">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B2114D">
        <w:rPr>
          <w:rFonts w:ascii="Palatino Linotype" w:eastAsia="Palatino Linotype" w:hAnsi="Palatino Linotype" w:cs="Palatino Linotype"/>
          <w:b/>
          <w:i/>
        </w:rPr>
        <w:t>, y procederá en contra de las siguientes causas</w:t>
      </w:r>
      <w:r w:rsidRPr="00B2114D">
        <w:rPr>
          <w:rFonts w:ascii="Palatino Linotype" w:eastAsia="Palatino Linotype" w:hAnsi="Palatino Linotype" w:cs="Palatino Linotype"/>
          <w:i/>
        </w:rPr>
        <w:t>:</w:t>
      </w:r>
    </w:p>
    <w:p w14:paraId="5C79A19C" w14:textId="77777777" w:rsidR="0036327D" w:rsidRPr="00B2114D" w:rsidRDefault="004B1C2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B2114D">
        <w:rPr>
          <w:rFonts w:ascii="Palatino Linotype" w:eastAsia="Palatino Linotype" w:hAnsi="Palatino Linotype" w:cs="Palatino Linotype"/>
          <w:i/>
        </w:rPr>
        <w:t>[…]</w:t>
      </w:r>
    </w:p>
    <w:p w14:paraId="4139B45D" w14:textId="77777777" w:rsidR="0036327D" w:rsidRPr="00B2114D" w:rsidRDefault="004B1C2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B2114D">
        <w:rPr>
          <w:rFonts w:ascii="Palatino Linotype" w:eastAsia="Palatino Linotype" w:hAnsi="Palatino Linotype" w:cs="Palatino Linotype"/>
          <w:i/>
        </w:rPr>
        <w:t>VI. La entrega de información que no corres</w:t>
      </w:r>
      <w:r w:rsidR="009E6EFB" w:rsidRPr="00B2114D">
        <w:rPr>
          <w:rFonts w:ascii="Palatino Linotype" w:eastAsia="Palatino Linotype" w:hAnsi="Palatino Linotype" w:cs="Palatino Linotype"/>
          <w:i/>
        </w:rPr>
        <w:t>ponda con lo solicitado; …”</w:t>
      </w:r>
    </w:p>
    <w:p w14:paraId="5DC933B1"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TERCERO. MATERIA DE REVISIÓN</w:t>
      </w:r>
      <w:r w:rsidRPr="00B2114D">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verificar si la respuesta otorgada por 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es adecuada y suficiente para satisfacer el derecho de acceso a la información pública de la parte </w:t>
      </w:r>
      <w:r w:rsidRPr="00B2114D">
        <w:rPr>
          <w:rFonts w:ascii="Palatino Linotype" w:eastAsia="Palatino Linotype" w:hAnsi="Palatino Linotype" w:cs="Palatino Linotype"/>
          <w:b/>
        </w:rPr>
        <w:t>RECURRENTE</w:t>
      </w:r>
      <w:r w:rsidRPr="00B2114D">
        <w:rPr>
          <w:rFonts w:ascii="Palatino Linotype" w:eastAsia="Palatino Linotype" w:hAnsi="Palatino Linotype" w:cs="Palatino Linotype"/>
        </w:rPr>
        <w:t>, o en su defecto, en caso de ser procedente, ordenar la entrega de información oportuna.</w:t>
      </w:r>
    </w:p>
    <w:p w14:paraId="0AD0FA53" w14:textId="77777777" w:rsidR="0036327D" w:rsidRPr="00B2114D" w:rsidRDefault="004B1C23">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B2114D">
        <w:rPr>
          <w:rFonts w:ascii="Palatino Linotype" w:eastAsia="Palatino Linotype" w:hAnsi="Palatino Linotype" w:cs="Palatino Linotype"/>
          <w:b/>
        </w:rPr>
        <w:t xml:space="preserve">CUARTO. ESTUDIO DE FONDO DEL ASUNTO. </w:t>
      </w:r>
      <w:r w:rsidRPr="00B2114D">
        <w:rPr>
          <w:rFonts w:ascii="Palatino Linotype" w:eastAsia="Palatino Linotype" w:hAnsi="Palatino Linotype" w:cs="Palatino Linotype"/>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a cualquier </w:t>
      </w:r>
      <w:r w:rsidRPr="00B2114D">
        <w:rPr>
          <w:rFonts w:ascii="Palatino Linotype" w:eastAsia="Palatino Linotype" w:hAnsi="Palatino Linotype" w:cs="Palatino Linotype"/>
        </w:rPr>
        <w:lastRenderedPageBreak/>
        <w:t>persona, ello en privilegio del principio de máxima publicidad, en razón de que tiene el carácter de ser pública, tal y como se lee a continuación:</w:t>
      </w:r>
    </w:p>
    <w:p w14:paraId="0E2000A5" w14:textId="77777777" w:rsidR="0036327D" w:rsidRPr="00B2114D" w:rsidRDefault="004B1C23">
      <w:pPr>
        <w:ind w:left="851" w:right="900"/>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 “</w:t>
      </w:r>
      <w:r w:rsidRPr="00B2114D">
        <w:rPr>
          <w:rFonts w:ascii="Palatino Linotype" w:eastAsia="Palatino Linotype" w:hAnsi="Palatino Linotype" w:cs="Palatino Linotype"/>
          <w:b/>
          <w:i/>
          <w:sz w:val="22"/>
          <w:szCs w:val="22"/>
        </w:rPr>
        <w:t>Artículo 4.</w:t>
      </w:r>
      <w:r w:rsidRPr="00B2114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C58025" w14:textId="77777777" w:rsidR="0036327D" w:rsidRPr="00B2114D" w:rsidRDefault="0036327D">
      <w:pPr>
        <w:ind w:left="851" w:right="900"/>
        <w:jc w:val="both"/>
        <w:rPr>
          <w:rFonts w:ascii="Palatino Linotype" w:eastAsia="Palatino Linotype" w:hAnsi="Palatino Linotype" w:cs="Palatino Linotype"/>
          <w:i/>
          <w:sz w:val="22"/>
          <w:szCs w:val="22"/>
        </w:rPr>
      </w:pPr>
    </w:p>
    <w:p w14:paraId="3FD21336" w14:textId="77777777" w:rsidR="0036327D" w:rsidRPr="00B2114D" w:rsidRDefault="004B1C23">
      <w:pPr>
        <w:ind w:left="851" w:right="900"/>
        <w:jc w:val="both"/>
        <w:rPr>
          <w:rFonts w:ascii="Palatino Linotype" w:eastAsia="Palatino Linotype" w:hAnsi="Palatino Linotype" w:cs="Palatino Linotype"/>
          <w:sz w:val="22"/>
          <w:szCs w:val="22"/>
        </w:rPr>
      </w:pPr>
      <w:r w:rsidRPr="00B2114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2114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37DD8C" w14:textId="77777777" w:rsidR="0036327D" w:rsidRPr="00B2114D" w:rsidRDefault="004B1C23">
      <w:pPr>
        <w:spacing w:before="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F3B4961" w14:textId="77777777" w:rsidR="0036327D" w:rsidRPr="00B2114D" w:rsidRDefault="004B1C23">
      <w:pPr>
        <w:spacing w:before="240" w:after="240"/>
        <w:ind w:left="851" w:right="902"/>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b/>
          <w:i/>
          <w:sz w:val="22"/>
          <w:szCs w:val="22"/>
        </w:rPr>
        <w:t>“Artículo 12</w:t>
      </w:r>
      <w:r w:rsidRPr="00B2114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7B0274" w14:textId="77777777" w:rsidR="0036327D" w:rsidRPr="00B2114D" w:rsidRDefault="004B1C23">
      <w:pPr>
        <w:spacing w:before="240" w:after="240"/>
        <w:ind w:left="851" w:right="902"/>
        <w:jc w:val="both"/>
        <w:rPr>
          <w:rFonts w:ascii="Palatino Linotype" w:eastAsia="Palatino Linotype" w:hAnsi="Palatino Linotype" w:cs="Palatino Linotype"/>
          <w:i/>
        </w:rPr>
      </w:pPr>
      <w:r w:rsidRPr="00B2114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A19EB7E"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lastRenderedPageBreak/>
        <w:t>Lo anterior, refiere a que el derecho de acceso a la información pública se satisface en aquellos casos en que se entregue el documento en que conste la información pública, toda vez que, los Sujetos Obligados</w:t>
      </w:r>
      <w:r w:rsidRPr="00B2114D">
        <w:rPr>
          <w:rFonts w:ascii="Palatino Linotype" w:eastAsia="Palatino Linotype" w:hAnsi="Palatino Linotype" w:cs="Palatino Linotype"/>
          <w:b/>
        </w:rPr>
        <w:t xml:space="preserve"> </w:t>
      </w:r>
      <w:r w:rsidRPr="00B2114D">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B2114D">
        <w:rPr>
          <w:rFonts w:ascii="Palatino Linotype" w:eastAsia="Palatino Linotype" w:hAnsi="Palatino Linotype" w:cs="Palatino Linotype"/>
          <w:i/>
        </w:rPr>
        <w:t>ad hoc</w:t>
      </w:r>
      <w:r w:rsidRPr="00B2114D">
        <w:rPr>
          <w:rFonts w:ascii="Palatino Linotype" w:eastAsia="Palatino Linotype" w:hAnsi="Palatino Linotype" w:cs="Palatino Linotype"/>
        </w:rPr>
        <w:t>, para satisfacer el derecho de acceso a la información pública.</w:t>
      </w:r>
    </w:p>
    <w:p w14:paraId="6F6C01F5"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Aunado a ello el artículo 24 de la Ley de la materia</w:t>
      </w:r>
      <w:r w:rsidRPr="00B2114D">
        <w:rPr>
          <w:rFonts w:ascii="Palatino Linotype" w:eastAsia="Palatino Linotype" w:hAnsi="Palatino Linotype" w:cs="Palatino Linotype"/>
          <w:vertAlign w:val="superscript"/>
        </w:rPr>
        <w:footnoteReference w:id="1"/>
      </w:r>
      <w:r w:rsidRPr="00B2114D">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D941542"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B2114D">
        <w:rPr>
          <w:rFonts w:ascii="Palatino Linotype" w:eastAsia="Palatino Linotype" w:hAnsi="Palatino Linotype" w:cs="Palatino Linotype"/>
          <w:b/>
        </w:rPr>
        <w:t>cualquier otro registro que documente el ejercicio de las facultades, funciones y competencias de los Sujetos Obligados</w:t>
      </w:r>
      <w:r w:rsidRPr="00B2114D">
        <w:rPr>
          <w:rFonts w:ascii="Palatino Linotype" w:eastAsia="Palatino Linotype" w:hAnsi="Palatino Linotype" w:cs="Palatino Linotype"/>
        </w:rPr>
        <w:t xml:space="preserve">; los que, podrán estar en cualquier medio, sea escrito, impreso, sonoro, visual, electrónico, </w:t>
      </w:r>
      <w:r w:rsidRPr="00B2114D">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55004530" w14:textId="77777777" w:rsidR="0036327D" w:rsidRPr="00B2114D" w:rsidRDefault="004B1C23">
      <w:pPr>
        <w:ind w:left="851" w:right="899"/>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w:t>
      </w:r>
      <w:r w:rsidRPr="00B2114D">
        <w:rPr>
          <w:rFonts w:ascii="Palatino Linotype" w:eastAsia="Palatino Linotype" w:hAnsi="Palatino Linotype" w:cs="Palatino Linotype"/>
          <w:b/>
          <w:i/>
          <w:sz w:val="22"/>
          <w:szCs w:val="22"/>
        </w:rPr>
        <w:t xml:space="preserve">Artículo 3. </w:t>
      </w:r>
      <w:r w:rsidRPr="00B2114D">
        <w:rPr>
          <w:rFonts w:ascii="Palatino Linotype" w:eastAsia="Palatino Linotype" w:hAnsi="Palatino Linotype" w:cs="Palatino Linotype"/>
          <w:i/>
          <w:sz w:val="22"/>
          <w:szCs w:val="22"/>
        </w:rPr>
        <w:t>Para los efectos de la presente Ley se entenderá por:</w:t>
      </w:r>
    </w:p>
    <w:p w14:paraId="066B35D5" w14:textId="77777777" w:rsidR="0036327D" w:rsidRPr="00B2114D" w:rsidRDefault="004B1C23">
      <w:pPr>
        <w:ind w:left="1134" w:right="899"/>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w:t>
      </w:r>
    </w:p>
    <w:p w14:paraId="59FCD55D" w14:textId="77777777" w:rsidR="0036327D" w:rsidRPr="00B2114D" w:rsidRDefault="004B1C23">
      <w:pPr>
        <w:ind w:left="1134" w:right="899"/>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b/>
          <w:i/>
          <w:sz w:val="22"/>
          <w:szCs w:val="22"/>
        </w:rPr>
        <w:t>XI. Documento:</w:t>
      </w:r>
      <w:r w:rsidRPr="00B2114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B2114D">
        <w:rPr>
          <w:rFonts w:ascii="Palatino Linotype" w:eastAsia="Palatino Linotype" w:hAnsi="Palatino Linotype" w:cs="Palatino Linotype"/>
          <w:i/>
          <w:sz w:val="22"/>
          <w:szCs w:val="22"/>
        </w:rPr>
        <w:t>holográfico;</w:t>
      </w:r>
      <w:r w:rsidRPr="00B2114D">
        <w:rPr>
          <w:rFonts w:ascii="Palatino Linotype" w:eastAsia="Palatino Linotype" w:hAnsi="Palatino Linotype" w:cs="Palatino Linotype"/>
          <w:b/>
          <w:i/>
          <w:sz w:val="22"/>
          <w:szCs w:val="22"/>
        </w:rPr>
        <w:t>…</w:t>
      </w:r>
      <w:proofErr w:type="gramEnd"/>
      <w:r w:rsidRPr="00B2114D">
        <w:rPr>
          <w:rFonts w:ascii="Palatino Linotype" w:eastAsia="Palatino Linotype" w:hAnsi="Palatino Linotype" w:cs="Palatino Linotype"/>
          <w:i/>
          <w:sz w:val="22"/>
          <w:szCs w:val="22"/>
        </w:rPr>
        <w:t>”</w:t>
      </w:r>
    </w:p>
    <w:p w14:paraId="53923856" w14:textId="77777777" w:rsidR="0036327D" w:rsidRPr="00B2114D" w:rsidRDefault="0036327D">
      <w:pPr>
        <w:spacing w:line="360" w:lineRule="auto"/>
        <w:jc w:val="both"/>
        <w:rPr>
          <w:rFonts w:ascii="Palatino Linotype" w:eastAsia="Palatino Linotype" w:hAnsi="Palatino Linotype" w:cs="Palatino Linotype"/>
        </w:rPr>
      </w:pPr>
    </w:p>
    <w:p w14:paraId="2B881622"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C5D67E" w14:textId="77777777" w:rsidR="0036327D" w:rsidRPr="00B2114D" w:rsidRDefault="0036327D">
      <w:pPr>
        <w:spacing w:line="360" w:lineRule="auto"/>
        <w:jc w:val="both"/>
        <w:rPr>
          <w:rFonts w:ascii="Palatino Linotype" w:eastAsia="Palatino Linotype" w:hAnsi="Palatino Linotype" w:cs="Palatino Linotype"/>
        </w:rPr>
      </w:pPr>
    </w:p>
    <w:p w14:paraId="26C265D5" w14:textId="77777777" w:rsidR="0036327D" w:rsidRPr="00B2114D" w:rsidRDefault="004B1C23" w:rsidP="009E6EFB">
      <w:pPr>
        <w:spacing w:before="120" w:after="120" w:line="276" w:lineRule="auto"/>
        <w:ind w:left="851" w:right="902"/>
        <w:jc w:val="both"/>
        <w:rPr>
          <w:rFonts w:ascii="Palatino Linotype" w:eastAsia="Palatino Linotype" w:hAnsi="Palatino Linotype" w:cs="Palatino Linotype"/>
          <w:b/>
          <w:i/>
          <w:sz w:val="22"/>
          <w:szCs w:val="22"/>
        </w:rPr>
      </w:pPr>
      <w:r w:rsidRPr="00B2114D">
        <w:rPr>
          <w:rFonts w:ascii="Palatino Linotype" w:eastAsia="Palatino Linotype" w:hAnsi="Palatino Linotype" w:cs="Palatino Linotype"/>
          <w:b/>
          <w:sz w:val="22"/>
          <w:szCs w:val="22"/>
        </w:rPr>
        <w:t>“</w:t>
      </w:r>
      <w:r w:rsidRPr="00B2114D">
        <w:rPr>
          <w:rFonts w:ascii="Palatino Linotype" w:eastAsia="Palatino Linotype" w:hAnsi="Palatino Linotype" w:cs="Palatino Linotype"/>
          <w:b/>
          <w:i/>
          <w:sz w:val="22"/>
          <w:szCs w:val="22"/>
        </w:rPr>
        <w:t>CRITERIO 0002-11</w:t>
      </w:r>
    </w:p>
    <w:p w14:paraId="0AC96FDA" w14:textId="77777777" w:rsidR="0036327D" w:rsidRPr="00B2114D" w:rsidRDefault="004B1C23" w:rsidP="009E6EFB">
      <w:pPr>
        <w:spacing w:before="120" w:after="120" w:line="276" w:lineRule="auto"/>
        <w:ind w:left="851" w:right="902"/>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2114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D4BF02" w14:textId="77777777" w:rsidR="0036327D" w:rsidRPr="00B2114D" w:rsidRDefault="004B1C23" w:rsidP="009E6EFB">
      <w:pPr>
        <w:spacing w:before="120" w:after="120" w:line="276" w:lineRule="auto"/>
        <w:ind w:left="851" w:right="902"/>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lastRenderedPageBreak/>
        <w:t xml:space="preserve">En </w:t>
      </w:r>
      <w:proofErr w:type="gramStart"/>
      <w:r w:rsidRPr="00B2114D">
        <w:rPr>
          <w:rFonts w:ascii="Palatino Linotype" w:eastAsia="Palatino Linotype" w:hAnsi="Palatino Linotype" w:cs="Palatino Linotype"/>
          <w:i/>
          <w:sz w:val="22"/>
          <w:szCs w:val="22"/>
        </w:rPr>
        <w:t>consecuencia</w:t>
      </w:r>
      <w:proofErr w:type="gramEnd"/>
      <w:r w:rsidRPr="00B2114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8B08E23" w14:textId="77777777" w:rsidR="0036327D" w:rsidRPr="00B2114D" w:rsidRDefault="004B1C23" w:rsidP="009E6EFB">
      <w:pPr>
        <w:spacing w:before="120" w:after="120" w:line="276" w:lineRule="auto"/>
        <w:ind w:left="1134" w:right="902"/>
        <w:jc w:val="both"/>
        <w:rPr>
          <w:rFonts w:ascii="Palatino Linotype" w:eastAsia="Palatino Linotype" w:hAnsi="Palatino Linotype" w:cs="Palatino Linotype"/>
          <w:b/>
          <w:i/>
          <w:sz w:val="22"/>
          <w:szCs w:val="22"/>
        </w:rPr>
      </w:pPr>
      <w:r w:rsidRPr="00B2114D">
        <w:rPr>
          <w:rFonts w:ascii="Palatino Linotype" w:eastAsia="Palatino Linotype" w:hAnsi="Palatino Linotype" w:cs="Palatino Linotype"/>
          <w:b/>
          <w:i/>
          <w:sz w:val="22"/>
          <w:szCs w:val="22"/>
        </w:rPr>
        <w:t xml:space="preserve">1) Que se trate de información registrada en cualquier soporte documental, </w:t>
      </w:r>
      <w:proofErr w:type="gramStart"/>
      <w:r w:rsidRPr="00B2114D">
        <w:rPr>
          <w:rFonts w:ascii="Palatino Linotype" w:eastAsia="Palatino Linotype" w:hAnsi="Palatino Linotype" w:cs="Palatino Linotype"/>
          <w:b/>
          <w:i/>
          <w:sz w:val="22"/>
          <w:szCs w:val="22"/>
        </w:rPr>
        <w:t>que</w:t>
      </w:r>
      <w:proofErr w:type="gramEnd"/>
      <w:r w:rsidRPr="00B2114D">
        <w:rPr>
          <w:rFonts w:ascii="Palatino Linotype" w:eastAsia="Palatino Linotype" w:hAnsi="Palatino Linotype" w:cs="Palatino Linotype"/>
          <w:b/>
          <w:i/>
          <w:sz w:val="22"/>
          <w:szCs w:val="22"/>
        </w:rPr>
        <w:t xml:space="preserve"> en ejercicio de las atribuciones conferidas, sea generada por los Sujetos Obligados;</w:t>
      </w:r>
    </w:p>
    <w:p w14:paraId="6849A975" w14:textId="77777777" w:rsidR="0036327D" w:rsidRPr="00B2114D" w:rsidRDefault="004B1C23" w:rsidP="009E6EFB">
      <w:pPr>
        <w:spacing w:before="120" w:after="120" w:line="276" w:lineRule="auto"/>
        <w:ind w:left="1134" w:right="902"/>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2) Que se trate de información registrada en cualquier soporte documental, </w:t>
      </w:r>
      <w:proofErr w:type="gramStart"/>
      <w:r w:rsidRPr="00B2114D">
        <w:rPr>
          <w:rFonts w:ascii="Palatino Linotype" w:eastAsia="Palatino Linotype" w:hAnsi="Palatino Linotype" w:cs="Palatino Linotype"/>
          <w:i/>
          <w:sz w:val="22"/>
          <w:szCs w:val="22"/>
        </w:rPr>
        <w:t>que</w:t>
      </w:r>
      <w:proofErr w:type="gramEnd"/>
      <w:r w:rsidRPr="00B2114D">
        <w:rPr>
          <w:rFonts w:ascii="Palatino Linotype" w:eastAsia="Palatino Linotype" w:hAnsi="Palatino Linotype" w:cs="Palatino Linotype"/>
          <w:i/>
          <w:sz w:val="22"/>
          <w:szCs w:val="22"/>
        </w:rPr>
        <w:t xml:space="preserve"> en ejercicio de las atribuciones conferidas, sea administrada por los Sujetos Obligados, y</w:t>
      </w:r>
    </w:p>
    <w:p w14:paraId="6CF6D80D" w14:textId="77777777" w:rsidR="0036327D" w:rsidRPr="00B2114D" w:rsidRDefault="004B1C23" w:rsidP="009E6EFB">
      <w:pPr>
        <w:spacing w:before="120" w:after="120" w:line="276" w:lineRule="auto"/>
        <w:ind w:left="1134" w:right="902"/>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3) Que se trate de información registrada en cualquier soporte documental, </w:t>
      </w:r>
      <w:proofErr w:type="gramStart"/>
      <w:r w:rsidRPr="00B2114D">
        <w:rPr>
          <w:rFonts w:ascii="Palatino Linotype" w:eastAsia="Palatino Linotype" w:hAnsi="Palatino Linotype" w:cs="Palatino Linotype"/>
          <w:i/>
          <w:sz w:val="22"/>
          <w:szCs w:val="22"/>
        </w:rPr>
        <w:t>que</w:t>
      </w:r>
      <w:proofErr w:type="gramEnd"/>
      <w:r w:rsidRPr="00B2114D">
        <w:rPr>
          <w:rFonts w:ascii="Palatino Linotype" w:eastAsia="Palatino Linotype" w:hAnsi="Palatino Linotype" w:cs="Palatino Linotype"/>
          <w:i/>
          <w:sz w:val="22"/>
          <w:szCs w:val="22"/>
        </w:rPr>
        <w:t xml:space="preserve"> en ejercicio de las atribuciones conferidas, se encuentre en posesión de los Sujetos Obligados.”</w:t>
      </w:r>
    </w:p>
    <w:p w14:paraId="54CB4FCD" w14:textId="77777777" w:rsidR="0036327D" w:rsidRPr="00B2114D" w:rsidRDefault="004B1C2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B2114D">
        <w:rPr>
          <w:rFonts w:ascii="Palatino Linotype" w:eastAsia="Palatino Linotype" w:hAnsi="Palatino Linotype" w:cs="Palatino Linotype"/>
          <w:color w:val="000000"/>
        </w:rPr>
        <w:t xml:space="preserve">Ahora bien, del análisis de la solicitud de información, motivo del recurso de revisión que ahora se resuelve se advierte que el </w:t>
      </w:r>
      <w:r w:rsidRPr="00B2114D">
        <w:rPr>
          <w:rFonts w:ascii="Palatino Linotype" w:eastAsia="Palatino Linotype" w:hAnsi="Palatino Linotype" w:cs="Palatino Linotype"/>
          <w:b/>
          <w:color w:val="000000"/>
        </w:rPr>
        <w:t>RECURRENTE</w:t>
      </w:r>
      <w:r w:rsidRPr="00B2114D">
        <w:rPr>
          <w:rFonts w:ascii="Palatino Linotype" w:eastAsia="Palatino Linotype" w:hAnsi="Palatino Linotype" w:cs="Palatino Linotype"/>
          <w:color w:val="000000"/>
        </w:rPr>
        <w:t xml:space="preserve"> requirió al </w:t>
      </w:r>
      <w:r w:rsidRPr="00B2114D">
        <w:rPr>
          <w:rFonts w:ascii="Palatino Linotype" w:eastAsia="Palatino Linotype" w:hAnsi="Palatino Linotype" w:cs="Palatino Linotype"/>
          <w:b/>
          <w:color w:val="000000"/>
        </w:rPr>
        <w:t>SUJETO OBLIGADO</w:t>
      </w:r>
      <w:r w:rsidRPr="00B2114D">
        <w:rPr>
          <w:rFonts w:ascii="Palatino Linotype" w:eastAsia="Palatino Linotype" w:hAnsi="Palatino Linotype" w:cs="Palatino Linotype"/>
          <w:color w:val="000000"/>
        </w:rPr>
        <w:t xml:space="preserve"> le proporcione, información consistente en lo siguiente:</w:t>
      </w:r>
    </w:p>
    <w:p w14:paraId="16C146AA" w14:textId="77777777" w:rsidR="0036327D" w:rsidRPr="00B2114D" w:rsidRDefault="004B1C23">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2114D">
        <w:rPr>
          <w:rFonts w:ascii="Palatino Linotype" w:eastAsia="Palatino Linotype" w:hAnsi="Palatino Linotype" w:cs="Palatino Linotype"/>
          <w:color w:val="000000"/>
        </w:rPr>
        <w:t>El tabulador de sueldos base y netos de acuerdo con los puestos que desempeña cada empleado.</w:t>
      </w:r>
    </w:p>
    <w:p w14:paraId="0FC09D69" w14:textId="77777777" w:rsidR="0036327D" w:rsidRPr="00B2114D" w:rsidRDefault="0036327D">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6B637AB7"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color w:val="000000"/>
        </w:rPr>
        <w:t xml:space="preserve">En respuesta, el </w:t>
      </w:r>
      <w:r w:rsidRPr="00B2114D">
        <w:rPr>
          <w:rFonts w:ascii="Palatino Linotype" w:eastAsia="Palatino Linotype" w:hAnsi="Palatino Linotype" w:cs="Palatino Linotype"/>
          <w:b/>
          <w:color w:val="000000"/>
        </w:rPr>
        <w:t xml:space="preserve">SUJETO OBLIGADO </w:t>
      </w:r>
      <w:r w:rsidRPr="00B2114D">
        <w:rPr>
          <w:rFonts w:ascii="Palatino Linotype" w:eastAsia="Palatino Linotype" w:hAnsi="Palatino Linotype" w:cs="Palatino Linotype"/>
          <w:color w:val="000000"/>
        </w:rPr>
        <w:t xml:space="preserve">remitió, anexo a la respuesta, el archivo digital denominado </w:t>
      </w:r>
      <w:r w:rsidRPr="00B2114D">
        <w:rPr>
          <w:rFonts w:ascii="Palatino Linotype" w:eastAsia="Palatino Linotype" w:hAnsi="Palatino Linotype" w:cs="Palatino Linotype"/>
          <w:b/>
        </w:rPr>
        <w:t>“4.- Tabulador de Sueldo.pdf”</w:t>
      </w:r>
      <w:r w:rsidRPr="00B2114D">
        <w:rPr>
          <w:rFonts w:ascii="Palatino Linotype" w:eastAsia="Palatino Linotype" w:hAnsi="Palatino Linotype" w:cs="Palatino Linotype"/>
        </w:rPr>
        <w:t>, que contiene una tabla con los datos del “Puesto”, “Sueldo Diario” y “Sueldo Quincenal”, tal como se observa a manera de ejemplo en la siguiente imagen:</w:t>
      </w:r>
    </w:p>
    <w:p w14:paraId="6267B9D0" w14:textId="77777777" w:rsidR="0036327D" w:rsidRPr="00B2114D" w:rsidRDefault="00A136A1">
      <w:pPr>
        <w:spacing w:line="360" w:lineRule="auto"/>
        <w:jc w:val="both"/>
        <w:rPr>
          <w:rFonts w:ascii="Palatino Linotype" w:eastAsia="Palatino Linotype" w:hAnsi="Palatino Linotype" w:cs="Palatino Linotype"/>
        </w:rPr>
      </w:pPr>
      <w:r w:rsidRPr="00B2114D">
        <w:rPr>
          <w:noProof/>
          <w:lang w:val="es-MX" w:eastAsia="es-MX"/>
        </w:rPr>
        <w:lastRenderedPageBreak/>
        <mc:AlternateContent>
          <mc:Choice Requires="wps">
            <w:drawing>
              <wp:anchor distT="0" distB="0" distL="114300" distR="114300" simplePos="0" relativeHeight="251660288" behindDoc="0" locked="0" layoutInCell="1" hidden="0" allowOverlap="1" wp14:anchorId="607E0B44" wp14:editId="5E832244">
                <wp:simplePos x="0" y="0"/>
                <wp:positionH relativeFrom="column">
                  <wp:posOffset>253364</wp:posOffset>
                </wp:positionH>
                <wp:positionV relativeFrom="paragraph">
                  <wp:posOffset>127635</wp:posOffset>
                </wp:positionV>
                <wp:extent cx="5076825" cy="247650"/>
                <wp:effectExtent l="19050" t="19050" r="28575" b="19050"/>
                <wp:wrapNone/>
                <wp:docPr id="56" name="Rectángulo 56"/>
                <wp:cNvGraphicFramePr/>
                <a:graphic xmlns:a="http://schemas.openxmlformats.org/drawingml/2006/main">
                  <a:graphicData uri="http://schemas.microsoft.com/office/word/2010/wordprocessingShape">
                    <wps:wsp>
                      <wps:cNvSpPr/>
                      <wps:spPr>
                        <a:xfrm>
                          <a:off x="0" y="0"/>
                          <a:ext cx="5076825" cy="247650"/>
                        </a:xfrm>
                        <a:prstGeom prst="rect">
                          <a:avLst/>
                        </a:prstGeom>
                        <a:noFill/>
                        <a:ln w="38100" cap="flat" cmpd="sng">
                          <a:solidFill>
                            <a:srgbClr val="FF0000"/>
                          </a:solidFill>
                          <a:prstDash val="solid"/>
                          <a:miter lim="800000"/>
                          <a:headEnd type="none" w="sm" len="sm"/>
                          <a:tailEnd type="none" w="sm" len="sm"/>
                        </a:ln>
                      </wps:spPr>
                      <wps:txbx>
                        <w:txbxContent>
                          <w:p w14:paraId="5879FB23" w14:textId="77777777" w:rsidR="0036327D" w:rsidRDefault="0036327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ángulo 56" o:spid="_x0000_s1026" style="position:absolute;left:0;text-align:left;margin-left:19.95pt;margin-top:10.05pt;width:399.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" filled="f" strokecolor="red" strokeweight="3pt">
                <v:stroke startarrowwidth="narrow" startarrowlength="short" endarrowwidth="narrow" endarrowlength="short"/>
                <v:textbox inset="2.53958mm,2.53958mm,2.53958mm,2.53958mm">
                  <w:txbxContent>
                    <w:p w:rsidR="0036327D" w:rsidRDefault="0036327D">
                      <w:pPr>
                        <w:textDirection w:val="btLr"/>
                      </w:pPr>
                    </w:p>
                  </w:txbxContent>
                </v:textbox>
              </v:rect>
            </w:pict>
          </mc:Fallback>
        </mc:AlternateContent>
      </w:r>
      <w:r w:rsidR="004B1C23" w:rsidRPr="00B2114D">
        <w:rPr>
          <w:rFonts w:ascii="Palatino Linotype" w:eastAsia="Palatino Linotype" w:hAnsi="Palatino Linotype" w:cs="Palatino Linotype"/>
        </w:rPr>
        <w:t xml:space="preserve">   </w:t>
      </w:r>
      <w:r w:rsidR="004B1C23" w:rsidRPr="00B2114D">
        <w:rPr>
          <w:rFonts w:ascii="Palatino Linotype" w:eastAsia="Palatino Linotype" w:hAnsi="Palatino Linotype" w:cs="Palatino Linotype"/>
          <w:color w:val="000000"/>
        </w:rPr>
        <w:t xml:space="preserve">  </w:t>
      </w:r>
      <w:r w:rsidRPr="00B2114D">
        <w:rPr>
          <w:rFonts w:ascii="Palatino Linotype" w:eastAsia="Palatino Linotype" w:hAnsi="Palatino Linotype" w:cs="Palatino Linotype"/>
          <w:noProof/>
          <w:lang w:val="es-MX" w:eastAsia="es-MX"/>
        </w:rPr>
        <w:drawing>
          <wp:inline distT="0" distB="0" distL="0" distR="0" wp14:anchorId="67C6807D" wp14:editId="453C29EE">
            <wp:extent cx="5295900" cy="1458595"/>
            <wp:effectExtent l="0" t="0" r="0" b="8255"/>
            <wp:docPr id="65"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16"/>
                    <a:srcRect l="55329" t="17803" r="16667" b="67020"/>
                    <a:stretch>
                      <a:fillRect/>
                    </a:stretch>
                  </pic:blipFill>
                  <pic:spPr>
                    <a:xfrm>
                      <a:off x="0" y="0"/>
                      <a:ext cx="5298155" cy="1459216"/>
                    </a:xfrm>
                    <a:prstGeom prst="rect">
                      <a:avLst/>
                    </a:prstGeom>
                    <a:ln/>
                  </pic:spPr>
                </pic:pic>
              </a:graphicData>
            </a:graphic>
          </wp:inline>
        </w:drawing>
      </w:r>
    </w:p>
    <w:p w14:paraId="405039CD" w14:textId="77777777" w:rsidR="0036327D" w:rsidRPr="00B2114D" w:rsidRDefault="0036327D">
      <w:pPr>
        <w:spacing w:line="360" w:lineRule="auto"/>
        <w:jc w:val="both"/>
        <w:rPr>
          <w:rFonts w:ascii="Palatino Linotype" w:eastAsia="Palatino Linotype" w:hAnsi="Palatino Linotype" w:cs="Palatino Linotype"/>
        </w:rPr>
      </w:pPr>
    </w:p>
    <w:p w14:paraId="60C6541F"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Conocida la respuesta por el particular, al no estar conforme con los términos de la misma, presentó el recurso de revisión que nos ocupa, mediante el cual señaló como motivo de inconformidad, en lo medular que no se le proporcionó lo solicitado, toda vez que la solicitud versaba sobre </w:t>
      </w:r>
      <w:r w:rsidRPr="00B2114D">
        <w:rPr>
          <w:rFonts w:ascii="Palatino Linotype" w:eastAsia="Palatino Linotype" w:hAnsi="Palatino Linotype" w:cs="Palatino Linotype"/>
          <w:color w:val="000000"/>
        </w:rPr>
        <w:t xml:space="preserve">el sueldo base y neto de cada empleado y que el </w:t>
      </w:r>
      <w:r w:rsidRPr="00B2114D">
        <w:rPr>
          <w:rFonts w:ascii="Palatino Linotype" w:eastAsia="Palatino Linotype" w:hAnsi="Palatino Linotype" w:cs="Palatino Linotype"/>
          <w:b/>
          <w:color w:val="000000"/>
        </w:rPr>
        <w:t>SUJETO OBLIGADO</w:t>
      </w:r>
      <w:r w:rsidRPr="00B2114D">
        <w:rPr>
          <w:rFonts w:ascii="Palatino Linotype" w:eastAsia="Palatino Linotype" w:hAnsi="Palatino Linotype" w:cs="Palatino Linotype"/>
          <w:color w:val="000000"/>
        </w:rPr>
        <w:t xml:space="preserve"> le envió el sueldo diario y quincenal.</w:t>
      </w:r>
      <w:r w:rsidRPr="00B2114D">
        <w:rPr>
          <w:rFonts w:ascii="Palatino Linotype" w:eastAsia="Palatino Linotype" w:hAnsi="Palatino Linotype" w:cs="Palatino Linotype"/>
        </w:rPr>
        <w:t xml:space="preserve"> </w:t>
      </w:r>
    </w:p>
    <w:p w14:paraId="3396239F" w14:textId="77777777" w:rsidR="0036327D" w:rsidRPr="00B2114D" w:rsidRDefault="0036327D">
      <w:pPr>
        <w:spacing w:line="360" w:lineRule="auto"/>
        <w:jc w:val="both"/>
        <w:rPr>
          <w:rFonts w:ascii="Palatino Linotype" w:eastAsia="Palatino Linotype" w:hAnsi="Palatino Linotype" w:cs="Palatino Linotype"/>
        </w:rPr>
      </w:pPr>
    </w:p>
    <w:p w14:paraId="21E155FE" w14:textId="77777777" w:rsidR="0036327D" w:rsidRPr="00B2114D" w:rsidRDefault="004B1C23">
      <w:pPr>
        <w:spacing w:line="360" w:lineRule="auto"/>
        <w:jc w:val="both"/>
        <w:rPr>
          <w:rFonts w:ascii="Palatino Linotype" w:eastAsia="Palatino Linotype" w:hAnsi="Palatino Linotype" w:cs="Palatino Linotype"/>
          <w:color w:val="000000"/>
        </w:rPr>
      </w:pPr>
      <w:r w:rsidRPr="00B2114D">
        <w:rPr>
          <w:rFonts w:ascii="Palatino Linotype" w:eastAsia="Palatino Linotype" w:hAnsi="Palatino Linotype" w:cs="Palatino Linotype"/>
        </w:rPr>
        <w:t xml:space="preserve">Cabe resaltar que </w:t>
      </w:r>
      <w:r w:rsidRPr="00B2114D">
        <w:rPr>
          <w:rFonts w:ascii="Palatino Linotype" w:eastAsia="Palatino Linotype" w:hAnsi="Palatino Linotype" w:cs="Palatino Linotype"/>
          <w:color w:val="000000"/>
        </w:rPr>
        <w:t>durante la etapa de manifestaciones el</w:t>
      </w:r>
      <w:r w:rsidRPr="00B2114D">
        <w:rPr>
          <w:rFonts w:ascii="Palatino Linotype" w:eastAsia="Palatino Linotype" w:hAnsi="Palatino Linotype" w:cs="Palatino Linotype"/>
          <w:b/>
          <w:color w:val="000000"/>
        </w:rPr>
        <w:t xml:space="preserve"> RECURRENTE</w:t>
      </w:r>
      <w:r w:rsidRPr="00B2114D">
        <w:rPr>
          <w:rFonts w:ascii="Palatino Linotype" w:eastAsia="Palatino Linotype" w:hAnsi="Palatino Linotype" w:cs="Palatino Linotype"/>
          <w:color w:val="000000"/>
        </w:rPr>
        <w:t xml:space="preserve"> fue omiso de rendir alegatos.</w:t>
      </w:r>
    </w:p>
    <w:p w14:paraId="5CACB2D6" w14:textId="77777777" w:rsidR="0036327D" w:rsidRPr="00B2114D" w:rsidRDefault="0036327D">
      <w:pPr>
        <w:spacing w:line="360" w:lineRule="auto"/>
        <w:jc w:val="both"/>
        <w:rPr>
          <w:rFonts w:ascii="Palatino Linotype" w:eastAsia="Palatino Linotype" w:hAnsi="Palatino Linotype" w:cs="Palatino Linotype"/>
          <w:color w:val="000000"/>
        </w:rPr>
      </w:pPr>
    </w:p>
    <w:p w14:paraId="6855931B" w14:textId="77777777" w:rsidR="0036327D" w:rsidRPr="00B2114D" w:rsidRDefault="004B1C23">
      <w:pPr>
        <w:spacing w:line="360" w:lineRule="auto"/>
        <w:jc w:val="both"/>
        <w:rPr>
          <w:rFonts w:ascii="Palatino Linotype" w:eastAsia="Palatino Linotype" w:hAnsi="Palatino Linotype" w:cs="Palatino Linotype"/>
          <w:color w:val="000000"/>
        </w:rPr>
      </w:pPr>
      <w:r w:rsidRPr="00B2114D">
        <w:rPr>
          <w:rFonts w:ascii="Palatino Linotype" w:eastAsia="Palatino Linotype" w:hAnsi="Palatino Linotype" w:cs="Palatino Linotype"/>
          <w:color w:val="000000"/>
        </w:rPr>
        <w:t xml:space="preserve">Por otra parte, el </w:t>
      </w:r>
      <w:r w:rsidRPr="00B2114D">
        <w:rPr>
          <w:rFonts w:ascii="Palatino Linotype" w:eastAsia="Palatino Linotype" w:hAnsi="Palatino Linotype" w:cs="Palatino Linotype"/>
          <w:b/>
        </w:rPr>
        <w:t>SUJETO</w:t>
      </w:r>
      <w:r w:rsidRPr="00B2114D">
        <w:rPr>
          <w:rFonts w:ascii="Palatino Linotype" w:eastAsia="Palatino Linotype" w:hAnsi="Palatino Linotype" w:cs="Palatino Linotype"/>
          <w:b/>
          <w:color w:val="000000"/>
        </w:rPr>
        <w:t xml:space="preserve"> OBLIGADO</w:t>
      </w:r>
      <w:r w:rsidRPr="00B2114D">
        <w:rPr>
          <w:rFonts w:ascii="Palatino Linotype" w:eastAsia="Palatino Linotype" w:hAnsi="Palatino Linotype" w:cs="Palatino Linotype"/>
        </w:rPr>
        <w:t xml:space="preserve">, a través del archivo electrónico denominado </w:t>
      </w:r>
      <w:r w:rsidRPr="00B2114D">
        <w:rPr>
          <w:rFonts w:ascii="Palatino Linotype" w:eastAsia="Palatino Linotype" w:hAnsi="Palatino Linotype" w:cs="Palatino Linotype"/>
          <w:b/>
        </w:rPr>
        <w:t>“</w:t>
      </w:r>
      <w:hyperlink r:id="rId17">
        <w:r w:rsidRPr="00B2114D">
          <w:rPr>
            <w:rFonts w:ascii="Palatino Linotype" w:eastAsia="Palatino Linotype" w:hAnsi="Palatino Linotype" w:cs="Palatino Linotype"/>
            <w:b/>
          </w:rPr>
          <w:t>5.- Respuesta del recurso de revision.pdf</w:t>
        </w:r>
      </w:hyperlink>
      <w:r w:rsidRPr="00B2114D">
        <w:rPr>
          <w:rFonts w:ascii="Palatino Linotype" w:eastAsia="Palatino Linotype" w:hAnsi="Palatino Linotype" w:cs="Palatino Linotype"/>
          <w:b/>
        </w:rPr>
        <w:t>”</w:t>
      </w:r>
      <w:r w:rsidRPr="00B2114D">
        <w:rPr>
          <w:rFonts w:ascii="Palatino Linotype" w:eastAsia="Palatino Linotype" w:hAnsi="Palatino Linotype" w:cs="Palatino Linotype"/>
        </w:rPr>
        <w:t xml:space="preserve"> el cual contiene el informe justificado del Titular de la Unidad de Trasparencia del </w:t>
      </w:r>
      <w:r w:rsidRPr="00B2114D">
        <w:rPr>
          <w:rFonts w:ascii="Palatino Linotype" w:eastAsia="Palatino Linotype" w:hAnsi="Palatino Linotype" w:cs="Palatino Linotype"/>
          <w:b/>
        </w:rPr>
        <w:t>Organismo Público Descentralizado de Agua Potable Alcantarillado y Saneamiento de Chimalhuacán</w:t>
      </w:r>
      <w:r w:rsidRPr="00B2114D">
        <w:rPr>
          <w:rFonts w:ascii="Palatino Linotype" w:eastAsia="Palatino Linotype" w:hAnsi="Palatino Linotype" w:cs="Palatino Linotype"/>
        </w:rPr>
        <w:t xml:space="preserve"> ratifica su respuesta inicial.</w:t>
      </w:r>
    </w:p>
    <w:p w14:paraId="35F96B12" w14:textId="77777777" w:rsidR="0036327D" w:rsidRPr="00B2114D" w:rsidRDefault="0036327D">
      <w:pPr>
        <w:spacing w:line="360" w:lineRule="auto"/>
        <w:jc w:val="both"/>
        <w:rPr>
          <w:rFonts w:ascii="Palatino Linotype" w:eastAsia="Palatino Linotype" w:hAnsi="Palatino Linotype" w:cs="Palatino Linotype"/>
          <w:color w:val="000000"/>
        </w:rPr>
      </w:pPr>
    </w:p>
    <w:p w14:paraId="3C8D5979"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color w:val="000000"/>
        </w:rPr>
        <w:t>Precisado lo anterior y p</w:t>
      </w:r>
      <w:r w:rsidRPr="00B2114D">
        <w:rPr>
          <w:rFonts w:ascii="Palatino Linotype" w:eastAsia="Palatino Linotype" w:hAnsi="Palatino Linotype" w:cs="Palatino Linotype"/>
        </w:rPr>
        <w:t xml:space="preserve">ara tener una referencia normativa de lo solicitado por el </w:t>
      </w:r>
      <w:r w:rsidRPr="00B2114D">
        <w:rPr>
          <w:rFonts w:ascii="Palatino Linotype" w:eastAsia="Palatino Linotype" w:hAnsi="Palatino Linotype" w:cs="Palatino Linotype"/>
          <w:b/>
        </w:rPr>
        <w:t>RECURRENTE</w:t>
      </w:r>
      <w:r w:rsidRPr="00B2114D">
        <w:rPr>
          <w:rFonts w:ascii="Palatino Linotype" w:eastAsia="Palatino Linotype" w:hAnsi="Palatino Linotype" w:cs="Palatino Linotype"/>
        </w:rPr>
        <w:t>, es necesario traer a colación lo siguiente:</w:t>
      </w:r>
    </w:p>
    <w:p w14:paraId="15AE38D2" w14:textId="77777777" w:rsidR="009E6EFB" w:rsidRPr="00B2114D" w:rsidRDefault="009E6EFB">
      <w:pPr>
        <w:spacing w:line="360" w:lineRule="auto"/>
        <w:jc w:val="both"/>
        <w:rPr>
          <w:rFonts w:ascii="Palatino Linotype" w:eastAsia="Palatino Linotype" w:hAnsi="Palatino Linotype" w:cs="Palatino Linotype"/>
        </w:rPr>
      </w:pPr>
    </w:p>
    <w:p w14:paraId="57C69D2A"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El artículo 115 fracción IV, párrafo tercero de la Constitución Política de los Estados Unidos Mexicanos establece que: </w:t>
      </w:r>
    </w:p>
    <w:p w14:paraId="79883C08" w14:textId="77777777" w:rsidR="0036327D" w:rsidRPr="00B2114D" w:rsidRDefault="0036327D">
      <w:pPr>
        <w:spacing w:line="360" w:lineRule="auto"/>
        <w:jc w:val="both"/>
        <w:rPr>
          <w:rFonts w:ascii="Palatino Linotype" w:eastAsia="Palatino Linotype" w:hAnsi="Palatino Linotype" w:cs="Palatino Linotype"/>
        </w:rPr>
      </w:pPr>
    </w:p>
    <w:p w14:paraId="7A73EEB2" w14:textId="77777777" w:rsidR="0036327D" w:rsidRPr="00B2114D" w:rsidRDefault="004B1C23" w:rsidP="009E6EFB">
      <w:pPr>
        <w:spacing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w:t>
      </w:r>
      <w:r w:rsidRPr="00B2114D">
        <w:rPr>
          <w:rFonts w:ascii="Palatino Linotype" w:eastAsia="Palatino Linotype" w:hAnsi="Palatino Linotype" w:cs="Palatino Linotype"/>
          <w:b/>
          <w:i/>
          <w:sz w:val="22"/>
          <w:szCs w:val="22"/>
        </w:rPr>
        <w:t>Artículo 115.</w:t>
      </w:r>
      <w:r w:rsidRPr="00B2114D">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4C99232A" w14:textId="77777777" w:rsidR="0036327D" w:rsidRPr="00B2114D" w:rsidRDefault="004B1C23" w:rsidP="009E6EFB">
      <w:pPr>
        <w:spacing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 ]</w:t>
      </w:r>
    </w:p>
    <w:p w14:paraId="29E6EFE1" w14:textId="77777777" w:rsidR="0036327D" w:rsidRPr="00B2114D" w:rsidRDefault="004B1C23" w:rsidP="009E6EFB">
      <w:pPr>
        <w:spacing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b/>
          <w:i/>
          <w:sz w:val="22"/>
          <w:szCs w:val="22"/>
        </w:rPr>
        <w:t>IV.</w:t>
      </w:r>
      <w:r w:rsidRPr="00B2114D">
        <w:rPr>
          <w:rFonts w:ascii="Palatino Linotype" w:eastAsia="Palatino Linotype" w:hAnsi="Palatino Linotype" w:cs="Palatino Linotype"/>
          <w:i/>
          <w:sz w:val="22"/>
          <w:szCs w:val="22"/>
        </w:rPr>
        <w:t xml:space="preserve"> Los municipios administrarán libremente su hacienda, la cual se formará de los rendimientos de los bienes que les pertenezcan, así como de las contribuciones y otros ingresos que las legislaturas establezcan a su favor, y en todo caso:</w:t>
      </w:r>
    </w:p>
    <w:p w14:paraId="1B8D5A9D" w14:textId="77777777" w:rsidR="0036327D" w:rsidRPr="00B2114D" w:rsidRDefault="004B1C23" w:rsidP="009E6EFB">
      <w:pPr>
        <w:spacing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w:t>
      </w:r>
    </w:p>
    <w:p w14:paraId="18DA04A4" w14:textId="77777777" w:rsidR="0036327D" w:rsidRPr="00B2114D" w:rsidRDefault="004B1C23" w:rsidP="009E6EFB">
      <w:pPr>
        <w:spacing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Las legislaturas de los Estados aprobarán las leyes de ingresos de los municipios, revisarán y</w:t>
      </w:r>
    </w:p>
    <w:p w14:paraId="7EF0C59E" w14:textId="77777777" w:rsidR="0036327D" w:rsidRPr="00B2114D" w:rsidRDefault="004B1C23" w:rsidP="009E6EFB">
      <w:pPr>
        <w:spacing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fiscalizarán sus cuentas públicas. Los presupuestos de egresos serán aprobados por </w:t>
      </w:r>
      <w:proofErr w:type="spellStart"/>
      <w:r w:rsidRPr="00B2114D">
        <w:rPr>
          <w:rFonts w:ascii="Palatino Linotype" w:eastAsia="Palatino Linotype" w:hAnsi="Palatino Linotype" w:cs="Palatino Linotype"/>
          <w:i/>
          <w:sz w:val="22"/>
          <w:szCs w:val="22"/>
        </w:rPr>
        <w:t>lo</w:t>
      </w:r>
      <w:proofErr w:type="spellEnd"/>
      <w:r w:rsidRPr="00B2114D">
        <w:rPr>
          <w:rFonts w:ascii="Palatino Linotype" w:eastAsia="Palatino Linotype" w:hAnsi="Palatino Linotype" w:cs="Palatino Linotype"/>
          <w:i/>
          <w:sz w:val="22"/>
          <w:szCs w:val="22"/>
        </w:rPr>
        <w:t xml:space="preserve"> ayuntamientos con base en sus ingresos disponibles, y deberán incluir en los mismos, </w:t>
      </w:r>
      <w:r w:rsidRPr="00B2114D">
        <w:rPr>
          <w:rFonts w:ascii="Palatino Linotype" w:eastAsia="Palatino Linotype" w:hAnsi="Palatino Linotype" w:cs="Palatino Linotype"/>
          <w:b/>
          <w:i/>
          <w:sz w:val="22"/>
          <w:szCs w:val="22"/>
        </w:rPr>
        <w:t>los tabuladores desglosados de las remuneraciones que perciban los servidores públicos municipales</w:t>
      </w:r>
      <w:r w:rsidRPr="00B2114D">
        <w:rPr>
          <w:rFonts w:ascii="Palatino Linotype" w:eastAsia="Palatino Linotype" w:hAnsi="Palatino Linotype" w:cs="Palatino Linotype"/>
          <w:i/>
          <w:sz w:val="22"/>
          <w:szCs w:val="22"/>
        </w:rPr>
        <w:t>, sujetándose a lo dispuesto en el artículo 127 de esta Constitución.”</w:t>
      </w:r>
    </w:p>
    <w:p w14:paraId="75DA2785" w14:textId="77777777" w:rsidR="0036327D" w:rsidRPr="00B2114D" w:rsidRDefault="004B1C23" w:rsidP="009E6EFB">
      <w:pPr>
        <w:spacing w:before="240" w:after="240" w:line="276" w:lineRule="auto"/>
        <w:ind w:left="720"/>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w:t>
      </w:r>
    </w:p>
    <w:p w14:paraId="4D2B1386"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Asimismo, el artículo 125 antepenúltimo y </w:t>
      </w:r>
      <w:proofErr w:type="gramStart"/>
      <w:r w:rsidRPr="00B2114D">
        <w:rPr>
          <w:rFonts w:ascii="Palatino Linotype" w:eastAsia="Palatino Linotype" w:hAnsi="Palatino Linotype" w:cs="Palatino Linotype"/>
        </w:rPr>
        <w:t>penúltimo párrafos</w:t>
      </w:r>
      <w:proofErr w:type="gramEnd"/>
      <w:r w:rsidRPr="00B2114D">
        <w:rPr>
          <w:rFonts w:ascii="Palatino Linotype" w:eastAsia="Palatino Linotype" w:hAnsi="Palatino Linotype" w:cs="Palatino Linotype"/>
        </w:rPr>
        <w:t xml:space="preserve"> de la Constitución Política del Estado Libre y Soberano de México, establece: </w:t>
      </w:r>
    </w:p>
    <w:p w14:paraId="0898DF6A"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rPr>
      </w:pPr>
      <w:r w:rsidRPr="00B2114D">
        <w:rPr>
          <w:rFonts w:ascii="Palatino Linotype" w:eastAsia="Palatino Linotype" w:hAnsi="Palatino Linotype" w:cs="Palatino Linotype"/>
          <w:i/>
        </w:rPr>
        <w:t>“</w:t>
      </w:r>
      <w:r w:rsidRPr="00B2114D">
        <w:rPr>
          <w:rFonts w:ascii="Palatino Linotype" w:eastAsia="Palatino Linotype" w:hAnsi="Palatino Linotype" w:cs="Palatino Linotype"/>
          <w:b/>
          <w:i/>
        </w:rPr>
        <w:t>Artículo 125</w:t>
      </w:r>
      <w:r w:rsidRPr="00B2114D">
        <w:rPr>
          <w:rFonts w:ascii="Palatino Linotype" w:eastAsia="Palatino Linotype" w:hAnsi="Palatino Linotype" w:cs="Palatino Linotype"/>
          <w:i/>
        </w:rPr>
        <w:t>.- Los municipios administrarán libremente su hacienda, la cual se formará de los rendimientos de los bienes que les pertenezcan, así como de las contribuciones y otros ingresos que la ley establezca, y en todo caso:</w:t>
      </w:r>
    </w:p>
    <w:p w14:paraId="6BBF8FEA" w14:textId="77777777" w:rsidR="0036327D" w:rsidRPr="00B2114D" w:rsidRDefault="004B1C23">
      <w:pPr>
        <w:spacing w:before="240" w:after="240" w:line="360" w:lineRule="auto"/>
        <w:ind w:left="720"/>
        <w:jc w:val="both"/>
        <w:rPr>
          <w:rFonts w:ascii="Palatino Linotype" w:eastAsia="Palatino Linotype" w:hAnsi="Palatino Linotype" w:cs="Palatino Linotype"/>
          <w:i/>
        </w:rPr>
      </w:pPr>
      <w:r w:rsidRPr="00B2114D">
        <w:rPr>
          <w:rFonts w:ascii="Palatino Linotype" w:eastAsia="Palatino Linotype" w:hAnsi="Palatino Linotype" w:cs="Palatino Linotype"/>
          <w:i/>
        </w:rPr>
        <w:t>[…]</w:t>
      </w:r>
    </w:p>
    <w:p w14:paraId="2F00FCDE"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rPr>
      </w:pPr>
      <w:r w:rsidRPr="00B2114D">
        <w:rPr>
          <w:rFonts w:ascii="Palatino Linotype" w:eastAsia="Palatino Linotype" w:hAnsi="Palatino Linotype" w:cs="Palatino Linotype"/>
          <w:i/>
        </w:rPr>
        <w:lastRenderedPageBreak/>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La </w:t>
      </w:r>
      <w:proofErr w:type="gramStart"/>
      <w:r w:rsidRPr="00B2114D">
        <w:rPr>
          <w:rFonts w:ascii="Palatino Linotype" w:eastAsia="Palatino Linotype" w:hAnsi="Palatino Linotype" w:cs="Palatino Linotype"/>
          <w:i/>
        </w:rPr>
        <w:t>Presidenta</w:t>
      </w:r>
      <w:proofErr w:type="gramEnd"/>
      <w:r w:rsidRPr="00B2114D">
        <w:rPr>
          <w:rFonts w:ascii="Palatino Linotype" w:eastAsia="Palatino Linotype" w:hAnsi="Palatino Linotype" w:cs="Palatino Linotype"/>
          <w:i/>
        </w:rPr>
        <w:t xml:space="preserve"> o el Presidente Municipal, promulgará y publicará el Presupuesto de Egresos Municipal, a más tardar el día 25 de febrero de cada año debiendo enviarlo al Órgano Superior de Fiscalización en la misma fecha. </w:t>
      </w:r>
    </w:p>
    <w:p w14:paraId="53F1AA09"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rPr>
      </w:pPr>
      <w:r w:rsidRPr="00B2114D">
        <w:rPr>
          <w:rFonts w:ascii="Palatino Linotype" w:eastAsia="Palatino Linotype" w:hAnsi="Palatino Linotype" w:cs="Palatino Linotype"/>
          <w:i/>
        </w:rPr>
        <w:t>El Presupuesto deberá incluir los tabuladores desglosados de las remuneraciones que perciban las y los servidores públicos municipales, sujetándose a lo dispuesto en el artículo 147 de esta Constitución.”</w:t>
      </w:r>
    </w:p>
    <w:p w14:paraId="79150FDB"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El mismo ordenamiento en su artículo 147 párrafo tercero fracción V, refiere: </w:t>
      </w:r>
    </w:p>
    <w:p w14:paraId="380E36AD"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b/>
          <w:i/>
          <w:sz w:val="22"/>
          <w:szCs w:val="22"/>
        </w:rPr>
        <w:t>“Artículo 147.-</w:t>
      </w:r>
      <w:r w:rsidRPr="00B2114D">
        <w:rPr>
          <w:rFonts w:ascii="Palatino Linotype" w:eastAsia="Palatino Linotype" w:hAnsi="Palatino Linotype" w:cs="Palatino Linotype"/>
          <w:i/>
          <w:sz w:val="22"/>
          <w:szCs w:val="22"/>
        </w:rPr>
        <w:t xml:space="preserve"> El Gobernador o Gobernadora, los Diputados o Diputadas, y los Magistrados o Magistradas de los Tribunales Superior de Justicia y de Justicia Administrativa del Estado de México, los miembros del Consejo de la Judicatura, los trabajadores y trabajadoras al servicio del Estado, las y los integrantes, y las y los servidores de los organismos constitucionalmente autónomos, así como los miembros de los ayuntamientos y demás servidores públicos municipales recibirán una retribución adecuada e irrenunciable por el desempeño de su empleo, cargo o comisión, que será determinada en el presupuesto de egresos que corresponda. </w:t>
      </w:r>
    </w:p>
    <w:p w14:paraId="145456E7"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Las remuneraciones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p>
    <w:p w14:paraId="02969D69"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La remuneración será determinada anual y equitativamente en el Presupuesto de Egresos correspondiente bajo las bases siguientes:</w:t>
      </w:r>
    </w:p>
    <w:p w14:paraId="67216F2D" w14:textId="77777777" w:rsidR="0036327D" w:rsidRPr="00B2114D" w:rsidRDefault="004B1C23" w:rsidP="009E6EFB">
      <w:pPr>
        <w:spacing w:before="240" w:after="240" w:line="276" w:lineRule="auto"/>
        <w:ind w:left="720"/>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w:t>
      </w:r>
    </w:p>
    <w:p w14:paraId="08B30DBC"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lastRenderedPageBreak/>
        <w:t xml:space="preserve">V. Las remuneraciones y </w:t>
      </w:r>
      <w:r w:rsidRPr="00B2114D">
        <w:rPr>
          <w:rFonts w:ascii="Palatino Linotype" w:eastAsia="Palatino Linotype" w:hAnsi="Palatino Linotype" w:cs="Palatino Linotype"/>
          <w:b/>
          <w:i/>
          <w:sz w:val="22"/>
          <w:szCs w:val="22"/>
        </w:rPr>
        <w:t>sus tabuladores serán públicos</w:t>
      </w:r>
      <w:r w:rsidRPr="00B2114D">
        <w:rPr>
          <w:rFonts w:ascii="Palatino Linotype" w:eastAsia="Palatino Linotype" w:hAnsi="Palatino Linotype" w:cs="Palatino Linotype"/>
          <w:i/>
          <w:sz w:val="22"/>
          <w:szCs w:val="22"/>
        </w:rPr>
        <w:t>, y deberán especificar y diferenciar la totalidad de sus elementos fijos y variables tanto en efectivo como en especie.”</w:t>
      </w:r>
    </w:p>
    <w:p w14:paraId="58229D7E"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La Ley de Fiscalización Superior del Estado de Méxi</w:t>
      </w:r>
      <w:r w:rsidR="009E6EFB" w:rsidRPr="00B2114D">
        <w:rPr>
          <w:rFonts w:ascii="Palatino Linotype" w:eastAsia="Palatino Linotype" w:hAnsi="Palatino Linotype" w:cs="Palatino Linotype"/>
        </w:rPr>
        <w:t xml:space="preserve">co en el artículo 8 fracciones </w:t>
      </w:r>
      <w:r w:rsidRPr="00B2114D">
        <w:rPr>
          <w:rFonts w:ascii="Palatino Linotype" w:eastAsia="Palatino Linotype" w:hAnsi="Palatino Linotype" w:cs="Palatino Linotype"/>
        </w:rPr>
        <w:t xml:space="preserve">XI, y XXX, confiere al Órgano Superior de Fiscalización las siguientes atribuciones: </w:t>
      </w:r>
    </w:p>
    <w:p w14:paraId="4300CD74" w14:textId="77777777" w:rsidR="009E6EFB" w:rsidRPr="00B2114D" w:rsidRDefault="009E6EFB" w:rsidP="009E6EFB">
      <w:pPr>
        <w:spacing w:before="240" w:after="240" w:line="360" w:lineRule="auto"/>
        <w:ind w:firstLine="851"/>
        <w:jc w:val="both"/>
        <w:rPr>
          <w:rFonts w:ascii="Palatino Linotype" w:eastAsia="Palatino Linotype" w:hAnsi="Palatino Linotype" w:cs="Palatino Linotype"/>
        </w:rPr>
      </w:pPr>
      <w:r w:rsidRPr="00B2114D">
        <w:rPr>
          <w:rFonts w:ascii="Palatino Linotype" w:eastAsia="Palatino Linotype" w:hAnsi="Palatino Linotype" w:cs="Palatino Linotype"/>
        </w:rPr>
        <w:t>…</w:t>
      </w:r>
    </w:p>
    <w:p w14:paraId="10D6BD73" w14:textId="77777777" w:rsidR="0036327D" w:rsidRPr="00B2114D" w:rsidRDefault="009E6EFB"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 </w:t>
      </w:r>
      <w:r w:rsidR="004B1C23" w:rsidRPr="00B2114D">
        <w:rPr>
          <w:rFonts w:ascii="Palatino Linotype" w:eastAsia="Palatino Linotype" w:hAnsi="Palatino Linotype" w:cs="Palatino Linotype"/>
          <w:i/>
          <w:sz w:val="22"/>
          <w:szCs w:val="22"/>
        </w:rPr>
        <w:t xml:space="preserve">XI. 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192EA43F" w14:textId="77777777" w:rsidR="0036327D" w:rsidRPr="00B2114D" w:rsidRDefault="009E6EFB"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 </w:t>
      </w:r>
      <w:r w:rsidR="004B1C23" w:rsidRPr="00B2114D">
        <w:rPr>
          <w:rFonts w:ascii="Palatino Linotype" w:eastAsia="Palatino Linotype" w:hAnsi="Palatino Linotype" w:cs="Palatino Linotype"/>
          <w:i/>
          <w:sz w:val="22"/>
          <w:szCs w:val="22"/>
        </w:rPr>
        <w:t xml:space="preserve">[…] </w:t>
      </w:r>
    </w:p>
    <w:p w14:paraId="2D5FB298"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XXX. Vigilar que las Remuneraciones de los servidores públicos del Estado y Municipios, se ajusten a lo establecido en los catálogos generales de puestos y tabuladores de remuneraciones aprobados por la Legislatura del Estado o por los ayuntamientos respectivos;</w:t>
      </w:r>
    </w:p>
    <w:p w14:paraId="4B53436A"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w:t>
      </w:r>
    </w:p>
    <w:p w14:paraId="544E1D50"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La referida Ley en su artículo 47 indica que: </w:t>
      </w:r>
    </w:p>
    <w:p w14:paraId="53C75DCD" w14:textId="77777777" w:rsidR="0036327D" w:rsidRPr="00B2114D" w:rsidRDefault="004B1C23" w:rsidP="009E6EFB">
      <w:pPr>
        <w:spacing w:before="240" w:after="240" w:line="276" w:lineRule="auto"/>
        <w:ind w:left="851" w:right="616"/>
        <w:jc w:val="both"/>
        <w:rPr>
          <w:rFonts w:ascii="Palatino Linotype" w:eastAsia="Palatino Linotype" w:hAnsi="Palatino Linotype" w:cs="Palatino Linotype"/>
          <w:sz w:val="22"/>
          <w:szCs w:val="22"/>
        </w:rPr>
      </w:pPr>
      <w:r w:rsidRPr="00B2114D">
        <w:rPr>
          <w:rFonts w:ascii="Palatino Linotype" w:eastAsia="Palatino Linotype" w:hAnsi="Palatino Linotype" w:cs="Palatino Linotype"/>
          <w:i/>
          <w:sz w:val="22"/>
          <w:szCs w:val="22"/>
        </w:rPr>
        <w:t xml:space="preserve">“Los </w:t>
      </w:r>
      <w:proofErr w:type="gramStart"/>
      <w:r w:rsidRPr="00B2114D">
        <w:rPr>
          <w:rFonts w:ascii="Palatino Linotype" w:eastAsia="Palatino Linotype" w:hAnsi="Palatino Linotype" w:cs="Palatino Linotype"/>
          <w:i/>
          <w:sz w:val="22"/>
          <w:szCs w:val="22"/>
        </w:rPr>
        <w:t>Presidentes</w:t>
      </w:r>
      <w:proofErr w:type="gramEnd"/>
      <w:r w:rsidRPr="00B2114D">
        <w:rPr>
          <w:rFonts w:ascii="Palatino Linotype" w:eastAsia="Palatino Linotype" w:hAnsi="Palatino Linotype" w:cs="Palatino Linotype"/>
          <w:i/>
          <w:sz w:val="22"/>
          <w:szCs w:val="22"/>
        </w:rPr>
        <w:t xml:space="preserve"> Municipales y los Síndicos estarán obligados a informar al Órgano Superior, a más tardar el 25 de febrero de cada año, el Presupuesto de Egresos Municipal que haya aprobado el Ayuntamiento correspondiente.”</w:t>
      </w:r>
    </w:p>
    <w:p w14:paraId="22667637"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Así mismo, el artículo 351 segundo párrafo del Código Financiero del Estado de México y Municipios dispone que:</w:t>
      </w:r>
    </w:p>
    <w:p w14:paraId="4FD1CF4E" w14:textId="77777777" w:rsidR="0036327D" w:rsidRPr="00B2114D" w:rsidRDefault="004B1C23" w:rsidP="009E6EFB">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 “Los Ayuntamientos al aprobar en forma definitiva su presupuesto de egresos, deberán publicar en la "Gaceta Municipal" de manera clara y entendible, todas y cada </w:t>
      </w:r>
      <w:r w:rsidRPr="00B2114D">
        <w:rPr>
          <w:rFonts w:ascii="Palatino Linotype" w:eastAsia="Palatino Linotype" w:hAnsi="Palatino Linotype" w:cs="Palatino Linotype"/>
          <w:i/>
          <w:sz w:val="22"/>
          <w:szCs w:val="22"/>
        </w:rPr>
        <w:lastRenderedPageBreak/>
        <w:t>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w:t>
      </w:r>
    </w:p>
    <w:p w14:paraId="3F0ACD6F"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Ahora bien, cabe señalar, que el tabulador de sueldos, es el documento que se confecciona conforme al MANUAL PARA LA PLANEACIÓN, PROGRAMACIÓN Y PRESUPUESTO DE EGRESOS MUNICIPAL PARA EL EJERCICIO FISCAL 2022 y los LINEAMIENTOS PARA LA ENTREGA DEL PRESUPUESTO DE EGRESOS MUNICPAL 2022, los cuales señalan que debe contener los puestos funcionales existentes y programados en la administración pública municipal para el ejercicio fiscal presupuestado; así como de cada puesto funcional, el nivel salarial; el número de plazas, la categoría (confianza, sindicalizado o eventual); las percepciones como pueden ser dietas, sueldo base, compensación  gratificación y otras percepciones, así como aguinaldo y prima vacacional presupuestado para cada puesto.</w:t>
      </w:r>
    </w:p>
    <w:p w14:paraId="1C77FCF5"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El referido manual señala en su numeral 3.2.3 lo siguiente:</w:t>
      </w:r>
    </w:p>
    <w:p w14:paraId="4230107B" w14:textId="77777777" w:rsidR="0036327D" w:rsidRPr="00B2114D" w:rsidRDefault="004B1C23">
      <w:pPr>
        <w:spacing w:before="240" w:after="240" w:line="360" w:lineRule="auto"/>
        <w:ind w:firstLine="720"/>
        <w:jc w:val="both"/>
        <w:rPr>
          <w:rFonts w:ascii="Palatino Linotype" w:eastAsia="Palatino Linotype" w:hAnsi="Palatino Linotype" w:cs="Palatino Linotype"/>
          <w:b/>
          <w:i/>
        </w:rPr>
      </w:pPr>
      <w:r w:rsidRPr="00B2114D">
        <w:rPr>
          <w:rFonts w:ascii="Palatino Linotype" w:eastAsia="Palatino Linotype" w:hAnsi="Palatino Linotype" w:cs="Palatino Linotype"/>
          <w:b/>
          <w:i/>
        </w:rPr>
        <w:t>“3.2.3. Lineamientos para la determinación del Presupuesto de Gasto Corriente.</w:t>
      </w:r>
    </w:p>
    <w:p w14:paraId="48F5117B" w14:textId="77777777" w:rsidR="0036327D" w:rsidRPr="00B2114D" w:rsidRDefault="004B1C23" w:rsidP="00EE78DE">
      <w:pPr>
        <w:spacing w:before="240" w:after="240" w:line="276" w:lineRule="auto"/>
        <w:ind w:left="720" w:right="616"/>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 xml:space="preserve">La propuesta de presupuesto deberá integrarse en los formatos PbRM-03 al PbRM-07 en todas sus series, para ello, es necesario tener la plantilla de personal autorizada que incluya el desglose sobre el total de percepciones ordinarias y extraordinarias, un estudio actuarial de las pensiones de sus trabajadores, una propuesta de insumos y requerimientos a nivel de cada una de las Dependencias Generales, Auxiliares y Organismos Municipales, así como los catálogos y anexos que se presentan en este manual. De forma específica, las Dependencias y Organismos Municipales en su </w:t>
      </w:r>
      <w:r w:rsidRPr="00B2114D">
        <w:rPr>
          <w:rFonts w:ascii="Palatino Linotype" w:eastAsia="Palatino Linotype" w:hAnsi="Palatino Linotype" w:cs="Palatino Linotype"/>
          <w:i/>
          <w:sz w:val="22"/>
          <w:szCs w:val="22"/>
        </w:rPr>
        <w:lastRenderedPageBreak/>
        <w:t>Anteproyecto de Presupuesto de Egresos integrarán además de los formatos PbRM-01a al 01e y el formato PbRM04a “Presupuesto de Egresos Detallado”.</w:t>
      </w:r>
    </w:p>
    <w:p w14:paraId="7CAC6A81" w14:textId="77777777" w:rsidR="0036327D" w:rsidRPr="00B2114D" w:rsidRDefault="004B1C23" w:rsidP="00EE78DE">
      <w:pPr>
        <w:spacing w:before="240" w:after="240" w:line="276" w:lineRule="auto"/>
        <w:ind w:left="720" w:right="616"/>
        <w:jc w:val="both"/>
        <w:rPr>
          <w:rFonts w:ascii="Palatino Linotype" w:eastAsia="Palatino Linotype" w:hAnsi="Palatino Linotype" w:cs="Palatino Linotype"/>
          <w:b/>
          <w:i/>
          <w:sz w:val="22"/>
          <w:szCs w:val="22"/>
        </w:rPr>
      </w:pPr>
      <w:r w:rsidRPr="00B2114D">
        <w:rPr>
          <w:rFonts w:ascii="Palatino Linotype" w:eastAsia="Palatino Linotype" w:hAnsi="Palatino Linotype" w:cs="Palatino Linotype"/>
          <w:i/>
          <w:sz w:val="22"/>
          <w:szCs w:val="22"/>
        </w:rPr>
        <w:t xml:space="preserve">Para la asignación de los recursos del Capítulo 1000 “Servicios Personales”, es necesario identificar el costo de la plantilla de personal actual y estimar montos para cumplir con posibles compromisos laborales que respondan a la firma de convenios, así como a los recursos que se comuniquen como asignaciones presupuestarias para este capítulo, </w:t>
      </w:r>
      <w:r w:rsidRPr="00B2114D">
        <w:rPr>
          <w:rFonts w:ascii="Palatino Linotype" w:eastAsia="Palatino Linotype" w:hAnsi="Palatino Linotype" w:cs="Palatino Linotype"/>
          <w:b/>
          <w:i/>
          <w:sz w:val="22"/>
          <w:szCs w:val="22"/>
        </w:rPr>
        <w:t>por lo que es necesario incluir el tabulador salarial que incluya el total de percepciones ordinarias y extraordinarias.</w:t>
      </w:r>
    </w:p>
    <w:p w14:paraId="7D7EDA5C" w14:textId="77777777" w:rsidR="0036327D" w:rsidRPr="00B2114D" w:rsidRDefault="004B1C23">
      <w:pPr>
        <w:spacing w:before="240" w:after="240" w:line="360" w:lineRule="auto"/>
        <w:ind w:left="720"/>
        <w:jc w:val="both"/>
        <w:rPr>
          <w:rFonts w:ascii="Palatino Linotype" w:eastAsia="Palatino Linotype" w:hAnsi="Palatino Linotype" w:cs="Palatino Linotype"/>
          <w:b/>
          <w:i/>
        </w:rPr>
      </w:pPr>
      <w:r w:rsidRPr="00B2114D">
        <w:rPr>
          <w:rFonts w:ascii="Palatino Linotype" w:eastAsia="Palatino Linotype" w:hAnsi="Palatino Linotype" w:cs="Palatino Linotype"/>
          <w:i/>
        </w:rPr>
        <w:t>…”</w:t>
      </w:r>
    </w:p>
    <w:p w14:paraId="068BF33C"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En el mismo ordenamiento se observa que el tabulador de sueldos obra en el </w:t>
      </w:r>
      <w:r w:rsidRPr="00B2114D">
        <w:rPr>
          <w:rFonts w:ascii="Palatino Linotype" w:eastAsia="Palatino Linotype" w:hAnsi="Palatino Linotype" w:cs="Palatino Linotype"/>
          <w:b/>
        </w:rPr>
        <w:t>formato PbRM-05,</w:t>
      </w:r>
      <w:r w:rsidRPr="00B2114D">
        <w:rPr>
          <w:rFonts w:ascii="Palatino Linotype" w:eastAsia="Palatino Linotype" w:hAnsi="Palatino Linotype" w:cs="Palatino Linotype"/>
        </w:rPr>
        <w:t xml:space="preserve"> y se trata de información vinculada al Proyecto de Presupuesto de Egresos, como a continuación se ilustra:</w:t>
      </w:r>
      <w:r w:rsidRPr="00B2114D">
        <w:rPr>
          <w:noProof/>
          <w:lang w:val="es-MX" w:eastAsia="es-MX"/>
        </w:rPr>
        <mc:AlternateContent>
          <mc:Choice Requires="wpg">
            <w:drawing>
              <wp:anchor distT="0" distB="0" distL="114300" distR="114300" simplePos="0" relativeHeight="251661312" behindDoc="0" locked="0" layoutInCell="1" hidden="0" allowOverlap="1" wp14:anchorId="3021663B" wp14:editId="0C5BA5F3">
                <wp:simplePos x="0" y="0"/>
                <wp:positionH relativeFrom="column">
                  <wp:posOffset>1</wp:posOffset>
                </wp:positionH>
                <wp:positionV relativeFrom="paragraph">
                  <wp:posOffset>850900</wp:posOffset>
                </wp:positionV>
                <wp:extent cx="5549900" cy="2130425"/>
                <wp:effectExtent l="0" t="0" r="0" b="0"/>
                <wp:wrapNone/>
                <wp:docPr id="51" name="Conector recto de flecha 51"/>
                <wp:cNvGraphicFramePr/>
                <a:graphic xmlns:a="http://schemas.openxmlformats.org/drawingml/2006/main">
                  <a:graphicData uri="http://schemas.microsoft.com/office/word/2010/wordprocessingShape">
                    <wps:wsp>
                      <wps:cNvCnPr/>
                      <wps:spPr>
                        <a:xfrm>
                          <a:off x="2583750" y="2727488"/>
                          <a:ext cx="5524500" cy="2105025"/>
                        </a:xfrm>
                        <a:prstGeom prst="straightConnector1">
                          <a:avLst/>
                        </a:prstGeom>
                        <a:noFill/>
                        <a:ln w="254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850900</wp:posOffset>
                </wp:positionV>
                <wp:extent cx="5549900" cy="2130425"/>
                <wp:effectExtent b="0" l="0" r="0" t="0"/>
                <wp:wrapNone/>
                <wp:docPr id="51"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5549900" cy="2130425"/>
                        </a:xfrm>
                        <a:prstGeom prst="rect"/>
                        <a:ln/>
                      </pic:spPr>
                    </pic:pic>
                  </a:graphicData>
                </a:graphic>
              </wp:anchor>
            </w:drawing>
          </mc:Fallback>
        </mc:AlternateContent>
      </w:r>
    </w:p>
    <w:p w14:paraId="41FF095B" w14:textId="77777777" w:rsidR="0036327D" w:rsidRPr="00B2114D" w:rsidRDefault="0036327D">
      <w:pPr>
        <w:spacing w:line="360" w:lineRule="auto"/>
        <w:jc w:val="both"/>
        <w:rPr>
          <w:rFonts w:ascii="Palatino Linotype" w:eastAsia="Palatino Linotype" w:hAnsi="Palatino Linotype" w:cs="Palatino Linotype"/>
        </w:rPr>
      </w:pPr>
    </w:p>
    <w:p w14:paraId="7016C99D"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noProof/>
          <w:lang w:val="es-MX" w:eastAsia="es-MX"/>
        </w:rPr>
        <w:lastRenderedPageBreak/>
        <w:drawing>
          <wp:inline distT="0" distB="0" distL="0" distR="0" wp14:anchorId="32FA1DD1" wp14:editId="405699CA">
            <wp:extent cx="5544694" cy="3580948"/>
            <wp:effectExtent l="0" t="0" r="0" b="0"/>
            <wp:docPr id="64" name="image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10;&#10;Descripción generada automáticamente"/>
                    <pic:cNvPicPr preferRelativeResize="0"/>
                  </pic:nvPicPr>
                  <pic:blipFill>
                    <a:blip r:embed="rId20"/>
                    <a:srcRect l="55772" t="32589" r="6619" b="24229"/>
                    <a:stretch>
                      <a:fillRect/>
                    </a:stretch>
                  </pic:blipFill>
                  <pic:spPr>
                    <a:xfrm>
                      <a:off x="0" y="0"/>
                      <a:ext cx="5544694" cy="3580948"/>
                    </a:xfrm>
                    <a:prstGeom prst="rect">
                      <a:avLst/>
                    </a:prstGeom>
                    <a:ln/>
                  </pic:spPr>
                </pic:pic>
              </a:graphicData>
            </a:graphic>
          </wp:inline>
        </w:drawing>
      </w:r>
    </w:p>
    <w:p w14:paraId="354178E8"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Asimismo, el citado Manual estipula que para la presentación al Órgano Superior de Fiscalización del Estado de México (OSFEM), el Presupuesto de Egresos Municipal deberá contener la información siguiente:</w:t>
      </w:r>
    </w:p>
    <w:p w14:paraId="2BC83346"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noProof/>
          <w:lang w:val="es-MX" w:eastAsia="es-MX"/>
        </w:rPr>
        <mc:AlternateContent>
          <mc:Choice Requires="wpg">
            <w:drawing>
              <wp:anchor distT="0" distB="0" distL="114300" distR="114300" simplePos="0" relativeHeight="251662336" behindDoc="0" locked="0" layoutInCell="1" hidden="0" allowOverlap="1" wp14:anchorId="5556C36E" wp14:editId="7C94461F">
                <wp:simplePos x="0" y="0"/>
                <wp:positionH relativeFrom="column">
                  <wp:posOffset>-12699</wp:posOffset>
                </wp:positionH>
                <wp:positionV relativeFrom="paragraph">
                  <wp:posOffset>-12699</wp:posOffset>
                </wp:positionV>
                <wp:extent cx="5549900" cy="2130425"/>
                <wp:effectExtent l="0" t="0" r="0" b="0"/>
                <wp:wrapNone/>
                <wp:docPr id="50" name="Conector recto de flecha 50"/>
                <wp:cNvGraphicFramePr/>
                <a:graphic xmlns:a="http://schemas.openxmlformats.org/drawingml/2006/main">
                  <a:graphicData uri="http://schemas.microsoft.com/office/word/2010/wordprocessingShape">
                    <wps:wsp>
                      <wps:cNvCnPr/>
                      <wps:spPr>
                        <a:xfrm>
                          <a:off x="2583750" y="2727488"/>
                          <a:ext cx="5524500" cy="2105025"/>
                        </a:xfrm>
                        <a:prstGeom prst="straightConnector1">
                          <a:avLst/>
                        </a:prstGeom>
                        <a:noFill/>
                        <a:ln w="254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5549900" cy="2130425"/>
                <wp:effectExtent b="0" l="0" r="0" t="0"/>
                <wp:wrapNone/>
                <wp:docPr id="50"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5549900" cy="2130425"/>
                        </a:xfrm>
                        <a:prstGeom prst="rect"/>
                        <a:ln/>
                      </pic:spPr>
                    </pic:pic>
                  </a:graphicData>
                </a:graphic>
              </wp:anchor>
            </w:drawing>
          </mc:Fallback>
        </mc:AlternateContent>
      </w:r>
    </w:p>
    <w:p w14:paraId="3A63D9D9"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lastRenderedPageBreak/>
        <w:t xml:space="preserve"> </w:t>
      </w:r>
      <w:r w:rsidRPr="00B2114D">
        <w:rPr>
          <w:rFonts w:ascii="Palatino Linotype" w:eastAsia="Palatino Linotype" w:hAnsi="Palatino Linotype" w:cs="Palatino Linotype"/>
          <w:noProof/>
          <w:lang w:val="es-MX" w:eastAsia="es-MX"/>
        </w:rPr>
        <w:drawing>
          <wp:inline distT="0" distB="0" distL="0" distR="0" wp14:anchorId="5F531A6E" wp14:editId="1229E1E1">
            <wp:extent cx="5497751" cy="6394870"/>
            <wp:effectExtent l="0" t="0" r="0" b="0"/>
            <wp:docPr id="67" name="image10.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Texto, Aplicación, Word&#10;&#10;Descripción generada automáticamente"/>
                    <pic:cNvPicPr preferRelativeResize="0"/>
                  </pic:nvPicPr>
                  <pic:blipFill>
                    <a:blip r:embed="rId22"/>
                    <a:srcRect l="55772" t="17827" r="6775" b="4724"/>
                    <a:stretch>
                      <a:fillRect/>
                    </a:stretch>
                  </pic:blipFill>
                  <pic:spPr>
                    <a:xfrm>
                      <a:off x="0" y="0"/>
                      <a:ext cx="5497751" cy="6394870"/>
                    </a:xfrm>
                    <a:prstGeom prst="rect">
                      <a:avLst/>
                    </a:prstGeom>
                    <a:ln/>
                  </pic:spPr>
                </pic:pic>
              </a:graphicData>
            </a:graphic>
          </wp:inline>
        </w:drawing>
      </w:r>
    </w:p>
    <w:p w14:paraId="23A9365F"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 xml:space="preserve">Por su parte Lineamientos para la integración y entrega del Informe Trimestral Municipal 2022 emitidos por el OSFEM, en la página 17 establece la Matriz de </w:t>
      </w:r>
      <w:r w:rsidRPr="00B2114D">
        <w:rPr>
          <w:rFonts w:ascii="Palatino Linotype" w:eastAsia="Palatino Linotype" w:hAnsi="Palatino Linotype" w:cs="Palatino Linotype"/>
        </w:rPr>
        <w:lastRenderedPageBreak/>
        <w:t xml:space="preserve">documentos, firmas y archivos de los Organismos Descentralizados, que deberá ser entregado dentro del Disco correspondiente al </w:t>
      </w:r>
      <w:r w:rsidRPr="00B2114D">
        <w:rPr>
          <w:rFonts w:ascii="Palatino Linotype" w:eastAsia="Palatino Linotype" w:hAnsi="Palatino Linotype" w:cs="Palatino Linotype"/>
          <w:b/>
        </w:rPr>
        <w:t>Módulo 4</w:t>
      </w:r>
      <w:r w:rsidRPr="00B2114D">
        <w:rPr>
          <w:rFonts w:ascii="Palatino Linotype" w:eastAsia="Palatino Linotype" w:hAnsi="Palatino Linotype" w:cs="Palatino Linotype"/>
        </w:rPr>
        <w:t xml:space="preserve">, submódulo </w:t>
      </w:r>
      <w:r w:rsidRPr="00B2114D">
        <w:rPr>
          <w:rFonts w:ascii="Palatino Linotype" w:eastAsia="Palatino Linotype" w:hAnsi="Palatino Linotype" w:cs="Palatino Linotype"/>
          <w:b/>
        </w:rPr>
        <w:t>Nomina y Comprobantes Fiscales</w:t>
      </w:r>
      <w:r w:rsidRPr="00B2114D">
        <w:rPr>
          <w:rFonts w:ascii="Palatino Linotype" w:eastAsia="Palatino Linotype" w:hAnsi="Palatino Linotype" w:cs="Palatino Linotype"/>
        </w:rPr>
        <w:t>, el documento número 10 denominado “Tabulador de sueldos”, tal como se observa en la imagen:</w:t>
      </w:r>
    </w:p>
    <w:p w14:paraId="2D979A80" w14:textId="77777777" w:rsidR="0036327D" w:rsidRPr="00B2114D" w:rsidRDefault="0036327D">
      <w:pPr>
        <w:spacing w:before="240" w:after="240" w:line="360" w:lineRule="auto"/>
        <w:jc w:val="both"/>
        <w:rPr>
          <w:rFonts w:ascii="Palatino Linotype" w:eastAsia="Palatino Linotype" w:hAnsi="Palatino Linotype" w:cs="Palatino Linotype"/>
        </w:rPr>
      </w:pPr>
    </w:p>
    <w:p w14:paraId="2C0EFEFC"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noProof/>
          <w:lang w:val="es-MX" w:eastAsia="es-MX"/>
        </w:rPr>
        <w:drawing>
          <wp:inline distT="0" distB="0" distL="0" distR="0" wp14:anchorId="6BCB2823" wp14:editId="6BCFB7C7">
            <wp:extent cx="5471285" cy="3855605"/>
            <wp:effectExtent l="0" t="0" r="0" b="0"/>
            <wp:docPr id="66" name="image14.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Aplicación, Word&#10;&#10;Descripción generada automáticamente"/>
                    <pic:cNvPicPr preferRelativeResize="0"/>
                  </pic:nvPicPr>
                  <pic:blipFill>
                    <a:blip r:embed="rId23"/>
                    <a:srcRect l="50915" t="16155" r="2385" b="25337"/>
                    <a:stretch>
                      <a:fillRect/>
                    </a:stretch>
                  </pic:blipFill>
                  <pic:spPr>
                    <a:xfrm>
                      <a:off x="0" y="0"/>
                      <a:ext cx="5471285" cy="3855605"/>
                    </a:xfrm>
                    <a:prstGeom prst="rect">
                      <a:avLst/>
                    </a:prstGeom>
                    <a:ln/>
                  </pic:spPr>
                </pic:pic>
              </a:graphicData>
            </a:graphic>
          </wp:inline>
        </w:drawing>
      </w:r>
    </w:p>
    <w:p w14:paraId="5658E542" w14:textId="77777777" w:rsidR="0036327D" w:rsidRPr="00B2114D" w:rsidRDefault="0036327D" w:rsidP="00A136A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5FFB68" w14:textId="77777777" w:rsidR="007E613E" w:rsidRPr="00B2114D" w:rsidRDefault="007E613E" w:rsidP="007E613E">
      <w:pPr>
        <w:spacing w:after="160"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color w:val="000000"/>
        </w:rPr>
        <w:t xml:space="preserve">Asimismo, </w:t>
      </w:r>
      <w:r w:rsidRPr="00B2114D">
        <w:rPr>
          <w:rFonts w:ascii="Palatino Linotype" w:eastAsia="Palatino Linotype" w:hAnsi="Palatino Linotype" w:cs="Palatino Linotype"/>
          <w:lang w:val="es-MX"/>
        </w:rPr>
        <w:t xml:space="preserve">De la imagen antes referida, Submódulo Nómina contiene el documento denominado </w:t>
      </w:r>
      <w:r w:rsidRPr="00B2114D">
        <w:rPr>
          <w:rFonts w:ascii="Palatino Linotype" w:eastAsia="Palatino Linotype" w:hAnsi="Palatino Linotype" w:cs="Palatino Linotype"/>
          <w:u w:val="single"/>
          <w:lang w:val="es-MX"/>
        </w:rPr>
        <w:t>Conciliación de Nómina Mensual,</w:t>
      </w:r>
      <w:r w:rsidRPr="00B2114D">
        <w:rPr>
          <w:rFonts w:ascii="Palatino Linotype" w:eastAsia="Palatino Linotype" w:hAnsi="Palatino Linotype" w:cs="Palatino Linotype"/>
          <w:lang w:val="es-MX"/>
        </w:rPr>
        <w:t xml:space="preserve"> el cual sería el documento que colmaría lo referente al </w:t>
      </w:r>
      <w:r w:rsidRPr="00B2114D">
        <w:rPr>
          <w:rFonts w:ascii="Palatino Linotype" w:eastAsia="Palatino Linotype" w:hAnsi="Palatino Linotype" w:cs="Palatino Linotype"/>
          <w:color w:val="000000"/>
          <w:lang w:val="es-MX"/>
        </w:rPr>
        <w:t>monto de las percepciones mensuales</w:t>
      </w:r>
      <w:r w:rsidRPr="00B2114D">
        <w:rPr>
          <w:rFonts w:ascii="Palatino Linotype" w:eastAsia="Palatino Linotype" w:hAnsi="Palatino Linotype" w:cs="Palatino Linotype"/>
          <w:lang w:val="es-MX"/>
        </w:rPr>
        <w:t xml:space="preserve">, toda vez que contiene </w:t>
      </w:r>
      <w:r w:rsidRPr="00B2114D">
        <w:rPr>
          <w:rFonts w:ascii="Palatino Linotype" w:eastAsia="Palatino Linotype" w:hAnsi="Palatino Linotype" w:cs="Palatino Linotype"/>
          <w:lang w:val="es-MX"/>
        </w:rPr>
        <w:lastRenderedPageBreak/>
        <w:t>de manera detallada las percepciones de los servidores públicos como se muestra a continuación:</w:t>
      </w:r>
    </w:p>
    <w:p w14:paraId="1C3C83E0" w14:textId="77777777" w:rsidR="007E613E" w:rsidRPr="00B2114D" w:rsidRDefault="007E613E" w:rsidP="007E613E">
      <w:pPr>
        <w:spacing w:after="160" w:line="360" w:lineRule="auto"/>
        <w:jc w:val="both"/>
        <w:rPr>
          <w:rFonts w:ascii="Palatino Linotype" w:eastAsia="Palatino Linotype" w:hAnsi="Palatino Linotype" w:cs="Palatino Linotype"/>
          <w:sz w:val="22"/>
          <w:szCs w:val="22"/>
          <w:lang w:val="es-MX"/>
        </w:rPr>
      </w:pPr>
    </w:p>
    <w:p w14:paraId="589BD99A" w14:textId="77777777" w:rsidR="007E613E" w:rsidRPr="00B2114D" w:rsidRDefault="007E613E" w:rsidP="007E613E">
      <w:pPr>
        <w:spacing w:after="160" w:line="360" w:lineRule="auto"/>
        <w:jc w:val="center"/>
        <w:rPr>
          <w:rFonts w:ascii="Calibri" w:eastAsia="Calibri" w:hAnsi="Calibri" w:cs="Calibri"/>
          <w:sz w:val="22"/>
          <w:szCs w:val="22"/>
          <w:lang w:val="es-MX"/>
        </w:rPr>
      </w:pPr>
      <w:r w:rsidRPr="00B2114D">
        <w:rPr>
          <w:rFonts w:ascii="Calibri" w:eastAsia="Calibri" w:hAnsi="Calibri" w:cs="Calibri"/>
          <w:sz w:val="22"/>
          <w:szCs w:val="22"/>
          <w:lang w:val="es-MX"/>
        </w:rPr>
        <w:t xml:space="preserve"> </w:t>
      </w:r>
      <w:r w:rsidRPr="00B2114D">
        <w:rPr>
          <w:rFonts w:ascii="Calibri" w:eastAsia="Calibri" w:hAnsi="Calibri" w:cs="Calibri"/>
          <w:noProof/>
          <w:sz w:val="22"/>
          <w:szCs w:val="22"/>
          <w:lang w:val="es-MX" w:eastAsia="es-MX"/>
        </w:rPr>
        <w:drawing>
          <wp:inline distT="0" distB="0" distL="0" distR="0" wp14:anchorId="1ACA513F" wp14:editId="5E9B8C6A">
            <wp:extent cx="5536458" cy="3148716"/>
            <wp:effectExtent l="0" t="0" r="762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22016" t="21238" r="22858" b="33554"/>
                    <a:stretch>
                      <a:fillRect/>
                    </a:stretch>
                  </pic:blipFill>
                  <pic:spPr>
                    <a:xfrm>
                      <a:off x="0" y="0"/>
                      <a:ext cx="5546075" cy="3154186"/>
                    </a:xfrm>
                    <a:prstGeom prst="rect">
                      <a:avLst/>
                    </a:prstGeom>
                    <a:ln/>
                  </pic:spPr>
                </pic:pic>
              </a:graphicData>
            </a:graphic>
          </wp:inline>
        </w:drawing>
      </w:r>
    </w:p>
    <w:p w14:paraId="6DF7CFBF" w14:textId="77777777" w:rsidR="007E613E" w:rsidRPr="00B2114D" w:rsidRDefault="007E613E" w:rsidP="007E613E">
      <w:pPr>
        <w:spacing w:after="160" w:line="360" w:lineRule="auto"/>
        <w:jc w:val="center"/>
        <w:rPr>
          <w:rFonts w:ascii="Calibri" w:eastAsia="Calibri" w:hAnsi="Calibri" w:cs="Calibri"/>
          <w:sz w:val="22"/>
          <w:szCs w:val="22"/>
          <w:lang w:val="es-MX"/>
        </w:rPr>
      </w:pPr>
      <w:r w:rsidRPr="00B2114D">
        <w:rPr>
          <w:rFonts w:ascii="Calibri" w:eastAsia="Calibri" w:hAnsi="Calibri" w:cs="Calibri"/>
          <w:noProof/>
          <w:sz w:val="22"/>
          <w:szCs w:val="22"/>
          <w:lang w:val="es-MX" w:eastAsia="es-MX"/>
        </w:rPr>
        <w:lastRenderedPageBreak/>
        <w:drawing>
          <wp:inline distT="0" distB="0" distL="0" distR="0" wp14:anchorId="1066B6FF" wp14:editId="4F870B1C">
            <wp:extent cx="5358860" cy="6902937"/>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34816" t="24272" r="34975" b="6553"/>
                    <a:stretch>
                      <a:fillRect/>
                    </a:stretch>
                  </pic:blipFill>
                  <pic:spPr>
                    <a:xfrm>
                      <a:off x="0" y="0"/>
                      <a:ext cx="5358860" cy="6902937"/>
                    </a:xfrm>
                    <a:prstGeom prst="rect">
                      <a:avLst/>
                    </a:prstGeom>
                    <a:ln/>
                  </pic:spPr>
                </pic:pic>
              </a:graphicData>
            </a:graphic>
          </wp:inline>
        </w:drawing>
      </w:r>
    </w:p>
    <w:p w14:paraId="56E9B451" w14:textId="77777777" w:rsidR="007E613E" w:rsidRPr="00B2114D" w:rsidRDefault="007E613E" w:rsidP="007E613E">
      <w:pPr>
        <w:spacing w:after="160" w:line="360" w:lineRule="auto"/>
        <w:jc w:val="center"/>
        <w:rPr>
          <w:rFonts w:ascii="Calibri" w:eastAsia="Calibri" w:hAnsi="Calibri" w:cs="Calibri"/>
          <w:sz w:val="22"/>
          <w:szCs w:val="22"/>
          <w:lang w:val="es-MX"/>
        </w:rPr>
      </w:pPr>
    </w:p>
    <w:p w14:paraId="5EB770D9" w14:textId="77777777" w:rsidR="007E613E" w:rsidRPr="00B2114D" w:rsidRDefault="007E613E" w:rsidP="007E613E">
      <w:pPr>
        <w:spacing w:after="160" w:line="360" w:lineRule="auto"/>
        <w:jc w:val="center"/>
        <w:rPr>
          <w:rFonts w:ascii="Calibri" w:eastAsia="Calibri" w:hAnsi="Calibri" w:cs="Calibri"/>
          <w:sz w:val="22"/>
          <w:szCs w:val="22"/>
          <w:lang w:val="es-MX"/>
        </w:rPr>
      </w:pPr>
    </w:p>
    <w:p w14:paraId="3E71247A" w14:textId="77777777" w:rsidR="00A136A1" w:rsidRPr="00B2114D" w:rsidRDefault="007E613E">
      <w:pPr>
        <w:spacing w:line="360" w:lineRule="auto"/>
        <w:jc w:val="both"/>
        <w:rPr>
          <w:rFonts w:ascii="Palatino Linotype" w:eastAsia="Palatino Linotype" w:hAnsi="Palatino Linotype" w:cs="Palatino Linotype"/>
          <w:color w:val="000000"/>
        </w:rPr>
      </w:pPr>
      <w:r w:rsidRPr="00B2114D">
        <w:rPr>
          <w:rFonts w:ascii="Calibri" w:eastAsia="Calibri" w:hAnsi="Calibri" w:cs="Calibri"/>
          <w:noProof/>
          <w:sz w:val="22"/>
          <w:szCs w:val="22"/>
          <w:lang w:val="es-MX" w:eastAsia="es-MX"/>
        </w:rPr>
        <w:drawing>
          <wp:inline distT="0" distB="0" distL="0" distR="0" wp14:anchorId="0AC20D0A" wp14:editId="517AE045">
            <wp:extent cx="5629524" cy="3577590"/>
            <wp:effectExtent l="0" t="0" r="9525" b="381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l="34816" t="38531" r="35829" b="18080"/>
                    <a:stretch>
                      <a:fillRect/>
                    </a:stretch>
                  </pic:blipFill>
                  <pic:spPr>
                    <a:xfrm>
                      <a:off x="0" y="0"/>
                      <a:ext cx="5632271" cy="3579336"/>
                    </a:xfrm>
                    <a:prstGeom prst="rect">
                      <a:avLst/>
                    </a:prstGeom>
                    <a:ln/>
                  </pic:spPr>
                </pic:pic>
              </a:graphicData>
            </a:graphic>
          </wp:inline>
        </w:drawing>
      </w:r>
    </w:p>
    <w:p w14:paraId="15912886" w14:textId="77777777" w:rsidR="007E613E" w:rsidRPr="00B2114D" w:rsidRDefault="007E613E">
      <w:pPr>
        <w:spacing w:line="360" w:lineRule="auto"/>
        <w:jc w:val="both"/>
        <w:rPr>
          <w:rFonts w:ascii="Palatino Linotype" w:eastAsia="Palatino Linotype" w:hAnsi="Palatino Linotype" w:cs="Palatino Linotype"/>
          <w:color w:val="000000"/>
        </w:rPr>
      </w:pPr>
    </w:p>
    <w:p w14:paraId="7CCC6C1A" w14:textId="77777777" w:rsidR="007E613E" w:rsidRPr="00B2114D" w:rsidRDefault="007E613E">
      <w:pPr>
        <w:spacing w:line="360" w:lineRule="auto"/>
        <w:jc w:val="both"/>
        <w:rPr>
          <w:rFonts w:ascii="Palatino Linotype" w:eastAsia="Palatino Linotype" w:hAnsi="Palatino Linotype" w:cs="Palatino Linotype"/>
          <w:color w:val="000000"/>
        </w:rPr>
      </w:pPr>
      <w:r w:rsidRPr="00B2114D">
        <w:rPr>
          <w:rFonts w:ascii="Palatino Linotype" w:eastAsia="Palatino Linotype" w:hAnsi="Palatino Linotype" w:cs="Palatino Linotype"/>
          <w:color w:val="000000"/>
        </w:rPr>
        <w:t xml:space="preserve">Por lo tanto, lo documentos que de manera enunciativa mas no limitativa atenderían el requerimiento del Particular, es el Tabulador de Sueldos o la Conciliación de nómina; documentos en los que se puede advertir el </w:t>
      </w:r>
      <w:r w:rsidRPr="00B2114D">
        <w:rPr>
          <w:rFonts w:ascii="Palatino Linotype" w:eastAsia="Palatino Linotype" w:hAnsi="Palatino Linotype" w:cs="Palatino Linotype"/>
          <w:b/>
          <w:color w:val="000000"/>
          <w:u w:val="single"/>
        </w:rPr>
        <w:t>sueldo base y neto</w:t>
      </w:r>
      <w:r w:rsidRPr="00B2114D">
        <w:rPr>
          <w:rFonts w:ascii="Palatino Linotype" w:eastAsia="Palatino Linotype" w:hAnsi="Palatino Linotype" w:cs="Palatino Linotype"/>
          <w:color w:val="000000"/>
        </w:rPr>
        <w:t xml:space="preserve"> de cada uno de los servidores públicos adscritos al Sujeto Obligado. </w:t>
      </w:r>
    </w:p>
    <w:p w14:paraId="495C0FF7" w14:textId="77777777" w:rsidR="007E613E" w:rsidRPr="00B2114D" w:rsidRDefault="007E613E">
      <w:pPr>
        <w:spacing w:line="360" w:lineRule="auto"/>
        <w:jc w:val="both"/>
        <w:rPr>
          <w:rFonts w:ascii="Palatino Linotype" w:eastAsia="Palatino Linotype" w:hAnsi="Palatino Linotype" w:cs="Palatino Linotype"/>
          <w:color w:val="000000"/>
        </w:rPr>
      </w:pPr>
    </w:p>
    <w:p w14:paraId="6BDD4D92" w14:textId="77777777" w:rsidR="0036327D" w:rsidRPr="00B2114D" w:rsidRDefault="004B1C23">
      <w:pPr>
        <w:spacing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color w:val="000000"/>
        </w:rPr>
        <w:t xml:space="preserve">Por lo anteriormente expuesto, </w:t>
      </w:r>
      <w:r w:rsidRPr="00B2114D">
        <w:rPr>
          <w:rFonts w:ascii="Palatino Linotype" w:eastAsia="Palatino Linotype" w:hAnsi="Palatino Linotype" w:cs="Palatino Linotype"/>
          <w:b/>
          <w:color w:val="000000"/>
        </w:rPr>
        <w:t xml:space="preserve">la información requerida es generada, poseída y administrada por el SUJETO OBLIGADO, </w:t>
      </w:r>
      <w:r w:rsidRPr="00B2114D">
        <w:rPr>
          <w:rFonts w:ascii="Palatino Linotype" w:eastAsia="Palatino Linotype" w:hAnsi="Palatino Linotype" w:cs="Palatino Linotype"/>
          <w:color w:val="000000"/>
        </w:rPr>
        <w:t>en virtud de ello,</w:t>
      </w:r>
      <w:r w:rsidR="00EE78DE" w:rsidRPr="00B2114D">
        <w:rPr>
          <w:rFonts w:ascii="Palatino Linotype" w:eastAsia="Palatino Linotype" w:hAnsi="Palatino Linotype" w:cs="Palatino Linotype"/>
          <w:color w:val="000000"/>
        </w:rPr>
        <w:t xml:space="preserve"> el Pleno de este Instituto determina fundadas las razones o motivos de inconformidad manifestados por el</w:t>
      </w:r>
      <w:r w:rsidR="00EE78DE" w:rsidRPr="00B2114D">
        <w:rPr>
          <w:rFonts w:ascii="Palatino Linotype" w:eastAsia="Palatino Linotype" w:hAnsi="Palatino Linotype" w:cs="Palatino Linotype"/>
          <w:b/>
          <w:color w:val="000000"/>
        </w:rPr>
        <w:t xml:space="preserve"> RCURRENTE </w:t>
      </w:r>
      <w:proofErr w:type="gramStart"/>
      <w:r w:rsidR="00EE78DE" w:rsidRPr="00B2114D">
        <w:rPr>
          <w:rFonts w:ascii="Palatino Linotype" w:eastAsia="Palatino Linotype" w:hAnsi="Palatino Linotype" w:cs="Palatino Linotype"/>
          <w:color w:val="000000"/>
        </w:rPr>
        <w:t xml:space="preserve">y </w:t>
      </w:r>
      <w:r w:rsidRPr="00B2114D">
        <w:rPr>
          <w:rFonts w:ascii="Palatino Linotype" w:eastAsia="Palatino Linotype" w:hAnsi="Palatino Linotype" w:cs="Palatino Linotype"/>
          <w:color w:val="000000"/>
        </w:rPr>
        <w:t xml:space="preserve"> ordenar</w:t>
      </w:r>
      <w:proofErr w:type="gramEnd"/>
      <w:r w:rsidRPr="00B2114D">
        <w:rPr>
          <w:rFonts w:ascii="Palatino Linotype" w:eastAsia="Palatino Linotype" w:hAnsi="Palatino Linotype" w:cs="Palatino Linotype"/>
          <w:color w:val="000000"/>
        </w:rPr>
        <w:t xml:space="preserve"> </w:t>
      </w:r>
      <w:r w:rsidR="007E613E" w:rsidRPr="00B2114D">
        <w:rPr>
          <w:rFonts w:ascii="Palatino Linotype" w:eastAsia="Palatino Linotype" w:hAnsi="Palatino Linotype" w:cs="Palatino Linotype"/>
          <w:color w:val="000000"/>
        </w:rPr>
        <w:t xml:space="preserve">el documento donde conste el sueldo base y neto de </w:t>
      </w:r>
      <w:r w:rsidR="007E613E" w:rsidRPr="00B2114D">
        <w:rPr>
          <w:rFonts w:ascii="Palatino Linotype" w:eastAsia="Palatino Linotype" w:hAnsi="Palatino Linotype" w:cs="Palatino Linotype"/>
          <w:color w:val="000000"/>
        </w:rPr>
        <w:lastRenderedPageBreak/>
        <w:t xml:space="preserve">los servidores públicos adscritos al </w:t>
      </w:r>
      <w:r w:rsidRPr="00B2114D">
        <w:rPr>
          <w:rFonts w:ascii="Palatino Linotype" w:eastAsia="Palatino Linotype" w:hAnsi="Palatino Linotype" w:cs="Palatino Linotype"/>
          <w:color w:val="000000"/>
        </w:rPr>
        <w:t xml:space="preserve"> </w:t>
      </w:r>
      <w:r w:rsidRPr="00B2114D">
        <w:rPr>
          <w:rFonts w:ascii="Palatino Linotype" w:eastAsia="Palatino Linotype" w:hAnsi="Palatino Linotype" w:cs="Palatino Linotype"/>
          <w:b/>
        </w:rPr>
        <w:t>Organismo Público Descentralizado de Agua Potable Alcantarillad</w:t>
      </w:r>
      <w:r w:rsidR="007E613E" w:rsidRPr="00B2114D">
        <w:rPr>
          <w:rFonts w:ascii="Palatino Linotype" w:eastAsia="Palatino Linotype" w:hAnsi="Palatino Linotype" w:cs="Palatino Linotype"/>
          <w:b/>
        </w:rPr>
        <w:t xml:space="preserve">o y Saneamiento de Chimalhuacán, </w:t>
      </w:r>
      <w:r w:rsidR="007E613E" w:rsidRPr="00B2114D">
        <w:rPr>
          <w:rFonts w:ascii="Palatino Linotype" w:eastAsia="Palatino Linotype" w:hAnsi="Palatino Linotype" w:cs="Palatino Linotype"/>
        </w:rPr>
        <w:t xml:space="preserve">al veintidós de febrero de dos mil veintidós. </w:t>
      </w:r>
    </w:p>
    <w:p w14:paraId="23F5C7E3" w14:textId="77777777" w:rsidR="00E52ABB" w:rsidRPr="00B2114D" w:rsidRDefault="00E52ABB">
      <w:pPr>
        <w:spacing w:line="360" w:lineRule="auto"/>
        <w:jc w:val="both"/>
        <w:rPr>
          <w:rFonts w:ascii="Palatino Linotype" w:eastAsia="Palatino Linotype" w:hAnsi="Palatino Linotype" w:cs="Palatino Linotype"/>
          <w:color w:val="000000"/>
        </w:rPr>
      </w:pPr>
    </w:p>
    <w:p w14:paraId="27020E08"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b/>
          <w:lang w:val="es-MX"/>
        </w:rPr>
        <w:t>Quinto. Versión Pública. C</w:t>
      </w:r>
      <w:r w:rsidRPr="00B2114D">
        <w:rPr>
          <w:rFonts w:ascii="Palatino Linotype" w:eastAsia="Palatino Linotype" w:hAnsi="Palatino Linotype" w:cs="Palatino Linotype"/>
          <w:lang w:val="es-MX"/>
        </w:rPr>
        <w:t>omo fue debidamente apuntado, el</w:t>
      </w:r>
      <w:r w:rsidRPr="00B2114D">
        <w:rPr>
          <w:rFonts w:ascii="Palatino Linotype" w:eastAsia="Palatino Linotype" w:hAnsi="Palatino Linotype" w:cs="Palatino Linotype"/>
          <w:b/>
          <w:lang w:val="es-MX"/>
        </w:rPr>
        <w:t> Sujeto Obligado</w:t>
      </w:r>
      <w:r w:rsidRPr="00B2114D">
        <w:rPr>
          <w:rFonts w:ascii="Palatino Linotype" w:eastAsia="Palatino Linotype" w:hAnsi="Palatino Linotype" w:cs="Palatino Linotype"/>
          <w:lang w:val="es-MX"/>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14E11616"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1A1900EB" w14:textId="77777777" w:rsidR="007E613E" w:rsidRPr="00B2114D" w:rsidRDefault="007E613E" w:rsidP="007E613E">
      <w:pPr>
        <w:shd w:val="clear" w:color="auto" w:fill="FFFFFF"/>
        <w:spacing w:line="360" w:lineRule="auto"/>
        <w:ind w:right="49"/>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C44F051" w14:textId="77777777" w:rsidR="007E613E" w:rsidRPr="00B2114D" w:rsidRDefault="007E613E" w:rsidP="007E613E">
      <w:pPr>
        <w:shd w:val="clear" w:color="auto" w:fill="FFFFFF"/>
        <w:spacing w:line="360" w:lineRule="auto"/>
        <w:ind w:right="51"/>
        <w:jc w:val="both"/>
        <w:rPr>
          <w:rFonts w:ascii="Palatino Linotype" w:eastAsia="Palatino Linotype" w:hAnsi="Palatino Linotype" w:cs="Palatino Linotype"/>
          <w:lang w:val="es-MX"/>
        </w:rPr>
      </w:pPr>
    </w:p>
    <w:p w14:paraId="0BC42F11" w14:textId="77777777" w:rsidR="007E613E" w:rsidRPr="00B2114D" w:rsidRDefault="007E613E" w:rsidP="007E613E">
      <w:pPr>
        <w:shd w:val="clear" w:color="auto" w:fill="FFFFFF"/>
        <w:spacing w:line="360" w:lineRule="auto"/>
        <w:ind w:right="51"/>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04E5846" w14:textId="77777777" w:rsidR="007E613E" w:rsidRPr="00B2114D" w:rsidRDefault="007E613E" w:rsidP="007E613E">
      <w:pPr>
        <w:shd w:val="clear" w:color="auto" w:fill="FFFFFF"/>
        <w:spacing w:line="360" w:lineRule="auto"/>
        <w:ind w:right="51"/>
        <w:jc w:val="both"/>
        <w:rPr>
          <w:rFonts w:ascii="Palatino Linotype" w:eastAsia="Palatino Linotype" w:hAnsi="Palatino Linotype" w:cs="Palatino Linotype"/>
          <w:lang w:val="es-MX"/>
        </w:rPr>
      </w:pPr>
    </w:p>
    <w:p w14:paraId="589D38A4" w14:textId="77777777" w:rsidR="007E613E" w:rsidRPr="00B2114D" w:rsidRDefault="007E613E" w:rsidP="007E613E">
      <w:pPr>
        <w:shd w:val="clear" w:color="auto" w:fill="FFFFFF"/>
        <w:spacing w:line="360" w:lineRule="auto"/>
        <w:ind w:right="51"/>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lastRenderedPageBreak/>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2292C2CC" w14:textId="77777777" w:rsidR="007E613E" w:rsidRPr="00B2114D" w:rsidRDefault="007E613E" w:rsidP="007E613E">
      <w:pPr>
        <w:shd w:val="clear" w:color="auto" w:fill="FFFFFF"/>
        <w:spacing w:line="360" w:lineRule="auto"/>
        <w:ind w:right="51"/>
        <w:jc w:val="both"/>
        <w:rPr>
          <w:rFonts w:ascii="Palatino Linotype" w:eastAsia="Palatino Linotype" w:hAnsi="Palatino Linotype" w:cs="Palatino Linotype"/>
          <w:lang w:val="es-MX"/>
        </w:rPr>
      </w:pPr>
    </w:p>
    <w:p w14:paraId="7347DE74" w14:textId="77777777" w:rsidR="007E613E" w:rsidRPr="00B2114D" w:rsidRDefault="007E613E" w:rsidP="007E613E">
      <w:pPr>
        <w:spacing w:line="276" w:lineRule="auto"/>
        <w:ind w:left="993" w:right="1041"/>
        <w:jc w:val="both"/>
        <w:rPr>
          <w:rFonts w:ascii="Palatino Linotype" w:eastAsia="Palatino Linotype" w:hAnsi="Palatino Linotype" w:cs="Palatino Linotype"/>
          <w:b/>
          <w:i/>
          <w:sz w:val="22"/>
          <w:szCs w:val="22"/>
          <w:lang w:val="es-MX"/>
        </w:rPr>
      </w:pPr>
      <w:r w:rsidRPr="00B2114D">
        <w:rPr>
          <w:rFonts w:ascii="Palatino Linotype" w:eastAsia="Palatino Linotype" w:hAnsi="Palatino Linotype" w:cs="Palatino Linotype"/>
          <w:b/>
          <w:i/>
          <w:sz w:val="22"/>
          <w:szCs w:val="22"/>
          <w:lang w:val="es-MX"/>
        </w:rPr>
        <w:t xml:space="preserve"> “Artículo 3. Para los efectos de la presente Ley se entenderá por:</w:t>
      </w:r>
    </w:p>
    <w:p w14:paraId="272DF9E2"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IX. Datos personales:</w:t>
      </w:r>
      <w:r w:rsidRPr="00B2114D">
        <w:rPr>
          <w:rFonts w:ascii="Palatino Linotype" w:eastAsia="Palatino Linotype" w:hAnsi="Palatino Linotype" w:cs="Palatino Linotype"/>
          <w:i/>
          <w:sz w:val="22"/>
          <w:szCs w:val="22"/>
          <w:lang w:val="es-MX"/>
        </w:rPr>
        <w:t xml:space="preserve"> </w:t>
      </w:r>
      <w:r w:rsidRPr="00B2114D">
        <w:rPr>
          <w:rFonts w:ascii="Palatino Linotype" w:eastAsia="Palatino Linotype" w:hAnsi="Palatino Linotype" w:cs="Palatino Linotype"/>
          <w:b/>
          <w:i/>
          <w:sz w:val="22"/>
          <w:szCs w:val="22"/>
          <w:lang w:val="es-MX"/>
        </w:rPr>
        <w:t>La información concerniente a una persona, identificada o identificable</w:t>
      </w:r>
      <w:r w:rsidRPr="00B2114D">
        <w:rPr>
          <w:rFonts w:ascii="Palatino Linotype" w:eastAsia="Palatino Linotype" w:hAnsi="Palatino Linotype" w:cs="Palatino Linotype"/>
          <w:i/>
          <w:sz w:val="22"/>
          <w:szCs w:val="22"/>
          <w:lang w:val="es-MX"/>
        </w:rPr>
        <w:t xml:space="preserve"> según lo dispuesto por la Ley de Protección de Datos Personales del Estado de México;</w:t>
      </w:r>
    </w:p>
    <w:p w14:paraId="29D822C1"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XX. Información clasificada:</w:t>
      </w:r>
      <w:r w:rsidRPr="00B2114D">
        <w:rPr>
          <w:rFonts w:ascii="Palatino Linotype" w:eastAsia="Palatino Linotype" w:hAnsi="Palatino Linotype" w:cs="Palatino Linotype"/>
          <w:i/>
          <w:sz w:val="22"/>
          <w:szCs w:val="22"/>
          <w:lang w:val="es-MX"/>
        </w:rPr>
        <w:t xml:space="preserve"> Aquella considerada por la presente Ley como reservada o confidencial;</w:t>
      </w:r>
    </w:p>
    <w:p w14:paraId="63B9FCCF"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XXXII. Protección de Datos Personales:</w:t>
      </w:r>
      <w:r w:rsidRPr="00B2114D">
        <w:rPr>
          <w:rFonts w:ascii="Palatino Linotype" w:eastAsia="Palatino Linotype" w:hAnsi="Palatino Linotype" w:cs="Palatino Linotype"/>
          <w:i/>
          <w:sz w:val="22"/>
          <w:szCs w:val="22"/>
          <w:lang w:val="es-MX"/>
        </w:rPr>
        <w:t xml:space="preserve"> Derecho humano que tutela la privacidad de datos personales en poder de los sujetos obligados y sujetos particulares;</w:t>
      </w:r>
    </w:p>
    <w:p w14:paraId="712481F7"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XLV. Versión pública</w:t>
      </w:r>
      <w:r w:rsidRPr="00B2114D">
        <w:rPr>
          <w:rFonts w:ascii="Palatino Linotype" w:eastAsia="Palatino Linotype" w:hAnsi="Palatino Linotype" w:cs="Palatino Linotype"/>
          <w:i/>
          <w:sz w:val="22"/>
          <w:szCs w:val="22"/>
          <w:lang w:val="es-MX"/>
        </w:rPr>
        <w:t>: Documento en el que se elimine, suprime o borra la información clasificada como reservada o confidencial para permitir su acceso.”</w:t>
      </w:r>
    </w:p>
    <w:p w14:paraId="209AC8BC"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p>
    <w:p w14:paraId="6D138C44"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“Artículo 6.</w:t>
      </w:r>
      <w:r w:rsidRPr="00B2114D">
        <w:rPr>
          <w:rFonts w:ascii="Palatino Linotype" w:eastAsia="Palatino Linotype" w:hAnsi="Palatino Linotype" w:cs="Palatino Linotype"/>
          <w:i/>
          <w:sz w:val="22"/>
          <w:szCs w:val="22"/>
          <w:lang w:val="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1F900D8" w14:textId="77777777" w:rsidR="007E613E" w:rsidRPr="00B2114D" w:rsidRDefault="007E613E" w:rsidP="007E613E">
      <w:pPr>
        <w:spacing w:line="360" w:lineRule="auto"/>
        <w:ind w:left="993" w:right="1041"/>
        <w:jc w:val="both"/>
        <w:rPr>
          <w:rFonts w:ascii="Palatino Linotype" w:eastAsia="Palatino Linotype" w:hAnsi="Palatino Linotype" w:cs="Palatino Linotype"/>
          <w:i/>
          <w:sz w:val="22"/>
          <w:szCs w:val="22"/>
          <w:lang w:val="es-MX"/>
        </w:rPr>
      </w:pPr>
    </w:p>
    <w:p w14:paraId="68A226EC"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 </w:t>
      </w:r>
      <w:r w:rsidRPr="00B2114D">
        <w:rPr>
          <w:rFonts w:ascii="Palatino Linotype" w:eastAsia="Palatino Linotype" w:hAnsi="Palatino Linotype" w:cs="Palatino Linotype"/>
          <w:b/>
          <w:i/>
          <w:sz w:val="22"/>
          <w:szCs w:val="22"/>
          <w:lang w:val="es-MX"/>
        </w:rPr>
        <w:t>Artículo 49.</w:t>
      </w:r>
      <w:r w:rsidRPr="00B2114D">
        <w:rPr>
          <w:rFonts w:ascii="Palatino Linotype" w:eastAsia="Palatino Linotype" w:hAnsi="Palatino Linotype" w:cs="Palatino Linotype"/>
          <w:i/>
          <w:sz w:val="22"/>
          <w:szCs w:val="22"/>
          <w:lang w:val="es-MX"/>
        </w:rPr>
        <w:t> Los Comités de Transparencia tendrán las siguientes atribuciones:</w:t>
      </w:r>
    </w:p>
    <w:p w14:paraId="2FBC1E60"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w:t>
      </w:r>
    </w:p>
    <w:p w14:paraId="5EE61F44"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VIII</w:t>
      </w:r>
      <w:r w:rsidRPr="00B2114D">
        <w:rPr>
          <w:rFonts w:ascii="Palatino Linotype" w:eastAsia="Palatino Linotype" w:hAnsi="Palatino Linotype" w:cs="Palatino Linotype"/>
          <w:i/>
          <w:sz w:val="22"/>
          <w:szCs w:val="22"/>
          <w:lang w:val="es-MX"/>
        </w:rPr>
        <w:t>. Aprobar, modificar o revocar la clasificación de la información;</w:t>
      </w:r>
    </w:p>
    <w:p w14:paraId="3D4A5E1A"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lastRenderedPageBreak/>
        <w:t>(…)</w:t>
      </w:r>
    </w:p>
    <w:p w14:paraId="6908E296"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 xml:space="preserve">Artículo 91. </w:t>
      </w:r>
      <w:r w:rsidRPr="00B2114D">
        <w:rPr>
          <w:rFonts w:ascii="Palatino Linotype" w:eastAsia="Palatino Linotype" w:hAnsi="Palatino Linotype" w:cs="Palatino Linotype"/>
          <w:i/>
          <w:sz w:val="22"/>
          <w:szCs w:val="22"/>
          <w:lang w:val="es-MX"/>
        </w:rPr>
        <w:t>El acceso a la información pública será restringido excepcionalmente, cuando ésta sea clasificada como reservada o confidencial.</w:t>
      </w:r>
    </w:p>
    <w:p w14:paraId="14E977DA"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p>
    <w:p w14:paraId="5BA79420" w14:textId="77777777" w:rsidR="007E613E" w:rsidRPr="00B2114D" w:rsidRDefault="007E613E" w:rsidP="007E613E">
      <w:pPr>
        <w:spacing w:line="276" w:lineRule="auto"/>
        <w:ind w:left="993" w:right="1041"/>
        <w:jc w:val="both"/>
        <w:rPr>
          <w:rFonts w:ascii="Palatino Linotype" w:eastAsia="Palatino Linotype" w:hAnsi="Palatino Linotype" w:cs="Palatino Linotype"/>
          <w:b/>
          <w:i/>
          <w:sz w:val="22"/>
          <w:szCs w:val="22"/>
          <w:lang w:val="es-MX"/>
        </w:rPr>
      </w:pPr>
      <w:r w:rsidRPr="00B2114D">
        <w:rPr>
          <w:rFonts w:ascii="Palatino Linotype" w:eastAsia="Palatino Linotype" w:hAnsi="Palatino Linotype" w:cs="Palatino Linotype"/>
          <w:b/>
          <w:i/>
          <w:sz w:val="22"/>
          <w:szCs w:val="22"/>
          <w:lang w:val="es-MX"/>
        </w:rPr>
        <w:t>“Artículo 137.</w:t>
      </w:r>
      <w:r w:rsidRPr="00B2114D">
        <w:rPr>
          <w:rFonts w:ascii="Palatino Linotype" w:eastAsia="Palatino Linotype" w:hAnsi="Palatino Linotype" w:cs="Palatino Linotype"/>
          <w:i/>
          <w:sz w:val="22"/>
          <w:szCs w:val="22"/>
          <w:lang w:val="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6EA76BA" w14:textId="77777777" w:rsidR="007E613E" w:rsidRPr="00B2114D" w:rsidRDefault="007E613E" w:rsidP="007E613E">
      <w:pPr>
        <w:spacing w:line="276" w:lineRule="auto"/>
        <w:ind w:left="993" w:right="1041"/>
        <w:jc w:val="both"/>
        <w:rPr>
          <w:rFonts w:ascii="Palatino Linotype" w:eastAsia="Palatino Linotype" w:hAnsi="Palatino Linotype" w:cs="Palatino Linotype"/>
          <w:b/>
          <w:i/>
          <w:sz w:val="22"/>
          <w:szCs w:val="22"/>
          <w:lang w:val="es-MX"/>
        </w:rPr>
      </w:pPr>
    </w:p>
    <w:p w14:paraId="2BD99503"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“Artículo 143</w:t>
      </w:r>
      <w:r w:rsidRPr="00B2114D">
        <w:rPr>
          <w:rFonts w:ascii="Palatino Linotype" w:eastAsia="Palatino Linotype" w:hAnsi="Palatino Linotype" w:cs="Palatino Linotype"/>
          <w:i/>
          <w:sz w:val="22"/>
          <w:szCs w:val="22"/>
          <w:lang w:val="es-MX"/>
        </w:rPr>
        <w:t>. Para los efectos de esta Ley se considera información confidencial, la clasificada como tal, de manera permanente, por su naturaleza, cuando:</w:t>
      </w:r>
    </w:p>
    <w:p w14:paraId="55366CF4"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I.</w:t>
      </w:r>
      <w:r w:rsidRPr="00B2114D">
        <w:rPr>
          <w:rFonts w:ascii="Palatino Linotype" w:eastAsia="Palatino Linotype" w:hAnsi="Palatino Linotype" w:cs="Palatino Linotype"/>
          <w:i/>
          <w:sz w:val="22"/>
          <w:szCs w:val="22"/>
          <w:lang w:val="es-MX"/>
        </w:rPr>
        <w:t xml:space="preserve"> Se refiera a la información privada y los datos personales concernientes a una persona física o jurídica colectiva identificada o identificable;</w:t>
      </w:r>
    </w:p>
    <w:p w14:paraId="23FEB6D1"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II. Los secretos bancario, fiduciario, industrial, comercial, fiscal, bursátil y postal, cuya titularidad corresponda a particulares, sujetos de derecho internacional o a sujetos obligados cuando no involucren el ejercicio de recursos públicos; y</w:t>
      </w:r>
    </w:p>
    <w:p w14:paraId="7DB83229"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III. La que presenten los particulares a los sujetos obligados, de conformidad con lo dispuesto por las leyes o los tratados internacionales.” (Sic)</w:t>
      </w:r>
    </w:p>
    <w:p w14:paraId="1E693E9D" w14:textId="77777777" w:rsidR="007E613E" w:rsidRPr="00B2114D" w:rsidRDefault="007E613E" w:rsidP="007E613E">
      <w:pPr>
        <w:spacing w:line="360" w:lineRule="auto"/>
        <w:ind w:left="993" w:right="1041"/>
        <w:jc w:val="both"/>
        <w:rPr>
          <w:rFonts w:ascii="Palatino Linotype" w:eastAsia="Palatino Linotype" w:hAnsi="Palatino Linotype" w:cs="Palatino Linotype"/>
          <w:i/>
          <w:sz w:val="22"/>
          <w:szCs w:val="22"/>
          <w:lang w:val="es-MX"/>
        </w:rPr>
      </w:pPr>
    </w:p>
    <w:p w14:paraId="4693E048" w14:textId="77777777" w:rsidR="007E613E" w:rsidRPr="00B2114D" w:rsidRDefault="007E613E" w:rsidP="007E613E">
      <w:pPr>
        <w:spacing w:line="360" w:lineRule="auto"/>
        <w:ind w:right="51"/>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20FFC6E" w14:textId="77777777" w:rsidR="007E613E" w:rsidRPr="00B2114D" w:rsidRDefault="007E613E" w:rsidP="007E613E">
      <w:pPr>
        <w:spacing w:line="360" w:lineRule="auto"/>
        <w:ind w:right="51"/>
        <w:jc w:val="both"/>
        <w:rPr>
          <w:rFonts w:ascii="Palatino Linotype" w:eastAsia="Palatino Linotype" w:hAnsi="Palatino Linotype" w:cs="Palatino Linotype"/>
          <w:lang w:val="es-MX"/>
        </w:rPr>
      </w:pPr>
    </w:p>
    <w:p w14:paraId="2A53CC5F" w14:textId="77777777" w:rsidR="007E613E" w:rsidRPr="00B2114D" w:rsidRDefault="007E613E" w:rsidP="007E613E">
      <w:pPr>
        <w:spacing w:line="360" w:lineRule="auto"/>
        <w:ind w:right="50"/>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BD42C21" w14:textId="77777777" w:rsidR="007E613E" w:rsidRPr="00B2114D" w:rsidRDefault="007E613E" w:rsidP="007E613E">
      <w:pPr>
        <w:spacing w:line="360" w:lineRule="auto"/>
        <w:ind w:right="50"/>
        <w:jc w:val="both"/>
        <w:rPr>
          <w:rFonts w:ascii="Palatino Linotype" w:eastAsia="Palatino Linotype" w:hAnsi="Palatino Linotype" w:cs="Palatino Linotype"/>
          <w:lang w:val="es-MX"/>
        </w:rPr>
      </w:pPr>
    </w:p>
    <w:p w14:paraId="45ADE31A" w14:textId="77777777" w:rsidR="007E613E" w:rsidRPr="00B2114D" w:rsidRDefault="007E613E" w:rsidP="007E613E">
      <w:pPr>
        <w:spacing w:line="360" w:lineRule="auto"/>
        <w:ind w:right="51"/>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AEE32B0" w14:textId="77777777" w:rsidR="007E613E" w:rsidRPr="00B2114D" w:rsidRDefault="007E613E" w:rsidP="007E613E">
      <w:pPr>
        <w:spacing w:line="360" w:lineRule="auto"/>
        <w:ind w:right="51"/>
        <w:jc w:val="both"/>
        <w:rPr>
          <w:rFonts w:ascii="Palatino Linotype" w:eastAsia="Palatino Linotype" w:hAnsi="Palatino Linotype" w:cs="Palatino Linotype"/>
          <w:lang w:val="es-MX"/>
        </w:rPr>
      </w:pPr>
    </w:p>
    <w:p w14:paraId="5F1B6666" w14:textId="77777777" w:rsidR="007E613E" w:rsidRPr="00B2114D" w:rsidRDefault="007E613E" w:rsidP="007E613E">
      <w:pPr>
        <w:spacing w:line="276" w:lineRule="auto"/>
        <w:ind w:left="992" w:right="1043"/>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“Artículo 49.</w:t>
      </w:r>
      <w:r w:rsidRPr="00B2114D">
        <w:rPr>
          <w:rFonts w:ascii="Palatino Linotype" w:eastAsia="Palatino Linotype" w:hAnsi="Palatino Linotype" w:cs="Palatino Linotype"/>
          <w:i/>
          <w:sz w:val="22"/>
          <w:szCs w:val="22"/>
          <w:lang w:val="es-MX"/>
        </w:rPr>
        <w:t xml:space="preserve"> </w:t>
      </w:r>
      <w:r w:rsidRPr="00B2114D">
        <w:rPr>
          <w:rFonts w:ascii="Palatino Linotype" w:eastAsia="Palatino Linotype" w:hAnsi="Palatino Linotype" w:cs="Palatino Linotype"/>
          <w:b/>
          <w:i/>
          <w:sz w:val="22"/>
          <w:szCs w:val="22"/>
          <w:lang w:val="es-MX"/>
        </w:rPr>
        <w:t>Los Comités de Transparencia</w:t>
      </w:r>
      <w:r w:rsidRPr="00B2114D">
        <w:rPr>
          <w:rFonts w:ascii="Palatino Linotype" w:eastAsia="Palatino Linotype" w:hAnsi="Palatino Linotype" w:cs="Palatino Linotype"/>
          <w:i/>
          <w:sz w:val="22"/>
          <w:szCs w:val="22"/>
          <w:lang w:val="es-MX"/>
        </w:rPr>
        <w:t xml:space="preserve"> tendrán las siguientes atribuciones:</w:t>
      </w:r>
    </w:p>
    <w:p w14:paraId="39343670" w14:textId="77777777" w:rsidR="007E613E" w:rsidRPr="00B2114D" w:rsidRDefault="007E613E" w:rsidP="007E613E">
      <w:pPr>
        <w:spacing w:line="276" w:lineRule="auto"/>
        <w:ind w:left="992" w:right="1043"/>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VIII. Aprobar, modificar o revocar la clasificación de la información</w:t>
      </w:r>
      <w:r w:rsidRPr="00B2114D">
        <w:rPr>
          <w:rFonts w:ascii="Palatino Linotype" w:eastAsia="Palatino Linotype" w:hAnsi="Palatino Linotype" w:cs="Palatino Linotype"/>
          <w:i/>
          <w:sz w:val="22"/>
          <w:szCs w:val="22"/>
          <w:lang w:val="es-MX"/>
        </w:rPr>
        <w:t>…”</w:t>
      </w:r>
    </w:p>
    <w:p w14:paraId="2319494C" w14:textId="77777777" w:rsidR="007E613E" w:rsidRPr="00B2114D" w:rsidRDefault="007E613E" w:rsidP="007E613E">
      <w:pPr>
        <w:spacing w:line="276" w:lineRule="auto"/>
        <w:ind w:left="992" w:right="1043"/>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w:t>
      </w:r>
      <w:r w:rsidRPr="00B2114D">
        <w:rPr>
          <w:rFonts w:ascii="Palatino Linotype" w:eastAsia="Palatino Linotype" w:hAnsi="Palatino Linotype" w:cs="Palatino Linotype"/>
          <w:b/>
          <w:i/>
          <w:sz w:val="22"/>
          <w:szCs w:val="22"/>
          <w:lang w:val="es-MX"/>
        </w:rPr>
        <w:t>Artículo 53.</w:t>
      </w:r>
      <w:r w:rsidRPr="00B2114D">
        <w:rPr>
          <w:rFonts w:ascii="Palatino Linotype" w:eastAsia="Palatino Linotype" w:hAnsi="Palatino Linotype" w:cs="Palatino Linotype"/>
          <w:i/>
          <w:sz w:val="22"/>
          <w:szCs w:val="22"/>
          <w:lang w:val="es-MX"/>
        </w:rPr>
        <w:t xml:space="preserve"> Las </w:t>
      </w:r>
      <w:r w:rsidRPr="00B2114D">
        <w:rPr>
          <w:rFonts w:ascii="Palatino Linotype" w:eastAsia="Palatino Linotype" w:hAnsi="Palatino Linotype" w:cs="Palatino Linotype"/>
          <w:b/>
          <w:i/>
          <w:sz w:val="22"/>
          <w:szCs w:val="22"/>
          <w:lang w:val="es-MX"/>
        </w:rPr>
        <w:t>Unidades de Transparencia</w:t>
      </w:r>
      <w:r w:rsidRPr="00B2114D">
        <w:rPr>
          <w:rFonts w:ascii="Palatino Linotype" w:eastAsia="Palatino Linotype" w:hAnsi="Palatino Linotype" w:cs="Palatino Linotype"/>
          <w:i/>
          <w:sz w:val="22"/>
          <w:szCs w:val="22"/>
          <w:lang w:val="es-MX"/>
        </w:rPr>
        <w:t xml:space="preserve"> tendrán las siguientes </w:t>
      </w:r>
      <w:r w:rsidRPr="00B2114D">
        <w:rPr>
          <w:rFonts w:ascii="Palatino Linotype" w:eastAsia="Palatino Linotype" w:hAnsi="Palatino Linotype" w:cs="Palatino Linotype"/>
          <w:b/>
          <w:i/>
          <w:sz w:val="22"/>
          <w:szCs w:val="22"/>
          <w:lang w:val="es-MX"/>
        </w:rPr>
        <w:t>funciones</w:t>
      </w:r>
      <w:r w:rsidRPr="00B2114D">
        <w:rPr>
          <w:rFonts w:ascii="Palatino Linotype" w:eastAsia="Palatino Linotype" w:hAnsi="Palatino Linotype" w:cs="Palatino Linotype"/>
          <w:i/>
          <w:sz w:val="22"/>
          <w:szCs w:val="22"/>
          <w:lang w:val="es-MX"/>
        </w:rPr>
        <w:t>:</w:t>
      </w:r>
    </w:p>
    <w:p w14:paraId="1C1D9D96" w14:textId="77777777" w:rsidR="007E613E" w:rsidRPr="00B2114D" w:rsidRDefault="007E613E" w:rsidP="007E613E">
      <w:pPr>
        <w:spacing w:line="276" w:lineRule="auto"/>
        <w:ind w:left="992" w:right="1043"/>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X. Presentar ante el Comité, el proyecto de clasificación de información</w:t>
      </w:r>
      <w:r w:rsidRPr="00B2114D">
        <w:rPr>
          <w:rFonts w:ascii="Palatino Linotype" w:eastAsia="Palatino Linotype" w:hAnsi="Palatino Linotype" w:cs="Palatino Linotype"/>
          <w:i/>
          <w:sz w:val="22"/>
          <w:szCs w:val="22"/>
          <w:lang w:val="es-MX"/>
        </w:rPr>
        <w:t xml:space="preserve">…” </w:t>
      </w:r>
    </w:p>
    <w:p w14:paraId="37334714" w14:textId="77777777" w:rsidR="007E613E" w:rsidRPr="00B2114D" w:rsidRDefault="007E613E" w:rsidP="007E613E">
      <w:pPr>
        <w:spacing w:line="276" w:lineRule="auto"/>
        <w:ind w:left="992" w:right="1043"/>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“Artículo 59.</w:t>
      </w:r>
      <w:r w:rsidRPr="00B2114D">
        <w:rPr>
          <w:rFonts w:ascii="Palatino Linotype" w:eastAsia="Palatino Linotype" w:hAnsi="Palatino Linotype" w:cs="Palatino Linotype"/>
          <w:i/>
          <w:sz w:val="22"/>
          <w:szCs w:val="22"/>
          <w:lang w:val="es-MX"/>
        </w:rPr>
        <w:t xml:space="preserve"> Los </w:t>
      </w:r>
      <w:r w:rsidRPr="00B2114D">
        <w:rPr>
          <w:rFonts w:ascii="Palatino Linotype" w:eastAsia="Palatino Linotype" w:hAnsi="Palatino Linotype" w:cs="Palatino Linotype"/>
          <w:b/>
          <w:i/>
          <w:sz w:val="22"/>
          <w:szCs w:val="22"/>
          <w:lang w:val="es-MX"/>
        </w:rPr>
        <w:t>servidores públicos habilitados</w:t>
      </w:r>
      <w:r w:rsidRPr="00B2114D">
        <w:rPr>
          <w:rFonts w:ascii="Palatino Linotype" w:eastAsia="Palatino Linotype" w:hAnsi="Palatino Linotype" w:cs="Palatino Linotype"/>
          <w:i/>
          <w:sz w:val="22"/>
          <w:szCs w:val="22"/>
          <w:lang w:val="es-MX"/>
        </w:rPr>
        <w:t xml:space="preserve"> tendrán las </w:t>
      </w:r>
      <w:r w:rsidRPr="00B2114D">
        <w:rPr>
          <w:rFonts w:ascii="Palatino Linotype" w:eastAsia="Palatino Linotype" w:hAnsi="Palatino Linotype" w:cs="Palatino Linotype"/>
          <w:b/>
          <w:i/>
          <w:sz w:val="22"/>
          <w:szCs w:val="22"/>
          <w:lang w:val="es-MX"/>
        </w:rPr>
        <w:t>funciones</w:t>
      </w:r>
      <w:r w:rsidRPr="00B2114D">
        <w:rPr>
          <w:rFonts w:ascii="Palatino Linotype" w:eastAsia="Palatino Linotype" w:hAnsi="Palatino Linotype" w:cs="Palatino Linotype"/>
          <w:i/>
          <w:sz w:val="22"/>
          <w:szCs w:val="22"/>
          <w:lang w:val="es-MX"/>
        </w:rPr>
        <w:t xml:space="preserve"> siguientes:</w:t>
      </w:r>
    </w:p>
    <w:p w14:paraId="453A9DF6" w14:textId="77777777" w:rsidR="007E613E" w:rsidRPr="00B2114D" w:rsidRDefault="007E613E" w:rsidP="007E613E">
      <w:pPr>
        <w:spacing w:line="276" w:lineRule="auto"/>
        <w:ind w:left="992" w:right="1043"/>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V. Integrar y presentar al responsable de la Unidad de Transparencia la propuesta de clasificación de información</w:t>
      </w:r>
      <w:r w:rsidRPr="00B2114D">
        <w:rPr>
          <w:rFonts w:ascii="Palatino Linotype" w:eastAsia="Palatino Linotype" w:hAnsi="Palatino Linotype" w:cs="Palatino Linotype"/>
          <w:i/>
          <w:sz w:val="22"/>
          <w:szCs w:val="22"/>
          <w:lang w:val="es-MX"/>
        </w:rPr>
        <w:t>, la cual tendrá los fundamentos y argumentos en que se basa dicha propuesta…”</w:t>
      </w:r>
    </w:p>
    <w:p w14:paraId="74CABC15" w14:textId="77777777" w:rsidR="007E613E" w:rsidRPr="00B2114D" w:rsidRDefault="007E613E" w:rsidP="007E613E">
      <w:pPr>
        <w:spacing w:line="360" w:lineRule="auto"/>
        <w:ind w:left="992" w:right="1043"/>
        <w:jc w:val="both"/>
        <w:rPr>
          <w:rFonts w:ascii="Palatino Linotype" w:eastAsia="Palatino Linotype" w:hAnsi="Palatino Linotype" w:cs="Palatino Linotype"/>
          <w:i/>
          <w:sz w:val="22"/>
          <w:szCs w:val="22"/>
          <w:lang w:val="es-MX"/>
        </w:rPr>
      </w:pPr>
    </w:p>
    <w:p w14:paraId="209E6A0A"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856D793"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3699095B"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Para lo cual, a su vez en el caso de información de carácter confidencial, se debe atender a lo que señala el artículo 149 de la Ley de Transparencia Local vigente, que se lee como sigue:</w:t>
      </w:r>
    </w:p>
    <w:p w14:paraId="2808B1B7" w14:textId="77777777" w:rsidR="007E613E" w:rsidRPr="00B2114D" w:rsidRDefault="007E613E" w:rsidP="007E613E">
      <w:pPr>
        <w:spacing w:line="360" w:lineRule="auto"/>
        <w:jc w:val="both"/>
        <w:rPr>
          <w:rFonts w:ascii="Palatino Linotype" w:eastAsia="Palatino Linotype" w:hAnsi="Palatino Linotype" w:cs="Palatino Linotype"/>
          <w:sz w:val="22"/>
          <w:szCs w:val="22"/>
          <w:lang w:val="es-MX"/>
        </w:rPr>
      </w:pPr>
    </w:p>
    <w:p w14:paraId="70968229" w14:textId="77777777" w:rsidR="007E613E" w:rsidRPr="00B2114D" w:rsidRDefault="007E613E" w:rsidP="007E613E">
      <w:pPr>
        <w:spacing w:line="276" w:lineRule="auto"/>
        <w:ind w:left="993"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w:t>
      </w:r>
      <w:r w:rsidRPr="00B2114D">
        <w:rPr>
          <w:rFonts w:ascii="Palatino Linotype" w:eastAsia="Palatino Linotype" w:hAnsi="Palatino Linotype" w:cs="Palatino Linotype"/>
          <w:b/>
          <w:i/>
          <w:sz w:val="22"/>
          <w:szCs w:val="22"/>
          <w:lang w:val="es-MX"/>
        </w:rPr>
        <w:t>Artículo 149.</w:t>
      </w:r>
      <w:r w:rsidRPr="00B2114D">
        <w:rPr>
          <w:rFonts w:ascii="Palatino Linotype" w:eastAsia="Palatino Linotype" w:hAnsi="Palatino Linotype" w:cs="Palatino Linotype"/>
          <w:i/>
          <w:sz w:val="22"/>
          <w:szCs w:val="22"/>
          <w:lang w:val="es-MX"/>
        </w:rPr>
        <w:t xml:space="preserve"> El </w:t>
      </w:r>
      <w:r w:rsidRPr="00B2114D">
        <w:rPr>
          <w:rFonts w:ascii="Palatino Linotype" w:eastAsia="Palatino Linotype" w:hAnsi="Palatino Linotype" w:cs="Palatino Linotype"/>
          <w:b/>
          <w:i/>
          <w:sz w:val="22"/>
          <w:szCs w:val="22"/>
          <w:lang w:val="es-MX"/>
        </w:rPr>
        <w:t>acuerdo que clasifique la información como confidencial</w:t>
      </w:r>
      <w:r w:rsidRPr="00B2114D">
        <w:rPr>
          <w:rFonts w:ascii="Palatino Linotype" w:eastAsia="Palatino Linotype" w:hAnsi="Palatino Linotype" w:cs="Palatino Linotype"/>
          <w:i/>
          <w:sz w:val="22"/>
          <w:szCs w:val="22"/>
          <w:lang w:val="es-MX"/>
        </w:rPr>
        <w:t xml:space="preserve"> deberá contener un razonamiento lógico en el que demuestre que la información se encuentra en alguna o algunas de las hipótesis previstas en la presente Ley.”(Sic)</w:t>
      </w:r>
    </w:p>
    <w:p w14:paraId="590C4013" w14:textId="77777777" w:rsidR="007E613E" w:rsidRPr="00B2114D" w:rsidRDefault="007E613E" w:rsidP="007E613E">
      <w:pPr>
        <w:spacing w:line="360" w:lineRule="auto"/>
        <w:ind w:left="993" w:right="1041"/>
        <w:jc w:val="both"/>
        <w:rPr>
          <w:rFonts w:ascii="Palatino Linotype" w:eastAsia="Palatino Linotype" w:hAnsi="Palatino Linotype" w:cs="Palatino Linotype"/>
          <w:i/>
          <w:sz w:val="22"/>
          <w:szCs w:val="22"/>
          <w:lang w:val="es-MX"/>
        </w:rPr>
      </w:pPr>
    </w:p>
    <w:p w14:paraId="4603095F" w14:textId="77777777" w:rsidR="007E613E" w:rsidRPr="00B2114D" w:rsidRDefault="007E613E" w:rsidP="007E613E">
      <w:pPr>
        <w:spacing w:line="360" w:lineRule="auto"/>
        <w:ind w:right="49"/>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D8B4DA3" w14:textId="77777777" w:rsidR="007E613E" w:rsidRPr="00B2114D" w:rsidRDefault="007E613E" w:rsidP="007E613E">
      <w:pPr>
        <w:spacing w:line="360" w:lineRule="auto"/>
        <w:ind w:right="49"/>
        <w:jc w:val="both"/>
        <w:rPr>
          <w:rFonts w:ascii="Palatino Linotype" w:eastAsia="Palatino Linotype" w:hAnsi="Palatino Linotype" w:cs="Palatino Linotype"/>
          <w:lang w:val="es-MX"/>
        </w:rPr>
      </w:pPr>
    </w:p>
    <w:p w14:paraId="642E5508" w14:textId="77777777" w:rsidR="007E613E" w:rsidRPr="00B2114D" w:rsidRDefault="007E613E" w:rsidP="007E613E">
      <w:pPr>
        <w:spacing w:line="360" w:lineRule="auto"/>
        <w:ind w:right="49"/>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B2114D">
        <w:rPr>
          <w:rFonts w:ascii="Palatino Linotype" w:eastAsia="Palatino Linotype" w:hAnsi="Palatino Linotype" w:cs="Palatino Linotype"/>
          <w:b/>
          <w:lang w:val="es-MX"/>
        </w:rPr>
        <w:t>Registro Federal de Contribuyentes</w:t>
      </w:r>
      <w:r w:rsidRPr="00B2114D">
        <w:rPr>
          <w:rFonts w:ascii="Palatino Linotype" w:eastAsia="Palatino Linotype" w:hAnsi="Palatino Linotype" w:cs="Palatino Linotype"/>
          <w:lang w:val="es-MX"/>
        </w:rPr>
        <w:t xml:space="preserve"> (RFC), la </w:t>
      </w:r>
      <w:r w:rsidRPr="00B2114D">
        <w:rPr>
          <w:rFonts w:ascii="Palatino Linotype" w:eastAsia="Palatino Linotype" w:hAnsi="Palatino Linotype" w:cs="Palatino Linotype"/>
          <w:b/>
          <w:lang w:val="es-MX"/>
        </w:rPr>
        <w:t>Clave Única de Registro de Población</w:t>
      </w:r>
      <w:r w:rsidRPr="00B2114D">
        <w:rPr>
          <w:rFonts w:ascii="Palatino Linotype" w:eastAsia="Palatino Linotype" w:hAnsi="Palatino Linotype" w:cs="Palatino Linotype"/>
          <w:lang w:val="es-MX"/>
        </w:rPr>
        <w:t xml:space="preserve"> (CURP), la </w:t>
      </w:r>
      <w:r w:rsidRPr="00B2114D">
        <w:rPr>
          <w:rFonts w:ascii="Palatino Linotype" w:eastAsia="Palatino Linotype" w:hAnsi="Palatino Linotype" w:cs="Palatino Linotype"/>
          <w:b/>
          <w:lang w:val="es-MX"/>
        </w:rPr>
        <w:t>Clave de cualquier tipo de seguridad social</w:t>
      </w:r>
      <w:r w:rsidRPr="00B2114D">
        <w:rPr>
          <w:rFonts w:ascii="Palatino Linotype" w:eastAsia="Palatino Linotype" w:hAnsi="Palatino Linotype" w:cs="Palatino Linotype"/>
          <w:lang w:val="es-MX"/>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6081069F" w14:textId="77777777" w:rsidR="007E613E" w:rsidRPr="00B2114D" w:rsidRDefault="007E613E" w:rsidP="007E613E">
      <w:pPr>
        <w:spacing w:line="360" w:lineRule="auto"/>
        <w:ind w:right="49"/>
        <w:jc w:val="both"/>
        <w:rPr>
          <w:rFonts w:ascii="Palatino Linotype" w:eastAsia="Palatino Linotype" w:hAnsi="Palatino Linotype" w:cs="Palatino Linotype"/>
          <w:lang w:val="es-MX"/>
        </w:rPr>
      </w:pPr>
    </w:p>
    <w:p w14:paraId="50E7DF1F"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Por cuanto hace al </w:t>
      </w:r>
      <w:r w:rsidRPr="00B2114D">
        <w:rPr>
          <w:rFonts w:ascii="Palatino Linotype" w:eastAsia="Palatino Linotype" w:hAnsi="Palatino Linotype" w:cs="Palatino Linotype"/>
          <w:b/>
          <w:lang w:val="es-MX"/>
        </w:rPr>
        <w:t>Registro Federal de Contribuyentes (RFC),</w:t>
      </w:r>
      <w:r w:rsidRPr="00B2114D">
        <w:rPr>
          <w:rFonts w:ascii="Palatino Linotype" w:eastAsia="Palatino Linotype" w:hAnsi="Palatino Linotype" w:cs="Palatino Linotype"/>
          <w:lang w:val="es-MX"/>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A678E89"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21D41BA7"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1358F23"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5EC117C4" w14:textId="77777777" w:rsidR="007E613E" w:rsidRPr="00B2114D" w:rsidRDefault="007E613E" w:rsidP="007E613E">
      <w:pPr>
        <w:spacing w:line="360" w:lineRule="auto"/>
        <w:ind w:right="49"/>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Lo anterior es compartido por el entonces Instituto Federal de Acceso a la Información Pública y Protección de Datos Personales (IFAI) a través del Criterio 19/17, el cual es del tenor literal siguiente:</w:t>
      </w:r>
    </w:p>
    <w:p w14:paraId="30B9A32E" w14:textId="77777777" w:rsidR="007E613E" w:rsidRPr="00B2114D" w:rsidRDefault="007E613E" w:rsidP="007E613E">
      <w:pPr>
        <w:spacing w:line="360" w:lineRule="auto"/>
        <w:ind w:left="851" w:right="900"/>
        <w:jc w:val="both"/>
        <w:rPr>
          <w:rFonts w:ascii="Palatino Linotype" w:eastAsia="Palatino Linotype" w:hAnsi="Palatino Linotype" w:cs="Palatino Linotype"/>
          <w:b/>
          <w:i/>
          <w:sz w:val="22"/>
          <w:szCs w:val="22"/>
          <w:lang w:val="es-MX"/>
        </w:rPr>
      </w:pPr>
    </w:p>
    <w:p w14:paraId="5CB5E18B" w14:textId="77777777" w:rsidR="007E613E" w:rsidRPr="00B2114D" w:rsidRDefault="007E613E" w:rsidP="007E613E">
      <w:pPr>
        <w:spacing w:line="276" w:lineRule="auto"/>
        <w:ind w:left="567" w:right="709"/>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“Registro Federal de Contribuyentes (RFC) de personas físicas</w:t>
      </w:r>
      <w:r w:rsidRPr="00B2114D">
        <w:rPr>
          <w:rFonts w:ascii="Palatino Linotype" w:eastAsia="Palatino Linotype" w:hAnsi="Palatino Linotype" w:cs="Palatino Linotype"/>
          <w:i/>
          <w:sz w:val="22"/>
          <w:szCs w:val="22"/>
          <w:lang w:val="es-MX"/>
        </w:rPr>
        <w:t>. El RFC es una clave de carácter fiscal, única e irrepetible, que permite identificar al titular, su edad y fecha de nacimiento, por lo que es un dato personal de carácter confidencial.”</w:t>
      </w:r>
    </w:p>
    <w:p w14:paraId="489A766D" w14:textId="77777777" w:rsidR="007E613E" w:rsidRPr="00B2114D" w:rsidRDefault="007E613E" w:rsidP="007E613E">
      <w:pPr>
        <w:spacing w:line="360" w:lineRule="auto"/>
        <w:jc w:val="both"/>
        <w:rPr>
          <w:rFonts w:ascii="Palatino Linotype" w:eastAsia="Palatino Linotype" w:hAnsi="Palatino Linotype" w:cs="Palatino Linotype"/>
          <w:sz w:val="22"/>
          <w:szCs w:val="22"/>
          <w:lang w:val="es-MX"/>
        </w:rPr>
      </w:pPr>
    </w:p>
    <w:p w14:paraId="68BE00C6"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C308937"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4D0CE24A"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De igual manera la </w:t>
      </w:r>
      <w:r w:rsidRPr="00B2114D">
        <w:rPr>
          <w:rFonts w:ascii="Palatino Linotype" w:eastAsia="Palatino Linotype" w:hAnsi="Palatino Linotype" w:cs="Palatino Linotype"/>
          <w:b/>
          <w:lang w:val="es-MX"/>
        </w:rPr>
        <w:t>Clave Única de Registro de Población (CURP)</w:t>
      </w:r>
      <w:r w:rsidRPr="00B2114D">
        <w:rPr>
          <w:rFonts w:ascii="Palatino Linotype" w:eastAsia="Palatino Linotype" w:hAnsi="Palatino Linotype" w:cs="Palatino Linotype"/>
          <w:lang w:val="es-MX"/>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2520C86"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20B729C7"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Argumento que es compartido por el Instituto Nacional de Transparencia, Acceso a la Información y Protección de Datos Personales, INAI</w:t>
      </w:r>
      <w:r w:rsidRPr="00B2114D">
        <w:rPr>
          <w:rFonts w:ascii="Palatino Linotype" w:eastAsia="Palatino Linotype" w:hAnsi="Palatino Linotype" w:cs="Palatino Linotype"/>
          <w:b/>
          <w:lang w:val="es-MX"/>
        </w:rPr>
        <w:t xml:space="preserve">, conforme al </w:t>
      </w:r>
      <w:r w:rsidRPr="00B2114D">
        <w:rPr>
          <w:rFonts w:ascii="Palatino Linotype" w:eastAsia="Palatino Linotype" w:hAnsi="Palatino Linotype" w:cs="Palatino Linotype"/>
          <w:lang w:val="es-MX"/>
        </w:rPr>
        <w:t xml:space="preserve">criterio 18/17, el cual refiere: </w:t>
      </w:r>
    </w:p>
    <w:p w14:paraId="2DCA7A82" w14:textId="77777777" w:rsidR="007E613E" w:rsidRPr="00B2114D" w:rsidRDefault="007E613E" w:rsidP="007E613E">
      <w:pPr>
        <w:spacing w:line="360" w:lineRule="auto"/>
        <w:ind w:left="851" w:right="851"/>
        <w:jc w:val="both"/>
        <w:rPr>
          <w:rFonts w:ascii="Palatino Linotype" w:eastAsia="Palatino Linotype" w:hAnsi="Palatino Linotype" w:cs="Palatino Linotype"/>
          <w:b/>
          <w:i/>
          <w:sz w:val="22"/>
          <w:szCs w:val="22"/>
          <w:lang w:val="es-MX"/>
        </w:rPr>
      </w:pPr>
    </w:p>
    <w:p w14:paraId="4BCA9515" w14:textId="77777777" w:rsidR="007E613E" w:rsidRPr="00B2114D" w:rsidRDefault="007E613E" w:rsidP="007E613E">
      <w:pPr>
        <w:spacing w:line="276" w:lineRule="auto"/>
        <w:ind w:left="851" w:right="85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 xml:space="preserve">“Clave Única de Registro de Población (CURP). </w:t>
      </w:r>
      <w:r w:rsidRPr="00B2114D">
        <w:rPr>
          <w:rFonts w:ascii="Palatino Linotype" w:eastAsia="Palatino Linotype" w:hAnsi="Palatino Linotype" w:cs="Palatino Linotype"/>
          <w:i/>
          <w:sz w:val="22"/>
          <w:szCs w:val="22"/>
          <w:lang w:val="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5C627E3" w14:textId="77777777" w:rsidR="007E613E" w:rsidRPr="00B2114D" w:rsidRDefault="007E613E" w:rsidP="007E613E">
      <w:pPr>
        <w:spacing w:line="360" w:lineRule="auto"/>
        <w:jc w:val="both"/>
        <w:rPr>
          <w:rFonts w:ascii="Palatino Linotype" w:eastAsia="Palatino Linotype" w:hAnsi="Palatino Linotype" w:cs="Palatino Linotype"/>
          <w:sz w:val="22"/>
          <w:szCs w:val="22"/>
          <w:lang w:val="es-MX"/>
        </w:rPr>
      </w:pPr>
    </w:p>
    <w:p w14:paraId="0DF50077"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Por cuanto hace a la </w:t>
      </w:r>
      <w:r w:rsidRPr="00B2114D">
        <w:rPr>
          <w:rFonts w:ascii="Palatino Linotype" w:eastAsia="Palatino Linotype" w:hAnsi="Palatino Linotype" w:cs="Palatino Linotype"/>
          <w:b/>
          <w:lang w:val="es-MX"/>
        </w:rPr>
        <w:t xml:space="preserve">Clave de cualquier tipo de seguridad social (ISSEMyM, u otros), </w:t>
      </w:r>
      <w:r w:rsidRPr="00B2114D">
        <w:rPr>
          <w:rFonts w:ascii="Palatino Linotype" w:eastAsia="Palatino Linotype" w:hAnsi="Palatino Linotype" w:cs="Palatino Linotype"/>
          <w:lang w:val="es-MX"/>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B1F9646"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55D4A204" w14:textId="77777777" w:rsidR="007E613E" w:rsidRPr="00B2114D" w:rsidRDefault="007E613E" w:rsidP="007E613E">
      <w:pPr>
        <w:spacing w:line="360" w:lineRule="auto"/>
        <w:jc w:val="both"/>
        <w:rPr>
          <w:rFonts w:ascii="Palatino Linotype" w:eastAsia="Palatino Linotype" w:hAnsi="Palatino Linotype" w:cs="Palatino Linotype"/>
          <w:u w:val="single"/>
          <w:lang w:val="es-MX"/>
        </w:rPr>
      </w:pPr>
      <w:r w:rsidRPr="00B2114D">
        <w:rPr>
          <w:rFonts w:ascii="Palatino Linotype" w:eastAsia="Palatino Linotype" w:hAnsi="Palatino Linotype" w:cs="Palatino Linotype"/>
          <w:lang w:val="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B2114D">
        <w:rPr>
          <w:rFonts w:ascii="Palatino Linotype" w:eastAsia="Palatino Linotype" w:hAnsi="Palatino Linotype" w:cs="Palatino Linotype"/>
          <w:u w:val="single"/>
          <w:lang w:val="es-MX"/>
        </w:rPr>
        <w:t>se le asigna una clave para hacer identificable al trabajador con el objetivo de poder proporcionar los servicios que brinda el ISSEMYM.</w:t>
      </w:r>
    </w:p>
    <w:p w14:paraId="59586232"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2EBC03D6"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7DEC0341" w14:textId="77777777" w:rsidR="007E613E" w:rsidRPr="00B2114D" w:rsidRDefault="007E613E" w:rsidP="007E613E">
      <w:pPr>
        <w:spacing w:line="360" w:lineRule="auto"/>
        <w:jc w:val="both"/>
        <w:rPr>
          <w:rFonts w:ascii="Palatino Linotype" w:eastAsia="Palatino Linotype" w:hAnsi="Palatino Linotype" w:cs="Palatino Linotype"/>
          <w:sz w:val="22"/>
          <w:szCs w:val="22"/>
          <w:lang w:val="es-MX"/>
        </w:rPr>
      </w:pPr>
    </w:p>
    <w:p w14:paraId="6245BEA3"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8AF4DF4"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684E6234"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Respecto de los </w:t>
      </w:r>
      <w:r w:rsidRPr="00B2114D">
        <w:rPr>
          <w:rFonts w:ascii="Palatino Linotype" w:eastAsia="Palatino Linotype" w:hAnsi="Palatino Linotype" w:cs="Palatino Linotype"/>
          <w:b/>
          <w:lang w:val="es-MX"/>
        </w:rPr>
        <w:t>préstamos o descuentos</w:t>
      </w:r>
      <w:r w:rsidRPr="00B2114D">
        <w:rPr>
          <w:rFonts w:ascii="Palatino Linotype" w:eastAsia="Palatino Linotype" w:hAnsi="Palatino Linotype" w:cs="Palatino Linotype"/>
          <w:lang w:val="es-MX"/>
        </w:rPr>
        <w:t xml:space="preserve"> </w:t>
      </w:r>
      <w:r w:rsidRPr="00B2114D">
        <w:rPr>
          <w:rFonts w:ascii="Palatino Linotype" w:eastAsia="Palatino Linotype" w:hAnsi="Palatino Linotype" w:cs="Palatino Linotype"/>
          <w:b/>
          <w:lang w:val="es-MX"/>
        </w:rPr>
        <w:t>de carácter personal</w:t>
      </w:r>
      <w:r w:rsidRPr="00B2114D">
        <w:rPr>
          <w:rFonts w:ascii="Palatino Linotype" w:eastAsia="Palatino Linotype" w:hAnsi="Palatino Linotype" w:cs="Palatino Linotype"/>
          <w:lang w:val="es-MX"/>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21A598E" w14:textId="77777777" w:rsidR="007E613E" w:rsidRPr="00B2114D" w:rsidRDefault="007E613E" w:rsidP="007E613E">
      <w:pPr>
        <w:spacing w:line="360" w:lineRule="auto"/>
        <w:jc w:val="both"/>
        <w:rPr>
          <w:rFonts w:ascii="Calibri" w:eastAsia="Calibri" w:hAnsi="Calibri" w:cs="Calibri"/>
          <w:lang w:val="es-MX"/>
        </w:rPr>
      </w:pPr>
    </w:p>
    <w:p w14:paraId="67EA6F4E"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Por su parte, el artículo 84 de la Ley del Trabajo de los Servidores Públicos del Estado y Municipios, señala:</w:t>
      </w:r>
    </w:p>
    <w:p w14:paraId="27BCF18F" w14:textId="77777777" w:rsidR="007E613E" w:rsidRPr="00B2114D" w:rsidRDefault="007E613E" w:rsidP="007E613E">
      <w:pPr>
        <w:spacing w:line="360" w:lineRule="auto"/>
        <w:jc w:val="both"/>
        <w:rPr>
          <w:rFonts w:ascii="Calibri" w:eastAsia="Calibri" w:hAnsi="Calibri" w:cs="Calibri"/>
          <w:lang w:val="es-MX"/>
        </w:rPr>
      </w:pPr>
    </w:p>
    <w:p w14:paraId="168BB5D9"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i/>
          <w:sz w:val="22"/>
          <w:szCs w:val="22"/>
          <w:lang w:val="es-MX"/>
        </w:rPr>
        <w:t>“</w:t>
      </w:r>
      <w:r w:rsidRPr="00B2114D">
        <w:rPr>
          <w:rFonts w:ascii="Palatino Linotype" w:eastAsia="Palatino Linotype" w:hAnsi="Palatino Linotype" w:cs="Palatino Linotype"/>
          <w:b/>
          <w:i/>
          <w:sz w:val="22"/>
          <w:szCs w:val="22"/>
          <w:lang w:val="es-MX"/>
        </w:rPr>
        <w:t>ARTICULO 84. Sólo podrán hacerse retenciones, descuentos o deducciones al sueldo de los servidores públicos por concepto de:</w:t>
      </w:r>
    </w:p>
    <w:p w14:paraId="08CBF078"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i/>
          <w:sz w:val="22"/>
          <w:szCs w:val="22"/>
          <w:lang w:val="es-MX"/>
        </w:rPr>
        <w:t>I. Gravámenes fiscales relacionados con el sueldo;</w:t>
      </w:r>
    </w:p>
    <w:p w14:paraId="12D4ECA2"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b/>
          <w:i/>
          <w:sz w:val="22"/>
          <w:szCs w:val="22"/>
          <w:lang w:val="es-MX"/>
        </w:rPr>
        <w:t>II. Deudas contraídas con las instituciones públicas o dependencias</w:t>
      </w:r>
      <w:r w:rsidRPr="00B2114D">
        <w:rPr>
          <w:rFonts w:ascii="Palatino Linotype" w:eastAsia="Palatino Linotype" w:hAnsi="Palatino Linotype" w:cs="Palatino Linotype"/>
          <w:i/>
          <w:sz w:val="22"/>
          <w:szCs w:val="22"/>
          <w:lang w:val="es-MX"/>
        </w:rPr>
        <w:t xml:space="preserve"> por concepto de anticipos de sueldo, pagos hechos con exceso, errores o pérdidas debidamente comprobados;</w:t>
      </w:r>
    </w:p>
    <w:p w14:paraId="0D86CFCE"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b/>
          <w:i/>
          <w:sz w:val="22"/>
          <w:szCs w:val="22"/>
          <w:lang w:val="es-MX"/>
        </w:rPr>
        <w:t>III. Cuotas sindicales</w:t>
      </w:r>
      <w:r w:rsidRPr="00B2114D">
        <w:rPr>
          <w:rFonts w:ascii="Palatino Linotype" w:eastAsia="Palatino Linotype" w:hAnsi="Palatino Linotype" w:cs="Palatino Linotype"/>
          <w:i/>
          <w:sz w:val="22"/>
          <w:szCs w:val="22"/>
          <w:lang w:val="es-MX"/>
        </w:rPr>
        <w:t>;</w:t>
      </w:r>
    </w:p>
    <w:p w14:paraId="07DEDA38"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i/>
          <w:sz w:val="22"/>
          <w:szCs w:val="22"/>
          <w:lang w:val="es-MX"/>
        </w:rPr>
        <w:t>IV. Cuotas de aportación a fondos para la constitución de cooperativas y de cajas de ahorro, siempre que el servidor público hubiese manifestado previamente, de manera expresa, su conformidad;</w:t>
      </w:r>
    </w:p>
    <w:p w14:paraId="0B665BA8"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i/>
          <w:sz w:val="22"/>
          <w:szCs w:val="22"/>
          <w:lang w:val="es-MX"/>
        </w:rPr>
        <w:t>V. Descuentos ordenados por el Instituto de Seguridad Social del Estado de México y Municipios, con motivo de cuotas y obligaciones contraídas con éste por los servidores públicos;</w:t>
      </w:r>
    </w:p>
    <w:p w14:paraId="70D6F02E"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b/>
          <w:i/>
          <w:sz w:val="22"/>
          <w:szCs w:val="22"/>
          <w:lang w:val="es-MX"/>
        </w:rPr>
        <w:t>VI. Obligaciones a cargo del servidor público con las que haya consentido</w:t>
      </w:r>
      <w:r w:rsidRPr="00B2114D">
        <w:rPr>
          <w:rFonts w:ascii="Palatino Linotype" w:eastAsia="Palatino Linotype" w:hAnsi="Palatino Linotype" w:cs="Palatino Linotype"/>
          <w:i/>
          <w:sz w:val="22"/>
          <w:szCs w:val="22"/>
          <w:lang w:val="es-MX"/>
        </w:rPr>
        <w:t>, derivadas de la adquisición o del uso de habitaciones consideradas como de interés social;</w:t>
      </w:r>
    </w:p>
    <w:p w14:paraId="00C8FEBD"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i/>
          <w:sz w:val="22"/>
          <w:szCs w:val="22"/>
          <w:lang w:val="es-MX"/>
        </w:rPr>
        <w:t>VII. Faltas de puntualidad o de asistencia injustificadas;</w:t>
      </w:r>
    </w:p>
    <w:p w14:paraId="39E14D09"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b/>
          <w:i/>
          <w:sz w:val="22"/>
          <w:szCs w:val="22"/>
          <w:lang w:val="es-MX"/>
        </w:rPr>
        <w:t>VIII. Pensiones alimenticias ordenadas por la autoridad judicial;</w:t>
      </w:r>
      <w:r w:rsidRPr="00B2114D">
        <w:rPr>
          <w:rFonts w:ascii="Palatino Linotype" w:eastAsia="Palatino Linotype" w:hAnsi="Palatino Linotype" w:cs="Palatino Linotype"/>
          <w:i/>
          <w:sz w:val="22"/>
          <w:szCs w:val="22"/>
          <w:lang w:val="es-MX"/>
        </w:rPr>
        <w:t xml:space="preserve"> o</w:t>
      </w:r>
    </w:p>
    <w:p w14:paraId="13552AD7"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b/>
          <w:i/>
          <w:sz w:val="22"/>
          <w:szCs w:val="22"/>
          <w:lang w:val="es-MX"/>
        </w:rPr>
        <w:t>IX. Cualquier otro convenido con instituciones de servicios y aceptado por el servidor público.</w:t>
      </w:r>
    </w:p>
    <w:p w14:paraId="45592D82"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r w:rsidRPr="00B2114D">
        <w:rPr>
          <w:rFonts w:ascii="Palatino Linotype" w:eastAsia="Palatino Linotype" w:hAnsi="Palatino Linotype" w:cs="Palatino Linotype"/>
          <w:i/>
          <w:sz w:val="22"/>
          <w:szCs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9339EEF" w14:textId="77777777" w:rsidR="007E613E" w:rsidRPr="00B2114D" w:rsidRDefault="007E613E" w:rsidP="007E613E">
      <w:pPr>
        <w:spacing w:line="276" w:lineRule="auto"/>
        <w:ind w:left="851" w:right="902"/>
        <w:jc w:val="both"/>
        <w:rPr>
          <w:rFonts w:ascii="Palatino Linotype" w:eastAsia="Palatino Linotype" w:hAnsi="Palatino Linotype" w:cs="Palatino Linotype"/>
          <w:sz w:val="22"/>
          <w:szCs w:val="22"/>
          <w:lang w:val="es-MX"/>
        </w:rPr>
      </w:pPr>
      <w:r w:rsidRPr="00B2114D">
        <w:rPr>
          <w:rFonts w:ascii="Palatino Linotype" w:eastAsia="Palatino Linotype" w:hAnsi="Palatino Linotype" w:cs="Palatino Linotype"/>
          <w:sz w:val="22"/>
          <w:szCs w:val="22"/>
          <w:lang w:val="es-MX"/>
        </w:rPr>
        <w:t>(Énfasis añadido)</w:t>
      </w:r>
    </w:p>
    <w:p w14:paraId="1C64EDF9" w14:textId="77777777" w:rsidR="007E613E" w:rsidRPr="00B2114D" w:rsidRDefault="007E613E" w:rsidP="007E613E">
      <w:pPr>
        <w:spacing w:line="276" w:lineRule="auto"/>
        <w:ind w:left="851" w:right="902"/>
        <w:jc w:val="both"/>
        <w:rPr>
          <w:rFonts w:ascii="Calibri" w:eastAsia="Calibri" w:hAnsi="Calibri" w:cs="Calibri"/>
          <w:sz w:val="22"/>
          <w:szCs w:val="22"/>
          <w:lang w:val="es-MX"/>
        </w:rPr>
      </w:pPr>
    </w:p>
    <w:p w14:paraId="670A374E"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Derivado de lo anterior, la ley establece claramente cuáles son esos descuentos o gravámenes que directamente se relacionan con las obligaciones adquiridas como servidores públicos y aquéllos que </w:t>
      </w:r>
      <w:r w:rsidRPr="00B2114D">
        <w:rPr>
          <w:rFonts w:ascii="Palatino Linotype" w:eastAsia="Palatino Linotype" w:hAnsi="Palatino Linotype" w:cs="Palatino Linotype"/>
          <w:b/>
          <w:lang w:val="es-MX"/>
        </w:rPr>
        <w:t>únicamente inciden en su vida privada</w:t>
      </w:r>
      <w:r w:rsidRPr="00B2114D">
        <w:rPr>
          <w:rFonts w:ascii="Palatino Linotype" w:eastAsia="Palatino Linotype" w:hAnsi="Palatino Linotype" w:cs="Palatino Linotype"/>
          <w:lang w:val="es-MX"/>
        </w:rPr>
        <w:t>. De este modo, descuentos por pensiones alimenticias o créditos adquiridos con instituciones privadas o públicas pero que fueron contraídas en forma individual, son información que debe clasificarse como confidencial.</w:t>
      </w:r>
    </w:p>
    <w:p w14:paraId="0DF8A0FA" w14:textId="77777777" w:rsidR="007E613E" w:rsidRPr="00B2114D" w:rsidRDefault="007E613E" w:rsidP="007E613E">
      <w:pPr>
        <w:spacing w:line="360" w:lineRule="auto"/>
        <w:jc w:val="both"/>
        <w:rPr>
          <w:rFonts w:ascii="Calibri" w:eastAsia="Calibri" w:hAnsi="Calibri" w:cs="Calibri"/>
          <w:lang w:val="es-MX"/>
        </w:rPr>
      </w:pPr>
    </w:p>
    <w:p w14:paraId="1644510B"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55E5CBA4"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Sirven de sustento a lo anterior, las tesis jurisprudenciales </w:t>
      </w:r>
      <w:r w:rsidRPr="00B2114D">
        <w:rPr>
          <w:rFonts w:ascii="Palatino Linotype" w:eastAsia="Palatino Linotype" w:hAnsi="Palatino Linotype" w:cs="Palatino Linotype"/>
          <w:i/>
          <w:lang w:val="es-MX"/>
        </w:rPr>
        <w:t xml:space="preserve">P. LX/2000 </w:t>
      </w:r>
      <w:r w:rsidRPr="00B2114D">
        <w:rPr>
          <w:rFonts w:ascii="Palatino Linotype" w:eastAsia="Palatino Linotype" w:hAnsi="Palatino Linotype" w:cs="Palatino Linotype"/>
          <w:lang w:val="es-MX"/>
        </w:rPr>
        <w:t xml:space="preserve">y </w:t>
      </w:r>
      <w:r w:rsidRPr="00B2114D">
        <w:rPr>
          <w:rFonts w:ascii="Palatino Linotype" w:eastAsia="Palatino Linotype" w:hAnsi="Palatino Linotype" w:cs="Palatino Linotype"/>
          <w:i/>
          <w:lang w:val="es-MX"/>
        </w:rPr>
        <w:t>2a. XLIII/2008</w:t>
      </w:r>
      <w:r w:rsidRPr="00B2114D">
        <w:rPr>
          <w:rFonts w:ascii="Tahoma" w:eastAsia="Tahoma" w:hAnsi="Tahoma" w:cs="Tahoma"/>
          <w:b/>
          <w:sz w:val="20"/>
          <w:szCs w:val="20"/>
          <w:lang w:val="es-MX"/>
        </w:rPr>
        <w:t xml:space="preserve"> </w:t>
      </w:r>
      <w:r w:rsidRPr="00B2114D">
        <w:rPr>
          <w:rFonts w:ascii="Palatino Linotype" w:eastAsia="Palatino Linotype" w:hAnsi="Palatino Linotype" w:cs="Palatino Linotype"/>
          <w:lang w:val="es-MX"/>
        </w:rPr>
        <w:t>emitidas por el Peno y la Segunda Sala de la Suprema Corte de Justicia de la Nación, respectivamente, que son del tenor literal siguiente:</w:t>
      </w:r>
    </w:p>
    <w:p w14:paraId="6BC238B4"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15064156" w14:textId="77777777" w:rsidR="007E613E" w:rsidRPr="00B2114D" w:rsidRDefault="007E613E" w:rsidP="007E613E">
      <w:pPr>
        <w:spacing w:line="276" w:lineRule="auto"/>
        <w:ind w:left="851" w:right="85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 xml:space="preserve">“DERECHO A LA INFORMACIÓN. SU EJERCICIO SE ENCUENTRA LIMITADO TANTO POR LOS INTERESES NACIONALES Y DE LA SOCIEDAD, COMO POR LOS DERECHOS DE TERCEROS. </w:t>
      </w:r>
      <w:r w:rsidRPr="00B2114D">
        <w:rPr>
          <w:rFonts w:ascii="Palatino Linotype" w:eastAsia="Palatino Linotype" w:hAnsi="Palatino Linotype" w:cs="Palatino Linotype"/>
          <w:i/>
          <w:sz w:val="22"/>
          <w:szCs w:val="22"/>
          <w:lang w:val="es-MX"/>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B2114D">
        <w:rPr>
          <w:rFonts w:ascii="Palatino Linotype" w:eastAsia="Palatino Linotype" w:hAnsi="Palatino Linotype" w:cs="Palatino Linotype"/>
          <w:b/>
          <w:i/>
          <w:sz w:val="22"/>
          <w:szCs w:val="22"/>
          <w:lang w:val="es-MX"/>
        </w:rPr>
        <w:t>restringen el acceso a la información en esta materia, en razón de que su conocimiento público puede generar daños a los intereses nacionales y, por el otro, sancionan la inobservancia de esa reserva</w:t>
      </w:r>
      <w:r w:rsidRPr="00B2114D">
        <w:rPr>
          <w:rFonts w:ascii="Palatino Linotype" w:eastAsia="Palatino Linotype" w:hAnsi="Palatino Linotype" w:cs="Palatino Linotype"/>
          <w:i/>
          <w:sz w:val="22"/>
          <w:szCs w:val="22"/>
          <w:lang w:val="es-MX"/>
        </w:rPr>
        <w:t xml:space="preserve">; por lo que hace al interés social, se cuenta con normas que tienden a proteger la averiguación de los delitos, la salud y la moral públicas, </w:t>
      </w:r>
      <w:r w:rsidRPr="00B2114D">
        <w:rPr>
          <w:rFonts w:ascii="Palatino Linotype" w:eastAsia="Palatino Linotype" w:hAnsi="Palatino Linotype" w:cs="Palatino Linotype"/>
          <w:b/>
          <w:i/>
          <w:sz w:val="22"/>
          <w:szCs w:val="22"/>
          <w:lang w:val="es-MX"/>
        </w:rPr>
        <w:t>mientras que por lo que respecta a la protección de la persona existen normas que protegen el derecho a la vida o a la privacidad de los gobernados</w:t>
      </w:r>
      <w:r w:rsidRPr="00B2114D">
        <w:rPr>
          <w:rFonts w:ascii="Palatino Linotype" w:eastAsia="Palatino Linotype" w:hAnsi="Palatino Linotype" w:cs="Palatino Linotype"/>
          <w:i/>
          <w:sz w:val="22"/>
          <w:szCs w:val="22"/>
          <w:lang w:val="es-MX"/>
        </w:rPr>
        <w:t>.”</w:t>
      </w:r>
    </w:p>
    <w:p w14:paraId="2C05421B" w14:textId="77777777" w:rsidR="007E613E" w:rsidRPr="00B2114D" w:rsidRDefault="007E613E" w:rsidP="007E613E">
      <w:pPr>
        <w:spacing w:line="276" w:lineRule="auto"/>
        <w:ind w:left="851" w:right="851"/>
        <w:jc w:val="both"/>
        <w:rPr>
          <w:rFonts w:ascii="Palatino Linotype" w:eastAsia="Palatino Linotype" w:hAnsi="Palatino Linotype" w:cs="Palatino Linotype"/>
          <w:i/>
          <w:sz w:val="22"/>
          <w:szCs w:val="22"/>
          <w:lang w:val="es-MX"/>
        </w:rPr>
      </w:pPr>
    </w:p>
    <w:p w14:paraId="60C5D2AF" w14:textId="77777777" w:rsidR="007E613E" w:rsidRPr="00B2114D" w:rsidRDefault="007E613E" w:rsidP="007E613E">
      <w:pPr>
        <w:spacing w:line="276" w:lineRule="auto"/>
        <w:ind w:left="851" w:right="85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b/>
          <w:i/>
          <w:sz w:val="22"/>
          <w:szCs w:val="22"/>
          <w:lang w:val="es-MX"/>
        </w:rPr>
        <w:t xml:space="preserve">“TRANSPARENCIA Y ACCESO A LA INFORMACIÓN PÚBLICA GUBERNAMENTAL. EL ARTÍCULO 14, FRACCIÓN I, DE LA LEY FEDERAL RELATIVA, NO VIOLA LA GARANTÍA DE ACCESO A LA INFORMACIÓN. </w:t>
      </w:r>
      <w:r w:rsidRPr="00B2114D">
        <w:rPr>
          <w:rFonts w:ascii="Palatino Linotype" w:eastAsia="Palatino Linotype" w:hAnsi="Palatino Linotype" w:cs="Palatino Linotype"/>
          <w:i/>
          <w:sz w:val="22"/>
          <w:szCs w:val="22"/>
          <w:lang w:val="es-MX"/>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B2114D">
        <w:rPr>
          <w:rFonts w:ascii="Palatino Linotype" w:eastAsia="Palatino Linotype" w:hAnsi="Palatino Linotype" w:cs="Palatino Linotype"/>
          <w:b/>
          <w:i/>
          <w:sz w:val="22"/>
          <w:szCs w:val="22"/>
          <w:lang w:val="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B2114D">
        <w:rPr>
          <w:rFonts w:ascii="Palatino Linotype" w:eastAsia="Palatino Linotype" w:hAnsi="Palatino Linotype" w:cs="Palatino Linotype"/>
          <w:i/>
          <w:sz w:val="22"/>
          <w:szCs w:val="22"/>
          <w:lang w:val="es-MX"/>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20306B5A" w14:textId="77777777" w:rsidR="007E613E" w:rsidRPr="00B2114D" w:rsidRDefault="007E613E" w:rsidP="007E613E">
      <w:pPr>
        <w:spacing w:line="360" w:lineRule="auto"/>
        <w:ind w:left="851" w:right="851"/>
        <w:jc w:val="both"/>
        <w:rPr>
          <w:rFonts w:ascii="Palatino Linotype" w:eastAsia="Palatino Linotype" w:hAnsi="Palatino Linotype" w:cs="Palatino Linotype"/>
          <w:i/>
          <w:sz w:val="22"/>
          <w:szCs w:val="22"/>
          <w:lang w:val="es-MX"/>
        </w:rPr>
      </w:pPr>
    </w:p>
    <w:p w14:paraId="7C93251F" w14:textId="77777777" w:rsidR="007E613E" w:rsidRPr="00B2114D" w:rsidRDefault="007E613E" w:rsidP="007E613E">
      <w:pPr>
        <w:spacing w:line="360" w:lineRule="auto"/>
        <w:ind w:right="-93"/>
        <w:jc w:val="both"/>
        <w:rPr>
          <w:rFonts w:ascii="Palatino Linotype" w:eastAsia="Palatino Linotype" w:hAnsi="Palatino Linotype" w:cs="Palatino Linotype"/>
          <w:b/>
          <w:lang w:val="es-MX"/>
        </w:rPr>
      </w:pPr>
      <w:r w:rsidRPr="00B2114D">
        <w:rPr>
          <w:rFonts w:ascii="Palatino Linotype" w:eastAsia="Palatino Linotype" w:hAnsi="Palatino Linotype" w:cs="Palatino Linotype"/>
          <w:lang w:val="es-MX"/>
        </w:rPr>
        <w:t>También,</w:t>
      </w:r>
      <w:r w:rsidRPr="00B2114D">
        <w:rPr>
          <w:rFonts w:ascii="Palatino Linotype" w:eastAsia="Palatino Linotype" w:hAnsi="Palatino Linotype" w:cs="Palatino Linotype"/>
          <w:b/>
          <w:lang w:val="es-MX"/>
        </w:rPr>
        <w:t xml:space="preserve"> el número de cuenta bancario</w:t>
      </w:r>
      <w:r w:rsidRPr="00B2114D">
        <w:rPr>
          <w:rFonts w:ascii="Palatino Linotype" w:eastAsia="Palatino Linotype" w:hAnsi="Palatino Linotype" w:cs="Palatino Linotype"/>
          <w:lang w:val="es-MX"/>
        </w:rPr>
        <w:t>, en el Criterio 10/17 emitido por el Pleno del Instituto Nacional de Transparencia, Acceso a la Información y Protección de Datos Personales  se establece lo siguiente:</w:t>
      </w:r>
    </w:p>
    <w:p w14:paraId="340416C4" w14:textId="77777777" w:rsidR="007E613E" w:rsidRPr="00B2114D" w:rsidRDefault="007E613E" w:rsidP="007E613E">
      <w:pPr>
        <w:shd w:val="clear" w:color="auto" w:fill="FFFFFF"/>
        <w:spacing w:line="360" w:lineRule="auto"/>
        <w:ind w:left="567" w:right="567"/>
        <w:jc w:val="both"/>
        <w:rPr>
          <w:rFonts w:ascii="Palatino Linotype" w:eastAsia="Palatino Linotype" w:hAnsi="Palatino Linotype" w:cs="Palatino Linotype"/>
          <w:sz w:val="22"/>
          <w:szCs w:val="22"/>
          <w:lang w:val="es-MX"/>
        </w:rPr>
      </w:pPr>
    </w:p>
    <w:p w14:paraId="1BEA2476" w14:textId="77777777" w:rsidR="007E613E" w:rsidRPr="00B2114D" w:rsidRDefault="007E613E" w:rsidP="007E613E">
      <w:pPr>
        <w:shd w:val="clear" w:color="auto" w:fill="FFFFFF"/>
        <w:spacing w:line="276" w:lineRule="auto"/>
        <w:ind w:left="567" w:right="567"/>
        <w:jc w:val="both"/>
        <w:rPr>
          <w:rFonts w:ascii="Palatino Linotype" w:eastAsia="Palatino Linotype" w:hAnsi="Palatino Linotype" w:cs="Palatino Linotype"/>
          <w:sz w:val="22"/>
          <w:szCs w:val="22"/>
          <w:lang w:val="es-MX"/>
        </w:rPr>
      </w:pPr>
      <w:r w:rsidRPr="00B2114D">
        <w:rPr>
          <w:rFonts w:ascii="Palatino Linotype" w:eastAsia="Palatino Linotype" w:hAnsi="Palatino Linotype" w:cs="Palatino Linotype"/>
          <w:sz w:val="22"/>
          <w:szCs w:val="22"/>
          <w:lang w:val="es-MX"/>
        </w:rPr>
        <w:t>“</w:t>
      </w:r>
      <w:r w:rsidRPr="00B2114D">
        <w:rPr>
          <w:rFonts w:ascii="Palatino Linotype" w:eastAsia="Palatino Linotype" w:hAnsi="Palatino Linotype" w:cs="Palatino Linotype"/>
          <w:b/>
          <w:i/>
          <w:sz w:val="22"/>
          <w:szCs w:val="22"/>
          <w:lang w:val="es-MX"/>
        </w:rPr>
        <w:t>Cuentas bancarias y/o CLABE interbancaria de personas físicas y morales privadas.</w:t>
      </w:r>
      <w:r w:rsidRPr="00B2114D">
        <w:rPr>
          <w:rFonts w:ascii="Palatino Linotype" w:eastAsia="Palatino Linotype" w:hAnsi="Palatino Linotype" w:cs="Palatino Linotype"/>
          <w:i/>
          <w:sz w:val="22"/>
          <w:szCs w:val="22"/>
          <w:lang w:val="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B2114D">
        <w:rPr>
          <w:rFonts w:ascii="Palatino Linotype" w:eastAsia="Palatino Linotype" w:hAnsi="Palatino Linotype" w:cs="Palatino Linotype"/>
          <w:sz w:val="22"/>
          <w:szCs w:val="22"/>
          <w:lang w:val="es-MX"/>
        </w:rPr>
        <w:t>.”</w:t>
      </w:r>
    </w:p>
    <w:p w14:paraId="008592BF" w14:textId="77777777" w:rsidR="007E613E" w:rsidRPr="00B2114D" w:rsidRDefault="007E613E" w:rsidP="007E613E">
      <w:pPr>
        <w:spacing w:after="160" w:line="360" w:lineRule="auto"/>
        <w:jc w:val="both"/>
        <w:rPr>
          <w:rFonts w:ascii="Palatino Linotype" w:eastAsia="Palatino Linotype" w:hAnsi="Palatino Linotype" w:cs="Palatino Linotype"/>
          <w:sz w:val="22"/>
          <w:szCs w:val="22"/>
          <w:lang w:val="es-MX"/>
        </w:rPr>
      </w:pPr>
    </w:p>
    <w:p w14:paraId="1F5B4EA1" w14:textId="77777777" w:rsidR="007E613E" w:rsidRPr="00B2114D" w:rsidRDefault="007E613E" w:rsidP="007E613E">
      <w:pPr>
        <w:spacing w:line="360" w:lineRule="auto"/>
        <w:ind w:right="-91"/>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0CE43489" w14:textId="77777777" w:rsidR="007E613E" w:rsidRPr="00B2114D" w:rsidRDefault="007E613E" w:rsidP="007E613E">
      <w:pPr>
        <w:spacing w:line="360" w:lineRule="auto"/>
        <w:ind w:right="-91"/>
        <w:jc w:val="both"/>
        <w:rPr>
          <w:rFonts w:ascii="Palatino Linotype" w:eastAsia="Palatino Linotype" w:hAnsi="Palatino Linotype" w:cs="Palatino Linotype"/>
          <w:lang w:val="es-MX"/>
        </w:rPr>
      </w:pPr>
    </w:p>
    <w:p w14:paraId="29C013AC" w14:textId="77777777" w:rsidR="007E613E" w:rsidRPr="00B2114D" w:rsidRDefault="007E613E" w:rsidP="007E613E">
      <w:pPr>
        <w:spacing w:line="360" w:lineRule="auto"/>
        <w:ind w:right="-91"/>
        <w:jc w:val="both"/>
        <w:rPr>
          <w:rFonts w:ascii="Palatino Linotype" w:eastAsia="Palatino Linotype" w:hAnsi="Palatino Linotype" w:cs="Palatino Linotype"/>
          <w:b/>
          <w:lang w:val="es-MX"/>
        </w:rPr>
      </w:pPr>
      <w:r w:rsidRPr="00B2114D">
        <w:rPr>
          <w:rFonts w:ascii="Palatino Linotype" w:eastAsia="Palatino Linotype" w:hAnsi="Palatino Linotype" w:cs="Palatino Linotype"/>
          <w:lang w:val="es-MX"/>
        </w:rPr>
        <w:t xml:space="preserve">El </w:t>
      </w:r>
      <w:r w:rsidRPr="00B2114D">
        <w:rPr>
          <w:rFonts w:ascii="Palatino Linotype" w:eastAsia="Palatino Linotype" w:hAnsi="Palatino Linotype" w:cs="Palatino Linotype"/>
          <w:b/>
          <w:lang w:val="es-MX"/>
        </w:rPr>
        <w:t>Código de barras bidimensional (QR)</w:t>
      </w:r>
      <w:r w:rsidRPr="00B2114D">
        <w:rPr>
          <w:rFonts w:ascii="Palatino Linotype" w:eastAsia="Palatino Linotype" w:hAnsi="Palatino Linotype" w:cs="Palatino Linotype"/>
          <w:lang w:val="es-MX"/>
        </w:rPr>
        <w:t xml:space="preserve">, resulta necesario señalar que los comprobantes fiscales digitales por Internet, deben de incluir un código bidimensional conforme al formato </w:t>
      </w:r>
      <w:r w:rsidRPr="00B2114D">
        <w:rPr>
          <w:rFonts w:ascii="Palatino Linotype" w:eastAsia="Palatino Linotype" w:hAnsi="Palatino Linotype" w:cs="Palatino Linotype"/>
          <w:i/>
          <w:lang w:val="es-MX"/>
        </w:rPr>
        <w:t>QR Code (Quick Response Code)</w:t>
      </w:r>
      <w:r w:rsidRPr="00B2114D">
        <w:rPr>
          <w:rFonts w:ascii="Palatino Linotype" w:eastAsia="Palatino Linotype" w:hAnsi="Palatino Linotype" w:cs="Palatino Linotype"/>
          <w:lang w:val="es-MX"/>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7">
        <w:r w:rsidRPr="00B2114D">
          <w:rPr>
            <w:rFonts w:ascii="Palatino Linotype" w:eastAsia="Palatino Linotype" w:hAnsi="Palatino Linotype" w:cs="Palatino Linotype"/>
            <w:color w:val="0000FF"/>
            <w:u w:val="single"/>
            <w:lang w:val="es-MX"/>
          </w:rPr>
          <w:t>http://dof.gob.mx/nota_detalle.php?codigo=5492254&amp;fecha=28/07/2017</w:t>
        </w:r>
      </w:hyperlink>
      <w:r w:rsidRPr="00B2114D">
        <w:rPr>
          <w:rFonts w:ascii="Palatino Linotype" w:eastAsia="Palatino Linotype" w:hAnsi="Palatino Linotype" w:cs="Palatino Linotype"/>
          <w:lang w:val="es-MX"/>
        </w:rPr>
        <w:t xml:space="preserve">. Incluso con la captura de dicho código, a través de la aplicación móvil del Servicio de Administración Tributaria, permite el acceso al Registro Federal de Contribuyentes, como del </w:t>
      </w:r>
      <w:r w:rsidRPr="00B2114D">
        <w:rPr>
          <w:rFonts w:ascii="Palatino Linotype" w:eastAsia="Palatino Linotype" w:hAnsi="Palatino Linotype" w:cs="Palatino Linotype"/>
          <w:b/>
          <w:lang w:val="es-MX"/>
        </w:rPr>
        <w:t>Sujeto Obligado</w:t>
      </w:r>
      <w:r w:rsidRPr="00B2114D">
        <w:rPr>
          <w:rFonts w:ascii="Palatino Linotype" w:eastAsia="Palatino Linotype" w:hAnsi="Palatino Linotype" w:cs="Palatino Linotype"/>
          <w:lang w:val="es-MX"/>
        </w:rPr>
        <w:t>, como de la persona física o moral correspondiente.</w:t>
      </w:r>
    </w:p>
    <w:p w14:paraId="48BF698A" w14:textId="77777777" w:rsidR="007E613E" w:rsidRPr="00B2114D" w:rsidRDefault="007E613E" w:rsidP="007E613E">
      <w:pPr>
        <w:spacing w:line="360" w:lineRule="auto"/>
        <w:ind w:right="-91"/>
        <w:jc w:val="both"/>
        <w:rPr>
          <w:rFonts w:ascii="Palatino Linotype" w:eastAsia="Palatino Linotype" w:hAnsi="Palatino Linotype" w:cs="Palatino Linotype"/>
          <w:lang w:val="es-MX"/>
        </w:rPr>
      </w:pPr>
    </w:p>
    <w:p w14:paraId="7240B03A" w14:textId="77777777" w:rsidR="007E613E" w:rsidRPr="00B2114D" w:rsidRDefault="007E613E" w:rsidP="007E613E">
      <w:pPr>
        <w:spacing w:after="80" w:line="360" w:lineRule="auto"/>
        <w:ind w:right="-91"/>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36B5A88B" w14:textId="77777777" w:rsidR="007E613E" w:rsidRPr="00B2114D" w:rsidRDefault="007E613E" w:rsidP="007E613E">
      <w:pPr>
        <w:spacing w:after="80" w:line="360" w:lineRule="auto"/>
        <w:ind w:right="-91"/>
        <w:jc w:val="both"/>
        <w:rPr>
          <w:rFonts w:ascii="Palatino Linotype" w:eastAsia="Palatino Linotype" w:hAnsi="Palatino Linotype" w:cs="Palatino Linotype"/>
          <w:lang w:val="es-MX"/>
        </w:rPr>
      </w:pPr>
    </w:p>
    <w:p w14:paraId="720F9F8E" w14:textId="77777777" w:rsidR="007E613E" w:rsidRPr="00B2114D" w:rsidRDefault="007E613E" w:rsidP="007E613E">
      <w:pPr>
        <w:shd w:val="clear" w:color="auto" w:fill="FFFFFF"/>
        <w:spacing w:before="80" w:after="240" w:line="360" w:lineRule="auto"/>
        <w:jc w:val="both"/>
        <w:rPr>
          <w:rFonts w:ascii="Calibri" w:eastAsia="Calibri" w:hAnsi="Calibri" w:cs="Calibri"/>
          <w:color w:val="222222"/>
          <w:lang w:val="es-MX"/>
        </w:rPr>
      </w:pPr>
      <w:r w:rsidRPr="00B2114D">
        <w:rPr>
          <w:rFonts w:ascii="Palatino Linotype" w:eastAsia="Palatino Linotype" w:hAnsi="Palatino Linotype" w:cs="Palatino Linotype"/>
          <w:color w:val="222222"/>
          <w:lang w:val="es-MX"/>
        </w:rPr>
        <w:t>Por otra parte y respecto a</w:t>
      </w:r>
      <w:r w:rsidRPr="00B2114D">
        <w:rPr>
          <w:rFonts w:ascii="Palatino Linotype" w:eastAsia="Palatino Linotype" w:hAnsi="Palatino Linotype" w:cs="Palatino Linotype"/>
          <w:b/>
          <w:color w:val="222222"/>
          <w:lang w:val="es-MX"/>
        </w:rPr>
        <w:t xml:space="preserve"> la clave de seguridad social y en su caso clave o número del servidor público –trabajador-,</w:t>
      </w:r>
      <w:r w:rsidRPr="00B2114D">
        <w:rPr>
          <w:rFonts w:ascii="Palatino Linotype" w:eastAsia="Palatino Linotype" w:hAnsi="Palatino Linotype" w:cs="Palatino Linotype"/>
          <w:color w:val="222222"/>
          <w:lang w:val="es-MX"/>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5C68FA3A" w14:textId="77777777" w:rsidR="007E613E" w:rsidRPr="00B2114D" w:rsidRDefault="007E613E" w:rsidP="007E613E">
      <w:pPr>
        <w:shd w:val="clear" w:color="auto" w:fill="FFFFFF"/>
        <w:spacing w:before="240" w:line="276" w:lineRule="auto"/>
        <w:ind w:left="567" w:right="900"/>
        <w:jc w:val="both"/>
        <w:rPr>
          <w:rFonts w:ascii="Calibri" w:eastAsia="Calibri" w:hAnsi="Calibri" w:cs="Calibri"/>
          <w:color w:val="222222"/>
          <w:lang w:val="es-MX"/>
        </w:rPr>
      </w:pPr>
      <w:r w:rsidRPr="00B2114D">
        <w:rPr>
          <w:rFonts w:ascii="Palatino Linotype" w:eastAsia="Palatino Linotype" w:hAnsi="Palatino Linotype" w:cs="Palatino Linotype"/>
          <w:b/>
          <w:i/>
          <w:color w:val="222222"/>
          <w:sz w:val="22"/>
          <w:szCs w:val="22"/>
          <w:lang w:val="es-MX"/>
        </w:rPr>
        <w:t>“El número de ficha de identificación única de los trabajadores es información de carácter confidencial.</w:t>
      </w:r>
      <w:r w:rsidRPr="00B2114D">
        <w:rPr>
          <w:rFonts w:ascii="Palatino Linotype" w:eastAsia="Palatino Linotype" w:hAnsi="Palatino Linotype" w:cs="Palatino Linotype"/>
          <w:i/>
          <w:color w:val="222222"/>
          <w:sz w:val="22"/>
          <w:szCs w:val="22"/>
          <w:lang w:val="es-MX"/>
        </w:rPr>
        <w:t> </w:t>
      </w:r>
      <w:r w:rsidRPr="00B2114D">
        <w:rPr>
          <w:rFonts w:ascii="Palatino Linotype" w:eastAsia="Palatino Linotype" w:hAnsi="Palatino Linotype" w:cs="Palatino Linotype"/>
          <w:i/>
          <w:color w:val="222222"/>
          <w:sz w:val="22"/>
          <w:szCs w:val="22"/>
          <w:u w:val="single"/>
          <w:lang w:val="es-MX"/>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2114D">
        <w:rPr>
          <w:rFonts w:ascii="Palatino Linotype" w:eastAsia="Palatino Linotype" w:hAnsi="Palatino Linotype" w:cs="Palatino Linotype"/>
          <w:i/>
          <w:color w:val="222222"/>
          <w:sz w:val="22"/>
          <w:szCs w:val="22"/>
          <w:lang w:val="es-MX"/>
        </w:rPr>
        <w:t>, </w:t>
      </w:r>
      <w:r w:rsidRPr="00B2114D">
        <w:rPr>
          <w:rFonts w:ascii="Palatino Linotype" w:eastAsia="Palatino Linotype" w:hAnsi="Palatino Linotype" w:cs="Palatino Linotype"/>
          <w:i/>
          <w:color w:val="222222"/>
          <w:sz w:val="22"/>
          <w:szCs w:val="22"/>
          <w:u w:val="single"/>
          <w:lang w:val="es-MX"/>
        </w:rPr>
        <w:t>dicha información es susceptible de clasificarse con el carácter de confidencial</w:t>
      </w:r>
      <w:r w:rsidRPr="00B2114D">
        <w:rPr>
          <w:rFonts w:ascii="Palatino Linotype" w:eastAsia="Palatino Linotype" w:hAnsi="Palatino Linotype" w:cs="Palatino Linotype"/>
          <w:i/>
          <w:color w:val="222222"/>
          <w:sz w:val="22"/>
          <w:szCs w:val="22"/>
          <w:lang w:val="es-MX"/>
        </w:rPr>
        <w:t xml:space="preserve">, en términos de lo establecido en el artículo 18, fracción II de la Ley Federal de Transparencia y Acceso a la Información Pública Gubernamental, en virtud de que a través de la misma es </w:t>
      </w:r>
      <w:r w:rsidRPr="00B2114D">
        <w:rPr>
          <w:rFonts w:ascii="Palatino Linotype" w:eastAsia="Palatino Linotype" w:hAnsi="Palatino Linotype" w:cs="Palatino Linotype"/>
          <w:i/>
          <w:color w:val="222222"/>
          <w:lang w:val="es-MX"/>
        </w:rPr>
        <w:t>posible conocer información personal de su titular.” (Sic)</w:t>
      </w:r>
    </w:p>
    <w:p w14:paraId="425475C9" w14:textId="77777777" w:rsidR="007E613E" w:rsidRPr="00B2114D" w:rsidRDefault="007E613E" w:rsidP="007E613E">
      <w:pPr>
        <w:spacing w:line="360" w:lineRule="auto"/>
        <w:ind w:right="-93"/>
        <w:jc w:val="both"/>
        <w:rPr>
          <w:rFonts w:ascii="Palatino Linotype" w:eastAsia="Palatino Linotype" w:hAnsi="Palatino Linotype" w:cs="Palatino Linotype"/>
          <w:lang w:val="es-MX"/>
        </w:rPr>
      </w:pPr>
    </w:p>
    <w:p w14:paraId="3D377D61" w14:textId="77777777" w:rsidR="007E613E" w:rsidRPr="00B2114D" w:rsidRDefault="007E613E" w:rsidP="007E613E">
      <w:pPr>
        <w:spacing w:line="360" w:lineRule="auto"/>
        <w:ind w:right="-93"/>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Al respecto, es de señalar que </w:t>
      </w:r>
      <w:r w:rsidRPr="00B2114D">
        <w:rPr>
          <w:rFonts w:ascii="Palatino Linotype" w:eastAsia="Palatino Linotype" w:hAnsi="Palatino Linotype" w:cs="Palatino Linotype"/>
          <w:b/>
          <w:lang w:val="es-MX"/>
        </w:rPr>
        <w:t xml:space="preserve">la firma </w:t>
      </w:r>
      <w:r w:rsidRPr="00B2114D">
        <w:rPr>
          <w:rFonts w:ascii="Palatino Linotype" w:eastAsia="Palatino Linotype" w:hAnsi="Palatino Linotype" w:cs="Palatino Linotype"/>
          <w:lang w:val="es-MX"/>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14D1D885" w14:textId="77777777" w:rsidR="007E613E" w:rsidRPr="00B2114D" w:rsidRDefault="007E613E" w:rsidP="007E613E">
      <w:pPr>
        <w:spacing w:line="360" w:lineRule="auto"/>
        <w:ind w:right="-93"/>
        <w:jc w:val="both"/>
        <w:rPr>
          <w:rFonts w:ascii="Palatino Linotype" w:eastAsia="Palatino Linotype" w:hAnsi="Palatino Linotype" w:cs="Palatino Linotype"/>
          <w:lang w:val="es-MX"/>
        </w:rPr>
      </w:pPr>
    </w:p>
    <w:p w14:paraId="516C1778" w14:textId="77777777" w:rsidR="007E613E" w:rsidRPr="00B2114D" w:rsidRDefault="007E613E" w:rsidP="007E613E">
      <w:pPr>
        <w:spacing w:line="360" w:lineRule="auto"/>
        <w:ind w:right="-93"/>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3ACD366D" w14:textId="77777777" w:rsidR="007E613E" w:rsidRPr="00B2114D" w:rsidRDefault="007E613E" w:rsidP="007E613E">
      <w:pPr>
        <w:spacing w:line="360" w:lineRule="auto"/>
        <w:ind w:right="-93"/>
        <w:jc w:val="both"/>
        <w:rPr>
          <w:rFonts w:ascii="Palatino Linotype" w:eastAsia="Palatino Linotype" w:hAnsi="Palatino Linotype" w:cs="Palatino Linotype"/>
          <w:lang w:val="es-MX"/>
        </w:rPr>
      </w:pPr>
    </w:p>
    <w:p w14:paraId="6DADD9A6" w14:textId="77777777" w:rsidR="007E613E" w:rsidRPr="00B2114D" w:rsidRDefault="007E613E" w:rsidP="007E613E">
      <w:pPr>
        <w:spacing w:line="360" w:lineRule="auto"/>
        <w:ind w:right="-93"/>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41839E48" w14:textId="77777777" w:rsidR="007E613E" w:rsidRPr="00B2114D" w:rsidRDefault="007E613E" w:rsidP="007E613E">
      <w:pPr>
        <w:spacing w:line="360" w:lineRule="auto"/>
        <w:ind w:right="-93"/>
        <w:jc w:val="both"/>
        <w:rPr>
          <w:rFonts w:ascii="Palatino Linotype" w:eastAsia="Palatino Linotype" w:hAnsi="Palatino Linotype" w:cs="Palatino Linotype"/>
          <w:lang w:val="es-MX"/>
        </w:rPr>
      </w:pPr>
    </w:p>
    <w:p w14:paraId="715BF610" w14:textId="77777777" w:rsidR="007E613E" w:rsidRPr="00B2114D" w:rsidRDefault="007E613E" w:rsidP="007E613E">
      <w:pPr>
        <w:spacing w:line="360" w:lineRule="auto"/>
        <w:ind w:right="49"/>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Sirve de sustento a lo anterior el Criterio de Interpretación 02/19 emitido por el Instituto Nacional de Transparencia, Acceso a la Información y Protección de Datos Personales, cuyo rubro y texto establecen lo siguiente:</w:t>
      </w:r>
    </w:p>
    <w:p w14:paraId="6FFBAFB5" w14:textId="77777777" w:rsidR="007E613E" w:rsidRPr="00B2114D" w:rsidRDefault="007E613E" w:rsidP="007E613E">
      <w:pPr>
        <w:spacing w:after="160" w:line="276" w:lineRule="auto"/>
        <w:ind w:right="-93"/>
        <w:jc w:val="both"/>
        <w:rPr>
          <w:rFonts w:ascii="Palatino Linotype" w:eastAsia="Palatino Linotype" w:hAnsi="Palatino Linotype" w:cs="Palatino Linotype"/>
          <w:sz w:val="22"/>
          <w:szCs w:val="22"/>
          <w:lang w:val="es-MX"/>
        </w:rPr>
      </w:pPr>
    </w:p>
    <w:p w14:paraId="2590A22D" w14:textId="77777777" w:rsidR="007E613E" w:rsidRPr="00B2114D" w:rsidRDefault="007E613E" w:rsidP="007E613E">
      <w:pPr>
        <w:spacing w:line="276" w:lineRule="auto"/>
        <w:ind w:left="1134" w:right="1041"/>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w:t>
      </w:r>
      <w:r w:rsidRPr="00B2114D">
        <w:rPr>
          <w:rFonts w:ascii="Palatino Linotype" w:eastAsia="Palatino Linotype" w:hAnsi="Palatino Linotype" w:cs="Palatino Linotype"/>
          <w:b/>
          <w:i/>
          <w:sz w:val="22"/>
          <w:szCs w:val="22"/>
          <w:lang w:val="es-MX"/>
        </w:rPr>
        <w:t>FIRMA Y RÚBRICA DE SERVIDORES PÚBLICOS.</w:t>
      </w:r>
      <w:r w:rsidRPr="00B2114D">
        <w:rPr>
          <w:rFonts w:ascii="Palatino Linotype" w:eastAsia="Palatino Linotype" w:hAnsi="Palatino Linotype" w:cs="Palatino Linotype"/>
          <w:i/>
          <w:sz w:val="22"/>
          <w:szCs w:val="22"/>
          <w:lang w:val="es-MX"/>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8AA4FB8"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78C12899"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Al respecto, se destaca que la versión pública que elabore el </w:t>
      </w:r>
      <w:r w:rsidRPr="00B2114D">
        <w:rPr>
          <w:rFonts w:ascii="Palatino Linotype" w:eastAsia="Palatino Linotype" w:hAnsi="Palatino Linotype" w:cs="Palatino Linotype"/>
          <w:b/>
          <w:lang w:val="es-MX"/>
        </w:rPr>
        <w:t>SUJETO OBLIGADO</w:t>
      </w:r>
      <w:r w:rsidRPr="00B2114D">
        <w:rPr>
          <w:rFonts w:ascii="Palatino Linotype" w:eastAsia="Palatino Linotype" w:hAnsi="Palatino Linotype" w:cs="Palatino Linotype"/>
          <w:lang w:val="es-MX"/>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253F5EDC"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0B26D958"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Efectivamente, cuando se clasifica información como confidencial o reservada es importante someterlo al Comité de Transparencia, quien debe confirmar, modificar o revocar la clasificación.</w:t>
      </w:r>
    </w:p>
    <w:p w14:paraId="6C6CBA04" w14:textId="77777777" w:rsidR="007E613E" w:rsidRPr="00B2114D" w:rsidRDefault="007E613E" w:rsidP="007E613E">
      <w:pPr>
        <w:shd w:val="clear" w:color="auto" w:fill="FFFFFF"/>
        <w:spacing w:line="360" w:lineRule="auto"/>
        <w:ind w:right="51"/>
        <w:jc w:val="both"/>
        <w:rPr>
          <w:rFonts w:ascii="Palatino Linotype" w:eastAsia="Palatino Linotype" w:hAnsi="Palatino Linotype" w:cs="Palatino Linotype"/>
          <w:lang w:val="es-MX"/>
        </w:rPr>
      </w:pPr>
    </w:p>
    <w:p w14:paraId="22291C5F" w14:textId="77777777" w:rsidR="007E613E" w:rsidRPr="00B2114D" w:rsidRDefault="007E613E" w:rsidP="007E613E">
      <w:pPr>
        <w:shd w:val="clear" w:color="auto" w:fill="FFFFFF"/>
        <w:spacing w:line="360" w:lineRule="auto"/>
        <w:ind w:right="51"/>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Por lo tanto, la entrega de documentos en su versión pública debe acompañarse necesariamente del Acuerdo del Comité de Transparencia que la sustente, en el que se expongan los fundamentos y razonamientos que llevaron al </w:t>
      </w:r>
      <w:r w:rsidRPr="00B2114D">
        <w:rPr>
          <w:rFonts w:ascii="Palatino Linotype" w:eastAsia="Palatino Linotype" w:hAnsi="Palatino Linotype" w:cs="Palatino Linotype"/>
          <w:b/>
          <w:lang w:val="es-MX"/>
        </w:rPr>
        <w:t>Sujeto Obligado</w:t>
      </w:r>
      <w:r w:rsidRPr="00B2114D">
        <w:rPr>
          <w:rFonts w:ascii="Palatino Linotype" w:eastAsia="Palatino Linotype" w:hAnsi="Palatino Linotype" w:cs="Palatino Linotype"/>
          <w:lang w:val="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2114D">
        <w:rPr>
          <w:rFonts w:ascii="Palatino Linotype" w:eastAsia="Palatino Linotype" w:hAnsi="Palatino Linotype" w:cs="Palatino Linotype"/>
          <w:b/>
          <w:lang w:val="es-MX"/>
        </w:rPr>
        <w:t>Recurrente.</w:t>
      </w:r>
    </w:p>
    <w:p w14:paraId="1E32382A"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07A159F6"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5404D668"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58A23BC8"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2DC45FD"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3775EF0D"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Entorno a lo que aquí nos interesa, los Lineamientos Quincuagésimo sexto, Quincuagésimo séptimo y Quincuagésimo octavo, establecen lo siguiente:</w:t>
      </w:r>
    </w:p>
    <w:p w14:paraId="42608E07"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0D358740" w14:textId="77777777" w:rsidR="007E613E" w:rsidRPr="00B2114D" w:rsidRDefault="007E613E" w:rsidP="007E613E">
      <w:pPr>
        <w:spacing w:after="120" w:line="259" w:lineRule="auto"/>
        <w:ind w:left="851" w:right="902"/>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“Quincuagésimo sexto</w:t>
      </w:r>
      <w:r w:rsidRPr="00B2114D">
        <w:rPr>
          <w:rFonts w:ascii="Palatino Linotype" w:eastAsia="Palatino Linotype" w:hAnsi="Palatino Linotype" w:cs="Palatino Linotype"/>
          <w:b/>
          <w:i/>
          <w:sz w:val="22"/>
          <w:szCs w:val="22"/>
          <w:lang w:val="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9925A85" w14:textId="77777777" w:rsidR="007E613E" w:rsidRPr="00B2114D" w:rsidRDefault="007E613E" w:rsidP="007E613E">
      <w:pPr>
        <w:spacing w:before="120" w:after="120" w:line="259" w:lineRule="auto"/>
        <w:ind w:left="851" w:right="902"/>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 xml:space="preserve">Quincuagésimo séptimo. Se considera, en principio, como información pública y no podrá omitirse de las versiones públicas la siguiente: </w:t>
      </w:r>
    </w:p>
    <w:p w14:paraId="5EA789F7" w14:textId="77777777" w:rsidR="007E613E" w:rsidRPr="00B2114D" w:rsidRDefault="007E613E" w:rsidP="007E613E">
      <w:pPr>
        <w:spacing w:before="120" w:after="120" w:line="259" w:lineRule="auto"/>
        <w:ind w:left="851" w:right="902"/>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 xml:space="preserve">I. La relativa a las Obligaciones de Transparencia que contempla el Título V de la Ley General y las demás disposiciones legales aplicables; </w:t>
      </w:r>
    </w:p>
    <w:p w14:paraId="5C64A6EA" w14:textId="77777777" w:rsidR="007E613E" w:rsidRPr="00B2114D" w:rsidRDefault="007E613E" w:rsidP="007E613E">
      <w:pPr>
        <w:spacing w:before="120" w:after="120" w:line="259" w:lineRule="auto"/>
        <w:ind w:left="851" w:right="902"/>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 xml:space="preserve">II. El nombre de los servidores públicos en los documentos, y sus firmas autógrafas, cuando sean utilizados en el ejercicio de las facultades conferidas para el desempeño del servicio público, y </w:t>
      </w:r>
    </w:p>
    <w:p w14:paraId="1C644536" w14:textId="77777777" w:rsidR="007E613E" w:rsidRPr="00B2114D" w:rsidRDefault="007E613E" w:rsidP="007E613E">
      <w:pPr>
        <w:spacing w:before="120" w:after="120" w:line="259" w:lineRule="auto"/>
        <w:ind w:left="851" w:right="902"/>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III. La información que documente decisiones y los actos de autoridad concluidos de los sujetos obligados, así como el ejercicio de las facultades o actividades de los servidores públicos, de manera que se pueda valorar el desempeño de los mismos.</w:t>
      </w:r>
    </w:p>
    <w:p w14:paraId="4DBFF92A" w14:textId="77777777" w:rsidR="007E613E" w:rsidRPr="00B2114D" w:rsidRDefault="007E613E" w:rsidP="007E613E">
      <w:pPr>
        <w:spacing w:before="120" w:after="120" w:line="259" w:lineRule="auto"/>
        <w:ind w:left="851" w:right="902"/>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 xml:space="preserve">Lo anterior, siempre y cuando no se acredite alguna causal de clasificación, prevista en las leyes o en los tratados internaciones suscritos por el Estado mexicano. </w:t>
      </w:r>
    </w:p>
    <w:p w14:paraId="58C6A436" w14:textId="77777777" w:rsidR="007E613E" w:rsidRPr="00B2114D" w:rsidRDefault="007E613E" w:rsidP="007E613E">
      <w:pPr>
        <w:spacing w:before="120" w:line="360" w:lineRule="auto"/>
        <w:ind w:left="851" w:right="902"/>
        <w:jc w:val="both"/>
        <w:rPr>
          <w:rFonts w:ascii="Palatino Linotype" w:eastAsia="Palatino Linotype" w:hAnsi="Palatino Linotype" w:cs="Palatino Linotype"/>
          <w:i/>
          <w:sz w:val="22"/>
          <w:szCs w:val="22"/>
          <w:lang w:val="es-MX"/>
        </w:rPr>
      </w:pPr>
      <w:r w:rsidRPr="00B2114D">
        <w:rPr>
          <w:rFonts w:ascii="Palatino Linotype" w:eastAsia="Palatino Linotype" w:hAnsi="Palatino Linotype" w:cs="Palatino Linotype"/>
          <w:i/>
          <w:sz w:val="22"/>
          <w:szCs w:val="22"/>
          <w:lang w:val="es-MX"/>
        </w:rPr>
        <w:t>Quincuagésimo octavo. Los sujetos obligados garantizarán que los sistemas o medios empleados para eliminar la información en las versiones públicas no permitan la recuperación o visualización de la misma.”</w:t>
      </w:r>
    </w:p>
    <w:p w14:paraId="5796914B"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4650D6BE" w14:textId="77777777" w:rsidR="007E613E" w:rsidRPr="00B2114D" w:rsidRDefault="007E613E" w:rsidP="007E613E">
      <w:pPr>
        <w:spacing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 xml:space="preserve">Por lo tanto, </w:t>
      </w:r>
      <w:r w:rsidRPr="00B2114D">
        <w:rPr>
          <w:rFonts w:ascii="Palatino Linotype" w:eastAsia="Palatino Linotype" w:hAnsi="Palatino Linotype" w:cs="Palatino Linotype"/>
          <w:b/>
          <w:lang w:val="es-MX"/>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B2114D">
        <w:rPr>
          <w:rFonts w:ascii="Palatino Linotype" w:eastAsia="Palatino Linotype" w:hAnsi="Palatino Linotype" w:cs="Palatino Linotype"/>
          <w:lang w:val="es-MX"/>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64B1177" w14:textId="77777777" w:rsidR="007E613E" w:rsidRPr="00B2114D" w:rsidRDefault="007E613E" w:rsidP="007E613E">
      <w:pPr>
        <w:spacing w:line="360" w:lineRule="auto"/>
        <w:jc w:val="both"/>
        <w:rPr>
          <w:rFonts w:ascii="Palatino Linotype" w:eastAsia="Palatino Linotype" w:hAnsi="Palatino Linotype" w:cs="Palatino Linotype"/>
          <w:lang w:val="es-MX"/>
        </w:rPr>
      </w:pPr>
    </w:p>
    <w:p w14:paraId="28E9BEED" w14:textId="77777777" w:rsidR="007E613E" w:rsidRPr="00B2114D" w:rsidRDefault="007E613E" w:rsidP="007E613E">
      <w:pPr>
        <w:spacing w:after="240" w:line="360" w:lineRule="auto"/>
        <w:jc w:val="both"/>
        <w:rPr>
          <w:rFonts w:ascii="Palatino Linotype" w:eastAsia="Palatino Linotype" w:hAnsi="Palatino Linotype" w:cs="Palatino Linotype"/>
          <w:lang w:val="es-MX"/>
        </w:rPr>
      </w:pPr>
      <w:r w:rsidRPr="00B2114D">
        <w:rPr>
          <w:rFonts w:ascii="Palatino Linotype" w:eastAsia="Palatino Linotype" w:hAnsi="Palatino Linotype" w:cs="Palatino Linotype"/>
          <w:lang w:val="es-MX"/>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7E613E" w:rsidRPr="00B2114D" w14:paraId="0E8CB914" w14:textId="77777777" w:rsidTr="00A73AEC">
        <w:tc>
          <w:tcPr>
            <w:tcW w:w="4414" w:type="dxa"/>
            <w:gridSpan w:val="2"/>
          </w:tcPr>
          <w:p w14:paraId="2A4E4285" w14:textId="77777777" w:rsidR="007E613E" w:rsidRPr="00B2114D" w:rsidRDefault="007E613E" w:rsidP="00A73AEC">
            <w:pPr>
              <w:spacing w:after="160" w:line="259" w:lineRule="auto"/>
              <w:jc w:val="center"/>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Parcial</w:t>
            </w:r>
          </w:p>
        </w:tc>
        <w:tc>
          <w:tcPr>
            <w:tcW w:w="4414" w:type="dxa"/>
            <w:gridSpan w:val="2"/>
          </w:tcPr>
          <w:p w14:paraId="175AB98B" w14:textId="77777777" w:rsidR="007E613E" w:rsidRPr="00B2114D" w:rsidRDefault="007E613E" w:rsidP="00A73AEC">
            <w:pPr>
              <w:spacing w:after="160" w:line="259" w:lineRule="auto"/>
              <w:jc w:val="center"/>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Total</w:t>
            </w:r>
          </w:p>
        </w:tc>
      </w:tr>
      <w:tr w:rsidR="007E613E" w:rsidRPr="00B2114D" w14:paraId="25E62C64" w14:textId="77777777" w:rsidTr="00A73AEC">
        <w:tc>
          <w:tcPr>
            <w:tcW w:w="846" w:type="dxa"/>
          </w:tcPr>
          <w:p w14:paraId="47A4F4DB" w14:textId="77777777" w:rsidR="007E613E" w:rsidRPr="00B2114D" w:rsidRDefault="007E613E" w:rsidP="00A73AEC">
            <w:pPr>
              <w:spacing w:after="160" w:line="259" w:lineRule="auto"/>
              <w:jc w:val="center"/>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Concepto</w:t>
            </w:r>
          </w:p>
        </w:tc>
        <w:tc>
          <w:tcPr>
            <w:tcW w:w="3568" w:type="dxa"/>
          </w:tcPr>
          <w:p w14:paraId="1E523F11" w14:textId="77777777" w:rsidR="007E613E" w:rsidRPr="00B2114D" w:rsidRDefault="007E613E" w:rsidP="00A73AEC">
            <w:pPr>
              <w:spacing w:after="160" w:line="259" w:lineRule="auto"/>
              <w:jc w:val="center"/>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Dónde</w:t>
            </w:r>
          </w:p>
        </w:tc>
        <w:tc>
          <w:tcPr>
            <w:tcW w:w="968" w:type="dxa"/>
          </w:tcPr>
          <w:p w14:paraId="544A29EB" w14:textId="77777777" w:rsidR="007E613E" w:rsidRPr="00B2114D" w:rsidRDefault="007E613E" w:rsidP="00A73AEC">
            <w:pPr>
              <w:spacing w:after="160" w:line="259" w:lineRule="auto"/>
              <w:jc w:val="center"/>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Concepto</w:t>
            </w:r>
          </w:p>
        </w:tc>
        <w:tc>
          <w:tcPr>
            <w:tcW w:w="3446" w:type="dxa"/>
          </w:tcPr>
          <w:p w14:paraId="3C3705CC" w14:textId="77777777" w:rsidR="007E613E" w:rsidRPr="00B2114D" w:rsidRDefault="007E613E" w:rsidP="00A73AEC">
            <w:pPr>
              <w:spacing w:after="160" w:line="259" w:lineRule="auto"/>
              <w:jc w:val="center"/>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Dónde</w:t>
            </w:r>
          </w:p>
        </w:tc>
      </w:tr>
      <w:tr w:rsidR="007E613E" w:rsidRPr="00B2114D" w14:paraId="181D64D5" w14:textId="77777777" w:rsidTr="00A73AEC">
        <w:tc>
          <w:tcPr>
            <w:tcW w:w="8828" w:type="dxa"/>
            <w:gridSpan w:val="4"/>
          </w:tcPr>
          <w:p w14:paraId="0A41C489" w14:textId="77777777" w:rsidR="007E613E" w:rsidRPr="00B2114D" w:rsidRDefault="007E613E" w:rsidP="00A73AEC">
            <w:pPr>
              <w:spacing w:after="160" w:line="259" w:lineRule="auto"/>
              <w:jc w:val="center"/>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Sello oficial o logotipo del sujeto obligado</w:t>
            </w:r>
          </w:p>
        </w:tc>
      </w:tr>
      <w:tr w:rsidR="007E613E" w:rsidRPr="00B2114D" w14:paraId="1A99E256" w14:textId="77777777" w:rsidTr="00A73AEC">
        <w:tc>
          <w:tcPr>
            <w:tcW w:w="846" w:type="dxa"/>
          </w:tcPr>
          <w:p w14:paraId="3AB20789"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Fecha de clasificación</w:t>
            </w:r>
          </w:p>
        </w:tc>
        <w:tc>
          <w:tcPr>
            <w:tcW w:w="3568" w:type="dxa"/>
          </w:tcPr>
          <w:p w14:paraId="5AD7E989"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anotará la fecha en la que el Comité de Transparencia confirmó la clasificación del documento, en su caso.</w:t>
            </w:r>
          </w:p>
        </w:tc>
        <w:tc>
          <w:tcPr>
            <w:tcW w:w="968" w:type="dxa"/>
          </w:tcPr>
          <w:p w14:paraId="282713A6"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Fecha de clasificación</w:t>
            </w:r>
          </w:p>
        </w:tc>
        <w:tc>
          <w:tcPr>
            <w:tcW w:w="3446" w:type="dxa"/>
          </w:tcPr>
          <w:p w14:paraId="7E2989D6"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anotará la fecha en la que el Comité de Transparencia confirmó la clasificación del documento, en su caso.</w:t>
            </w:r>
          </w:p>
        </w:tc>
      </w:tr>
      <w:tr w:rsidR="007E613E" w:rsidRPr="00B2114D" w14:paraId="05763C32" w14:textId="77777777" w:rsidTr="00A73AEC">
        <w:tc>
          <w:tcPr>
            <w:tcW w:w="846" w:type="dxa"/>
          </w:tcPr>
          <w:p w14:paraId="1C8CC001"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Área</w:t>
            </w:r>
          </w:p>
        </w:tc>
        <w:tc>
          <w:tcPr>
            <w:tcW w:w="3568" w:type="dxa"/>
          </w:tcPr>
          <w:p w14:paraId="5EAEBA22"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señalará el nombre del área del cual es titular quien clasifica.</w:t>
            </w:r>
          </w:p>
        </w:tc>
        <w:tc>
          <w:tcPr>
            <w:tcW w:w="968" w:type="dxa"/>
          </w:tcPr>
          <w:p w14:paraId="70278709"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Área</w:t>
            </w:r>
          </w:p>
        </w:tc>
        <w:tc>
          <w:tcPr>
            <w:tcW w:w="3446" w:type="dxa"/>
          </w:tcPr>
          <w:p w14:paraId="3774588F"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señalará el nombre del área de la cual es el titular quien clasifica.</w:t>
            </w:r>
          </w:p>
        </w:tc>
      </w:tr>
      <w:tr w:rsidR="007E613E" w:rsidRPr="00B2114D" w14:paraId="54CCCF81" w14:textId="77777777" w:rsidTr="00A73AEC">
        <w:tc>
          <w:tcPr>
            <w:tcW w:w="846" w:type="dxa"/>
          </w:tcPr>
          <w:p w14:paraId="23F00044"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Información reservada</w:t>
            </w:r>
          </w:p>
        </w:tc>
        <w:tc>
          <w:tcPr>
            <w:tcW w:w="3568" w:type="dxa"/>
          </w:tcPr>
          <w:p w14:paraId="4946E9B9"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08140D0"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Reservado</w:t>
            </w:r>
          </w:p>
        </w:tc>
        <w:tc>
          <w:tcPr>
            <w:tcW w:w="3446" w:type="dxa"/>
          </w:tcPr>
          <w:p w14:paraId="39A046E7"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Leyenda de información RESERVADA.</w:t>
            </w:r>
          </w:p>
        </w:tc>
      </w:tr>
      <w:tr w:rsidR="007E613E" w:rsidRPr="00B2114D" w14:paraId="45026244" w14:textId="77777777" w:rsidTr="00A73AEC">
        <w:tc>
          <w:tcPr>
            <w:tcW w:w="846" w:type="dxa"/>
          </w:tcPr>
          <w:p w14:paraId="50415B8F"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Fundamento legal</w:t>
            </w:r>
          </w:p>
        </w:tc>
        <w:tc>
          <w:tcPr>
            <w:tcW w:w="3568" w:type="dxa"/>
          </w:tcPr>
          <w:p w14:paraId="766252AA"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señalará el nombre del ordenamiento, el o los artículos, fracción(es), párrafo(s) con base en los cuales se sustente la reserva.</w:t>
            </w:r>
          </w:p>
        </w:tc>
        <w:tc>
          <w:tcPr>
            <w:tcW w:w="968" w:type="dxa"/>
          </w:tcPr>
          <w:p w14:paraId="350A3C2B"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Periodo de reserva</w:t>
            </w:r>
          </w:p>
        </w:tc>
        <w:tc>
          <w:tcPr>
            <w:tcW w:w="3446" w:type="dxa"/>
          </w:tcPr>
          <w:p w14:paraId="64B31390"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anotará el número de años o meses por los que se mantendrá el documento o las partes del mismo como reservado. Si el expediente no es reservado, sino confidencial, deberá tacharse este apartado.</w:t>
            </w:r>
          </w:p>
        </w:tc>
      </w:tr>
      <w:tr w:rsidR="007E613E" w:rsidRPr="00B2114D" w14:paraId="3C772ABD" w14:textId="77777777" w:rsidTr="00A73AEC">
        <w:tc>
          <w:tcPr>
            <w:tcW w:w="846" w:type="dxa"/>
          </w:tcPr>
          <w:p w14:paraId="07809436"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Ampliación del periodo de reserva</w:t>
            </w:r>
          </w:p>
        </w:tc>
        <w:tc>
          <w:tcPr>
            <w:tcW w:w="3568" w:type="dxa"/>
          </w:tcPr>
          <w:p w14:paraId="6AC2965C"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En caso de haber solicitado la ampliación del periodo de reserva originalmente establecido, se deberá anotar el número de años o meses por los que se amplía la reserva.</w:t>
            </w:r>
          </w:p>
        </w:tc>
        <w:tc>
          <w:tcPr>
            <w:tcW w:w="968" w:type="dxa"/>
          </w:tcPr>
          <w:p w14:paraId="460F30D9"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Fundamento legal</w:t>
            </w:r>
          </w:p>
        </w:tc>
        <w:tc>
          <w:tcPr>
            <w:tcW w:w="3446" w:type="dxa"/>
          </w:tcPr>
          <w:p w14:paraId="4FD1BE1C"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señalará el nombre del o de los ordenamientos jurídicos, el o los artículos, fracción(es), párrafo(s) con base en los cuales se sustenta la reserva.</w:t>
            </w:r>
          </w:p>
        </w:tc>
      </w:tr>
      <w:tr w:rsidR="007E613E" w:rsidRPr="00B2114D" w14:paraId="1DAE14E9" w14:textId="77777777" w:rsidTr="00A73AEC">
        <w:tc>
          <w:tcPr>
            <w:tcW w:w="846" w:type="dxa"/>
          </w:tcPr>
          <w:p w14:paraId="42AF6416"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Confidencial</w:t>
            </w:r>
          </w:p>
        </w:tc>
        <w:tc>
          <w:tcPr>
            <w:tcW w:w="3568" w:type="dxa"/>
          </w:tcPr>
          <w:p w14:paraId="5D9F6826"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76B5092"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Ampliación del periodo de reserva</w:t>
            </w:r>
          </w:p>
        </w:tc>
        <w:tc>
          <w:tcPr>
            <w:tcW w:w="3446" w:type="dxa"/>
          </w:tcPr>
          <w:p w14:paraId="7AFED7EA"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En caso de haber solicitado la ampliación del periodo de reserva originalmente establecido, se deberá anotar el número de años o meses por los que se amplía la reserva.</w:t>
            </w:r>
          </w:p>
        </w:tc>
      </w:tr>
      <w:tr w:rsidR="007E613E" w:rsidRPr="00B2114D" w14:paraId="0E8B4319" w14:textId="77777777" w:rsidTr="00A73AEC">
        <w:tc>
          <w:tcPr>
            <w:tcW w:w="846" w:type="dxa"/>
          </w:tcPr>
          <w:p w14:paraId="3A64ED83"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Fundamento legal</w:t>
            </w:r>
          </w:p>
        </w:tc>
        <w:tc>
          <w:tcPr>
            <w:tcW w:w="3568" w:type="dxa"/>
          </w:tcPr>
          <w:p w14:paraId="4CF87D47"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señalará el nombre del ordenamiento, el o los artículos, fracción(es), párrafo(s) con base en los cuales se sustente la confidencialidad.</w:t>
            </w:r>
          </w:p>
        </w:tc>
        <w:tc>
          <w:tcPr>
            <w:tcW w:w="968" w:type="dxa"/>
          </w:tcPr>
          <w:p w14:paraId="73EAD997"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Confidencial</w:t>
            </w:r>
          </w:p>
        </w:tc>
        <w:tc>
          <w:tcPr>
            <w:tcW w:w="3446" w:type="dxa"/>
          </w:tcPr>
          <w:p w14:paraId="13AA7D07"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Leyenda de información CONFIDENCIAL.</w:t>
            </w:r>
          </w:p>
        </w:tc>
      </w:tr>
      <w:tr w:rsidR="007E613E" w:rsidRPr="00B2114D" w14:paraId="17B98E14" w14:textId="77777777" w:rsidTr="00A73AEC">
        <w:tc>
          <w:tcPr>
            <w:tcW w:w="846" w:type="dxa"/>
          </w:tcPr>
          <w:p w14:paraId="0F99C97C"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Rúbrica del titular del área</w:t>
            </w:r>
          </w:p>
        </w:tc>
        <w:tc>
          <w:tcPr>
            <w:tcW w:w="3568" w:type="dxa"/>
          </w:tcPr>
          <w:p w14:paraId="19D364C1"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Rúbrica autógrafa de quien clasifica.</w:t>
            </w:r>
          </w:p>
        </w:tc>
        <w:tc>
          <w:tcPr>
            <w:tcW w:w="968" w:type="dxa"/>
          </w:tcPr>
          <w:p w14:paraId="5DCCF742"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Fundamento legal</w:t>
            </w:r>
          </w:p>
        </w:tc>
        <w:tc>
          <w:tcPr>
            <w:tcW w:w="3446" w:type="dxa"/>
          </w:tcPr>
          <w:p w14:paraId="1B369331"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señalará el nombre del o de los ordenamientos jurídicos, el o los artículos, fracción(es), párrafo(s) con base en los cuales se sustente la confidencialidad.</w:t>
            </w:r>
          </w:p>
        </w:tc>
      </w:tr>
      <w:tr w:rsidR="007E613E" w:rsidRPr="00B2114D" w14:paraId="236BDB2D" w14:textId="77777777" w:rsidTr="00A73AEC">
        <w:tc>
          <w:tcPr>
            <w:tcW w:w="846" w:type="dxa"/>
          </w:tcPr>
          <w:p w14:paraId="448C4F7C"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Fecha de desclasificación</w:t>
            </w:r>
          </w:p>
        </w:tc>
        <w:tc>
          <w:tcPr>
            <w:tcW w:w="3568" w:type="dxa"/>
          </w:tcPr>
          <w:p w14:paraId="55D2270E"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anotará la fecha en que se desclasifica el documento.</w:t>
            </w:r>
          </w:p>
        </w:tc>
        <w:tc>
          <w:tcPr>
            <w:tcW w:w="968" w:type="dxa"/>
          </w:tcPr>
          <w:p w14:paraId="7A312A36"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Rúbrica del titular del área</w:t>
            </w:r>
          </w:p>
        </w:tc>
        <w:tc>
          <w:tcPr>
            <w:tcW w:w="3446" w:type="dxa"/>
          </w:tcPr>
          <w:p w14:paraId="4B2D498F"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Rúbrica autógrafa de quien clasifica.</w:t>
            </w:r>
          </w:p>
        </w:tc>
      </w:tr>
      <w:tr w:rsidR="007E613E" w:rsidRPr="00B2114D" w14:paraId="08D17BF2" w14:textId="77777777" w:rsidTr="00A73AEC">
        <w:tc>
          <w:tcPr>
            <w:tcW w:w="846" w:type="dxa"/>
          </w:tcPr>
          <w:p w14:paraId="7BC41A39"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Rúbrica y cargo del servidor público</w:t>
            </w:r>
          </w:p>
        </w:tc>
        <w:tc>
          <w:tcPr>
            <w:tcW w:w="3568" w:type="dxa"/>
          </w:tcPr>
          <w:p w14:paraId="2D2EE47C"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Rúbrica autógrafa de quien desclasifica.</w:t>
            </w:r>
          </w:p>
        </w:tc>
        <w:tc>
          <w:tcPr>
            <w:tcW w:w="968" w:type="dxa"/>
          </w:tcPr>
          <w:p w14:paraId="7B00328C"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Fecha de desclasificación</w:t>
            </w:r>
          </w:p>
        </w:tc>
        <w:tc>
          <w:tcPr>
            <w:tcW w:w="3446" w:type="dxa"/>
          </w:tcPr>
          <w:p w14:paraId="51A02C54"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Se anotará la fecha en que se desclasifica.</w:t>
            </w:r>
          </w:p>
        </w:tc>
      </w:tr>
      <w:tr w:rsidR="007E613E" w:rsidRPr="00B2114D" w14:paraId="66C075CA" w14:textId="77777777" w:rsidTr="00A73AEC">
        <w:tc>
          <w:tcPr>
            <w:tcW w:w="846" w:type="dxa"/>
          </w:tcPr>
          <w:p w14:paraId="678C95D4"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p>
        </w:tc>
        <w:tc>
          <w:tcPr>
            <w:tcW w:w="3568" w:type="dxa"/>
          </w:tcPr>
          <w:p w14:paraId="175CD895"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p>
        </w:tc>
        <w:tc>
          <w:tcPr>
            <w:tcW w:w="968" w:type="dxa"/>
          </w:tcPr>
          <w:p w14:paraId="5FED9B8D"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Partes o secciones reservadas o confidenciales</w:t>
            </w:r>
          </w:p>
        </w:tc>
        <w:tc>
          <w:tcPr>
            <w:tcW w:w="3446" w:type="dxa"/>
          </w:tcPr>
          <w:p w14:paraId="39755EBE"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En caso que una vez desclasificado el expediente, subsistan partes o secciones del mismo reservadas o confidenciales, se señalará este hecho.</w:t>
            </w:r>
          </w:p>
        </w:tc>
      </w:tr>
      <w:tr w:rsidR="007E613E" w:rsidRPr="00B2114D" w14:paraId="02E0FA66" w14:textId="77777777" w:rsidTr="00A73AEC">
        <w:tc>
          <w:tcPr>
            <w:tcW w:w="846" w:type="dxa"/>
          </w:tcPr>
          <w:p w14:paraId="0073AD43"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p>
        </w:tc>
        <w:tc>
          <w:tcPr>
            <w:tcW w:w="3568" w:type="dxa"/>
          </w:tcPr>
          <w:p w14:paraId="70CAA5E0"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p>
        </w:tc>
        <w:tc>
          <w:tcPr>
            <w:tcW w:w="968" w:type="dxa"/>
          </w:tcPr>
          <w:p w14:paraId="294A679B" w14:textId="77777777" w:rsidR="007E613E" w:rsidRPr="00B2114D" w:rsidRDefault="007E613E" w:rsidP="00A73AEC">
            <w:pPr>
              <w:spacing w:after="160" w:line="259" w:lineRule="auto"/>
              <w:jc w:val="both"/>
              <w:rPr>
                <w:rFonts w:ascii="Palatino Linotype" w:eastAsia="Palatino Linotype" w:hAnsi="Palatino Linotype" w:cs="Palatino Linotype"/>
                <w:b/>
                <w:sz w:val="12"/>
                <w:szCs w:val="12"/>
                <w:lang w:val="es-MX"/>
              </w:rPr>
            </w:pPr>
            <w:r w:rsidRPr="00B2114D">
              <w:rPr>
                <w:rFonts w:ascii="Palatino Linotype" w:eastAsia="Palatino Linotype" w:hAnsi="Palatino Linotype" w:cs="Palatino Linotype"/>
                <w:b/>
                <w:sz w:val="12"/>
                <w:szCs w:val="12"/>
                <w:lang w:val="es-MX"/>
              </w:rPr>
              <w:t>Rúbrica y cargo del servidor público</w:t>
            </w:r>
          </w:p>
        </w:tc>
        <w:tc>
          <w:tcPr>
            <w:tcW w:w="3446" w:type="dxa"/>
          </w:tcPr>
          <w:p w14:paraId="2675739C" w14:textId="77777777" w:rsidR="007E613E" w:rsidRPr="00B2114D" w:rsidRDefault="007E613E" w:rsidP="00A73AEC">
            <w:pPr>
              <w:spacing w:after="160" w:line="259" w:lineRule="auto"/>
              <w:jc w:val="both"/>
              <w:rPr>
                <w:rFonts w:ascii="Palatino Linotype" w:eastAsia="Palatino Linotype" w:hAnsi="Palatino Linotype" w:cs="Palatino Linotype"/>
                <w:sz w:val="12"/>
                <w:szCs w:val="12"/>
                <w:lang w:val="es-MX"/>
              </w:rPr>
            </w:pPr>
            <w:r w:rsidRPr="00B2114D">
              <w:rPr>
                <w:rFonts w:ascii="Palatino Linotype" w:eastAsia="Palatino Linotype" w:hAnsi="Palatino Linotype" w:cs="Palatino Linotype"/>
                <w:sz w:val="12"/>
                <w:szCs w:val="12"/>
                <w:lang w:val="es-MX"/>
              </w:rPr>
              <w:t>Rúbrica autógrafa de quien desclasifica.</w:t>
            </w:r>
          </w:p>
        </w:tc>
      </w:tr>
    </w:tbl>
    <w:p w14:paraId="0BF2BC8D" w14:textId="77777777" w:rsidR="007E613E" w:rsidRPr="00B2114D" w:rsidRDefault="007E613E">
      <w:pPr>
        <w:spacing w:before="240" w:after="240" w:line="360" w:lineRule="auto"/>
        <w:jc w:val="both"/>
        <w:rPr>
          <w:rFonts w:ascii="Palatino Linotype" w:eastAsia="Palatino Linotype" w:hAnsi="Palatino Linotype" w:cs="Palatino Linotype"/>
        </w:rPr>
      </w:pPr>
    </w:p>
    <w:p w14:paraId="7A38281E"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767EEE3" w14:textId="77777777" w:rsidR="000B235D" w:rsidRPr="00B2114D" w:rsidRDefault="000B235D">
      <w:pPr>
        <w:spacing w:before="240" w:after="240" w:line="360" w:lineRule="auto"/>
        <w:jc w:val="both"/>
        <w:rPr>
          <w:rFonts w:ascii="Palatino Linotype" w:eastAsia="Palatino Linotype" w:hAnsi="Palatino Linotype" w:cs="Palatino Linotype"/>
        </w:rPr>
      </w:pPr>
    </w:p>
    <w:p w14:paraId="49447007" w14:textId="77777777" w:rsidR="000B235D" w:rsidRPr="00B2114D" w:rsidRDefault="000B235D">
      <w:pPr>
        <w:spacing w:before="240" w:after="240" w:line="360" w:lineRule="auto"/>
        <w:jc w:val="both"/>
        <w:rPr>
          <w:rFonts w:ascii="Palatino Linotype" w:eastAsia="Palatino Linotype" w:hAnsi="Palatino Linotype" w:cs="Palatino Linotype"/>
        </w:rPr>
      </w:pPr>
    </w:p>
    <w:p w14:paraId="618A9628" w14:textId="77777777" w:rsidR="0036327D" w:rsidRPr="00B2114D" w:rsidRDefault="004B1C23">
      <w:pPr>
        <w:widowControl w:val="0"/>
        <w:numPr>
          <w:ilvl w:val="0"/>
          <w:numId w:val="4"/>
        </w:numPr>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sidRPr="00B2114D">
        <w:rPr>
          <w:rFonts w:ascii="Palatino Linotype" w:eastAsia="Palatino Linotype" w:hAnsi="Palatino Linotype" w:cs="Palatino Linotype"/>
          <w:b/>
          <w:color w:val="000000"/>
        </w:rPr>
        <w:t>R E S U E L V E:</w:t>
      </w:r>
    </w:p>
    <w:p w14:paraId="1CAF5FAA" w14:textId="77777777" w:rsidR="0036327D" w:rsidRPr="00B2114D" w:rsidRDefault="004B1C23">
      <w:pPr>
        <w:spacing w:before="240"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Primero. </w:t>
      </w:r>
      <w:r w:rsidRPr="00B2114D">
        <w:rPr>
          <w:rFonts w:ascii="Palatino Linotype" w:eastAsia="Palatino Linotype" w:hAnsi="Palatino Linotype" w:cs="Palatino Linotype"/>
        </w:rPr>
        <w:t xml:space="preserve">Resultan fundados los motivos de inconformidad hechos valer por el </w:t>
      </w:r>
      <w:r w:rsidRPr="00B2114D">
        <w:rPr>
          <w:rFonts w:ascii="Palatino Linotype" w:eastAsia="Palatino Linotype" w:hAnsi="Palatino Linotype" w:cs="Palatino Linotype"/>
          <w:b/>
        </w:rPr>
        <w:t>RECURRENT</w:t>
      </w:r>
      <w:r w:rsidRPr="00B2114D">
        <w:rPr>
          <w:rFonts w:ascii="Palatino Linotype" w:eastAsia="Palatino Linotype" w:hAnsi="Palatino Linotype" w:cs="Palatino Linotype"/>
        </w:rPr>
        <w:t xml:space="preserve">E en el Recurso de Revisión </w:t>
      </w:r>
      <w:r w:rsidRPr="00B2114D">
        <w:rPr>
          <w:rFonts w:ascii="Palatino Linotype" w:eastAsia="Palatino Linotype" w:hAnsi="Palatino Linotype" w:cs="Palatino Linotype"/>
          <w:b/>
        </w:rPr>
        <w:t>0</w:t>
      </w:r>
      <w:r w:rsidR="00E51AA9" w:rsidRPr="00B2114D">
        <w:rPr>
          <w:rFonts w:ascii="Palatino Linotype" w:eastAsia="Palatino Linotype" w:hAnsi="Palatino Linotype" w:cs="Palatino Linotype"/>
          <w:b/>
        </w:rPr>
        <w:t>561</w:t>
      </w:r>
      <w:r w:rsidRPr="00B2114D">
        <w:rPr>
          <w:rFonts w:ascii="Palatino Linotype" w:eastAsia="Palatino Linotype" w:hAnsi="Palatino Linotype" w:cs="Palatino Linotype"/>
          <w:b/>
        </w:rPr>
        <w:t xml:space="preserve">9/INFOEM/IP/RR/2022, </w:t>
      </w:r>
      <w:r w:rsidRPr="00B2114D">
        <w:rPr>
          <w:rFonts w:ascii="Palatino Linotype" w:eastAsia="Palatino Linotype" w:hAnsi="Palatino Linotype" w:cs="Palatino Linotype"/>
        </w:rPr>
        <w:t xml:space="preserve">por lo que, en términos del considerando </w:t>
      </w:r>
      <w:r w:rsidRPr="00B2114D">
        <w:rPr>
          <w:rFonts w:ascii="Palatino Linotype" w:eastAsia="Palatino Linotype" w:hAnsi="Palatino Linotype" w:cs="Palatino Linotype"/>
          <w:b/>
        </w:rPr>
        <w:t xml:space="preserve">Cuarto </w:t>
      </w:r>
      <w:r w:rsidRPr="00B2114D">
        <w:rPr>
          <w:rFonts w:ascii="Palatino Linotype" w:eastAsia="Palatino Linotype" w:hAnsi="Palatino Linotype" w:cs="Palatino Linotype"/>
        </w:rPr>
        <w:t xml:space="preserve">de esta resolución, se </w:t>
      </w:r>
      <w:r w:rsidRPr="00B2114D">
        <w:rPr>
          <w:rFonts w:ascii="Palatino Linotype" w:eastAsia="Palatino Linotype" w:hAnsi="Palatino Linotype" w:cs="Palatino Linotype"/>
          <w:b/>
        </w:rPr>
        <w:t xml:space="preserve">REVOCA </w:t>
      </w:r>
      <w:r w:rsidRPr="00B2114D">
        <w:rPr>
          <w:rFonts w:ascii="Palatino Linotype" w:eastAsia="Palatino Linotype" w:hAnsi="Palatino Linotype" w:cs="Palatino Linotype"/>
        </w:rPr>
        <w:t xml:space="preserve">la respuesta emitida por 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w:t>
      </w:r>
    </w:p>
    <w:p w14:paraId="0EF5BC27" w14:textId="77777777" w:rsidR="0036327D" w:rsidRPr="00B2114D" w:rsidRDefault="004B1C23">
      <w:pPr>
        <w:spacing w:before="240" w:after="240" w:line="360" w:lineRule="auto"/>
        <w:ind w:right="49"/>
        <w:jc w:val="both"/>
        <w:rPr>
          <w:rFonts w:ascii="Palatino Linotype" w:eastAsia="Palatino Linotype" w:hAnsi="Palatino Linotype" w:cs="Palatino Linotype"/>
        </w:rPr>
      </w:pPr>
      <w:r w:rsidRPr="00B2114D">
        <w:rPr>
          <w:rFonts w:ascii="Palatino Linotype" w:eastAsia="Palatino Linotype" w:hAnsi="Palatino Linotype" w:cs="Palatino Linotype"/>
          <w:b/>
        </w:rPr>
        <w:t xml:space="preserve">Segundo. </w:t>
      </w:r>
      <w:r w:rsidRPr="00B2114D">
        <w:rPr>
          <w:rFonts w:ascii="Palatino Linotype" w:eastAsia="Palatino Linotype" w:hAnsi="Palatino Linotype" w:cs="Palatino Linotype"/>
        </w:rPr>
        <w:t>Se</w:t>
      </w:r>
      <w:r w:rsidRPr="00B2114D">
        <w:rPr>
          <w:rFonts w:ascii="Palatino Linotype" w:eastAsia="Palatino Linotype" w:hAnsi="Palatino Linotype" w:cs="Palatino Linotype"/>
          <w:b/>
        </w:rPr>
        <w:t xml:space="preserve"> ORDENA </w:t>
      </w:r>
      <w:r w:rsidRPr="00B2114D">
        <w:rPr>
          <w:rFonts w:ascii="Palatino Linotype" w:eastAsia="Palatino Linotype" w:hAnsi="Palatino Linotype" w:cs="Palatino Linotype"/>
        </w:rPr>
        <w:t xml:space="preserve">al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a que,</w:t>
      </w:r>
      <w:r w:rsidRPr="00B2114D">
        <w:rPr>
          <w:rFonts w:ascii="Palatino Linotype" w:eastAsia="Palatino Linotype" w:hAnsi="Palatino Linotype" w:cs="Palatino Linotype"/>
          <w:b/>
        </w:rPr>
        <w:t xml:space="preserve"> </w:t>
      </w:r>
      <w:r w:rsidR="003A3F4E" w:rsidRPr="00B2114D">
        <w:rPr>
          <w:rFonts w:ascii="Palatino Linotype" w:eastAsia="Palatino Linotype" w:hAnsi="Palatino Linotype" w:cs="Palatino Linotype"/>
        </w:rPr>
        <w:t>en términos de</w:t>
      </w:r>
      <w:r w:rsidRPr="00B2114D">
        <w:rPr>
          <w:rFonts w:ascii="Palatino Linotype" w:eastAsia="Palatino Linotype" w:hAnsi="Palatino Linotype" w:cs="Palatino Linotype"/>
        </w:rPr>
        <w:t xml:space="preserve">l Considerando </w:t>
      </w:r>
      <w:r w:rsidRPr="00B2114D">
        <w:rPr>
          <w:rFonts w:ascii="Palatino Linotype" w:eastAsia="Palatino Linotype" w:hAnsi="Palatino Linotype" w:cs="Palatino Linotype"/>
          <w:b/>
        </w:rPr>
        <w:t xml:space="preserve">Cuarto </w:t>
      </w:r>
      <w:r w:rsidRPr="00B2114D">
        <w:rPr>
          <w:rFonts w:ascii="Palatino Linotype" w:eastAsia="Palatino Linotype" w:hAnsi="Palatino Linotype" w:cs="Palatino Linotype"/>
        </w:rPr>
        <w:t xml:space="preserve">de la presente resolución, </w:t>
      </w:r>
      <w:r w:rsidR="003A3F4E" w:rsidRPr="00B2114D">
        <w:rPr>
          <w:rFonts w:ascii="Palatino Linotype" w:eastAsia="Palatino Linotype" w:hAnsi="Palatino Linotype" w:cs="Palatino Linotype"/>
        </w:rPr>
        <w:t>haga entrega vía SAIMEX</w:t>
      </w:r>
      <w:r w:rsidRPr="00B2114D">
        <w:rPr>
          <w:rFonts w:ascii="Palatino Linotype" w:eastAsia="Palatino Linotype" w:hAnsi="Palatino Linotype" w:cs="Palatino Linotype"/>
        </w:rPr>
        <w:t>,</w:t>
      </w:r>
      <w:r w:rsidR="007E613E" w:rsidRPr="00B2114D">
        <w:rPr>
          <w:rFonts w:ascii="Palatino Linotype" w:eastAsia="Palatino Linotype" w:hAnsi="Palatino Linotype" w:cs="Palatino Linotype"/>
        </w:rPr>
        <w:t xml:space="preserve"> de ser procedente en versión pública</w:t>
      </w:r>
      <w:r w:rsidRPr="00B2114D">
        <w:rPr>
          <w:rFonts w:ascii="Palatino Linotype" w:eastAsia="Palatino Linotype" w:hAnsi="Palatino Linotype" w:cs="Palatino Linotype"/>
        </w:rPr>
        <w:t xml:space="preserve"> </w:t>
      </w:r>
      <w:r w:rsidR="003A3F4E" w:rsidRPr="00B2114D">
        <w:rPr>
          <w:rFonts w:ascii="Palatino Linotype" w:eastAsia="Palatino Linotype" w:hAnsi="Palatino Linotype" w:cs="Palatino Linotype"/>
        </w:rPr>
        <w:t xml:space="preserve">la siguiente información: </w:t>
      </w:r>
    </w:p>
    <w:p w14:paraId="043FCAE9" w14:textId="77777777" w:rsidR="007E613E" w:rsidRPr="00B2114D" w:rsidRDefault="007E613E" w:rsidP="007E613E">
      <w:pPr>
        <w:pStyle w:val="Prrafodelista"/>
        <w:numPr>
          <w:ilvl w:val="0"/>
          <w:numId w:val="5"/>
        </w:numPr>
        <w:spacing w:line="360" w:lineRule="auto"/>
        <w:jc w:val="both"/>
        <w:rPr>
          <w:rFonts w:ascii="Palatino Linotype" w:eastAsia="Palatino Linotype" w:hAnsi="Palatino Linotype" w:cs="Palatino Linotype"/>
          <w:color w:val="000000"/>
        </w:rPr>
      </w:pPr>
      <w:r w:rsidRPr="00B2114D">
        <w:rPr>
          <w:rFonts w:ascii="Palatino Linotype" w:eastAsia="Palatino Linotype" w:hAnsi="Palatino Linotype" w:cs="Palatino Linotype"/>
          <w:color w:val="000000"/>
        </w:rPr>
        <w:t xml:space="preserve">Documento donde conste el </w:t>
      </w:r>
      <w:r w:rsidRPr="00B2114D">
        <w:rPr>
          <w:rFonts w:ascii="Palatino Linotype" w:eastAsia="Palatino Linotype" w:hAnsi="Palatino Linotype" w:cs="Palatino Linotype"/>
          <w:b/>
          <w:color w:val="000000"/>
          <w:u w:val="single"/>
        </w:rPr>
        <w:t>sueldo base y neto</w:t>
      </w:r>
      <w:r w:rsidRPr="00B2114D">
        <w:rPr>
          <w:rFonts w:ascii="Palatino Linotype" w:eastAsia="Palatino Linotype" w:hAnsi="Palatino Linotype" w:cs="Palatino Linotype"/>
          <w:color w:val="000000"/>
        </w:rPr>
        <w:t xml:space="preserve"> de los servidores públicos adscritos </w:t>
      </w:r>
      <w:proofErr w:type="gramStart"/>
      <w:r w:rsidRPr="00B2114D">
        <w:rPr>
          <w:rFonts w:ascii="Palatino Linotype" w:eastAsia="Palatino Linotype" w:hAnsi="Palatino Linotype" w:cs="Palatino Linotype"/>
          <w:color w:val="000000"/>
        </w:rPr>
        <w:t xml:space="preserve">al  </w:t>
      </w:r>
      <w:r w:rsidRPr="00B2114D">
        <w:rPr>
          <w:rFonts w:ascii="Palatino Linotype" w:eastAsia="Palatino Linotype" w:hAnsi="Palatino Linotype" w:cs="Palatino Linotype"/>
          <w:b/>
        </w:rPr>
        <w:t>Organismo</w:t>
      </w:r>
      <w:proofErr w:type="gramEnd"/>
      <w:r w:rsidRPr="00B2114D">
        <w:rPr>
          <w:rFonts w:ascii="Palatino Linotype" w:eastAsia="Palatino Linotype" w:hAnsi="Palatino Linotype" w:cs="Palatino Linotype"/>
          <w:b/>
        </w:rPr>
        <w:t xml:space="preserve"> Público Descentralizado de Agua Potable Alcantarillado y Saneamiento de Chimalhuacán, </w:t>
      </w:r>
      <w:r w:rsidRPr="00B2114D">
        <w:rPr>
          <w:rFonts w:ascii="Palatino Linotype" w:eastAsia="Palatino Linotype" w:hAnsi="Palatino Linotype" w:cs="Palatino Linotype"/>
        </w:rPr>
        <w:t xml:space="preserve">al veintidós de febrero de dos mil veintidós. </w:t>
      </w:r>
    </w:p>
    <w:p w14:paraId="1E57FC9A" w14:textId="77777777" w:rsidR="000B235D" w:rsidRPr="00B2114D" w:rsidRDefault="000B235D" w:rsidP="000B235D">
      <w:pPr>
        <w:spacing w:before="240" w:after="240" w:line="276" w:lineRule="auto"/>
        <w:ind w:left="567" w:right="900"/>
        <w:jc w:val="both"/>
        <w:rPr>
          <w:rFonts w:ascii="Palatino Linotype" w:eastAsia="Palatino Linotype" w:hAnsi="Palatino Linotype" w:cs="Palatino Linotype"/>
          <w:i/>
          <w:sz w:val="22"/>
          <w:szCs w:val="22"/>
        </w:rPr>
      </w:pPr>
      <w:r w:rsidRPr="00B2114D">
        <w:rPr>
          <w:rFonts w:ascii="Palatino Linotype" w:eastAsia="Palatino Linotype" w:hAnsi="Palatino Linotype" w:cs="Palatino Linotype"/>
          <w:i/>
          <w:sz w:val="22"/>
          <w:szCs w:val="22"/>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30825D03" w14:textId="77777777" w:rsidR="003A3F4E" w:rsidRPr="00B2114D" w:rsidRDefault="003A3F4E" w:rsidP="003A3F4E">
      <w:pPr>
        <w:pStyle w:val="Prrafodelista"/>
        <w:spacing w:line="360" w:lineRule="auto"/>
        <w:ind w:left="720" w:right="49"/>
        <w:jc w:val="both"/>
        <w:rPr>
          <w:rFonts w:ascii="Palatino Linotype" w:eastAsia="Palatino Linotype" w:hAnsi="Palatino Linotype" w:cs="Palatino Linotype"/>
          <w:i/>
          <w:color w:val="000000"/>
        </w:rPr>
      </w:pPr>
    </w:p>
    <w:p w14:paraId="1437175B" w14:textId="77777777" w:rsidR="0036327D" w:rsidRPr="00B2114D" w:rsidRDefault="004B1C23">
      <w:pPr>
        <w:spacing w:after="240" w:line="360" w:lineRule="auto"/>
        <w:jc w:val="both"/>
        <w:rPr>
          <w:rFonts w:ascii="Palatino Linotype" w:eastAsia="Palatino Linotype" w:hAnsi="Palatino Linotype" w:cs="Palatino Linotype"/>
        </w:rPr>
      </w:pPr>
      <w:r w:rsidRPr="00B2114D">
        <w:rPr>
          <w:rFonts w:ascii="Palatino Linotype" w:eastAsia="Palatino Linotype" w:hAnsi="Palatino Linotype" w:cs="Palatino Linotype"/>
          <w:b/>
        </w:rPr>
        <w:t>Tercero. Notifíquese vía SAIMEX,</w:t>
      </w:r>
      <w:r w:rsidRPr="00B2114D">
        <w:rPr>
          <w:rFonts w:ascii="Palatino Linotype" w:eastAsia="Palatino Linotype" w:hAnsi="Palatino Linotype" w:cs="Palatino Linotype"/>
          <w:b/>
          <w:i/>
        </w:rPr>
        <w:t xml:space="preserve"> </w:t>
      </w:r>
      <w:r w:rsidRPr="00B2114D">
        <w:rPr>
          <w:rFonts w:ascii="Palatino Linotype" w:eastAsia="Palatino Linotype" w:hAnsi="Palatino Linotype" w:cs="Palatino Linotype"/>
        </w:rPr>
        <w:t xml:space="preserve">al Titular de la Unidad de Transparencia del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087BAAE" w14:textId="77777777" w:rsidR="0036327D" w:rsidRPr="00B2114D" w:rsidRDefault="004B1C23">
      <w:pPr>
        <w:spacing w:before="240" w:after="240" w:line="360" w:lineRule="auto"/>
        <w:ind w:right="49"/>
        <w:jc w:val="both"/>
        <w:rPr>
          <w:rFonts w:ascii="Palatino Linotype" w:eastAsia="Palatino Linotype" w:hAnsi="Palatino Linotype" w:cs="Palatino Linotype"/>
        </w:rPr>
      </w:pPr>
      <w:r w:rsidRPr="00B2114D">
        <w:rPr>
          <w:rFonts w:ascii="Palatino Linotype" w:eastAsia="Palatino Linotype" w:hAnsi="Palatino Linotype" w:cs="Palatino Linotype"/>
          <w:b/>
        </w:rPr>
        <w:t>Cuarto. Notifíquese vía SAIMEX</w:t>
      </w:r>
      <w:r w:rsidRPr="00B2114D">
        <w:rPr>
          <w:rFonts w:ascii="Palatino Linotype" w:eastAsia="Palatino Linotype" w:hAnsi="Palatino Linotype" w:cs="Palatino Linotype"/>
        </w:rPr>
        <w:t xml:space="preserve">, al </w:t>
      </w:r>
      <w:r w:rsidRPr="00B2114D">
        <w:rPr>
          <w:rFonts w:ascii="Palatino Linotype" w:eastAsia="Palatino Linotype" w:hAnsi="Palatino Linotype" w:cs="Palatino Linotype"/>
          <w:b/>
        </w:rPr>
        <w:t>RECURRENTE</w:t>
      </w:r>
      <w:r w:rsidRPr="00B2114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21156AB" w14:textId="77777777" w:rsidR="0036327D" w:rsidRPr="00B2114D" w:rsidRDefault="004B1C23">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B2114D">
        <w:rPr>
          <w:rFonts w:ascii="Palatino Linotype" w:eastAsia="Palatino Linotype" w:hAnsi="Palatino Linotype" w:cs="Palatino Linotype"/>
          <w:b/>
        </w:rPr>
        <w:t>Quinto.</w:t>
      </w:r>
      <w:r w:rsidRPr="00B2114D">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B2114D">
        <w:rPr>
          <w:rFonts w:ascii="Palatino Linotype" w:eastAsia="Palatino Linotype" w:hAnsi="Palatino Linotype" w:cs="Palatino Linotype"/>
          <w:b/>
        </w:rPr>
        <w:t>SUJETO OBLIGADO</w:t>
      </w:r>
      <w:r w:rsidRPr="00B2114D">
        <w:rPr>
          <w:rFonts w:ascii="Palatino Linotype" w:eastAsia="Palatino Linotype" w:hAnsi="Palatino Linotype" w:cs="Palatino Linotype"/>
        </w:rPr>
        <w:t xml:space="preserve"> de manera fundada y motivada, podrá solicitar una ampliación de plazo para el cumplimiento de la presente resolución.</w:t>
      </w:r>
    </w:p>
    <w:p w14:paraId="3E368D1A" w14:textId="77777777" w:rsidR="0036327D" w:rsidRDefault="004B1C23">
      <w:pPr>
        <w:spacing w:before="240" w:after="240" w:line="360" w:lineRule="auto"/>
        <w:jc w:val="both"/>
        <w:rPr>
          <w:rFonts w:ascii="Palatino Linotype" w:eastAsia="Palatino Linotype" w:hAnsi="Palatino Linotype" w:cs="Palatino Linotype"/>
        </w:rPr>
        <w:sectPr w:rsidR="0036327D">
          <w:headerReference w:type="default" r:id="rId28"/>
          <w:footerReference w:type="default" r:id="rId29"/>
          <w:headerReference w:type="first" r:id="rId30"/>
          <w:footerReference w:type="first" r:id="rId31"/>
          <w:pgSz w:w="12240" w:h="15840"/>
          <w:pgMar w:top="1417" w:right="1701" w:bottom="1417" w:left="1701" w:header="709" w:footer="709" w:gutter="0"/>
          <w:pgNumType w:start="1"/>
          <w:cols w:space="720"/>
          <w:titlePg/>
        </w:sectPr>
      </w:pPr>
      <w:r w:rsidRPr="00B2114D">
        <w:rPr>
          <w:rFonts w:ascii="Palatino Linotype" w:eastAsia="Palatino Linotype" w:hAnsi="Palatino Linotype" w:cs="Palatino Linotype"/>
          <w:color w:val="2222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3A3F4E" w:rsidRPr="00B2114D">
        <w:rPr>
          <w:rFonts w:ascii="Palatino Linotype" w:eastAsia="Palatino Linotype" w:hAnsi="Palatino Linotype" w:cs="Palatino Linotype"/>
          <w:color w:val="222222"/>
        </w:rPr>
        <w:t>NOVENA</w:t>
      </w:r>
      <w:r w:rsidRPr="00B2114D">
        <w:rPr>
          <w:rFonts w:ascii="Palatino Linotype" w:eastAsia="Palatino Linotype" w:hAnsi="Palatino Linotype" w:cs="Palatino Linotype"/>
          <w:color w:val="222222"/>
        </w:rPr>
        <w:t xml:space="preserve"> SESIÓN ORDINARIA </w:t>
      </w:r>
      <w:r w:rsidR="003A3F4E" w:rsidRPr="00B2114D">
        <w:rPr>
          <w:rFonts w:ascii="Palatino Linotype" w:eastAsia="Palatino Linotype" w:hAnsi="Palatino Linotype" w:cs="Palatino Linotype"/>
          <w:color w:val="222222"/>
        </w:rPr>
        <w:t>CELEBRADA EL DIECISIETE</w:t>
      </w:r>
      <w:r w:rsidRPr="00B2114D">
        <w:rPr>
          <w:rFonts w:ascii="Palatino Linotype" w:eastAsia="Palatino Linotype" w:hAnsi="Palatino Linotype" w:cs="Palatino Linotype"/>
        </w:rPr>
        <w:t xml:space="preserve"> DE AGOSTO DE DOS MIL VEINTIDÓS, ANTE EL SECRETARIO TÉCNICO DEL PLENO ALEXIS TAPIA RAMÍREZ.</w:t>
      </w:r>
    </w:p>
    <w:p w14:paraId="4DCFF403" w14:textId="77777777" w:rsidR="0036327D" w:rsidRDefault="0036327D">
      <w:pPr>
        <w:spacing w:before="240" w:after="240" w:line="360" w:lineRule="auto"/>
        <w:jc w:val="both"/>
        <w:rPr>
          <w:rFonts w:ascii="Palatino Linotype" w:eastAsia="Palatino Linotype" w:hAnsi="Palatino Linotype" w:cs="Palatino Linotype"/>
        </w:rPr>
      </w:pPr>
    </w:p>
    <w:p w14:paraId="3DD10190" w14:textId="77777777" w:rsidR="0036327D" w:rsidRDefault="0036327D">
      <w:pPr>
        <w:spacing w:before="240" w:after="240" w:line="360" w:lineRule="auto"/>
        <w:jc w:val="both"/>
        <w:rPr>
          <w:rFonts w:ascii="Palatino Linotype" w:eastAsia="Palatino Linotype" w:hAnsi="Palatino Linotype" w:cs="Palatino Linotype"/>
        </w:rPr>
      </w:pPr>
    </w:p>
    <w:p w14:paraId="1635CF6D" w14:textId="77777777" w:rsidR="0036327D" w:rsidRDefault="0036327D">
      <w:pPr>
        <w:spacing w:before="240" w:after="240" w:line="360" w:lineRule="auto"/>
        <w:jc w:val="both"/>
        <w:rPr>
          <w:rFonts w:ascii="Palatino Linotype" w:eastAsia="Palatino Linotype" w:hAnsi="Palatino Linotype" w:cs="Palatino Linotype"/>
        </w:rPr>
      </w:pPr>
    </w:p>
    <w:sectPr w:rsidR="0036327D">
      <w:headerReference w:type="first" r:id="rId32"/>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75566" w14:textId="77777777" w:rsidR="00D053A5" w:rsidRDefault="00D053A5">
      <w:r>
        <w:separator/>
      </w:r>
    </w:p>
  </w:endnote>
  <w:endnote w:type="continuationSeparator" w:id="0">
    <w:p w14:paraId="30CF4B74" w14:textId="77777777" w:rsidR="00D053A5" w:rsidRDefault="00D0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20B0604020202020204"/>
    <w:charset w:val="00"/>
    <w:family w:val="roman"/>
    <w:notTrueType/>
    <w:pitch w:val="default"/>
  </w:font>
  <w:font w:name="DejaVu Sans">
    <w:panose1 w:val="020B0604020202020204"/>
    <w:charset w:val="00"/>
    <w:family w:val="roman"/>
    <w:notTrueType/>
    <w:pitch w:val="default"/>
  </w:font>
  <w:font w:name="Lohit Hindi">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017C" w14:textId="77777777" w:rsidR="0036327D" w:rsidRDefault="004B1C2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2114D">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2114D">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15D6EA4F" w14:textId="77777777" w:rsidR="0036327D" w:rsidRDefault="0036327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533C" w14:textId="77777777" w:rsidR="0036327D" w:rsidRDefault="004B1C2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2114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2114D">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14:paraId="613C18DC" w14:textId="77777777" w:rsidR="0036327D" w:rsidRDefault="0036327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2F12" w14:textId="77777777" w:rsidR="00D053A5" w:rsidRDefault="00D053A5">
      <w:r>
        <w:separator/>
      </w:r>
    </w:p>
  </w:footnote>
  <w:footnote w:type="continuationSeparator" w:id="0">
    <w:p w14:paraId="623BCF1C" w14:textId="77777777" w:rsidR="00D053A5" w:rsidRDefault="00D053A5">
      <w:r>
        <w:continuationSeparator/>
      </w:r>
    </w:p>
  </w:footnote>
  <w:footnote w:id="1">
    <w:p w14:paraId="7EEF24D7" w14:textId="77777777" w:rsidR="0036327D" w:rsidRDefault="004B1C2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76536F4" w14:textId="77777777" w:rsidR="0036327D" w:rsidRDefault="004B1C2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40FA0961" w14:textId="77777777" w:rsidR="0036327D" w:rsidRDefault="004B1C2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CB63" w14:textId="77777777" w:rsidR="0036327D" w:rsidRDefault="004B1C23">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5EA10C39" wp14:editId="635EC8DC">
          <wp:simplePos x="0" y="0"/>
          <wp:positionH relativeFrom="column">
            <wp:posOffset>-665858</wp:posOffset>
          </wp:positionH>
          <wp:positionV relativeFrom="paragraph">
            <wp:posOffset>-453614</wp:posOffset>
          </wp:positionV>
          <wp:extent cx="7635600" cy="9943200"/>
          <wp:effectExtent l="0" t="0" r="0" b="0"/>
          <wp:wrapNone/>
          <wp:docPr id="5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5670" w:type="dxa"/>
      <w:tblInd w:w="3119" w:type="dxa"/>
      <w:tblLayout w:type="fixed"/>
      <w:tblLook w:val="0400" w:firstRow="0" w:lastRow="0" w:firstColumn="0" w:lastColumn="0" w:noHBand="0" w:noVBand="1"/>
    </w:tblPr>
    <w:tblGrid>
      <w:gridCol w:w="2551"/>
      <w:gridCol w:w="3119"/>
    </w:tblGrid>
    <w:tr w:rsidR="0036327D" w14:paraId="1082D4A3" w14:textId="77777777">
      <w:tc>
        <w:tcPr>
          <w:tcW w:w="2551" w:type="dxa"/>
          <w:vAlign w:val="center"/>
        </w:tcPr>
        <w:p w14:paraId="442B7446" w14:textId="77777777" w:rsidR="0036327D" w:rsidRDefault="004B1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2187D11" w14:textId="77777777" w:rsidR="0036327D" w:rsidRDefault="004B1C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05619/INFOEM/IP/RR/2022. </w:t>
          </w:r>
        </w:p>
      </w:tc>
    </w:tr>
    <w:tr w:rsidR="0036327D" w14:paraId="221DE5E3" w14:textId="77777777">
      <w:trPr>
        <w:trHeight w:val="228"/>
      </w:trPr>
      <w:tc>
        <w:tcPr>
          <w:tcW w:w="2551" w:type="dxa"/>
          <w:vAlign w:val="center"/>
        </w:tcPr>
        <w:p w14:paraId="0624346E" w14:textId="77777777" w:rsidR="0036327D" w:rsidRDefault="004B1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35FC10D1" w14:textId="77777777" w:rsidR="0036327D" w:rsidRDefault="004B1C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0"/>
              <w:szCs w:val="20"/>
            </w:rPr>
            <w:t>Organismo Público Descentralizado de Agua Potable Alcantarillado y Saneamiento de Chimalhuacán.</w:t>
          </w:r>
        </w:p>
      </w:tc>
    </w:tr>
    <w:tr w:rsidR="0036327D" w14:paraId="5CF4CB4B" w14:textId="77777777">
      <w:tc>
        <w:tcPr>
          <w:tcW w:w="2551" w:type="dxa"/>
          <w:vAlign w:val="center"/>
        </w:tcPr>
        <w:p w14:paraId="700905A3" w14:textId="77777777" w:rsidR="0036327D" w:rsidRDefault="004B1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52A25B1" w14:textId="77777777" w:rsidR="0036327D" w:rsidRDefault="004B1C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27EDD7" w14:textId="77777777" w:rsidR="0036327D" w:rsidRDefault="0036327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0897" w14:textId="77777777" w:rsidR="0036327D" w:rsidRDefault="004B1C23">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464C9E2D" wp14:editId="045D00AA">
          <wp:simplePos x="0" y="0"/>
          <wp:positionH relativeFrom="column">
            <wp:posOffset>-680311</wp:posOffset>
          </wp:positionH>
          <wp:positionV relativeFrom="paragraph">
            <wp:posOffset>-168882</wp:posOffset>
          </wp:positionV>
          <wp:extent cx="7635600" cy="9943200"/>
          <wp:effectExtent l="0" t="0" r="0" b="0"/>
          <wp:wrapNone/>
          <wp:docPr id="6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6095" w:type="dxa"/>
      <w:tblInd w:w="2977" w:type="dxa"/>
      <w:tblLayout w:type="fixed"/>
      <w:tblLook w:val="0400" w:firstRow="0" w:lastRow="0" w:firstColumn="0" w:lastColumn="0" w:noHBand="0" w:noVBand="1"/>
    </w:tblPr>
    <w:tblGrid>
      <w:gridCol w:w="2552"/>
      <w:gridCol w:w="3543"/>
    </w:tblGrid>
    <w:tr w:rsidR="0036327D" w14:paraId="630A6914" w14:textId="77777777">
      <w:tc>
        <w:tcPr>
          <w:tcW w:w="2552" w:type="dxa"/>
          <w:vAlign w:val="center"/>
        </w:tcPr>
        <w:p w14:paraId="6C0F2B3F" w14:textId="77777777" w:rsidR="0036327D" w:rsidRDefault="004B1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1CFAF80A" w14:textId="77777777" w:rsidR="0036327D" w:rsidRDefault="004B1C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05619/INFOEM/IP/RR/2022. </w:t>
          </w:r>
        </w:p>
      </w:tc>
    </w:tr>
    <w:tr w:rsidR="0036327D" w14:paraId="2F5FE441" w14:textId="77777777">
      <w:tc>
        <w:tcPr>
          <w:tcW w:w="2552" w:type="dxa"/>
          <w:vAlign w:val="center"/>
        </w:tcPr>
        <w:p w14:paraId="216E0F1E" w14:textId="77777777" w:rsidR="0036327D" w:rsidRDefault="004B1C2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14:paraId="1646A620" w14:textId="60F454D7" w:rsidR="0036327D" w:rsidRDefault="00BB0591">
          <w:pPr>
            <w:ind w:right="-11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w:t>
          </w:r>
        </w:p>
      </w:tc>
    </w:tr>
    <w:tr w:rsidR="0036327D" w14:paraId="5AD35BC3" w14:textId="77777777">
      <w:trPr>
        <w:trHeight w:val="228"/>
      </w:trPr>
      <w:tc>
        <w:tcPr>
          <w:tcW w:w="2552" w:type="dxa"/>
          <w:vAlign w:val="center"/>
        </w:tcPr>
        <w:p w14:paraId="0CC46829" w14:textId="77777777" w:rsidR="0036327D" w:rsidRDefault="004B1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14:paraId="65DC9880" w14:textId="77777777" w:rsidR="0036327D" w:rsidRDefault="004B1C23">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Organismo Público Descentralizado de Agua Potable Alcantarillado y Saneamiento de Chimalhuacán. </w:t>
          </w:r>
        </w:p>
      </w:tc>
    </w:tr>
    <w:tr w:rsidR="0036327D" w14:paraId="79611F95" w14:textId="77777777">
      <w:tc>
        <w:tcPr>
          <w:tcW w:w="2552" w:type="dxa"/>
          <w:vAlign w:val="center"/>
        </w:tcPr>
        <w:p w14:paraId="79742BF1" w14:textId="77777777" w:rsidR="0036327D" w:rsidRDefault="004B1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78C6B029" w14:textId="77777777" w:rsidR="0036327D" w:rsidRDefault="004B1C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059FBA" w14:textId="77777777" w:rsidR="0036327D" w:rsidRDefault="0036327D">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9796" w14:textId="77777777" w:rsidR="0036327D" w:rsidRDefault="0036327D">
    <w:pPr>
      <w:pBdr>
        <w:top w:val="nil"/>
        <w:left w:val="nil"/>
        <w:bottom w:val="nil"/>
        <w:right w:val="nil"/>
        <w:between w:val="nil"/>
      </w:pBdr>
      <w:tabs>
        <w:tab w:val="center" w:pos="4419"/>
        <w:tab w:val="right" w:pos="8838"/>
      </w:tabs>
      <w:jc w:val="both"/>
      <w:rPr>
        <w:color w:val="000000"/>
      </w:rPr>
    </w:pPr>
  </w:p>
  <w:p w14:paraId="21F733C1" w14:textId="77777777" w:rsidR="0036327D" w:rsidRDefault="0036327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803F7"/>
    <w:multiLevelType w:val="multilevel"/>
    <w:tmpl w:val="AAFAC56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0E221C"/>
    <w:multiLevelType w:val="multilevel"/>
    <w:tmpl w:val="8C9014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BE2233"/>
    <w:multiLevelType w:val="multilevel"/>
    <w:tmpl w:val="8B862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B44E2D"/>
    <w:multiLevelType w:val="hybridMultilevel"/>
    <w:tmpl w:val="CF9E5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C4E2CA6"/>
    <w:multiLevelType w:val="multilevel"/>
    <w:tmpl w:val="4672DF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2061710112">
    <w:abstractNumId w:val="4"/>
  </w:num>
  <w:num w:numId="2" w16cid:durableId="1006400320">
    <w:abstractNumId w:val="2"/>
  </w:num>
  <w:num w:numId="3" w16cid:durableId="2101678119">
    <w:abstractNumId w:val="1"/>
  </w:num>
  <w:num w:numId="4" w16cid:durableId="620844393">
    <w:abstractNumId w:val="0"/>
  </w:num>
  <w:num w:numId="5" w16cid:durableId="569927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27D"/>
    <w:rsid w:val="000B235D"/>
    <w:rsid w:val="00113EA6"/>
    <w:rsid w:val="001325AD"/>
    <w:rsid w:val="0036327D"/>
    <w:rsid w:val="00377474"/>
    <w:rsid w:val="003A3F4E"/>
    <w:rsid w:val="00423326"/>
    <w:rsid w:val="004B1C23"/>
    <w:rsid w:val="005974BD"/>
    <w:rsid w:val="006125F0"/>
    <w:rsid w:val="006F393A"/>
    <w:rsid w:val="007E613E"/>
    <w:rsid w:val="008F55AD"/>
    <w:rsid w:val="00924B17"/>
    <w:rsid w:val="009E6EFB"/>
    <w:rsid w:val="00A136A1"/>
    <w:rsid w:val="00A1608E"/>
    <w:rsid w:val="00B2114D"/>
    <w:rsid w:val="00BB0591"/>
    <w:rsid w:val="00D053A5"/>
    <w:rsid w:val="00D63DD4"/>
    <w:rsid w:val="00E51AA9"/>
    <w:rsid w:val="00E52ABB"/>
    <w:rsid w:val="00EE78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1CE1C"/>
  <w15:docId w15:val="{C764FCA3-A135-416C-92BC-9F64C513F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4C7173"/>
    <w:rPr>
      <w:color w:val="605E5C"/>
      <w:shd w:val="clear" w:color="auto" w:fill="E1DFDD"/>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377490.page" TargetMode="External"/><Relationship Id="rId17" Type="http://schemas.openxmlformats.org/officeDocument/2006/relationships/hyperlink" Target="https://saimex.org.mx/saimex/solicitud/downloadAttach/1377490.page"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8.png"/><Relationship Id="rId22" Type="http://schemas.openxmlformats.org/officeDocument/2006/relationships/image" Target="media/image8.png"/><Relationship Id="rId27" Type="http://schemas.openxmlformats.org/officeDocument/2006/relationships/hyperlink" Target="http://dof.gob.mx/nota_detalle.php?codigo=5492254&amp;fecha=28/07/2017"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M0IGj1g0bf6Yd24DG93ZnpaGMA==">AMUW2mWq+XpPsMTwh8c3Cp4nh6sk8QdMqVrS/Ynw7mp3A6LxDD+VmgaZz4nLcLT9lcpolRrfF2bA7otyyo8Xlb1ttowMwPsaBQjYVaCdugUjUNUTlKJv3/3GX2DfE9g6HEHCiJBDNbDAqhk1pJjSUrxexwlcBzGKtQ==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10740</Words>
  <Characters>59073</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8</cp:revision>
  <cp:lastPrinted>2022-08-19T15:26:00Z</cp:lastPrinted>
  <dcterms:created xsi:type="dcterms:W3CDTF">2022-08-18T20:26:00Z</dcterms:created>
  <dcterms:modified xsi:type="dcterms:W3CDTF">2022-09-06T16:39:00Z</dcterms:modified>
</cp:coreProperties>
</file>