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430FCF3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41058F">
        <w:rPr>
          <w:rFonts w:ascii="Palatino Linotype" w:eastAsia="Palatino Linotype" w:hAnsi="Palatino Linotype" w:cs="Palatino Linotype"/>
          <w:color w:val="000000"/>
          <w:sz w:val="24"/>
          <w:szCs w:val="24"/>
          <w:lang w:val="es-ES_tradnl"/>
        </w:rPr>
        <w:t>quince</w:t>
      </w:r>
      <w:r w:rsidR="00D8750E">
        <w:rPr>
          <w:rFonts w:ascii="Palatino Linotype" w:eastAsia="Palatino Linotype" w:hAnsi="Palatino Linotype" w:cs="Palatino Linotype"/>
          <w:color w:val="000000"/>
          <w:sz w:val="24"/>
          <w:szCs w:val="24"/>
          <w:lang w:val="es-ES_tradnl"/>
        </w:rPr>
        <w:t xml:space="preserve"> de junio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1B9C5DFE"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96093D">
        <w:rPr>
          <w:rFonts w:ascii="Palatino Linotype" w:eastAsia="Palatino Linotype" w:hAnsi="Palatino Linotype" w:cs="Palatino Linotype"/>
          <w:b/>
          <w:color w:val="000000"/>
          <w:sz w:val="24"/>
          <w:szCs w:val="24"/>
          <w:lang w:val="es-ES_tradnl"/>
        </w:rPr>
        <w:t>7885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w:t>
      </w:r>
      <w:r w:rsidR="0096093D">
        <w:rPr>
          <w:rFonts w:ascii="Palatino Linotype" w:eastAsia="Palatino Linotype" w:hAnsi="Palatino Linotype" w:cs="Palatino Linotype"/>
          <w:color w:val="000000"/>
          <w:sz w:val="24"/>
          <w:szCs w:val="24"/>
          <w:lang w:val="es-ES_tradnl"/>
        </w:rPr>
        <w:t xml:space="preserve"> una persona de manera anónima</w:t>
      </w:r>
      <w:r w:rsidRPr="00883102">
        <w:rPr>
          <w:rFonts w:ascii="Palatino Linotype" w:eastAsia="Palatino Linotype" w:hAnsi="Palatino Linotype" w:cs="Palatino Linotype"/>
          <w:color w:val="000000"/>
          <w:sz w:val="24"/>
          <w:szCs w:val="24"/>
          <w:lang w:val="es-ES_tradnl"/>
        </w:rPr>
        <w:t xml:space="preserve">, en lo sucesivo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96093D">
        <w:rPr>
          <w:rFonts w:ascii="Palatino Linotype" w:eastAsia="Palatino Linotype" w:hAnsi="Palatino Linotype" w:cs="Palatino Linotype"/>
          <w:b/>
          <w:color w:val="000000"/>
          <w:sz w:val="24"/>
          <w:szCs w:val="24"/>
          <w:lang w:val="es-ES_tradnl"/>
        </w:rPr>
        <w:t>Chiautla</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5A66AC3B"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diecinueve de abril</w:t>
      </w:r>
      <w:r w:rsidR="00A50959"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96093D">
        <w:rPr>
          <w:rFonts w:ascii="Palatino Linotype" w:eastAsia="Palatino Linotype" w:hAnsi="Palatino Linotype" w:cs="Palatino Linotype"/>
          <w:b/>
          <w:bCs/>
          <w:color w:val="000000"/>
          <w:sz w:val="24"/>
          <w:szCs w:val="24"/>
          <w:lang w:val="es-ES_tradnl"/>
        </w:rPr>
        <w:t>00417/CHIAUTLA</w:t>
      </w:r>
      <w:r w:rsidR="00D8750E" w:rsidRPr="00D8750E">
        <w:rPr>
          <w:rFonts w:ascii="Palatino Linotype" w:eastAsia="Palatino Linotype" w:hAnsi="Palatino Linotype" w:cs="Palatino Linotype"/>
          <w:b/>
          <w:bCs/>
          <w:color w:val="000000"/>
          <w:sz w:val="24"/>
          <w:szCs w:val="24"/>
          <w:lang w:val="es-ES_tradnl"/>
        </w:rPr>
        <w:t>/IP/2022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0F0090FC"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96093D" w:rsidRPr="0096093D">
        <w:rPr>
          <w:rFonts w:ascii="Palatino Linotype" w:eastAsia="Palatino Linotype" w:hAnsi="Palatino Linotype" w:cs="Palatino Linotype"/>
          <w:i/>
          <w:color w:val="000000"/>
          <w:lang w:val="es-ES_tradnl"/>
        </w:rPr>
        <w:t>Solicito todos los movimientos de altas y bajas que ha realizado en el municipio y en el DIF del mes de abril del año 2022</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33CD580A"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96093D">
        <w:rPr>
          <w:rFonts w:ascii="Palatino Linotype" w:eastAsia="Palatino Linotype" w:hAnsi="Palatino Linotype" w:cs="Palatino Linotype"/>
          <w:color w:val="000000"/>
          <w:sz w:val="24"/>
          <w:szCs w:val="24"/>
          <w:lang w:val="es-ES_tradnl"/>
        </w:rPr>
        <w:t>dieciséis</w:t>
      </w:r>
      <w:r w:rsidR="00684491">
        <w:rPr>
          <w:rFonts w:ascii="Palatino Linotype" w:eastAsia="Palatino Linotype" w:hAnsi="Palatino Linotype" w:cs="Palatino Linotype"/>
          <w:color w:val="000000"/>
          <w:sz w:val="24"/>
          <w:szCs w:val="24"/>
          <w:lang w:val="es-ES_tradnl"/>
        </w:rPr>
        <w:t xml:space="preserve"> de mayo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96093D">
        <w:rPr>
          <w:rFonts w:ascii="Palatino Linotype" w:eastAsia="Palatino Linotype" w:hAnsi="Palatino Linotype" w:cs="Palatino Linotype"/>
          <w:b/>
          <w:color w:val="000000"/>
          <w:sz w:val="24"/>
          <w:szCs w:val="24"/>
          <w:lang w:val="es-ES_tradnl"/>
        </w:rPr>
        <w:t>788</w:t>
      </w:r>
      <w:r w:rsidR="00D8750E">
        <w:rPr>
          <w:rFonts w:ascii="Palatino Linotype" w:eastAsia="Palatino Linotype" w:hAnsi="Palatino Linotype" w:cs="Palatino Linotype"/>
          <w:b/>
          <w:color w:val="000000"/>
          <w:sz w:val="24"/>
          <w:szCs w:val="24"/>
          <w:lang w:val="es-ES_tradnl"/>
        </w:rPr>
        <w:t>5</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4B6067F9" w:rsidR="00BE7F8D" w:rsidRPr="00883102" w:rsidRDefault="00BE7F8D" w:rsidP="0068449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96093D" w:rsidRPr="0096093D">
        <w:rPr>
          <w:rFonts w:ascii="Palatino Linotype" w:eastAsia="Palatino Linotype" w:hAnsi="Palatino Linotype" w:cs="Palatino Linotype"/>
          <w:i/>
          <w:color w:val="000000"/>
          <w:lang w:val="es-ES_tradnl"/>
        </w:rPr>
        <w:t>NO realizo atención a la solicitud</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2F2F0DAC"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96093D" w:rsidRPr="0096093D">
        <w:rPr>
          <w:rFonts w:ascii="Palatino Linotype" w:eastAsia="Palatino Linotype" w:hAnsi="Palatino Linotype" w:cs="Palatino Linotype"/>
          <w:i/>
          <w:color w:val="000000"/>
          <w:lang w:val="es-ES_tradnl"/>
        </w:rPr>
        <w:t>NO realizo atención a la solicitud</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C7A78B6"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Pr>
          <w:rFonts w:ascii="Palatino Linotype" w:eastAsia="Palatino Linotype" w:hAnsi="Palatino Linotype" w:cs="Palatino Linotype"/>
          <w:color w:val="000000"/>
          <w:sz w:val="24"/>
          <w:szCs w:val="24"/>
          <w:lang w:val="es-ES_tradnl"/>
        </w:rPr>
        <w:t xml:space="preserve">que en fecha </w:t>
      </w:r>
      <w:r w:rsidR="0096093D">
        <w:rPr>
          <w:rFonts w:ascii="Palatino Linotype" w:eastAsia="Palatino Linotype" w:hAnsi="Palatino Linotype" w:cs="Palatino Linotype"/>
          <w:color w:val="000000"/>
          <w:sz w:val="24"/>
          <w:szCs w:val="24"/>
          <w:lang w:val="es-ES_tradnl"/>
        </w:rPr>
        <w:lastRenderedPageBreak/>
        <w:t>diecisiete</w:t>
      </w:r>
      <w:r w:rsidR="00684491">
        <w:rPr>
          <w:rFonts w:ascii="Palatino Linotype" w:eastAsia="Palatino Linotype" w:hAnsi="Palatino Linotype" w:cs="Palatino Linotype"/>
          <w:color w:val="000000"/>
          <w:sz w:val="24"/>
          <w:szCs w:val="24"/>
          <w:lang w:val="es-ES_tradnl"/>
        </w:rPr>
        <w:t xml:space="preserve"> de mayo</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046FD8D9"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96093D">
        <w:rPr>
          <w:rFonts w:ascii="Palatino Linotype" w:eastAsia="Palatino Linotype" w:hAnsi="Palatino Linotype" w:cs="Palatino Linotype"/>
          <w:color w:val="000000"/>
          <w:sz w:val="24"/>
          <w:szCs w:val="24"/>
          <w:lang w:val="es-ES_tradnl"/>
        </w:rPr>
        <w:t>veintisiete</w:t>
      </w:r>
      <w:r w:rsidR="00684491">
        <w:rPr>
          <w:rFonts w:ascii="Palatino Linotype" w:eastAsia="Palatino Linotype" w:hAnsi="Palatino Linotype" w:cs="Palatino Linotype"/>
          <w:color w:val="000000"/>
          <w:sz w:val="24"/>
          <w:szCs w:val="24"/>
          <w:lang w:val="es-ES_tradnl"/>
        </w:rPr>
        <w:t xml:space="preserve"> de mayo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883102">
        <w:rPr>
          <w:rFonts w:ascii="Palatino Linotype" w:eastAsia="Palatino Linotype" w:hAnsi="Palatino Linotype" w:cs="Palatino Linotype"/>
          <w:color w:val="000000"/>
          <w:sz w:val="24"/>
          <w:szCs w:val="24"/>
          <w:lang w:val="es-ES_tradnl"/>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CBE91" w14:textId="77777777" w:rsidR="0096093D" w:rsidRPr="00740DA2" w:rsidRDefault="0096093D" w:rsidP="0096093D">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19A7A109"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ED9A05F"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0DEA4F0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0E5A1D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47DC19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777AE3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25636C5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23F2E5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7CE10A4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6053533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77ACBC6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38C47736"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641E2AA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7457594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5608E85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2EC6FD1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22E85C3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47272D75" w14:textId="77777777" w:rsidR="0096093D" w:rsidRPr="00650D3F" w:rsidRDefault="0096093D" w:rsidP="0096093D">
      <w:pPr>
        <w:spacing w:after="0" w:line="360" w:lineRule="auto"/>
        <w:contextualSpacing/>
        <w:jc w:val="both"/>
        <w:rPr>
          <w:rFonts w:ascii="Palatino Linotype" w:eastAsia="Palatino Linotype" w:hAnsi="Palatino Linotype" w:cs="Palatino Linotype"/>
          <w:b/>
          <w:i/>
          <w:sz w:val="24"/>
          <w:szCs w:val="24"/>
        </w:rPr>
      </w:pPr>
    </w:p>
    <w:p w14:paraId="4507BC2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4CA8F38"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79E529C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6780168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37EDEAA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D50C551"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5EAE7F6D"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75B71F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3A308DEA" w14:textId="77777777" w:rsidR="0096093D" w:rsidRPr="00740DA2" w:rsidRDefault="0096093D" w:rsidP="0096093D">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73C11AC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22D3D2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C8FDA8F"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25C06E2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24F8019"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EF2316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C5EDD1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6E559C6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655E8A83" w14:textId="77777777" w:rsidR="0096093D" w:rsidRPr="00740DA2" w:rsidRDefault="0096093D" w:rsidP="0096093D">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76F4B51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740DA2">
        <w:rPr>
          <w:rFonts w:ascii="Palatino Linotype" w:eastAsia="Palatino Linotype" w:hAnsi="Palatino Linotype" w:cs="Palatino Linotype"/>
          <w:i/>
        </w:rPr>
        <w:lastRenderedPageBreak/>
        <w:t>podrán restringirse ni suspenderse salvo en los casos y bajo las condiciones que la Constitución Política de los Estados Unidos Mexicanos establece.</w:t>
      </w:r>
    </w:p>
    <w:p w14:paraId="24D4ADC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E1B13D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FD4FE90"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936C3E2"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505B2A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76A4A78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BC030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38CC9EF9"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1CFB8D3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965AA9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4DFF0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673D94C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081329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7FA43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6CB1956" w14:textId="77777777" w:rsidR="0096093D" w:rsidRPr="00650D3F" w:rsidRDefault="0096093D" w:rsidP="0096093D">
      <w:pPr>
        <w:spacing w:after="0" w:line="360" w:lineRule="auto"/>
        <w:ind w:left="567" w:right="567"/>
        <w:contextualSpacing/>
        <w:jc w:val="both"/>
        <w:rPr>
          <w:rFonts w:ascii="Palatino Linotype" w:eastAsia="Palatino Linotype" w:hAnsi="Palatino Linotype" w:cs="Palatino Linotype"/>
          <w:sz w:val="24"/>
          <w:szCs w:val="24"/>
        </w:rPr>
      </w:pPr>
    </w:p>
    <w:p w14:paraId="2897C5CB" w14:textId="77777777" w:rsidR="0096093D" w:rsidRPr="00650D3F" w:rsidRDefault="0096093D" w:rsidP="0096093D">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18BD682" w14:textId="77777777" w:rsidR="0096093D" w:rsidRPr="00650D3F" w:rsidRDefault="0096093D" w:rsidP="0096093D">
      <w:pPr>
        <w:spacing w:after="0" w:line="240" w:lineRule="auto"/>
        <w:ind w:left="567" w:right="567"/>
        <w:contextualSpacing/>
        <w:jc w:val="both"/>
        <w:rPr>
          <w:rFonts w:ascii="Palatino Linotype" w:eastAsia="Palatino Linotype" w:hAnsi="Palatino Linotype" w:cs="Palatino Linotype"/>
          <w:sz w:val="24"/>
          <w:szCs w:val="24"/>
        </w:rPr>
      </w:pPr>
    </w:p>
    <w:p w14:paraId="4CB12A4B"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B05CC2"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5FE34C5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DF401CB"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04F582F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9AE1CBD" w14:textId="77777777" w:rsidR="0096093D" w:rsidRPr="00650D3F" w:rsidRDefault="0096093D" w:rsidP="0096093D">
      <w:pPr>
        <w:spacing w:after="0" w:line="360" w:lineRule="auto"/>
        <w:ind w:left="567" w:right="567"/>
        <w:contextualSpacing/>
        <w:jc w:val="both"/>
        <w:rPr>
          <w:rFonts w:ascii="Palatino Linotype" w:eastAsia="Palatino Linotype" w:hAnsi="Palatino Linotype" w:cs="Palatino Linotype"/>
          <w:sz w:val="24"/>
          <w:szCs w:val="24"/>
        </w:rPr>
      </w:pPr>
    </w:p>
    <w:p w14:paraId="079164C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D462F6"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1164626F" w14:textId="41E55F71" w:rsidR="0096093D" w:rsidRDefault="0096093D"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5320EEFA" w14:textId="77777777" w:rsidR="0096093D"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78B576E" w14:textId="77777777" w:rsidR="0096093D"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12B22A0E" w:rsidR="00DE3512"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71FB804B"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2FD78EAA" w:rsidR="00DE3512"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w:t>
      </w:r>
      <w:r w:rsidRPr="00883102">
        <w:rPr>
          <w:rFonts w:ascii="Palatino Linotype" w:eastAsia="Palatino Linotype" w:hAnsi="Palatino Linotype" w:cs="Palatino Linotype"/>
          <w:color w:val="000000"/>
          <w:sz w:val="24"/>
          <w:szCs w:val="24"/>
          <w:lang w:val="es-ES_tradnl"/>
        </w:rPr>
        <w:lastRenderedPageBreak/>
        <w:t>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883102">
        <w:rPr>
          <w:rFonts w:ascii="Palatino Linotype" w:eastAsia="Palatino Linotype" w:hAnsi="Palatino Linotype" w:cs="Palatino Linotype"/>
          <w:color w:val="000000"/>
          <w:sz w:val="24"/>
          <w:szCs w:val="24"/>
          <w:lang w:val="es-ES_tradnl"/>
        </w:rPr>
        <w:lastRenderedPageBreak/>
        <w:t>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lastRenderedPageBreak/>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A1BF87" w14:textId="37BB1082" w:rsidR="00684491" w:rsidRPr="00684491" w:rsidRDefault="00285EA0"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w:t>
      </w:r>
      <w:r w:rsidR="0096093D">
        <w:rPr>
          <w:rFonts w:ascii="Palatino Linotype" w:eastAsia="Palatino Linotype" w:hAnsi="Palatino Linotype" w:cs="Palatino Linotype"/>
          <w:color w:val="000000"/>
          <w:sz w:val="24"/>
          <w:szCs w:val="24"/>
          <w:lang w:val="es-ES_tradnl"/>
        </w:rPr>
        <w:t>conocer todos los movimientos de altas y bajas realizadas en el municipio y Sistema Municipal para el Desarrollo Integral de la Familia de Chiautla durante el mes de abril de dos mil veintidós.</w:t>
      </w:r>
    </w:p>
    <w:p w14:paraId="37130B35" w14:textId="77777777" w:rsidR="00684491" w:rsidRPr="00883102" w:rsidRDefault="006844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456D687B"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96093D">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96093D">
        <w:rPr>
          <w:rFonts w:ascii="Palatino Linotype" w:eastAsia="Palatino Linotype" w:hAnsi="Palatino Linotype" w:cs="Palatino Linotype"/>
          <w:color w:val="000000"/>
          <w:sz w:val="24"/>
          <w:szCs w:val="24"/>
        </w:rPr>
        <w:t xml:space="preserve">y razones o motivos </w:t>
      </w:r>
      <w:r w:rsidR="0041058F">
        <w:rPr>
          <w:rFonts w:ascii="Palatino Linotype" w:eastAsia="Palatino Linotype" w:hAnsi="Palatino Linotype" w:cs="Palatino Linotype"/>
          <w:color w:val="000000"/>
          <w:sz w:val="24"/>
          <w:szCs w:val="24"/>
        </w:rPr>
        <w:t>de inconformidad que no se dio atención a la solicitud.</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lastRenderedPageBreak/>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w:t>
      </w:r>
      <w:r w:rsidRPr="00883102">
        <w:rPr>
          <w:rFonts w:ascii="Palatino Linotype" w:eastAsiaTheme="minorHAnsi" w:hAnsi="Palatino Linotype" w:cs="Arial"/>
          <w:sz w:val="24"/>
          <w:szCs w:val="24"/>
          <w:lang w:val="es-ES_tradnl" w:eastAsia="en-US"/>
        </w:rPr>
        <w:lastRenderedPageBreak/>
        <w:t xml:space="preserve">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VI. Los sujetos obligados deberán preservar sus documentos en archivos administrativos actualizados y publicarán, a través de los medios electrónicos disponibles, la información </w:t>
      </w:r>
      <w:r w:rsidRPr="00883102">
        <w:rPr>
          <w:rFonts w:ascii="Palatino Linotype" w:eastAsiaTheme="minorHAnsi" w:hAnsi="Palatino Linotype" w:cstheme="minorBidi"/>
          <w:i/>
          <w:lang w:val="es-ES_tradnl" w:eastAsia="en-US"/>
        </w:rPr>
        <w:lastRenderedPageBreak/>
        <w:t>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Por su parte, el artículo 53, fracciones II, IV y V de la Ley antes citada establece que las Unidades de Transparencia tienen, entre otras, las funciones de recibir, tramitar y dar </w:t>
      </w:r>
      <w:r w:rsidRPr="00883102">
        <w:rPr>
          <w:rFonts w:ascii="Palatino Linotype" w:eastAsia="Arial Unicode MS" w:hAnsi="Palatino Linotype" w:cs="Arial"/>
          <w:sz w:val="24"/>
          <w:szCs w:val="24"/>
          <w:lang w:val="es-ES_tradnl" w:eastAsia="en-US"/>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w:t>
      </w:r>
      <w:r w:rsidR="00E6674B" w:rsidRPr="00883102">
        <w:rPr>
          <w:rFonts w:ascii="Palatino Linotype" w:eastAsiaTheme="minorHAnsi" w:hAnsi="Palatino Linotype" w:cs="Arial"/>
          <w:sz w:val="24"/>
          <w:szCs w:val="24"/>
          <w:lang w:val="es-ES_tradnl" w:eastAsia="en-US"/>
        </w:rPr>
        <w:lastRenderedPageBreak/>
        <w:t>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883102">
        <w:rPr>
          <w:rFonts w:ascii="Palatino Linotype" w:eastAsiaTheme="minorHAnsi" w:hAnsi="Palatino Linotype" w:cstheme="minorBidi"/>
          <w:sz w:val="24"/>
          <w:szCs w:val="24"/>
          <w:lang w:val="es-ES_tradnl" w:eastAsia="en-US"/>
        </w:rPr>
        <w:lastRenderedPageBreak/>
        <w:t>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w:t>
      </w:r>
      <w:r w:rsidRPr="00883102">
        <w:rPr>
          <w:rFonts w:ascii="Palatino Linotype" w:eastAsiaTheme="minorHAnsi" w:hAnsi="Palatino Linotype" w:cstheme="minorBidi"/>
          <w:sz w:val="24"/>
          <w:szCs w:val="24"/>
          <w:lang w:val="es-ES_tradnl" w:eastAsia="en-US"/>
        </w:rPr>
        <w:lastRenderedPageBreak/>
        <w:t xml:space="preserve">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Con base en lo anterior, el artículo 7 de la Ley de Protección de Datos Personales en Posesión de Sujetos Obligados del Estado de México y Municipios establece </w:t>
      </w:r>
      <w:r w:rsidRPr="00883102">
        <w:rPr>
          <w:rFonts w:ascii="Palatino Linotype" w:eastAsiaTheme="minorHAnsi" w:hAnsi="Palatino Linotype" w:cs="Arial"/>
          <w:sz w:val="24"/>
          <w:szCs w:val="24"/>
          <w:lang w:val="es-ES_tradnl" w:eastAsia="en-US"/>
        </w:rPr>
        <w:lastRenderedPageBreak/>
        <w:t>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w:t>
      </w:r>
      <w:r w:rsidRPr="00883102">
        <w:rPr>
          <w:rFonts w:ascii="Palatino Linotype" w:hAnsi="Palatino Linotype" w:cstheme="minorBidi"/>
          <w:i/>
          <w:lang w:val="es-ES_tradnl" w:eastAsia="en-US"/>
        </w:rPr>
        <w:lastRenderedPageBreak/>
        <w:t xml:space="preserve">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883102">
        <w:rPr>
          <w:rFonts w:ascii="Palatino Linotype" w:eastAsiaTheme="minorHAnsi" w:hAnsi="Palatino Linotype" w:cstheme="minorBidi"/>
          <w:sz w:val="24"/>
          <w:szCs w:val="24"/>
          <w:lang w:val="es-ES_tradnl" w:eastAsia="en-US"/>
        </w:rPr>
        <w:lastRenderedPageBreak/>
        <w:t>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883102">
        <w:rPr>
          <w:rFonts w:ascii="Palatino Linotype" w:eastAsiaTheme="minorHAnsi" w:hAnsi="Palatino Linotype" w:cstheme="minorBidi"/>
          <w:sz w:val="24"/>
          <w:szCs w:val="24"/>
          <w:lang w:val="es-ES_tradnl" w:eastAsia="en-US"/>
        </w:rPr>
        <w:lastRenderedPageBreak/>
        <w:t xml:space="preserve">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w:t>
      </w:r>
      <w:r w:rsidRPr="00883102">
        <w:rPr>
          <w:rFonts w:ascii="Palatino Linotype" w:eastAsiaTheme="minorHAnsi" w:hAnsi="Palatino Linotype" w:cs="Arial"/>
          <w:sz w:val="24"/>
          <w:szCs w:val="24"/>
          <w:lang w:val="es-ES_tradnl" w:eastAsia="en-US"/>
        </w:rPr>
        <w:lastRenderedPageBreak/>
        <w:t>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83102">
        <w:rPr>
          <w:rFonts w:ascii="Palatino Linotype" w:eastAsiaTheme="minorHAnsi" w:hAnsi="Palatino Linotype" w:cstheme="minorBidi"/>
          <w:sz w:val="24"/>
          <w:szCs w:val="24"/>
          <w:lang w:val="es-ES_tradnl" w:eastAsia="en-US"/>
        </w:rPr>
        <w:lastRenderedPageBreak/>
        <w:t>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w:t>
      </w:r>
      <w:r w:rsidRPr="00883102">
        <w:rPr>
          <w:rFonts w:ascii="Palatino Linotype" w:eastAsiaTheme="minorHAnsi" w:hAnsi="Palatino Linotype" w:cstheme="minorBidi"/>
          <w:bCs/>
          <w:i/>
          <w:iCs/>
          <w:lang w:val="es-ES_tradnl" w:eastAsia="en-US"/>
        </w:rPr>
        <w:lastRenderedPageBreak/>
        <w:t>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xml:space="preserve">, para que resuelva lo conducente y determine en su caso </w:t>
      </w:r>
      <w:r w:rsidRPr="00883102">
        <w:rPr>
          <w:rFonts w:ascii="Palatino Linotype" w:eastAsiaTheme="minorHAnsi" w:hAnsi="Palatino Linotype" w:cs="Arial"/>
          <w:sz w:val="24"/>
          <w:szCs w:val="24"/>
          <w:lang w:val="es-ES_tradnl" w:eastAsia="en-US"/>
        </w:rPr>
        <w:lastRenderedPageBreak/>
        <w:t>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1E6EE2DC"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41058F">
        <w:rPr>
          <w:rFonts w:ascii="Palatino Linotype" w:eastAsiaTheme="minorHAnsi" w:hAnsi="Palatino Linotype" w:cstheme="minorHAnsi"/>
          <w:b/>
          <w:sz w:val="24"/>
          <w:szCs w:val="24"/>
          <w:lang w:val="es-ES_tradnl" w:eastAsia="en-US"/>
        </w:rPr>
        <w:t>QUIN</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26D419FE"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41058F">
        <w:rPr>
          <w:rFonts w:ascii="Palatino Linotype" w:eastAsia="Palatino Linotype" w:hAnsi="Palatino Linotype" w:cs="Palatino Linotype"/>
          <w:b/>
          <w:bCs/>
          <w:color w:val="000000"/>
          <w:sz w:val="24"/>
          <w:szCs w:val="24"/>
        </w:rPr>
        <w:t>00417/CHIAUTLA</w:t>
      </w:r>
      <w:r w:rsidR="00683B9C" w:rsidRPr="00683B9C">
        <w:rPr>
          <w:rFonts w:ascii="Palatino Linotype" w:eastAsia="Palatino Linotype" w:hAnsi="Palatino Linotype" w:cs="Palatino Linotype"/>
          <w:b/>
          <w:bCs/>
          <w:color w:val="000000"/>
          <w:sz w:val="24"/>
          <w:szCs w:val="24"/>
        </w:rPr>
        <w: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41058F">
        <w:rPr>
          <w:rFonts w:ascii="Palatino Linotype" w:eastAsiaTheme="minorHAnsi" w:hAnsi="Palatino Linotype" w:cstheme="minorBidi"/>
          <w:b/>
          <w:bCs/>
          <w:color w:val="222222"/>
          <w:sz w:val="24"/>
          <w:szCs w:val="24"/>
          <w:lang w:val="es-ES_tradnl"/>
        </w:rPr>
        <w:t>QUIN</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w:t>
      </w:r>
      <w:r w:rsidR="00E6674B" w:rsidRPr="00883102">
        <w:rPr>
          <w:rFonts w:ascii="Palatino Linotype" w:eastAsiaTheme="minorHAnsi" w:hAnsi="Palatino Linotype" w:cstheme="minorHAnsi"/>
          <w:sz w:val="24"/>
          <w:szCs w:val="24"/>
          <w:lang w:val="es-ES_tradnl" w:eastAsia="en-US"/>
        </w:rPr>
        <w:lastRenderedPageBreak/>
        <w:t>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52000E39"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A9392F">
        <w:rPr>
          <w:rFonts w:ascii="Palatino Linotype" w:eastAsia="MS Mincho" w:hAnsi="Palatino Linotype" w:cstheme="minorHAnsi"/>
          <w:b/>
          <w:sz w:val="24"/>
          <w:szCs w:val="24"/>
          <w:lang w:val="es-ES_tradnl" w:eastAsia="en-US"/>
        </w:rPr>
        <w:t>QUIN</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236BF880"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0" w:name="_heading=h.gjdgxs" w:colFirst="0" w:colLast="0"/>
      <w:bookmarkEnd w:id="0"/>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41058F">
        <w:rPr>
          <w:rFonts w:ascii="Palatino Linotype" w:eastAsia="Palatino Linotype" w:hAnsi="Palatino Linotype" w:cs="Palatino Linotype"/>
          <w:color w:val="000000"/>
          <w:sz w:val="24"/>
          <w:szCs w:val="24"/>
          <w:lang w:val="es-ES_tradnl"/>
        </w:rPr>
        <w:t xml:space="preserve">VIGÉSIMA SEGUNDA </w:t>
      </w:r>
      <w:r w:rsidRPr="00883102">
        <w:rPr>
          <w:rFonts w:ascii="Palatino Linotype" w:eastAsia="Palatino Linotype" w:hAnsi="Palatino Linotype" w:cs="Palatino Linotype"/>
          <w:color w:val="000000"/>
          <w:sz w:val="24"/>
          <w:szCs w:val="24"/>
          <w:lang w:val="es-ES_tradnl"/>
        </w:rPr>
        <w:t>SESIÓN ORDINARIA CELEBRADA EL</w:t>
      </w:r>
      <w:r w:rsidR="0041058F">
        <w:rPr>
          <w:rFonts w:ascii="Palatino Linotype" w:eastAsia="Palatino Linotype" w:hAnsi="Palatino Linotype" w:cs="Palatino Linotype"/>
          <w:color w:val="000000"/>
          <w:sz w:val="24"/>
          <w:szCs w:val="24"/>
          <w:lang w:val="es-ES_tradnl"/>
        </w:rPr>
        <w:t xml:space="preserve"> QUINCE DE JUNIO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683B9C">
        <w:rPr>
          <w:rFonts w:ascii="Palatino Linotype" w:eastAsia="Palatino Linotype" w:hAnsi="Palatino Linotype" w:cs="Palatino Linotype"/>
          <w:color w:val="000000"/>
          <w:sz w:val="24"/>
          <w:szCs w:val="24"/>
          <w:lang w:val="es-ES_tradnl"/>
        </w:rPr>
        <w:t>------------------------------------------------------------------------------------------------------------------------------------------------------------------------------------------------------------------------------------------------------------------------------------------------------------------------------------------------------------------------------------------------------------------------------------------------------------------------</w:t>
      </w:r>
      <w:r w:rsidR="0041058F">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B6AF" w14:textId="77777777" w:rsidR="00555819" w:rsidRDefault="00555819" w:rsidP="00F2498E">
      <w:pPr>
        <w:spacing w:after="0" w:line="240" w:lineRule="auto"/>
      </w:pPr>
      <w:r>
        <w:separator/>
      </w:r>
    </w:p>
  </w:endnote>
  <w:endnote w:type="continuationSeparator" w:id="0">
    <w:p w14:paraId="37BA517A" w14:textId="77777777" w:rsidR="00555819" w:rsidRDefault="0055581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C518" w14:textId="77777777" w:rsidR="00555819" w:rsidRDefault="00555819" w:rsidP="00F2498E">
      <w:pPr>
        <w:spacing w:after="0" w:line="240" w:lineRule="auto"/>
      </w:pPr>
      <w:r>
        <w:separator/>
      </w:r>
    </w:p>
  </w:footnote>
  <w:footnote w:type="continuationSeparator" w:id="0">
    <w:p w14:paraId="0F1E9D3C" w14:textId="77777777" w:rsidR="00555819" w:rsidRDefault="0055581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555819">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5543EA2"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901053">
            <w:rPr>
              <w:rFonts w:ascii="Palatino Linotype" w:hAnsi="Palatino Linotype" w:cs="Arial"/>
              <w:b/>
              <w:bCs/>
              <w:sz w:val="24"/>
              <w:szCs w:val="24"/>
            </w:rPr>
            <w:t>788</w:t>
          </w:r>
          <w:r w:rsidR="009E16DC">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AF8C0DF"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901053">
            <w:rPr>
              <w:rFonts w:ascii="Palatino Linotype" w:hAnsi="Palatino Linotype" w:cs="Arial"/>
              <w:sz w:val="24"/>
              <w:szCs w:val="24"/>
            </w:rPr>
            <w:t>Chiautla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555819">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C068EFE"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901053">
            <w:rPr>
              <w:rFonts w:ascii="Palatino Linotype" w:hAnsi="Palatino Linotype" w:cs="Arial"/>
              <w:b/>
              <w:bCs/>
              <w:sz w:val="24"/>
              <w:szCs w:val="24"/>
            </w:rPr>
            <w:t>7885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2A863F1" w:rsidR="00A27FD0" w:rsidRPr="00C50FCD" w:rsidRDefault="00A27FD0" w:rsidP="00C50FCD">
          <w:pPr>
            <w:pStyle w:val="Prrafodelista"/>
            <w:spacing w:after="120"/>
            <w:ind w:left="720" w:right="68"/>
            <w:jc w:val="right"/>
            <w:rPr>
              <w:rFonts w:ascii="Palatino Linotype" w:hAnsi="Palatino Linotype" w:cs="Arial"/>
            </w:rPr>
          </w:pP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1EE05C2"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901053">
            <w:rPr>
              <w:rFonts w:ascii="Palatino Linotype" w:hAnsi="Palatino Linotype" w:cs="Arial"/>
              <w:sz w:val="24"/>
              <w:szCs w:val="24"/>
            </w:rPr>
            <w:t>Chiautla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555819">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589701">
    <w:abstractNumId w:val="5"/>
  </w:num>
  <w:num w:numId="2" w16cid:durableId="1782802033">
    <w:abstractNumId w:val="1"/>
  </w:num>
  <w:num w:numId="3" w16cid:durableId="1366562720">
    <w:abstractNumId w:val="6"/>
  </w:num>
  <w:num w:numId="4" w16cid:durableId="1914968126">
    <w:abstractNumId w:val="3"/>
  </w:num>
  <w:num w:numId="5" w16cid:durableId="398752250">
    <w:abstractNumId w:val="4"/>
  </w:num>
  <w:num w:numId="6" w16cid:durableId="1833644888">
    <w:abstractNumId w:val="0"/>
  </w:num>
  <w:num w:numId="7" w16cid:durableId="10234392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0C51-4192-4790-BD3B-F070F7E9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9524</Words>
  <Characters>52383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4</cp:revision>
  <cp:lastPrinted>2019-06-13T15:30:00Z</cp:lastPrinted>
  <dcterms:created xsi:type="dcterms:W3CDTF">2022-05-27T19:50:00Z</dcterms:created>
  <dcterms:modified xsi:type="dcterms:W3CDTF">2022-06-08T15:20:00Z</dcterms:modified>
</cp:coreProperties>
</file>