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veinticinco de mayo de dos mil veintidós. </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01924/INFOEM/IP/RR/2022</w:t>
      </w:r>
      <w:r>
        <w:rPr>
          <w:rFonts w:ascii="Palatino Linotype" w:eastAsia="Palatino Linotype" w:hAnsi="Palatino Linotype" w:cs="Palatino Linotype"/>
        </w:rPr>
        <w:t xml:space="preserve">, interpuesto por </w:t>
      </w:r>
      <w:r w:rsidR="000B6557">
        <w:rPr>
          <w:rFonts w:ascii="Palatino Linotype" w:eastAsia="Palatino Linotype" w:hAnsi="Palatino Linotype" w:cs="Palatino Linotype"/>
          <w:b/>
        </w:rPr>
        <w:t>XXXXXX</w:t>
      </w:r>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Atlautla,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w:t>
      </w:r>
      <w:r>
        <w:rPr>
          <w:rFonts w:ascii="Palatino Linotype" w:eastAsia="Palatino Linotype" w:hAnsi="Palatino Linotype" w:cs="Palatino Linotype"/>
        </w:rPr>
        <w:t xml:space="preserve">rocede a dictar la presente resolución con base en los siguientes: </w:t>
      </w:r>
      <w:bookmarkStart w:id="0" w:name="_GoBack"/>
      <w:bookmarkEnd w:id="0"/>
    </w:p>
    <w:p w:rsidR="00306829" w:rsidRDefault="004C4539">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veinte de enero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través del Sistema de Acceso a la Informac</w:t>
      </w:r>
      <w:r>
        <w:rPr>
          <w:rFonts w:ascii="Palatino Linotype" w:eastAsia="Palatino Linotype" w:hAnsi="Palatino Linotype" w:cs="Palatino Linotype"/>
        </w:rPr>
        <w:t xml:space="preserve">ión Mexiquense, en lo subsecuente el </w:t>
      </w:r>
      <w:r>
        <w:rPr>
          <w:rFonts w:ascii="Palatino Linotype" w:eastAsia="Palatino Linotype" w:hAnsi="Palatino Linotype" w:cs="Palatino Linotype"/>
          <w:b/>
        </w:rPr>
        <w:t xml:space="preserve">SAIMEX y </w:t>
      </w:r>
      <w:r>
        <w:rPr>
          <w:rFonts w:ascii="Palatino Linotype" w:eastAsia="Palatino Linotype" w:hAnsi="Palatino Linotype" w:cs="Palatino Linotype"/>
        </w:rPr>
        <w:t xml:space="preserve">de la Plataforma Nacional de Transparencia en lo subsecuente </w:t>
      </w:r>
      <w:r>
        <w:rPr>
          <w:rFonts w:ascii="Palatino Linotype" w:eastAsia="Palatino Linotype" w:hAnsi="Palatino Linotype" w:cs="Palatino Linotype"/>
          <w:b/>
        </w:rPr>
        <w:t>PNT</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00011/ATLAUTLA/IP/2022, </w:t>
      </w:r>
      <w:r>
        <w:rPr>
          <w:rFonts w:ascii="Palatino Linotype" w:eastAsia="Palatino Linotype" w:hAnsi="Palatino Linotype" w:cs="Palatino Linotype"/>
        </w:rPr>
        <w:t>mediante la cu</w:t>
      </w:r>
      <w:r>
        <w:rPr>
          <w:rFonts w:ascii="Palatino Linotype" w:eastAsia="Palatino Linotype" w:hAnsi="Palatino Linotype" w:cs="Palatino Linotype"/>
        </w:rPr>
        <w:t xml:space="preserve">al requirió la información siguiente: </w:t>
      </w:r>
    </w:p>
    <w:p w:rsidR="00306829" w:rsidRDefault="004C4539">
      <w:pPr>
        <w:spacing w:before="240" w:after="240" w:line="276" w:lineRule="auto"/>
        <w:ind w:left="851" w:right="902"/>
        <w:jc w:val="both"/>
        <w:rPr>
          <w:rFonts w:ascii="Palatino Linotype" w:eastAsia="Palatino Linotype" w:hAnsi="Palatino Linotype" w:cs="Palatino Linotype"/>
          <w:i/>
          <w:sz w:val="22"/>
          <w:szCs w:val="22"/>
        </w:rPr>
      </w:pPr>
      <w:bookmarkStart w:id="1" w:name="_heading=h.gjdgxs" w:colFirst="0" w:colLast="0"/>
      <w:bookmarkEnd w:id="1"/>
      <w:r>
        <w:rPr>
          <w:rFonts w:ascii="Palatino Linotype" w:eastAsia="Palatino Linotype" w:hAnsi="Palatino Linotype" w:cs="Palatino Linotype"/>
          <w:i/>
          <w:sz w:val="22"/>
          <w:szCs w:val="22"/>
        </w:rPr>
        <w:t xml:space="preserve">“solicito se informe el destino comprobado de los gastos que fueron aprobados el año pasado para el festejo del bicentenario del municipio, pues debido a la pandemia no se llevó a cabo, por lo que solicito el destino </w:t>
      </w:r>
      <w:r>
        <w:rPr>
          <w:rFonts w:ascii="Palatino Linotype" w:eastAsia="Palatino Linotype" w:hAnsi="Palatino Linotype" w:cs="Palatino Linotype"/>
          <w:i/>
          <w:sz w:val="22"/>
          <w:szCs w:val="22"/>
        </w:rPr>
        <w:t xml:space="preserve">de ese dinero.” </w:t>
      </w:r>
      <w:r>
        <w:rPr>
          <w:rFonts w:ascii="Palatino Linotype" w:eastAsia="Palatino Linotype" w:hAnsi="Palatino Linotype" w:cs="Palatino Linotype"/>
          <w:sz w:val="22"/>
          <w:szCs w:val="22"/>
        </w:rPr>
        <w:t>(Sic)</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 SAIMEX </w:t>
      </w:r>
    </w:p>
    <w:p w:rsidR="00306829" w:rsidRDefault="004C4539">
      <w:pPr>
        <w:spacing w:before="240" w:after="240" w:line="360" w:lineRule="auto"/>
        <w:jc w:val="both"/>
        <w:rPr>
          <w:rFonts w:ascii="Palatino Linotype" w:eastAsia="Palatino Linotype" w:hAnsi="Palatino Linotype" w:cs="Palatino Linotype"/>
        </w:rPr>
      </w:pPr>
      <w:r>
        <w:rPr>
          <w:noProof/>
          <w:lang w:val="es-MX"/>
        </w:rPr>
        <w:drawing>
          <wp:anchor distT="114300" distB="114300" distL="114300" distR="114300" simplePos="0" relativeHeight="251658240" behindDoc="0" locked="0" layoutInCell="1" hidden="0" allowOverlap="1">
            <wp:simplePos x="0" y="0"/>
            <wp:positionH relativeFrom="column">
              <wp:posOffset>3</wp:posOffset>
            </wp:positionH>
            <wp:positionV relativeFrom="paragraph">
              <wp:posOffset>9528</wp:posOffset>
            </wp:positionV>
            <wp:extent cx="5133975" cy="581025"/>
            <wp:effectExtent l="0" t="0" r="0" b="0"/>
            <wp:wrapNone/>
            <wp:docPr id="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133975" cy="581025"/>
                    </a:xfrm>
                    <a:prstGeom prst="rect">
                      <a:avLst/>
                    </a:prstGeom>
                    <a:ln/>
                  </pic:spPr>
                </pic:pic>
              </a:graphicData>
            </a:graphic>
          </wp:anchor>
        </w:drawing>
      </w:r>
    </w:p>
    <w:p w:rsidR="00306829" w:rsidRDefault="004C453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once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envió su respuesta a la solicitud de acceso a la información a través de SAIMEX, sustancial</w:t>
      </w:r>
      <w:r>
        <w:rPr>
          <w:rFonts w:ascii="Palatino Linotype" w:eastAsia="Palatino Linotype" w:hAnsi="Palatino Linotype" w:cs="Palatino Linotype"/>
        </w:rPr>
        <w:t xml:space="preserve">mente en los términos siguientes:   </w:t>
      </w:r>
    </w:p>
    <w:p w:rsidR="00306829" w:rsidRDefault="004C4539">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w:t>
      </w:r>
      <w:r>
        <w:rPr>
          <w:rFonts w:ascii="Palatino Linotype" w:eastAsia="Palatino Linotype" w:hAnsi="Palatino Linotype" w:cs="Palatino Linotype"/>
          <w:i/>
          <w:sz w:val="22"/>
          <w:szCs w:val="22"/>
        </w:rPr>
        <w:t>co y Municipios, le contestamos que:</w:t>
      </w:r>
    </w:p>
    <w:p w:rsidR="00306829" w:rsidRDefault="004C4539">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Sea este medio para dirigirme a usted para informarle que la información fue requerida a la persona que posee, administra y genera esta Información. Se adjunta oficio y acta de cabildo donde se muestra que solo fue auto</w:t>
      </w:r>
      <w:r>
        <w:rPr>
          <w:rFonts w:ascii="Palatino Linotype" w:eastAsia="Palatino Linotype" w:hAnsi="Palatino Linotype" w:cs="Palatino Linotype"/>
          <w:i/>
          <w:sz w:val="22"/>
          <w:szCs w:val="22"/>
        </w:rPr>
        <w:t>rizada la cantidad$2,500.00. Sin mas por el momento me despido de Usted.</w:t>
      </w:r>
    </w:p>
    <w:p w:rsidR="00306829" w:rsidRDefault="004C4539">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306829" w:rsidRDefault="004C4539">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CAROLINA PEREZ ESPIRIDION” (Sic)</w:t>
      </w:r>
    </w:p>
    <w:p w:rsidR="00306829" w:rsidRDefault="004C4539">
      <w:pPr>
        <w:spacing w:before="240" w:after="240" w:line="360" w:lineRule="auto"/>
        <w:ind w:left="567" w:right="49"/>
        <w:jc w:val="both"/>
        <w:rPr>
          <w:rFonts w:ascii="Palatino Linotype" w:eastAsia="Palatino Linotype" w:hAnsi="Palatino Linotype" w:cs="Palatino Linotype"/>
          <w:b/>
        </w:rPr>
      </w:pPr>
      <w:r>
        <w:rPr>
          <w:rFonts w:ascii="Palatino Linotype" w:eastAsia="Palatino Linotype" w:hAnsi="Palatino Linotype" w:cs="Palatino Linotype"/>
          <w:b/>
        </w:rPr>
        <w:t>Archivos adjuntos:</w:t>
      </w:r>
    </w:p>
    <w:p w:rsidR="00306829" w:rsidRDefault="004C4539">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 xml:space="preserve">La Titular de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adjuntó a su respuesta, tres archivos electrónicos que se describen a continuación: </w:t>
      </w:r>
    </w:p>
    <w:p w:rsidR="00306829" w:rsidRDefault="004C4539">
      <w:pPr>
        <w:numPr>
          <w:ilvl w:val="0"/>
          <w:numId w:val="3"/>
        </w:numPr>
        <w:pBdr>
          <w:top w:val="nil"/>
          <w:left w:val="nil"/>
          <w:bottom w:val="nil"/>
          <w:right w:val="nil"/>
          <w:between w:val="nil"/>
        </w:pBdr>
        <w:spacing w:before="240" w:line="360" w:lineRule="auto"/>
        <w:ind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rPr>
        <w:t xml:space="preserve">CONTESTACION tesoreria.pdf, </w:t>
      </w:r>
      <w:r>
        <w:rPr>
          <w:rFonts w:ascii="Palatino Linotype" w:eastAsia="Palatino Linotype" w:hAnsi="Palatino Linotype" w:cs="Palatino Linotype"/>
          <w:color w:val="000000"/>
        </w:rPr>
        <w:t xml:space="preserve">oficio número ATL/TM/023/2022, de fecha veintinueve de enero de dos mil veintidós, suscrito y signado por el Tesorero Municipal, mediante el cual informa que:  </w:t>
      </w: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esa información no corresponde a la Tesorería Municipal, ya que el encargado de coordinar la a</w:t>
      </w:r>
      <w:r>
        <w:rPr>
          <w:rFonts w:ascii="Palatino Linotype" w:eastAsia="Palatino Linotype" w:hAnsi="Palatino Linotype" w:cs="Palatino Linotype"/>
          <w:b/>
          <w:i/>
          <w:color w:val="000000"/>
        </w:rPr>
        <w:t>probación de ese festejo es el Cabildo Municipal, a través de las Actas de  aprobación que elabora la Secretaría General de este Municipio</w:t>
      </w:r>
      <w:r>
        <w:rPr>
          <w:rFonts w:ascii="Palatino Linotype" w:eastAsia="Palatino Linotype" w:hAnsi="Palatino Linotype" w:cs="Palatino Linotype"/>
          <w:i/>
          <w:color w:val="000000"/>
        </w:rPr>
        <w:t>. …” (sic)</w:t>
      </w:r>
    </w:p>
    <w:p w:rsidR="00306829" w:rsidRDefault="004C4539">
      <w:pPr>
        <w:numPr>
          <w:ilvl w:val="0"/>
          <w:numId w:val="3"/>
        </w:numPr>
        <w:pBdr>
          <w:top w:val="nil"/>
          <w:left w:val="nil"/>
          <w:bottom w:val="nil"/>
          <w:right w:val="nil"/>
          <w:between w:val="nil"/>
        </w:pBdr>
        <w:spacing w:before="240" w:line="360" w:lineRule="auto"/>
        <w:ind w:right="90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 xml:space="preserve">CONTESTACION 11.pdf, </w:t>
      </w:r>
      <w:r>
        <w:rPr>
          <w:rFonts w:ascii="Palatino Linotype" w:eastAsia="Palatino Linotype" w:hAnsi="Palatino Linotype" w:cs="Palatino Linotype"/>
          <w:color w:val="000000"/>
        </w:rPr>
        <w:t>oficio número ATL/TM/023/2022, de fecha veintinueve de enero de dos mil veintidós, sus</w:t>
      </w:r>
      <w:r>
        <w:rPr>
          <w:rFonts w:ascii="Palatino Linotype" w:eastAsia="Palatino Linotype" w:hAnsi="Palatino Linotype" w:cs="Palatino Linotype"/>
          <w:color w:val="000000"/>
        </w:rPr>
        <w:t xml:space="preserve">crito y signado por el Tesorero Municipal, idéntico al documento ya referido y el oficio ATL/SM/27/2022, de fecha cuatro de febrero de dos mil veintidós, suscrito y signado por el Secretario de Ayuntamiento Provisional, por medio del cual </w:t>
      </w:r>
      <w:r>
        <w:rPr>
          <w:rFonts w:ascii="Palatino Linotype" w:eastAsia="Palatino Linotype" w:hAnsi="Palatino Linotype" w:cs="Palatino Linotype"/>
          <w:b/>
          <w:color w:val="000000"/>
        </w:rPr>
        <w:t>refiere el acta d</w:t>
      </w:r>
      <w:r>
        <w:rPr>
          <w:rFonts w:ascii="Palatino Linotype" w:eastAsia="Palatino Linotype" w:hAnsi="Palatino Linotype" w:cs="Palatino Linotype"/>
          <w:b/>
          <w:color w:val="000000"/>
        </w:rPr>
        <w:t>e cabildo en donde es aprobado el recurso para dicho gasto</w:t>
      </w:r>
      <w:r>
        <w:rPr>
          <w:rFonts w:ascii="Palatino Linotype" w:eastAsia="Palatino Linotype" w:hAnsi="Palatino Linotype" w:cs="Palatino Linotype"/>
          <w:color w:val="000000"/>
        </w:rPr>
        <w:t>.</w:t>
      </w:r>
    </w:p>
    <w:p w:rsidR="00306829" w:rsidRDefault="004C4539">
      <w:pPr>
        <w:numPr>
          <w:ilvl w:val="0"/>
          <w:numId w:val="3"/>
        </w:numPr>
        <w:pBdr>
          <w:top w:val="nil"/>
          <w:left w:val="nil"/>
          <w:bottom w:val="nil"/>
          <w:right w:val="nil"/>
          <w:between w:val="nil"/>
        </w:pBdr>
        <w:spacing w:before="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Acta Centésima Decima Primera.PDF , </w:t>
      </w:r>
      <w:r>
        <w:rPr>
          <w:rFonts w:ascii="Palatino Linotype" w:eastAsia="Palatino Linotype" w:hAnsi="Palatino Linotype" w:cs="Palatino Linotype"/>
          <w:color w:val="000000"/>
        </w:rPr>
        <w:t>que contiene el acta d de la Centésima Décima Primera Sesión Ordinaria de Cabildo del siete de octubre de dos mil veintiuno, mediante el cual, se presenta la ap</w:t>
      </w:r>
      <w:r>
        <w:rPr>
          <w:rFonts w:ascii="Palatino Linotype" w:eastAsia="Palatino Linotype" w:hAnsi="Palatino Linotype" w:cs="Palatino Linotype"/>
          <w:color w:val="000000"/>
        </w:rPr>
        <w:t>robación de los acuerdos, en el que destaca:</w:t>
      </w:r>
    </w:p>
    <w:p w:rsidR="00306829" w:rsidRDefault="004C4539">
      <w:pPr>
        <w:pBdr>
          <w:top w:val="nil"/>
          <w:left w:val="nil"/>
          <w:bottom w:val="nil"/>
          <w:right w:val="nil"/>
          <w:between w:val="nil"/>
        </w:pBdr>
        <w:spacing w:before="240" w:line="360" w:lineRule="auto"/>
        <w:ind w:left="927" w:right="900"/>
        <w:jc w:val="both"/>
        <w:rPr>
          <w:rFonts w:ascii="Palatino Linotype" w:eastAsia="Palatino Linotype" w:hAnsi="Palatino Linotype" w:cs="Palatino Linotype"/>
          <w:color w:val="000000"/>
          <w:sz w:val="22"/>
          <w:szCs w:val="22"/>
        </w:rPr>
      </w:pPr>
      <w:r>
        <w:rPr>
          <w:noProof/>
          <w:lang w:val="es-MX"/>
        </w:rPr>
        <w:drawing>
          <wp:inline distT="0" distB="0" distL="0" distR="0">
            <wp:extent cx="5042963" cy="1268114"/>
            <wp:effectExtent l="0" t="0" r="0" b="0"/>
            <wp:docPr id="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62123" t="51577" r="8691" b="35376"/>
                    <a:stretch>
                      <a:fillRect/>
                    </a:stretch>
                  </pic:blipFill>
                  <pic:spPr>
                    <a:xfrm>
                      <a:off x="0" y="0"/>
                      <a:ext cx="5042963" cy="1268114"/>
                    </a:xfrm>
                    <a:prstGeom prst="rect">
                      <a:avLst/>
                    </a:prstGeom>
                    <a:ln/>
                  </pic:spPr>
                </pic:pic>
              </a:graphicData>
            </a:graphic>
          </wp:inline>
        </w:drawing>
      </w:r>
    </w:p>
    <w:p w:rsidR="00306829" w:rsidRDefault="004C453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veinticinco</w:t>
      </w:r>
      <w:r>
        <w:rPr>
          <w:rFonts w:ascii="Palatino Linotype" w:eastAsia="Palatino Linotype" w:hAnsi="Palatino Linotype" w:cs="Palatino Linotype"/>
        </w:rPr>
        <w:t xml:space="preserve"> </w:t>
      </w:r>
      <w:r>
        <w:rPr>
          <w:rFonts w:ascii="Palatino Linotype" w:eastAsia="Palatino Linotype" w:hAnsi="Palatino Linotype" w:cs="Palatino Linotype"/>
          <w:b/>
        </w:rPr>
        <w:t>de febrero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306829" w:rsidRDefault="004C4539">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306829" w:rsidRDefault="004C4539">
      <w:pPr>
        <w:spacing w:line="276" w:lineRule="auto"/>
        <w:ind w:left="851"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“falta información.” </w:t>
      </w:r>
      <w:r>
        <w:rPr>
          <w:rFonts w:ascii="Palatino Linotype" w:eastAsia="Palatino Linotype" w:hAnsi="Palatino Linotype" w:cs="Palatino Linotype"/>
          <w:i/>
          <w:sz w:val="22"/>
          <w:szCs w:val="22"/>
        </w:rPr>
        <w:t>(Sic)</w:t>
      </w:r>
    </w:p>
    <w:p w:rsidR="00306829" w:rsidRDefault="00306829">
      <w:pPr>
        <w:spacing w:line="360" w:lineRule="auto"/>
        <w:ind w:left="851" w:right="900"/>
        <w:jc w:val="both"/>
        <w:rPr>
          <w:rFonts w:ascii="Palatino Linotype" w:eastAsia="Palatino Linotype" w:hAnsi="Palatino Linotype" w:cs="Palatino Linotype"/>
          <w:i/>
          <w:sz w:val="22"/>
          <w:szCs w:val="22"/>
        </w:rPr>
      </w:pPr>
    </w:p>
    <w:p w:rsidR="00306829" w:rsidRDefault="004C45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Razones o motivos de inconformidad</w:t>
      </w:r>
      <w:r>
        <w:rPr>
          <w:rFonts w:ascii="Palatino Linotype" w:eastAsia="Palatino Linotype" w:hAnsi="Palatino Linotype" w:cs="Palatino Linotype"/>
        </w:rPr>
        <w:t>:</w:t>
      </w:r>
    </w:p>
    <w:p w:rsidR="00306829" w:rsidRDefault="004C4539">
      <w:pPr>
        <w:spacing w:line="276" w:lineRule="auto"/>
        <w:ind w:left="851" w:right="902"/>
        <w:jc w:val="both"/>
        <w:rPr>
          <w:rFonts w:ascii="Palatino Linotype" w:eastAsia="Palatino Linotype" w:hAnsi="Palatino Linotype" w:cs="Palatino Linotype"/>
          <w:sz w:val="22"/>
          <w:szCs w:val="22"/>
        </w:rPr>
      </w:pPr>
      <w:bookmarkStart w:id="2" w:name="_heading=h.30j0zll" w:colFirst="0" w:colLast="0"/>
      <w:bookmarkEnd w:id="2"/>
      <w:r>
        <w:rPr>
          <w:rFonts w:ascii="Palatino Linotype" w:eastAsia="Palatino Linotype" w:hAnsi="Palatino Linotype" w:cs="Palatino Linotype"/>
          <w:sz w:val="22"/>
          <w:szCs w:val="22"/>
        </w:rPr>
        <w:t>No señala información en este rubro.</w:t>
      </w:r>
    </w:p>
    <w:p w:rsidR="00306829" w:rsidRDefault="00306829">
      <w:pPr>
        <w:spacing w:line="276" w:lineRule="auto"/>
        <w:ind w:left="851" w:right="902"/>
        <w:jc w:val="both"/>
        <w:rPr>
          <w:rFonts w:ascii="Palatino Linotype" w:eastAsia="Palatino Linotype" w:hAnsi="Palatino Linotype" w:cs="Palatino Linotype"/>
          <w:sz w:val="22"/>
          <w:szCs w:val="22"/>
        </w:rPr>
      </w:pPr>
    </w:p>
    <w:p w:rsidR="00306829" w:rsidRDefault="004C4539">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 de Transparencia, Acceso</w:t>
      </w:r>
      <w:r>
        <w:rPr>
          <w:rFonts w:ascii="Palatino Linotype" w:eastAsia="Palatino Linotype" w:hAnsi="Palatino Linotype" w:cs="Palatino Linotype"/>
        </w:rPr>
        <w:t xml:space="preserve">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tres de ma</w:t>
      </w:r>
      <w:r>
        <w:rPr>
          <w:rFonts w:ascii="Palatino Linotype" w:eastAsia="Palatino Linotype" w:hAnsi="Palatino Linotype" w:cs="Palatino Linotype"/>
          <w:b/>
        </w:rPr>
        <w:t xml:space="preserve">rzo de dos mil veintidós,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w:t>
      </w:r>
      <w:r>
        <w:rPr>
          <w:rFonts w:ascii="Palatino Linotype" w:eastAsia="Palatino Linotype" w:hAnsi="Palatino Linotype" w:cs="Palatino Linotype"/>
        </w:rPr>
        <w:t xml:space="preserve">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306829" w:rsidRDefault="004C4539">
      <w:pPr>
        <w:spacing w:after="240" w:line="360" w:lineRule="auto"/>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t>6. Manifestaciones</w:t>
      </w:r>
      <w:r>
        <w:rPr>
          <w:rFonts w:ascii="Palatino Linotype" w:eastAsia="Palatino Linotype" w:hAnsi="Palatino Linotype" w:cs="Palatino Linotype"/>
        </w:rPr>
        <w:t>. De las constancias que obran en el SAIMEX, se observa</w:t>
      </w:r>
      <w:r>
        <w:rPr>
          <w:rFonts w:ascii="Palatino Linotype" w:eastAsia="Palatino Linotype" w:hAnsi="Palatino Linotype" w:cs="Palatino Linotype"/>
        </w:rPr>
        <w:t xml:space="preserv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no remite informe justificado, como se muestra a continuación:</w:t>
      </w:r>
    </w:p>
    <w:p w:rsidR="00306829" w:rsidRDefault="004C4539">
      <w:pPr>
        <w:spacing w:after="240" w:line="360" w:lineRule="auto"/>
        <w:jc w:val="both"/>
        <w:rPr>
          <w:rFonts w:ascii="Palatino Linotype" w:eastAsia="Palatino Linotype" w:hAnsi="Palatino Linotype" w:cs="Palatino Linotype"/>
        </w:rPr>
      </w:pPr>
      <w:r>
        <w:rPr>
          <w:noProof/>
          <w:lang w:val="es-MX"/>
        </w:rPr>
        <w:lastRenderedPageBreak/>
        <w:drawing>
          <wp:inline distT="0" distB="0" distL="0" distR="0">
            <wp:extent cx="5781409" cy="1715622"/>
            <wp:effectExtent l="0" t="0" r="0" b="0"/>
            <wp:docPr id="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5461" t="24272" r="52555" b="53580"/>
                    <a:stretch>
                      <a:fillRect/>
                    </a:stretch>
                  </pic:blipFill>
                  <pic:spPr>
                    <a:xfrm>
                      <a:off x="0" y="0"/>
                      <a:ext cx="5781409" cy="1715622"/>
                    </a:xfrm>
                    <a:prstGeom prst="rect">
                      <a:avLst/>
                    </a:prstGeom>
                    <a:ln/>
                  </pic:spPr>
                </pic:pic>
              </a:graphicData>
            </a:graphic>
          </wp:inline>
        </w:drawing>
      </w:r>
    </w:p>
    <w:p w:rsidR="00306829" w:rsidRDefault="004C453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fue omiso en ejercer dicha prerrogativa en el plazo establecido para tal efecto.</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En fecha </w:t>
      </w:r>
      <w:r>
        <w:rPr>
          <w:rFonts w:ascii="Palatino Linotype" w:eastAsia="Palatino Linotype" w:hAnsi="Palatino Linotype" w:cs="Palatino Linotype"/>
          <w:b/>
          <w:color w:val="000000"/>
        </w:rPr>
        <w:t>dieciséis de mayo de dos mil veintidós</w:t>
      </w:r>
      <w:r>
        <w:rPr>
          <w:rFonts w:ascii="Palatino Linotype" w:eastAsia="Palatino Linotype" w:hAnsi="Palatino Linotype" w:cs="Palatino Linotype"/>
          <w:b/>
        </w:rPr>
        <w:t>,</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por</w:t>
      </w:r>
      <w:r>
        <w:rPr>
          <w:rFonts w:ascii="Palatino Linotype" w:eastAsia="Palatino Linotype" w:hAnsi="Palatino Linotype" w:cs="Palatino Linotype"/>
        </w:rPr>
        <w:t xml:space="preserve"> quince días hábiles adicionales el plazo para emitir la presente resolución a fin de realizar un mejor estudio del asunto.</w:t>
      </w:r>
    </w:p>
    <w:p w:rsidR="00306829" w:rsidRDefault="004C4539">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Una vez transcurrido el periodo otorgado a las partes para realizar sus manifestaciones y no habiendo docu</w:t>
      </w:r>
      <w:r>
        <w:rPr>
          <w:rFonts w:ascii="Palatino Linotype" w:eastAsia="Palatino Linotype" w:hAnsi="Palatino Linotype" w:cs="Palatino Linotype"/>
        </w:rPr>
        <w:t xml:space="preserve">mentos que integrar al expediente, con fecha </w:t>
      </w:r>
      <w:r>
        <w:rPr>
          <w:rFonts w:ascii="Palatino Linotype" w:eastAsia="Palatino Linotype" w:hAnsi="Palatino Linotype" w:cs="Palatino Linotype"/>
          <w:b/>
        </w:rPr>
        <w:t>dieciocho de mayo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w:t>
      </w:r>
      <w:r>
        <w:rPr>
          <w:rFonts w:ascii="Palatino Linotype" w:eastAsia="Palatino Linotype" w:hAnsi="Palatino Linotype" w:cs="Palatino Linotype"/>
        </w:rPr>
        <w:t>stado de México y Municipios.</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306829" w:rsidRDefault="00306829">
      <w:pPr>
        <w:spacing w:before="240" w:after="240" w:line="360" w:lineRule="auto"/>
        <w:jc w:val="both"/>
        <w:rPr>
          <w:rFonts w:ascii="Palatino Linotype" w:eastAsia="Palatino Linotype" w:hAnsi="Palatino Linotype" w:cs="Palatino Linotype"/>
        </w:rPr>
      </w:pPr>
    </w:p>
    <w:p w:rsidR="00306829" w:rsidRDefault="004C4539">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II. C O N S I D E R A </w:t>
      </w:r>
      <w:r>
        <w:rPr>
          <w:rFonts w:ascii="Palatino Linotype" w:eastAsia="Palatino Linotype" w:hAnsi="Palatino Linotype" w:cs="Palatino Linotype"/>
          <w:b/>
        </w:rPr>
        <w:t>N D O S</w:t>
      </w:r>
    </w:p>
    <w:p w:rsidR="00306829" w:rsidRDefault="00306829">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306829" w:rsidRDefault="004C45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w:t>
      </w:r>
      <w:r>
        <w:rPr>
          <w:rFonts w:ascii="Palatino Linotype" w:eastAsia="Palatino Linotype" w:hAnsi="Palatino Linotype" w:cs="Palatino Linotype"/>
        </w:rPr>
        <w:t xml:space="preserve">puesto en los artículos 6, apartado A de la Constitución Política de los Estados Unidos Mexicanos; 5 párrafos trigésimo, trigésimo primero y trigésimo segundo fracciones IV y V de la Constitución Política del Estado Libre y Soberano de México; 2, fracción </w:t>
      </w:r>
      <w:r>
        <w:rPr>
          <w:rFonts w:ascii="Palatino Linotype" w:eastAsia="Palatino Linotype" w:hAnsi="Palatino Linotype" w:cs="Palatino Linotype"/>
        </w:rPr>
        <w:t xml:space="preserve">II; 29, 36 fracciones I y II; 176, 178, 181, 185, fracción I, 186 y 188 de la Ley Transparencia y Acceso a la Información Pública del Estado de México y Municipios; 9, fracciones I y XXIV y 11 del Reglamento Interior del Instituto de Transparencia, Acceso </w:t>
      </w:r>
      <w:r>
        <w:rPr>
          <w:rFonts w:ascii="Palatino Linotype" w:eastAsia="Palatino Linotype" w:hAnsi="Palatino Linotype" w:cs="Palatino Linotype"/>
        </w:rPr>
        <w:t>a la Información Pública y Protección de Datos Personales del Estado de México y Municipios.</w:t>
      </w:r>
    </w:p>
    <w:p w:rsidR="00306829" w:rsidRDefault="004C4539">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 xml:space="preserve">Segundo. Oportunidad y Procediblidad del Recurso de Revisión. </w:t>
      </w:r>
      <w:r>
        <w:rPr>
          <w:rFonts w:ascii="Palatino Linotype" w:eastAsia="Palatino Linotype" w:hAnsi="Palatino Linotype" w:cs="Palatino Linotype"/>
        </w:rPr>
        <w:t>Previo al estudio del fondo del asunto, se procede a analizar los requisitos de oportunidad y procedi</w:t>
      </w:r>
      <w:r>
        <w:rPr>
          <w:rFonts w:ascii="Palatino Linotype" w:eastAsia="Palatino Linotype" w:hAnsi="Palatino Linotype" w:cs="Palatino Linotype"/>
        </w:rPr>
        <w:t>bilidad que debe reunir el recurso de revisión interpuesto, previstos en los artículos 178 y 180 de la Ley de Transparencia y Acceso a la Información Pública del Estado de México y Municipios.</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w:t>
      </w:r>
      <w:r>
        <w:rPr>
          <w:rFonts w:ascii="Palatino Linotype" w:eastAsia="Palatino Linotype" w:hAnsi="Palatino Linotype" w:cs="Palatino Linotype"/>
        </w:rPr>
        <w:t>ública del Estado de México y Municipios, establece lo siguiente:</w:t>
      </w:r>
    </w:p>
    <w:p w:rsidR="00306829" w:rsidRDefault="004C4539">
      <w:pPr>
        <w:spacing w:line="276" w:lineRule="auto"/>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 xml:space="preserve">El solicitante podrá interponer, por sí mismo o a través de su representante, de manera directa o por medios electrónicos, recurso de revisión </w:t>
      </w:r>
      <w:r>
        <w:rPr>
          <w:rFonts w:ascii="Palatino Linotype" w:eastAsia="Palatino Linotype" w:hAnsi="Palatino Linotype" w:cs="Palatino Linotype"/>
          <w:i/>
          <w:sz w:val="22"/>
          <w:szCs w:val="22"/>
        </w:rPr>
        <w:lastRenderedPageBreak/>
        <w:t>ante el Instituto o ante la Unid</w:t>
      </w:r>
      <w:r>
        <w:rPr>
          <w:rFonts w:ascii="Palatino Linotype" w:eastAsia="Palatino Linotype" w:hAnsi="Palatino Linotype" w:cs="Palatino Linotype"/>
          <w:i/>
          <w:sz w:val="22"/>
          <w:szCs w:val="22"/>
        </w:rPr>
        <w:t>ad de Transparencia que haya conocido de la solicitud dentro de los quince días hábiles, siguientes a la fecha de la notificación de la respuesta.”</w:t>
      </w:r>
    </w:p>
    <w:p w:rsidR="00306829" w:rsidRDefault="004C453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Del precepto legal transcrito, se desprende que cuando los solicitantes de información en el ejercicio del d</w:t>
      </w:r>
      <w:r>
        <w:rPr>
          <w:rFonts w:ascii="Palatino Linotype" w:eastAsia="Palatino Linotype" w:hAnsi="Palatino Linotype" w:cs="Palatino Linotype"/>
        </w:rPr>
        <w:t>erecho de acceso a la información no se encuentren satisfechos con la información entregada por los sujetos obligados, podrán interponer recurso de revisión de manera directa o por medios electrónicos dentro de los quince días hábiles siguientes a la fecha</w:t>
      </w:r>
      <w:r>
        <w:rPr>
          <w:rFonts w:ascii="Palatino Linotype" w:eastAsia="Palatino Linotype" w:hAnsi="Palatino Linotype" w:cs="Palatino Linotype"/>
        </w:rPr>
        <w:t xml:space="preserve"> de notificación de la respuesta, y,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información el día </w:t>
      </w:r>
      <w:r>
        <w:rPr>
          <w:rFonts w:ascii="Palatino Linotype" w:eastAsia="Palatino Linotype" w:hAnsi="Palatino Linotype" w:cs="Palatino Linotype"/>
          <w:b/>
        </w:rPr>
        <w:t xml:space="preserve">once de febrero de dos mil veintidós, </w:t>
      </w:r>
      <w:r>
        <w:rPr>
          <w:rFonts w:ascii="Palatino Linotype" w:eastAsia="Palatino Linotype" w:hAnsi="Palatino Linotype" w:cs="Palatino Linotype"/>
        </w:rPr>
        <w:t>mientras que el recurso de revisión interpuesto por la parte recurrente, se tuvo por presen</w:t>
      </w:r>
      <w:r>
        <w:rPr>
          <w:rFonts w:ascii="Palatino Linotype" w:eastAsia="Palatino Linotype" w:hAnsi="Palatino Linotype" w:cs="Palatino Linotype"/>
        </w:rPr>
        <w:t xml:space="preserve">tado el día </w:t>
      </w:r>
      <w:r>
        <w:rPr>
          <w:rFonts w:ascii="Palatino Linotype" w:eastAsia="Palatino Linotype" w:hAnsi="Palatino Linotype" w:cs="Palatino Linotype"/>
          <w:b/>
        </w:rPr>
        <w:t>veinticinco de febrero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décimo día hábil</w:t>
      </w:r>
      <w:r>
        <w:rPr>
          <w:rFonts w:ascii="Palatino Linotype" w:eastAsia="Palatino Linotype" w:hAnsi="Palatino Linotype" w:cs="Palatino Linotype"/>
        </w:rPr>
        <w:t xml:space="preserve"> posterior en que tuvo conocimiento de la respuesta impugnada.</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w:t>
      </w:r>
      <w:r>
        <w:rPr>
          <w:rFonts w:ascii="Palatino Linotype" w:eastAsia="Palatino Linotype" w:hAnsi="Palatino Linotype" w:cs="Palatino Linotype"/>
        </w:rPr>
        <w:t>os formatos de interposición del recurso, se concluye la acreditación plena de los elementos formales precisados por el artículo 180 de la Ley de Transparencia y Acceso a la Información Pública del Estado de México y Municipios, en atención a que fue prese</w:t>
      </w:r>
      <w:r>
        <w:rPr>
          <w:rFonts w:ascii="Palatino Linotype" w:eastAsia="Palatino Linotype" w:hAnsi="Palatino Linotype" w:cs="Palatino Linotype"/>
        </w:rPr>
        <w:t>ntado mediante el formato visible en el SAIMEX.</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efecto de sustentar lo anterior, es de suma importancia mencionar que si bien parte no proporcionó nombre completo como se advierte en el detalle de seguimiento del SAIMEX, sin embargo, el no proporcionar un nombre no es motivo para archivar la solicitud</w:t>
      </w:r>
      <w:r>
        <w:rPr>
          <w:rFonts w:ascii="Palatino Linotype" w:eastAsia="Palatino Linotype" w:hAnsi="Palatino Linotype" w:cs="Palatino Linotype"/>
        </w:rPr>
        <w:t xml:space="preserve"> de acceso a la información pública como concluida, conforme a lo previsto </w:t>
      </w:r>
      <w:r>
        <w:rPr>
          <w:rFonts w:ascii="Palatino Linotype" w:eastAsia="Palatino Linotype" w:hAnsi="Palatino Linotype" w:cs="Palatino Linotype"/>
        </w:rPr>
        <w:lastRenderedPageBreak/>
        <w:t>en el artículo 155, penúltimo párrafo de la Ley de Transparencia y Acceso a la Información Pública del Estado de México y Municipios que establece lo siguiente:</w:t>
      </w:r>
    </w:p>
    <w:p w:rsidR="00306829" w:rsidRDefault="004C453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solicitudes anó</w:t>
      </w:r>
      <w:r>
        <w:rPr>
          <w:rFonts w:ascii="Palatino Linotype" w:eastAsia="Palatino Linotype" w:hAnsi="Palatino Linotype" w:cs="Palatino Linotype"/>
          <w:i/>
          <w:sz w:val="22"/>
          <w:szCs w:val="22"/>
        </w:rPr>
        <w:t>nimas, con nombre incompleto o seudónimo serán procedentes para su trámite por parte del sujeto obligado ante quien se presente. No podrá requerirse información adicional con motivo del nombre proporcionado por el solicitante."</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mismo tenor, el propio</w:t>
      </w:r>
      <w:r>
        <w:rPr>
          <w:rFonts w:ascii="Palatino Linotype" w:eastAsia="Palatino Linotype" w:hAnsi="Palatino Linotype" w:cs="Palatino Linotype"/>
        </w:rPr>
        <w:t xml:space="preserve"> artículo 180 de la Ley de Transparencia local citado, en su último párrafo establece que cuando el recurso se interponga de manera electrónica, no será indispensable que contenga determinados requisitos, entre ellos, el nombre de la parte Recurrente, por </w:t>
      </w:r>
      <w:r>
        <w:rPr>
          <w:rFonts w:ascii="Palatino Linotype" w:eastAsia="Palatino Linotype" w:hAnsi="Palatino Linotype" w:cs="Palatino Linotype"/>
        </w:rPr>
        <w:t>lo que, en el presente caso, al haber sido presentado el recurso de revisión vía SAIMEX, dicho requisito resulta innecesario.</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w:t>
      </w:r>
      <w:r>
        <w:rPr>
          <w:rFonts w:ascii="Palatino Linotype" w:eastAsia="Palatino Linotype" w:hAnsi="Palatino Linotype" w:cs="Palatino Linotype"/>
        </w:rPr>
        <w:t>otivos de inconformidad, de acuerdo al artículo 179, fracción V del ordenamiento legal citado, que a la letra dice: </w:t>
      </w:r>
    </w:p>
    <w:p w:rsidR="00306829" w:rsidRDefault="004C4539">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El recurso de revisión es un medio de protección que la Ley otorga a los particulares, para hacer valer su derecho de acceso</w:t>
      </w:r>
      <w:r>
        <w:rPr>
          <w:rFonts w:ascii="Palatino Linotype" w:eastAsia="Palatino Linotype" w:hAnsi="Palatino Linotype" w:cs="Palatino Linotype"/>
          <w:i/>
          <w:sz w:val="22"/>
          <w:szCs w:val="22"/>
        </w:rPr>
        <w:t xml:space="preserve"> a la información pública, y procederá en contra de las siguientes causas: </w:t>
      </w:r>
    </w:p>
    <w:p w:rsidR="00306829" w:rsidRDefault="004C4539">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06829" w:rsidRDefault="004C4539">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p>
    <w:p w:rsidR="00306829" w:rsidRDefault="004C4539">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 </w:t>
      </w:r>
    </w:p>
    <w:p w:rsidR="00306829" w:rsidRDefault="004C4539">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w:t>
      </w:r>
      <w:r>
        <w:rPr>
          <w:rFonts w:ascii="Palatino Linotype" w:eastAsia="Palatino Linotype" w:hAnsi="Palatino Linotype" w:cs="Palatino Linotype"/>
        </w:rPr>
        <w:lastRenderedPageBreak/>
        <w:t xml:space="preserve">Organismo Garante de Transparencia y Acceso a la Información se pronunciará será: </w:t>
      </w:r>
      <w:r>
        <w:rPr>
          <w:rFonts w:ascii="Palatino Linotype" w:eastAsia="Palatino Linotype" w:hAnsi="Palatino Linotype" w:cs="Palatino Linotype"/>
          <w:b/>
        </w:rPr>
        <w:t>verificar si la respuesta otorgada por el SUJE</w:t>
      </w:r>
      <w:r>
        <w:rPr>
          <w:rFonts w:ascii="Palatino Linotype" w:eastAsia="Palatino Linotype" w:hAnsi="Palatino Linotype" w:cs="Palatino Linotype"/>
          <w:b/>
        </w:rPr>
        <w:t xml:space="preserv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rsidR="00306829" w:rsidRDefault="004C453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Antes de entrar a</w:t>
      </w:r>
      <w:r>
        <w:rPr>
          <w:rFonts w:ascii="Palatino Linotype" w:eastAsia="Palatino Linotype" w:hAnsi="Palatino Linotype" w:cs="Palatino Linotype"/>
        </w:rPr>
        <w:t xml:space="preserve">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w:t>
      </w:r>
      <w:r>
        <w:rPr>
          <w:rFonts w:ascii="Palatino Linotype" w:eastAsia="Palatino Linotype" w:hAnsi="Palatino Linotype" w:cs="Palatino Linotype"/>
        </w:rPr>
        <w:t xml:space="preserve">er reserva alguna sobre lo que nos interesa, adoptando dichas disposiciones al Derecho Interno, específicamente a nivel Constitucional, tal y como lo prevén los arábigos 1 párrafos primero, segundo y tercero y 6 apartado A fracciones I, II, III, IV, V, VI </w:t>
      </w:r>
      <w:r>
        <w:rPr>
          <w:rFonts w:ascii="Palatino Linotype" w:eastAsia="Palatino Linotype" w:hAnsi="Palatino Linotype" w:cs="Palatino Linotype"/>
        </w:rPr>
        <w:t>y VII que a la letra señalan:</w:t>
      </w:r>
    </w:p>
    <w:p w:rsidR="00306829" w:rsidRDefault="004C453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w:t>
      </w:r>
      <w:r>
        <w:rPr>
          <w:rFonts w:ascii="Palatino Linotype" w:eastAsia="Palatino Linotype" w:hAnsi="Palatino Linotype" w:cs="Palatino Linotype"/>
          <w:i/>
          <w:sz w:val="22"/>
          <w:szCs w:val="22"/>
        </w:rPr>
        <w:t>ías para su protección, cuyo ejercicio no podrá restringirse ni suspenderse, salvo en los casos y bajo las condiciones que esta Constitución establece.</w:t>
      </w:r>
    </w:p>
    <w:p w:rsidR="00306829" w:rsidRDefault="004C4539">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Las normas relativas a los derechos humanos se interpretarán de conformidad con esta Constitución y con </w:t>
      </w:r>
      <w:r>
        <w:rPr>
          <w:rFonts w:ascii="Palatino Linotype" w:eastAsia="Palatino Linotype" w:hAnsi="Palatino Linotype" w:cs="Palatino Linotype"/>
          <w:b/>
          <w:i/>
          <w:sz w:val="22"/>
          <w:szCs w:val="22"/>
        </w:rPr>
        <w:t>los tratados internacionales de la materia favoreciendo en todo tiempo a las personas la protección más amplia.</w:t>
      </w:r>
    </w:p>
    <w:p w:rsidR="00306829" w:rsidRDefault="004C453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humanos </w:t>
      </w:r>
      <w:r>
        <w:rPr>
          <w:rFonts w:ascii="Palatino Linotype" w:eastAsia="Palatino Linotype" w:hAnsi="Palatino Linotype" w:cs="Palatino Linotype"/>
          <w:b/>
          <w:i/>
          <w:sz w:val="22"/>
          <w:szCs w:val="22"/>
          <w:u w:val="single"/>
        </w:rPr>
        <w:t xml:space="preserve">de conformidad con los principios de universalidad, </w:t>
      </w:r>
      <w:r>
        <w:rPr>
          <w:rFonts w:ascii="Palatino Linotype" w:eastAsia="Palatino Linotype" w:hAnsi="Palatino Linotype" w:cs="Palatino Linotype"/>
          <w:b/>
          <w:i/>
          <w:sz w:val="22"/>
          <w:szCs w:val="22"/>
          <w:u w:val="single"/>
        </w:rPr>
        <w:lastRenderedPageBreak/>
        <w:t>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306829" w:rsidRDefault="004C453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06829" w:rsidRDefault="004C4539">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306829" w:rsidRDefault="004C4539">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06829" w:rsidRDefault="004C453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306829" w:rsidRDefault="004C453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w:t>
      </w:r>
      <w:r>
        <w:rPr>
          <w:rFonts w:ascii="Palatino Linotype" w:eastAsia="Palatino Linotype" w:hAnsi="Palatino Linotype" w:cs="Palatino Linotype"/>
          <w:b/>
          <w:i/>
          <w:sz w:val="22"/>
          <w:szCs w:val="22"/>
          <w:u w:val="single"/>
        </w:rPr>
        <w:t>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órganos autónomos, partidos políticos, fideicomisos y fondos públicos, así como de cualquier persona física, moral o sindicato que reciba y ejerza re</w:t>
      </w:r>
      <w:r>
        <w:rPr>
          <w:rFonts w:ascii="Palatino Linotype" w:eastAsia="Palatino Linotype" w:hAnsi="Palatino Linotype" w:cs="Palatino Linotype"/>
          <w:i/>
          <w:sz w:val="22"/>
          <w:szCs w:val="22"/>
        </w:rPr>
        <w:t xml:space="preserv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w:t>
      </w:r>
      <w:r>
        <w:rPr>
          <w:rFonts w:ascii="Palatino Linotype" w:eastAsia="Palatino Linotype" w:hAnsi="Palatino Linotype" w:cs="Palatino Linotype"/>
          <w:i/>
          <w:sz w:val="22"/>
          <w:szCs w:val="22"/>
        </w:rPr>
        <w:t xml:space="preserve">te derecho deberá prevalecer el principio de máxima publicidad. Los sujetos obligados deberán documentar todo acto que derive del ejercicio de sus facultades, competencias o funciones, la ley determinará los supuestos específicos bajo los cuales procederá </w:t>
      </w:r>
      <w:r>
        <w:rPr>
          <w:rFonts w:ascii="Palatino Linotype" w:eastAsia="Palatino Linotype" w:hAnsi="Palatino Linotype" w:cs="Palatino Linotype"/>
          <w:i/>
          <w:sz w:val="22"/>
          <w:szCs w:val="22"/>
        </w:rPr>
        <w:t>la declaración de inexistencia de la información.</w:t>
      </w:r>
    </w:p>
    <w:p w:rsidR="00306829" w:rsidRDefault="004C4539">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306829" w:rsidRDefault="004C453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w:t>
      </w:r>
      <w:r>
        <w:rPr>
          <w:rFonts w:ascii="Palatino Linotype" w:eastAsia="Palatino Linotype" w:hAnsi="Palatino Linotype" w:cs="Palatino Linotype"/>
          <w:b/>
          <w:i/>
          <w:sz w:val="22"/>
          <w:szCs w:val="22"/>
          <w:u w:val="single"/>
        </w:rPr>
        <w:t>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306829" w:rsidRDefault="004C453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306829" w:rsidRDefault="004C453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 </w:t>
      </w:r>
      <w:r>
        <w:rPr>
          <w:rFonts w:ascii="Palatino Linotype" w:eastAsia="Palatino Linotype" w:hAnsi="Palatino Linotype" w:cs="Palatino Linotype"/>
          <w:i/>
          <w:sz w:val="22"/>
          <w:szCs w:val="22"/>
        </w:rPr>
        <w:t>Los sujetos obligados deberán preservar sus docu</w:t>
      </w:r>
      <w:r>
        <w:rPr>
          <w:rFonts w:ascii="Palatino Linotype" w:eastAsia="Palatino Linotype" w:hAnsi="Palatino Linotype" w:cs="Palatino Linotype"/>
          <w:i/>
          <w:sz w:val="22"/>
          <w:szCs w:val="22"/>
        </w:rPr>
        <w:t>mentos en archivos administrativos actualizados y publicarán, a través de los medios electrónicos disponibles, la información completa y actualizada sobre el ejercicio de los recursos públicos y los indicadores que permitan rendir cuenta del cumplimiento d</w:t>
      </w:r>
      <w:r>
        <w:rPr>
          <w:rFonts w:ascii="Palatino Linotype" w:eastAsia="Palatino Linotype" w:hAnsi="Palatino Linotype" w:cs="Palatino Linotype"/>
          <w:i/>
          <w:sz w:val="22"/>
          <w:szCs w:val="22"/>
        </w:rPr>
        <w:t>e sus objetivos y de los resultados obtenidos.</w:t>
      </w:r>
    </w:p>
    <w:p w:rsidR="00306829" w:rsidRDefault="004C453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306829" w:rsidRDefault="004C453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w:t>
      </w:r>
      <w:r>
        <w:rPr>
          <w:rFonts w:ascii="Palatino Linotype" w:eastAsia="Palatino Linotype" w:hAnsi="Palatino Linotype" w:cs="Palatino Linotype"/>
          <w:i/>
          <w:sz w:val="22"/>
          <w:szCs w:val="22"/>
        </w:rPr>
        <w:t xml:space="preserve"> disposiciones en materia de acceso a la información pública será sancionada en los términos que dispongan las leyes. [...]</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w:t>
      </w:r>
      <w:r>
        <w:rPr>
          <w:rFonts w:ascii="Palatino Linotype" w:eastAsia="Palatino Linotype" w:hAnsi="Palatino Linotype" w:cs="Palatino Linotype"/>
        </w:rPr>
        <w:t xml:space="preserve">erada, obtenida, adquirida, transformada, administrada o en posesión de los Sujetos Obligados, como así también lo señala la Ley de Transparencia y Acceso a la Información Pública del Estado de México y Municipios en su artículo 4, que toda la información </w:t>
      </w:r>
      <w:r>
        <w:rPr>
          <w:rFonts w:ascii="Palatino Linotype" w:eastAsia="Palatino Linotype" w:hAnsi="Palatino Linotype" w:cs="Palatino Linotype"/>
        </w:rPr>
        <w:t xml:space="preserve">generada, obtenida, adquirida, transformada, administrada o en posesión de los sujetos obligados, es pública y accesible, de manera permanente a cualquier persona, privilegiando el principio de máxima publicidad, como así lo establece dicha determinación, </w:t>
      </w:r>
      <w:r>
        <w:rPr>
          <w:rFonts w:ascii="Palatino Linotype" w:eastAsia="Palatino Linotype" w:hAnsi="Palatino Linotype" w:cs="Palatino Linotype"/>
        </w:rPr>
        <w:t>que a continuación se transcribe para un mejor entendimiento:</w:t>
      </w:r>
    </w:p>
    <w:p w:rsidR="00306829" w:rsidRDefault="004C4539">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w:t>
      </w:r>
      <w:r>
        <w:rPr>
          <w:rFonts w:ascii="Palatino Linotype" w:eastAsia="Palatino Linotype" w:hAnsi="Palatino Linotype" w:cs="Palatino Linotype"/>
          <w:i/>
          <w:sz w:val="22"/>
          <w:szCs w:val="22"/>
        </w:rPr>
        <w:t xml:space="preserve">sidad de acreditar personalidad ni interés jurídico. </w:t>
      </w:r>
    </w:p>
    <w:p w:rsidR="00306829" w:rsidRDefault="004C4539">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w:t>
      </w:r>
      <w:r>
        <w:rPr>
          <w:rFonts w:ascii="Palatino Linotype" w:eastAsia="Palatino Linotype" w:hAnsi="Palatino Linotype" w:cs="Palatino Linotype"/>
          <w:b/>
          <w:i/>
          <w:sz w:val="22"/>
          <w:szCs w:val="22"/>
        </w:rPr>
        <w:t xml:space="preserve">ndiciones que se establezcan en los tratados internacionales de los que el Estado mexicano sea parte, en la Ley General, la presente Ley y demás disposiciones </w:t>
      </w:r>
      <w:r>
        <w:rPr>
          <w:rFonts w:ascii="Palatino Linotype" w:eastAsia="Palatino Linotype" w:hAnsi="Palatino Linotype" w:cs="Palatino Linotype"/>
          <w:b/>
          <w:i/>
          <w:sz w:val="22"/>
          <w:szCs w:val="22"/>
        </w:rPr>
        <w:lastRenderedPageBreak/>
        <w:t xml:space="preserve">de la materia, privilegiando el principio de máxima publicidad de la información. Solo podrá ser </w:t>
      </w:r>
      <w:r>
        <w:rPr>
          <w:rFonts w:ascii="Palatino Linotype" w:eastAsia="Palatino Linotype" w:hAnsi="Palatino Linotype" w:cs="Palatino Linotype"/>
          <w:b/>
          <w:i/>
          <w:sz w:val="22"/>
          <w:szCs w:val="22"/>
        </w:rPr>
        <w:t>clasificada excepcionalmente Ley de Transparencia y Acceso a la Información Pública del Estado de México y Municipios 29 como reservada temporalmente por razones de interés público, en los términos de las causas legítimas y estrictamente necesarias previst</w:t>
      </w:r>
      <w:r>
        <w:rPr>
          <w:rFonts w:ascii="Palatino Linotype" w:eastAsia="Palatino Linotype" w:hAnsi="Palatino Linotype" w:cs="Palatino Linotype"/>
          <w:b/>
          <w:i/>
          <w:sz w:val="22"/>
          <w:szCs w:val="22"/>
        </w:rPr>
        <w:t>as por esta Ley.</w:t>
      </w:r>
    </w:p>
    <w:p w:rsidR="00306829" w:rsidRDefault="004C4539">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w:t>
      </w:r>
      <w:r>
        <w:rPr>
          <w:rFonts w:ascii="Palatino Linotype" w:eastAsia="Palatino Linotype" w:hAnsi="Palatino Linotype" w:cs="Palatino Linotype"/>
        </w:rPr>
        <w:t>nte, se desprende que los Sujetos Obligados tiene la obligación o deber de atender las solicitudes de acceso a la información pública que se les hagan de su conocimiento y proporcionar la información pública que obren en su poder como así lo establece el a</w:t>
      </w:r>
      <w:r>
        <w:rPr>
          <w:rFonts w:ascii="Palatino Linotype" w:eastAsia="Palatino Linotype" w:hAnsi="Palatino Linotype" w:cs="Palatino Linotype"/>
        </w:rPr>
        <w:t>rtículo 12 de la Ley de Transparencia y Acceso a la Información Pública del Estado de México y Municipios, el cual a la letra dice:</w:t>
      </w:r>
    </w:p>
    <w:p w:rsidR="00306829" w:rsidRDefault="004C4539">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306829" w:rsidRDefault="004C4539">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w:t>
      </w:r>
      <w:r>
        <w:rPr>
          <w:rFonts w:ascii="Palatino Linotype" w:eastAsia="Palatino Linotype" w:hAnsi="Palatino Linotype" w:cs="Palatino Linotype"/>
          <w:b/>
          <w:i/>
          <w:sz w:val="22"/>
          <w:szCs w:val="22"/>
        </w:rPr>
        <w:t>sólo proporcionarán la información públi</w:t>
      </w:r>
      <w:r>
        <w:rPr>
          <w:rFonts w:ascii="Palatino Linotype" w:eastAsia="Palatino Linotype" w:hAnsi="Palatino Linotype" w:cs="Palatino Linotype"/>
          <w:b/>
          <w:i/>
          <w:sz w:val="22"/>
          <w:szCs w:val="22"/>
        </w:rPr>
        <w:t>ca que se les requiera y que obre en sus archivos y en el estado en que ésta se encuentre</w:t>
      </w:r>
      <w:r>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w:t>
      </w:r>
      <w:r>
        <w:rPr>
          <w:rFonts w:ascii="Palatino Linotype" w:eastAsia="Palatino Linotype" w:hAnsi="Palatino Linotype" w:cs="Palatino Linotype"/>
          <w:i/>
          <w:sz w:val="22"/>
          <w:szCs w:val="22"/>
        </w:rPr>
        <w:t>nerarla, resumirla, efectuar cálculos o practicar investigaciones.” (Sic)</w:t>
      </w:r>
    </w:p>
    <w:p w:rsidR="00306829" w:rsidRDefault="004C453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w:t>
      </w:r>
      <w:r>
        <w:rPr>
          <w:rFonts w:ascii="Palatino Linotype" w:eastAsia="Palatino Linotype" w:hAnsi="Palatino Linotype" w:cs="Palatino Linotype"/>
          <w:color w:val="000000"/>
        </w:rPr>
        <w:t>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w:t>
      </w:r>
      <w:r>
        <w:rPr>
          <w:rFonts w:ascii="Palatino Linotype" w:eastAsia="Palatino Linotype" w:hAnsi="Palatino Linotype" w:cs="Palatino Linotype"/>
          <w:color w:val="000000"/>
        </w:rPr>
        <w:lastRenderedPageBreak/>
        <w:t xml:space="preserve">información pública, </w:t>
      </w:r>
      <w:r>
        <w:rPr>
          <w:rFonts w:ascii="Palatino Linotype" w:eastAsia="Palatino Linotype" w:hAnsi="Palatino Linotype" w:cs="Palatino Linotype"/>
        </w:rPr>
        <w:t>como</w:t>
      </w:r>
      <w:r>
        <w:rPr>
          <w:rFonts w:ascii="Palatino Linotype" w:eastAsia="Palatino Linotype" w:hAnsi="Palatino Linotype" w:cs="Palatino Linotype"/>
        </w:rPr>
        <w:t xml:space="preserve"> así lo establece el criterio 03/17 emitido por el Instituto Nacional de Transparencia, Acceso a la Información Pública y Protección de Datos Personales, el cual señala lo siguiente:</w:t>
      </w:r>
    </w:p>
    <w:p w:rsidR="00306829" w:rsidRDefault="004C4539">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rsidR="00306829" w:rsidRDefault="004C4539">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w:t>
      </w:r>
      <w:r>
        <w:rPr>
          <w:rFonts w:ascii="Palatino Linotype" w:eastAsia="Palatino Linotype" w:hAnsi="Palatino Linotype" w:cs="Palatino Linotype"/>
          <w:b/>
          <w:i/>
          <w:sz w:val="22"/>
          <w:szCs w:val="22"/>
        </w:rPr>
        <w:t>S SOLICITUDES DE ACCESO A LA INFORMACIÓN.</w:t>
      </w:r>
    </w:p>
    <w:p w:rsidR="00306829" w:rsidRDefault="004C453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w:t>
      </w:r>
      <w:r>
        <w:rPr>
          <w:rFonts w:ascii="Palatino Linotype" w:eastAsia="Palatino Linotype" w:hAnsi="Palatino Linotype" w:cs="Palatino Linotype"/>
          <w:i/>
          <w:sz w:val="22"/>
          <w:szCs w:val="22"/>
        </w:rPr>
        <w:t xml:space="preserve">deberán otorgar acceso a los documentos que se encuentren en sus archivos o que estén obligados a documentar, de acuerdo con sus facultades, competencias o funciones, conforme a Las características físicas de la información o del lugar donde se encuentre. </w:t>
      </w:r>
      <w:r>
        <w:rPr>
          <w:rFonts w:ascii="Palatino Linotype" w:eastAsia="Palatino Linotype" w:hAnsi="Palatino Linotype" w:cs="Palatino Linotype"/>
          <w:i/>
          <w:sz w:val="22"/>
          <w:szCs w:val="22"/>
        </w:rPr>
        <w:t>Por lo anterior, los sujetos obligados deben garantizar el derecho de acceso a la información del particular, proporcionando la información con la que cuentan en el formato en que la misma obre en sus archivos; sin necesidad de elaborar documentos ad hoc p</w:t>
      </w:r>
      <w:r>
        <w:rPr>
          <w:rFonts w:ascii="Palatino Linotype" w:eastAsia="Palatino Linotype" w:hAnsi="Palatino Linotype" w:cs="Palatino Linotype"/>
          <w:i/>
          <w:sz w:val="22"/>
          <w:szCs w:val="22"/>
        </w:rPr>
        <w:t>ara atender las solicitudes de información."(Sic)</w:t>
      </w:r>
    </w:p>
    <w:p w:rsidR="00306829" w:rsidRDefault="004C453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w:t>
      </w:r>
      <w:r>
        <w:rPr>
          <w:rFonts w:ascii="Palatino Linotype" w:eastAsia="Palatino Linotype" w:hAnsi="Palatino Linotype" w:cs="Palatino Linotype"/>
          <w:color w:val="000000"/>
        </w:rPr>
        <w:t>osean en el ejercicio de sus atribuciones; por consiguiente, la información pública se encuentra a disposición de cualquier persona, lo que implica que es deber de los Sujetos Obligados, garantizar el Derecho de Acceso a la Información Pública.</w:t>
      </w:r>
    </w:p>
    <w:p w:rsidR="00306829" w:rsidRDefault="004C453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w:t>
      </w:r>
      <w:r>
        <w:rPr>
          <w:rFonts w:ascii="Palatino Linotype" w:eastAsia="Palatino Linotype" w:hAnsi="Palatino Linotype" w:cs="Palatino Linotype"/>
        </w:rPr>
        <w:t>uando no se trate de información reservada o clasificada, que difundirla pondría en riesgo la seguridad jurídica y física del titular de la información, debiendo tener audacia los Sujetos Obligados para cuidar esta información a través del acuerdo clasific</w:t>
      </w:r>
      <w:r>
        <w:rPr>
          <w:rFonts w:ascii="Palatino Linotype" w:eastAsia="Palatino Linotype" w:hAnsi="Palatino Linotype" w:cs="Palatino Linotype"/>
        </w:rPr>
        <w:t xml:space="preserve">atorio del comité de transparencia y la versión pública que emita </w:t>
      </w:r>
      <w:r>
        <w:rPr>
          <w:rFonts w:ascii="Palatino Linotype" w:eastAsia="Palatino Linotype" w:hAnsi="Palatino Linotype" w:cs="Palatino Linotype"/>
        </w:rPr>
        <w:lastRenderedPageBreak/>
        <w:t>el servidor público habilitado de cada Sujeto Obligado; como así se establece en la Ley de Transparencia y Acceso a la Información Pública del Estado de México y Municipios.</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w:t>
      </w:r>
      <w:r>
        <w:rPr>
          <w:rFonts w:ascii="Palatino Linotype" w:eastAsia="Palatino Linotype" w:hAnsi="Palatino Linotype" w:cs="Palatino Linotype"/>
        </w:rPr>
        <w:t>irectivas, directrices, circulares, contratos, convenios, instructivos, notas, memorandos, estadísticas o bien, cualquier otro registro que documente el ejercicio de las facultades, funciones y competencias de los Sujetos Obligados; los que, podrán estar e</w:t>
      </w:r>
      <w:r>
        <w:rPr>
          <w:rFonts w:ascii="Palatino Linotype" w:eastAsia="Palatino Linotype" w:hAnsi="Palatino Linotype" w:cs="Palatino Linotype"/>
        </w:rPr>
        <w:t xml:space="preserve">n cualquier medio, sea escrito, impreso, sonoro, visual, electrónico, informático u holográfico de conformidad con el artículo 3, fracción XI de la Ley de la materia, el cual señala lo siguiente: </w:t>
      </w:r>
    </w:p>
    <w:p w:rsidR="00306829" w:rsidRDefault="004C453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w:t>
      </w:r>
      <w:r>
        <w:rPr>
          <w:rFonts w:ascii="Palatino Linotype" w:eastAsia="Palatino Linotype" w:hAnsi="Palatino Linotype" w:cs="Palatino Linotype"/>
          <w:i/>
          <w:sz w:val="22"/>
          <w:szCs w:val="22"/>
        </w:rPr>
        <w:t>rá por:</w:t>
      </w:r>
    </w:p>
    <w:p w:rsidR="00306829" w:rsidRDefault="004C453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06829" w:rsidRDefault="004C4539">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w:t>
      </w:r>
      <w:r>
        <w:rPr>
          <w:rFonts w:ascii="Palatino Linotype" w:eastAsia="Palatino Linotype" w:hAnsi="Palatino Linotype" w:cs="Palatino Linotype"/>
          <w:i/>
          <w:color w:val="000000"/>
          <w:sz w:val="22"/>
          <w:szCs w:val="22"/>
        </w:rPr>
        <w:t>io de las facultades, funciones y competencias de los sujetos obligados, sus servidores públicos e integrantes, sin importar su fuente o fecha de elaboración. Los documentos podrán estar en cualquier medio, sea escrito, impreso, sonoro, visual, electrónico</w:t>
      </w:r>
      <w:r>
        <w:rPr>
          <w:rFonts w:ascii="Palatino Linotype" w:eastAsia="Palatino Linotype" w:hAnsi="Palatino Linotype" w:cs="Palatino Linotype"/>
          <w:i/>
          <w:color w:val="000000"/>
          <w:sz w:val="22"/>
          <w:szCs w:val="22"/>
        </w:rPr>
        <w:t>,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w:t>
      </w:r>
      <w:r>
        <w:rPr>
          <w:rFonts w:ascii="Palatino Linotype" w:eastAsia="Palatino Linotype" w:hAnsi="Palatino Linotype" w:cs="Palatino Linotype"/>
        </w:rPr>
        <w:t xml:space="preserve"> publicado en el Periódico </w:t>
      </w:r>
      <w:r>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rsidR="00306829" w:rsidRDefault="004C4539">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306829" w:rsidRDefault="004C453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INFORMACIÓN PÚBLICA, CONCEPTO DE, EN MATERIA </w:t>
      </w:r>
      <w:r>
        <w:rPr>
          <w:rFonts w:ascii="Palatino Linotype" w:eastAsia="Palatino Linotype" w:hAnsi="Palatino Linotype" w:cs="Palatino Linotype"/>
          <w:b/>
          <w:i/>
          <w:sz w:val="22"/>
          <w:szCs w:val="22"/>
        </w:rPr>
        <w:t>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w:t>
      </w:r>
      <w:r>
        <w:rPr>
          <w:rFonts w:ascii="Palatino Linotype" w:eastAsia="Palatino Linotype" w:hAnsi="Palatino Linotype" w:cs="Palatino Linotype"/>
          <w:i/>
          <w:sz w:val="22"/>
          <w:szCs w:val="22"/>
        </w:rPr>
        <w:t>, el acceso a los archivos, registros y documentos públicos, administrados, generados o en posesión de los órganos u organismos públicos, en virtud del ejercicio de sus funciones de derecho público, sin importar su fuente, soporte o fecha de elaboración.</w:t>
      </w:r>
    </w:p>
    <w:p w:rsidR="00306829" w:rsidRDefault="004C453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w:t>
      </w:r>
      <w:r>
        <w:rPr>
          <w:rFonts w:ascii="Palatino Linotype" w:eastAsia="Palatino Linotype" w:hAnsi="Palatino Linotype" w:cs="Palatino Linotype"/>
          <w:i/>
          <w:sz w:val="22"/>
          <w:szCs w:val="22"/>
        </w:rPr>
        <w:t>n consecuencia el acceso a la información se refiere a que se cumplan cualquiera de los siguientes tres supuestos:</w:t>
      </w:r>
    </w:p>
    <w:p w:rsidR="00306829" w:rsidRDefault="004C4539">
      <w:pPr>
        <w:numPr>
          <w:ilvl w:val="0"/>
          <w:numId w:val="1"/>
        </w:numPr>
        <w:pBdr>
          <w:top w:val="nil"/>
          <w:left w:val="nil"/>
          <w:bottom w:val="nil"/>
          <w:right w:val="nil"/>
          <w:between w:val="nil"/>
        </w:pBdr>
        <w:spacing w:before="240" w:after="240" w:line="276" w:lineRule="auto"/>
        <w:ind w:left="993" w:right="567" w:firstLine="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w:t>
      </w:r>
      <w:r>
        <w:rPr>
          <w:rFonts w:ascii="Palatino Linotype" w:eastAsia="Palatino Linotype" w:hAnsi="Palatino Linotype" w:cs="Palatino Linotype"/>
          <w:i/>
          <w:color w:val="000000"/>
          <w:sz w:val="22"/>
          <w:szCs w:val="22"/>
        </w:rPr>
        <w:t xml:space="preserve"> Sujetos Obligados;</w:t>
      </w:r>
    </w:p>
    <w:p w:rsidR="00306829" w:rsidRDefault="004C4539">
      <w:pPr>
        <w:numPr>
          <w:ilvl w:val="0"/>
          <w:numId w:val="1"/>
        </w:numPr>
        <w:pBdr>
          <w:top w:val="nil"/>
          <w:left w:val="nil"/>
          <w:bottom w:val="nil"/>
          <w:right w:val="nil"/>
          <w:between w:val="nil"/>
        </w:pBdr>
        <w:spacing w:before="240" w:after="240" w:line="276" w:lineRule="auto"/>
        <w:ind w:left="993" w:right="567" w:firstLine="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306829" w:rsidRDefault="004C4539">
      <w:pPr>
        <w:spacing w:before="240" w:after="240" w:line="276" w:lineRule="auto"/>
        <w:ind w:left="993" w:right="567" w:firstLine="14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w:t>
      </w:r>
      <w:r>
        <w:rPr>
          <w:rFonts w:ascii="Palatino Linotype" w:eastAsia="Palatino Linotype" w:hAnsi="Palatino Linotype" w:cs="Palatino Linotype"/>
          <w:b/>
          <w:i/>
          <w:sz w:val="22"/>
          <w:szCs w:val="22"/>
        </w:rPr>
        <w:t>ntal, que en ejercicio de las atribuciones conferidas, se encuentre en posesión de los Sujetos Obligados.” (Sic)</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w:t>
      </w:r>
      <w:r>
        <w:rPr>
          <w:rFonts w:ascii="Palatino Linotype" w:eastAsia="Palatino Linotype" w:hAnsi="Palatino Linotype" w:cs="Palatino Linotype"/>
        </w:rPr>
        <w:t xml:space="preserve"> información pública que obre en sus archivos; más aún si la misma se trata de información pública de oficio la cual se relaciona con aquella que se genere de acuerdo con sus facultades, </w:t>
      </w:r>
      <w:r>
        <w:rPr>
          <w:rFonts w:ascii="Palatino Linotype" w:eastAsia="Palatino Linotype" w:hAnsi="Palatino Linotype" w:cs="Palatino Linotype"/>
        </w:rPr>
        <w:lastRenderedPageBreak/>
        <w:t>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w:t>
      </w:r>
      <w:r>
        <w:rPr>
          <w:rFonts w:ascii="Palatino Linotype" w:eastAsia="Palatino Linotype" w:hAnsi="Palatino Linotype" w:cs="Palatino Linotype"/>
        </w:rPr>
        <w:t>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306829" w:rsidRDefault="004C453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i/>
          <w:color w:val="000000"/>
        </w:rPr>
        <w:t xml:space="preserve">“solicito se informe el </w:t>
      </w:r>
      <w:r>
        <w:rPr>
          <w:rFonts w:ascii="Palatino Linotype" w:eastAsia="Palatino Linotype" w:hAnsi="Palatino Linotype" w:cs="Palatino Linotype"/>
          <w:b/>
          <w:i/>
          <w:color w:val="000000"/>
        </w:rPr>
        <w:t xml:space="preserve">destino comprobado de los gastos que fueron aprobados el año pasado para el festejo </w:t>
      </w:r>
      <w:r>
        <w:rPr>
          <w:rFonts w:ascii="Palatino Linotype" w:eastAsia="Palatino Linotype" w:hAnsi="Palatino Linotype" w:cs="Palatino Linotype"/>
          <w:b/>
          <w:i/>
          <w:color w:val="000000"/>
        </w:rPr>
        <w:t>del bicentenario del municipio,</w:t>
      </w:r>
      <w:r>
        <w:rPr>
          <w:rFonts w:ascii="Palatino Linotype" w:eastAsia="Palatino Linotype" w:hAnsi="Palatino Linotype" w:cs="Palatino Linotype"/>
          <w:i/>
          <w:color w:val="000000"/>
        </w:rPr>
        <w:t xml:space="preserve"> pues debido a la pandemia no se llevó a cabo, por lo que solicito el destino de ese dinero</w:t>
      </w:r>
      <w:r>
        <w:rPr>
          <w:rFonts w:ascii="Palatino Linotype" w:eastAsia="Palatino Linotype" w:hAnsi="Palatino Linotype" w:cs="Palatino Linotype"/>
          <w:color w:val="000000"/>
        </w:rPr>
        <w:t>.” (Sic)</w:t>
      </w:r>
    </w:p>
    <w:p w:rsidR="00306829" w:rsidRDefault="004C4539">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refiere que  adjunta oficio y acta de cabildo donde se muestra que fue autorizada la cantida</w:t>
      </w:r>
      <w:r>
        <w:rPr>
          <w:rFonts w:ascii="Palatino Linotype" w:eastAsia="Palatino Linotype" w:hAnsi="Palatino Linotype" w:cs="Palatino Linotype"/>
        </w:rPr>
        <w:t>d $2,500.00, y agrega los archivos:</w:t>
      </w:r>
    </w:p>
    <w:p w:rsidR="00306829" w:rsidRDefault="004C4539">
      <w:pPr>
        <w:numPr>
          <w:ilvl w:val="0"/>
          <w:numId w:val="3"/>
        </w:numPr>
        <w:pBdr>
          <w:top w:val="nil"/>
          <w:left w:val="nil"/>
          <w:bottom w:val="nil"/>
          <w:right w:val="nil"/>
          <w:between w:val="nil"/>
        </w:pBdr>
        <w:spacing w:before="240" w:line="360" w:lineRule="auto"/>
        <w:ind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rPr>
        <w:t xml:space="preserve">CONTESTACION tesoreria.pdf, </w:t>
      </w:r>
      <w:r>
        <w:rPr>
          <w:rFonts w:ascii="Palatino Linotype" w:eastAsia="Palatino Linotype" w:hAnsi="Palatino Linotype" w:cs="Palatino Linotype"/>
          <w:color w:val="000000"/>
        </w:rPr>
        <w:t xml:space="preserve">oficio número ATL/TM/023/2022, de fecha veintinueve de enero de dos mil veintidós, suscrito y signado por el Tesorero Municipal, mediante el cual informa que:  </w:t>
      </w:r>
      <w:r>
        <w:rPr>
          <w:rFonts w:ascii="Palatino Linotype" w:eastAsia="Palatino Linotype" w:hAnsi="Palatino Linotype" w:cs="Palatino Linotype"/>
          <w:i/>
          <w:color w:val="000000"/>
        </w:rPr>
        <w:t>“…esa información no corresponde a la Tesorería Municipal, ya que el encargado de coordinar la aprobación de ese festejo es el Cabildo Municipal, a través de las Actas de  aprobación que elabora la Secretaría General de este Municipio. …”</w:t>
      </w:r>
    </w:p>
    <w:p w:rsidR="00306829" w:rsidRDefault="004C4539">
      <w:pPr>
        <w:numPr>
          <w:ilvl w:val="0"/>
          <w:numId w:val="3"/>
        </w:numPr>
        <w:pBdr>
          <w:top w:val="nil"/>
          <w:left w:val="nil"/>
          <w:bottom w:val="nil"/>
          <w:right w:val="nil"/>
          <w:between w:val="nil"/>
        </w:pBdr>
        <w:spacing w:before="240" w:line="360" w:lineRule="auto"/>
        <w:ind w:right="90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CONTESTACION 11.p</w:t>
      </w:r>
      <w:r>
        <w:rPr>
          <w:rFonts w:ascii="Palatino Linotype" w:eastAsia="Palatino Linotype" w:hAnsi="Palatino Linotype" w:cs="Palatino Linotype"/>
          <w:b/>
          <w:i/>
          <w:color w:val="000000"/>
        </w:rPr>
        <w:t xml:space="preserve">df, </w:t>
      </w:r>
      <w:r>
        <w:rPr>
          <w:rFonts w:ascii="Palatino Linotype" w:eastAsia="Palatino Linotype" w:hAnsi="Palatino Linotype" w:cs="Palatino Linotype"/>
          <w:color w:val="000000"/>
        </w:rPr>
        <w:t>oficio número ATL/TM/023/2022, de fecha veintinueve de enero de dos mil veintidós, suscrito y signado por el Tesorero Municipal, idéntico al documento ya referido y el oficio ATL/SM/27/2022, de fecha cuatro de febrero de dos mil veintidós, por medio de</w:t>
      </w:r>
      <w:r>
        <w:rPr>
          <w:rFonts w:ascii="Palatino Linotype" w:eastAsia="Palatino Linotype" w:hAnsi="Palatino Linotype" w:cs="Palatino Linotype"/>
          <w:color w:val="000000"/>
        </w:rPr>
        <w:t>l cual presenta el acta de cabildo en donde es aprobado el recurso para dicho gasto.</w:t>
      </w:r>
    </w:p>
    <w:p w:rsidR="00306829" w:rsidRDefault="004C4539">
      <w:pPr>
        <w:numPr>
          <w:ilvl w:val="0"/>
          <w:numId w:val="3"/>
        </w:numPr>
        <w:pBdr>
          <w:top w:val="nil"/>
          <w:left w:val="nil"/>
          <w:bottom w:val="nil"/>
          <w:right w:val="nil"/>
          <w:between w:val="nil"/>
        </w:pBdr>
        <w:spacing w:before="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Acta Centésima Decima Primera.PDF , </w:t>
      </w:r>
      <w:r>
        <w:rPr>
          <w:rFonts w:ascii="Palatino Linotype" w:eastAsia="Palatino Linotype" w:hAnsi="Palatino Linotype" w:cs="Palatino Linotype"/>
          <w:color w:val="000000"/>
        </w:rPr>
        <w:t>que contiene el acta  de la Centésima Décima Primera Sesión Ordinaria de Cabildo del siete de octubre de dos mil veintiuno, mediante el</w:t>
      </w:r>
      <w:r>
        <w:rPr>
          <w:rFonts w:ascii="Palatino Linotype" w:eastAsia="Palatino Linotype" w:hAnsi="Palatino Linotype" w:cs="Palatino Linotype"/>
          <w:color w:val="000000"/>
        </w:rPr>
        <w:t xml:space="preserve"> cual, se presenta la aprobación de los acuerdos, en el que destaca:</w:t>
      </w:r>
    </w:p>
    <w:p w:rsidR="00306829" w:rsidRDefault="004C4539">
      <w:pPr>
        <w:pBdr>
          <w:top w:val="nil"/>
          <w:left w:val="nil"/>
          <w:bottom w:val="nil"/>
          <w:right w:val="nil"/>
          <w:between w:val="nil"/>
        </w:pBdr>
        <w:spacing w:before="240" w:line="360" w:lineRule="auto"/>
        <w:ind w:left="927" w:right="900"/>
        <w:jc w:val="both"/>
        <w:rPr>
          <w:rFonts w:ascii="Palatino Linotype" w:eastAsia="Palatino Linotype" w:hAnsi="Palatino Linotype" w:cs="Palatino Linotype"/>
          <w:color w:val="000000"/>
          <w:sz w:val="22"/>
          <w:szCs w:val="22"/>
        </w:rPr>
      </w:pPr>
      <w:r>
        <w:rPr>
          <w:noProof/>
          <w:lang w:val="es-MX"/>
        </w:rPr>
        <w:drawing>
          <wp:inline distT="0" distB="0" distL="0" distR="0">
            <wp:extent cx="5042963" cy="1268114"/>
            <wp:effectExtent l="0" t="0" r="0" b="0"/>
            <wp:docPr id="1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62123" t="51577" r="8691" b="35376"/>
                    <a:stretch>
                      <a:fillRect/>
                    </a:stretch>
                  </pic:blipFill>
                  <pic:spPr>
                    <a:xfrm>
                      <a:off x="0" y="0"/>
                      <a:ext cx="5042963" cy="1268114"/>
                    </a:xfrm>
                    <a:prstGeom prst="rect">
                      <a:avLst/>
                    </a:prstGeom>
                    <a:ln/>
                  </pic:spPr>
                </pic:pic>
              </a:graphicData>
            </a:graphic>
          </wp:inline>
        </w:drawing>
      </w:r>
      <w:r>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850900</wp:posOffset>
                </wp:positionH>
                <wp:positionV relativeFrom="paragraph">
                  <wp:posOffset>101600</wp:posOffset>
                </wp:positionV>
                <wp:extent cx="4448175" cy="1257300"/>
                <wp:effectExtent l="0" t="0" r="0" b="0"/>
                <wp:wrapNone/>
                <wp:docPr id="94" name="Rectángulo 94"/>
                <wp:cNvGraphicFramePr/>
                <a:graphic xmlns:a="http://schemas.openxmlformats.org/drawingml/2006/main">
                  <a:graphicData uri="http://schemas.microsoft.com/office/word/2010/wordprocessingShape">
                    <wps:wsp>
                      <wps:cNvSpPr/>
                      <wps:spPr>
                        <a:xfrm>
                          <a:off x="3160013" y="3189450"/>
                          <a:ext cx="4371975" cy="1181100"/>
                        </a:xfrm>
                        <a:prstGeom prst="rect">
                          <a:avLst/>
                        </a:prstGeom>
                        <a:noFill/>
                        <a:ln w="38100" cap="flat" cmpd="sng">
                          <a:solidFill>
                            <a:srgbClr val="FF0000"/>
                          </a:solidFill>
                          <a:prstDash val="solid"/>
                          <a:round/>
                          <a:headEnd type="none" w="sm" len="sm"/>
                          <a:tailEnd type="none" w="sm" len="sm"/>
                        </a:ln>
                      </wps:spPr>
                      <wps:txbx>
                        <w:txbxContent>
                          <w:p w:rsidR="00306829" w:rsidRDefault="0030682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850900</wp:posOffset>
                </wp:positionH>
                <wp:positionV relativeFrom="paragraph">
                  <wp:posOffset>101600</wp:posOffset>
                </wp:positionV>
                <wp:extent cx="4448175" cy="1257300"/>
                <wp:effectExtent b="0" l="0" r="0" t="0"/>
                <wp:wrapNone/>
                <wp:docPr id="94"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4448175" cy="1257300"/>
                        </a:xfrm>
                        <a:prstGeom prst="rect"/>
                        <a:ln/>
                      </pic:spPr>
                    </pic:pic>
                  </a:graphicData>
                </a:graphic>
              </wp:anchor>
            </w:drawing>
          </mc:Fallback>
        </mc:AlternateContent>
      </w:r>
    </w:p>
    <w:p w:rsidR="00306829" w:rsidRDefault="004C4539">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acto impugnado: </w:t>
      </w:r>
      <w:r>
        <w:rPr>
          <w:rFonts w:ascii="Palatino Linotype" w:eastAsia="Palatino Linotype" w:hAnsi="Palatino Linotype" w:cs="Palatino Linotype"/>
          <w:i/>
        </w:rPr>
        <w:t>“</w:t>
      </w:r>
      <w:r>
        <w:rPr>
          <w:rFonts w:ascii="Palatino Linotype" w:eastAsia="Palatino Linotype" w:hAnsi="Palatino Linotype" w:cs="Palatino Linotype"/>
          <w:b/>
          <w:i/>
          <w:u w:val="single"/>
        </w:rPr>
        <w:t>“falta información.”</w:t>
      </w:r>
      <w:r>
        <w:rPr>
          <w:rFonts w:ascii="Palatino Linotype" w:eastAsia="Palatino Linotype" w:hAnsi="Palatino Linotype" w:cs="Palatino Linotype"/>
          <w:i/>
        </w:rPr>
        <w:t xml:space="preserve"> (Sic)</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las cosas, durante la e</w:t>
      </w:r>
      <w:r>
        <w:rPr>
          <w:rFonts w:ascii="Palatino Linotype" w:eastAsia="Palatino Linotype" w:hAnsi="Palatino Linotype" w:cs="Palatino Linotype"/>
        </w:rPr>
        <w:t xml:space="preserv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informe justificado, por su parte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fue omiso al emitir algún pronunciamiento, quedando precluido su derecho.</w:t>
      </w:r>
    </w:p>
    <w:p w:rsidR="00306829" w:rsidRDefault="004C4539">
      <w:pPr>
        <w:spacing w:before="240" w:after="240" w:line="360" w:lineRule="auto"/>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rPr>
        <w:t xml:space="preserve">En este sentido, es necesario señalar que la respuesta que proporcionó el </w:t>
      </w:r>
      <w:r>
        <w:rPr>
          <w:rFonts w:ascii="Palatino Linotype" w:eastAsia="Palatino Linotype" w:hAnsi="Palatino Linotype" w:cs="Palatino Linotype"/>
          <w:b/>
        </w:rPr>
        <w:t>SUJETO</w:t>
      </w:r>
      <w:r>
        <w:rPr>
          <w:rFonts w:ascii="Palatino Linotype" w:eastAsia="Palatino Linotype" w:hAnsi="Palatino Linotype" w:cs="Palatino Linotype"/>
          <w:b/>
        </w:rPr>
        <w:t xml:space="preserve"> OBLIGADO,</w:t>
      </w:r>
      <w:r>
        <w:rPr>
          <w:rFonts w:ascii="Palatino Linotype" w:eastAsia="Palatino Linotype" w:hAnsi="Palatino Linotype" w:cs="Palatino Linotype"/>
        </w:rPr>
        <w:t xml:space="preserve"> no fue suficiente para satisfacer el derecho de acceso a la información </w:t>
      </w:r>
      <w:r>
        <w:rPr>
          <w:rFonts w:ascii="Palatino Linotype" w:eastAsia="Palatino Linotype" w:hAnsi="Palatino Linotype" w:cs="Palatino Linotype"/>
        </w:rPr>
        <w:lastRenderedPageBreak/>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toda vez que informa el monto que fue destinado para la organización del evento, pero no da a conocer el documento que compruebe el gasto erogado, en este se</w:t>
      </w:r>
      <w:r>
        <w:rPr>
          <w:rFonts w:ascii="Palatino Linotype" w:eastAsia="Palatino Linotype" w:hAnsi="Palatino Linotype" w:cs="Palatino Linotype"/>
        </w:rPr>
        <w:t>ntido, los documentos que de manera enunciativa más no limitativa pudieran dar cuenta de ello pueden ser las facturas y pólizas como soporte de los pagos que se han realizado.</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precisado lo anterior, es de señalarse que las facturas o comprobantes q</w:t>
      </w:r>
      <w:r>
        <w:rPr>
          <w:rFonts w:ascii="Palatino Linotype" w:eastAsia="Palatino Linotype" w:hAnsi="Palatino Linotype" w:cs="Palatino Linotype"/>
        </w:rPr>
        <w:t xml:space="preserve">ue amparan las erogaciones que se realizan con erario público tienen naturaleza pública pues, constituyen los medios idóneos de evidencia del gasto realizado con recursos públicos, de ahí que convenga precisar que la Constitución Política del Estado Libre </w:t>
      </w:r>
      <w:r>
        <w:rPr>
          <w:rFonts w:ascii="Palatino Linotype" w:eastAsia="Palatino Linotype" w:hAnsi="Palatino Linotype" w:cs="Palatino Linotype"/>
        </w:rPr>
        <w:t>y Soberano de México en su artículo 129 señala que los recursos económicos del Estado, de los Municipios, así como de los Organismos Autónomos, se administrarán con eficiencia, eficacia y honradez, para cumplir con los objetivos y programas a los que estén</w:t>
      </w:r>
      <w:r>
        <w:rPr>
          <w:rFonts w:ascii="Palatino Linotype" w:eastAsia="Palatino Linotype" w:hAnsi="Palatino Linotype" w:cs="Palatino Linotype"/>
        </w:rPr>
        <w:t xml:space="preserve"> destinados.</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ello, los artículos 342, 343, 344 y 345 del Código Financiero del Estado de México y Municipios disponen el sistema y las políticas que deben seguirse para llevar el registro contable y presupuestal de las operaciones financieras, en </w:t>
      </w:r>
      <w:r>
        <w:rPr>
          <w:rFonts w:ascii="Palatino Linotype" w:eastAsia="Palatino Linotype" w:hAnsi="Palatino Linotype" w:cs="Palatino Linotype"/>
        </w:rPr>
        <w:t>los siguientes términos:</w:t>
      </w:r>
    </w:p>
    <w:p w:rsidR="00306829" w:rsidRDefault="004C4539">
      <w:pPr>
        <w:spacing w:before="120" w:after="120" w:line="360"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342.-</w:t>
      </w:r>
      <w:r>
        <w:rPr>
          <w:rFonts w:ascii="Palatino Linotype" w:eastAsia="Palatino Linotype" w:hAnsi="Palatino Linotype" w:cs="Palatino Linotype"/>
          <w:i/>
          <w:sz w:val="22"/>
          <w:szCs w:val="22"/>
        </w:rPr>
        <w:t xml:space="preserve"> - El registro contable del efecto patrimonial y presupuestal de las operaciones financieras, se realizará conforme al sistema y a las disposiciones que se aprueben en materia de planeación, programación, presupuestación, evaluación y contabilidad gubernam</w:t>
      </w:r>
      <w:r>
        <w:rPr>
          <w:rFonts w:ascii="Palatino Linotype" w:eastAsia="Palatino Linotype" w:hAnsi="Palatino Linotype" w:cs="Palatino Linotype"/>
          <w:i/>
          <w:sz w:val="22"/>
          <w:szCs w:val="22"/>
        </w:rPr>
        <w:t>ental.</w:t>
      </w:r>
    </w:p>
    <w:p w:rsidR="00306829" w:rsidRDefault="004C4539">
      <w:pPr>
        <w:spacing w:before="120" w:after="120" w:line="360"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caso de los municipios, el registro a que se refiere el párrafo anterior, se realizará conforme al sistema y a las disposiciones en materia de planeación, </w:t>
      </w:r>
      <w:r>
        <w:rPr>
          <w:rFonts w:ascii="Palatino Linotype" w:eastAsia="Palatino Linotype" w:hAnsi="Palatino Linotype" w:cs="Palatino Linotype"/>
          <w:i/>
          <w:sz w:val="22"/>
          <w:szCs w:val="22"/>
        </w:rPr>
        <w:lastRenderedPageBreak/>
        <w:t xml:space="preserve">programación, presupuestación, evaluación y contabilidad gubernamental, que se aprueben </w:t>
      </w:r>
      <w:r>
        <w:rPr>
          <w:rFonts w:ascii="Palatino Linotype" w:eastAsia="Palatino Linotype" w:hAnsi="Palatino Linotype" w:cs="Palatino Linotype"/>
          <w:i/>
          <w:sz w:val="22"/>
          <w:szCs w:val="22"/>
        </w:rPr>
        <w:t>en el marco del Sistema de Coordinación Hacendaria del Estado de México.</w:t>
      </w:r>
    </w:p>
    <w:p w:rsidR="00306829" w:rsidRDefault="004C4539">
      <w:pPr>
        <w:spacing w:before="120" w:after="120" w:line="360"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343.-</w:t>
      </w:r>
      <w:r>
        <w:rPr>
          <w:rFonts w:ascii="Palatino Linotype" w:eastAsia="Palatino Linotype" w:hAnsi="Palatino Linotype" w:cs="Palatino Linotype"/>
          <w:i/>
          <w:sz w:val="22"/>
          <w:szCs w:val="22"/>
        </w:rPr>
        <w:t xml:space="preserve"> - El sistema de contabilidad debe diseñarse sobre base acumulativa total y operarse en forma que facilite la fiscalización de los activos, pasivos, ingresos, egresos y,</w:t>
      </w:r>
      <w:r>
        <w:rPr>
          <w:rFonts w:ascii="Palatino Linotype" w:eastAsia="Palatino Linotype" w:hAnsi="Palatino Linotype" w:cs="Palatino Linotype"/>
          <w:i/>
          <w:sz w:val="22"/>
          <w:szCs w:val="22"/>
        </w:rPr>
        <w:t xml:space="preserve"> en general, que posibilite medir la eficacia del gasto público, y contener las medidas de control interno que permitan verificar el registro de la totalidad de las operaciones financieras.</w:t>
      </w:r>
    </w:p>
    <w:p w:rsidR="00306829" w:rsidRDefault="004C4539">
      <w:pPr>
        <w:spacing w:before="120" w:after="120" w:line="360"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sistema de contabilidad sobre base acumulativa total, se susten</w:t>
      </w:r>
      <w:r>
        <w:rPr>
          <w:rFonts w:ascii="Palatino Linotype" w:eastAsia="Palatino Linotype" w:hAnsi="Palatino Linotype" w:cs="Palatino Linotype"/>
          <w:i/>
          <w:sz w:val="22"/>
          <w:szCs w:val="22"/>
        </w:rPr>
        <w:t>tará en las normas emitidas por el Consejo Nacional de Armonización Contable.</w:t>
      </w:r>
    </w:p>
    <w:p w:rsidR="00306829" w:rsidRDefault="004C4539">
      <w:pPr>
        <w:spacing w:before="120" w:after="120" w:line="360" w:lineRule="auto"/>
        <w:ind w:left="860" w:right="8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Pr>
          <w:rFonts w:ascii="Palatino Linotype" w:eastAsia="Palatino Linotype" w:hAnsi="Palatino Linotype" w:cs="Palatino Linotype"/>
          <w:b/>
          <w:i/>
          <w:sz w:val="22"/>
          <w:szCs w:val="22"/>
        </w:rPr>
        <w:t>.</w:t>
      </w:r>
    </w:p>
    <w:p w:rsidR="00306829" w:rsidRDefault="004C4539">
      <w:pPr>
        <w:spacing w:before="120" w:after="120" w:line="360" w:lineRule="auto"/>
        <w:ind w:left="860" w:right="8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w:t>
      </w:r>
      <w:r>
        <w:rPr>
          <w:rFonts w:ascii="Palatino Linotype" w:eastAsia="Palatino Linotype" w:hAnsi="Palatino Linotype" w:cs="Palatino Linotype"/>
          <w:b/>
          <w:i/>
          <w:sz w:val="22"/>
          <w:szCs w:val="22"/>
        </w:rPr>
        <w:t>odo registro contable y presupuestal deberá estar soportado con los documentos comprobatorios originales o en medios electrónicos, los que deberán permanecer en custodia y conservación de los Entes Públicos a través de las unidades administrativas que ejer</w:t>
      </w:r>
      <w:r>
        <w:rPr>
          <w:rFonts w:ascii="Palatino Linotype" w:eastAsia="Palatino Linotype" w:hAnsi="Palatino Linotype" w:cs="Palatino Linotype"/>
          <w:b/>
          <w:i/>
          <w:sz w:val="22"/>
          <w:szCs w:val="22"/>
        </w:rPr>
        <w:t xml:space="preserve">cieron el gasto y a disposición de los Órganos de Fiscalización locales y federales, </w:t>
      </w:r>
      <w:r>
        <w:rPr>
          <w:rFonts w:ascii="Palatino Linotype" w:eastAsia="Palatino Linotype" w:hAnsi="Palatino Linotype" w:cs="Palatino Linotype"/>
          <w:i/>
          <w:sz w:val="22"/>
          <w:szCs w:val="22"/>
        </w:rPr>
        <w:t>según corresponda, así como de los órganos internos de control, por un término de cinco años, contados a partir del ejercicio presupuestal siguiente al que corresponda,</w:t>
      </w:r>
      <w:r>
        <w:rPr>
          <w:rFonts w:ascii="Palatino Linotype" w:eastAsia="Palatino Linotype" w:hAnsi="Palatino Linotype" w:cs="Palatino Linotype"/>
          <w:b/>
          <w:i/>
          <w:sz w:val="22"/>
          <w:szCs w:val="22"/>
        </w:rPr>
        <w:t xml:space="preserve"> en</w:t>
      </w:r>
      <w:r>
        <w:rPr>
          <w:rFonts w:ascii="Palatino Linotype" w:eastAsia="Palatino Linotype" w:hAnsi="Palatino Linotype" w:cs="Palatino Linotype"/>
          <w:b/>
          <w:i/>
          <w:sz w:val="22"/>
          <w:szCs w:val="22"/>
        </w:rPr>
        <w:t xml:space="preserve"> el caso de los Municipios, dicha obligación corresponderá a la Tesorería.</w:t>
      </w:r>
    </w:p>
    <w:p w:rsidR="00306829" w:rsidRDefault="004C4539">
      <w:pPr>
        <w:spacing w:before="120" w:after="120" w:line="360" w:lineRule="auto"/>
        <w:ind w:left="860" w:right="86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Tratándose de documentos de carácter histórico, se estará a lo dispuesto por la legislación de la materia.</w:t>
      </w:r>
      <w:r>
        <w:rPr>
          <w:rFonts w:ascii="Palatino Linotype" w:eastAsia="Palatino Linotype" w:hAnsi="Palatino Linotype" w:cs="Palatino Linotype"/>
          <w:i/>
          <w:sz w:val="22"/>
          <w:szCs w:val="22"/>
        </w:rPr>
        <w:br/>
        <w:t>…</w:t>
      </w:r>
    </w:p>
    <w:p w:rsidR="00306829" w:rsidRDefault="004C4539">
      <w:pPr>
        <w:spacing w:before="120" w:after="120" w:line="360" w:lineRule="auto"/>
        <w:ind w:left="860" w:right="8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345.-</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Las Dependencias y sus unidades administrativas; deberán </w:t>
      </w:r>
      <w:r>
        <w:rPr>
          <w:rFonts w:ascii="Palatino Linotype" w:eastAsia="Palatino Linotype" w:hAnsi="Palatino Linotype" w:cs="Palatino Linotype"/>
          <w:b/>
          <w:i/>
          <w:sz w:val="22"/>
          <w:szCs w:val="22"/>
        </w:rPr>
        <w:t>conservar la documentación contable del año en curso y la de ejercicios anteriores, cuyas cuentas públicas hayan sido revisadas y fiscalizadas y la remitirán al Archivo Contable Gubernamental en un plazo que no excederá de seis meses. Tratándose de los com</w:t>
      </w:r>
      <w:r>
        <w:rPr>
          <w:rFonts w:ascii="Palatino Linotype" w:eastAsia="Palatino Linotype" w:hAnsi="Palatino Linotype" w:cs="Palatino Linotype"/>
          <w:b/>
          <w:i/>
          <w:sz w:val="22"/>
          <w:szCs w:val="22"/>
        </w:rPr>
        <w:t>probantes fiscales digitales, estos deberán estar agregados en forma electrónica a cada póliza de registro contable.</w:t>
      </w:r>
    </w:p>
    <w:p w:rsidR="00306829" w:rsidRDefault="004C4539">
      <w:pPr>
        <w:spacing w:before="120" w:after="120" w:line="360"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poderes Legislativo y Judicial, los Organismos Autónomos y las Entidades Públicas, de acuerdo con su naturaleza jurídica y según corres</w:t>
      </w:r>
      <w:r>
        <w:rPr>
          <w:rFonts w:ascii="Palatino Linotype" w:eastAsia="Palatino Linotype" w:hAnsi="Palatino Linotype" w:cs="Palatino Linotype"/>
          <w:i/>
          <w:sz w:val="22"/>
          <w:szCs w:val="22"/>
        </w:rPr>
        <w:t>ponda, deberán conservar la documentación contable del año en curso y la de ejercicios anteriores, cuyas cuentas públicas hayan sido revisadas y fiscalizadas, en sus propios Archivos Contables. Tratándose de los comprobantes fiscales digitales, estos deber</w:t>
      </w:r>
      <w:r>
        <w:rPr>
          <w:rFonts w:ascii="Palatino Linotype" w:eastAsia="Palatino Linotype" w:hAnsi="Palatino Linotype" w:cs="Palatino Linotype"/>
          <w:i/>
          <w:sz w:val="22"/>
          <w:szCs w:val="22"/>
        </w:rPr>
        <w:t>án estar agregados en forma electrónica a cada póliza de registro contable.</w:t>
      </w:r>
    </w:p>
    <w:p w:rsidR="00306829" w:rsidRDefault="004C4539">
      <w:pPr>
        <w:spacing w:before="120" w:after="120" w:line="360" w:lineRule="auto"/>
        <w:ind w:left="860" w:right="86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w:t>
      </w:r>
    </w:p>
    <w:p w:rsidR="00306829" w:rsidRDefault="004C4539">
      <w:pPr>
        <w:spacing w:before="120" w:after="120" w:line="360"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una interpretación </w:t>
      </w:r>
      <w:r>
        <w:rPr>
          <w:rFonts w:ascii="Palatino Linotype" w:eastAsia="Palatino Linotype" w:hAnsi="Palatino Linotype" w:cs="Palatino Linotype"/>
        </w:rPr>
        <w:t>sistemática de los artículos transcritos, se desprende primeramente que el registro contable del efecto patrimonial y presupuestal de las operaciones financieras se realizará conforme al sistema y a las disposiciones que se aprueben en materia de planeació</w:t>
      </w:r>
      <w:r>
        <w:rPr>
          <w:rFonts w:ascii="Palatino Linotype" w:eastAsia="Palatino Linotype" w:hAnsi="Palatino Linotype" w:cs="Palatino Linotype"/>
        </w:rPr>
        <w:t>n, programación, presupuestación, evaluación y contabilidad gubernamental.</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si bien es cierto que el Código Financiero del Estado de México y Municipios establece la obligación de los Municipios para llevar los registros contables y presupuesta</w:t>
      </w:r>
      <w:r>
        <w:rPr>
          <w:rFonts w:ascii="Palatino Linotype" w:eastAsia="Palatino Linotype" w:hAnsi="Palatino Linotype" w:cs="Palatino Linotype"/>
        </w:rPr>
        <w:t>les; también lo es que, dicho ordenamiento jurídico no establece que debemos entender por registro contable y presupuestal; sin embargo, el “Glosario de Términos para el Proceso de Planeación, Programación, Presupuestación y Evaluación en la Administración</w:t>
      </w:r>
      <w:r>
        <w:rPr>
          <w:rFonts w:ascii="Palatino Linotype" w:eastAsia="Palatino Linotype" w:hAnsi="Palatino Linotype" w:cs="Palatino Linotype"/>
        </w:rPr>
        <w:t xml:space="preserve"> Pública”, elaborado por el Grupo de Trabajo de Sistemas de Información Financiera, Contable y Presupuestal de la Comisión Permanente de Funcionarios Fiscales del Instituto para el Desarrollo Técnico de las Haciendas Públicas (INDETEC) señalan las siguient</w:t>
      </w:r>
      <w:r>
        <w:rPr>
          <w:rFonts w:ascii="Palatino Linotype" w:eastAsia="Palatino Linotype" w:hAnsi="Palatino Linotype" w:cs="Palatino Linotype"/>
        </w:rPr>
        <w:t>es definiciones de las palabras registro contable y registro presupuestario:</w:t>
      </w:r>
    </w:p>
    <w:p w:rsidR="00306829" w:rsidRDefault="004C4539">
      <w:pPr>
        <w:spacing w:before="120" w:after="120" w:line="360" w:lineRule="auto"/>
        <w:ind w:firstLine="700"/>
        <w:jc w:val="both"/>
        <w:rPr>
          <w:rFonts w:ascii="Palatino Linotype" w:eastAsia="Palatino Linotype" w:hAnsi="Palatino Linotype" w:cs="Palatino Linotype"/>
          <w:b/>
          <w:i/>
        </w:rPr>
      </w:pPr>
      <w:r>
        <w:rPr>
          <w:rFonts w:ascii="Palatino Linotype" w:eastAsia="Palatino Linotype" w:hAnsi="Palatino Linotype" w:cs="Palatino Linotype"/>
          <w:b/>
          <w:i/>
        </w:rPr>
        <w:t>“REGISTRO CONTABLE</w:t>
      </w:r>
    </w:p>
    <w:p w:rsidR="00306829" w:rsidRDefault="004C4539">
      <w:pPr>
        <w:spacing w:before="120" w:after="120" w:line="360" w:lineRule="auto"/>
        <w:ind w:left="8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rsidR="00306829" w:rsidRDefault="004C4539">
      <w:pPr>
        <w:spacing w:before="120" w:after="120" w:line="360" w:lineRule="auto"/>
        <w:ind w:right="900" w:firstLine="7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“REGISTRO PRESUPUESTA</w:t>
      </w:r>
      <w:r>
        <w:rPr>
          <w:rFonts w:ascii="Palatino Linotype" w:eastAsia="Palatino Linotype" w:hAnsi="Palatino Linotype" w:cs="Palatino Linotype"/>
          <w:b/>
          <w:i/>
          <w:sz w:val="22"/>
          <w:szCs w:val="22"/>
        </w:rPr>
        <w:t>RIO</w:t>
      </w:r>
    </w:p>
    <w:p w:rsidR="00306829" w:rsidRDefault="004C4539">
      <w:pPr>
        <w:spacing w:before="120" w:after="120" w:line="360" w:lineRule="auto"/>
        <w:ind w:left="70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Igualmente, los preceptos legales citados señalan que los Sujetos Obligados deben contar con una unidad </w:t>
      </w:r>
      <w:r>
        <w:rPr>
          <w:rFonts w:ascii="Palatino Linotype" w:eastAsia="Palatino Linotype" w:hAnsi="Palatino Linotype" w:cs="Palatino Linotype"/>
        </w:rPr>
        <w:t>administrativa que registra contablemente el efecto patrimonial y presupuestal de las operaciones financieras que realizan, en el momento en que ocurran, con base en el sistema y políticas de registro establecidas.</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Correlativo a lo anterior, es preciso ref</w:t>
      </w:r>
      <w:r>
        <w:rPr>
          <w:rFonts w:ascii="Palatino Linotype" w:eastAsia="Palatino Linotype" w:hAnsi="Palatino Linotype" w:cs="Palatino Linotype"/>
        </w:rPr>
        <w:t xml:space="preserve">erir una definición de </w:t>
      </w:r>
      <w:r>
        <w:rPr>
          <w:rFonts w:ascii="Palatino Linotype" w:eastAsia="Palatino Linotype" w:hAnsi="Palatino Linotype" w:cs="Palatino Linotype"/>
          <w:i/>
        </w:rPr>
        <w:t>póliza contable</w:t>
      </w:r>
      <w:r>
        <w:rPr>
          <w:rFonts w:ascii="Palatino Linotype" w:eastAsia="Palatino Linotype" w:hAnsi="Palatino Linotype" w:cs="Palatino Linotype"/>
        </w:rPr>
        <w:t>, la cual, primeramente, no está definida en el Código Financiero del Estado de México y Municipios; no obstante, el ya mencionado Glosario la definen como:</w:t>
      </w:r>
    </w:p>
    <w:p w:rsidR="00306829" w:rsidRDefault="004C4539">
      <w:pPr>
        <w:spacing w:before="120" w:after="120" w:line="360" w:lineRule="auto"/>
        <w:ind w:left="860"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PÓLIZA CONTABLE</w:t>
      </w:r>
    </w:p>
    <w:p w:rsidR="00306829" w:rsidRDefault="004C4539">
      <w:pPr>
        <w:spacing w:before="120" w:after="120" w:line="360" w:lineRule="auto"/>
        <w:ind w:left="8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se advierte que la </w:t>
      </w:r>
      <w:r>
        <w:rPr>
          <w:rFonts w:ascii="Palatino Linotype" w:eastAsia="Palatino Linotype" w:hAnsi="Palatino Linotype" w:cs="Palatino Linotype"/>
          <w:i/>
        </w:rPr>
        <w:t>póliza contable</w:t>
      </w:r>
      <w:r>
        <w:rPr>
          <w:rFonts w:ascii="Palatino Linotype" w:eastAsia="Palatino Linotype" w:hAnsi="Palatino Linotype" w:cs="Palatino Linotype"/>
        </w:rPr>
        <w:t xml:space="preserve"> const</w:t>
      </w:r>
      <w:r>
        <w:rPr>
          <w:rFonts w:ascii="Palatino Linotype" w:eastAsia="Palatino Linotype" w:hAnsi="Palatino Linotype" w:cs="Palatino Linotype"/>
        </w:rPr>
        <w:t>ituye un registro contable y presupuestal con el que cuentan los Municipios para el registro de sus operaciones relacionadas con sus ingresos y egresos y se anexan los documentos o comprobantes que justifiquen las anotaciones y cantidades en ellas registra</w:t>
      </w:r>
      <w:r>
        <w:rPr>
          <w:rFonts w:ascii="Palatino Linotype" w:eastAsia="Palatino Linotype" w:hAnsi="Palatino Linotype" w:cs="Palatino Linotype"/>
        </w:rPr>
        <w:t>das, lo que permite la identificación plena de dichas operaciones.</w:t>
      </w:r>
    </w:p>
    <w:p w:rsidR="00306829" w:rsidRDefault="004C4539">
      <w:pPr>
        <w:spacing w:before="240" w:after="240"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Pr>
          <w:rFonts w:ascii="Palatino Linotype" w:eastAsia="Palatino Linotype" w:hAnsi="Palatino Linotype" w:cs="Palatino Linotype"/>
          <w:i/>
        </w:rPr>
        <w:t>pólizas de egresos</w:t>
      </w:r>
      <w:r>
        <w:rPr>
          <w:rFonts w:ascii="Palatino Linotype" w:eastAsia="Palatino Linotype" w:hAnsi="Palatino Linotype" w:cs="Palatino Linotype"/>
        </w:rPr>
        <w:t xml:space="preserve">, son aquellas en las </w:t>
      </w:r>
      <w:r>
        <w:rPr>
          <w:rFonts w:ascii="Palatino Linotype" w:eastAsia="Palatino Linotype" w:hAnsi="Palatino Linotype" w:cs="Palatino Linotype"/>
        </w:rPr>
        <w:t>cuales se anotan diariamente las operaciones que representan gastos, es decir, salidas de dinero para el Sujeto Obligado, las que además, deben encontrarse acompañadas de las documentales que sirven de soporte de dicho movimiento.</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todo registro </w:t>
      </w:r>
      <w:r>
        <w:rPr>
          <w:rFonts w:ascii="Palatino Linotype" w:eastAsia="Palatino Linotype" w:hAnsi="Palatino Linotype" w:cs="Palatino Linotype"/>
        </w:rPr>
        <w:t xml:space="preserve">contable y presupuestal deberá estar soportado con los documentos comprobatorios originales, como lo son las facturas, los que deberán permanecer en custodia y conservación de la Unidad administrativa correspondiente y a disposición del Órgano Superior de </w:t>
      </w:r>
      <w:r>
        <w:rPr>
          <w:rFonts w:ascii="Palatino Linotype" w:eastAsia="Palatino Linotype" w:hAnsi="Palatino Linotype" w:cs="Palatino Linotype"/>
        </w:rPr>
        <w:t xml:space="preserve">Fiscalización del Estado de </w:t>
      </w:r>
      <w:r>
        <w:rPr>
          <w:rFonts w:ascii="Palatino Linotype" w:eastAsia="Palatino Linotype" w:hAnsi="Palatino Linotype" w:cs="Palatino Linotype"/>
        </w:rPr>
        <w:lastRenderedPageBreak/>
        <w:t>México; por un término de cinco años contados a partir del ejercicio presupuestal siguiente al que corresponda.</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Así, se puede advertir que de la información requerida, los documentos que pueden satisfacer el requerimiento del p</w:t>
      </w:r>
      <w:r>
        <w:rPr>
          <w:rFonts w:ascii="Palatino Linotype" w:eastAsia="Palatino Linotype" w:hAnsi="Palatino Linotype" w:cs="Palatino Linotype"/>
        </w:rPr>
        <w:t xml:space="preserve">articular serían las facturas y pólizas de cheque que se hayan pagado. </w:t>
      </w:r>
    </w:p>
    <w:p w:rsidR="00306829" w:rsidRDefault="004C4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si bien el Tesorero señaló que </w:t>
      </w:r>
      <w:r>
        <w:rPr>
          <w:rFonts w:ascii="Palatino Linotype" w:eastAsia="Palatino Linotype" w:hAnsi="Palatino Linotype" w:cs="Palatino Linotype"/>
          <w:i/>
          <w:color w:val="000000"/>
        </w:rPr>
        <w:t>“…esa información no corresponde a la Tesorería Municipal, ya que el encargado de coordinar la aprobación de ese festejo es el Cabildo Munici</w:t>
      </w:r>
      <w:r>
        <w:rPr>
          <w:rFonts w:ascii="Palatino Linotype" w:eastAsia="Palatino Linotype" w:hAnsi="Palatino Linotype" w:cs="Palatino Linotype"/>
          <w:i/>
          <w:color w:val="000000"/>
        </w:rPr>
        <w:t>pal…” (Sic)</w:t>
      </w:r>
      <w:r>
        <w:rPr>
          <w:rFonts w:ascii="Palatino Linotype" w:eastAsia="Palatino Linotype" w:hAnsi="Palatino Linotype" w:cs="Palatino Linotype"/>
        </w:rPr>
        <w:t xml:space="preserve">, de conformidad con los artículos 93 y 95 fracciones I, V y VI de la Ley Orgánica Municipal del Estado de México, que citan lo siguiente: </w:t>
      </w:r>
    </w:p>
    <w:p w:rsidR="00306829" w:rsidRDefault="00306829">
      <w:pPr>
        <w:spacing w:line="360" w:lineRule="auto"/>
        <w:jc w:val="both"/>
        <w:rPr>
          <w:rFonts w:ascii="Palatino Linotype" w:eastAsia="Palatino Linotype" w:hAnsi="Palatino Linotype" w:cs="Palatino Linotype"/>
          <w:sz w:val="14"/>
          <w:szCs w:val="14"/>
        </w:rPr>
      </w:pPr>
    </w:p>
    <w:p w:rsidR="00306829" w:rsidRDefault="004C4539">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93.-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tesorería municipal es el órgano encargado </w:t>
      </w:r>
      <w:r>
        <w:rPr>
          <w:rFonts w:ascii="Palatino Linotype" w:eastAsia="Palatino Linotype" w:hAnsi="Palatino Linotype" w:cs="Palatino Linotype"/>
          <w:i/>
          <w:sz w:val="22"/>
          <w:szCs w:val="22"/>
        </w:rPr>
        <w:t>de la recaudación de los ingresos municipal</w:t>
      </w:r>
      <w:r>
        <w:rPr>
          <w:rFonts w:ascii="Palatino Linotype" w:eastAsia="Palatino Linotype" w:hAnsi="Palatino Linotype" w:cs="Palatino Linotype"/>
          <w:i/>
          <w:sz w:val="22"/>
          <w:szCs w:val="22"/>
        </w:rPr>
        <w:t xml:space="preserve">es y responsable </w:t>
      </w:r>
      <w:r>
        <w:rPr>
          <w:rFonts w:ascii="Palatino Linotype" w:eastAsia="Palatino Linotype" w:hAnsi="Palatino Linotype" w:cs="Palatino Linotype"/>
          <w:b/>
          <w:i/>
          <w:sz w:val="22"/>
          <w:szCs w:val="22"/>
        </w:rPr>
        <w:t>de realizar las erogaciones que haga el ayuntamiento.</w:t>
      </w:r>
    </w:p>
    <w:p w:rsidR="00306829" w:rsidRDefault="00306829">
      <w:pPr>
        <w:ind w:left="850" w:right="901"/>
        <w:jc w:val="both"/>
        <w:rPr>
          <w:rFonts w:ascii="Palatino Linotype" w:eastAsia="Palatino Linotype" w:hAnsi="Palatino Linotype" w:cs="Palatino Linotype"/>
          <w:b/>
          <w:i/>
          <w:sz w:val="22"/>
          <w:szCs w:val="22"/>
        </w:rPr>
      </w:pPr>
    </w:p>
    <w:p w:rsidR="00306829" w:rsidRDefault="004C4539">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95.- Son atribuciones del tesorero municipal:</w:t>
      </w:r>
    </w:p>
    <w:p w:rsidR="00306829" w:rsidRDefault="00306829">
      <w:pPr>
        <w:ind w:left="850" w:right="901"/>
        <w:jc w:val="both"/>
        <w:rPr>
          <w:rFonts w:ascii="Palatino Linotype" w:eastAsia="Palatino Linotype" w:hAnsi="Palatino Linotype" w:cs="Palatino Linotype"/>
          <w:b/>
          <w:i/>
          <w:sz w:val="22"/>
          <w:szCs w:val="22"/>
        </w:rPr>
      </w:pPr>
    </w:p>
    <w:p w:rsidR="00306829" w:rsidRDefault="004C4539">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Administrar la hacienda pública municipal, de conformidad con las disposiciones legales aplicables;</w:t>
      </w:r>
    </w:p>
    <w:p w:rsidR="00306829" w:rsidRDefault="004C4539">
      <w:pPr>
        <w:ind w:left="720" w:right="90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p>
    <w:p w:rsidR="00306829" w:rsidRDefault="004C4539">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Proporcionar opo</w:t>
      </w:r>
      <w:r>
        <w:rPr>
          <w:rFonts w:ascii="Palatino Linotype" w:eastAsia="Palatino Linotype" w:hAnsi="Palatino Linotype" w:cs="Palatino Linotype"/>
          <w:b/>
          <w:i/>
          <w:sz w:val="22"/>
          <w:szCs w:val="22"/>
        </w:rPr>
        <w:t>rtunamente al ayuntamiento todos los datos o informes que sean necesarios para la formulación del Presupuesto de Egresos Municipales, vigilando que se ajuste a las disposiciones de esta Ley y otros ordenamientos aplicables;</w:t>
      </w:r>
    </w:p>
    <w:p w:rsidR="00306829" w:rsidRDefault="00306829">
      <w:pPr>
        <w:ind w:left="850" w:right="901"/>
        <w:jc w:val="both"/>
        <w:rPr>
          <w:rFonts w:ascii="Palatino Linotype" w:eastAsia="Palatino Linotype" w:hAnsi="Palatino Linotype" w:cs="Palatino Linotype"/>
          <w:b/>
          <w:i/>
          <w:sz w:val="22"/>
          <w:szCs w:val="22"/>
        </w:rPr>
      </w:pPr>
    </w:p>
    <w:p w:rsidR="00306829" w:rsidRDefault="004C4539">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Llevar los registros contab</w:t>
      </w:r>
      <w:r>
        <w:rPr>
          <w:rFonts w:ascii="Palatino Linotype" w:eastAsia="Palatino Linotype" w:hAnsi="Palatino Linotype" w:cs="Palatino Linotype"/>
          <w:b/>
          <w:i/>
          <w:sz w:val="22"/>
          <w:szCs w:val="22"/>
        </w:rPr>
        <w:t>les, financieros y administrativos de los ingresos, egresos, e inventarios.</w:t>
      </w:r>
    </w:p>
    <w:p w:rsidR="00306829" w:rsidRDefault="004C4539">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306829" w:rsidRDefault="00306829">
      <w:pPr>
        <w:ind w:left="850" w:right="901"/>
        <w:jc w:val="both"/>
        <w:rPr>
          <w:rFonts w:ascii="Palatino Linotype" w:eastAsia="Palatino Linotype" w:hAnsi="Palatino Linotype" w:cs="Palatino Linotype"/>
          <w:i/>
          <w:sz w:val="22"/>
          <w:szCs w:val="22"/>
        </w:rPr>
      </w:pPr>
    </w:p>
    <w:p w:rsidR="00306829" w:rsidRDefault="004C4539">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306829" w:rsidRDefault="00306829">
      <w:pPr>
        <w:spacing w:line="360" w:lineRule="auto"/>
        <w:jc w:val="both"/>
        <w:rPr>
          <w:rFonts w:ascii="Palatino Linotype" w:eastAsia="Palatino Linotype" w:hAnsi="Palatino Linotype" w:cs="Palatino Linotype"/>
        </w:rPr>
      </w:pPr>
    </w:p>
    <w:p w:rsidR="00306829" w:rsidRDefault="004C45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Se observa que es a través de la Tesorería Municipal, que se administra la hacienda pública municipal y llevar registros contables de los egresos, por lo que dentro de sus atribuciones, puede generar, poseer o administrar la información solicitada, máxime </w:t>
      </w:r>
      <w:r>
        <w:rPr>
          <w:rFonts w:ascii="Palatino Linotype" w:eastAsia="Palatino Linotype" w:hAnsi="Palatino Linotype" w:cs="Palatino Linotype"/>
        </w:rPr>
        <w:t>que existe el capítulo y concepto en específico para los espectáculos cívicos y culturales contemplado en el Manual Único de Contabilidad Gubernamental para las Dependencias y Entidades Públicas del Gobierno y Municipios del Estado de México (vigésima edic</w:t>
      </w:r>
      <w:r>
        <w:rPr>
          <w:rFonts w:ascii="Palatino Linotype" w:eastAsia="Palatino Linotype" w:hAnsi="Palatino Linotype" w:cs="Palatino Linotype"/>
        </w:rPr>
        <w:t>ión) 2021, el cual cabe traer a contexto, mismo que contempla lo siguiente:</w:t>
      </w:r>
    </w:p>
    <w:p w:rsidR="00306829" w:rsidRDefault="00306829">
      <w:pPr>
        <w:spacing w:line="360" w:lineRule="auto"/>
        <w:jc w:val="both"/>
        <w:rPr>
          <w:rFonts w:ascii="Palatino Linotype" w:eastAsia="Palatino Linotype" w:hAnsi="Palatino Linotype" w:cs="Palatino Linotype"/>
          <w:sz w:val="16"/>
          <w:szCs w:val="16"/>
        </w:rPr>
      </w:pPr>
    </w:p>
    <w:p w:rsidR="00306829" w:rsidRDefault="004C4539">
      <w:pPr>
        <w:ind w:left="850" w:right="901"/>
        <w:jc w:val="both"/>
        <w:rPr>
          <w:rFonts w:ascii="Palatino Linotype" w:eastAsia="Palatino Linotype" w:hAnsi="Palatino Linotype" w:cs="Palatino Linotype"/>
          <w:i/>
        </w:rPr>
      </w:pPr>
      <w:r>
        <w:rPr>
          <w:rFonts w:ascii="Palatino Linotype" w:eastAsia="Palatino Linotype" w:hAnsi="Palatino Linotype" w:cs="Palatino Linotype"/>
          <w:i/>
        </w:rPr>
        <w:t>“3800 SERVICIOS OFICIALES</w:t>
      </w:r>
    </w:p>
    <w:p w:rsidR="00306829" w:rsidRDefault="004C4539">
      <w:pPr>
        <w:ind w:left="850"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rsidR="00306829" w:rsidRDefault="004C4539">
      <w:pPr>
        <w:ind w:left="850" w:right="901"/>
        <w:jc w:val="both"/>
        <w:rPr>
          <w:rFonts w:ascii="Palatino Linotype" w:eastAsia="Palatino Linotype" w:hAnsi="Palatino Linotype" w:cs="Palatino Linotype"/>
          <w:i/>
        </w:rPr>
      </w:pPr>
      <w:r>
        <w:rPr>
          <w:rFonts w:ascii="Palatino Linotype" w:eastAsia="Palatino Linotype" w:hAnsi="Palatino Linotype" w:cs="Palatino Linotype"/>
          <w:i/>
        </w:rPr>
        <w:t>3822 Espectáculos cívicos y culturales. Asignación para cubrir el desarrollo de espectáculos cívicos y culturales para fomentar la identidad entre la c</w:t>
      </w:r>
      <w:r>
        <w:rPr>
          <w:rFonts w:ascii="Palatino Linotype" w:eastAsia="Palatino Linotype" w:hAnsi="Palatino Linotype" w:cs="Palatino Linotype"/>
          <w:i/>
        </w:rPr>
        <w:t>iudadanía.</w:t>
      </w:r>
    </w:p>
    <w:p w:rsidR="00306829" w:rsidRDefault="004C4539">
      <w:pPr>
        <w:ind w:left="850"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rsidR="00306829" w:rsidRDefault="00306829">
      <w:pPr>
        <w:spacing w:line="360" w:lineRule="auto"/>
        <w:jc w:val="both"/>
        <w:rPr>
          <w:rFonts w:ascii="Palatino Linotype" w:eastAsia="Palatino Linotype" w:hAnsi="Palatino Linotype" w:cs="Palatino Linotype"/>
          <w:sz w:val="16"/>
          <w:szCs w:val="16"/>
        </w:rPr>
      </w:pPr>
    </w:p>
    <w:p w:rsidR="00306829" w:rsidRDefault="004C45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Tesorero Municipal tiene la facultad de solicitar recursos públicos para espectáculos cívicos y culturales mediante el Estado Analítico del Ejercicio del Presupuesto de Egresos Detallado (Clasificación por Objeto del Gasto). </w:t>
      </w:r>
    </w:p>
    <w:p w:rsidR="00306829" w:rsidRDefault="00306829">
      <w:pPr>
        <w:spacing w:line="360" w:lineRule="auto"/>
        <w:jc w:val="both"/>
        <w:rPr>
          <w:rFonts w:ascii="Palatino Linotype" w:eastAsia="Palatino Linotype" w:hAnsi="Palatino Linotype" w:cs="Palatino Linotype"/>
        </w:rPr>
      </w:pPr>
    </w:p>
    <w:p w:rsidR="00306829" w:rsidRDefault="004C45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lo anterior, el Bando Municipal de Atlautla 2021, refiere que corresponde a la Tesorería Municipal, lo siguiente:</w:t>
      </w:r>
    </w:p>
    <w:p w:rsidR="00306829" w:rsidRDefault="004C45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306829" w:rsidRDefault="004C4539">
      <w:pPr>
        <w:spacing w:line="276" w:lineRule="auto"/>
        <w:ind w:left="1134" w:right="851"/>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“CAPÍTULO III DE LA TESORERÍA MUNICIPAL</w:t>
      </w:r>
    </w:p>
    <w:p w:rsidR="00306829" w:rsidRDefault="00306829">
      <w:pPr>
        <w:spacing w:line="276" w:lineRule="auto"/>
        <w:ind w:left="1134" w:right="851"/>
        <w:jc w:val="center"/>
        <w:rPr>
          <w:rFonts w:ascii="Palatino Linotype" w:eastAsia="Palatino Linotype" w:hAnsi="Palatino Linotype" w:cs="Palatino Linotype"/>
          <w:i/>
          <w:sz w:val="22"/>
          <w:szCs w:val="22"/>
        </w:rPr>
      </w:pPr>
    </w:p>
    <w:p w:rsidR="00306829" w:rsidRDefault="004C4539">
      <w:pPr>
        <w:spacing w:line="276" w:lineRule="auto"/>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60.- </w:t>
      </w:r>
      <w:r>
        <w:rPr>
          <w:rFonts w:ascii="Palatino Linotype" w:eastAsia="Palatino Linotype" w:hAnsi="Palatino Linotype" w:cs="Palatino Linotype"/>
          <w:b/>
          <w:i/>
          <w:sz w:val="22"/>
          <w:szCs w:val="22"/>
        </w:rPr>
        <w:t>La Tesorería Municipal para cumplir con su función formal que le confiere la</w:t>
      </w:r>
      <w:r>
        <w:rPr>
          <w:rFonts w:ascii="Palatino Linotype" w:eastAsia="Palatino Linotype" w:hAnsi="Palatino Linotype" w:cs="Palatino Linotype"/>
          <w:b/>
          <w:i/>
          <w:sz w:val="22"/>
          <w:szCs w:val="22"/>
        </w:rPr>
        <w:t xml:space="preserve"> Ley Orgánica Municipal del Estado de México, a través de su titular, </w:t>
      </w:r>
      <w:r>
        <w:rPr>
          <w:rFonts w:ascii="Palatino Linotype" w:eastAsia="Palatino Linotype" w:hAnsi="Palatino Linotype" w:cs="Palatino Linotype"/>
          <w:i/>
          <w:sz w:val="22"/>
          <w:szCs w:val="22"/>
        </w:rPr>
        <w:t>será el área encargada de la recaudación de los ingresos municipales y</w:t>
      </w:r>
      <w:r>
        <w:rPr>
          <w:rFonts w:ascii="Palatino Linotype" w:eastAsia="Palatino Linotype" w:hAnsi="Palatino Linotype" w:cs="Palatino Linotype"/>
          <w:b/>
          <w:i/>
          <w:sz w:val="22"/>
          <w:szCs w:val="22"/>
        </w:rPr>
        <w:t xml:space="preserve"> responsable de realizar las erogaciones, así como la </w:t>
      </w:r>
      <w:r>
        <w:rPr>
          <w:rFonts w:ascii="Palatino Linotype" w:eastAsia="Palatino Linotype" w:hAnsi="Palatino Linotype" w:cs="Palatino Linotype"/>
          <w:b/>
          <w:i/>
          <w:sz w:val="22"/>
          <w:szCs w:val="22"/>
        </w:rPr>
        <w:lastRenderedPageBreak/>
        <w:t>administración de la Hacienda pública municipal.</w:t>
      </w:r>
      <w:r>
        <w:rPr>
          <w:rFonts w:ascii="Palatino Linotype" w:eastAsia="Palatino Linotype" w:hAnsi="Palatino Linotype" w:cs="Palatino Linotype"/>
          <w:i/>
          <w:sz w:val="22"/>
          <w:szCs w:val="22"/>
        </w:rPr>
        <w:t xml:space="preserve"> Deberá implem</w:t>
      </w:r>
      <w:r>
        <w:rPr>
          <w:rFonts w:ascii="Palatino Linotype" w:eastAsia="Palatino Linotype" w:hAnsi="Palatino Linotype" w:cs="Palatino Linotype"/>
          <w:i/>
          <w:sz w:val="22"/>
          <w:szCs w:val="22"/>
        </w:rPr>
        <w:t>entar las medidas y mecanismos previamente aprobados por el Ayuntamiento tendientes a difundir la cultura del pago, ampliar a la base de contribuyentes y estimular el pago oportuno de conformidad con lo establecido en el Código Financiero del Estado de Méx</w:t>
      </w:r>
      <w:r>
        <w:rPr>
          <w:rFonts w:ascii="Palatino Linotype" w:eastAsia="Palatino Linotype" w:hAnsi="Palatino Linotype" w:cs="Palatino Linotype"/>
          <w:i/>
          <w:sz w:val="22"/>
          <w:szCs w:val="22"/>
        </w:rPr>
        <w:t>ico, la Ley de Ingresos Municipal y demás ordenamientos aplicables en la materia.”</w:t>
      </w:r>
    </w:p>
    <w:p w:rsidR="00306829" w:rsidRDefault="00306829">
      <w:pPr>
        <w:spacing w:line="276" w:lineRule="auto"/>
        <w:ind w:right="851"/>
        <w:jc w:val="both"/>
        <w:rPr>
          <w:rFonts w:ascii="Palatino Linotype" w:eastAsia="Palatino Linotype" w:hAnsi="Palatino Linotype" w:cs="Palatino Linotype"/>
          <w:i/>
          <w:sz w:val="22"/>
          <w:szCs w:val="22"/>
        </w:rPr>
      </w:pPr>
    </w:p>
    <w:p w:rsidR="00306829" w:rsidRDefault="00306829">
      <w:pPr>
        <w:spacing w:line="276" w:lineRule="auto"/>
        <w:ind w:left="1134" w:right="851"/>
        <w:jc w:val="both"/>
        <w:rPr>
          <w:rFonts w:ascii="Palatino Linotype" w:eastAsia="Palatino Linotype" w:hAnsi="Palatino Linotype" w:cs="Palatino Linotype"/>
          <w:i/>
          <w:sz w:val="22"/>
          <w:szCs w:val="22"/>
        </w:rPr>
      </w:pPr>
    </w:p>
    <w:p w:rsidR="00306829" w:rsidRDefault="004C45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es claro que compete al área de la Tesorería Municipal conocer la comprobación del gasto por el monto referido en la respuesta a la solicitud de información par</w:t>
      </w:r>
      <w:r>
        <w:rPr>
          <w:rFonts w:ascii="Palatino Linotype" w:eastAsia="Palatino Linotype" w:hAnsi="Palatino Linotype" w:cs="Palatino Linotype"/>
        </w:rPr>
        <w:t xml:space="preserve">a dicho evento, por lo cual deberá de realizar una búsqueda exhaustiva a fin de proporcionar las documentales que acrediten el destino del recurso, de ser el caso en versión pública en términos del siguiente considerando. </w:t>
      </w:r>
    </w:p>
    <w:p w:rsidR="00306829" w:rsidRDefault="004C4539">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b/>
          <w:color w:val="000000"/>
        </w:rPr>
        <w:t xml:space="preserve">Quinto. Versión Pública. </w:t>
      </w:r>
      <w:r>
        <w:rPr>
          <w:rFonts w:ascii="Palatino Linotype" w:eastAsia="Palatino Linotype" w:hAnsi="Palatino Linotype" w:cs="Palatino Linotype"/>
          <w:color w:val="000000"/>
        </w:rPr>
        <w:t>Finalmente, como ya se ha señalado, el </w:t>
      </w:r>
      <w:r>
        <w:rPr>
          <w:rFonts w:ascii="Palatino Linotype" w:eastAsia="Palatino Linotype" w:hAnsi="Palatino Linotype" w:cs="Palatino Linotype"/>
          <w:b/>
          <w:color w:val="000000"/>
        </w:rPr>
        <w:t>Sujeto Obligado </w:t>
      </w:r>
      <w:r>
        <w:rPr>
          <w:rFonts w:ascii="Palatino Linotype" w:eastAsia="Palatino Linotype" w:hAnsi="Palatino Linotype" w:cs="Palatino Linotype"/>
          <w:color w:val="000000"/>
        </w:rPr>
        <w:t>debe satisfacer la solicitud de acceso a la información; sin embargo, por cuanto hace a la información que entregará a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para dar cumplimiento a la presente resolución, que contenga q</w:t>
      </w:r>
      <w:r>
        <w:rPr>
          <w:rFonts w:ascii="Palatino Linotype" w:eastAsia="Palatino Linotype" w:hAnsi="Palatino Linotype" w:cs="Palatino Linotype"/>
          <w:color w:val="000000"/>
        </w:rPr>
        <w:t xml:space="preserve">ue contenga datos personales que deban ser clasificados como confidenciales y que deban ser protegidos,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hacer la elaboración de la versión pública de tales documentos a fin de satisfacer el derecho de acceso a la información públi</w:t>
      </w:r>
      <w:r>
        <w:rPr>
          <w:rFonts w:ascii="Palatino Linotype" w:eastAsia="Palatino Linotype" w:hAnsi="Palatino Linotype" w:cs="Palatino Linotype"/>
          <w:color w:val="000000"/>
        </w:rPr>
        <w:t>ca de la parte recurrente sin menoscabo al derecho a la protección de los datos personales de terceros.</w:t>
      </w:r>
    </w:p>
    <w:p w:rsidR="00306829" w:rsidRDefault="004C4539">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Lo anterior, de conformidad a lo que señalan los artículos 3, fracciones IX, XX, XXXII, XLV; 6, 137 y 143 fracción I, de la Ley de Transparencia y Acces</w:t>
      </w:r>
      <w:r>
        <w:rPr>
          <w:rFonts w:ascii="Palatino Linotype" w:eastAsia="Palatino Linotype" w:hAnsi="Palatino Linotype" w:cs="Palatino Linotype"/>
          <w:color w:val="000000"/>
        </w:rPr>
        <w:t>o a la Información Pública del Estado de México y Municipios vigente, que se leen como sigue:</w:t>
      </w:r>
    </w:p>
    <w:p w:rsidR="00306829" w:rsidRDefault="004C4539">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lastRenderedPageBreak/>
        <w:t> “Artículo 3. Para los efectos de la presente Ley se entenderá por:</w:t>
      </w:r>
    </w:p>
    <w:p w:rsidR="00306829" w:rsidRDefault="004C4539">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IX. Datos personales:</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La información concerniente a una persona, identificada o identificable</w:t>
      </w:r>
      <w:r>
        <w:rPr>
          <w:rFonts w:ascii="Palatino Linotype" w:eastAsia="Palatino Linotype" w:hAnsi="Palatino Linotype" w:cs="Palatino Linotype"/>
          <w:i/>
          <w:color w:val="000000"/>
          <w:sz w:val="22"/>
          <w:szCs w:val="22"/>
        </w:rPr>
        <w:t xml:space="preserve"> según lo dispuesto por la Ley de Protección de Datos Personales del Estado de México;</w:t>
      </w:r>
    </w:p>
    <w:p w:rsidR="00306829" w:rsidRDefault="004C4539">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XX. Información clasificada:</w:t>
      </w:r>
      <w:r>
        <w:rPr>
          <w:rFonts w:ascii="Palatino Linotype" w:eastAsia="Palatino Linotype" w:hAnsi="Palatino Linotype" w:cs="Palatino Linotype"/>
          <w:i/>
          <w:color w:val="000000"/>
          <w:sz w:val="22"/>
          <w:szCs w:val="22"/>
        </w:rPr>
        <w:t xml:space="preserve"> Aquella considerada por la presente Ley como reservada o confidencial;</w:t>
      </w:r>
    </w:p>
    <w:p w:rsidR="00306829" w:rsidRDefault="004C4539">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XXXII. Protección de Datos Personales:</w:t>
      </w:r>
      <w:r>
        <w:rPr>
          <w:rFonts w:ascii="Palatino Linotype" w:eastAsia="Palatino Linotype" w:hAnsi="Palatino Linotype" w:cs="Palatino Linotype"/>
          <w:i/>
          <w:color w:val="000000"/>
          <w:sz w:val="22"/>
          <w:szCs w:val="22"/>
        </w:rPr>
        <w:t xml:space="preserve"> Derecho humano que tutela la p</w:t>
      </w:r>
      <w:r>
        <w:rPr>
          <w:rFonts w:ascii="Palatino Linotype" w:eastAsia="Palatino Linotype" w:hAnsi="Palatino Linotype" w:cs="Palatino Linotype"/>
          <w:i/>
          <w:color w:val="000000"/>
          <w:sz w:val="22"/>
          <w:szCs w:val="22"/>
        </w:rPr>
        <w:t>rivacidad de datos personales en poder de los sujetos obligados y sujetos particulares;</w:t>
      </w:r>
    </w:p>
    <w:p w:rsidR="00306829" w:rsidRDefault="004C4539">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XLV. Versión pública</w:t>
      </w:r>
      <w:r>
        <w:rPr>
          <w:rFonts w:ascii="Palatino Linotype" w:eastAsia="Palatino Linotype" w:hAnsi="Palatino Linotype" w:cs="Palatino Linotype"/>
          <w:i/>
          <w:color w:val="000000"/>
          <w:sz w:val="22"/>
          <w:szCs w:val="22"/>
        </w:rPr>
        <w:t>: Documento en el que se elimine, suprime o borra la información clasificada como reservada o confidencial para permitir su acceso.”</w:t>
      </w:r>
    </w:p>
    <w:p w:rsidR="00306829" w:rsidRDefault="00306829">
      <w:pPr>
        <w:spacing w:line="276" w:lineRule="auto"/>
      </w:pPr>
    </w:p>
    <w:p w:rsidR="00306829" w:rsidRDefault="004C4539">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“Artículo 6.</w:t>
      </w:r>
      <w:r>
        <w:rPr>
          <w:rFonts w:ascii="Palatino Linotype" w:eastAsia="Palatino Linotype" w:hAnsi="Palatino Linotype" w:cs="Palatino Linotype"/>
          <w:i/>
          <w:color w:val="000000"/>
          <w:sz w:val="22"/>
          <w:szCs w:val="22"/>
        </w:rPr>
        <w:t xml:space="preserve"> L</w:t>
      </w:r>
      <w:r>
        <w:rPr>
          <w:rFonts w:ascii="Palatino Linotype" w:eastAsia="Palatino Linotype" w:hAnsi="Palatino Linotype" w:cs="Palatino Linotype"/>
          <w:i/>
          <w:color w:val="000000"/>
          <w:sz w:val="22"/>
          <w:szCs w:val="22"/>
        </w:rPr>
        <w:t>os datos personales son irrenunciables, intransferibles e indelegables, por lo que los sujetos obligados no deberán proporcionar o hacer pública la información que contenga, con excepción de aquellos casos en que deban hacerlo en observancia de las disposi</w:t>
      </w:r>
      <w:r>
        <w:rPr>
          <w:rFonts w:ascii="Palatino Linotype" w:eastAsia="Palatino Linotype" w:hAnsi="Palatino Linotype" w:cs="Palatino Linotype"/>
          <w:i/>
          <w:color w:val="000000"/>
          <w:sz w:val="22"/>
          <w:szCs w:val="22"/>
        </w:rPr>
        <w:t xml:space="preserve">ciones aplicables. En el caso de los derechos de acceso, rectificación, cancelación u oposición; los principios, procedimientos, medidas de seguridad en el tratamiento y demás disposiciones en materia de datos personales, se deberá estar a lo dispuesto en </w:t>
      </w:r>
      <w:r>
        <w:rPr>
          <w:rFonts w:ascii="Palatino Linotype" w:eastAsia="Palatino Linotype" w:hAnsi="Palatino Linotype" w:cs="Palatino Linotype"/>
          <w:i/>
          <w:color w:val="000000"/>
          <w:sz w:val="22"/>
          <w:szCs w:val="22"/>
        </w:rPr>
        <w:t>las leyes de la materia.”</w:t>
      </w:r>
    </w:p>
    <w:p w:rsidR="00306829" w:rsidRDefault="00306829">
      <w:pPr>
        <w:spacing w:line="276" w:lineRule="auto"/>
      </w:pPr>
    </w:p>
    <w:p w:rsidR="00306829" w:rsidRDefault="004C4539">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“Artículo 137.</w:t>
      </w:r>
      <w:r>
        <w:rPr>
          <w:rFonts w:ascii="Palatino Linotype" w:eastAsia="Palatino Linotype" w:hAnsi="Palatino Linotype" w:cs="Palatino Linotype"/>
          <w:i/>
          <w:color w:val="000000"/>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w:t>
      </w:r>
      <w:r>
        <w:rPr>
          <w:rFonts w:ascii="Palatino Linotype" w:eastAsia="Palatino Linotype" w:hAnsi="Palatino Linotype" w:cs="Palatino Linotype"/>
          <w:i/>
          <w:color w:val="000000"/>
          <w:sz w:val="22"/>
          <w:szCs w:val="22"/>
        </w:rPr>
        <w:t>ecciones clasificadas, indicando su contenido de manera genérica y fundando y motivando su clasificación.”</w:t>
      </w:r>
    </w:p>
    <w:p w:rsidR="00306829" w:rsidRDefault="00306829">
      <w:pPr>
        <w:spacing w:line="276" w:lineRule="auto"/>
      </w:pPr>
    </w:p>
    <w:p w:rsidR="00306829" w:rsidRDefault="004C4539">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“Artículo 143</w:t>
      </w:r>
      <w:r>
        <w:rPr>
          <w:rFonts w:ascii="Palatino Linotype" w:eastAsia="Palatino Linotype" w:hAnsi="Palatino Linotype" w:cs="Palatino Linotype"/>
          <w:i/>
          <w:color w:val="000000"/>
          <w:sz w:val="22"/>
          <w:szCs w:val="22"/>
        </w:rPr>
        <w:t>. Para los efectos de esta Ley se considera información confidencial, la clasificada como tal, de manera permanente, por su naturaleza,</w:t>
      </w:r>
      <w:r>
        <w:rPr>
          <w:rFonts w:ascii="Palatino Linotype" w:eastAsia="Palatino Linotype" w:hAnsi="Palatino Linotype" w:cs="Palatino Linotype"/>
          <w:i/>
          <w:color w:val="000000"/>
          <w:sz w:val="22"/>
          <w:szCs w:val="22"/>
        </w:rPr>
        <w:t xml:space="preserve"> cuando:</w:t>
      </w:r>
    </w:p>
    <w:p w:rsidR="00306829" w:rsidRDefault="004C4539">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Se refiera a la información privada y los datos personales concernientes a una persona física o jurídico colectiva identificada o identificable</w:t>
      </w:r>
      <w:r>
        <w:rPr>
          <w:rFonts w:ascii="Palatino Linotype" w:eastAsia="Palatino Linotype" w:hAnsi="Palatino Linotype" w:cs="Palatino Linotype"/>
          <w:i/>
          <w:color w:val="000000"/>
          <w:sz w:val="22"/>
          <w:szCs w:val="22"/>
        </w:rPr>
        <w:t>…”</w:t>
      </w:r>
    </w:p>
    <w:p w:rsidR="00306829" w:rsidRDefault="004C4539">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lastRenderedPageBreak/>
        <w:t>De los preceptos anteriores se desprende que cuando un documento que vaya a ser entregado vía acce</w:t>
      </w:r>
      <w:r>
        <w:rPr>
          <w:rFonts w:ascii="Palatino Linotype" w:eastAsia="Palatino Linotype" w:hAnsi="Palatino Linotype" w:cs="Palatino Linotype"/>
          <w:color w:val="000000"/>
        </w:rPr>
        <w:t>so a la información pública, contenga tanto información de interés público como información que debe ser clasificada, se hará la entrega del mismo, testando las secciones o datos que deban ser clasificados; por ende el Sujeto Obligado deberá proceder a tes</w:t>
      </w:r>
      <w:r>
        <w:rPr>
          <w:rFonts w:ascii="Palatino Linotype" w:eastAsia="Palatino Linotype" w:hAnsi="Palatino Linotype" w:cs="Palatino Linotype"/>
          <w:color w:val="000000"/>
        </w:rPr>
        <w:t xml:space="preserve">tar los datos personales que se encuentre contenidos en los documentos a entregar para satisfacer el derecho de acceso a la información pública de la recurrente, esto es, los datos concernientes a una persona identificada o identificable, o aquellos datos </w:t>
      </w:r>
      <w:r>
        <w:rPr>
          <w:rFonts w:ascii="Palatino Linotype" w:eastAsia="Palatino Linotype" w:hAnsi="Palatino Linotype" w:cs="Palatino Linotype"/>
          <w:color w:val="000000"/>
        </w:rPr>
        <w:t>que tengan el carácter de sensibles, es decir los que afectan  la esfera más íntima de su titular o cuya utilización indebida pueda dar origen a discriminación o conlleven un riesgo grave para aquel de acuerdo con la Ley de Protección de Datos Personales e</w:t>
      </w:r>
      <w:r>
        <w:rPr>
          <w:rFonts w:ascii="Palatino Linotype" w:eastAsia="Palatino Linotype" w:hAnsi="Palatino Linotype" w:cs="Palatino Linotype"/>
          <w:color w:val="000000"/>
        </w:rPr>
        <w:t>n Posesión de Sujetos Obligados del Estado de México y Municipios.</w:t>
      </w:r>
    </w:p>
    <w:p w:rsidR="00306829" w:rsidRDefault="004C4539">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Datos que deberá clasificar como confidenciales por tratarse precisamente de información privada, puesto que los datos personales son irrenunciables, intransferibles e indelegables y los Su</w:t>
      </w:r>
      <w:r>
        <w:rPr>
          <w:rFonts w:ascii="Palatino Linotype" w:eastAsia="Palatino Linotype" w:hAnsi="Palatino Linotype" w:cs="Palatino Linotype"/>
          <w:color w:val="000000"/>
        </w:rPr>
        <w:t>jetos Obligados no deberán hacer entrega de los mismos a personas ajenas a su titular.</w:t>
      </w:r>
    </w:p>
    <w:p w:rsidR="00306829" w:rsidRDefault="004C4539">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En el caso específico, la información solicitada puede contener datos susceptibles de clasificarse, que de hacerse públicos afectarían la intimidad y vida privada de par</w:t>
      </w:r>
      <w:r>
        <w:rPr>
          <w:rFonts w:ascii="Palatino Linotype" w:eastAsia="Palatino Linotype" w:hAnsi="Palatino Linotype" w:cs="Palatino Linotype"/>
          <w:color w:val="000000"/>
        </w:rPr>
        <w:t>ticulares; que se ha reiterado en las resoluciones de este Pleno que además de los datos especificados en la Ley de Transparencia y Acceso a la Información Pública del Estado de México y Municipios, se consideran confidenciales cuyo acceso debe ser restrin</w:t>
      </w:r>
      <w:r>
        <w:rPr>
          <w:rFonts w:ascii="Palatino Linotype" w:eastAsia="Palatino Linotype" w:hAnsi="Palatino Linotype" w:cs="Palatino Linotype"/>
          <w:color w:val="000000"/>
        </w:rPr>
        <w:t xml:space="preserve">gido, los cuales deben testarse al momento de la elaboración de versiones públicas, como pudieran ser de manera enunciativa más no limitativa, la Clave Única de Registro de Población (CURP), el número de credencial para votar, la clave </w:t>
      </w:r>
      <w:r>
        <w:rPr>
          <w:rFonts w:ascii="Palatino Linotype" w:eastAsia="Palatino Linotype" w:hAnsi="Palatino Linotype" w:cs="Palatino Linotype"/>
          <w:color w:val="000000"/>
        </w:rPr>
        <w:lastRenderedPageBreak/>
        <w:t>de elector, los Códi</w:t>
      </w:r>
      <w:r>
        <w:rPr>
          <w:rFonts w:ascii="Palatino Linotype" w:eastAsia="Palatino Linotype" w:hAnsi="Palatino Linotype" w:cs="Palatino Linotype"/>
          <w:color w:val="000000"/>
        </w:rPr>
        <w:t>gos QR, el número de cuenta bancaria, que sean exclusivamente de particulares.</w:t>
      </w:r>
    </w:p>
    <w:p w:rsidR="00306829" w:rsidRDefault="004C45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Así, la </w:t>
      </w:r>
      <w:r>
        <w:rPr>
          <w:rFonts w:ascii="Palatino Linotype" w:eastAsia="Palatino Linotype" w:hAnsi="Palatino Linotype" w:cs="Palatino Linotype"/>
          <w:b/>
          <w:color w:val="000000"/>
        </w:rPr>
        <w:t xml:space="preserve">Clave Única de Registro de Población (CURP) </w:t>
      </w:r>
      <w:r>
        <w:rPr>
          <w:rFonts w:ascii="Palatino Linotype" w:eastAsia="Palatino Linotype" w:hAnsi="Palatino Linotype" w:cs="Palatino Linotype"/>
          <w:color w:val="000000"/>
        </w:rPr>
        <w:t>constituye un dato personal, ya que tiene como finalidad registrar a cada una de las personas que integran la población del p</w:t>
      </w:r>
      <w:r>
        <w:rPr>
          <w:rFonts w:ascii="Palatino Linotype" w:eastAsia="Palatino Linotype" w:hAnsi="Palatino Linotype" w:cs="Palatino Linotype"/>
          <w:color w:val="000000"/>
        </w:rPr>
        <w:t>aís, con datos que permitan certificar y acreditar fehacientemente su identidad, en virtud de que se integra por datos personales que únicamente le conciernen a un particular como son su fecha de nacimiento, su nombre, sus apellidos y su lugar de nacimient</w:t>
      </w:r>
      <w:r>
        <w:rPr>
          <w:rFonts w:ascii="Palatino Linotype" w:eastAsia="Palatino Linotype" w:hAnsi="Palatino Linotype" w:cs="Palatino Linotype"/>
          <w:color w:val="000000"/>
        </w:rPr>
        <w:t>o; información que permite distinguirlo del resto de los habitantes, por tal motivo, se considera que es de carácter confidencial.</w:t>
      </w:r>
    </w:p>
    <w:p w:rsidR="00306829" w:rsidRDefault="004C45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Argumento que es compartido por el Instituto </w:t>
      </w:r>
      <w:r>
        <w:rPr>
          <w:rFonts w:ascii="Palatino Linotype" w:eastAsia="Palatino Linotype" w:hAnsi="Palatino Linotype" w:cs="Palatino Linotype"/>
          <w:color w:val="000000"/>
          <w:highlight w:val="white"/>
        </w:rPr>
        <w:t>Nacional de Transparencia, Acceso a la Información y Protección de Datos Personales, INAI</w:t>
      </w:r>
      <w:r>
        <w:rPr>
          <w:rFonts w:ascii="Palatino Linotype" w:eastAsia="Palatino Linotype" w:hAnsi="Palatino Linotype" w:cs="Palatino Linotype"/>
          <w:b/>
          <w:color w:val="000000"/>
        </w:rPr>
        <w:t xml:space="preserve">, conforme al </w:t>
      </w:r>
      <w:r>
        <w:rPr>
          <w:rFonts w:ascii="Palatino Linotype" w:eastAsia="Palatino Linotype" w:hAnsi="Palatino Linotype" w:cs="Palatino Linotype"/>
          <w:color w:val="000000"/>
        </w:rPr>
        <w:t>criterio 18/17, el cual refiere: </w:t>
      </w:r>
    </w:p>
    <w:p w:rsidR="00306829" w:rsidRDefault="004C4539">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b/>
          <w:i/>
          <w:color w:val="000000"/>
          <w:sz w:val="22"/>
          <w:szCs w:val="22"/>
        </w:rPr>
        <w:t xml:space="preserve">“Clave Única de Registro de Población (CURP). </w:t>
      </w:r>
      <w:r>
        <w:rPr>
          <w:rFonts w:ascii="Palatino Linotype" w:eastAsia="Palatino Linotype" w:hAnsi="Palatino Linotype" w:cs="Palatino Linotype"/>
          <w:i/>
          <w:color w:val="000000"/>
          <w:sz w:val="22"/>
          <w:szCs w:val="22"/>
        </w:rPr>
        <w:t>La Clave Única de Registro de Población se integra por datos personales q</w:t>
      </w:r>
      <w:r>
        <w:rPr>
          <w:rFonts w:ascii="Palatino Linotype" w:eastAsia="Palatino Linotype" w:hAnsi="Palatino Linotype" w:cs="Palatino Linotype"/>
          <w:i/>
          <w:color w:val="000000"/>
          <w:sz w:val="22"/>
          <w:szCs w:val="22"/>
        </w:rPr>
        <w:t>ue sólo conciernen al particular titular de la misma, como lo son su nombre, apellidos, fecha de nacimiento, lugar de nacimiento y sexo. Dichos datos, constituyen información que distingue plenamente a una persona física del resto de los habitantes del paí</w:t>
      </w:r>
      <w:r>
        <w:rPr>
          <w:rFonts w:ascii="Palatino Linotype" w:eastAsia="Palatino Linotype" w:hAnsi="Palatino Linotype" w:cs="Palatino Linotype"/>
          <w:i/>
          <w:color w:val="000000"/>
          <w:sz w:val="22"/>
          <w:szCs w:val="22"/>
        </w:rPr>
        <w:t>s, por lo que la CURP está considerada como información confidencial.”</w:t>
      </w:r>
    </w:p>
    <w:p w:rsidR="00306829" w:rsidRDefault="004C45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i/>
          <w:color w:val="000000"/>
        </w:rPr>
        <w:t>número de OCR</w:t>
      </w:r>
      <w:r>
        <w:rPr>
          <w:rFonts w:ascii="Palatino Linotype" w:eastAsia="Palatino Linotype" w:hAnsi="Palatino Linotype" w:cs="Palatino Linotype"/>
          <w:color w:val="000000"/>
        </w:rPr>
        <w:t>, denominado Reconocimiento Óptico de Caracteres (OCR), contiene el número de la sección electoral en donde vota el ciudadano titular de dicho documento, por lo que constituye un dato personal en razón de que revela información concerniente a una persona f</w:t>
      </w:r>
      <w:r>
        <w:rPr>
          <w:rFonts w:ascii="Palatino Linotype" w:eastAsia="Palatino Linotype" w:hAnsi="Palatino Linotype" w:cs="Palatino Linotype"/>
          <w:color w:val="000000"/>
        </w:rPr>
        <w:t>ísica identificada o identificable en función de la información geoelectoral ahí contenida, por lo que es susceptible de resguardarse.</w:t>
      </w:r>
    </w:p>
    <w:p w:rsidR="00306829" w:rsidRDefault="004C45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 xml:space="preserve">La </w:t>
      </w:r>
      <w:r>
        <w:rPr>
          <w:rFonts w:ascii="Palatino Linotype" w:eastAsia="Palatino Linotype" w:hAnsi="Palatino Linotype" w:cs="Palatino Linotype"/>
          <w:b/>
          <w:i/>
          <w:color w:val="000000"/>
        </w:rPr>
        <w:t>clave de elector</w:t>
      </w:r>
      <w:r>
        <w:rPr>
          <w:rFonts w:ascii="Palatino Linotype" w:eastAsia="Palatino Linotype" w:hAnsi="Palatino Linotype" w:cs="Palatino Linotype"/>
          <w:color w:val="000000"/>
        </w:rPr>
        <w:t>, es la composición alfanumérica compuesta de 18 caracteres, mismos que hacen identificable a una pers</w:t>
      </w:r>
      <w:r>
        <w:rPr>
          <w:rFonts w:ascii="Palatino Linotype" w:eastAsia="Palatino Linotype" w:hAnsi="Palatino Linotype" w:cs="Palatino Linotype"/>
          <w:color w:val="000000"/>
        </w:rPr>
        <w:t xml:space="preserve">ona física, que se conforma por las primeras letras de los apellidos, año, mes, día, sexo, clave del estado en donde nació su titular, así como una homoclave que distingue a su titular de cualquier otro homónimo, por lo tanto, se trata de un dato personal </w:t>
      </w:r>
      <w:r>
        <w:rPr>
          <w:rFonts w:ascii="Palatino Linotype" w:eastAsia="Palatino Linotype" w:hAnsi="Palatino Linotype" w:cs="Palatino Linotype"/>
          <w:color w:val="000000"/>
        </w:rPr>
        <w:t>que debe ser protegido.</w:t>
      </w:r>
    </w:p>
    <w:p w:rsidR="00306829" w:rsidRDefault="004C45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Los </w:t>
      </w:r>
      <w:r>
        <w:rPr>
          <w:rFonts w:ascii="Palatino Linotype" w:eastAsia="Palatino Linotype" w:hAnsi="Palatino Linotype" w:cs="Palatino Linotype"/>
          <w:b/>
          <w:color w:val="000000"/>
        </w:rPr>
        <w:t>códigos bidimensionales</w:t>
      </w:r>
      <w:r>
        <w:rPr>
          <w:rFonts w:ascii="Palatino Linotype" w:eastAsia="Palatino Linotype" w:hAnsi="Palatino Linotype" w:cs="Palatino Linotype"/>
          <w:color w:val="000000"/>
        </w:rPr>
        <w:t xml:space="preserve"> o </w:t>
      </w:r>
      <w:r>
        <w:rPr>
          <w:rFonts w:ascii="Palatino Linotype" w:eastAsia="Palatino Linotype" w:hAnsi="Palatino Linotype" w:cs="Palatino Linotype"/>
          <w:b/>
          <w:color w:val="000000"/>
        </w:rPr>
        <w:t xml:space="preserve">códigos QR, </w:t>
      </w:r>
      <w:r>
        <w:rPr>
          <w:rFonts w:ascii="Palatino Linotype" w:eastAsia="Palatino Linotype" w:hAnsi="Palatino Linotype" w:cs="Palatino Linotype"/>
          <w:color w:val="000000"/>
        </w:rPr>
        <w:t>al corresponder a barras en dos dimensiones que al igual que los códigos de barras o códigos unidimensionales, son utilizados para almacenar diversos tipos de datos de manera codificada, los</w:t>
      </w:r>
      <w:r>
        <w:rPr>
          <w:rFonts w:ascii="Palatino Linotype" w:eastAsia="Palatino Linotype" w:hAnsi="Palatino Linotype" w:cs="Palatino Linotype"/>
          <w:color w:val="000000"/>
        </w:rPr>
        <w:t xml:space="preserve"> cuales a través de lectores que pueden ser obtenidos por cualquier persona, pueden contener datos personales, no susceptibles de conocimiento público, por lo que, si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advierte que en el presente caso se pueden obtener datos como el Regis</w:t>
      </w:r>
      <w:r>
        <w:rPr>
          <w:rFonts w:ascii="Palatino Linotype" w:eastAsia="Palatino Linotype" w:hAnsi="Palatino Linotype" w:cs="Palatino Linotype"/>
          <w:color w:val="000000"/>
        </w:rPr>
        <w:t>tro Federal de Contribuyentes, la Clave Única del Registro de Población, entre otros que pudieran hacer identificable a una persona, deberá clasificarlo como confidencial.</w:t>
      </w:r>
    </w:p>
    <w:p w:rsidR="00306829" w:rsidRDefault="004C4539">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Igualmente, resulta importante destacar que el número de cuenta bancaria de las pers</w:t>
      </w:r>
      <w:r>
        <w:rPr>
          <w:rFonts w:ascii="Palatino Linotype" w:eastAsia="Palatino Linotype" w:hAnsi="Palatino Linotype" w:cs="Palatino Linotype"/>
          <w:color w:val="000000"/>
        </w:rPr>
        <w:t>onas físicas es información que sólo su titular o personas autorizadas poseen para el acceso o consulta de información patrimonial, o para la realización de operaciones bancarias de diversa naturaleza, por lo que la difusión pública del mismo facilitaría l</w:t>
      </w:r>
      <w:r>
        <w:rPr>
          <w:rFonts w:ascii="Palatino Linotype" w:eastAsia="Palatino Linotype" w:hAnsi="Palatino Linotype" w:cs="Palatino Linotype"/>
          <w:color w:val="000000"/>
        </w:rPr>
        <w:t>a afectación al patrimonio del titular de la cuenta.</w:t>
      </w:r>
    </w:p>
    <w:p w:rsidR="00306829" w:rsidRDefault="004C4539">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Por lo anterior, el número de cuenta bancaria debe ser clasificado como confidencial con fundamento en las fracciones I y II del artículo 143 de la Ley de la Materia de la Entidad; en razón de que, con s</w:t>
      </w:r>
      <w:r>
        <w:rPr>
          <w:rFonts w:ascii="Palatino Linotype" w:eastAsia="Palatino Linotype" w:hAnsi="Palatino Linotype" w:cs="Palatino Linotype"/>
          <w:color w:val="000000"/>
        </w:rPr>
        <w:t>u difusión se estaría poniendo en riesgo la seguridad de su titular.</w:t>
      </w:r>
    </w:p>
    <w:p w:rsidR="00306829" w:rsidRDefault="004C4539">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lastRenderedPageBreak/>
        <w:t>Además de que, la publicidad de los números de cuenta bancaria de los particulares en nada contribuye a la rendición de cuentas, sino por el contrario, dar a conocer los números de las cu</w:t>
      </w:r>
      <w:r>
        <w:rPr>
          <w:rFonts w:ascii="Palatino Linotype" w:eastAsia="Palatino Linotype" w:hAnsi="Palatino Linotype" w:cs="Palatino Linotype"/>
          <w:color w:val="000000"/>
        </w:rPr>
        <w:t>entas bancarias hace vulnerable a las personas físicas, al abrir la posibilidad de que terceros que cuenten con las posibilidades tecnológicas y/o económicas puedan realizar actos ilícitos mediante operaciones cibernéticas; en esa virtud, este Instituto de</w:t>
      </w:r>
      <w:r>
        <w:rPr>
          <w:rFonts w:ascii="Palatino Linotype" w:eastAsia="Palatino Linotype" w:hAnsi="Palatino Linotype" w:cs="Palatino Linotype"/>
          <w:color w:val="000000"/>
        </w:rPr>
        <w:t>termina que dicha información no puede ser del dominio público, toda vez que se podría dar un uso inadecuado a la misma o cometer algún ilícito o fraude en contra del patrimonio de los particulares. </w:t>
      </w:r>
    </w:p>
    <w:p w:rsidR="00306829" w:rsidRDefault="004C4539">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Es por esta razón que se debe omitir el o los números de</w:t>
      </w:r>
      <w:r>
        <w:rPr>
          <w:rFonts w:ascii="Palatino Linotype" w:eastAsia="Palatino Linotype" w:hAnsi="Palatino Linotype" w:cs="Palatino Linotype"/>
          <w:color w:val="000000"/>
        </w:rPr>
        <w:t xml:space="preserve"> cuentas bancarias de particulares en las versiones públicas que de las facturas se hagan, para ser entregadas.</w:t>
      </w:r>
    </w:p>
    <w:p w:rsidR="00306829" w:rsidRDefault="004C4539">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Lo anterior, no es así tratándose de las cuentas bancarias o claves interbancarias de los Sujetos Obligados ya que su publicidad cede a la rendición de cuentas al transparentar la forma en que son administrados los recursos públicos.</w:t>
      </w:r>
    </w:p>
    <w:p w:rsidR="00306829" w:rsidRDefault="004C4539">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Lo argumentado encuent</w:t>
      </w:r>
      <w:r>
        <w:rPr>
          <w:rFonts w:ascii="Palatino Linotype" w:eastAsia="Palatino Linotype" w:hAnsi="Palatino Linotype" w:cs="Palatino Linotype"/>
          <w:color w:val="000000"/>
        </w:rPr>
        <w:t>ra sustento en los criterios 10/17 y 11/17 emitidos por el Instituto Nacional de Transparencia, Acceso a la Información y Protección de Datos Personales, INAI, que llevan por rubro y texto los siguientes:</w:t>
      </w:r>
    </w:p>
    <w:p w:rsidR="00306829" w:rsidRDefault="004C4539">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b/>
          <w:i/>
          <w:color w:val="000000"/>
          <w:sz w:val="22"/>
          <w:szCs w:val="22"/>
        </w:rPr>
        <w:t>“Cuentas bancarias y/o CLABE interbancaria de perso</w:t>
      </w:r>
      <w:r>
        <w:rPr>
          <w:rFonts w:ascii="Palatino Linotype" w:eastAsia="Palatino Linotype" w:hAnsi="Palatino Linotype" w:cs="Palatino Linotype"/>
          <w:b/>
          <w:i/>
          <w:color w:val="000000"/>
          <w:sz w:val="22"/>
          <w:szCs w:val="22"/>
        </w:rPr>
        <w:t>nas físicas y morales privadas.</w:t>
      </w:r>
      <w:r>
        <w:rPr>
          <w:rFonts w:ascii="Palatino Linotype" w:eastAsia="Palatino Linotype" w:hAnsi="Palatino Linotype" w:cs="Palatino Linotype"/>
          <w:i/>
          <w:color w:val="000000"/>
          <w:sz w:val="22"/>
          <w:szCs w:val="22"/>
        </w:rPr>
        <w:t> El número de cuenta bancaria y/o CLABE interbancaria de particulares es información confidencial, al tratarse de un conjunto de caracteres numéricos utilizados por los grupos financieros para identificar las cuentas de sus c</w:t>
      </w:r>
      <w:r>
        <w:rPr>
          <w:rFonts w:ascii="Palatino Linotype" w:eastAsia="Palatino Linotype" w:hAnsi="Palatino Linotype" w:cs="Palatino Linotype"/>
          <w:i/>
          <w:color w:val="000000"/>
          <w:sz w:val="22"/>
          <w:szCs w:val="22"/>
        </w:rPr>
        <w:t xml:space="preserve">lientes, a través de los cuales se puede acceder a información relacionada con su patrimonio y realizar diversas transacciones; por tanto, constituye información clasificada con fundamento en los artículos 116 de la Ley General de </w:t>
      </w:r>
      <w:r>
        <w:rPr>
          <w:rFonts w:ascii="Palatino Linotype" w:eastAsia="Palatino Linotype" w:hAnsi="Palatino Linotype" w:cs="Palatino Linotype"/>
          <w:i/>
          <w:color w:val="000000"/>
          <w:sz w:val="22"/>
          <w:szCs w:val="22"/>
        </w:rPr>
        <w:lastRenderedPageBreak/>
        <w:t xml:space="preserve">Transparencia y Acceso a </w:t>
      </w:r>
      <w:r>
        <w:rPr>
          <w:rFonts w:ascii="Palatino Linotype" w:eastAsia="Palatino Linotype" w:hAnsi="Palatino Linotype" w:cs="Palatino Linotype"/>
          <w:i/>
          <w:color w:val="000000"/>
          <w:sz w:val="22"/>
          <w:szCs w:val="22"/>
        </w:rPr>
        <w:t>la Información Pública y 113 de la Ley Federal de Transparencia y Acceso a la Información Pública.</w:t>
      </w:r>
    </w:p>
    <w:p w:rsidR="00306829" w:rsidRDefault="004C4539">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b/>
          <w:i/>
          <w:color w:val="000000"/>
          <w:sz w:val="22"/>
          <w:szCs w:val="22"/>
        </w:rPr>
        <w:t>Cuentas bancarias y/o CLABE interbancaria de sujetos obligados que reciben y/o transfieren recursos públicos, son información pública</w:t>
      </w:r>
      <w:r>
        <w:rPr>
          <w:rFonts w:ascii="Palatino Linotype" w:eastAsia="Palatino Linotype" w:hAnsi="Palatino Linotype" w:cs="Palatino Linotype"/>
          <w:i/>
          <w:color w:val="000000"/>
          <w:sz w:val="22"/>
          <w:szCs w:val="22"/>
        </w:rPr>
        <w:t>. La difusión de las cue</w:t>
      </w:r>
      <w:r>
        <w:rPr>
          <w:rFonts w:ascii="Palatino Linotype" w:eastAsia="Palatino Linotype" w:hAnsi="Palatino Linotype" w:cs="Palatino Linotype"/>
          <w:i/>
          <w:color w:val="000000"/>
          <w:sz w:val="22"/>
          <w:szCs w:val="22"/>
        </w:rPr>
        <w:t>ntas bancarias y claves interbancarias pertenecientes a un sujeto obligado favorece la rendición de cuentas al transparentar la forma en que se administran los recursos públicos, razón por la cual no pueden considerarse como información clasificada.”</w:t>
      </w:r>
    </w:p>
    <w:p w:rsidR="00306829" w:rsidRDefault="004C4539">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En es</w:t>
      </w:r>
      <w:r>
        <w:rPr>
          <w:rFonts w:ascii="Palatino Linotype" w:eastAsia="Palatino Linotype" w:hAnsi="Palatino Linotype" w:cs="Palatino Linotype"/>
          <w:color w:val="000000"/>
        </w:rPr>
        <w:t>a virtud, este Pleno determina que dicha información no puede ser del dominio público, toda vez que se podría dar un uso inadecuado a la misma o cometer algún ilícito o fraude como ya ha sido expuesto. </w:t>
      </w:r>
    </w:p>
    <w:p w:rsidR="00306829" w:rsidRDefault="004C4539">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 xml:space="preserve">Por cuanto hace al </w:t>
      </w:r>
      <w:r>
        <w:rPr>
          <w:rFonts w:ascii="Palatino Linotype" w:eastAsia="Palatino Linotype" w:hAnsi="Palatino Linotype" w:cs="Palatino Linotype"/>
          <w:b/>
          <w:color w:val="000000"/>
        </w:rPr>
        <w:t>Registro Federal de Contribuyentes</w:t>
      </w:r>
      <w:r>
        <w:rPr>
          <w:rFonts w:ascii="Palatino Linotype" w:eastAsia="Palatino Linotype" w:hAnsi="Palatino Linotype" w:cs="Palatino Linotype"/>
          <w:b/>
          <w:color w:val="000000"/>
        </w:rPr>
        <w:t xml:space="preserve"> (RFC), </w:t>
      </w:r>
      <w:r>
        <w:rPr>
          <w:rFonts w:ascii="Palatino Linotype" w:eastAsia="Palatino Linotype" w:hAnsi="Palatino Linotype" w:cs="Palatino Linotype"/>
          <w:color w:val="000000"/>
        </w:rPr>
        <w:t>si bien este Instituto ha sostenido que el RFC y domicilio fiscal de las personas físicas debe ser testado por los Sujetos Obligados, en las versiones públicas de los documentos que elaboren para atender las solicitudes de información pública, lo c</w:t>
      </w:r>
      <w:r>
        <w:rPr>
          <w:rFonts w:ascii="Palatino Linotype" w:eastAsia="Palatino Linotype" w:hAnsi="Palatino Linotype" w:cs="Palatino Linotype"/>
          <w:color w:val="000000"/>
        </w:rPr>
        <w:t>ierto es que, tratándose de proveedores, prestadores de servicios o contratistas, dichos datos no deben ser suprimidos de las facturas y contratos que vayan a ser entregados.</w:t>
      </w:r>
    </w:p>
    <w:p w:rsidR="00306829" w:rsidRDefault="004C4539">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Ello se debe a que, del ejercicio de ponderación entre el derecho a la protección</w:t>
      </w:r>
      <w:r>
        <w:rPr>
          <w:rFonts w:ascii="Palatino Linotype" w:eastAsia="Palatino Linotype" w:hAnsi="Palatino Linotype" w:cs="Palatino Linotype"/>
          <w:color w:val="000000"/>
        </w:rPr>
        <w:t xml:space="preserve"> de datos personales con el derecho de acceso a la información pública, es de mayor trascendencia el que cualquier persona pueda conocer en qué se gastan los recursos públicos, puesto que se trata de erogaciones que realiza un órgano del Estado con base en</w:t>
      </w:r>
      <w:r>
        <w:rPr>
          <w:rFonts w:ascii="Palatino Linotype" w:eastAsia="Palatino Linotype" w:hAnsi="Palatino Linotype" w:cs="Palatino Linotype"/>
          <w:color w:val="000000"/>
        </w:rPr>
        <w:t xml:space="preserve"> los recursos que encuentran su origen en mayor medida en las contribuciones aportados por los gobernados, por lo que debe transparentarse su ejercicio.</w:t>
      </w:r>
    </w:p>
    <w:p w:rsidR="00306829" w:rsidRDefault="004C4539">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lastRenderedPageBreak/>
        <w:t xml:space="preserve">Además, las personas físicas que realicen las actividades contratadas por las instituciones, renuncian </w:t>
      </w:r>
      <w:r>
        <w:rPr>
          <w:rFonts w:ascii="Palatino Linotype" w:eastAsia="Palatino Linotype" w:hAnsi="Palatino Linotype" w:cs="Palatino Linotype"/>
          <w:color w:val="000000"/>
        </w:rPr>
        <w:t>implícitamente a una parte de su derecho a la intimidad al obtener beneficios y lucros de los recursos públicos por dicha contratación, por lo que no puede considerarse como información clasificada lo relativo a su nombre, registro federal de contribuyente</w:t>
      </w:r>
      <w:r>
        <w:rPr>
          <w:rFonts w:ascii="Palatino Linotype" w:eastAsia="Palatino Linotype" w:hAnsi="Palatino Linotype" w:cs="Palatino Linotype"/>
          <w:color w:val="000000"/>
        </w:rPr>
        <w:t>s y domicilio fiscal, atento a que dicha información es la que puede generar certeza en los gobernados en que se está ejerciendo debidamente el presupuesto.</w:t>
      </w:r>
    </w:p>
    <w:p w:rsidR="00306829" w:rsidRDefault="004C4539">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 xml:space="preserve">Relacionado con lo anterior, el nombre de las personas físicas o los representantes legales de las </w:t>
      </w:r>
      <w:r>
        <w:rPr>
          <w:rFonts w:ascii="Palatino Linotype" w:eastAsia="Palatino Linotype" w:hAnsi="Palatino Linotype" w:cs="Palatino Linotype"/>
          <w:color w:val="000000"/>
        </w:rPr>
        <w:t>personas morales, en su calidad de proveedores, contratistas o prestadores de servicios, y la firma de estos, que participaron en el proceso de adjudicación en la modalidad de licitación pública nacional, debe mencionarse que con base en el artículo 23 pár</w:t>
      </w:r>
      <w:r>
        <w:rPr>
          <w:rFonts w:ascii="Palatino Linotype" w:eastAsia="Palatino Linotype" w:hAnsi="Palatino Linotype" w:cs="Palatino Linotype"/>
          <w:color w:val="000000"/>
        </w:rPr>
        <w:t>rafo segundo y 24 fracción XVIII  de la Ley de Transparencia y Acceso a la Información Pública del Estado de México y Municipios, los entes públicos tienen la obligación de difundir toda aquella información relativa a los montos y las personas a quienes en</w:t>
      </w:r>
      <w:r>
        <w:rPr>
          <w:rFonts w:ascii="Palatino Linotype" w:eastAsia="Palatino Linotype" w:hAnsi="Palatino Linotype" w:cs="Palatino Linotype"/>
          <w:color w:val="000000"/>
        </w:rPr>
        <w:t>treguen, por cualquier motivo, recursos públicos, así como los informes que dichas personas entreguen sobre el uso y destino de dichos recursos, motivo por el cual los datos del representante legal de la persona moral que resultó favorecida con el procedim</w:t>
      </w:r>
      <w:r>
        <w:rPr>
          <w:rFonts w:ascii="Palatino Linotype" w:eastAsia="Palatino Linotype" w:hAnsi="Palatino Linotype" w:cs="Palatino Linotype"/>
          <w:color w:val="000000"/>
        </w:rPr>
        <w:t>iento de licitación no conservan el carácter de confidencial y por tanto no deben ser testados.</w:t>
      </w:r>
    </w:p>
    <w:p w:rsidR="00306829" w:rsidRDefault="004C4539">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Argumentación que guarda sustento en lo estipulado por el artículo 23 de la Ley de Transparencia y Acceso a la Información Pública del Estado de México y Munici</w:t>
      </w:r>
      <w:r>
        <w:rPr>
          <w:rFonts w:ascii="Palatino Linotype" w:eastAsia="Palatino Linotype" w:hAnsi="Palatino Linotype" w:cs="Palatino Linotype"/>
          <w:color w:val="000000"/>
        </w:rPr>
        <w:t>pios en su penúltimo párrafo, mismo que es del tenor literal siguiente:</w:t>
      </w:r>
    </w:p>
    <w:p w:rsidR="00306829" w:rsidRDefault="004C4539">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Artículo 23.</w:t>
      </w:r>
      <w:r>
        <w:rPr>
          <w:rFonts w:ascii="Palatino Linotype" w:eastAsia="Palatino Linotype" w:hAnsi="Palatino Linotype" w:cs="Palatino Linotype"/>
          <w:i/>
          <w:color w:val="000000"/>
          <w:sz w:val="22"/>
          <w:szCs w:val="22"/>
        </w:rPr>
        <w:t xml:space="preserve"> (…)</w:t>
      </w:r>
    </w:p>
    <w:p w:rsidR="00306829" w:rsidRDefault="004C4539">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i/>
          <w:color w:val="000000"/>
          <w:sz w:val="22"/>
          <w:szCs w:val="22"/>
        </w:rPr>
        <w:t>Los sujetos obligados deberán hacer pública toda aquella información relativa a los montos y las personas a quienes entreguen, por cualquier motivo, recursos públicos</w:t>
      </w:r>
      <w:r>
        <w:rPr>
          <w:rFonts w:ascii="Palatino Linotype" w:eastAsia="Palatino Linotype" w:hAnsi="Palatino Linotype" w:cs="Palatino Linotype"/>
          <w:i/>
          <w:color w:val="000000"/>
          <w:sz w:val="22"/>
          <w:szCs w:val="22"/>
        </w:rPr>
        <w:t>, así como los informes que dichas personas les entreguen sobre el uso y destino de dichos recursos.”</w:t>
      </w:r>
    </w:p>
    <w:p w:rsidR="00306829" w:rsidRDefault="004C45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Con base en lo expuesto, se insiste que en la versión pública de los documentos que se ordenan se deben testar aquellos elementos señalados en la presente resolución, en el entendido de que debe ser pública toda la demás información relacionada que no encu</w:t>
      </w:r>
      <w:r>
        <w:rPr>
          <w:rFonts w:ascii="Palatino Linotype" w:eastAsia="Palatino Linotype" w:hAnsi="Palatino Linotype" w:cs="Palatino Linotype"/>
          <w:color w:val="000000"/>
        </w:rPr>
        <w:t>adre en los conceptos anteriores.</w:t>
      </w:r>
    </w:p>
    <w:p w:rsidR="00306829" w:rsidRDefault="004C45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Al respecto, se destaca que la versión pública que elabore el Sujeto Obligado debe cumplir con las formalidades exigidas en la Ley, por lo que para tal efecto emitirá el Acuerdo del Comité de Transparencia en términos de l</w:t>
      </w:r>
      <w:r>
        <w:rPr>
          <w:rFonts w:ascii="Palatino Linotype" w:eastAsia="Palatino Linotype" w:hAnsi="Palatino Linotype" w:cs="Palatino Linotype"/>
          <w:color w:val="000000"/>
        </w:rPr>
        <w:t>a Ley de Transparencia y Acceso a la Información Pública del Estado de México y los Lineamientos Generales en Materia de Clasificación y Desclasificación de la Información, Así Como Para la Elaboración de Versiones Públicas emitidos por el Consejo Nacional</w:t>
      </w:r>
      <w:r>
        <w:rPr>
          <w:rFonts w:ascii="Palatino Linotype" w:eastAsia="Palatino Linotype" w:hAnsi="Palatino Linotype" w:cs="Palatino Linotype"/>
          <w:color w:val="000000"/>
        </w:rPr>
        <w:t xml:space="preserve"> de Transparencia, con el cual sustentara la clasificación de datos y con ello la "versión pública" de los documentos materia de las solicitudes</w:t>
      </w:r>
      <w:r>
        <w:rPr>
          <w:rFonts w:ascii="Palatino Linotype" w:eastAsia="Palatino Linotype" w:hAnsi="Palatino Linotype" w:cs="Palatino Linotype"/>
          <w:color w:val="000000"/>
          <w:highlight w:val="white"/>
        </w:rPr>
        <w:t>.</w:t>
      </w:r>
    </w:p>
    <w:p w:rsidR="00306829" w:rsidRDefault="004C45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Efectivamente, cuando se clasifica información como confidencial o reservada es importante someterlo al Comité de Transparencia, quien debe confirmar, modificar o revocar la clasificación.</w:t>
      </w:r>
    </w:p>
    <w:p w:rsidR="00306829" w:rsidRDefault="004C45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lo tanto, la entrega de documentos en su versión pública debe a</w:t>
      </w:r>
      <w:r>
        <w:rPr>
          <w:rFonts w:ascii="Palatino Linotype" w:eastAsia="Palatino Linotype" w:hAnsi="Palatino Linotype" w:cs="Palatino Linotype"/>
          <w:color w:val="000000"/>
        </w:rPr>
        <w:t xml:space="preserve">compañarse necesariamente del Acuerdo del Comité de Transparencia que la sustente, en el que se expongan los fundamentos y razonamientos que llevaron al Sujeto Obligado a testar, suprimir o eliminar datos de dicho soporte documental, ya que no hacerlo </w:t>
      </w:r>
      <w:r>
        <w:rPr>
          <w:rFonts w:ascii="Palatino Linotype" w:eastAsia="Palatino Linotype" w:hAnsi="Palatino Linotype" w:cs="Palatino Linotype"/>
          <w:color w:val="000000"/>
        </w:rPr>
        <w:lastRenderedPageBreak/>
        <w:t>impl</w:t>
      </w:r>
      <w:r>
        <w:rPr>
          <w:rFonts w:ascii="Palatino Linotype" w:eastAsia="Palatino Linotype" w:hAnsi="Palatino Linotype" w:cs="Palatino Linotype"/>
          <w:color w:val="000000"/>
        </w:rPr>
        <w:t>ica que lo entregado no es legal ni formalmente una versión pública, sino más bien una documentación ilegible, incompleta o tachada; pues no señalar las razones por las que no se aprecian determinados datos -ya sea porque se testan o suprimen- deja al soli</w:t>
      </w:r>
      <w:r>
        <w:rPr>
          <w:rFonts w:ascii="Palatino Linotype" w:eastAsia="Palatino Linotype" w:hAnsi="Palatino Linotype" w:cs="Palatino Linotype"/>
          <w:color w:val="000000"/>
        </w:rPr>
        <w:t xml:space="preserve">citante en estado de incertidumbre, al no conocer o comprender porque no aparecen en la documentación respectiva, es decir, si no se exponen de manera puntual las razones de ello se estaría violentando desde un inicio el derecho de acceso a la información </w:t>
      </w:r>
      <w:r>
        <w:rPr>
          <w:rFonts w:ascii="Palatino Linotype" w:eastAsia="Palatino Linotype" w:hAnsi="Palatino Linotype" w:cs="Palatino Linotype"/>
          <w:color w:val="000000"/>
        </w:rPr>
        <w:t>del solicitante, por lo que el acuerdo respectivo, deberá hacerse del conocimiento de la Recurrente.</w:t>
      </w:r>
    </w:p>
    <w:p w:rsidR="00306829" w:rsidRDefault="004C45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este modo, como ha sido señalado en la presente resolución, en armonía entre los principios constitucionales de máxima publicidad y de protección de dat</w:t>
      </w:r>
      <w:r>
        <w:rPr>
          <w:rFonts w:ascii="Palatino Linotype" w:eastAsia="Palatino Linotype" w:hAnsi="Palatino Linotype" w:cs="Palatino Linotype"/>
          <w:color w:val="000000"/>
        </w:rPr>
        <w:t>os personales, la Ley de Transparencia y Acceso a la Información Pública del Estado de México y Municipios permite la elaboración de versiones públicas en las que se suprima aquella información relacionada con la vida privada de los servidores públicos.</w:t>
      </w:r>
    </w:p>
    <w:p w:rsidR="00306829" w:rsidRDefault="004C45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As</w:t>
      </w:r>
      <w:r>
        <w:rPr>
          <w:rFonts w:ascii="Palatino Linotype" w:eastAsia="Palatino Linotype" w:hAnsi="Palatino Linotype" w:cs="Palatino Linotype"/>
          <w:color w:val="000000"/>
        </w:rPr>
        <w:t>í, con fundamento en lo prescrito en los artículos 5 párrafos trigésimo, trigésimo primero y trigésimo segundo de la Constitución Política del Estado Libre y Soberano de México; 2, fracción II; 29, 36 fracciones I y II; 176, 178, 181, 185 y 186 fracción II</w:t>
      </w:r>
      <w:r>
        <w:rPr>
          <w:rFonts w:ascii="Palatino Linotype" w:eastAsia="Palatino Linotype" w:hAnsi="Palatino Linotype" w:cs="Palatino Linotype"/>
          <w:color w:val="000000"/>
        </w:rPr>
        <w:t xml:space="preserve"> de la Ley de Transparencia y Acceso a la Información Pública del Estado de México y Municipios, este Pleno:</w:t>
      </w:r>
    </w:p>
    <w:p w:rsidR="00306829" w:rsidRDefault="004C4539">
      <w:pPr>
        <w:pBdr>
          <w:top w:val="nil"/>
          <w:left w:val="nil"/>
          <w:bottom w:val="nil"/>
          <w:right w:val="nil"/>
          <w:between w:val="nil"/>
        </w:pBdr>
        <w:spacing w:before="240" w:after="240"/>
        <w:jc w:val="center"/>
        <w:rPr>
          <w:color w:val="000000"/>
        </w:rPr>
      </w:pPr>
      <w:r>
        <w:rPr>
          <w:rFonts w:ascii="Palatino Linotype" w:eastAsia="Palatino Linotype" w:hAnsi="Palatino Linotype" w:cs="Palatino Linotype"/>
          <w:b/>
          <w:color w:val="000000"/>
        </w:rPr>
        <w:t>III. R E S U E L V E</w:t>
      </w:r>
    </w:p>
    <w:p w:rsidR="00306829" w:rsidRDefault="004C45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PRIMERO. </w:t>
      </w:r>
      <w:r>
        <w:rPr>
          <w:rFonts w:ascii="Palatino Linotype" w:eastAsia="Palatino Linotype" w:hAnsi="Palatino Linotype" w:cs="Palatino Linotype"/>
          <w:color w:val="000000"/>
        </w:rPr>
        <w:t>Resultan</w:t>
      </w:r>
      <w:r>
        <w:rPr>
          <w:rFonts w:ascii="Palatino Linotype" w:eastAsia="Palatino Linotype" w:hAnsi="Palatino Linotype" w:cs="Palatino Linotype"/>
          <w:b/>
          <w:color w:val="000000"/>
        </w:rPr>
        <w:t xml:space="preserve"> fundados</w:t>
      </w:r>
      <w:r>
        <w:rPr>
          <w:rFonts w:ascii="Palatino Linotype" w:eastAsia="Palatino Linotype" w:hAnsi="Palatino Linotype" w:cs="Palatino Linotype"/>
          <w:color w:val="000000"/>
        </w:rPr>
        <w:t xml:space="preserve"> los motivos de inconformidad hechos valer por la parte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en el recurso de revisión </w:t>
      </w:r>
      <w:r>
        <w:rPr>
          <w:rFonts w:ascii="Palatino Linotype" w:eastAsia="Palatino Linotype" w:hAnsi="Palatino Linotype" w:cs="Palatino Linotype"/>
          <w:b/>
          <w:color w:val="000000"/>
        </w:rPr>
        <w:t>01924/I</w:t>
      </w:r>
      <w:r>
        <w:rPr>
          <w:rFonts w:ascii="Palatino Linotype" w:eastAsia="Palatino Linotype" w:hAnsi="Palatino Linotype" w:cs="Palatino Linotype"/>
          <w:b/>
          <w:color w:val="000000"/>
        </w:rPr>
        <w:t xml:space="preserve">NFOEM/IP/RR/2022, </w:t>
      </w:r>
      <w:r>
        <w:rPr>
          <w:rFonts w:ascii="Palatino Linotype" w:eastAsia="Palatino Linotype" w:hAnsi="Palatino Linotype" w:cs="Palatino Linotype"/>
          <w:color w:val="000000"/>
        </w:rPr>
        <w:t xml:space="preserve">por lo que, </w:t>
      </w:r>
      <w:r>
        <w:rPr>
          <w:rFonts w:ascii="Palatino Linotype" w:eastAsia="Palatino Linotype" w:hAnsi="Palatino Linotype" w:cs="Palatino Linotype"/>
          <w:color w:val="000000"/>
        </w:rPr>
        <w:lastRenderedPageBreak/>
        <w:t xml:space="preserve">en términos del Considerando </w:t>
      </w:r>
      <w:r>
        <w:rPr>
          <w:rFonts w:ascii="Palatino Linotype" w:eastAsia="Palatino Linotype" w:hAnsi="Palatino Linotype" w:cs="Palatino Linotype"/>
          <w:b/>
          <w:color w:val="000000"/>
        </w:rPr>
        <w:t>Cuarto</w:t>
      </w:r>
      <w:r>
        <w:rPr>
          <w:rFonts w:ascii="Palatino Linotype" w:eastAsia="Palatino Linotype" w:hAnsi="Palatino Linotype" w:cs="Palatino Linotype"/>
          <w:color w:val="000000"/>
        </w:rPr>
        <w:t xml:space="preserve"> de la presente resolución, se</w:t>
      </w:r>
      <w:r>
        <w:rPr>
          <w:rFonts w:ascii="Palatino Linotype" w:eastAsia="Palatino Linotype" w:hAnsi="Palatino Linotype" w:cs="Palatino Linotype"/>
          <w:b/>
          <w:color w:val="000000"/>
        </w:rPr>
        <w:t xml:space="preserve"> Modifica </w:t>
      </w:r>
      <w:r>
        <w:rPr>
          <w:rFonts w:ascii="Palatino Linotype" w:eastAsia="Palatino Linotype" w:hAnsi="Palatino Linotype" w:cs="Palatino Linotype"/>
          <w:color w:val="000000"/>
        </w:rPr>
        <w:t>la respuesta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del </w:t>
      </w:r>
      <w:r>
        <w:rPr>
          <w:rFonts w:ascii="Palatino Linotype" w:eastAsia="Palatino Linotype" w:hAnsi="Palatino Linotype" w:cs="Palatino Linotype"/>
          <w:b/>
          <w:color w:val="000000"/>
        </w:rPr>
        <w:t>Sujeto Obligado.</w:t>
      </w:r>
    </w:p>
    <w:p w:rsidR="00306829" w:rsidRDefault="004C453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términos de los Considerandos </w:t>
      </w:r>
      <w:r>
        <w:rPr>
          <w:rFonts w:ascii="Palatino Linotype" w:eastAsia="Palatino Linotype" w:hAnsi="Palatino Linotype" w:cs="Palatino Linotype"/>
          <w:b/>
          <w:color w:val="000000"/>
        </w:rPr>
        <w:t xml:space="preserve">Cuarto </w:t>
      </w:r>
      <w:r>
        <w:rPr>
          <w:rFonts w:ascii="Palatino Linotype" w:eastAsia="Palatino Linotype" w:hAnsi="Palatino Linotype" w:cs="Palatino Linotype"/>
          <w:color w:val="000000"/>
        </w:rPr>
        <w:t>y</w:t>
      </w:r>
      <w:r>
        <w:rPr>
          <w:rFonts w:ascii="Palatino Linotype" w:eastAsia="Palatino Linotype" w:hAnsi="Palatino Linotype" w:cs="Palatino Linotype"/>
          <w:b/>
          <w:color w:val="000000"/>
        </w:rPr>
        <w:t xml:space="preserve"> Quinto </w:t>
      </w:r>
      <w:r>
        <w:rPr>
          <w:rFonts w:ascii="Palatino Linotype" w:eastAsia="Palatino Linotype" w:hAnsi="Palatino Linotype" w:cs="Palatino Linotype"/>
          <w:color w:val="000000"/>
        </w:rPr>
        <w:t>de esta resolución, haga entr</w:t>
      </w:r>
      <w:r>
        <w:rPr>
          <w:rFonts w:ascii="Palatino Linotype" w:eastAsia="Palatino Linotype" w:hAnsi="Palatino Linotype" w:cs="Palatino Linotype"/>
          <w:color w:val="000000"/>
        </w:rPr>
        <w:t>ega, de ser el caso en versión pública, vía SAIMEX, previa</w:t>
      </w:r>
      <w:r>
        <w:rPr>
          <w:rFonts w:ascii="Palatino Linotype" w:eastAsia="Palatino Linotype" w:hAnsi="Palatino Linotype" w:cs="Palatino Linotype"/>
        </w:rPr>
        <w:t xml:space="preserve"> búsqueda exhaustiva, de los documentos donde conste o den cuenta de: </w:t>
      </w:r>
    </w:p>
    <w:p w:rsidR="00306829" w:rsidRDefault="004C4539">
      <w:pPr>
        <w:numPr>
          <w:ilvl w:val="0"/>
          <w:numId w:val="2"/>
        </w:numPr>
        <w:pBdr>
          <w:top w:val="nil"/>
          <w:left w:val="nil"/>
          <w:bottom w:val="nil"/>
          <w:right w:val="nil"/>
          <w:between w:val="nil"/>
        </w:pBdr>
        <w:spacing w:before="240" w:after="240" w:line="360" w:lineRule="auto"/>
        <w:jc w:val="both"/>
      </w:pPr>
      <w:bookmarkStart w:id="5" w:name="_heading=h.1fob9te" w:colFirst="0" w:colLast="0"/>
      <w:bookmarkEnd w:id="5"/>
      <w:r>
        <w:rPr>
          <w:rFonts w:ascii="Palatino Linotype" w:eastAsia="Palatino Linotype" w:hAnsi="Palatino Linotype" w:cs="Palatino Linotype"/>
        </w:rPr>
        <w:t xml:space="preserve">La comprobación del gasto por el monto referido en la respuesta a la solicitud de información. </w:t>
      </w:r>
    </w:p>
    <w:p w:rsidR="00306829" w:rsidRDefault="004C4539">
      <w:pPr>
        <w:pBdr>
          <w:top w:val="nil"/>
          <w:left w:val="nil"/>
          <w:bottom w:val="nil"/>
          <w:right w:val="nil"/>
          <w:between w:val="nil"/>
        </w:pBdr>
        <w:spacing w:before="120" w:after="240" w:line="360" w:lineRule="auto"/>
        <w:ind w:left="720"/>
        <w:jc w:val="both"/>
        <w:rPr>
          <w:color w:val="000000"/>
        </w:rPr>
      </w:pPr>
      <w:r>
        <w:rPr>
          <w:rFonts w:ascii="Palatino Linotype" w:eastAsia="Palatino Linotype" w:hAnsi="Palatino Linotype" w:cs="Palatino Linotype"/>
          <w:i/>
          <w:color w:val="000000"/>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w:t>
      </w:r>
      <w:r>
        <w:rPr>
          <w:rFonts w:ascii="Palatino Linotype" w:eastAsia="Palatino Linotype" w:hAnsi="Palatino Linotype" w:cs="Palatino Linotype"/>
          <w:i/>
          <w:color w:val="000000"/>
          <w:sz w:val="20"/>
          <w:szCs w:val="20"/>
        </w:rPr>
        <w:t xml:space="preserve"> supriman o eliminen, así como de los documentos remitidos en respuesta, y se ponga a disposición de la parte </w:t>
      </w:r>
      <w:r>
        <w:rPr>
          <w:rFonts w:ascii="Palatino Linotype" w:eastAsia="Palatino Linotype" w:hAnsi="Palatino Linotype" w:cs="Palatino Linotype"/>
          <w:b/>
          <w:i/>
          <w:color w:val="000000"/>
          <w:sz w:val="20"/>
          <w:szCs w:val="20"/>
        </w:rPr>
        <w:t>Recurrente</w:t>
      </w:r>
      <w:r>
        <w:rPr>
          <w:rFonts w:ascii="Palatino Linotype" w:eastAsia="Palatino Linotype" w:hAnsi="Palatino Linotype" w:cs="Palatino Linotype"/>
          <w:i/>
          <w:color w:val="000000"/>
          <w:sz w:val="20"/>
          <w:szCs w:val="20"/>
        </w:rPr>
        <w:t>.</w:t>
      </w:r>
    </w:p>
    <w:p w:rsidR="00306829" w:rsidRDefault="004C45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w:t>
      </w:r>
      <w:r>
        <w:rPr>
          <w:rFonts w:ascii="Palatino Linotype" w:eastAsia="Palatino Linotype" w:hAnsi="Palatino Linotype" w:cs="Palatino Linotype"/>
          <w:b/>
          <w:color w:val="000000"/>
        </w:rPr>
        <w:t xml:space="preserve">TERCERO. Notifíquese, </w:t>
      </w:r>
      <w:r>
        <w:rPr>
          <w:rFonts w:ascii="Palatino Linotype" w:eastAsia="Palatino Linotype" w:hAnsi="Palatino Linotype" w:cs="Palatino Linotype"/>
          <w:color w:val="000000"/>
        </w:rPr>
        <w:t>vía</w:t>
      </w:r>
      <w:r>
        <w:rPr>
          <w:rFonts w:ascii="Palatino Linotype" w:eastAsia="Palatino Linotype" w:hAnsi="Palatino Linotype" w:cs="Palatino Linotype"/>
          <w:b/>
          <w:color w:val="000000"/>
        </w:rPr>
        <w:t xml:space="preserve"> SAIMEX, </w:t>
      </w:r>
      <w:r>
        <w:rPr>
          <w:rFonts w:ascii="Palatino Linotype" w:eastAsia="Palatino Linotype" w:hAnsi="Palatino Linotype" w:cs="Palatino Linotype"/>
          <w:color w:val="000000"/>
        </w:rPr>
        <w:t xml:space="preserve">al Titular de la Unidad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w:t>
      </w:r>
      <w:r>
        <w:rPr>
          <w:rFonts w:ascii="Palatino Linotype" w:eastAsia="Palatino Linotype" w:hAnsi="Palatino Linotype" w:cs="Palatino Linotype"/>
          <w:color w:val="000000"/>
        </w:rPr>
        <w:t>hábiles, debiendo informar a este Instituto en un plazo de tres días hábiles siguientes sobre el cumplimiento dado a la misma</w:t>
      </w:r>
      <w:r>
        <w:rPr>
          <w:rFonts w:ascii="Palatino Linotype" w:eastAsia="Palatino Linotype" w:hAnsi="Palatino Linotype" w:cs="Palatino Linotype"/>
          <w:b/>
          <w:color w:val="000000"/>
        </w:rPr>
        <w:t>.</w:t>
      </w:r>
    </w:p>
    <w:p w:rsidR="00306829" w:rsidRDefault="004C45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conformidad con el artículo 198 de la Ley de Transparencia y Acceso a la Información Pública del Estado de México y Municipios</w:t>
      </w:r>
      <w:r>
        <w:rPr>
          <w:rFonts w:ascii="Palatino Linotype" w:eastAsia="Palatino Linotype" w:hAnsi="Palatino Linotype" w:cs="Palatino Linotype"/>
          <w:color w:val="000000"/>
        </w:rPr>
        <w:t xml:space="preserve">, de considerarlo procedente,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rsidR="00306829" w:rsidRDefault="004C45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lastRenderedPageBreak/>
        <w:t xml:space="preserve">CUARTO.  Notifíquese, </w:t>
      </w:r>
      <w:r>
        <w:rPr>
          <w:rFonts w:ascii="Palatino Linotype" w:eastAsia="Palatino Linotype" w:hAnsi="Palatino Linotype" w:cs="Palatino Linotype"/>
          <w:color w:val="000000"/>
        </w:rPr>
        <w:t xml:space="preserve">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a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la presente resolución, así como,</w:t>
      </w:r>
      <w:r>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le causa algún perjuicio podrá impugnarla vía Juicio de Amparo en los tér</w:t>
      </w:r>
      <w:r>
        <w:rPr>
          <w:rFonts w:ascii="Palatino Linotype" w:eastAsia="Palatino Linotype" w:hAnsi="Palatino Linotype" w:cs="Palatino Linotype"/>
          <w:color w:val="000000"/>
        </w:rPr>
        <w:t>minos de las leyes aplicables.</w:t>
      </w:r>
    </w:p>
    <w:p w:rsidR="00306829" w:rsidRDefault="004C4539">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ASÍ LO RESUELVE, POR UNANIMIDAD DE VOTOS, EL PLENO DEL INSTITUTO DE TRANSPARENCIA, ACCESO A LA INFORMACIÓN PÚBLICA Y PROTECCIÓN DE DATOS PERSONALES DEL ESTADO DE MÉXICO Y MUNICIPIOS, CONFORMADO POR LOS COMISIONADOS JOSÉ MARTÍ</w:t>
      </w:r>
      <w:r>
        <w:rPr>
          <w:rFonts w:ascii="Palatino Linotype" w:eastAsia="Palatino Linotype" w:hAnsi="Palatino Linotype" w:cs="Palatino Linotype"/>
          <w:color w:val="000000"/>
        </w:rPr>
        <w:t>NEZ VILCHIS, MARÍA DEL ROSARIO MEJÍA AYALA, SHARON CRISTINA MORALES MARTÍNEZ, LUIS GUSTAVO PARRA NORIEGA Y GUADALUPE RAMÍREZ PEÑA; EN LA DÉCIMA NOVENA SESIÓN ORDINARIA CELEBRADA EL VEINTICINCO DE MAYO DE DOS MIL VEINTIDÓS, ANTE EL SECRETARIO TÉCNICO DEL PL</w:t>
      </w:r>
      <w:r>
        <w:rPr>
          <w:rFonts w:ascii="Palatino Linotype" w:eastAsia="Palatino Linotype" w:hAnsi="Palatino Linotype" w:cs="Palatino Linotype"/>
          <w:color w:val="000000"/>
        </w:rPr>
        <w:t>ENO ALEXIS TAPIA RAMÍREZ.</w:t>
      </w:r>
    </w:p>
    <w:p w:rsidR="00306829" w:rsidRDefault="00306829">
      <w:pPr>
        <w:spacing w:line="360" w:lineRule="auto"/>
      </w:pPr>
    </w:p>
    <w:p w:rsidR="00306829" w:rsidRDefault="00306829">
      <w:pPr>
        <w:spacing w:line="360" w:lineRule="auto"/>
        <w:jc w:val="both"/>
        <w:rPr>
          <w:rFonts w:ascii="Palatino Linotype" w:eastAsia="Palatino Linotype" w:hAnsi="Palatino Linotype" w:cs="Palatino Linotype"/>
        </w:rPr>
      </w:pPr>
    </w:p>
    <w:p w:rsidR="00306829" w:rsidRDefault="00306829">
      <w:pPr>
        <w:spacing w:line="360" w:lineRule="auto"/>
        <w:jc w:val="both"/>
        <w:rPr>
          <w:rFonts w:ascii="Palatino Linotype" w:eastAsia="Palatino Linotype" w:hAnsi="Palatino Linotype" w:cs="Palatino Linotype"/>
        </w:rPr>
      </w:pPr>
    </w:p>
    <w:p w:rsidR="00306829" w:rsidRDefault="004C45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306829" w:rsidRDefault="00306829">
      <w:pPr>
        <w:spacing w:line="360" w:lineRule="auto"/>
        <w:jc w:val="both"/>
        <w:rPr>
          <w:rFonts w:ascii="Palatino Linotype" w:eastAsia="Palatino Linotype" w:hAnsi="Palatino Linotype" w:cs="Palatino Linotype"/>
          <w:i/>
        </w:rPr>
      </w:pPr>
    </w:p>
    <w:p w:rsidR="00306829" w:rsidRDefault="00306829">
      <w:pPr>
        <w:spacing w:line="360" w:lineRule="auto"/>
        <w:jc w:val="both"/>
        <w:rPr>
          <w:rFonts w:ascii="Palatino Linotype" w:eastAsia="Palatino Linotype" w:hAnsi="Palatino Linotype" w:cs="Palatino Linotype"/>
        </w:rPr>
      </w:pPr>
    </w:p>
    <w:p w:rsidR="00306829" w:rsidRDefault="00306829">
      <w:pPr>
        <w:spacing w:line="360" w:lineRule="auto"/>
        <w:jc w:val="both"/>
        <w:rPr>
          <w:rFonts w:ascii="Palatino Linotype" w:eastAsia="Palatino Linotype" w:hAnsi="Palatino Linotype" w:cs="Palatino Linotype"/>
        </w:rPr>
      </w:pPr>
    </w:p>
    <w:p w:rsidR="00306829" w:rsidRDefault="00306829">
      <w:pPr>
        <w:spacing w:line="360" w:lineRule="auto"/>
        <w:jc w:val="both"/>
        <w:rPr>
          <w:rFonts w:ascii="Palatino Linotype" w:eastAsia="Palatino Linotype" w:hAnsi="Palatino Linotype" w:cs="Palatino Linotype"/>
        </w:rPr>
      </w:pPr>
    </w:p>
    <w:p w:rsidR="00306829" w:rsidRDefault="00306829">
      <w:pPr>
        <w:spacing w:line="360" w:lineRule="auto"/>
        <w:jc w:val="both"/>
        <w:rPr>
          <w:rFonts w:ascii="Palatino Linotype" w:eastAsia="Palatino Linotype" w:hAnsi="Palatino Linotype" w:cs="Palatino Linotype"/>
        </w:rPr>
      </w:pPr>
    </w:p>
    <w:p w:rsidR="00306829" w:rsidRDefault="00306829">
      <w:pPr>
        <w:spacing w:line="360" w:lineRule="auto"/>
        <w:jc w:val="both"/>
        <w:rPr>
          <w:rFonts w:ascii="Palatino Linotype" w:eastAsia="Palatino Linotype" w:hAnsi="Palatino Linotype" w:cs="Palatino Linotype"/>
        </w:rPr>
      </w:pPr>
    </w:p>
    <w:p w:rsidR="00306829" w:rsidRDefault="00306829">
      <w:pPr>
        <w:spacing w:line="360" w:lineRule="auto"/>
        <w:jc w:val="both"/>
        <w:rPr>
          <w:rFonts w:ascii="Palatino Linotype" w:eastAsia="Palatino Linotype" w:hAnsi="Palatino Linotype" w:cs="Palatino Linotype"/>
        </w:rPr>
      </w:pPr>
    </w:p>
    <w:p w:rsidR="00306829" w:rsidRDefault="00306829">
      <w:pPr>
        <w:spacing w:line="360" w:lineRule="auto"/>
        <w:jc w:val="both"/>
        <w:rPr>
          <w:rFonts w:ascii="Palatino Linotype" w:eastAsia="Palatino Linotype" w:hAnsi="Palatino Linotype" w:cs="Palatino Linotype"/>
        </w:rPr>
      </w:pPr>
    </w:p>
    <w:p w:rsidR="00306829" w:rsidRDefault="00306829">
      <w:pPr>
        <w:spacing w:line="360" w:lineRule="auto"/>
        <w:jc w:val="both"/>
        <w:rPr>
          <w:rFonts w:ascii="Palatino Linotype" w:eastAsia="Palatino Linotype" w:hAnsi="Palatino Linotype" w:cs="Palatino Linotype"/>
        </w:rPr>
      </w:pPr>
    </w:p>
    <w:p w:rsidR="00306829" w:rsidRDefault="00306829">
      <w:pPr>
        <w:spacing w:line="360" w:lineRule="auto"/>
        <w:jc w:val="both"/>
        <w:rPr>
          <w:rFonts w:ascii="Palatino Linotype" w:eastAsia="Palatino Linotype" w:hAnsi="Palatino Linotype" w:cs="Palatino Linotype"/>
        </w:rPr>
      </w:pPr>
    </w:p>
    <w:p w:rsidR="00306829" w:rsidRDefault="00306829">
      <w:pPr>
        <w:spacing w:line="360" w:lineRule="auto"/>
        <w:jc w:val="both"/>
        <w:rPr>
          <w:rFonts w:ascii="Palatino Linotype" w:eastAsia="Palatino Linotype" w:hAnsi="Palatino Linotype" w:cs="Palatino Linotype"/>
        </w:rPr>
      </w:pPr>
    </w:p>
    <w:sectPr w:rsidR="00306829">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539" w:rsidRDefault="004C4539">
      <w:r>
        <w:separator/>
      </w:r>
    </w:p>
  </w:endnote>
  <w:endnote w:type="continuationSeparator" w:id="0">
    <w:p w:rsidR="004C4539" w:rsidRDefault="004C4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829" w:rsidRDefault="004C453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0B6557">
      <w:rPr>
        <w:rFonts w:ascii="Palatino Linotype" w:eastAsia="Palatino Linotype" w:hAnsi="Palatino Linotype" w:cs="Palatino Linotype"/>
        <w:b/>
        <w:color w:val="000000"/>
        <w:sz w:val="20"/>
        <w:szCs w:val="20"/>
      </w:rPr>
      <w:fldChar w:fldCharType="separate"/>
    </w:r>
    <w:r w:rsidR="000B6557">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0B6557">
      <w:rPr>
        <w:rFonts w:ascii="Palatino Linotype" w:eastAsia="Palatino Linotype" w:hAnsi="Palatino Linotype" w:cs="Palatino Linotype"/>
        <w:b/>
        <w:color w:val="000000"/>
        <w:sz w:val="20"/>
        <w:szCs w:val="20"/>
      </w:rPr>
      <w:fldChar w:fldCharType="separate"/>
    </w:r>
    <w:r w:rsidR="000B6557">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rsidR="00306829" w:rsidRDefault="0030682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829" w:rsidRDefault="004C453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0B6557">
      <w:rPr>
        <w:rFonts w:ascii="Palatino Linotype" w:eastAsia="Palatino Linotype" w:hAnsi="Palatino Linotype" w:cs="Palatino Linotype"/>
        <w:b/>
        <w:color w:val="000000"/>
        <w:sz w:val="20"/>
        <w:szCs w:val="20"/>
      </w:rPr>
      <w:fldChar w:fldCharType="separate"/>
    </w:r>
    <w:r w:rsidR="000B655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0B6557">
      <w:rPr>
        <w:rFonts w:ascii="Palatino Linotype" w:eastAsia="Palatino Linotype" w:hAnsi="Palatino Linotype" w:cs="Palatino Linotype"/>
        <w:b/>
        <w:color w:val="000000"/>
        <w:sz w:val="20"/>
        <w:szCs w:val="20"/>
      </w:rPr>
      <w:fldChar w:fldCharType="separate"/>
    </w:r>
    <w:r w:rsidR="000B6557">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rsidR="00306829" w:rsidRDefault="0030682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539" w:rsidRDefault="004C4539">
      <w:r>
        <w:separator/>
      </w:r>
    </w:p>
  </w:footnote>
  <w:footnote w:type="continuationSeparator" w:id="0">
    <w:p w:rsidR="004C4539" w:rsidRDefault="004C4539">
      <w:r>
        <w:continuationSeparator/>
      </w:r>
    </w:p>
  </w:footnote>
  <w:footnote w:id="1">
    <w:p w:rsidR="00306829" w:rsidRDefault="004C453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w:t>
      </w:r>
      <w:r>
        <w:rPr>
          <w:rFonts w:ascii="Palatino Linotype" w:eastAsia="Palatino Linotype" w:hAnsi="Palatino Linotype" w:cs="Palatino Linotype"/>
          <w:color w:val="000000"/>
          <w:sz w:val="16"/>
          <w:szCs w:val="16"/>
        </w:rPr>
        <w:t>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306829" w:rsidRDefault="004C453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w:t>
      </w:r>
      <w:r>
        <w:rPr>
          <w:rFonts w:ascii="Palatino Linotype" w:eastAsia="Palatino Linotype" w:hAnsi="Palatino Linotype" w:cs="Palatino Linotype"/>
          <w:color w:val="000000"/>
          <w:sz w:val="16"/>
          <w:szCs w:val="16"/>
        </w:rPr>
        <w:t>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829" w:rsidRDefault="004C453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-1080130</wp:posOffset>
          </wp:positionH>
          <wp:positionV relativeFrom="paragraph">
            <wp:posOffset>-488310</wp:posOffset>
          </wp:positionV>
          <wp:extent cx="7809865" cy="10165715"/>
          <wp:effectExtent l="0" t="0" r="0" b="0"/>
          <wp:wrapNone/>
          <wp:docPr id="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5953" w:type="dxa"/>
      <w:tblInd w:w="3261" w:type="dxa"/>
      <w:tblLayout w:type="fixed"/>
      <w:tblLook w:val="0400" w:firstRow="0" w:lastRow="0" w:firstColumn="0" w:lastColumn="0" w:noHBand="0" w:noVBand="1"/>
    </w:tblPr>
    <w:tblGrid>
      <w:gridCol w:w="2489"/>
      <w:gridCol w:w="3464"/>
    </w:tblGrid>
    <w:tr w:rsidR="00306829">
      <w:tc>
        <w:tcPr>
          <w:tcW w:w="2489" w:type="dxa"/>
          <w:shd w:val="clear" w:color="auto" w:fill="auto"/>
        </w:tcPr>
        <w:p w:rsidR="00306829" w:rsidRDefault="004C453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306829" w:rsidRDefault="004C453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01924/INFOEM/IP/RR/2022</w:t>
          </w:r>
        </w:p>
      </w:tc>
    </w:tr>
    <w:tr w:rsidR="00306829">
      <w:trPr>
        <w:trHeight w:val="228"/>
      </w:trPr>
      <w:tc>
        <w:tcPr>
          <w:tcW w:w="2489" w:type="dxa"/>
          <w:shd w:val="clear" w:color="auto" w:fill="auto"/>
          <w:vAlign w:val="center"/>
        </w:tcPr>
        <w:p w:rsidR="00306829" w:rsidRDefault="004C453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306829" w:rsidRDefault="004C453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Atlautla</w:t>
          </w:r>
        </w:p>
      </w:tc>
    </w:tr>
    <w:tr w:rsidR="00306829">
      <w:tc>
        <w:tcPr>
          <w:tcW w:w="2489" w:type="dxa"/>
          <w:shd w:val="clear" w:color="auto" w:fill="auto"/>
          <w:vAlign w:val="center"/>
        </w:tcPr>
        <w:p w:rsidR="00306829" w:rsidRDefault="004C453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306829" w:rsidRDefault="004C453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06829" w:rsidRDefault="004C453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829" w:rsidRDefault="0030682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b"/>
      <w:tblW w:w="5670" w:type="dxa"/>
      <w:tblInd w:w="3261" w:type="dxa"/>
      <w:tblLayout w:type="fixed"/>
      <w:tblLook w:val="0400" w:firstRow="0" w:lastRow="0" w:firstColumn="0" w:lastColumn="0" w:noHBand="0" w:noVBand="1"/>
    </w:tblPr>
    <w:tblGrid>
      <w:gridCol w:w="2551"/>
      <w:gridCol w:w="3119"/>
    </w:tblGrid>
    <w:tr w:rsidR="00306829">
      <w:tc>
        <w:tcPr>
          <w:tcW w:w="2551" w:type="dxa"/>
          <w:shd w:val="clear" w:color="auto" w:fill="auto"/>
          <w:vAlign w:val="center"/>
        </w:tcPr>
        <w:p w:rsidR="00306829" w:rsidRDefault="004C453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306829" w:rsidRDefault="004C453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01924/INFOEM/IP/RR/2022</w:t>
          </w:r>
        </w:p>
      </w:tc>
    </w:tr>
    <w:tr w:rsidR="00306829">
      <w:trPr>
        <w:trHeight w:val="130"/>
      </w:trPr>
      <w:tc>
        <w:tcPr>
          <w:tcW w:w="2551" w:type="dxa"/>
          <w:shd w:val="clear" w:color="auto" w:fill="auto"/>
          <w:vAlign w:val="center"/>
        </w:tcPr>
        <w:p w:rsidR="00306829" w:rsidRDefault="004C453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306829" w:rsidRDefault="000B6557">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w:t>
          </w:r>
        </w:p>
      </w:tc>
    </w:tr>
    <w:tr w:rsidR="00306829">
      <w:trPr>
        <w:trHeight w:val="228"/>
      </w:trPr>
      <w:tc>
        <w:tcPr>
          <w:tcW w:w="2551" w:type="dxa"/>
          <w:shd w:val="clear" w:color="auto" w:fill="auto"/>
          <w:vAlign w:val="center"/>
        </w:tcPr>
        <w:p w:rsidR="00306829" w:rsidRDefault="004C453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306829" w:rsidRDefault="004C453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Atlautla</w:t>
          </w:r>
        </w:p>
      </w:tc>
    </w:tr>
    <w:tr w:rsidR="00306829">
      <w:tc>
        <w:tcPr>
          <w:tcW w:w="2551" w:type="dxa"/>
          <w:shd w:val="clear" w:color="auto" w:fill="auto"/>
          <w:vAlign w:val="center"/>
        </w:tcPr>
        <w:p w:rsidR="00306829" w:rsidRDefault="004C453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306829" w:rsidRDefault="004C453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06829" w:rsidRDefault="004C4539">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-1089655</wp:posOffset>
          </wp:positionH>
          <wp:positionV relativeFrom="paragraph">
            <wp:posOffset>-1169665</wp:posOffset>
          </wp:positionV>
          <wp:extent cx="7809865" cy="10165715"/>
          <wp:effectExtent l="0" t="0" r="0" b="0"/>
          <wp:wrapNone/>
          <wp:docPr id="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65A67"/>
    <w:multiLevelType w:val="multilevel"/>
    <w:tmpl w:val="F52098B2"/>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B87B7E"/>
    <w:multiLevelType w:val="multilevel"/>
    <w:tmpl w:val="B86C7F9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7AF14C79"/>
    <w:multiLevelType w:val="multilevel"/>
    <w:tmpl w:val="129AE5C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829"/>
    <w:rsid w:val="000B6557"/>
    <w:rsid w:val="00306829"/>
    <w:rsid w:val="004C45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5C9288-3356-47FF-AD83-FFF2CD701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1aR0LtDAcb0pm6V+1W6IrRaDgQ==">AMUW2mWQu4/cnQL4Km72IeZFUYhdiZi1kFCvE7soCgf5UuuQMXISBmsQl9cPpFQMzRmCKrKEbV1lyNPrI9tIrqF2nXDKR3ul0LxtECiiSwtVMAqnWcZoslx9c/eI+nE287481rwaFN3DAvA3sgcfI0Zg6k+UUbsumE+yxpYkO/LHX/FvGRt2L/g=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8776</Words>
  <Characters>48269</Characters>
  <Application>Microsoft Office Word</Application>
  <DocSecurity>0</DocSecurity>
  <Lines>402</Lines>
  <Paragraphs>113</Paragraphs>
  <ScaleCrop>false</ScaleCrop>
  <Company>Hewlett-Packard Company</Company>
  <LinksUpToDate>false</LinksUpToDate>
  <CharactersWithSpaces>56932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2</cp:revision>
  <dcterms:created xsi:type="dcterms:W3CDTF">2022-05-18T23:13:00Z</dcterms:created>
  <dcterms:modified xsi:type="dcterms:W3CDTF">2022-06-06T17:10:00Z</dcterms:modified>
</cp:coreProperties>
</file>