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once de mayo de dos mil veintidós. </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01779/INFOEM/IP/RR/2022</w:t>
      </w:r>
      <w:r>
        <w:rPr>
          <w:rFonts w:ascii="Palatino Linotype" w:eastAsia="Palatino Linotype" w:hAnsi="Palatino Linotype" w:cs="Palatino Linotype"/>
        </w:rPr>
        <w:t xml:space="preserve">, interpuesto </w:t>
      </w:r>
      <w:r w:rsidRPr="002977B6">
        <w:rPr>
          <w:rFonts w:ascii="Palatino Linotype" w:eastAsia="Palatino Linotype" w:hAnsi="Palatino Linotype" w:cs="Palatino Linotype"/>
        </w:rPr>
        <w:t xml:space="preserve">por </w:t>
      </w:r>
      <w:r w:rsidR="002977B6" w:rsidRPr="002977B6">
        <w:rPr>
          <w:rFonts w:ascii="Palatino Linotype" w:eastAsia="Palatino Linotype" w:hAnsi="Palatino Linotype" w:cs="Palatino Linotype"/>
          <w:b/>
        </w:rPr>
        <w:t>xxxxx</w:t>
      </w:r>
      <w:r w:rsidRPr="002977B6">
        <w:rPr>
          <w:rFonts w:ascii="Palatino Linotype" w:eastAsia="Palatino Linotype" w:hAnsi="Palatino Linotype" w:cs="Palatino Linotype"/>
        </w:rPr>
        <w:t xml:space="preserve"> quien</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Almoloya de Juárez,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DB0CBB" w:rsidRDefault="001A761C">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veinte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 la Plataforma Nacional de Transparencia (PNT) vinculada al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00023/ALMOJU/IP/2022, </w:t>
      </w:r>
      <w:r>
        <w:rPr>
          <w:rFonts w:ascii="Palatino Linotype" w:eastAsia="Palatino Linotype" w:hAnsi="Palatino Linotype" w:cs="Palatino Linotype"/>
        </w:rPr>
        <w:t xml:space="preserve">mediante la cual requirió la información siguiente: </w:t>
      </w:r>
    </w:p>
    <w:p w:rsidR="00DB0CBB" w:rsidRDefault="001A761C">
      <w:pPr>
        <w:spacing w:line="276" w:lineRule="auto"/>
        <w:ind w:left="851" w:right="616"/>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“Solicito conocer los programas sociales y cuáles han entrado del 2019 a la fecha.”(sic)</w:t>
      </w:r>
    </w:p>
    <w:p w:rsidR="00DB0CBB" w:rsidRDefault="00DB0CBB">
      <w:pPr>
        <w:spacing w:line="276" w:lineRule="auto"/>
        <w:ind w:left="851" w:right="616"/>
        <w:jc w:val="both"/>
        <w:rPr>
          <w:rFonts w:ascii="Palatino Linotype" w:eastAsia="Palatino Linotype" w:hAnsi="Palatino Linotype" w:cs="Palatino Linotype"/>
          <w:i/>
          <w:sz w:val="22"/>
          <w:szCs w:val="22"/>
        </w:rPr>
      </w:pPr>
    </w:p>
    <w:p w:rsidR="00DB0CBB" w:rsidRDefault="001A761C">
      <w:pPr>
        <w:spacing w:line="360" w:lineRule="auto"/>
        <w:ind w:left="851"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Solicitud a la que adjuntó el archivo denominado “</w:t>
      </w:r>
      <w:r>
        <w:rPr>
          <w:rFonts w:ascii="Palatino Linotype" w:eastAsia="Palatino Linotype" w:hAnsi="Palatino Linotype" w:cs="Palatino Linotype"/>
          <w:b/>
          <w:i/>
          <w:sz w:val="22"/>
          <w:szCs w:val="22"/>
        </w:rPr>
        <w:t xml:space="preserve">Archivo1645726161869.” </w:t>
      </w:r>
      <w:r>
        <w:rPr>
          <w:rFonts w:ascii="Palatino Linotype" w:eastAsia="Palatino Linotype" w:hAnsi="Palatino Linotype" w:cs="Palatino Linotype"/>
          <w:sz w:val="22"/>
          <w:szCs w:val="22"/>
        </w:rPr>
        <w:t xml:space="preserve">documento al que no es posible acceder. </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Electrónico a través del sistema de solicitudes de acceso”, </w:t>
      </w:r>
      <w:r>
        <w:rPr>
          <w:rFonts w:ascii="Palatino Linotype" w:eastAsia="Palatino Linotype" w:hAnsi="Palatino Linotype" w:cs="Palatino Linotype"/>
        </w:rPr>
        <w:t>por lo que, para efectos del presente asunto, se entenderá a través del Sistema de Acceso a la Información Mexiquense (SAIMEX).</w:t>
      </w: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once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rsidR="00DB0CBB" w:rsidRDefault="00DB0CBB">
      <w:pPr>
        <w:spacing w:line="360" w:lineRule="auto"/>
        <w:jc w:val="both"/>
        <w:rPr>
          <w:rFonts w:ascii="Palatino Linotype" w:eastAsia="Palatino Linotype" w:hAnsi="Palatino Linotype" w:cs="Palatino Linotype"/>
        </w:rPr>
      </w:pPr>
    </w:p>
    <w:p w:rsidR="00DB0CBB" w:rsidRDefault="001A761C">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 respuesta del tesorero municipal con fundamento en los articulos 4, 12 y 59 de la Ley de Transparencia y Acceso a la Información Pública del Estado de México y Municipios.”(Sic)</w:t>
      </w:r>
    </w:p>
    <w:p w:rsidR="00DB0CBB" w:rsidRDefault="00DB0CBB">
      <w:pPr>
        <w:spacing w:line="360" w:lineRule="auto"/>
        <w:ind w:right="49"/>
        <w:jc w:val="both"/>
        <w:rPr>
          <w:rFonts w:ascii="Palatino Linotype" w:eastAsia="Palatino Linotype" w:hAnsi="Palatino Linotype" w:cs="Palatino Linotype"/>
        </w:rPr>
      </w:pPr>
    </w:p>
    <w:p w:rsidR="00DB0CBB" w:rsidRDefault="001A76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el archivo electrónico identificado como </w:t>
      </w:r>
      <w:r>
        <w:rPr>
          <w:rFonts w:ascii="Palatino Linotype" w:eastAsia="Palatino Linotype" w:hAnsi="Palatino Linotype" w:cs="Palatino Linotype"/>
          <w:b/>
          <w:i/>
        </w:rPr>
        <w:t xml:space="preserve">“Información SAIMEX.pdf” </w:t>
      </w:r>
      <w:r>
        <w:rPr>
          <w:rFonts w:ascii="Palatino Linotype" w:eastAsia="Palatino Linotype" w:hAnsi="Palatino Linotype" w:cs="Palatino Linotype"/>
        </w:rPr>
        <w:t xml:space="preserve">consistente en el oficio número MAJ/DDBS/RDJG/026/2022 de fecha veintiséis de enero de dos mil veintidós dirigido a la Titular de la Unidad de Transparencia, suscrito y signado por el </w:t>
      </w:r>
      <w:r>
        <w:rPr>
          <w:rFonts w:ascii="Palatino Linotype" w:eastAsia="Palatino Linotype" w:hAnsi="Palatino Linotype" w:cs="Palatino Linotype"/>
          <w:b/>
          <w:u w:val="single"/>
        </w:rPr>
        <w:t>Director de Desarrollo y Bienestar</w:t>
      </w:r>
      <w:r>
        <w:rPr>
          <w:rFonts w:ascii="Palatino Linotype" w:eastAsia="Palatino Linotype" w:hAnsi="Palatino Linotype" w:cs="Palatino Linotype"/>
        </w:rPr>
        <w:t xml:space="preserve">, por medio del cual informó sobre los programas sociales en el periodo solicitado. </w:t>
      </w:r>
    </w:p>
    <w:p w:rsidR="00DB0CBB" w:rsidRDefault="001A761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veinticuatro de febrero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DB0CBB" w:rsidRDefault="001A761C">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DB0CBB" w:rsidRDefault="00DB0CBB">
      <w:pPr>
        <w:spacing w:line="360" w:lineRule="auto"/>
        <w:ind w:left="851" w:right="900"/>
        <w:jc w:val="both"/>
        <w:rPr>
          <w:rFonts w:ascii="Palatino Linotype" w:eastAsia="Palatino Linotype" w:hAnsi="Palatino Linotype" w:cs="Palatino Linotype"/>
          <w:i/>
          <w:sz w:val="2"/>
          <w:szCs w:val="2"/>
        </w:rPr>
      </w:pPr>
    </w:p>
    <w:p w:rsidR="00DB0CBB" w:rsidRDefault="001A761C">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 una mala respuesta." (Sic)</w:t>
      </w:r>
      <w:bookmarkStart w:id="1" w:name="_GoBack"/>
      <w:bookmarkEnd w:id="1"/>
    </w:p>
    <w:p w:rsidR="00DB0CBB" w:rsidRDefault="001A761C">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la inconformidad: </w:t>
      </w:r>
    </w:p>
    <w:p w:rsidR="00DB0CBB" w:rsidRDefault="001A761C">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No se advierten manifestaciones del </w:t>
      </w:r>
      <w:r>
        <w:rPr>
          <w:rFonts w:ascii="Palatino Linotype" w:eastAsia="Palatino Linotype" w:hAnsi="Palatino Linotype" w:cs="Palatino Linotype"/>
          <w:b/>
        </w:rPr>
        <w:t xml:space="preserve">RECURRENTE. </w:t>
      </w:r>
    </w:p>
    <w:p w:rsidR="00DB0CBB" w:rsidRDefault="00DB0CBB">
      <w:pPr>
        <w:spacing w:line="360" w:lineRule="auto"/>
        <w:jc w:val="both"/>
        <w:rPr>
          <w:rFonts w:ascii="Palatino Linotype" w:eastAsia="Palatino Linotype" w:hAnsi="Palatino Linotype" w:cs="Palatino Linotype"/>
          <w:sz w:val="2"/>
          <w:szCs w:val="2"/>
        </w:rPr>
      </w:pP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DB0CBB" w:rsidRDefault="001A761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uno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DB0CBB" w:rsidRDefault="001A761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rindió informe justificado para manifestar lo que a su derecho asistiera y conviniera. </w:t>
      </w:r>
    </w:p>
    <w:p w:rsidR="00DB0CBB" w:rsidRDefault="001A761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realizó manifestaciones, no formuló alegatos ni ofreció medios de prueba.</w:t>
      </w:r>
    </w:p>
    <w:p w:rsidR="00DB0CBB" w:rsidRDefault="001A761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612130" cy="1838325"/>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838325"/>
                    </a:xfrm>
                    <a:prstGeom prst="rect">
                      <a:avLst/>
                    </a:prstGeom>
                    <a:ln/>
                  </pic:spPr>
                </pic:pic>
              </a:graphicData>
            </a:graphic>
          </wp:inline>
        </w:drawing>
      </w:r>
    </w:p>
    <w:p w:rsidR="00DB0CBB" w:rsidRDefault="001A761C">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Pr>
          <w:rFonts w:ascii="Palatino Linotype" w:eastAsia="Palatino Linotype" w:hAnsi="Palatino Linotype" w:cs="Palatino Linotype"/>
          <w:b/>
        </w:rPr>
        <w:t xml:space="preserve"> </w:t>
      </w:r>
    </w:p>
    <w:p w:rsidR="00DB0CBB" w:rsidRDefault="001A761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DB0CBB" w:rsidRDefault="001A761C">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rsidR="00DB0CBB" w:rsidRDefault="00DB0CBB">
      <w:pPr>
        <w:widowControl w:val="0"/>
        <w:spacing w:before="240" w:after="240" w:line="360" w:lineRule="auto"/>
        <w:jc w:val="both"/>
        <w:rPr>
          <w:rFonts w:ascii="Palatino Linotype" w:eastAsia="Palatino Linotype" w:hAnsi="Palatino Linotype" w:cs="Palatino Linotype"/>
          <w:b/>
        </w:rPr>
      </w:pPr>
    </w:p>
    <w:p w:rsidR="00DB0CBB" w:rsidRDefault="001A761C">
      <w:pPr>
        <w:widowControl w:val="0"/>
        <w:spacing w:before="240" w:after="240" w:line="360" w:lineRule="auto"/>
        <w:jc w:val="center"/>
        <w:rPr>
          <w:rFonts w:ascii="Palatino Linotype" w:eastAsia="Palatino Linotype" w:hAnsi="Palatino Linotype" w:cs="Palatino Linotype"/>
          <w:b/>
        </w:rPr>
      </w:pPr>
      <w:bookmarkStart w:id="2" w:name="_heading=h.tyjcwt" w:colFirst="0" w:colLast="0"/>
      <w:bookmarkEnd w:id="2"/>
      <w:r>
        <w:rPr>
          <w:rFonts w:ascii="Palatino Linotype" w:eastAsia="Palatino Linotype" w:hAnsi="Palatino Linotype" w:cs="Palatino Linotype"/>
          <w:b/>
        </w:rPr>
        <w:t>II. C O N S I D E R A N D O</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B0CBB" w:rsidRDefault="001A761C">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once de febrero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veinticuatro de febrero de dos mil veintidós</w:t>
      </w:r>
      <w:r>
        <w:rPr>
          <w:rFonts w:ascii="Palatino Linotype" w:eastAsia="Palatino Linotype" w:hAnsi="Palatino Linotype" w:cs="Palatino Linotype"/>
        </w:rPr>
        <w:t xml:space="preserve">, esto es, el noveno día hábil posterior al que tuvo conocimiento de la </w:t>
      </w:r>
      <w:r>
        <w:rPr>
          <w:rFonts w:ascii="Palatino Linotype" w:eastAsia="Palatino Linotype" w:hAnsi="Palatino Linotype" w:cs="Palatino Linotype"/>
        </w:rPr>
        <w:lastRenderedPageBreak/>
        <w:t>respuesta impugnada; evidenciándose que la interposición del recurso se encuentra dentro de los márgenes temporales previstos en el citado precepto legal.</w:t>
      </w:r>
    </w:p>
    <w:p w:rsidR="00DB0CBB" w:rsidRDefault="001A761C">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Es de suma importancia mencionar que, si bien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completo </w:t>
      </w:r>
      <w:r>
        <w:rPr>
          <w:rFonts w:ascii="Palatino Linotype" w:eastAsia="Palatino Linotype" w:hAnsi="Palatino Linotype" w:cs="Palatino Linotype"/>
          <w:color w:val="222222"/>
        </w:rPr>
        <w:t>como se advierte en el detalle de seguimiento del SAIMEX, sin embargo, el no proporcionar un nombre o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B0CBB" w:rsidRDefault="001A761C">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DB0CBB" w:rsidRDefault="001A761C">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por lo que, en el presente caso, al haber sido presentado el recurso de revisión vía SAIMEX, dicho requisito resulta innecesario.</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XIII del ordenamiento legal citado, que a la letra dice: </w:t>
      </w:r>
    </w:p>
    <w:p w:rsidR="00DB0CBB" w:rsidRDefault="001A761C">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B0CBB" w:rsidRDefault="001A761C">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DB0CBB" w:rsidRDefault="001A761C">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XIII. </w:t>
      </w:r>
      <w:r>
        <w:rPr>
          <w:rFonts w:ascii="Palatino Linotype" w:eastAsia="Palatino Linotype" w:hAnsi="Palatino Linotype" w:cs="Palatino Linotype"/>
          <w:i/>
          <w:sz w:val="22"/>
          <w:szCs w:val="22"/>
        </w:rPr>
        <w:t>La falta, deficiencia o insuficiencia de la fundamentación y/o motivación en la respuesta; y</w:t>
      </w:r>
    </w:p>
    <w:p w:rsidR="00DB0CBB" w:rsidRDefault="001A761C">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DB0CBB" w:rsidRDefault="001A76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Estudio y análisis del asunto.</w:t>
      </w:r>
      <w:r>
        <w:rPr>
          <w:rFonts w:ascii="Palatino Linotype" w:eastAsia="Palatino Linotype" w:hAnsi="Palatino Linotype" w:cs="Palatino Linotype"/>
        </w:rPr>
        <w:t xml:space="preserve"> 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B0CBB" w:rsidRDefault="001A761C">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B0CBB" w:rsidRDefault="001A761C">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B0CBB" w:rsidRDefault="001A761C">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B0CBB" w:rsidRDefault="001A761C">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B0CBB" w:rsidRDefault="001A76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DB0CBB" w:rsidRDefault="001A76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B0CBB" w:rsidRDefault="001A761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B0CBB" w:rsidRDefault="00DB0CBB">
      <w:pPr>
        <w:ind w:left="851" w:right="851"/>
        <w:jc w:val="both"/>
        <w:rPr>
          <w:rFonts w:ascii="Palatino Linotype" w:eastAsia="Palatino Linotype" w:hAnsi="Palatino Linotype" w:cs="Palatino Linotype"/>
          <w:i/>
          <w:sz w:val="22"/>
          <w:szCs w:val="22"/>
        </w:rPr>
      </w:pP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DB0CBB" w:rsidRDefault="00DB0CBB">
      <w:pPr>
        <w:ind w:right="851"/>
        <w:jc w:val="both"/>
        <w:rPr>
          <w:rFonts w:ascii="Palatino Linotype" w:eastAsia="Palatino Linotype" w:hAnsi="Palatino Linotype" w:cs="Palatino Linotype"/>
          <w:i/>
          <w:sz w:val="22"/>
          <w:szCs w:val="22"/>
        </w:rPr>
      </w:pPr>
    </w:p>
    <w:p w:rsidR="00DB0CBB" w:rsidRDefault="001A761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DB0CBB" w:rsidRDefault="001A761C">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w:t>
      </w:r>
      <w:r>
        <w:rPr>
          <w:rFonts w:ascii="Palatino Linotype" w:eastAsia="Palatino Linotype" w:hAnsi="Palatino Linotype" w:cs="Palatino Linotype"/>
        </w:rPr>
        <w:lastRenderedPageBreak/>
        <w:t>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DB0CBB" w:rsidRDefault="001A761C">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B0CBB" w:rsidRDefault="001A761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B0CBB" w:rsidRDefault="001A761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DB0CBB" w:rsidRDefault="00DB0CBB">
      <w:pPr>
        <w:ind w:left="709" w:right="760"/>
        <w:jc w:val="both"/>
        <w:rPr>
          <w:rFonts w:ascii="Palatino Linotype" w:eastAsia="Palatino Linotype" w:hAnsi="Palatino Linotype" w:cs="Palatino Linotype"/>
          <w:i/>
        </w:rPr>
      </w:pPr>
    </w:p>
    <w:p w:rsidR="00DB0CBB" w:rsidRDefault="001A76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rPr>
        <w:lastRenderedPageBreak/>
        <w:t>y Acceso a la Información Pública del Estado de México y Municipios, el cual a la letra dice:</w:t>
      </w:r>
    </w:p>
    <w:p w:rsidR="00DB0CBB" w:rsidRDefault="001A761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B0CBB" w:rsidRDefault="001A761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DB0CBB" w:rsidRDefault="00DB0CBB">
      <w:pPr>
        <w:spacing w:line="360" w:lineRule="auto"/>
        <w:jc w:val="both"/>
        <w:rPr>
          <w:rFonts w:ascii="Palatino Linotype" w:eastAsia="Palatino Linotype" w:hAnsi="Palatino Linotype" w:cs="Palatino Linotype"/>
        </w:rPr>
      </w:pP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DB0CBB" w:rsidRDefault="00DB0CBB">
      <w:pPr>
        <w:spacing w:line="360" w:lineRule="auto"/>
        <w:jc w:val="both"/>
        <w:rPr>
          <w:rFonts w:ascii="Palatino Linotype" w:eastAsia="Palatino Linotype" w:hAnsi="Palatino Linotype" w:cs="Palatino Linotype"/>
        </w:rPr>
      </w:pPr>
    </w:p>
    <w:p w:rsidR="00DB0CBB" w:rsidRDefault="001A76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B0CBB" w:rsidRDefault="00DB0CBB">
      <w:pPr>
        <w:spacing w:line="360" w:lineRule="auto"/>
        <w:ind w:right="49"/>
        <w:jc w:val="both"/>
        <w:rPr>
          <w:rFonts w:ascii="Palatino Linotype" w:eastAsia="Palatino Linotype" w:hAnsi="Palatino Linotype" w:cs="Palatino Linotype"/>
        </w:rPr>
      </w:pP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conviene mencionar que la Ley de Transparencia vigente en el Estado de México refiere: </w:t>
      </w:r>
    </w:p>
    <w:p w:rsidR="00DB0CBB" w:rsidRDefault="00DB0CBB">
      <w:pPr>
        <w:spacing w:line="360" w:lineRule="auto"/>
        <w:jc w:val="both"/>
        <w:rPr>
          <w:rFonts w:ascii="Palatino Linotype" w:eastAsia="Palatino Linotype" w:hAnsi="Palatino Linotype" w:cs="Palatino Linotype"/>
        </w:rPr>
      </w:pP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DB0CBB" w:rsidRDefault="00DB0CBB">
      <w:pPr>
        <w:ind w:left="851" w:right="851"/>
        <w:jc w:val="both"/>
        <w:rPr>
          <w:rFonts w:ascii="Palatino Linotype" w:eastAsia="Palatino Linotype" w:hAnsi="Palatino Linotype" w:cs="Palatino Linotype"/>
          <w:b/>
          <w:i/>
          <w:sz w:val="22"/>
          <w:szCs w:val="22"/>
        </w:rPr>
      </w:pP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DB0CBB" w:rsidRDefault="00DB0CBB">
      <w:pPr>
        <w:ind w:left="851" w:right="851"/>
        <w:jc w:val="both"/>
        <w:rPr>
          <w:rFonts w:ascii="Palatino Linotype" w:eastAsia="Palatino Linotype" w:hAnsi="Palatino Linotype" w:cs="Palatino Linotype"/>
          <w:i/>
          <w:sz w:val="22"/>
          <w:szCs w:val="22"/>
        </w:rPr>
      </w:pP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DB0CBB" w:rsidRDefault="00DB0CBB">
      <w:pPr>
        <w:ind w:left="851" w:right="851"/>
        <w:jc w:val="both"/>
        <w:rPr>
          <w:rFonts w:ascii="Palatino Linotype" w:eastAsia="Palatino Linotype" w:hAnsi="Palatino Linotype" w:cs="Palatino Linotype"/>
          <w:i/>
          <w:sz w:val="22"/>
          <w:szCs w:val="22"/>
        </w:rPr>
      </w:pP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B0CBB" w:rsidRDefault="00DB0CBB">
      <w:pPr>
        <w:ind w:left="851" w:right="851"/>
        <w:jc w:val="both"/>
        <w:rPr>
          <w:rFonts w:ascii="Palatino Linotype" w:eastAsia="Palatino Linotype" w:hAnsi="Palatino Linotype" w:cs="Palatino Linotype"/>
          <w:i/>
          <w:sz w:val="22"/>
          <w:szCs w:val="22"/>
        </w:rPr>
      </w:pPr>
    </w:p>
    <w:p w:rsidR="00DB0CBB" w:rsidRDefault="001A761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B0CBB" w:rsidRDefault="00DB0CBB">
      <w:pPr>
        <w:spacing w:line="360" w:lineRule="auto"/>
        <w:jc w:val="both"/>
        <w:rPr>
          <w:rFonts w:ascii="Palatino Linotype" w:eastAsia="Palatino Linotype" w:hAnsi="Palatino Linotype" w:cs="Palatino Linotype"/>
        </w:rPr>
      </w:pP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Pr>
          <w:rFonts w:ascii="Palatino Linotype" w:eastAsia="Palatino Linotype" w:hAnsi="Palatino Linotype" w:cs="Palatino Linotype"/>
        </w:rPr>
        <w:lastRenderedPageBreak/>
        <w:t>establece en la Ley de Transparencia y Acceso a la Información Pública del Estado de México y Municipios,</w:t>
      </w:r>
    </w:p>
    <w:p w:rsidR="00DB0CBB" w:rsidRDefault="00DB0CBB">
      <w:pPr>
        <w:spacing w:line="360" w:lineRule="auto"/>
        <w:jc w:val="both"/>
        <w:rPr>
          <w:rFonts w:ascii="Palatino Linotype" w:eastAsia="Palatino Linotype" w:hAnsi="Palatino Linotype" w:cs="Palatino Linotype"/>
        </w:rPr>
      </w:pP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B0CBB" w:rsidRDefault="00DB0CBB">
      <w:pPr>
        <w:ind w:left="851" w:right="899"/>
        <w:jc w:val="both"/>
        <w:rPr>
          <w:rFonts w:ascii="Palatino Linotype" w:eastAsia="Palatino Linotype" w:hAnsi="Palatino Linotype" w:cs="Palatino Linotype"/>
          <w:i/>
          <w:sz w:val="22"/>
          <w:szCs w:val="22"/>
        </w:rPr>
      </w:pP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B0CBB" w:rsidRDefault="00DB0CBB">
      <w:pPr>
        <w:ind w:left="851" w:right="899"/>
        <w:jc w:val="both"/>
        <w:rPr>
          <w:rFonts w:ascii="Palatino Linotype" w:eastAsia="Palatino Linotype" w:hAnsi="Palatino Linotype" w:cs="Palatino Linotype"/>
          <w:sz w:val="22"/>
          <w:szCs w:val="22"/>
        </w:rPr>
      </w:pP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B0CBB" w:rsidRDefault="00DB0CBB">
      <w:pPr>
        <w:ind w:left="851" w:right="899"/>
        <w:jc w:val="both"/>
        <w:rPr>
          <w:rFonts w:ascii="Palatino Linotype" w:eastAsia="Palatino Linotype" w:hAnsi="Palatino Linotype" w:cs="Palatino Linotype"/>
        </w:rPr>
      </w:pPr>
    </w:p>
    <w:p w:rsidR="00DB0CBB" w:rsidRDefault="001A761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DB0CBB" w:rsidRDefault="001A76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DB0CBB" w:rsidRDefault="001A76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Pr>
          <w:rFonts w:ascii="Palatino Linotype" w:eastAsia="Palatino Linotype" w:hAnsi="Palatino Linotype" w:cs="Palatino Linotype"/>
        </w:rPr>
        <w:lastRenderedPageBreak/>
        <w:t>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DB0CBB" w:rsidRDefault="001A76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contexto, es oportuno reiterar que el entonces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conocer los programas sociales y cuales han entrado de 2019 a la fecha. </w:t>
      </w:r>
    </w:p>
    <w:p w:rsidR="00DB0CBB" w:rsidRDefault="00DB0CBB">
      <w:pPr>
        <w:spacing w:line="360" w:lineRule="auto"/>
        <w:jc w:val="both"/>
        <w:rPr>
          <w:sz w:val="22"/>
          <w:szCs w:val="22"/>
        </w:rPr>
      </w:pPr>
    </w:p>
    <w:p w:rsidR="00DB0CBB" w:rsidRDefault="001A761C">
      <w:pPr>
        <w:widowControl w:val="0"/>
        <w:tabs>
          <w:tab w:val="left" w:pos="1701"/>
          <w:tab w:val="left" w:pos="1843"/>
        </w:tabs>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su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remitió el oficio número MAJ/DDBS/RDJG/0126/2022 suscrito y signado por la Dirección de Desarrollo y</w:t>
      </w:r>
      <w:r w:rsidR="00507ACB">
        <w:rPr>
          <w:rFonts w:ascii="Palatino Linotype" w:eastAsia="Palatino Linotype" w:hAnsi="Palatino Linotype" w:cs="Palatino Linotype"/>
        </w:rPr>
        <w:t xml:space="preserve"> Bienestar social, quien refirió: “</w:t>
      </w:r>
      <w:r w:rsidR="00507ACB">
        <w:rPr>
          <w:rFonts w:ascii="Palatino Linotype" w:eastAsia="Palatino Linotype" w:hAnsi="Palatino Linotype" w:cs="Palatino Linotype"/>
          <w:i/>
        </w:rPr>
        <w:t xml:space="preserve">Al respecto le informo de los </w:t>
      </w:r>
      <w:r w:rsidR="00507ACB" w:rsidRPr="003E01BF">
        <w:rPr>
          <w:rFonts w:ascii="Palatino Linotype" w:eastAsia="Palatino Linotype" w:hAnsi="Palatino Linotype" w:cs="Palatino Linotype"/>
          <w:b/>
          <w:i/>
          <w:u w:val="single"/>
        </w:rPr>
        <w:t xml:space="preserve">programas sociales federales </w:t>
      </w:r>
      <w:r w:rsidR="00507ACB">
        <w:rPr>
          <w:rFonts w:ascii="Palatino Linotype" w:eastAsia="Palatino Linotype" w:hAnsi="Palatino Linotype" w:cs="Palatino Linotype"/>
          <w:i/>
        </w:rPr>
        <w:t xml:space="preserve">de fecha solicitada y hasta el momento </w:t>
      </w:r>
      <w:r>
        <w:rPr>
          <w:rFonts w:ascii="Palatino Linotype" w:eastAsia="Palatino Linotype" w:hAnsi="Palatino Linotype" w:cs="Palatino Linotype"/>
          <w:i/>
        </w:rPr>
        <w:t xml:space="preserve">Pensión para el Bienestar de las Personas Adultas Mayores, Pensión para personas con Discapacidad, Becas para el Bienestar Benito Juárez, Jóvenes Construyendo el futuro, y atención a comunicados conjuntos Gobierno Federal y Estatal para fechas de aplicación de dosis vacuna pandemia Covid – 19,” </w:t>
      </w:r>
    </w:p>
    <w:p w:rsidR="00DB0CBB" w:rsidRDefault="00DB0CBB">
      <w:pPr>
        <w:widowControl w:val="0"/>
        <w:tabs>
          <w:tab w:val="left" w:pos="1701"/>
          <w:tab w:val="left" w:pos="1843"/>
        </w:tabs>
        <w:spacing w:line="360" w:lineRule="auto"/>
        <w:jc w:val="both"/>
        <w:rPr>
          <w:rFonts w:ascii="Palatino Linotype" w:eastAsia="Palatino Linotype" w:hAnsi="Palatino Linotype" w:cs="Palatino Linotype"/>
        </w:rPr>
      </w:pPr>
    </w:p>
    <w:p w:rsidR="00DB0CBB" w:rsidRDefault="001A761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Inconforme con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el particular presentó el Recurso de Revisión de mérito, en el que señaló como acto impugnado que es una mala respuesta. </w:t>
      </w:r>
    </w:p>
    <w:p w:rsidR="00DB0CBB" w:rsidRDefault="00DB0CBB">
      <w:pPr>
        <w:widowControl w:val="0"/>
        <w:tabs>
          <w:tab w:val="left" w:pos="1701"/>
          <w:tab w:val="left" w:pos="1843"/>
        </w:tabs>
        <w:spacing w:line="360" w:lineRule="auto"/>
        <w:jc w:val="both"/>
      </w:pPr>
    </w:p>
    <w:p w:rsidR="00DB0CBB" w:rsidRDefault="001A76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que, de acuerdo con la inconformidad hecha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la que señala que es una mala respuesta; este Organismo Garante, considera </w:t>
      </w:r>
      <w:r>
        <w:rPr>
          <w:rFonts w:ascii="Palatino Linotype" w:eastAsia="Palatino Linotype" w:hAnsi="Palatino Linotype" w:cs="Palatino Linotype"/>
        </w:rPr>
        <w:lastRenderedPageBreak/>
        <w:t xml:space="preserve">pertinente analizar el asunto que hoy nos ocupa, comenzando con la verificación si el Ayuntamiento de Almoloya de Juárez se encuentra constreñido a transparentar sus acciones, garantizar y respetar el Derecho de Acceso a la Información Pública respecto al tema de la solicitud de referencia. </w:t>
      </w:r>
      <w:r>
        <w:rPr>
          <w:rFonts w:ascii="Palatino Linotype" w:eastAsia="Palatino Linotype" w:hAnsi="Palatino Linotype" w:cs="Palatino Linotype"/>
          <w:b/>
        </w:rPr>
        <w:t xml:space="preserve"> </w:t>
      </w:r>
    </w:p>
    <w:p w:rsidR="00DB0CBB" w:rsidRDefault="0073731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737314" w:rsidRDefault="0073731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término, cabe precisar que de la lectura a la solicitud de información, se advierte que el particular únicamente requiere conocer el nombre o denominaci</w:t>
      </w:r>
      <w:r w:rsidR="005D7951">
        <w:rPr>
          <w:rFonts w:ascii="Palatino Linotype" w:eastAsia="Palatino Linotype" w:hAnsi="Palatino Linotype" w:cs="Palatino Linotype"/>
        </w:rPr>
        <w:t xml:space="preserve">ón de los programas sociales y cuales se han implementado de dos mil diecinueve a la fecha de la solicitud. </w:t>
      </w:r>
    </w:p>
    <w:p w:rsidR="005D7951" w:rsidRDefault="005D7951">
      <w:pPr>
        <w:spacing w:line="360" w:lineRule="auto"/>
        <w:jc w:val="both"/>
        <w:rPr>
          <w:rFonts w:ascii="Palatino Linotype" w:eastAsia="Palatino Linotype" w:hAnsi="Palatino Linotype" w:cs="Palatino Linotype"/>
        </w:rPr>
      </w:pPr>
    </w:p>
    <w:p w:rsidR="00DB0CBB" w:rsidRDefault="001A761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Dicho lo anterior, debe destacarse que en </w:t>
      </w:r>
      <w:r>
        <w:rPr>
          <w:rFonts w:ascii="Palatino Linotype" w:eastAsia="Palatino Linotype" w:hAnsi="Palatino Linotype" w:cs="Palatino Linotype"/>
          <w:color w:val="000000"/>
        </w:rPr>
        <w:t xml:space="preserve">cumplimiento a lo dispuesto por el artículo 162 de la Ley de Transparencia y Acceso a la Información Pública del Estado de México y Municipios, el veintiuno de enero de dos mil veintidós, el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turnó el requerimiento de información a los Servidores Públicos Habilitados que estimó pertinentes, a fin de colmar la solicitud de acceso a la información; tal y como, se aprecia en la imagen siguiente:</w:t>
      </w:r>
    </w:p>
    <w:p w:rsidR="00DB0CBB" w:rsidRDefault="001A761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rPr>
        <w:drawing>
          <wp:inline distT="0" distB="0" distL="0" distR="0">
            <wp:extent cx="5612130" cy="1552575"/>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552575"/>
                    </a:xfrm>
                    <a:prstGeom prst="rect">
                      <a:avLst/>
                    </a:prstGeom>
                    <a:ln/>
                  </pic:spPr>
                </pic:pic>
              </a:graphicData>
            </a:graphic>
          </wp:inline>
        </w:drawing>
      </w:r>
    </w:p>
    <w:p w:rsidR="00DB0CBB" w:rsidRDefault="00DB0CB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DB0CBB" w:rsidRDefault="001A761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Es así que. en atención al requerimiento realizado por la Titular de la Unidad de Transparencia</w:t>
      </w:r>
      <w:r w:rsidR="003E01BF">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sidR="003E01BF">
        <w:rPr>
          <w:rFonts w:ascii="Palatino Linotype" w:eastAsia="Palatino Linotype" w:hAnsi="Palatino Linotype" w:cs="Palatino Linotype"/>
          <w:color w:val="000000"/>
        </w:rPr>
        <w:t>e</w:t>
      </w:r>
      <w:r>
        <w:rPr>
          <w:rFonts w:ascii="Palatino Linotype" w:eastAsia="Palatino Linotype" w:hAnsi="Palatino Linotype" w:cs="Palatino Linotype"/>
        </w:rPr>
        <w:t>l Director</w:t>
      </w:r>
      <w:r>
        <w:rPr>
          <w:rFonts w:ascii="Palatino Linotype" w:eastAsia="Palatino Linotype" w:hAnsi="Palatino Linotype" w:cs="Palatino Linotype"/>
          <w:color w:val="000000"/>
        </w:rPr>
        <w:t xml:space="preserve"> de Desarrollo y Bienestar social, suscribió y </w:t>
      </w:r>
      <w:r>
        <w:rPr>
          <w:rFonts w:ascii="Palatino Linotype" w:eastAsia="Palatino Linotype" w:hAnsi="Palatino Linotype" w:cs="Palatino Linotype"/>
        </w:rPr>
        <w:t>firmó</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oficio de respuesta que a continuación </w:t>
      </w:r>
      <w:r>
        <w:rPr>
          <w:rFonts w:ascii="Palatino Linotype" w:eastAsia="Palatino Linotype" w:hAnsi="Palatino Linotype" w:cs="Palatino Linotype"/>
        </w:rPr>
        <w:t>se inserta</w:t>
      </w:r>
      <w:r>
        <w:rPr>
          <w:rFonts w:ascii="Palatino Linotype" w:eastAsia="Palatino Linotype" w:hAnsi="Palatino Linotype" w:cs="Palatino Linotype"/>
          <w:color w:val="000000"/>
        </w:rPr>
        <w:t xml:space="preserve">. </w:t>
      </w:r>
    </w:p>
    <w:p w:rsidR="00DB0CBB" w:rsidRDefault="001A761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572125" cy="5829300"/>
            <wp:effectExtent l="0" t="0" r="9525"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79631" cy="5837152"/>
                    </a:xfrm>
                    <a:prstGeom prst="rect">
                      <a:avLst/>
                    </a:prstGeom>
                    <a:ln/>
                  </pic:spPr>
                </pic:pic>
              </a:graphicData>
            </a:graphic>
          </wp:inline>
        </w:drawing>
      </w:r>
    </w:p>
    <w:p w:rsidR="00DB0CBB" w:rsidRDefault="001A761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Documento en el que se advierte que el Servidor Público Habilitado de la Dirección de Desarrollo y Bienestar Social</w:t>
      </w:r>
      <w:r w:rsidR="003E01BF">
        <w:rPr>
          <w:rFonts w:ascii="Palatino Linotype" w:eastAsia="Palatino Linotype" w:hAnsi="Palatino Linotype" w:cs="Palatino Linotype"/>
        </w:rPr>
        <w:t xml:space="preserve"> que</w:t>
      </w:r>
      <w:r>
        <w:rPr>
          <w:rFonts w:ascii="Palatino Linotype" w:eastAsia="Palatino Linotype" w:hAnsi="Palatino Linotype" w:cs="Palatino Linotype"/>
        </w:rPr>
        <w:t xml:space="preserve">, atendió el requerimiento formulado por el entonces solicitante. </w:t>
      </w:r>
    </w:p>
    <w:p w:rsidR="00DB0CBB" w:rsidRDefault="00DB0CB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DB0CBB" w:rsidRDefault="001A761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cabe referir que los artículos  215 y 216 del </w:t>
      </w:r>
      <w:r>
        <w:rPr>
          <w:rFonts w:ascii="Palatino Linotype" w:eastAsia="Palatino Linotype" w:hAnsi="Palatino Linotype" w:cs="Palatino Linotype"/>
          <w:b/>
        </w:rPr>
        <w:t xml:space="preserve">Bando Municipal de Almoloya de Juárez 2022 </w:t>
      </w:r>
      <w:r>
        <w:rPr>
          <w:rFonts w:ascii="Palatino Linotype" w:eastAsia="Palatino Linotype" w:hAnsi="Palatino Linotype" w:cs="Palatino Linotype"/>
        </w:rPr>
        <w:t xml:space="preserve">establecen: </w:t>
      </w:r>
    </w:p>
    <w:p w:rsidR="00DB0CBB" w:rsidRDefault="00DB0CB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215.-</w:t>
      </w:r>
      <w:r>
        <w:rPr>
          <w:rFonts w:ascii="Palatino Linotype" w:eastAsia="Palatino Linotype" w:hAnsi="Palatino Linotype" w:cs="Palatino Linotype"/>
          <w:i/>
          <w:sz w:val="22"/>
          <w:szCs w:val="22"/>
        </w:rPr>
        <w:t xml:space="preserve"> Con el objeto de generar mejores oportunidades de desarrollo social para la población juvenil, el </w:t>
      </w:r>
      <w:r>
        <w:rPr>
          <w:rFonts w:ascii="Palatino Linotype" w:eastAsia="Palatino Linotype" w:hAnsi="Palatino Linotype" w:cs="Palatino Linotype"/>
          <w:b/>
          <w:i/>
          <w:sz w:val="22"/>
          <w:szCs w:val="22"/>
          <w:u w:val="single"/>
        </w:rPr>
        <w:t xml:space="preserve">Ayuntamiento por conducto de la Dirección de Desarrollo y Bienestar Social, </w:t>
      </w:r>
      <w:r>
        <w:rPr>
          <w:rFonts w:ascii="Palatino Linotype" w:eastAsia="Palatino Linotype" w:hAnsi="Palatino Linotype" w:cs="Palatino Linotype"/>
          <w:i/>
          <w:sz w:val="22"/>
          <w:szCs w:val="22"/>
        </w:rPr>
        <w:t>formulará, planes y programas encaminados a atender sus necesidades de desarrollo físico, intelectual, social, cívico, recreativo, cultural y profesional.</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Artículo 216.- Son </w:t>
      </w:r>
      <w:r>
        <w:rPr>
          <w:rFonts w:ascii="Palatino Linotype" w:eastAsia="Palatino Linotype" w:hAnsi="Palatino Linotype" w:cs="Palatino Linotype"/>
          <w:b/>
          <w:i/>
          <w:sz w:val="22"/>
          <w:szCs w:val="22"/>
          <w:u w:val="single"/>
        </w:rPr>
        <w:t>atribuciones del Ayuntamiento en materia de desarrollo y bienestar social</w:t>
      </w:r>
      <w:r>
        <w:rPr>
          <w:rFonts w:ascii="Palatino Linotype" w:eastAsia="Palatino Linotype" w:hAnsi="Palatino Linotype" w:cs="Palatino Linotype"/>
          <w:i/>
          <w:sz w:val="22"/>
          <w:szCs w:val="22"/>
        </w:rPr>
        <w:t xml:space="preserve"> las siguientes:</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 Generar condiciones que aseguren el disfrute de los derechos sociales a los habitantes del municipio, </w:t>
      </w:r>
      <w:r>
        <w:rPr>
          <w:rFonts w:ascii="Palatino Linotype" w:eastAsia="Palatino Linotype" w:hAnsi="Palatino Linotype" w:cs="Palatino Linotype"/>
          <w:b/>
          <w:i/>
          <w:sz w:val="22"/>
          <w:szCs w:val="22"/>
          <w:u w:val="single"/>
        </w:rPr>
        <w:t>garantizándoles el acceso a programas de desarrollo social;</w:t>
      </w:r>
      <w:r>
        <w:rPr>
          <w:rFonts w:ascii="Palatino Linotype" w:eastAsia="Palatino Linotype" w:hAnsi="Palatino Linotype" w:cs="Palatino Linotype"/>
          <w:i/>
          <w:sz w:val="22"/>
          <w:szCs w:val="22"/>
        </w:rPr>
        <w:t xml:space="preserve">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Garantizar los derechos de las personas con discapacidad para a asistencia médica, el empleo y la capacitación para el trabajo, la educación inclusiva y con equidad, la rehabilitación, el libre acceso y fácil desplazamiento en los espacios públicos y privados, así como la participación social;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Garantizar el ejercicio de los derechos de los adultos mayores, a efecto de mejorar su calidad de vida;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IV. Promover y garantizar el ejercicio de los derechos y obligaciones de los jóvenes e implementar las políticas públicas y sus medios de ejecución, encaminados a su atención integral;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Impulsar los programas de campañas dirigidas a prevenir, combatir y erradicar actos de discriminación, violencia y hostigamiento escolar y laboral;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Impulsar campañas que erradiquen actos de discriminación a personas por su orientación sexual o identidad sexo-genérica;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Coadyuvar con las autoridades correspondientes en la protección de migrantes y sus familiares para evitar violencia, amenazas o intimidación por particulares, grupos, instituciones y funcionarios públicos municipales;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Orientar el desarrollo municipal hacia condiciones de equidad y combate a la marginación, pobreza y rezago social en comunidades o lugares que por resultados de su evaluación social y económica así lo requieran; </w:t>
      </w:r>
    </w:p>
    <w:p w:rsidR="00DB0CBB" w:rsidRDefault="001A761C">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Propiciar el desarrollo integral de la población en jornadas de educación extraescolar, alfabetización y educación para adultos y menores de edad en situación de marginación, con el apoyo de las diferentes instancias (INEA, preparatoria abierta, universidad digital, CONAFE y educación Indígena y especial);</w:t>
      </w:r>
    </w:p>
    <w:p w:rsidR="00DB0CBB" w:rsidRDefault="00DB0CB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DB0CBB" w:rsidRDefault="001A761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bookmarkStart w:id="4" w:name="_heading=h.30j0zll" w:colFirst="0" w:colLast="0"/>
      <w:bookmarkEnd w:id="4"/>
      <w:r>
        <w:rPr>
          <w:rFonts w:ascii="Palatino Linotype" w:eastAsia="Palatino Linotype" w:hAnsi="Palatino Linotype" w:cs="Palatino Linotype"/>
          <w:sz w:val="22"/>
          <w:szCs w:val="22"/>
        </w:rPr>
        <w:t>Es así que, de los ordenamientos jurídicos citados se desprende que el Director de Desarrollo y Bienestar social cuenta con las facultades, competencias y funciones para atender el requerimien</w:t>
      </w:r>
      <w:r w:rsidR="003E01BF">
        <w:rPr>
          <w:rFonts w:ascii="Palatino Linotype" w:eastAsia="Palatino Linotype" w:hAnsi="Palatino Linotype" w:cs="Palatino Linotype"/>
          <w:sz w:val="22"/>
          <w:szCs w:val="22"/>
        </w:rPr>
        <w:t xml:space="preserve">to formulado por el particular; sin embargo, cabe es de señalar que la respuesta no satisface el derecho de acceso a la información pública del </w:t>
      </w:r>
      <w:r w:rsidR="003E01BF">
        <w:rPr>
          <w:rFonts w:ascii="Palatino Linotype" w:eastAsia="Palatino Linotype" w:hAnsi="Palatino Linotype" w:cs="Palatino Linotype"/>
          <w:b/>
          <w:sz w:val="22"/>
          <w:szCs w:val="22"/>
        </w:rPr>
        <w:t xml:space="preserve">RECURRRENTE, </w:t>
      </w:r>
      <w:r w:rsidR="003E01BF">
        <w:rPr>
          <w:rFonts w:ascii="Palatino Linotype" w:eastAsia="Palatino Linotype" w:hAnsi="Palatino Linotype" w:cs="Palatino Linotype"/>
          <w:sz w:val="22"/>
          <w:szCs w:val="22"/>
        </w:rPr>
        <w:t xml:space="preserve">en razón de lo siguiente. </w:t>
      </w:r>
    </w:p>
    <w:p w:rsidR="003E01BF" w:rsidRDefault="003E01B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6B6841" w:rsidRDefault="003E01B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primer término, es pertinente traer a contexto, que si bien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se pronunció sobre los programas federales de la fecha solicitada, hasta el momento,</w:t>
      </w:r>
      <w:r w:rsidR="00AE328F">
        <w:rPr>
          <w:rFonts w:ascii="Palatino Linotype" w:eastAsia="Palatino Linotype" w:hAnsi="Palatino Linotype" w:cs="Palatino Linotype"/>
          <w:sz w:val="22"/>
          <w:szCs w:val="22"/>
        </w:rPr>
        <w:t xml:space="preserve"> también </w:t>
      </w:r>
      <w:r w:rsidR="00AE328F">
        <w:rPr>
          <w:rFonts w:ascii="Palatino Linotype" w:eastAsia="Palatino Linotype" w:hAnsi="Palatino Linotype" w:cs="Palatino Linotype"/>
          <w:sz w:val="22"/>
          <w:szCs w:val="22"/>
        </w:rPr>
        <w:lastRenderedPageBreak/>
        <w:t>lo es que</w:t>
      </w:r>
      <w:r>
        <w:rPr>
          <w:rFonts w:ascii="Palatino Linotype" w:eastAsia="Palatino Linotype" w:hAnsi="Palatino Linotype" w:cs="Palatino Linotype"/>
          <w:sz w:val="22"/>
          <w:szCs w:val="22"/>
        </w:rPr>
        <w:t xml:space="preserve"> </w:t>
      </w:r>
      <w:r w:rsidR="00AE328F">
        <w:rPr>
          <w:rFonts w:ascii="Palatino Linotype" w:eastAsia="Palatino Linotype" w:hAnsi="Palatino Linotype" w:cs="Palatino Linotype"/>
          <w:sz w:val="22"/>
          <w:szCs w:val="22"/>
        </w:rPr>
        <w:t xml:space="preserve">no se pronunció sobre los programas sociales implementados por el Gobierno del Estado de México. </w:t>
      </w:r>
    </w:p>
    <w:p w:rsidR="00AE328F" w:rsidRDefault="00AE328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AE328F" w:rsidRDefault="00AE328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que al realizar la consulta en la Secretaría de Desarrollo Social que observa que en los años 2019, 2020 y 2021 que el Gobierno del Estado de México implementó programas sociales para modificar las condiciones de desigualdad social para reducir la pobreza alimentaria de la población, apoyar a menores en condiciones de pobreza y combatir la marginación en comunidades de la entidad, en términos de sus respectivas reglas de operación y para efectos de ejemplificar se inserta la siguiente imagen. </w:t>
      </w:r>
    </w:p>
    <w:p w:rsidR="00AE328F" w:rsidRDefault="00AE328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AE328F" w:rsidRDefault="00AE328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sidRPr="00AE328F">
        <w:rPr>
          <w:rFonts w:ascii="Palatino Linotype" w:eastAsia="Palatino Linotype" w:hAnsi="Palatino Linotype" w:cs="Palatino Linotype"/>
          <w:noProof/>
          <w:sz w:val="22"/>
          <w:szCs w:val="22"/>
          <w:lang w:val="es-MX"/>
        </w:rPr>
        <w:drawing>
          <wp:inline distT="0" distB="0" distL="0" distR="0" wp14:anchorId="65698220" wp14:editId="5236ABB5">
            <wp:extent cx="5612130" cy="39738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973830"/>
                    </a:xfrm>
                    <a:prstGeom prst="rect">
                      <a:avLst/>
                    </a:prstGeom>
                  </pic:spPr>
                </pic:pic>
              </a:graphicData>
            </a:graphic>
          </wp:inline>
        </w:drawing>
      </w:r>
    </w:p>
    <w:p w:rsidR="00AE328F" w:rsidRDefault="00AE328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6B6841" w:rsidRDefault="00AF2BE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este sentido, es conveniente señalar que el </w:t>
      </w:r>
      <w:r>
        <w:rPr>
          <w:rFonts w:ascii="Palatino Linotype" w:eastAsia="Palatino Linotype" w:hAnsi="Palatino Linotype" w:cs="Palatino Linotype"/>
          <w:b/>
          <w:sz w:val="22"/>
          <w:szCs w:val="22"/>
        </w:rPr>
        <w:t xml:space="preserve">Manual de Organización de la Administración Municipal de Almoloya de Juárez </w:t>
      </w:r>
      <w:r w:rsidR="00B06B2A">
        <w:rPr>
          <w:rFonts w:ascii="Palatino Linotype" w:eastAsia="Palatino Linotype" w:hAnsi="Palatino Linotype" w:cs="Palatino Linotype"/>
          <w:sz w:val="22"/>
          <w:szCs w:val="22"/>
        </w:rPr>
        <w:t xml:space="preserve">establece como objetivo y funciones de la Dirección de Desarrollo Social, las siguientes: </w:t>
      </w:r>
    </w:p>
    <w:p w:rsidR="00B06B2A" w:rsidRDefault="00B06B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3952875</wp:posOffset>
                </wp:positionV>
                <wp:extent cx="5362575" cy="42862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5362575" cy="4286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40C41" id="Rectángulo 3" o:spid="_x0000_s1026" style="position:absolute;margin-left:11.7pt;margin-top:311.25pt;width:422.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" filled="f" strokecolor="red" strokeweight="1.5pt">
                <v:shadow on="t" color="black" opacity="22937f" origin=",.5" offset="0,.63889mm"/>
              </v:rect>
            </w:pict>
          </mc:Fallback>
        </mc:AlternateContent>
      </w:r>
      <w:r w:rsidRPr="00B06B2A">
        <w:rPr>
          <w:rFonts w:ascii="Palatino Linotype" w:eastAsia="Palatino Linotype" w:hAnsi="Palatino Linotype" w:cs="Palatino Linotype"/>
          <w:noProof/>
          <w:sz w:val="22"/>
          <w:szCs w:val="22"/>
          <w:lang w:val="es-MX"/>
        </w:rPr>
        <w:drawing>
          <wp:inline distT="0" distB="0" distL="0" distR="0" wp14:anchorId="6D9D7EE0" wp14:editId="6A0E3231">
            <wp:extent cx="5612130" cy="5934710"/>
            <wp:effectExtent l="19050" t="19050" r="26670"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934710"/>
                    </a:xfrm>
                    <a:prstGeom prst="rect">
                      <a:avLst/>
                    </a:prstGeom>
                    <a:ln w="12700">
                      <a:solidFill>
                        <a:schemeClr val="tx1"/>
                      </a:solidFill>
                    </a:ln>
                  </pic:spPr>
                </pic:pic>
              </a:graphicData>
            </a:graphic>
          </wp:inline>
        </w:drawing>
      </w:r>
    </w:p>
    <w:p w:rsidR="00B06B2A" w:rsidRDefault="00B06B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B06B2A" w:rsidRPr="00B06B2A" w:rsidRDefault="00B06B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6B6841" w:rsidRDefault="00B06B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Por consiguiente, del ordenamiento jurídico citado se desprende que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conoce sobre los programas sociales estatales ya que entre las atribuciones de la Dirección de Desarrollo Social se observa el dar seguimiento a los programas y acciones de bienestar social y combate a la pobreza que se desarrollan en el Municipio en coordinación con las dependencias estatales. </w:t>
      </w:r>
    </w:p>
    <w:p w:rsidR="00B06B2A" w:rsidRDefault="00B06B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B06B2A" w:rsidRDefault="00B06B2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no escapa de la óptica de este Organismo Garante, que de conformid</w:t>
      </w:r>
      <w:r w:rsidR="00A80410">
        <w:rPr>
          <w:rFonts w:ascii="Palatino Linotype" w:eastAsia="Palatino Linotype" w:hAnsi="Palatino Linotype" w:cs="Palatino Linotype"/>
          <w:sz w:val="22"/>
          <w:szCs w:val="22"/>
        </w:rPr>
        <w:t xml:space="preserve">ad con lo dispuesto en  los </w:t>
      </w:r>
      <w:r>
        <w:rPr>
          <w:rFonts w:ascii="Palatino Linotype" w:eastAsia="Palatino Linotype" w:hAnsi="Palatino Linotype" w:cs="Palatino Linotype"/>
          <w:sz w:val="22"/>
          <w:szCs w:val="22"/>
        </w:rPr>
        <w:t xml:space="preserve"> artículo 215</w:t>
      </w:r>
      <w:r w:rsidR="00A80410">
        <w:rPr>
          <w:rFonts w:ascii="Palatino Linotype" w:eastAsia="Palatino Linotype" w:hAnsi="Palatino Linotype" w:cs="Palatino Linotype"/>
          <w:sz w:val="22"/>
          <w:szCs w:val="22"/>
        </w:rPr>
        <w:t xml:space="preserve"> y 2016 </w:t>
      </w:r>
      <w:r>
        <w:rPr>
          <w:rFonts w:ascii="Palatino Linotype" w:eastAsia="Palatino Linotype" w:hAnsi="Palatino Linotype" w:cs="Palatino Linotype"/>
          <w:sz w:val="22"/>
          <w:szCs w:val="22"/>
        </w:rPr>
        <w:t xml:space="preserve"> del Bando Municipal de Almoloya de Ju</w:t>
      </w:r>
      <w:r w:rsidR="00A80410">
        <w:rPr>
          <w:rFonts w:ascii="Palatino Linotype" w:eastAsia="Palatino Linotype" w:hAnsi="Palatino Linotype" w:cs="Palatino Linotype"/>
          <w:sz w:val="22"/>
          <w:szCs w:val="22"/>
        </w:rPr>
        <w:t>árez; así como</w:t>
      </w:r>
      <w:r>
        <w:rPr>
          <w:rFonts w:ascii="Palatino Linotype" w:eastAsia="Palatino Linotype" w:hAnsi="Palatino Linotype" w:cs="Palatino Linotype"/>
          <w:sz w:val="22"/>
          <w:szCs w:val="22"/>
        </w:rPr>
        <w:t xml:space="preserve"> el Manual de Organización de la Administración Pública M</w:t>
      </w:r>
      <w:r w:rsidR="00A80410">
        <w:rPr>
          <w:rFonts w:ascii="Palatino Linotype" w:eastAsia="Palatino Linotype" w:hAnsi="Palatino Linotype" w:cs="Palatino Linotype"/>
          <w:sz w:val="22"/>
          <w:szCs w:val="22"/>
        </w:rPr>
        <w:t xml:space="preserve">unicipal, el </w:t>
      </w:r>
      <w:r w:rsidR="00A80410">
        <w:rPr>
          <w:rFonts w:ascii="Palatino Linotype" w:eastAsia="Palatino Linotype" w:hAnsi="Palatino Linotype" w:cs="Palatino Linotype"/>
          <w:b/>
          <w:sz w:val="22"/>
          <w:szCs w:val="22"/>
        </w:rPr>
        <w:t xml:space="preserve">SUJETO OBLIGADO </w:t>
      </w:r>
      <w:r w:rsidR="00A80410">
        <w:rPr>
          <w:rFonts w:ascii="Palatino Linotype" w:eastAsia="Palatino Linotype" w:hAnsi="Palatino Linotype" w:cs="Palatino Linotype"/>
          <w:sz w:val="22"/>
          <w:szCs w:val="22"/>
        </w:rPr>
        <w:t xml:space="preserve">está facultado para formular, planear y ejecutar programas para generar mejores oportunidades de desarrollo social para los habitantes del Municipio. </w:t>
      </w:r>
    </w:p>
    <w:p w:rsidR="00737314" w:rsidRDefault="0073731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737314" w:rsidRDefault="00737314" w:rsidP="00737314">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 de precisar que se presume que la información solicitada pudiera obrar en los archivos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ya que de las atribuciones de la Dirección de Desarrollo y Bienestar Social, se advierte que además de participar en la implementación de los programas sociales federales, también participa en la ejecución de programas sociales del Gobierno del Estado de México; así como en la planeación, formulación y seguimiento de los programas que implementa el propio Municipio,;  por lo tanto debe proceder a realizar una búsqueda exhaustiva a efecto de proporcionar los documentos donde conste la misma, en la inteligencia de que todos los Sujetos Obligados por las atribuciones de derecho público que el Estado les confiere, deberán realizar actuaciones tendientes a garantizar los derechos de los gobernados y realizar las diligencias necesarias para asegurar la efectividad del derecho de acceso a la información pública, por cuanto hace a la búsqueda y localización de la información requerida, ya que no indicar las acciones ejercidas </w:t>
      </w:r>
      <w:r>
        <w:rPr>
          <w:rFonts w:ascii="Palatino Linotype" w:eastAsia="Palatino Linotype" w:hAnsi="Palatino Linotype" w:cs="Palatino Linotype"/>
        </w:rPr>
        <w:lastRenderedPageBreak/>
        <w:t>posibilita la actuación discrecional y arbitraria del Estado sobre facilitar o no determinada información, generando inseguridad jurídica a los particulares en el ejercicio de sus derechos.</w:t>
      </w:r>
    </w:p>
    <w:p w:rsidR="00737314" w:rsidRDefault="00737314" w:rsidP="00737314">
      <w:pPr>
        <w:spacing w:after="80" w:line="360" w:lineRule="auto"/>
        <w:ind w:right="-93"/>
        <w:jc w:val="both"/>
        <w:rPr>
          <w:rFonts w:ascii="Palatino Linotype" w:eastAsia="Palatino Linotype" w:hAnsi="Palatino Linotype" w:cs="Palatino Linotype"/>
        </w:rPr>
      </w:pPr>
    </w:p>
    <w:p w:rsidR="00737314" w:rsidRDefault="00737314" w:rsidP="00737314">
      <w:pPr>
        <w:pBdr>
          <w:top w:val="nil"/>
          <w:left w:val="nil"/>
          <w:bottom w:val="nil"/>
          <w:right w:val="nil"/>
          <w:between w:val="nil"/>
        </w:pBdr>
        <w:tabs>
          <w:tab w:val="left" w:pos="426"/>
        </w:tabs>
        <w:spacing w:before="8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lo anterior, </w:t>
      </w:r>
      <w:r>
        <w:rPr>
          <w:rFonts w:ascii="Palatino Linotype" w:eastAsia="Palatino Linotype" w:hAnsi="Palatino Linotype" w:cs="Palatino Linotype"/>
          <w:color w:val="000000"/>
        </w:rPr>
        <w:t>la respuesta a la solicitud de información, careció de los principios de exhaustividad y congruencia, en términos del criterio 2/2017, emitido por el Instituto Nacional de Transparencia, que señala:</w:t>
      </w:r>
    </w:p>
    <w:p w:rsidR="00737314" w:rsidRDefault="00737314" w:rsidP="00737314">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Congruencia y exhaustividad.</w:t>
      </w:r>
      <w:r>
        <w:rPr>
          <w:rFonts w:ascii="Palatino Linotype" w:eastAsia="Palatino Linotype" w:hAnsi="Palatino Linotype" w:cs="Palatino Linotype"/>
          <w:i/>
          <w:color w:val="000000"/>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37314" w:rsidRDefault="00737314" w:rsidP="00737314">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Resoluciones:</w:t>
      </w:r>
    </w:p>
    <w:p w:rsidR="00737314" w:rsidRDefault="00737314" w:rsidP="00737314">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RRA 0003/16. Comisión Nacional de las Zonas Áridas. 29 de junio de 2016. Por unanimidad. Comisionado Ponente Oscar Mauricio Guerra Ford.</w:t>
      </w:r>
    </w:p>
    <w:p w:rsidR="00737314" w:rsidRDefault="00737314" w:rsidP="00737314">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RRA 0100/16. Sindicato Nacional de Trabajadores de la Educación. 13 de julio de 2016. Por unanimidad. Comisionada Ponente. Areli Cano Guadiana.</w:t>
      </w:r>
    </w:p>
    <w:p w:rsidR="00737314" w:rsidRDefault="00737314" w:rsidP="00737314">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RRA 1419/16. Secretaría de Educación Pública. 14 de septiembre de 2016. Por unanimidad. Comisionado Ponente Rosendoevgueni Monterrey Chepov.” (Sic)</w:t>
      </w:r>
    </w:p>
    <w:p w:rsidR="00737314" w:rsidRDefault="00737314" w:rsidP="00737314">
      <w:pPr>
        <w:spacing w:before="160" w:line="360" w:lineRule="auto"/>
        <w:jc w:val="both"/>
        <w:rPr>
          <w:rFonts w:ascii="Palatino Linotype" w:eastAsia="Palatino Linotype" w:hAnsi="Palatino Linotype" w:cs="Palatino Linotype"/>
        </w:rPr>
      </w:pPr>
    </w:p>
    <w:p w:rsidR="00737314" w:rsidRDefault="00737314" w:rsidP="00737314">
      <w:pPr>
        <w:spacing w:line="276" w:lineRule="auto"/>
        <w:ind w:left="560" w:right="560"/>
        <w:jc w:val="both"/>
        <w:rPr>
          <w:rFonts w:ascii="Palatino Linotype" w:eastAsia="Palatino Linotype" w:hAnsi="Palatino Linotype" w:cs="Palatino Linotype"/>
          <w:i/>
          <w:sz w:val="20"/>
          <w:szCs w:val="20"/>
        </w:rPr>
      </w:pPr>
      <w:r>
        <w:rPr>
          <w:rFonts w:ascii="Noto Sans Symbols" w:eastAsia="Noto Sans Symbols" w:hAnsi="Noto Sans Symbols" w:cs="Noto Sans Symbols"/>
          <w:i/>
          <w:sz w:val="20"/>
          <w:szCs w:val="20"/>
        </w:rPr>
        <w:lastRenderedPageBreak/>
        <w:t>∙</w:t>
      </w:r>
      <w:r>
        <w:rPr>
          <w:rFonts w:ascii="Palatino Linotype" w:eastAsia="Palatino Linotype" w:hAnsi="Palatino Linotype" w:cs="Palatino Linotype"/>
          <w:i/>
          <w:sz w:val="20"/>
          <w:szCs w:val="20"/>
        </w:rPr>
        <w:t xml:space="preserve"> RRA 1889/16. Secretaría de Hacienda y Crédito Público. 05 de octubre de 2016. Por unanimidad. Comisionada Ponente. Ximena Puente de la Mora.”</w:t>
      </w:r>
    </w:p>
    <w:p w:rsidR="00737314" w:rsidRDefault="0073731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p>
    <w:p w:rsidR="00A80410" w:rsidRPr="00A80410" w:rsidRDefault="00A8041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que, en atención a las consideraciones señaladas, el Pleno de este Instituto, determina dable ordenar la entrega, previa búsqueda exhaustiva y razonable, de los documentos en los que consten los programas sociales estatales y municipales implementados en el Municipio de Almoloya de Juárez de uno de enero de dos mil diecinueve al veinte de enero de dos mil veintidós. </w:t>
      </w:r>
    </w:p>
    <w:p w:rsidR="00DB0CBB" w:rsidRDefault="001A761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B0CBB" w:rsidRDefault="001A761C">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A80410" w:rsidRDefault="00A80410" w:rsidP="00A8041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01779/INFOEM/IP/RR/2022,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A80410" w:rsidRDefault="00A80410" w:rsidP="00A80410">
      <w:pPr>
        <w:spacing w:before="240" w:after="360" w:line="360" w:lineRule="auto"/>
        <w:jc w:val="both"/>
        <w:rPr>
          <w:rFonts w:ascii="Palatino Linotype" w:eastAsia="Palatino Linotype" w:hAnsi="Palatino Linotype" w:cs="Palatino Linotype"/>
          <w:b/>
          <w:highlight w:val="yellow"/>
        </w:rPr>
      </w:pPr>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haga entrega vía Sistema de Acceso a la Información Mexiquense (SAIMEX), previa búsqueda exhaustiva y razonable la siguiente información: </w:t>
      </w:r>
    </w:p>
    <w:p w:rsidR="00A80410" w:rsidRPr="00A80410" w:rsidRDefault="00A80410" w:rsidP="00A80410">
      <w:pPr>
        <w:pStyle w:val="Prrafodelista"/>
        <w:numPr>
          <w:ilvl w:val="0"/>
          <w:numId w:val="4"/>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bookmarkStart w:id="5" w:name="_heading=h.3znysh7" w:colFirst="0" w:colLast="0"/>
      <w:bookmarkStart w:id="6" w:name="_heading=h.l4wrv7yssr65" w:colFirst="0" w:colLast="0"/>
      <w:bookmarkEnd w:id="5"/>
      <w:bookmarkEnd w:id="6"/>
      <w:r>
        <w:rPr>
          <w:rFonts w:ascii="Palatino Linotype" w:eastAsia="Palatino Linotype" w:hAnsi="Palatino Linotype" w:cs="Palatino Linotype"/>
          <w:sz w:val="22"/>
          <w:szCs w:val="22"/>
        </w:rPr>
        <w:lastRenderedPageBreak/>
        <w:t>D</w:t>
      </w:r>
      <w:r w:rsidR="00737314">
        <w:rPr>
          <w:rFonts w:ascii="Palatino Linotype" w:eastAsia="Palatino Linotype" w:hAnsi="Palatino Linotype" w:cs="Palatino Linotype"/>
          <w:sz w:val="22"/>
          <w:szCs w:val="22"/>
        </w:rPr>
        <w:t>ocumentos en los que conste el nombre o denominación de</w:t>
      </w:r>
      <w:r w:rsidRPr="00A80410">
        <w:rPr>
          <w:rFonts w:ascii="Palatino Linotype" w:eastAsia="Palatino Linotype" w:hAnsi="Palatino Linotype" w:cs="Palatino Linotype"/>
          <w:sz w:val="22"/>
          <w:szCs w:val="22"/>
        </w:rPr>
        <w:t xml:space="preserve"> los programas sociales estatales y municipales implementados en el Municipio de Almoloya de Juárez de uno de enero de dos mil diecinueve al veinte de enero de dos mil veintidós. </w:t>
      </w:r>
    </w:p>
    <w:p w:rsidR="00A80410" w:rsidRDefault="00A80410" w:rsidP="00A80410">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A80410" w:rsidRDefault="00A80410" w:rsidP="00A804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80410" w:rsidRDefault="00A80410" w:rsidP="00A80410">
      <w:pPr>
        <w:spacing w:before="240" w:after="240" w:line="360" w:lineRule="auto"/>
        <w:jc w:val="both"/>
        <w:rPr>
          <w:rFonts w:ascii="Palatino Linotype" w:eastAsia="Palatino Linotype" w:hAnsi="Palatino Linotype" w:cs="Palatino Linotype"/>
        </w:rPr>
      </w:pPr>
      <w:bookmarkStart w:id="7" w:name="_heading=h.2et92p0" w:colFirst="0" w:colLast="0"/>
      <w:bookmarkEnd w:id="7"/>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D7951" w:rsidRDefault="005D7951" w:rsidP="00A80410">
      <w:pPr>
        <w:spacing w:before="240" w:after="240" w:line="360" w:lineRule="auto"/>
        <w:jc w:val="both"/>
        <w:rPr>
          <w:rFonts w:ascii="Palatino Linotype" w:eastAsia="Palatino Linotype" w:hAnsi="Palatino Linotype" w:cs="Palatino Linotype"/>
        </w:rPr>
      </w:pPr>
    </w:p>
    <w:p w:rsidR="00DB0CBB" w:rsidRDefault="001A761C">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rsidR="00DB0CBB" w:rsidRDefault="00DB0CBB">
      <w:pPr>
        <w:spacing w:before="240" w:after="240"/>
        <w:jc w:val="both"/>
        <w:rPr>
          <w:rFonts w:ascii="Palatino Linotype" w:eastAsia="Palatino Linotype" w:hAnsi="Palatino Linotype" w:cs="Palatino Linotype"/>
          <w:sz w:val="20"/>
          <w:szCs w:val="20"/>
          <w:highlight w:val="yellow"/>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p w:rsidR="00DB0CBB" w:rsidRDefault="00DB0CBB">
      <w:pPr>
        <w:spacing w:before="240" w:after="240"/>
        <w:jc w:val="both"/>
        <w:rPr>
          <w:rFonts w:ascii="Palatino Linotype" w:eastAsia="Palatino Linotype" w:hAnsi="Palatino Linotype" w:cs="Palatino Linotype"/>
          <w:sz w:val="20"/>
          <w:szCs w:val="20"/>
        </w:rPr>
      </w:pPr>
    </w:p>
    <w:sectPr w:rsidR="00DB0CBB">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AC" w:rsidRDefault="00430AAC">
      <w:r>
        <w:separator/>
      </w:r>
    </w:p>
  </w:endnote>
  <w:endnote w:type="continuationSeparator" w:id="0">
    <w:p w:rsidR="00430AAC" w:rsidRDefault="0043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BB" w:rsidRDefault="001A76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77B6">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77B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DB0CBB" w:rsidRDefault="00DB0CB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BB" w:rsidRDefault="001A76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77B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77B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DB0CBB" w:rsidRDefault="00DB0CB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AC" w:rsidRDefault="00430AAC">
      <w:r>
        <w:separator/>
      </w:r>
    </w:p>
  </w:footnote>
  <w:footnote w:type="continuationSeparator" w:id="0">
    <w:p w:rsidR="00430AAC" w:rsidRDefault="00430AAC">
      <w:r>
        <w:continuationSeparator/>
      </w:r>
    </w:p>
  </w:footnote>
  <w:footnote w:id="1">
    <w:p w:rsidR="00DB0CBB" w:rsidRDefault="001A761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rsidR="00DB0CBB" w:rsidRDefault="001A761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BB" w:rsidRDefault="001A761C">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-708023</wp:posOffset>
          </wp:positionH>
          <wp:positionV relativeFrom="paragraph">
            <wp:posOffset>-415288</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6095" w:type="dxa"/>
      <w:tblInd w:w="3261" w:type="dxa"/>
      <w:tblLayout w:type="fixed"/>
      <w:tblLook w:val="0400" w:firstRow="0" w:lastRow="0" w:firstColumn="0" w:lastColumn="0" w:noHBand="0" w:noVBand="1"/>
    </w:tblPr>
    <w:tblGrid>
      <w:gridCol w:w="2409"/>
      <w:gridCol w:w="3686"/>
    </w:tblGrid>
    <w:tr w:rsidR="00DB0CBB">
      <w:tc>
        <w:tcPr>
          <w:tcW w:w="2409" w:type="dxa"/>
          <w:shd w:val="clear" w:color="auto" w:fill="auto"/>
        </w:tcPr>
        <w:p w:rsidR="00DB0CBB" w:rsidRDefault="001A761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6" w:type="dxa"/>
          <w:shd w:val="clear" w:color="auto" w:fill="auto"/>
          <w:vAlign w:val="center"/>
        </w:tcPr>
        <w:p w:rsidR="00DB0CBB" w:rsidRDefault="001A761C">
          <w:pPr>
            <w:ind w:right="175"/>
            <w:jc w:val="both"/>
            <w:rPr>
              <w:rFonts w:ascii="Palatino Linotype" w:eastAsia="Palatino Linotype" w:hAnsi="Palatino Linotype" w:cs="Palatino Linotype"/>
              <w:b/>
            </w:rPr>
          </w:pPr>
          <w:r>
            <w:rPr>
              <w:rFonts w:ascii="Palatino Linotype" w:eastAsia="Palatino Linotype" w:hAnsi="Palatino Linotype" w:cs="Palatino Linotype"/>
              <w:b/>
            </w:rPr>
            <w:t>01779/INFOEM/IP/RR/2022</w:t>
          </w:r>
        </w:p>
      </w:tc>
    </w:tr>
    <w:tr w:rsidR="00DB0CBB">
      <w:trPr>
        <w:trHeight w:val="228"/>
      </w:trPr>
      <w:tc>
        <w:tcPr>
          <w:tcW w:w="2409" w:type="dxa"/>
          <w:shd w:val="clear" w:color="auto" w:fill="auto"/>
          <w:vAlign w:val="center"/>
        </w:tcPr>
        <w:p w:rsidR="00DB0CBB" w:rsidRDefault="001A761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6" w:type="dxa"/>
          <w:shd w:val="clear" w:color="auto" w:fill="auto"/>
          <w:vAlign w:val="center"/>
        </w:tcPr>
        <w:p w:rsidR="00DB0CBB" w:rsidRDefault="001A761C">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 Juárez</w:t>
          </w:r>
        </w:p>
      </w:tc>
    </w:tr>
    <w:tr w:rsidR="00DB0CBB">
      <w:tc>
        <w:tcPr>
          <w:tcW w:w="2409" w:type="dxa"/>
          <w:shd w:val="clear" w:color="auto" w:fill="auto"/>
          <w:vAlign w:val="center"/>
        </w:tcPr>
        <w:p w:rsidR="00DB0CBB" w:rsidRDefault="001A761C">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6" w:type="dxa"/>
          <w:shd w:val="clear" w:color="auto" w:fill="auto"/>
          <w:vAlign w:val="center"/>
        </w:tcPr>
        <w:p w:rsidR="00DB0CBB" w:rsidRDefault="001A761C">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B0CBB" w:rsidRDefault="001A761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BB" w:rsidRDefault="001A761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-756283</wp:posOffset>
          </wp:positionH>
          <wp:positionV relativeFrom="paragraph">
            <wp:posOffset>-424178</wp:posOffset>
          </wp:positionV>
          <wp:extent cx="7809865" cy="10165715"/>
          <wp:effectExtent l="0" t="0" r="0" b="0"/>
          <wp:wrapNone/>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184" w:type="dxa"/>
      <w:tblInd w:w="2747" w:type="dxa"/>
      <w:tblLayout w:type="fixed"/>
      <w:tblLook w:val="0400" w:firstRow="0" w:lastRow="0" w:firstColumn="0" w:lastColumn="0" w:noHBand="0" w:noVBand="1"/>
    </w:tblPr>
    <w:tblGrid>
      <w:gridCol w:w="2551"/>
      <w:gridCol w:w="3633"/>
    </w:tblGrid>
    <w:tr w:rsidR="00DB0CBB">
      <w:tc>
        <w:tcPr>
          <w:tcW w:w="2551" w:type="dxa"/>
          <w:shd w:val="clear" w:color="auto" w:fill="auto"/>
          <w:vAlign w:val="center"/>
        </w:tcPr>
        <w:p w:rsidR="00DB0CBB" w:rsidRDefault="001A761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33" w:type="dxa"/>
          <w:shd w:val="clear" w:color="auto" w:fill="auto"/>
          <w:vAlign w:val="center"/>
        </w:tcPr>
        <w:p w:rsidR="00DB0CBB" w:rsidRDefault="001A761C">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01779/INFOEM/IP/RR/2022</w:t>
          </w:r>
        </w:p>
      </w:tc>
    </w:tr>
    <w:tr w:rsidR="00DB0CBB">
      <w:trPr>
        <w:trHeight w:val="130"/>
      </w:trPr>
      <w:tc>
        <w:tcPr>
          <w:tcW w:w="2551" w:type="dxa"/>
          <w:shd w:val="clear" w:color="auto" w:fill="auto"/>
          <w:vAlign w:val="center"/>
        </w:tcPr>
        <w:p w:rsidR="00DB0CBB" w:rsidRDefault="001A761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33" w:type="dxa"/>
          <w:shd w:val="clear" w:color="auto" w:fill="auto"/>
          <w:vAlign w:val="center"/>
        </w:tcPr>
        <w:p w:rsidR="00DB0CBB" w:rsidRDefault="002977B6">
          <w:pPr>
            <w:jc w:val="both"/>
            <w:rPr>
              <w:rFonts w:ascii="Palatino Linotype" w:eastAsia="Palatino Linotype" w:hAnsi="Palatino Linotype" w:cs="Palatino Linotype"/>
              <w:b/>
            </w:rPr>
          </w:pPr>
          <w:r>
            <w:rPr>
              <w:rFonts w:ascii="Palatino Linotype" w:eastAsia="Palatino Linotype" w:hAnsi="Palatino Linotype" w:cs="Palatino Linotype"/>
              <w:b/>
            </w:rPr>
            <w:t>xxxxx</w:t>
          </w:r>
        </w:p>
      </w:tc>
    </w:tr>
    <w:tr w:rsidR="00DB0CBB">
      <w:trPr>
        <w:trHeight w:val="228"/>
      </w:trPr>
      <w:tc>
        <w:tcPr>
          <w:tcW w:w="2551" w:type="dxa"/>
          <w:shd w:val="clear" w:color="auto" w:fill="auto"/>
          <w:vAlign w:val="center"/>
        </w:tcPr>
        <w:p w:rsidR="00DB0CBB" w:rsidRDefault="001A761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33" w:type="dxa"/>
          <w:shd w:val="clear" w:color="auto" w:fill="auto"/>
          <w:vAlign w:val="center"/>
        </w:tcPr>
        <w:p w:rsidR="00DB0CBB" w:rsidRDefault="001A761C">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 Juárez</w:t>
          </w:r>
        </w:p>
      </w:tc>
    </w:tr>
    <w:tr w:rsidR="00DB0CBB">
      <w:tc>
        <w:tcPr>
          <w:tcW w:w="2551" w:type="dxa"/>
          <w:shd w:val="clear" w:color="auto" w:fill="auto"/>
          <w:vAlign w:val="center"/>
        </w:tcPr>
        <w:p w:rsidR="00DB0CBB" w:rsidRDefault="001A761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33" w:type="dxa"/>
          <w:shd w:val="clear" w:color="auto" w:fill="auto"/>
          <w:vAlign w:val="center"/>
        </w:tcPr>
        <w:p w:rsidR="00DB0CBB" w:rsidRDefault="001A761C">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B0CBB" w:rsidRDefault="00DB0CB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A51"/>
    <w:multiLevelType w:val="hybridMultilevel"/>
    <w:tmpl w:val="9CA29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6E419E"/>
    <w:multiLevelType w:val="multilevel"/>
    <w:tmpl w:val="155488B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2D1F47D2"/>
    <w:multiLevelType w:val="multilevel"/>
    <w:tmpl w:val="316E950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97C55"/>
    <w:multiLevelType w:val="multilevel"/>
    <w:tmpl w:val="44A84E0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BB"/>
    <w:rsid w:val="000C0234"/>
    <w:rsid w:val="001A761C"/>
    <w:rsid w:val="00274075"/>
    <w:rsid w:val="002977B6"/>
    <w:rsid w:val="003E01BF"/>
    <w:rsid w:val="00430AAC"/>
    <w:rsid w:val="004B762A"/>
    <w:rsid w:val="00507ACB"/>
    <w:rsid w:val="005D7951"/>
    <w:rsid w:val="00642393"/>
    <w:rsid w:val="00667CB9"/>
    <w:rsid w:val="006B6841"/>
    <w:rsid w:val="00737314"/>
    <w:rsid w:val="00A80410"/>
    <w:rsid w:val="00AA3B63"/>
    <w:rsid w:val="00AE328F"/>
    <w:rsid w:val="00AF2BE8"/>
    <w:rsid w:val="00B06B2A"/>
    <w:rsid w:val="00C33888"/>
    <w:rsid w:val="00DB0C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DEDBA-715A-4400-8A1D-12554AD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
    <w:name w:val="4"/>
    <w:basedOn w:val="TableNormal1"/>
    <w:rPr>
      <w:sz w:val="22"/>
      <w:szCs w:val="22"/>
    </w:rPr>
    <w:tblPr>
      <w:tblStyleRowBandSize w:val="1"/>
      <w:tblStyleColBandSize w:val="1"/>
      <w:tblCellMar>
        <w:left w:w="108" w:type="dxa"/>
        <w:right w:w="108" w:type="dxa"/>
      </w:tblCellMar>
    </w:tblPr>
  </w:style>
  <w:style w:type="table" w:customStyle="1" w:styleId="3">
    <w:name w:val="3"/>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1"/>
    <w:rPr>
      <w:sz w:val="22"/>
      <w:szCs w:val="22"/>
    </w:rPr>
    <w:tblPr>
      <w:tblStyleRowBandSize w:val="1"/>
      <w:tblStyleColBandSize w:val="1"/>
      <w:tblCellMar>
        <w:left w:w="115" w:type="dxa"/>
        <w:right w:w="115" w:type="dxa"/>
      </w:tblCellMar>
    </w:tblPr>
  </w:style>
  <w:style w:type="table" w:customStyle="1" w:styleId="a0">
    <w:basedOn w:val="TableNormal1"/>
    <w:rPr>
      <w:sz w:val="22"/>
      <w:szCs w:val="22"/>
    </w:rPr>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B91D4B"/>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B91D4B"/>
    <w:rPr>
      <w:i/>
      <w:iCs/>
      <w:color w:val="404040" w:themeColor="text1" w:themeTint="BF"/>
      <w:lang w:val="es-MX" w:eastAsia="es-ES"/>
    </w:rPr>
  </w:style>
  <w:style w:type="table" w:customStyle="1" w:styleId="a2">
    <w:basedOn w:val="TableNormal0"/>
    <w:rPr>
      <w:sz w:val="22"/>
      <w:szCs w:val="22"/>
    </w:rPr>
    <w:tblPr>
      <w:tblStyleRowBandSize w:val="1"/>
      <w:tblStyleColBandSize w:val="1"/>
      <w:tblCellMar>
        <w:left w:w="115" w:type="dxa"/>
        <w:right w:w="115" w:type="dxa"/>
      </w:tblCellMar>
    </w:tblPr>
  </w:style>
  <w:style w:type="table" w:customStyle="1" w:styleId="a3">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0gf+IHCST5hV12HPsdeE1CMNA==">AMUW2mUfkHVHn/3xrMQS7CXy+hKMMghvcVnSwaTCHZ3BwckOP4bKgnK6Uu+zf5aBGe+Lk3mPVKyAKGk9cl4spICeoU/XvjxGhDe+NZQiRs5jqMjjbfGLePEq3/fPojpk+gFP+s5o2dMbhvYrbMrFYVeW57wJYbzjBeUCYpYTwEwvg/sQQxBj3u4=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5577</Words>
  <Characters>30676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2022-06-08T01:29:00Z</dcterms:created>
  <dcterms:modified xsi:type="dcterms:W3CDTF">2022-06-08T01:30:00Z</dcterms:modified>
</cp:coreProperties>
</file>