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D9C4C0" w14:textId="77777777" w:rsidR="00207F87" w:rsidRDefault="00F3637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veinticinco de mayo de dos mil veintidós. </w:t>
      </w:r>
    </w:p>
    <w:p w14:paraId="0D5DA85C" w14:textId="10AF05E8" w:rsidR="00207F87" w:rsidRDefault="00F3637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02374/INFOEM/IP/RR/2022</w:t>
      </w:r>
      <w:r>
        <w:rPr>
          <w:rFonts w:ascii="Palatino Linotype" w:eastAsia="Palatino Linotype" w:hAnsi="Palatino Linotype" w:cs="Palatino Linotype"/>
        </w:rPr>
        <w:t xml:space="preserve">, interpuesto por </w:t>
      </w:r>
      <w:r w:rsidR="007D22BA">
        <w:rPr>
          <w:rFonts w:ascii="Palatino Linotype" w:eastAsia="Palatino Linotype" w:hAnsi="Palatino Linotype" w:cs="Palatino Linotype"/>
          <w:b/>
        </w:rPr>
        <w:t>XXXXX</w:t>
      </w:r>
      <w:bookmarkStart w:id="0" w:name="_GoBack"/>
      <w:bookmarkEnd w:id="0"/>
      <w:r>
        <w:rPr>
          <w:rFonts w:ascii="Palatino Linotype" w:eastAsia="Palatino Linotype" w:hAnsi="Palatino Linotype" w:cs="Palatino Linotype"/>
        </w:rPr>
        <w:t>, en lo sucesivo</w:t>
      </w:r>
      <w:r>
        <w:rPr>
          <w:rFonts w:ascii="Palatino Linotype" w:eastAsia="Palatino Linotype" w:hAnsi="Palatino Linotype" w:cs="Palatino Linotype"/>
          <w:b/>
        </w:rPr>
        <w:t xml:space="preserve"> 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por parte del </w:t>
      </w:r>
      <w:r>
        <w:rPr>
          <w:rFonts w:ascii="Palatino Linotype" w:eastAsia="Palatino Linotype" w:hAnsi="Palatino Linotype" w:cs="Palatino Linotype"/>
          <w:b/>
        </w:rPr>
        <w:t xml:space="preserve">Ayuntamiento de Chalco,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5D108426" w14:textId="77777777" w:rsidR="00207F87" w:rsidRDefault="00F36374">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14:paraId="5DAA7E85" w14:textId="77777777" w:rsidR="00207F87" w:rsidRDefault="00F3637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veinte de enero de dos mil veintidós,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a través de la Plataforma Nacional de Transparencia (</w:t>
      </w:r>
      <w:r>
        <w:rPr>
          <w:rFonts w:ascii="Palatino Linotype" w:eastAsia="Palatino Linotype" w:hAnsi="Palatino Linotype" w:cs="Palatino Linotype"/>
          <w:b/>
        </w:rPr>
        <w:t xml:space="preserve">PNT) </w:t>
      </w:r>
      <w:r>
        <w:rPr>
          <w:rFonts w:ascii="Palatino Linotype" w:eastAsia="Palatino Linotype" w:hAnsi="Palatino Linotype" w:cs="Palatino Linotype"/>
        </w:rPr>
        <w:t xml:space="preserve">vinculada al Sistema de Acceso a la Información Mexiquense, en lo subsecuente el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00042/CHALCO/IP/2022, </w:t>
      </w:r>
      <w:r>
        <w:rPr>
          <w:rFonts w:ascii="Palatino Linotype" w:eastAsia="Palatino Linotype" w:hAnsi="Palatino Linotype" w:cs="Palatino Linotype"/>
        </w:rPr>
        <w:t xml:space="preserve">mediante la cual requirió la información siguiente: </w:t>
      </w:r>
    </w:p>
    <w:p w14:paraId="70C4908D" w14:textId="77777777" w:rsidR="00207F87" w:rsidRDefault="00F36374">
      <w:pPr>
        <w:spacing w:before="240" w:after="240" w:line="276" w:lineRule="auto"/>
        <w:ind w:left="851" w:right="902"/>
        <w:jc w:val="both"/>
        <w:rPr>
          <w:rFonts w:ascii="Palatino Linotype" w:eastAsia="Palatino Linotype" w:hAnsi="Palatino Linotype" w:cs="Palatino Linotype"/>
          <w:i/>
          <w:sz w:val="22"/>
          <w:szCs w:val="22"/>
        </w:rPr>
      </w:pPr>
      <w:bookmarkStart w:id="1" w:name="_heading=h.gjdgxs" w:colFirst="0" w:colLast="0"/>
      <w:bookmarkEnd w:id="1"/>
      <w:r>
        <w:rPr>
          <w:rFonts w:ascii="Palatino Linotype" w:eastAsia="Palatino Linotype" w:hAnsi="Palatino Linotype" w:cs="Palatino Linotype"/>
          <w:i/>
          <w:sz w:val="22"/>
          <w:szCs w:val="22"/>
        </w:rPr>
        <w:t xml:space="preserve">“solicito se informe el destino comprobado de los gastos que fueron aprobados el año pasado para el festejo del bicentenario del municipio, pues debido a la pandemia no se llevó a cabo, por lo que solicito el destino de ese dinero.” </w:t>
      </w:r>
      <w:r>
        <w:rPr>
          <w:rFonts w:ascii="Palatino Linotype" w:eastAsia="Palatino Linotype" w:hAnsi="Palatino Linotype" w:cs="Palatino Linotype"/>
          <w:sz w:val="22"/>
          <w:szCs w:val="22"/>
        </w:rPr>
        <w:t>(Sic)</w:t>
      </w:r>
    </w:p>
    <w:p w14:paraId="3FEA6211" w14:textId="77777777" w:rsidR="00207F87" w:rsidRDefault="00F3637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Anexó el documento:</w:t>
      </w:r>
      <w:r>
        <w:rPr>
          <w:rFonts w:ascii="Palatino Linotype" w:eastAsia="Palatino Linotype" w:hAnsi="Palatino Linotype" w:cs="Palatino Linotype"/>
          <w:b/>
        </w:rPr>
        <w:t xml:space="preserve"> “</w:t>
      </w:r>
      <w:r>
        <w:rPr>
          <w:rFonts w:ascii="Palatino Linotype" w:eastAsia="Palatino Linotype" w:hAnsi="Palatino Linotype" w:cs="Palatino Linotype"/>
          <w:b/>
          <w:i/>
        </w:rPr>
        <w:t xml:space="preserve">Archivo Adjunto a la Solicitud”, </w:t>
      </w:r>
      <w:r>
        <w:rPr>
          <w:rFonts w:ascii="Palatino Linotype" w:eastAsia="Palatino Linotype" w:hAnsi="Palatino Linotype" w:cs="Palatino Linotype"/>
        </w:rPr>
        <w:t>el cual no fue posible aperturar.</w:t>
      </w:r>
    </w:p>
    <w:p w14:paraId="1DC0EEEF" w14:textId="77777777" w:rsidR="00207F87" w:rsidRDefault="00F3637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A través de SAIMEX </w:t>
      </w:r>
    </w:p>
    <w:p w14:paraId="0D9B089D" w14:textId="77777777" w:rsidR="00207F87" w:rsidRDefault="00F3637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114300" distB="114300" distL="114300" distR="114300" wp14:anchorId="132BA349" wp14:editId="0C23D275">
            <wp:extent cx="5612130" cy="63500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12130" cy="635000"/>
                    </a:xfrm>
                    <a:prstGeom prst="rect">
                      <a:avLst/>
                    </a:prstGeom>
                    <a:ln/>
                  </pic:spPr>
                </pic:pic>
              </a:graphicData>
            </a:graphic>
          </wp:inline>
        </w:drawing>
      </w:r>
    </w:p>
    <w:p w14:paraId="0FA634F2" w14:textId="77777777" w:rsidR="00207F87" w:rsidRDefault="00F3637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ocho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7649ED72" w14:textId="77777777" w:rsidR="00207F87" w:rsidRDefault="00F36374">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En respuesta a la solicitud recibida, nos permitimos hacer de su conocimiento que con fundamento en el artículo 53, Fracciones: II, V y VI de la Ley de Transparencia y Acceso a la Información Pública del Estado de México y Municipios, le contestamos que: Con fundamento en lo dispuesto en los artículos 6º apartado A de la Constitución Política de los Estados Unidos Mexicanos; 5º párrafos trece, catorce y quince fracciones I a VII de la Constitución Política del Estado Libre y Soberano de México, 1, 2, 12, 53 fracciones II, V y VI, y 163 de la Ley de Transparencia y Acceso a la Información Pública del Estado de México y Municipios, se le hace de su conocimiento y notificación de la respuesta emitida por el servidor público habilitado la Titular de la Dirección de Bienestar en los siguientes términos: Por este medio le envió un cordial saludo y en seguimiento a la solicitud de información con número de folio 00042/CHALCO/IP/2022, presentada mediante la plataforma digital SAIMEX, </w:t>
      </w:r>
      <w:r>
        <w:rPr>
          <w:rFonts w:ascii="Palatino Linotype" w:eastAsia="Palatino Linotype" w:hAnsi="Palatino Linotype" w:cs="Palatino Linotype"/>
          <w:b/>
          <w:i/>
          <w:sz w:val="22"/>
          <w:szCs w:val="22"/>
        </w:rPr>
        <w:t>doy contestación a lo planteado por el solicitante, adjunto al presente oficio número TM/080/2022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de igual manera se le informa que el pasado treinta y uno de enero del año en curso se celebro el 198 aniversario de la erección del Municipio de Chalco, por tal motivo </w:t>
      </w:r>
      <w:r>
        <w:rPr>
          <w:rFonts w:ascii="Palatino Linotype" w:eastAsia="Palatino Linotype" w:hAnsi="Palatino Linotype" w:cs="Palatino Linotype"/>
          <w:b/>
          <w:i/>
          <w:sz w:val="22"/>
          <w:szCs w:val="22"/>
          <w:u w:val="single"/>
        </w:rPr>
        <w:t>aun no se puede presupuestar los festejos para el bicentenario de esta Municipalidad, como lo refiere en su solicitud</w:t>
      </w:r>
      <w:r>
        <w:rPr>
          <w:rFonts w:ascii="Palatino Linotype" w:eastAsia="Palatino Linotype" w:hAnsi="Palatino Linotype" w:cs="Palatino Linotype"/>
          <w:i/>
          <w:sz w:val="22"/>
          <w:szCs w:val="22"/>
        </w:rPr>
        <w:t>. Considerando que requirió la respuesta a su solicitud de información pública mediante el Sistema de Acceso a la Información Mexiquense (SAIMEX); se le notifica por dicha vía la respuesta anterior. Así mismo le informo que en términos de los artículos 176, 177, 178 y 179 de la Ley de Transparencia y Acceso a la Información Pública del Estado de México y Municipios, tiene el derecho de interponer el Recurso de Revisión en un plazo de 15 días hábiles siguientes a partir de la presente fecha, en caso de considerar que la respuesta es desfavorable a su solicitud.</w:t>
      </w:r>
    </w:p>
    <w:p w14:paraId="0D271DD6" w14:textId="77777777" w:rsidR="00207F87" w:rsidRDefault="00F36374">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ATENTAMENTE</w:t>
      </w:r>
    </w:p>
    <w:p w14:paraId="30B0521E" w14:textId="77777777" w:rsidR="00207F87" w:rsidRDefault="00F36374">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P. JESÚS CLISERIO HERNÁNDEZ MORENO” (Sic)</w:t>
      </w:r>
    </w:p>
    <w:p w14:paraId="774B054A" w14:textId="77777777" w:rsidR="00207F87" w:rsidRDefault="00F36374">
      <w:pPr>
        <w:spacing w:before="240" w:after="240" w:line="360" w:lineRule="auto"/>
        <w:ind w:left="567" w:right="49"/>
        <w:jc w:val="both"/>
        <w:rPr>
          <w:rFonts w:ascii="Palatino Linotype" w:eastAsia="Palatino Linotype" w:hAnsi="Palatino Linotype" w:cs="Palatino Linotype"/>
          <w:b/>
        </w:rPr>
      </w:pPr>
      <w:r>
        <w:rPr>
          <w:rFonts w:ascii="Palatino Linotype" w:eastAsia="Palatino Linotype" w:hAnsi="Palatino Linotype" w:cs="Palatino Linotype"/>
          <w:b/>
        </w:rPr>
        <w:t>Archivos adjuntos:</w:t>
      </w:r>
    </w:p>
    <w:p w14:paraId="1416D129" w14:textId="77777777" w:rsidR="00207F87" w:rsidRDefault="00F36374">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rPr>
        <w:t xml:space="preserve">El Titular de la Unidad de Transparencia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adjuntó a su respuesta, un archivo electrónico que se describe a continuación: </w:t>
      </w:r>
    </w:p>
    <w:p w14:paraId="4A62CD50" w14:textId="77777777" w:rsidR="00207F87" w:rsidRDefault="00F36374">
      <w:pPr>
        <w:numPr>
          <w:ilvl w:val="0"/>
          <w:numId w:val="2"/>
        </w:numPr>
        <w:pBdr>
          <w:top w:val="nil"/>
          <w:left w:val="nil"/>
          <w:bottom w:val="nil"/>
          <w:right w:val="nil"/>
          <w:between w:val="nil"/>
        </w:pBdr>
        <w:spacing w:before="240" w:line="360" w:lineRule="auto"/>
        <w:ind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rPr>
        <w:t xml:space="preserve">00042-CHALCO-IP-2022.pdf, </w:t>
      </w:r>
      <w:r>
        <w:rPr>
          <w:rFonts w:ascii="Palatino Linotype" w:eastAsia="Palatino Linotype" w:hAnsi="Palatino Linotype" w:cs="Palatino Linotype"/>
          <w:color w:val="000000"/>
        </w:rPr>
        <w:t xml:space="preserve">oficio número TM/080/2022, de fecha primero de febrero de dos mil veintidós, suscrito y signado por la Tesorera Municipal, mediante el cual informa que: </w:t>
      </w:r>
      <w:r>
        <w:rPr>
          <w:rFonts w:ascii="Palatino Linotype" w:eastAsia="Palatino Linotype" w:hAnsi="Palatino Linotype" w:cs="Palatino Linotype"/>
          <w:i/>
          <w:color w:val="000000"/>
        </w:rPr>
        <w:t xml:space="preserve">“…me permito informarle que debido a la emergencia sanitaria que actualmente enfrentamos, </w:t>
      </w:r>
      <w:r>
        <w:rPr>
          <w:rFonts w:ascii="Palatino Linotype" w:eastAsia="Palatino Linotype" w:hAnsi="Palatino Linotype" w:cs="Palatino Linotype"/>
          <w:b/>
          <w:i/>
          <w:color w:val="000000"/>
          <w:u w:val="single"/>
        </w:rPr>
        <w:t>no fueron considerados eventos de esa índole, y por lo tanto al no tener programado un evento, no se le destino presupuesto alguno</w:t>
      </w:r>
      <w:r>
        <w:rPr>
          <w:rFonts w:ascii="Palatino Linotype" w:eastAsia="Palatino Linotype" w:hAnsi="Palatino Linotype" w:cs="Palatino Linotype"/>
          <w:b/>
          <w:i/>
          <w:color w:val="000000"/>
        </w:rPr>
        <w:t>.</w:t>
      </w:r>
      <w:r>
        <w:rPr>
          <w:rFonts w:ascii="Palatino Linotype" w:eastAsia="Palatino Linotype" w:hAnsi="Palatino Linotype" w:cs="Palatino Linotype"/>
          <w:i/>
          <w:color w:val="000000"/>
        </w:rPr>
        <w:t xml:space="preserve"> …” (Sic)</w:t>
      </w:r>
    </w:p>
    <w:p w14:paraId="4B6B517A" w14:textId="77777777" w:rsidR="00207F87" w:rsidRDefault="00F3637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veintiocho de febrero de dos mil veintidós,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14:paraId="6F217FDF" w14:textId="77777777" w:rsidR="00207F87" w:rsidRDefault="00F36374">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r>
        <w:rPr>
          <w:rFonts w:ascii="Palatino Linotype" w:eastAsia="Palatino Linotype" w:hAnsi="Palatino Linotype" w:cs="Palatino Linotype"/>
          <w:b/>
        </w:rPr>
        <w:tab/>
      </w:r>
    </w:p>
    <w:p w14:paraId="733383F2" w14:textId="77777777" w:rsidR="00207F87" w:rsidRDefault="00F36374">
      <w:pPr>
        <w:spacing w:line="276" w:lineRule="auto"/>
        <w:ind w:left="851"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“falta información.” </w:t>
      </w:r>
      <w:r>
        <w:rPr>
          <w:rFonts w:ascii="Palatino Linotype" w:eastAsia="Palatino Linotype" w:hAnsi="Palatino Linotype" w:cs="Palatino Linotype"/>
          <w:i/>
          <w:sz w:val="22"/>
          <w:szCs w:val="22"/>
        </w:rPr>
        <w:t>(Sic)</w:t>
      </w:r>
    </w:p>
    <w:p w14:paraId="1A59D786" w14:textId="77777777" w:rsidR="00207F87" w:rsidRDefault="00207F87">
      <w:pPr>
        <w:spacing w:line="360" w:lineRule="auto"/>
        <w:ind w:left="851" w:right="900"/>
        <w:jc w:val="both"/>
        <w:rPr>
          <w:rFonts w:ascii="Palatino Linotype" w:eastAsia="Palatino Linotype" w:hAnsi="Palatino Linotype" w:cs="Palatino Linotype"/>
          <w:i/>
          <w:sz w:val="22"/>
          <w:szCs w:val="22"/>
        </w:rPr>
      </w:pPr>
    </w:p>
    <w:p w14:paraId="03ADE5DB" w14:textId="77777777" w:rsidR="00207F87" w:rsidRDefault="00F3637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Razones o motivos de inconformidad</w:t>
      </w:r>
      <w:r>
        <w:rPr>
          <w:rFonts w:ascii="Palatino Linotype" w:eastAsia="Palatino Linotype" w:hAnsi="Palatino Linotype" w:cs="Palatino Linotype"/>
        </w:rPr>
        <w:t>:</w:t>
      </w:r>
    </w:p>
    <w:p w14:paraId="4157C28C" w14:textId="77777777" w:rsidR="00207F87" w:rsidRDefault="00F36374">
      <w:pPr>
        <w:spacing w:line="276" w:lineRule="auto"/>
        <w:ind w:left="851" w:right="902"/>
        <w:jc w:val="both"/>
        <w:rPr>
          <w:rFonts w:ascii="Palatino Linotype" w:eastAsia="Palatino Linotype" w:hAnsi="Palatino Linotype" w:cs="Palatino Linotype"/>
          <w:sz w:val="22"/>
          <w:szCs w:val="22"/>
        </w:rPr>
      </w:pPr>
      <w:bookmarkStart w:id="2" w:name="_heading=h.30j0zll" w:colFirst="0" w:colLast="0"/>
      <w:bookmarkEnd w:id="2"/>
      <w:r>
        <w:rPr>
          <w:rFonts w:ascii="Palatino Linotype" w:eastAsia="Palatino Linotype" w:hAnsi="Palatino Linotype" w:cs="Palatino Linotype"/>
          <w:sz w:val="22"/>
          <w:szCs w:val="22"/>
        </w:rPr>
        <w:lastRenderedPageBreak/>
        <w:t>El particular no hizo manifestaciones  en este rubro.</w:t>
      </w:r>
    </w:p>
    <w:p w14:paraId="5ECF5358" w14:textId="77777777" w:rsidR="00207F87" w:rsidRDefault="00207F87">
      <w:pPr>
        <w:spacing w:line="276" w:lineRule="auto"/>
        <w:ind w:left="851" w:right="902"/>
        <w:jc w:val="both"/>
        <w:rPr>
          <w:rFonts w:ascii="Palatino Linotype" w:eastAsia="Palatino Linotype" w:hAnsi="Palatino Linotype" w:cs="Palatino Linotype"/>
          <w:sz w:val="22"/>
          <w:szCs w:val="22"/>
        </w:rPr>
      </w:pPr>
    </w:p>
    <w:p w14:paraId="52BD32AE" w14:textId="77777777" w:rsidR="00207F87" w:rsidRDefault="00F36374">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a efecto de que analizara sobre su admisión o su desechamiento.</w:t>
      </w:r>
    </w:p>
    <w:p w14:paraId="3F4E23A3" w14:textId="77777777" w:rsidR="00207F87" w:rsidRDefault="00F3637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Admisión del Recurso de revisión.</w:t>
      </w:r>
      <w:r>
        <w:rPr>
          <w:rFonts w:ascii="Palatino Linotype" w:eastAsia="Palatino Linotype" w:hAnsi="Palatino Linotype" w:cs="Palatino Linotype"/>
        </w:rPr>
        <w:t xml:space="preserve"> Con fecha</w:t>
      </w:r>
      <w:r>
        <w:rPr>
          <w:rFonts w:ascii="Palatino Linotype" w:eastAsia="Palatino Linotype" w:hAnsi="Palatino Linotype" w:cs="Palatino Linotype"/>
          <w:b/>
        </w:rPr>
        <w:t xml:space="preserve"> cuatro de marzo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14:paraId="33BA09AB" w14:textId="77777777" w:rsidR="00207F87" w:rsidRDefault="00F36374">
      <w:pPr>
        <w:spacing w:after="240" w:line="360" w:lineRule="auto"/>
        <w:jc w:val="both"/>
        <w:rPr>
          <w:rFonts w:ascii="Palatino Linotype" w:eastAsia="Palatino Linotype" w:hAnsi="Palatino Linotype" w:cs="Palatino Linotype"/>
        </w:rPr>
      </w:pPr>
      <w:bookmarkStart w:id="3" w:name="_heading=h.2s8eyo1" w:colFirst="0" w:colLast="0"/>
      <w:bookmarkEnd w:id="3"/>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las constancias que obran en el SAIMEX, se observa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no remitió informe justificado, por su parte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fue omiso en ejercer dicha prerrogativa en el plazo establecido para tal efecto, como se muestra a continuación:</w:t>
      </w:r>
    </w:p>
    <w:p w14:paraId="0311BCB7" w14:textId="77777777" w:rsidR="00207F87" w:rsidRDefault="00F36374">
      <w:pPr>
        <w:spacing w:after="240" w:line="360" w:lineRule="auto"/>
        <w:jc w:val="both"/>
        <w:rPr>
          <w:rFonts w:ascii="Palatino Linotype" w:eastAsia="Palatino Linotype" w:hAnsi="Palatino Linotype" w:cs="Palatino Linotype"/>
        </w:rPr>
      </w:pPr>
      <w:r>
        <w:rPr>
          <w:noProof/>
          <w:lang w:val="es-MX"/>
        </w:rPr>
        <w:lastRenderedPageBreak/>
        <w:drawing>
          <wp:inline distT="0" distB="0" distL="0" distR="0" wp14:anchorId="554D890D" wp14:editId="1A8F9A8E">
            <wp:extent cx="5642774" cy="1526868"/>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4752" t="25650" r="51967" b="53530"/>
                    <a:stretch>
                      <a:fillRect/>
                    </a:stretch>
                  </pic:blipFill>
                  <pic:spPr>
                    <a:xfrm>
                      <a:off x="0" y="0"/>
                      <a:ext cx="5642774" cy="1526868"/>
                    </a:xfrm>
                    <a:prstGeom prst="rect">
                      <a:avLst/>
                    </a:prstGeom>
                    <a:ln/>
                  </pic:spPr>
                </pic:pic>
              </a:graphicData>
            </a:graphic>
          </wp:inline>
        </w:drawing>
      </w:r>
    </w:p>
    <w:p w14:paraId="5A8178EB" w14:textId="77777777" w:rsidR="00207F87" w:rsidRDefault="00F3637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En fecha </w:t>
      </w:r>
      <w:r>
        <w:rPr>
          <w:rFonts w:ascii="Palatino Linotype" w:eastAsia="Palatino Linotype" w:hAnsi="Palatino Linotype" w:cs="Palatino Linotype"/>
          <w:b/>
          <w:color w:val="000000"/>
        </w:rPr>
        <w:t>dieciséis de mayo de dos mil veintidós</w:t>
      </w:r>
      <w:r>
        <w:rPr>
          <w:rFonts w:ascii="Palatino Linotype" w:eastAsia="Palatino Linotype" w:hAnsi="Palatino Linotype" w:cs="Palatino Linotype"/>
          <w:b/>
        </w:rPr>
        <w:t>,</w:t>
      </w:r>
      <w:r>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14:paraId="3408B14E" w14:textId="77777777" w:rsidR="00207F87" w:rsidRDefault="00F36374">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rPr>
        <w:t>dieciocho de mayo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C86D753" w14:textId="77777777" w:rsidR="00207F87" w:rsidRDefault="00F3637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BFF6AC2" w14:textId="77777777" w:rsidR="00B87F62" w:rsidRDefault="00B87F62">
      <w:pPr>
        <w:spacing w:before="240" w:after="240" w:line="360" w:lineRule="auto"/>
        <w:jc w:val="both"/>
        <w:rPr>
          <w:rFonts w:ascii="Palatino Linotype" w:eastAsia="Palatino Linotype" w:hAnsi="Palatino Linotype" w:cs="Palatino Linotype"/>
        </w:rPr>
      </w:pPr>
    </w:p>
    <w:p w14:paraId="40AF8BFD" w14:textId="77777777" w:rsidR="00207F87" w:rsidRDefault="00F36374">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II. C O N S I D E R A N D O S</w:t>
      </w:r>
    </w:p>
    <w:p w14:paraId="299A37F6" w14:textId="77777777" w:rsidR="00207F87" w:rsidRDefault="00207F87">
      <w:pPr>
        <w:widowControl w:val="0"/>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14:paraId="1C61A40C" w14:textId="77777777" w:rsidR="00207F87" w:rsidRDefault="00F3637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8DF255E" w14:textId="77777777" w:rsidR="00207F87" w:rsidRDefault="00F36374">
      <w:pPr>
        <w:spacing w:before="240" w:after="240" w:line="360" w:lineRule="auto"/>
        <w:jc w:val="both"/>
        <w:rPr>
          <w:rFonts w:ascii="Palatino Linotype" w:eastAsia="Palatino Linotype" w:hAnsi="Palatino Linotype" w:cs="Palatino Linotype"/>
        </w:rPr>
      </w:pPr>
      <w:bookmarkStart w:id="4" w:name="_heading=h.tyjcwt" w:colFirst="0" w:colLast="0"/>
      <w:bookmarkEnd w:id="4"/>
      <w:r>
        <w:rPr>
          <w:rFonts w:ascii="Palatino Linotype" w:eastAsia="Palatino Linotype" w:hAnsi="Palatino Linotype" w:cs="Palatino Linotype"/>
          <w:b/>
        </w:rPr>
        <w:t>Segundo. Oportunidad y Procedib</w:t>
      </w:r>
      <w:r w:rsidR="00E35D86">
        <w:rPr>
          <w:rFonts w:ascii="Palatino Linotype" w:eastAsia="Palatino Linotype" w:hAnsi="Palatino Linotype" w:cs="Palatino Linotype"/>
          <w:b/>
        </w:rPr>
        <w:t>i</w:t>
      </w:r>
      <w:r>
        <w:rPr>
          <w:rFonts w:ascii="Palatino Linotype" w:eastAsia="Palatino Linotype" w:hAnsi="Palatino Linotype" w:cs="Palatino Linotype"/>
          <w:b/>
        </w:rPr>
        <w:t xml:space="preserve">lidad del Recurso de Revisión. </w:t>
      </w:r>
      <w:r>
        <w:rPr>
          <w:rFonts w:ascii="Palatino Linotype" w:eastAsia="Palatino Linotype" w:hAnsi="Palatino Linotype" w:cs="Palatino Linotype"/>
        </w:rPr>
        <w:t xml:space="preserve">Previo al estudio del fondo del asunto, se procede a analizar los requisitos de oportunidad y </w:t>
      </w:r>
      <w:r w:rsidR="00E35D86">
        <w:rPr>
          <w:rFonts w:ascii="Palatino Linotype" w:eastAsia="Palatino Linotype" w:hAnsi="Palatino Linotype" w:cs="Palatino Linotype"/>
        </w:rPr>
        <w:t xml:space="preserve">procedibilidad </w:t>
      </w:r>
      <w:r>
        <w:rPr>
          <w:rFonts w:ascii="Palatino Linotype" w:eastAsia="Palatino Linotype" w:hAnsi="Palatino Linotype" w:cs="Palatino Linotype"/>
        </w:rPr>
        <w:t>que debe reunir el recurso de revisión interpuesto, previstos en los artículos 178 y 180 de la Ley de Transparencia y Acceso a la Información Pública del Estado de México y Municipios.</w:t>
      </w:r>
    </w:p>
    <w:p w14:paraId="53A96C27" w14:textId="77777777" w:rsidR="00207F87" w:rsidRDefault="00F3637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la Ley de Transparencia y Acceso a la Información Pública del Estado de México y Municipios, establece lo siguiente:</w:t>
      </w:r>
    </w:p>
    <w:p w14:paraId="25A6E850" w14:textId="77777777" w:rsidR="00207F87" w:rsidRDefault="00F36374">
      <w:pPr>
        <w:spacing w:line="276" w:lineRule="auto"/>
        <w:ind w:left="851" w:right="900"/>
        <w:jc w:val="both"/>
        <w:rPr>
          <w:rFonts w:ascii="Palatino Linotype" w:eastAsia="Palatino Linotype" w:hAnsi="Palatino Linotype" w:cs="Palatino Linotype"/>
          <w:i/>
          <w:sz w:val="28"/>
          <w:szCs w:val="28"/>
        </w:rPr>
      </w:pPr>
      <w:r>
        <w:rPr>
          <w:rFonts w:ascii="Palatino Linotype" w:eastAsia="Palatino Linotype" w:hAnsi="Palatino Linotype" w:cs="Palatino Linotype"/>
          <w:b/>
          <w:i/>
          <w:sz w:val="22"/>
          <w:szCs w:val="22"/>
        </w:rPr>
        <w:t xml:space="preserve">“Artículo 178. </w:t>
      </w:r>
      <w:r>
        <w:rPr>
          <w:rFonts w:ascii="Palatino Linotype" w:eastAsia="Palatino Linotype" w:hAnsi="Palatino Linotype" w:cs="Palatino Linotype"/>
          <w:i/>
          <w:sz w:val="22"/>
          <w:szCs w:val="22"/>
        </w:rPr>
        <w:t xml:space="preserve">El solicitante podrá interponer, por sí mismo o a través de su representante, de manera directa o por medios electrónicos, recurso de revisión ante el Instituto o ante la Unidad de Transparencia que haya conocido de la </w:t>
      </w:r>
      <w:r>
        <w:rPr>
          <w:rFonts w:ascii="Palatino Linotype" w:eastAsia="Palatino Linotype" w:hAnsi="Palatino Linotype" w:cs="Palatino Linotype"/>
          <w:i/>
          <w:sz w:val="22"/>
          <w:szCs w:val="22"/>
        </w:rPr>
        <w:lastRenderedPageBreak/>
        <w:t>solicitud dentro de los quince días hábiles, siguientes a la fecha de la notificación de la respuesta.”</w:t>
      </w:r>
    </w:p>
    <w:p w14:paraId="0F2B1E3B" w14:textId="77777777" w:rsidR="00207F87" w:rsidRDefault="00F3637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la respuesta a la solicitud de información el día </w:t>
      </w:r>
      <w:r>
        <w:rPr>
          <w:rFonts w:ascii="Palatino Linotype" w:eastAsia="Palatino Linotype" w:hAnsi="Palatino Linotype" w:cs="Palatino Linotype"/>
          <w:b/>
        </w:rPr>
        <w:t xml:space="preserve">ocho de febrero de dos mil veintidós, </w:t>
      </w:r>
      <w:r>
        <w:rPr>
          <w:rFonts w:ascii="Palatino Linotype" w:eastAsia="Palatino Linotype" w:hAnsi="Palatino Linotype" w:cs="Palatino Linotype"/>
        </w:rPr>
        <w:t xml:space="preserve">mientras que el recurso de revisión interpuesto por la parte recurrente, se tuvo por presentado el día </w:t>
      </w:r>
      <w:r>
        <w:rPr>
          <w:rFonts w:ascii="Palatino Linotype" w:eastAsia="Palatino Linotype" w:hAnsi="Palatino Linotype" w:cs="Palatino Linotype"/>
          <w:b/>
        </w:rPr>
        <w:t>veintiocho de febrero de dos mil veintidós</w:t>
      </w:r>
      <w:r>
        <w:rPr>
          <w:rFonts w:ascii="Palatino Linotype" w:eastAsia="Palatino Linotype" w:hAnsi="Palatino Linotype" w:cs="Palatino Linotype"/>
        </w:rPr>
        <w:t xml:space="preserve">, esto es, a los </w:t>
      </w:r>
      <w:r>
        <w:rPr>
          <w:rFonts w:ascii="Palatino Linotype" w:eastAsia="Palatino Linotype" w:hAnsi="Palatino Linotype" w:cs="Palatino Linotype"/>
          <w:b/>
        </w:rPr>
        <w:t>catorce días hábiles</w:t>
      </w:r>
      <w:r>
        <w:rPr>
          <w:rFonts w:ascii="Palatino Linotype" w:eastAsia="Palatino Linotype" w:hAnsi="Palatino Linotype" w:cs="Palatino Linotype"/>
        </w:rPr>
        <w:t xml:space="preserve"> posteriores en que tuvo conocimiento de la respuesta impugnada.</w:t>
      </w:r>
    </w:p>
    <w:p w14:paraId="043376C2" w14:textId="77777777" w:rsidR="00207F87" w:rsidRDefault="00F3637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55FA23B" w14:textId="77777777" w:rsidR="00207F87" w:rsidRDefault="00F3637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 efecto de sustentar lo anterior, es de suma importancia mencionar que si bien parte no proporcionó nombre completo 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w:t>
      </w:r>
      <w:r>
        <w:rPr>
          <w:rFonts w:ascii="Palatino Linotype" w:eastAsia="Palatino Linotype" w:hAnsi="Palatino Linotype" w:cs="Palatino Linotype"/>
        </w:rPr>
        <w:lastRenderedPageBreak/>
        <w:t>a la Información Pública del Estado de México y Municipios que establece lo siguiente:</w:t>
      </w:r>
    </w:p>
    <w:p w14:paraId="00DF7C4B" w14:textId="77777777" w:rsidR="00207F87" w:rsidRDefault="00F36374">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18AFE7F8" w14:textId="77777777" w:rsidR="00207F87" w:rsidRDefault="00F3637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mismo tenor, el propio artículo 180 de la Ley de Transparencia local citado, en su último párrafo establece que cuando el recurso se interponga de manera electrónica, no será indispensable que contenga determinados requisitos, entre ellos, el nombre de la parte Recurrente, por lo que, en el presente caso, al haber sido presentado el recurso de revisión vía SAIMEX, dicho requisito resulta innecesario.</w:t>
      </w:r>
    </w:p>
    <w:p w14:paraId="2F62DAB4" w14:textId="77777777" w:rsidR="00207F87" w:rsidRDefault="00F3637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w:t>
      </w:r>
      <w:r>
        <w:rPr>
          <w:rFonts w:ascii="Palatino Linotype" w:eastAsia="Palatino Linotype" w:hAnsi="Palatino Linotype" w:cs="Palatino Linotype"/>
          <w:color w:val="000000"/>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fracción V del ordenamiento legal citado, que a la letra dice: </w:t>
      </w:r>
    </w:p>
    <w:p w14:paraId="7E6D06E9" w14:textId="77777777" w:rsidR="00207F87" w:rsidRDefault="00F36374">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37AF2732" w14:textId="77777777" w:rsidR="00207F87" w:rsidRDefault="00F36374">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57F85D9" w14:textId="77777777" w:rsidR="00207F87" w:rsidRDefault="00F36374">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 La entrega de información incompleta;</w:t>
      </w:r>
    </w:p>
    <w:p w14:paraId="183ECA20" w14:textId="77777777" w:rsidR="00207F87" w:rsidRDefault="00F36374">
      <w:pPr>
        <w:spacing w:before="240" w:after="240" w:line="276" w:lineRule="auto"/>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 ” </w:t>
      </w:r>
    </w:p>
    <w:p w14:paraId="3BDCDD81" w14:textId="77777777" w:rsidR="00207F87" w:rsidRDefault="00F36374">
      <w:pPr>
        <w:spacing w:before="240" w:after="240" w:line="276" w:lineRule="auto"/>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(Énfasis añadido)</w:t>
      </w:r>
    </w:p>
    <w:p w14:paraId="232A7A54" w14:textId="77777777" w:rsidR="00207F87" w:rsidRDefault="00F3637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w:t>
      </w:r>
      <w:r>
        <w:rPr>
          <w:rFonts w:ascii="Palatino Linotype" w:eastAsia="Palatino Linotype" w:hAnsi="Palatino Linotype" w:cs="Palatino Linotype"/>
        </w:rPr>
        <w:lastRenderedPageBreak/>
        <w:t xml:space="preserve">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parte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 oportuna.</w:t>
      </w:r>
    </w:p>
    <w:p w14:paraId="2FA3A18A" w14:textId="77777777" w:rsidR="00207F87" w:rsidRDefault="00F3637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378E760" w14:textId="77777777" w:rsidR="00207F87" w:rsidRDefault="00F36374">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40512937" w14:textId="77777777" w:rsidR="00207F87" w:rsidRDefault="00F36374">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4A6E692" w14:textId="77777777" w:rsidR="00207F87" w:rsidRDefault="00F36374">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 xml:space="preserve">Todas las autoridades, en el ámbito de sus competencias, tienen la obligación de promover, respetar, proteger y garantizar los derechos </w:t>
      </w:r>
      <w:r>
        <w:rPr>
          <w:rFonts w:ascii="Palatino Linotype" w:eastAsia="Palatino Linotype" w:hAnsi="Palatino Linotype" w:cs="Palatino Linotype"/>
          <w:b/>
          <w:i/>
          <w:sz w:val="22"/>
          <w:szCs w:val="22"/>
          <w:u w:val="single"/>
        </w:rPr>
        <w:lastRenderedPageBreak/>
        <w:t>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11E81C60" w14:textId="77777777" w:rsidR="00207F87" w:rsidRDefault="00F36374">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0953E3C" w14:textId="77777777" w:rsidR="00207F87" w:rsidRDefault="00F36374">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48812F7B" w14:textId="77777777" w:rsidR="00207F87" w:rsidRDefault="00F36374">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F07578E" w14:textId="77777777" w:rsidR="00207F87" w:rsidRDefault="00F36374">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77B69C34" w14:textId="77777777" w:rsidR="00207F87" w:rsidRDefault="00F36374">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3936AE1" w14:textId="77777777" w:rsidR="00207F87" w:rsidRDefault="00F36374">
      <w:pPr>
        <w:spacing w:before="240" w:after="24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39781A79" w14:textId="77777777" w:rsidR="00207F87" w:rsidRDefault="00F36374">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4F9C5A8A" w14:textId="77777777" w:rsidR="00207F87" w:rsidRDefault="00F36374">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3C4A3E05" w14:textId="77777777" w:rsidR="00207F87" w:rsidRDefault="00F36374">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73A1026" w14:textId="77777777" w:rsidR="00207F87" w:rsidRDefault="00F36374">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98A3C79" w14:textId="77777777" w:rsidR="00207F87" w:rsidRDefault="00F36374">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273ED06A" w14:textId="77777777" w:rsidR="00207F87" w:rsidRDefault="00F3637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FCE3FE9" w14:textId="77777777" w:rsidR="00207F87" w:rsidRDefault="00F36374">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676997A" w14:textId="77777777" w:rsidR="00207F87" w:rsidRDefault="00F36374">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EEA89E7" w14:textId="77777777" w:rsidR="00207F87" w:rsidRDefault="00F36374">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66B93FAD" w14:textId="77777777" w:rsidR="00207F87" w:rsidRDefault="00F3637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6BCCCB1A" w14:textId="77777777" w:rsidR="00207F87" w:rsidRDefault="00F36374">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A989CEE" w14:textId="77777777" w:rsidR="00207F87" w:rsidRDefault="00F36374">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w:t>
      </w:r>
      <w:r>
        <w:rPr>
          <w:rFonts w:ascii="Palatino Linotype" w:eastAsia="Palatino Linotype" w:hAnsi="Palatino Linotype" w:cs="Palatino Linotype"/>
          <w:b/>
          <w:i/>
          <w:sz w:val="22"/>
          <w:szCs w:val="22"/>
        </w:rPr>
        <w:t>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 (Sic)</w:t>
      </w:r>
    </w:p>
    <w:p w14:paraId="3BC9334C" w14:textId="77777777" w:rsidR="00207F87" w:rsidRDefault="00F36374">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14:paraId="30C1C679" w14:textId="77777777" w:rsidR="00207F87" w:rsidRDefault="00F36374">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14:paraId="14E7DDF6" w14:textId="77777777" w:rsidR="00207F87" w:rsidRDefault="00F36374">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INFORMACIÓN.</w:t>
      </w:r>
    </w:p>
    <w:p w14:paraId="1E3ADD38" w14:textId="77777777" w:rsidR="00207F87" w:rsidRDefault="00F36374">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53455F52" w14:textId="77777777" w:rsidR="00207F87" w:rsidRDefault="00F36374">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xml:space="preserve">, administren o posean en el ejercicio de sus atribuciones; por consiguiente, la información pública se encuentra a disposición de cualquier </w:t>
      </w:r>
      <w:r>
        <w:rPr>
          <w:rFonts w:ascii="Palatino Linotype" w:eastAsia="Palatino Linotype" w:hAnsi="Palatino Linotype" w:cs="Palatino Linotype"/>
          <w:color w:val="000000"/>
        </w:rPr>
        <w:lastRenderedPageBreak/>
        <w:t>persona, lo que implica que es deber de los Sujetos Obligados, garantizar el Derecho de Acceso a la Información Pública.</w:t>
      </w:r>
    </w:p>
    <w:p w14:paraId="2766AC8D" w14:textId="77777777" w:rsidR="00207F87" w:rsidRDefault="00F3637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8F655F2" w14:textId="77777777" w:rsidR="00207F87" w:rsidRDefault="00F3637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D4BEBA6" w14:textId="77777777" w:rsidR="00207F87" w:rsidRDefault="00F36374">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349C04C4" w14:textId="77777777" w:rsidR="00207F87" w:rsidRDefault="00F36374">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06F954A" w14:textId="77777777" w:rsidR="00207F87" w:rsidRDefault="00F36374">
      <w:pP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w:t>
      </w:r>
      <w:r>
        <w:rPr>
          <w:rFonts w:ascii="Palatino Linotype" w:eastAsia="Palatino Linotype" w:hAnsi="Palatino Linotype" w:cs="Palatino Linotype"/>
          <w:i/>
          <w:color w:val="000000"/>
          <w:sz w:val="22"/>
          <w:szCs w:val="22"/>
        </w:rPr>
        <w:lastRenderedPageBreak/>
        <w:t>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33BF19AA" w14:textId="77777777" w:rsidR="00207F87" w:rsidRDefault="00F3637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5486A2C" w14:textId="77777777" w:rsidR="00207F87" w:rsidRDefault="00F36374">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061DE48B" w14:textId="77777777" w:rsidR="00207F87" w:rsidRDefault="00F36374">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3D551B5" w14:textId="77777777" w:rsidR="00207F87" w:rsidRDefault="00F36374">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9AC62D8" w14:textId="77777777" w:rsidR="00207F87" w:rsidRDefault="00F36374">
      <w:pPr>
        <w:numPr>
          <w:ilvl w:val="0"/>
          <w:numId w:val="1"/>
        </w:numPr>
        <w:pBdr>
          <w:top w:val="nil"/>
          <w:left w:val="nil"/>
          <w:bottom w:val="nil"/>
          <w:right w:val="nil"/>
          <w:between w:val="nil"/>
        </w:pBdr>
        <w:spacing w:before="240" w:after="240" w:line="276" w:lineRule="auto"/>
        <w:ind w:left="993" w:right="567" w:firstLine="14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1558ED5C" w14:textId="77777777" w:rsidR="00207F87" w:rsidRDefault="00F36374">
      <w:pPr>
        <w:numPr>
          <w:ilvl w:val="0"/>
          <w:numId w:val="1"/>
        </w:numPr>
        <w:pBdr>
          <w:top w:val="nil"/>
          <w:left w:val="nil"/>
          <w:bottom w:val="nil"/>
          <w:right w:val="nil"/>
          <w:between w:val="nil"/>
        </w:pBdr>
        <w:spacing w:before="240" w:after="240" w:line="276" w:lineRule="auto"/>
        <w:ind w:left="993" w:right="567" w:firstLine="14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0F96A3B0" w14:textId="77777777" w:rsidR="00207F87" w:rsidRDefault="00F36374">
      <w:pPr>
        <w:spacing w:before="240" w:after="240" w:line="276" w:lineRule="auto"/>
        <w:ind w:left="993" w:right="567" w:firstLine="14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3) </w:t>
      </w:r>
      <w:r>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2112526F" w14:textId="77777777" w:rsidR="00207F87" w:rsidRDefault="00F3637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14:paraId="56F12857" w14:textId="77777777" w:rsidR="00207F87" w:rsidRDefault="00F36374">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Ahora bien, para profundizar en el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Pr>
          <w:rFonts w:ascii="Palatino Linotype" w:eastAsia="Palatino Linotype" w:hAnsi="Palatino Linotype" w:cs="Palatino Linotype"/>
          <w:i/>
          <w:color w:val="000000"/>
        </w:rPr>
        <w:t xml:space="preserve">“solicito se informe el </w:t>
      </w:r>
      <w:r>
        <w:rPr>
          <w:rFonts w:ascii="Palatino Linotype" w:eastAsia="Palatino Linotype" w:hAnsi="Palatino Linotype" w:cs="Palatino Linotype"/>
          <w:b/>
          <w:i/>
          <w:color w:val="000000"/>
        </w:rPr>
        <w:t>destino comprobado de los gastos que fueron aprobados el año pasado para el festejo del bicentenario del municipio,</w:t>
      </w:r>
      <w:r>
        <w:rPr>
          <w:rFonts w:ascii="Palatino Linotype" w:eastAsia="Palatino Linotype" w:hAnsi="Palatino Linotype" w:cs="Palatino Linotype"/>
          <w:i/>
          <w:color w:val="000000"/>
        </w:rPr>
        <w:t xml:space="preserve"> pues debido a la pandemia no se llevó a cabo, por lo que solicito el destino de ese dinero</w:t>
      </w:r>
      <w:r>
        <w:rPr>
          <w:rFonts w:ascii="Palatino Linotype" w:eastAsia="Palatino Linotype" w:hAnsi="Palatino Linotype" w:cs="Palatino Linotype"/>
          <w:color w:val="000000"/>
        </w:rPr>
        <w:t>.” (Sic)</w:t>
      </w:r>
    </w:p>
    <w:p w14:paraId="7CA57E66" w14:textId="77777777" w:rsidR="00207F87" w:rsidRDefault="00F3637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adjunta oficio número TM/080/2022, de fecha primero de febrero de dos mil veintidós, suscrito y signado por la Tesorera Municipal, mediante el cual informa que: “…</w:t>
      </w:r>
      <w:r>
        <w:rPr>
          <w:rFonts w:ascii="Palatino Linotype" w:eastAsia="Palatino Linotype" w:hAnsi="Palatino Linotype" w:cs="Palatino Linotype"/>
          <w:i/>
        </w:rPr>
        <w:t xml:space="preserve">debido a la emergencia sanitaria que </w:t>
      </w:r>
      <w:r>
        <w:rPr>
          <w:rFonts w:ascii="Palatino Linotype" w:eastAsia="Palatino Linotype" w:hAnsi="Palatino Linotype" w:cs="Palatino Linotype"/>
          <w:i/>
        </w:rPr>
        <w:lastRenderedPageBreak/>
        <w:t xml:space="preserve">actualmente enfrentamos, </w:t>
      </w:r>
      <w:r>
        <w:rPr>
          <w:rFonts w:ascii="Palatino Linotype" w:eastAsia="Palatino Linotype" w:hAnsi="Palatino Linotype" w:cs="Palatino Linotype"/>
          <w:b/>
          <w:i/>
          <w:u w:val="single"/>
        </w:rPr>
        <w:t>no fueron considerados eventos de esa índole, y por lo tanto al no tener programado un evento, no se le destino presupuesto algun</w:t>
      </w:r>
      <w:r>
        <w:rPr>
          <w:rFonts w:ascii="Palatino Linotype" w:eastAsia="Palatino Linotype" w:hAnsi="Palatino Linotype" w:cs="Palatino Linotype"/>
          <w:i/>
        </w:rPr>
        <w:t>o</w:t>
      </w:r>
      <w:r>
        <w:rPr>
          <w:rFonts w:ascii="Palatino Linotype" w:eastAsia="Palatino Linotype" w:hAnsi="Palatino Linotype" w:cs="Palatino Linotype"/>
        </w:rPr>
        <w:t>. …” (Sic), tal y como se aprecia en la siguiente captura de pantalla:</w:t>
      </w:r>
    </w:p>
    <w:p w14:paraId="73EF055D" w14:textId="77777777" w:rsidR="00207F87" w:rsidRDefault="00F36374">
      <w:pPr>
        <w:spacing w:before="240" w:after="240" w:line="360" w:lineRule="auto"/>
        <w:jc w:val="center"/>
        <w:rPr>
          <w:rFonts w:ascii="Palatino Linotype" w:eastAsia="Palatino Linotype" w:hAnsi="Palatino Linotype" w:cs="Palatino Linotype"/>
        </w:rPr>
      </w:pPr>
      <w:r>
        <w:rPr>
          <w:noProof/>
          <w:lang w:val="es-MX"/>
        </w:rPr>
        <w:drawing>
          <wp:inline distT="0" distB="0" distL="0" distR="0" wp14:anchorId="12290378" wp14:editId="4A76C9D1">
            <wp:extent cx="4046313" cy="4638457"/>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66361" t="19311" r="5804" b="23959"/>
                    <a:stretch>
                      <a:fillRect/>
                    </a:stretch>
                  </pic:blipFill>
                  <pic:spPr>
                    <a:xfrm>
                      <a:off x="0" y="0"/>
                      <a:ext cx="4046313" cy="4638457"/>
                    </a:xfrm>
                    <a:prstGeom prst="rect">
                      <a:avLst/>
                    </a:prstGeom>
                    <a:ln/>
                  </pic:spPr>
                </pic:pic>
              </a:graphicData>
            </a:graphic>
          </wp:inline>
        </w:drawing>
      </w:r>
      <w:r>
        <w:rPr>
          <w:noProof/>
          <w:lang w:val="es-MX"/>
        </w:rPr>
        <mc:AlternateContent>
          <mc:Choice Requires="wpg">
            <w:drawing>
              <wp:anchor distT="0" distB="0" distL="114300" distR="114300" simplePos="0" relativeHeight="251658240" behindDoc="0" locked="0" layoutInCell="1" hidden="0" allowOverlap="1" wp14:anchorId="4A292BBF" wp14:editId="2880098B">
                <wp:simplePos x="0" y="0"/>
                <wp:positionH relativeFrom="column">
                  <wp:posOffset>698500</wp:posOffset>
                </wp:positionH>
                <wp:positionV relativeFrom="paragraph">
                  <wp:posOffset>2159000</wp:posOffset>
                </wp:positionV>
                <wp:extent cx="4200525" cy="523875"/>
                <wp:effectExtent l="0" t="0" r="0" b="0"/>
                <wp:wrapNone/>
                <wp:docPr id="15" name="Rectángulo 15"/>
                <wp:cNvGraphicFramePr/>
                <a:graphic xmlns:a="http://schemas.openxmlformats.org/drawingml/2006/main">
                  <a:graphicData uri="http://schemas.microsoft.com/office/word/2010/wordprocessingShape">
                    <wps:wsp>
                      <wps:cNvSpPr/>
                      <wps:spPr>
                        <a:xfrm>
                          <a:off x="3264788" y="3537113"/>
                          <a:ext cx="4162425" cy="485775"/>
                        </a:xfrm>
                        <a:prstGeom prst="rect">
                          <a:avLst/>
                        </a:prstGeom>
                        <a:noFill/>
                        <a:ln w="38100" cap="flat" cmpd="sng">
                          <a:solidFill>
                            <a:srgbClr val="FF0000"/>
                          </a:solidFill>
                          <a:prstDash val="solid"/>
                          <a:round/>
                          <a:headEnd type="none" w="sm" len="sm"/>
                          <a:tailEnd type="none" w="sm" len="sm"/>
                        </a:ln>
                      </wps:spPr>
                      <wps:txbx>
                        <w:txbxContent>
                          <w:p w14:paraId="4309601C" w14:textId="77777777" w:rsidR="00207F87" w:rsidRDefault="00207F87">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698500</wp:posOffset>
                </wp:positionH>
                <wp:positionV relativeFrom="paragraph">
                  <wp:posOffset>2159000</wp:posOffset>
                </wp:positionV>
                <wp:extent cx="4200525" cy="523875"/>
                <wp:effectExtent b="0" l="0" r="0" t="0"/>
                <wp:wrapNone/>
                <wp:docPr id="15"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4200525" cy="523875"/>
                        </a:xfrm>
                        <a:prstGeom prst="rect"/>
                        <a:ln/>
                      </pic:spPr>
                    </pic:pic>
                  </a:graphicData>
                </a:graphic>
              </wp:anchor>
            </w:drawing>
          </mc:Fallback>
        </mc:AlternateContent>
      </w:r>
    </w:p>
    <w:p w14:paraId="33ADB9CC" w14:textId="77777777" w:rsidR="00207F87" w:rsidRDefault="00207F87">
      <w:pPr>
        <w:spacing w:before="240" w:after="240" w:line="360" w:lineRule="auto"/>
        <w:jc w:val="both"/>
        <w:rPr>
          <w:rFonts w:ascii="Palatino Linotype" w:eastAsia="Palatino Linotype" w:hAnsi="Palatino Linotype" w:cs="Palatino Linotype"/>
          <w:color w:val="000000"/>
          <w:sz w:val="22"/>
          <w:szCs w:val="22"/>
        </w:rPr>
      </w:pPr>
    </w:p>
    <w:p w14:paraId="2ABD8813" w14:textId="77777777" w:rsidR="00207F87" w:rsidRDefault="00F36374">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Conocida la respuesta a la solicitud de información, el particular, al no estar conforme con los términos de la misma, interpuso el recurso de revisión que nos ocupa, donde señaló como acto impugnado: </w:t>
      </w:r>
      <w:r>
        <w:rPr>
          <w:rFonts w:ascii="Palatino Linotype" w:eastAsia="Palatino Linotype" w:hAnsi="Palatino Linotype" w:cs="Palatino Linotype"/>
          <w:i/>
        </w:rPr>
        <w:t>“</w:t>
      </w:r>
      <w:r>
        <w:rPr>
          <w:rFonts w:ascii="Palatino Linotype" w:eastAsia="Palatino Linotype" w:hAnsi="Palatino Linotype" w:cs="Palatino Linotype"/>
          <w:b/>
          <w:i/>
          <w:u w:val="single"/>
        </w:rPr>
        <w:t>“falta información.”</w:t>
      </w:r>
      <w:r>
        <w:rPr>
          <w:rFonts w:ascii="Palatino Linotype" w:eastAsia="Palatino Linotype" w:hAnsi="Palatino Linotype" w:cs="Palatino Linotype"/>
          <w:i/>
        </w:rPr>
        <w:t xml:space="preserve"> (Sic)</w:t>
      </w:r>
    </w:p>
    <w:p w14:paraId="441A06E3" w14:textId="77777777" w:rsidR="00207F87" w:rsidRDefault="00F3637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Así las cosas, durante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rindió informe justificado, por su parte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fue omiso al emitir algún pronunciamiento, quedando precluido su derecho.</w:t>
      </w:r>
    </w:p>
    <w:p w14:paraId="3586FEF8" w14:textId="77777777" w:rsidR="00207F87" w:rsidRPr="00E35D86" w:rsidRDefault="00F36374" w:rsidP="00E35D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es necesario señalar que la respuesta que proporcionó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si bien no fue suficiente para el </w:t>
      </w:r>
      <w:r>
        <w:rPr>
          <w:rFonts w:ascii="Palatino Linotype" w:eastAsia="Palatino Linotype" w:hAnsi="Palatino Linotype" w:cs="Palatino Linotype"/>
          <w:b/>
        </w:rPr>
        <w:t>RECURRENTE</w:t>
      </w:r>
      <w:r>
        <w:rPr>
          <w:rFonts w:ascii="Palatino Linotype" w:eastAsia="Palatino Linotype" w:hAnsi="Palatino Linotype" w:cs="Palatino Linotype"/>
        </w:rPr>
        <w:t>, la misma fue proporcionada por el área competente para conocer la información, lo anterior de conformidad con los artículos 93 y 95 fracciones I,</w:t>
      </w:r>
      <w:r w:rsidR="00E35D86">
        <w:rPr>
          <w:rFonts w:ascii="Palatino Linotype" w:eastAsia="Palatino Linotype" w:hAnsi="Palatino Linotype" w:cs="Palatino Linotype"/>
        </w:rPr>
        <w:t xml:space="preserve"> </w:t>
      </w:r>
      <w:r>
        <w:rPr>
          <w:rFonts w:ascii="Palatino Linotype" w:eastAsia="Palatino Linotype" w:hAnsi="Palatino Linotype" w:cs="Palatino Linotype"/>
        </w:rPr>
        <w:t xml:space="preserve">V y VI de la Ley Orgánica Municipal del Estado de México, que citan lo siguiente: </w:t>
      </w:r>
    </w:p>
    <w:p w14:paraId="16F03508" w14:textId="77777777" w:rsidR="00207F87" w:rsidRDefault="00F36374">
      <w:pPr>
        <w:ind w:left="850"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93.-</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 tesorería municipal es el órgano encargado </w:t>
      </w:r>
      <w:r>
        <w:rPr>
          <w:rFonts w:ascii="Palatino Linotype" w:eastAsia="Palatino Linotype" w:hAnsi="Palatino Linotype" w:cs="Palatino Linotype"/>
          <w:i/>
          <w:sz w:val="22"/>
          <w:szCs w:val="22"/>
        </w:rPr>
        <w:t xml:space="preserve">de la recaudación de los ingresos municipales y responsable </w:t>
      </w:r>
      <w:r>
        <w:rPr>
          <w:rFonts w:ascii="Palatino Linotype" w:eastAsia="Palatino Linotype" w:hAnsi="Palatino Linotype" w:cs="Palatino Linotype"/>
          <w:b/>
          <w:i/>
          <w:sz w:val="22"/>
          <w:szCs w:val="22"/>
        </w:rPr>
        <w:t>de realizar las erogaciones que haga el ayuntamiento.</w:t>
      </w:r>
    </w:p>
    <w:p w14:paraId="182F2B95" w14:textId="77777777" w:rsidR="00207F87" w:rsidRDefault="00207F87">
      <w:pPr>
        <w:ind w:left="850" w:right="901"/>
        <w:jc w:val="both"/>
        <w:rPr>
          <w:rFonts w:ascii="Palatino Linotype" w:eastAsia="Palatino Linotype" w:hAnsi="Palatino Linotype" w:cs="Palatino Linotype"/>
          <w:b/>
          <w:i/>
          <w:sz w:val="22"/>
          <w:szCs w:val="22"/>
        </w:rPr>
      </w:pPr>
    </w:p>
    <w:p w14:paraId="64A7A507" w14:textId="77777777" w:rsidR="00207F87" w:rsidRDefault="00207F87">
      <w:pPr>
        <w:ind w:left="850" w:right="901"/>
        <w:jc w:val="both"/>
        <w:rPr>
          <w:rFonts w:ascii="Palatino Linotype" w:eastAsia="Palatino Linotype" w:hAnsi="Palatino Linotype" w:cs="Palatino Linotype"/>
          <w:b/>
          <w:i/>
          <w:sz w:val="22"/>
          <w:szCs w:val="22"/>
        </w:rPr>
      </w:pPr>
    </w:p>
    <w:p w14:paraId="0E72FCB3" w14:textId="77777777" w:rsidR="00207F87" w:rsidRDefault="00F36374">
      <w:pPr>
        <w:ind w:left="850"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95.- Son atribuciones del tesorero municipal:</w:t>
      </w:r>
    </w:p>
    <w:p w14:paraId="6C551BDE" w14:textId="77777777" w:rsidR="00207F87" w:rsidRDefault="00207F87">
      <w:pPr>
        <w:ind w:left="850" w:right="901"/>
        <w:jc w:val="both"/>
        <w:rPr>
          <w:rFonts w:ascii="Palatino Linotype" w:eastAsia="Palatino Linotype" w:hAnsi="Palatino Linotype" w:cs="Palatino Linotype"/>
          <w:b/>
          <w:i/>
          <w:sz w:val="22"/>
          <w:szCs w:val="22"/>
        </w:rPr>
      </w:pPr>
    </w:p>
    <w:p w14:paraId="181B005F" w14:textId="77777777" w:rsidR="00207F87" w:rsidRDefault="00F36374">
      <w:pPr>
        <w:ind w:left="850"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Administrar la hacienda pública municipal, de conformidad con las disposiciones legales aplicables;</w:t>
      </w:r>
    </w:p>
    <w:p w14:paraId="5EEA0591" w14:textId="77777777" w:rsidR="00207F87" w:rsidRDefault="00F36374">
      <w:pPr>
        <w:ind w:left="720" w:right="901"/>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w:t>
      </w:r>
    </w:p>
    <w:p w14:paraId="52E46956" w14:textId="77777777" w:rsidR="00207F87" w:rsidRDefault="00F36374">
      <w:pPr>
        <w:ind w:left="850"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 Proporcionar oportunamente al ayuntamiento todos los datos o informes que sean necesarios para la formulación del Presupuesto de Egresos Municipales, vigilando que se ajuste a las disposiciones de esta Ley y otros ordenamientos aplicables;</w:t>
      </w:r>
    </w:p>
    <w:p w14:paraId="1FA9E408" w14:textId="77777777" w:rsidR="00207F87" w:rsidRDefault="00207F87">
      <w:pPr>
        <w:ind w:left="720" w:right="901"/>
        <w:rPr>
          <w:rFonts w:ascii="Palatino Linotype" w:eastAsia="Palatino Linotype" w:hAnsi="Palatino Linotype" w:cs="Palatino Linotype"/>
          <w:b/>
          <w:i/>
          <w:sz w:val="22"/>
          <w:szCs w:val="22"/>
        </w:rPr>
      </w:pPr>
    </w:p>
    <w:p w14:paraId="539DCDF0" w14:textId="77777777" w:rsidR="00207F87" w:rsidRDefault="00F36374">
      <w:pPr>
        <w:ind w:left="851" w:right="901"/>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 Llevar los registros contables, financieros y administrativos de los ingresos, egresos, e inventarios.</w:t>
      </w:r>
    </w:p>
    <w:p w14:paraId="67F25184" w14:textId="77777777" w:rsidR="00207F87" w:rsidRDefault="00F36374">
      <w:pPr>
        <w:ind w:left="850"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562E3348" w14:textId="77777777" w:rsidR="00207F87" w:rsidRDefault="00207F87">
      <w:pPr>
        <w:ind w:left="850" w:right="901"/>
        <w:jc w:val="both"/>
        <w:rPr>
          <w:rFonts w:ascii="Palatino Linotype" w:eastAsia="Palatino Linotype" w:hAnsi="Palatino Linotype" w:cs="Palatino Linotype"/>
          <w:i/>
          <w:sz w:val="22"/>
          <w:szCs w:val="22"/>
        </w:rPr>
      </w:pPr>
    </w:p>
    <w:p w14:paraId="45723470" w14:textId="77777777" w:rsidR="00207F87" w:rsidRDefault="00F36374">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49527A03" w14:textId="77777777" w:rsidR="00207F87" w:rsidRDefault="00207F87">
      <w:pPr>
        <w:spacing w:line="360" w:lineRule="auto"/>
        <w:jc w:val="both"/>
        <w:rPr>
          <w:rFonts w:ascii="Palatino Linotype" w:eastAsia="Palatino Linotype" w:hAnsi="Palatino Linotype" w:cs="Palatino Linotype"/>
        </w:rPr>
      </w:pPr>
    </w:p>
    <w:p w14:paraId="7C1FB04F" w14:textId="77777777" w:rsidR="00207F87" w:rsidRDefault="00F3637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lo anterior se observa que es a través de la Tesorería Municipal, que se administra la hacienda pública municipal, </w:t>
      </w:r>
      <w:r w:rsidR="00E35D86">
        <w:rPr>
          <w:rFonts w:ascii="Palatino Linotype" w:eastAsia="Palatino Linotype" w:hAnsi="Palatino Linotype" w:cs="Palatino Linotype"/>
        </w:rPr>
        <w:t>y se llevan los</w:t>
      </w:r>
      <w:r>
        <w:rPr>
          <w:rFonts w:ascii="Palatino Linotype" w:eastAsia="Palatino Linotype" w:hAnsi="Palatino Linotype" w:cs="Palatino Linotype"/>
        </w:rPr>
        <w:t xml:space="preserve"> registros contables</w:t>
      </w:r>
      <w:r w:rsidR="00E35D86">
        <w:rPr>
          <w:rFonts w:ascii="Palatino Linotype" w:eastAsia="Palatino Linotype" w:hAnsi="Palatino Linotype" w:cs="Palatino Linotype"/>
        </w:rPr>
        <w:t>,</w:t>
      </w:r>
      <w:r w:rsidR="00E35D86" w:rsidRPr="00E35D86">
        <w:t xml:space="preserve"> </w:t>
      </w:r>
      <w:r w:rsidR="00E35D86" w:rsidRPr="00E35D86">
        <w:rPr>
          <w:rFonts w:ascii="Palatino Linotype" w:eastAsia="Palatino Linotype" w:hAnsi="Palatino Linotype" w:cs="Palatino Linotype"/>
        </w:rPr>
        <w:t xml:space="preserve">financieros y administrativos </w:t>
      </w:r>
      <w:r w:rsidR="00E35D86">
        <w:rPr>
          <w:rFonts w:ascii="Palatino Linotype" w:eastAsia="Palatino Linotype" w:hAnsi="Palatino Linotype" w:cs="Palatino Linotype"/>
        </w:rPr>
        <w:t xml:space="preserve">de </w:t>
      </w:r>
      <w:r>
        <w:rPr>
          <w:rFonts w:ascii="Palatino Linotype" w:eastAsia="Palatino Linotype" w:hAnsi="Palatino Linotype" w:cs="Palatino Linotype"/>
        </w:rPr>
        <w:t>los egresos, por lo que dentro de sus atribuciones, puede generar, poseer o administrar la información solicitada, máxime que existe el capítulo y concepto en específico para los espectáculos cívicos y culturales contemplado en el Manual Único de Contabilidad Gubernamental para las Dependencias y Entidades Públicas del Gobierno y Municipios del Estado de México (vigésima edición) 2021, el cual cabe traer a contexto, mismo que contempla lo siguiente:</w:t>
      </w:r>
    </w:p>
    <w:p w14:paraId="66BBC421" w14:textId="77777777" w:rsidR="00207F87" w:rsidRDefault="00207F87">
      <w:pPr>
        <w:spacing w:line="360" w:lineRule="auto"/>
        <w:jc w:val="both"/>
        <w:rPr>
          <w:rFonts w:ascii="Palatino Linotype" w:eastAsia="Palatino Linotype" w:hAnsi="Palatino Linotype" w:cs="Palatino Linotype"/>
          <w:sz w:val="16"/>
          <w:szCs w:val="16"/>
        </w:rPr>
      </w:pPr>
    </w:p>
    <w:p w14:paraId="4C600286" w14:textId="77777777" w:rsidR="00207F87" w:rsidRDefault="00F36374">
      <w:pPr>
        <w:ind w:left="850" w:right="901"/>
        <w:jc w:val="both"/>
        <w:rPr>
          <w:rFonts w:ascii="Palatino Linotype" w:eastAsia="Palatino Linotype" w:hAnsi="Palatino Linotype" w:cs="Palatino Linotype"/>
          <w:i/>
        </w:rPr>
      </w:pPr>
      <w:r>
        <w:rPr>
          <w:rFonts w:ascii="Palatino Linotype" w:eastAsia="Palatino Linotype" w:hAnsi="Palatino Linotype" w:cs="Palatino Linotype"/>
          <w:i/>
        </w:rPr>
        <w:t>“3800 SERVICIOS OFICIALES</w:t>
      </w:r>
    </w:p>
    <w:p w14:paraId="1A4DB509" w14:textId="77777777" w:rsidR="00207F87" w:rsidRDefault="00F36374">
      <w:pPr>
        <w:ind w:left="850" w:right="90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226D264" w14:textId="77777777" w:rsidR="00207F87" w:rsidRDefault="00F36374">
      <w:pPr>
        <w:ind w:left="850" w:right="901"/>
        <w:jc w:val="both"/>
        <w:rPr>
          <w:rFonts w:ascii="Palatino Linotype" w:eastAsia="Palatino Linotype" w:hAnsi="Palatino Linotype" w:cs="Palatino Linotype"/>
          <w:i/>
        </w:rPr>
      </w:pPr>
      <w:r>
        <w:rPr>
          <w:rFonts w:ascii="Palatino Linotype" w:eastAsia="Palatino Linotype" w:hAnsi="Palatino Linotype" w:cs="Palatino Linotype"/>
          <w:i/>
        </w:rPr>
        <w:t>3822 Espectáculos cívicos y culturales. Asignación para cubrir el desarrollo de espectáculos cívicos y culturales para fomentar la identidad entre la ciudadanía.</w:t>
      </w:r>
    </w:p>
    <w:p w14:paraId="1662220B" w14:textId="77777777" w:rsidR="00207F87" w:rsidRDefault="00F36374">
      <w:pPr>
        <w:ind w:left="850" w:right="90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4DC0C00F" w14:textId="77777777" w:rsidR="00207F87" w:rsidRDefault="00207F87">
      <w:pPr>
        <w:spacing w:line="360" w:lineRule="auto"/>
        <w:jc w:val="both"/>
        <w:rPr>
          <w:rFonts w:ascii="Palatino Linotype" w:eastAsia="Palatino Linotype" w:hAnsi="Palatino Linotype" w:cs="Palatino Linotype"/>
          <w:sz w:val="16"/>
          <w:szCs w:val="16"/>
        </w:rPr>
      </w:pPr>
    </w:p>
    <w:p w14:paraId="7694E4E6" w14:textId="77777777" w:rsidR="00207F87" w:rsidRDefault="00F3637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teniendo en cuenta que el Tesorero Municipal tiene la facultad de solicitar recursos públicos para espectáculos cívicos y culturales mediante el Estado Analítico del Ejercicio del Presupuesto de Egresos Detallado (Clasificación por Objeto del Gasto), este Organismo Garante estima que el pronunciamiento fue emitido en efecto por el servidor público habilitado competente. </w:t>
      </w:r>
    </w:p>
    <w:p w14:paraId="491E4982" w14:textId="77777777" w:rsidR="00207F87" w:rsidRPr="00E35D86" w:rsidRDefault="00F36374">
      <w:pPr>
        <w:spacing w:before="240" w:after="240" w:line="360" w:lineRule="auto"/>
        <w:jc w:val="both"/>
        <w:rPr>
          <w:rFonts w:ascii="Palatino Linotype" w:eastAsia="Palatino Linotype" w:hAnsi="Palatino Linotype" w:cs="Palatino Linotype"/>
          <w:szCs w:val="22"/>
        </w:rPr>
      </w:pPr>
      <w:r w:rsidRPr="00E35D86">
        <w:rPr>
          <w:rFonts w:ascii="Palatino Linotype" w:eastAsia="Palatino Linotype" w:hAnsi="Palatino Linotype" w:cs="Palatino Linotype"/>
          <w:szCs w:val="22"/>
        </w:rPr>
        <w:t>Por consiguiente</w:t>
      </w:r>
      <w:r w:rsidR="00E35D86">
        <w:rPr>
          <w:rFonts w:ascii="Palatino Linotype" w:eastAsia="Palatino Linotype" w:hAnsi="Palatino Linotype" w:cs="Palatino Linotype"/>
          <w:szCs w:val="22"/>
        </w:rPr>
        <w:t>, de la respuesta proporcionada por la Tesorería Municipal,</w:t>
      </w:r>
      <w:r w:rsidR="00113784">
        <w:rPr>
          <w:rFonts w:ascii="Palatino Linotype" w:eastAsia="Palatino Linotype" w:hAnsi="Palatino Linotype" w:cs="Palatino Linotype"/>
          <w:szCs w:val="22"/>
        </w:rPr>
        <w:t xml:space="preserve"> en la que señalan que</w:t>
      </w:r>
      <w:r w:rsidR="00E35D86" w:rsidRPr="00E35D86">
        <w:t xml:space="preserve"> </w:t>
      </w:r>
      <w:r w:rsidR="00E35D86" w:rsidRPr="00E35D86">
        <w:rPr>
          <w:rFonts w:ascii="Palatino Linotype" w:eastAsia="Palatino Linotype" w:hAnsi="Palatino Linotype" w:cs="Palatino Linotype"/>
          <w:szCs w:val="22"/>
        </w:rPr>
        <w:t>no fueron considerados eventos de esa índole, y por lo tanto</w:t>
      </w:r>
      <w:r w:rsidR="00E35D86">
        <w:rPr>
          <w:rFonts w:ascii="Palatino Linotype" w:eastAsia="Palatino Linotype" w:hAnsi="Palatino Linotype" w:cs="Palatino Linotype"/>
          <w:szCs w:val="22"/>
        </w:rPr>
        <w:t xml:space="preserve">, </w:t>
      </w:r>
      <w:r w:rsidR="00E35D86" w:rsidRPr="00E35D86">
        <w:rPr>
          <w:rFonts w:ascii="Palatino Linotype" w:eastAsia="Palatino Linotype" w:hAnsi="Palatino Linotype" w:cs="Palatino Linotype"/>
          <w:szCs w:val="22"/>
        </w:rPr>
        <w:t>al no tener programado un evento, no se le destino presupuesto alguno</w:t>
      </w:r>
      <w:r w:rsidR="00E35D86">
        <w:rPr>
          <w:rFonts w:ascii="Palatino Linotype" w:eastAsia="Palatino Linotype" w:hAnsi="Palatino Linotype" w:cs="Palatino Linotype"/>
          <w:szCs w:val="22"/>
        </w:rPr>
        <w:t xml:space="preserve">,  se advierte que el </w:t>
      </w:r>
      <w:r w:rsidR="00E35D86" w:rsidRPr="00E35D86">
        <w:rPr>
          <w:rFonts w:ascii="Palatino Linotype" w:eastAsia="Palatino Linotype" w:hAnsi="Palatino Linotype" w:cs="Palatino Linotype"/>
          <w:b/>
          <w:szCs w:val="22"/>
        </w:rPr>
        <w:t>SUJETO OBLIGADO</w:t>
      </w:r>
      <w:r w:rsidRPr="00E35D86">
        <w:rPr>
          <w:rFonts w:ascii="Palatino Linotype" w:eastAsia="Palatino Linotype" w:hAnsi="Palatino Linotype" w:cs="Palatino Linotype"/>
          <w:szCs w:val="22"/>
        </w:rPr>
        <w:t xml:space="preserve"> no posee, administra ni genera la información requerida por el particular, </w:t>
      </w:r>
      <w:r w:rsidR="00E35D86">
        <w:rPr>
          <w:rFonts w:ascii="Palatino Linotype" w:eastAsia="Palatino Linotype" w:hAnsi="Palatino Linotype" w:cs="Palatino Linotype"/>
          <w:szCs w:val="22"/>
        </w:rPr>
        <w:t xml:space="preserve">por lo que </w:t>
      </w:r>
      <w:r w:rsidRPr="00E35D86">
        <w:rPr>
          <w:rFonts w:ascii="Palatino Linotype" w:eastAsia="Palatino Linotype" w:hAnsi="Palatino Linotype" w:cs="Palatino Linotype"/>
          <w:szCs w:val="22"/>
        </w:rPr>
        <w:t xml:space="preserve">constituye un hecho negativo; entonces, si se considera </w:t>
      </w:r>
      <w:r w:rsidRPr="00E35D86">
        <w:rPr>
          <w:rFonts w:ascii="Palatino Linotype" w:eastAsia="Palatino Linotype" w:hAnsi="Palatino Linotype" w:cs="Palatino Linotype"/>
          <w:szCs w:val="22"/>
        </w:rPr>
        <w:lastRenderedPageBreak/>
        <w:t xml:space="preserve">el hecho negativo, es obvio que éste no puede fácticamente obrar en los archivos del </w:t>
      </w:r>
      <w:r w:rsidRPr="00E35D86">
        <w:rPr>
          <w:rFonts w:ascii="Palatino Linotype" w:eastAsia="Palatino Linotype" w:hAnsi="Palatino Linotype" w:cs="Palatino Linotype"/>
          <w:b/>
          <w:szCs w:val="22"/>
        </w:rPr>
        <w:t>SUJETO OBLIGADO</w:t>
      </w:r>
      <w:r w:rsidRPr="00E35D86">
        <w:rPr>
          <w:rFonts w:ascii="Palatino Linotype" w:eastAsia="Palatino Linotype" w:hAnsi="Palatino Linotype" w:cs="Palatino Linotype"/>
          <w:szCs w:val="22"/>
        </w:rPr>
        <w:t>, ya que no puede probarse por ser lógica y materialmente imposible.</w:t>
      </w:r>
    </w:p>
    <w:p w14:paraId="29F6E71B" w14:textId="77777777" w:rsidR="00207F87" w:rsidRPr="0007357B" w:rsidRDefault="00F36374">
      <w:pPr>
        <w:spacing w:before="240" w:after="240" w:line="360" w:lineRule="auto"/>
        <w:jc w:val="both"/>
        <w:rPr>
          <w:rFonts w:ascii="Palatino Linotype" w:eastAsia="Palatino Linotype" w:hAnsi="Palatino Linotype" w:cs="Palatino Linotype"/>
          <w:szCs w:val="22"/>
        </w:rPr>
      </w:pPr>
      <w:r w:rsidRPr="0007357B">
        <w:rPr>
          <w:rFonts w:ascii="Palatino Linotype" w:eastAsia="Palatino Linotype" w:hAnsi="Palatino Linotype" w:cs="Palatino Linotype"/>
          <w:szCs w:val="22"/>
        </w:rPr>
        <w:t>Asimismo, no se trata de un caso por el cual la negación del hecho implique la afirmación del mismo, simplemente se está ante una notoria y evidente inexistencia fáctica de la información solicitada.</w:t>
      </w:r>
    </w:p>
    <w:p w14:paraId="000CB959" w14:textId="77777777" w:rsidR="00207F87" w:rsidRPr="0007357B" w:rsidRDefault="00F36374">
      <w:pPr>
        <w:spacing w:before="240" w:after="240" w:line="360" w:lineRule="auto"/>
        <w:jc w:val="both"/>
        <w:rPr>
          <w:rFonts w:ascii="Palatino Linotype" w:eastAsia="Palatino Linotype" w:hAnsi="Palatino Linotype" w:cs="Palatino Linotype"/>
          <w:szCs w:val="22"/>
        </w:rPr>
      </w:pPr>
      <w:r w:rsidRPr="0007357B">
        <w:rPr>
          <w:rFonts w:ascii="Palatino Linotype" w:eastAsia="Palatino Linotype" w:hAnsi="Palatino Linotype" w:cs="Palatino Linotype"/>
          <w:szCs w:val="22"/>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032F4A33" w14:textId="77777777" w:rsidR="00207F87" w:rsidRDefault="00F36374">
      <w:pPr>
        <w:spacing w:line="360" w:lineRule="auto"/>
        <w:ind w:left="860" w:right="5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HECHOS NEGATIVOS, NO SON SUSCEPTIBLES DE DEMOSTRACIÓN.</w:t>
      </w:r>
    </w:p>
    <w:p w14:paraId="483E4937" w14:textId="77777777" w:rsidR="00207F87" w:rsidRDefault="00F36374">
      <w:pPr>
        <w:spacing w:line="360" w:lineRule="auto"/>
        <w:ind w:left="860" w:right="5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un hecho negativo, el Juez no tiene por que invocar prueba alguna de la que se desprenda, ya que es bien sabido que esta clase de hechos no son susceptibles de demostración.</w:t>
      </w:r>
    </w:p>
    <w:p w14:paraId="188B9D71" w14:textId="77777777" w:rsidR="00207F87" w:rsidRDefault="00F36374">
      <w:pPr>
        <w:spacing w:line="360" w:lineRule="auto"/>
        <w:ind w:left="860" w:right="5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Amparo en revisión 2022/61. José García Florín (Menor). 9 de octubre de 1961. Cinco votos. Ponente: José Rivera Pérez Campos.”</w:t>
      </w:r>
    </w:p>
    <w:p w14:paraId="3F23ACE0" w14:textId="77777777" w:rsidR="00207F87" w:rsidRPr="0007357B" w:rsidRDefault="00F36374">
      <w:pPr>
        <w:spacing w:before="240" w:after="240" w:line="360" w:lineRule="auto"/>
        <w:jc w:val="both"/>
        <w:rPr>
          <w:rFonts w:ascii="Palatino Linotype" w:eastAsia="Palatino Linotype" w:hAnsi="Palatino Linotype" w:cs="Palatino Linotype"/>
          <w:szCs w:val="22"/>
        </w:rPr>
      </w:pPr>
      <w:r w:rsidRPr="0007357B">
        <w:rPr>
          <w:rFonts w:ascii="Palatino Linotype" w:eastAsia="Palatino Linotype" w:hAnsi="Palatino Linotype" w:cs="Palatino Linotype"/>
          <w:szCs w:val="22"/>
        </w:rPr>
        <w:t xml:space="preserve">Además, y de conformidad con lo establecido en el artículo 12 de la Ley de Transparencia y Acceso a la Información Pública del Estado de México y Municipios, anteriormente invocado el </w:t>
      </w:r>
      <w:r w:rsidRPr="0007357B">
        <w:rPr>
          <w:rFonts w:ascii="Palatino Linotype" w:eastAsia="Palatino Linotype" w:hAnsi="Palatino Linotype" w:cs="Palatino Linotype"/>
          <w:b/>
          <w:szCs w:val="22"/>
        </w:rPr>
        <w:t>SUJETO OBLIGADO</w:t>
      </w:r>
      <w:r w:rsidRPr="0007357B">
        <w:rPr>
          <w:rFonts w:ascii="Palatino Linotype" w:eastAsia="Palatino Linotype" w:hAnsi="Palatino Linotype" w:cs="Palatino Linotype"/>
          <w:szCs w:val="22"/>
        </w:rPr>
        <w:t xml:space="preserve"> sólo proporcionará la información que obra en sus archivos, lo que a</w:t>
      </w:r>
      <w:r w:rsidRPr="0007357B">
        <w:rPr>
          <w:rFonts w:ascii="Palatino Linotype" w:eastAsia="Palatino Linotype" w:hAnsi="Palatino Linotype" w:cs="Palatino Linotype"/>
          <w:i/>
          <w:szCs w:val="22"/>
        </w:rPr>
        <w:t xml:space="preserve"> contrario sensu</w:t>
      </w:r>
      <w:r w:rsidRPr="0007357B">
        <w:rPr>
          <w:rFonts w:ascii="Palatino Linotype" w:eastAsia="Palatino Linotype" w:hAnsi="Palatino Linotype" w:cs="Palatino Linotype"/>
          <w:szCs w:val="22"/>
        </w:rPr>
        <w:t xml:space="preserve"> significa que no se está obligado a </w:t>
      </w:r>
      <w:r w:rsidRPr="0007357B">
        <w:rPr>
          <w:rFonts w:ascii="Palatino Linotype" w:eastAsia="Palatino Linotype" w:hAnsi="Palatino Linotype" w:cs="Palatino Linotype"/>
          <w:szCs w:val="22"/>
        </w:rPr>
        <w:lastRenderedPageBreak/>
        <w:t>proporcionar lo que no obre en sus archivos; por ende, las razones o motivos de inconformidad al respecto devienen infundados.</w:t>
      </w:r>
    </w:p>
    <w:p w14:paraId="56ABE963" w14:textId="77777777" w:rsidR="00207F87" w:rsidRPr="0007357B" w:rsidRDefault="00F36374">
      <w:pPr>
        <w:spacing w:before="240" w:after="240" w:line="360" w:lineRule="auto"/>
        <w:jc w:val="both"/>
        <w:rPr>
          <w:rFonts w:ascii="Palatino Linotype" w:eastAsia="Palatino Linotype" w:hAnsi="Palatino Linotype" w:cs="Palatino Linotype"/>
          <w:szCs w:val="22"/>
        </w:rPr>
      </w:pPr>
      <w:r w:rsidRPr="0007357B">
        <w:rPr>
          <w:rFonts w:ascii="Palatino Linotype" w:eastAsia="Palatino Linotype" w:hAnsi="Palatino Linotype" w:cs="Palatino Linotype"/>
          <w:szCs w:val="22"/>
        </w:rPr>
        <w:t xml:space="preserve">Aunado a lo anterior, este Pleno considera necesario dejar claro que, al haber existido un pronunciamiento por parte del </w:t>
      </w:r>
      <w:r w:rsidRPr="0007357B">
        <w:rPr>
          <w:rFonts w:ascii="Palatino Linotype" w:eastAsia="Palatino Linotype" w:hAnsi="Palatino Linotype" w:cs="Palatino Linotype"/>
          <w:b/>
          <w:szCs w:val="22"/>
        </w:rPr>
        <w:t>SUJETO OBLIGADO</w:t>
      </w:r>
      <w:r w:rsidRPr="0007357B">
        <w:rPr>
          <w:rFonts w:ascii="Palatino Linotype" w:eastAsia="Palatino Linotype" w:hAnsi="Palatino Linotype" w:cs="Palatino Linotype"/>
          <w:szCs w:val="22"/>
        </w:rPr>
        <w:t>,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1C2556E8" w14:textId="77777777" w:rsidR="00207F87" w:rsidRDefault="00F36374" w:rsidP="0007357B">
      <w:pPr>
        <w:spacing w:line="276" w:lineRule="auto"/>
        <w:ind w:left="860" w:right="5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07357B">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F83B0E3" w14:textId="77777777" w:rsidR="00207F87" w:rsidRDefault="00207F87">
      <w:pPr>
        <w:spacing w:line="276" w:lineRule="auto"/>
        <w:rPr>
          <w:rFonts w:ascii="Arial" w:eastAsia="Arial" w:hAnsi="Arial" w:cs="Arial"/>
          <w:sz w:val="22"/>
          <w:szCs w:val="22"/>
        </w:rPr>
      </w:pPr>
    </w:p>
    <w:p w14:paraId="5A25CD8E" w14:textId="77777777" w:rsidR="00207F87" w:rsidRDefault="00F3637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Bajo ese contexto, se considera que con el pronunciamiento realizado  por el </w:t>
      </w:r>
      <w:r>
        <w:rPr>
          <w:rFonts w:ascii="Palatino Linotype" w:eastAsia="Palatino Linotype" w:hAnsi="Palatino Linotype" w:cs="Palatino Linotype"/>
          <w:b/>
        </w:rPr>
        <w:t>Sujeto Obligado en respuesta a la solicitud de información</w:t>
      </w:r>
      <w:r>
        <w:rPr>
          <w:rFonts w:ascii="Palatino Linotype" w:eastAsia="Palatino Linotype" w:hAnsi="Palatino Linotype" w:cs="Palatino Linotype"/>
        </w:rPr>
        <w:t xml:space="preserve">, colma en su totalidad con la información solicitada por el </w:t>
      </w:r>
      <w:r>
        <w:rPr>
          <w:rFonts w:ascii="Palatino Linotype" w:eastAsia="Palatino Linotype" w:hAnsi="Palatino Linotype" w:cs="Palatino Linotype"/>
          <w:b/>
        </w:rPr>
        <w:t>Recurrente</w:t>
      </w:r>
      <w:r>
        <w:rPr>
          <w:rFonts w:ascii="Palatino Linotype" w:eastAsia="Palatino Linotype" w:hAnsi="Palatino Linotype" w:cs="Palatino Linotype"/>
        </w:rPr>
        <w:t>.</w:t>
      </w:r>
    </w:p>
    <w:p w14:paraId="774B994C" w14:textId="77777777" w:rsidR="00207F87" w:rsidRDefault="00207F87">
      <w:pPr>
        <w:spacing w:line="360" w:lineRule="auto"/>
        <w:jc w:val="both"/>
        <w:rPr>
          <w:rFonts w:ascii="Palatino Linotype" w:eastAsia="Palatino Linotype" w:hAnsi="Palatino Linotype" w:cs="Palatino Linotype"/>
        </w:rPr>
      </w:pPr>
    </w:p>
    <w:p w14:paraId="2A44FB36" w14:textId="77777777" w:rsidR="00207F87" w:rsidRDefault="00F3637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en mérito de lo expuesto en líneas anteriores, resultan </w:t>
      </w:r>
      <w:r>
        <w:rPr>
          <w:rFonts w:ascii="Palatino Linotype" w:eastAsia="Palatino Linotype" w:hAnsi="Palatino Linotype" w:cs="Palatino Linotype"/>
          <w:b/>
        </w:rPr>
        <w:t>infundadas</w:t>
      </w:r>
      <w:r>
        <w:rPr>
          <w:rFonts w:ascii="Palatino Linotype" w:eastAsia="Palatino Linotype" w:hAnsi="Palatino Linotype" w:cs="Palatino Linotype"/>
        </w:rPr>
        <w:t xml:space="preserve"> las razones o motivos de inconformidad que arguye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por ello con fundamento en el artículo 186, fracción II, de la Ley de Transparencia y Acceso a la Información Pública del Estado de México y Municipios, se </w:t>
      </w:r>
      <w:r>
        <w:rPr>
          <w:rFonts w:ascii="Palatino Linotype" w:eastAsia="Palatino Linotype" w:hAnsi="Palatino Linotype" w:cs="Palatino Linotype"/>
          <w:b/>
        </w:rPr>
        <w:t>CONFIRMA</w:t>
      </w:r>
      <w:r>
        <w:rPr>
          <w:rFonts w:ascii="Palatino Linotype" w:eastAsia="Palatino Linotype" w:hAnsi="Palatino Linotype" w:cs="Palatino Linotype"/>
        </w:rPr>
        <w:t xml:space="preserve"> la respuesta a la solicitud de información pública</w:t>
      </w:r>
      <w:r>
        <w:rPr>
          <w:rFonts w:ascii="Palatino Linotype" w:eastAsia="Palatino Linotype" w:hAnsi="Palatino Linotype" w:cs="Palatino Linotype"/>
          <w:b/>
        </w:rPr>
        <w:t xml:space="preserve"> 00042/CHALCO/IP/2022</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que ha sido materia del presente fallo.</w:t>
      </w:r>
    </w:p>
    <w:p w14:paraId="3366112C" w14:textId="77777777" w:rsidR="00207F87" w:rsidRDefault="00F36374">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6DAD948E" w14:textId="77777777" w:rsidR="00207F87" w:rsidRDefault="00F36374">
      <w:pPr>
        <w:pBdr>
          <w:top w:val="nil"/>
          <w:left w:val="nil"/>
          <w:bottom w:val="nil"/>
          <w:right w:val="nil"/>
          <w:between w:val="nil"/>
        </w:pBdr>
        <w:spacing w:before="240" w:after="240"/>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III. R E S U E L V E</w:t>
      </w:r>
    </w:p>
    <w:p w14:paraId="3729080B" w14:textId="77777777" w:rsidR="00207F87" w:rsidRDefault="00207F87">
      <w:pPr>
        <w:pBdr>
          <w:top w:val="nil"/>
          <w:left w:val="nil"/>
          <w:bottom w:val="nil"/>
          <w:right w:val="nil"/>
          <w:between w:val="nil"/>
        </w:pBdr>
        <w:spacing w:before="240" w:after="240"/>
        <w:jc w:val="center"/>
        <w:rPr>
          <w:color w:val="000000"/>
        </w:rPr>
      </w:pPr>
    </w:p>
    <w:p w14:paraId="3C265C99" w14:textId="77777777" w:rsidR="00207F87" w:rsidRDefault="00F36374">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PRIMERO. </w:t>
      </w:r>
      <w:r>
        <w:rPr>
          <w:rFonts w:ascii="Palatino Linotype" w:eastAsia="Palatino Linotype" w:hAnsi="Palatino Linotype" w:cs="Palatino Linotype"/>
          <w:color w:val="000000"/>
        </w:rPr>
        <w:t xml:space="preserve">Resultan </w:t>
      </w:r>
      <w:r>
        <w:rPr>
          <w:rFonts w:ascii="Palatino Linotype" w:eastAsia="Palatino Linotype" w:hAnsi="Palatino Linotype" w:cs="Palatino Linotype"/>
          <w:b/>
          <w:color w:val="000000"/>
        </w:rPr>
        <w:t>INFUNDADA</w:t>
      </w:r>
      <w:r>
        <w:rPr>
          <w:rFonts w:ascii="Palatino Linotype" w:eastAsia="Palatino Linotype" w:hAnsi="Palatino Linotype" w:cs="Palatino Linotype"/>
          <w:color w:val="000000"/>
        </w:rPr>
        <w:t>S las razones o motivos de inconformidad</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hechos valer en el Recurso de Revisión </w:t>
      </w:r>
      <w:r>
        <w:rPr>
          <w:rFonts w:ascii="Palatino Linotype" w:eastAsia="Palatino Linotype" w:hAnsi="Palatino Linotype" w:cs="Palatino Linotype"/>
          <w:b/>
          <w:color w:val="000000"/>
        </w:rPr>
        <w:t>02</w:t>
      </w:r>
      <w:r>
        <w:rPr>
          <w:rFonts w:ascii="Palatino Linotype" w:eastAsia="Palatino Linotype" w:hAnsi="Palatino Linotype" w:cs="Palatino Linotype"/>
          <w:b/>
        </w:rPr>
        <w:t>374</w:t>
      </w:r>
      <w:r>
        <w:rPr>
          <w:rFonts w:ascii="Palatino Linotype" w:eastAsia="Palatino Linotype" w:hAnsi="Palatino Linotype" w:cs="Palatino Linotype"/>
          <w:b/>
          <w:color w:val="000000"/>
        </w:rPr>
        <w:t>/INFOEM/IP/RR/2022</w:t>
      </w:r>
      <w:r>
        <w:rPr>
          <w:rFonts w:ascii="Palatino Linotype" w:eastAsia="Palatino Linotype" w:hAnsi="Palatino Linotype" w:cs="Palatino Linotype"/>
          <w:color w:val="000000"/>
        </w:rPr>
        <w:t>, en términos</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del Considerando </w:t>
      </w:r>
      <w:r>
        <w:rPr>
          <w:rFonts w:ascii="Palatino Linotype" w:eastAsia="Palatino Linotype" w:hAnsi="Palatino Linotype" w:cs="Palatino Linotype"/>
          <w:b/>
          <w:color w:val="000000"/>
        </w:rPr>
        <w:t>Cuarto</w:t>
      </w:r>
      <w:r>
        <w:rPr>
          <w:rFonts w:ascii="Palatino Linotype" w:eastAsia="Palatino Linotype" w:hAnsi="Palatino Linotype" w:cs="Palatino Linotype"/>
          <w:color w:val="000000"/>
        </w:rPr>
        <w:t xml:space="preserve"> de la presente resolución.</w:t>
      </w:r>
    </w:p>
    <w:p w14:paraId="26BB21D1" w14:textId="77777777" w:rsidR="00207F87" w:rsidRDefault="00F36374">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 </w:t>
      </w:r>
    </w:p>
    <w:p w14:paraId="740D064C" w14:textId="77777777" w:rsidR="00207F87" w:rsidRDefault="00F36374">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lastRenderedPageBreak/>
        <w:t>SEGUNDA</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color w:val="000000"/>
        </w:rPr>
        <w:t>CONFIRMA</w:t>
      </w:r>
      <w:r>
        <w:rPr>
          <w:rFonts w:ascii="Palatino Linotype" w:eastAsia="Palatino Linotype" w:hAnsi="Palatino Linotype" w:cs="Palatino Linotype"/>
          <w:color w:val="000000"/>
        </w:rPr>
        <w:t xml:space="preserve">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b/>
        </w:rPr>
        <w:t xml:space="preserve"> </w:t>
      </w:r>
      <w:r>
        <w:rPr>
          <w:rFonts w:ascii="Palatino Linotype" w:eastAsia="Palatino Linotype" w:hAnsi="Palatino Linotype" w:cs="Palatino Linotype"/>
        </w:rPr>
        <w:t>otorgada a</w:t>
      </w:r>
      <w:r>
        <w:rPr>
          <w:rFonts w:ascii="Palatino Linotype" w:eastAsia="Palatino Linotype" w:hAnsi="Palatino Linotype" w:cs="Palatino Linotype"/>
          <w:color w:val="000000"/>
        </w:rPr>
        <w:t xml:space="preserve"> la solicitud de información </w:t>
      </w:r>
      <w:r>
        <w:rPr>
          <w:rFonts w:ascii="Palatino Linotype" w:eastAsia="Palatino Linotype" w:hAnsi="Palatino Linotype" w:cs="Palatino Linotype"/>
          <w:b/>
          <w:color w:val="000000"/>
        </w:rPr>
        <w:t>00042/CHALCO/IP/2022</w:t>
      </w:r>
      <w:r>
        <w:rPr>
          <w:rFonts w:ascii="Palatino Linotype" w:eastAsia="Palatino Linotype" w:hAnsi="Palatino Linotype" w:cs="Palatino Linotype"/>
          <w:color w:val="000000"/>
        </w:rPr>
        <w:t xml:space="preserve">,  en términos del Considerando </w:t>
      </w:r>
      <w:r>
        <w:rPr>
          <w:rFonts w:ascii="Palatino Linotype" w:eastAsia="Palatino Linotype" w:hAnsi="Palatino Linotype" w:cs="Palatino Linotype"/>
          <w:b/>
          <w:color w:val="000000"/>
        </w:rPr>
        <w:t xml:space="preserve">Cuarto </w:t>
      </w:r>
      <w:r>
        <w:rPr>
          <w:rFonts w:ascii="Palatino Linotype" w:eastAsia="Palatino Linotype" w:hAnsi="Palatino Linotype" w:cs="Palatino Linotype"/>
          <w:color w:val="000000"/>
        </w:rPr>
        <w:t>de esta resolución.</w:t>
      </w:r>
    </w:p>
    <w:p w14:paraId="32B7745E" w14:textId="77777777" w:rsidR="00207F87" w:rsidRDefault="00207F8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2F7FD36" w14:textId="77777777" w:rsidR="00207F87" w:rsidRDefault="00F36374">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t>TERCERO</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NOTIFÍQUESE</w:t>
      </w:r>
      <w:r>
        <w:rPr>
          <w:rFonts w:ascii="Palatino Linotype" w:eastAsia="Palatino Linotype" w:hAnsi="Palatino Linotype" w:cs="Palatino Linotype"/>
          <w:color w:val="000000"/>
        </w:rPr>
        <w:t xml:space="preserve"> vía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la presente resolución al Titular de la Unidad de Transparencia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para su conocimiento.</w:t>
      </w:r>
    </w:p>
    <w:p w14:paraId="3EB9C9E6" w14:textId="77777777" w:rsidR="00207F87" w:rsidRDefault="00207F8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88348C1" w14:textId="77777777" w:rsidR="00207F87" w:rsidRDefault="00F36374">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t>CUARTO</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NOTIFÍQUESE</w:t>
      </w:r>
      <w:r>
        <w:rPr>
          <w:rFonts w:ascii="Palatino Linotype" w:eastAsia="Palatino Linotype" w:hAnsi="Palatino Linotype" w:cs="Palatino Linotype"/>
          <w:color w:val="000000"/>
        </w:rPr>
        <w:t xml:space="preserve"> vía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al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5F8B09E6" w14:textId="77777777" w:rsidR="00207F87" w:rsidRDefault="00207F8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407AB12" w14:textId="77777777" w:rsidR="00207F87" w:rsidRDefault="00F36374">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NOVENA SESIÓN ORDINARIA CELEBRADA EL VEINTICINCO DE MAYO DE DOS MIL VEINTIDÓS, ANTE EL SECRETARIO TÉCNICO DEL PLENO ALEXIS TAPIA RAMÍREZ.</w:t>
      </w:r>
    </w:p>
    <w:p w14:paraId="653ACEAB" w14:textId="77777777" w:rsidR="00207F87" w:rsidRDefault="00207F87">
      <w:pPr>
        <w:spacing w:line="360" w:lineRule="auto"/>
      </w:pPr>
    </w:p>
    <w:p w14:paraId="1C175D26" w14:textId="77777777" w:rsidR="00207F87" w:rsidRDefault="00207F87">
      <w:pPr>
        <w:spacing w:line="360" w:lineRule="auto"/>
        <w:jc w:val="both"/>
        <w:rPr>
          <w:rFonts w:ascii="Palatino Linotype" w:eastAsia="Palatino Linotype" w:hAnsi="Palatino Linotype" w:cs="Palatino Linotype"/>
        </w:rPr>
      </w:pPr>
    </w:p>
    <w:p w14:paraId="475D4B47" w14:textId="77777777" w:rsidR="00207F87" w:rsidRDefault="00207F87">
      <w:pPr>
        <w:spacing w:line="360" w:lineRule="auto"/>
        <w:jc w:val="both"/>
        <w:rPr>
          <w:rFonts w:ascii="Palatino Linotype" w:eastAsia="Palatino Linotype" w:hAnsi="Palatino Linotype" w:cs="Palatino Linotype"/>
        </w:rPr>
      </w:pPr>
    </w:p>
    <w:p w14:paraId="611DBFC7" w14:textId="77777777" w:rsidR="00207F87" w:rsidRDefault="00F3637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4D531F17" w14:textId="77777777" w:rsidR="00207F87" w:rsidRDefault="00207F87">
      <w:pPr>
        <w:spacing w:line="360" w:lineRule="auto"/>
        <w:jc w:val="both"/>
        <w:rPr>
          <w:rFonts w:ascii="Palatino Linotype" w:eastAsia="Palatino Linotype" w:hAnsi="Palatino Linotype" w:cs="Palatino Linotype"/>
          <w:i/>
        </w:rPr>
      </w:pPr>
    </w:p>
    <w:p w14:paraId="08DCA17B" w14:textId="77777777" w:rsidR="00207F87" w:rsidRDefault="00207F87">
      <w:pPr>
        <w:spacing w:line="360" w:lineRule="auto"/>
        <w:jc w:val="both"/>
        <w:rPr>
          <w:rFonts w:ascii="Palatino Linotype" w:eastAsia="Palatino Linotype" w:hAnsi="Palatino Linotype" w:cs="Palatino Linotype"/>
        </w:rPr>
      </w:pPr>
    </w:p>
    <w:sectPr w:rsidR="00207F87">
      <w:headerReference w:type="default" r:id="rId12"/>
      <w:footerReference w:type="default" r:id="rId13"/>
      <w:headerReference w:type="first" r:id="rId14"/>
      <w:footerReference w:type="first" r:id="rId15"/>
      <w:pgSz w:w="12240" w:h="15840"/>
      <w:pgMar w:top="2552"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DB2311" w14:textId="77777777" w:rsidR="00DC7022" w:rsidRDefault="00DC7022">
      <w:r>
        <w:separator/>
      </w:r>
    </w:p>
  </w:endnote>
  <w:endnote w:type="continuationSeparator" w:id="0">
    <w:p w14:paraId="1BD3CFEB" w14:textId="77777777" w:rsidR="00DC7022" w:rsidRDefault="00DC7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86CBE" w14:textId="77777777" w:rsidR="00207F87" w:rsidRDefault="00F3637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D22BA">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D22BA">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p>
  <w:p w14:paraId="6EC082DF" w14:textId="77777777" w:rsidR="00207F87" w:rsidRDefault="00207F8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96E17" w14:textId="77777777" w:rsidR="00207F87" w:rsidRDefault="00F3637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D22B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D22BA">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p>
  <w:p w14:paraId="7A117092" w14:textId="77777777" w:rsidR="00207F87" w:rsidRDefault="00207F8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85E73C" w14:textId="77777777" w:rsidR="00DC7022" w:rsidRDefault="00DC7022">
      <w:r>
        <w:separator/>
      </w:r>
    </w:p>
  </w:footnote>
  <w:footnote w:type="continuationSeparator" w:id="0">
    <w:p w14:paraId="1FB58912" w14:textId="77777777" w:rsidR="00DC7022" w:rsidRDefault="00DC7022">
      <w:r>
        <w:continuationSeparator/>
      </w:r>
    </w:p>
  </w:footnote>
  <w:footnote w:id="1">
    <w:p w14:paraId="7E1DF66B" w14:textId="77777777" w:rsidR="00207F87" w:rsidRDefault="00F36374">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5E8353AA" w14:textId="77777777" w:rsidR="00207F87" w:rsidRDefault="00F3637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20BD1" w14:textId="77777777" w:rsidR="00207F87" w:rsidRDefault="00F3637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18637BD" wp14:editId="4515435F">
          <wp:simplePos x="0" y="0"/>
          <wp:positionH relativeFrom="column">
            <wp:posOffset>-1080132</wp:posOffset>
          </wp:positionH>
          <wp:positionV relativeFrom="paragraph">
            <wp:posOffset>-488312</wp:posOffset>
          </wp:positionV>
          <wp:extent cx="7809865" cy="10165715"/>
          <wp:effectExtent l="0" t="0" r="0" b="0"/>
          <wp:wrapNone/>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953" w:type="dxa"/>
      <w:tblInd w:w="3261" w:type="dxa"/>
      <w:tblLayout w:type="fixed"/>
      <w:tblLook w:val="0400" w:firstRow="0" w:lastRow="0" w:firstColumn="0" w:lastColumn="0" w:noHBand="0" w:noVBand="1"/>
    </w:tblPr>
    <w:tblGrid>
      <w:gridCol w:w="2489"/>
      <w:gridCol w:w="3464"/>
    </w:tblGrid>
    <w:tr w:rsidR="00207F87" w14:paraId="1F7C4B7B" w14:textId="77777777">
      <w:tc>
        <w:tcPr>
          <w:tcW w:w="2489" w:type="dxa"/>
          <w:shd w:val="clear" w:color="auto" w:fill="auto"/>
        </w:tcPr>
        <w:p w14:paraId="654C236B" w14:textId="77777777" w:rsidR="00207F87" w:rsidRDefault="00F3637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4F7BF8D" w14:textId="77777777" w:rsidR="00207F87" w:rsidRDefault="00F3637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02374/INFOEM/IP/RR/2022</w:t>
          </w:r>
        </w:p>
      </w:tc>
    </w:tr>
    <w:tr w:rsidR="00207F87" w14:paraId="3259DFB4" w14:textId="77777777">
      <w:trPr>
        <w:trHeight w:val="228"/>
      </w:trPr>
      <w:tc>
        <w:tcPr>
          <w:tcW w:w="2489" w:type="dxa"/>
          <w:shd w:val="clear" w:color="auto" w:fill="auto"/>
          <w:vAlign w:val="center"/>
        </w:tcPr>
        <w:p w14:paraId="7E687D8E" w14:textId="77777777" w:rsidR="00207F87" w:rsidRDefault="00F3637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9A5A28E" w14:textId="77777777" w:rsidR="00207F87" w:rsidRDefault="00F3637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Chalco</w:t>
          </w:r>
        </w:p>
      </w:tc>
    </w:tr>
    <w:tr w:rsidR="00207F87" w14:paraId="30E761B5" w14:textId="77777777">
      <w:tc>
        <w:tcPr>
          <w:tcW w:w="2489" w:type="dxa"/>
          <w:shd w:val="clear" w:color="auto" w:fill="auto"/>
          <w:vAlign w:val="center"/>
        </w:tcPr>
        <w:p w14:paraId="3CE7C61F" w14:textId="77777777" w:rsidR="00207F87" w:rsidRDefault="00F3637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2A862EA" w14:textId="77777777" w:rsidR="00207F87" w:rsidRDefault="00F3637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79C2729" w14:textId="77777777" w:rsidR="00207F87" w:rsidRDefault="00F3637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EB309" w14:textId="77777777" w:rsidR="00207F87" w:rsidRDefault="00207F8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7"/>
      <w:tblW w:w="5670" w:type="dxa"/>
      <w:tblInd w:w="3261" w:type="dxa"/>
      <w:tblLayout w:type="fixed"/>
      <w:tblLook w:val="0400" w:firstRow="0" w:lastRow="0" w:firstColumn="0" w:lastColumn="0" w:noHBand="0" w:noVBand="1"/>
    </w:tblPr>
    <w:tblGrid>
      <w:gridCol w:w="2551"/>
      <w:gridCol w:w="3119"/>
    </w:tblGrid>
    <w:tr w:rsidR="00207F87" w14:paraId="4C7512CB" w14:textId="77777777">
      <w:tc>
        <w:tcPr>
          <w:tcW w:w="2551" w:type="dxa"/>
          <w:shd w:val="clear" w:color="auto" w:fill="auto"/>
          <w:vAlign w:val="center"/>
        </w:tcPr>
        <w:p w14:paraId="7C074D36" w14:textId="77777777" w:rsidR="00207F87" w:rsidRDefault="00F3637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F2A1504" w14:textId="77777777" w:rsidR="00207F87" w:rsidRDefault="00F36374">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02374/INFOEM/IP/RR/2022</w:t>
          </w:r>
        </w:p>
      </w:tc>
    </w:tr>
    <w:tr w:rsidR="00207F87" w14:paraId="482BF502" w14:textId="77777777">
      <w:trPr>
        <w:trHeight w:val="130"/>
      </w:trPr>
      <w:tc>
        <w:tcPr>
          <w:tcW w:w="2551" w:type="dxa"/>
          <w:shd w:val="clear" w:color="auto" w:fill="auto"/>
          <w:vAlign w:val="center"/>
        </w:tcPr>
        <w:p w14:paraId="425ED581" w14:textId="77777777" w:rsidR="00207F87" w:rsidRDefault="00F3637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B3194F2" w14:textId="56D749C0" w:rsidR="00207F87" w:rsidRDefault="007D22BA">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w:t>
          </w:r>
        </w:p>
      </w:tc>
    </w:tr>
    <w:tr w:rsidR="00207F87" w14:paraId="7516F07A" w14:textId="77777777">
      <w:trPr>
        <w:trHeight w:val="228"/>
      </w:trPr>
      <w:tc>
        <w:tcPr>
          <w:tcW w:w="2551" w:type="dxa"/>
          <w:shd w:val="clear" w:color="auto" w:fill="auto"/>
          <w:vAlign w:val="center"/>
        </w:tcPr>
        <w:p w14:paraId="5963398C" w14:textId="77777777" w:rsidR="00207F87" w:rsidRDefault="00F3637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4EA3984F" w14:textId="77777777" w:rsidR="00207F87" w:rsidRDefault="00F3637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Chalco</w:t>
          </w:r>
        </w:p>
      </w:tc>
    </w:tr>
    <w:tr w:rsidR="00207F87" w14:paraId="04A2CBCB" w14:textId="77777777">
      <w:tc>
        <w:tcPr>
          <w:tcW w:w="2551" w:type="dxa"/>
          <w:shd w:val="clear" w:color="auto" w:fill="auto"/>
          <w:vAlign w:val="center"/>
        </w:tcPr>
        <w:p w14:paraId="0C147A19" w14:textId="77777777" w:rsidR="00207F87" w:rsidRDefault="00F3637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089CDBA4" w14:textId="77777777" w:rsidR="00207F87" w:rsidRDefault="00F36374">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470DA79" w14:textId="77777777" w:rsidR="00207F87" w:rsidRDefault="00F36374">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5BC67B23" wp14:editId="686ECF92">
          <wp:simplePos x="0" y="0"/>
          <wp:positionH relativeFrom="column">
            <wp:posOffset>-1089657</wp:posOffset>
          </wp:positionH>
          <wp:positionV relativeFrom="paragraph">
            <wp:posOffset>-1169667</wp:posOffset>
          </wp:positionV>
          <wp:extent cx="7809865" cy="10165715"/>
          <wp:effectExtent l="0" t="0" r="0" b="0"/>
          <wp:wrapNone/>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B87919"/>
    <w:multiLevelType w:val="multilevel"/>
    <w:tmpl w:val="22E2AA2C"/>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72F5735D"/>
    <w:multiLevelType w:val="multilevel"/>
    <w:tmpl w:val="140C90AE"/>
    <w:lvl w:ilvl="0">
      <w:start w:val="1"/>
      <w:numFmt w:val="bullet"/>
      <w:pStyle w:val="Listaconvietas3"/>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F87"/>
    <w:rsid w:val="0007357B"/>
    <w:rsid w:val="00113784"/>
    <w:rsid w:val="00207F87"/>
    <w:rsid w:val="003B0906"/>
    <w:rsid w:val="005410D3"/>
    <w:rsid w:val="00556C13"/>
    <w:rsid w:val="007D22BA"/>
    <w:rsid w:val="009E5D03"/>
    <w:rsid w:val="00B87F62"/>
    <w:rsid w:val="00DC7022"/>
    <w:rsid w:val="00DF4234"/>
    <w:rsid w:val="00E35D86"/>
    <w:rsid w:val="00F363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0C180"/>
  <w15:docId w15:val="{52B5FD84-4D8B-4165-9715-8C80799FC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AGPYldbvUxZ500LR2tt6wQ0+Rw==">AMUW2mUCtkmNrgmJv7vU+Q2wXq3hvCY+ZJfNaDtBFb6SKuSkwcmwxuu7R5Pl9rZpG/cNwAe8t0LYpehIQew/nvgF0UjfJ/+9QhnEZwgn1BGLzZttmhUhJ6swOpoyusNgYJtHK+jU0m5qFj61TI/DoLnee5VGl9vh+3FymvuK77qHJNpTbperByY=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24</Pages>
  <Words>5363</Words>
  <Characters>29497</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34791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7</cp:revision>
  <cp:lastPrinted>2022-05-30T05:49:00Z</cp:lastPrinted>
  <dcterms:created xsi:type="dcterms:W3CDTF">2022-05-19T03:48:00Z</dcterms:created>
  <dcterms:modified xsi:type="dcterms:W3CDTF">2022-06-06T17:11:00Z</dcterms:modified>
</cp:coreProperties>
</file>