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 fecha veinticinco de mayo de dos mil veintidós.</w:t>
      </w:r>
    </w:p>
    <w:p w:rsidR="00000000" w:rsidDel="00000000" w:rsidP="00000000" w:rsidRDefault="00000000" w:rsidRPr="00000000" w14:paraId="0000000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03157/INFOEM/IP/RR/2022</w:t>
      </w:r>
      <w:r w:rsidDel="00000000" w:rsidR="00000000" w:rsidRPr="00000000">
        <w:rPr>
          <w:rFonts w:ascii="Palatino Linotype" w:cs="Palatino Linotype" w:eastAsia="Palatino Linotype" w:hAnsi="Palatino Linotype"/>
          <w:rtl w:val="0"/>
        </w:rPr>
        <w:t xml:space="preserve">, promovido por el </w:t>
      </w:r>
      <w:r w:rsidDel="00000000" w:rsidR="00000000" w:rsidRPr="00000000">
        <w:rPr>
          <w:rFonts w:ascii="Palatino Linotype" w:cs="Palatino Linotype" w:eastAsia="Palatino Linotype" w:hAnsi="Palatino Linotype"/>
          <w:b w:val="1"/>
          <w:rtl w:val="0"/>
        </w:rPr>
        <w:t xml:space="preserve">C.</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XXXXX XXXXXXX XXXXX</w:t>
      </w:r>
      <w:r w:rsidDel="00000000" w:rsidR="00000000" w:rsidRPr="00000000">
        <w:rPr>
          <w:rFonts w:ascii="Palatino Linotype" w:cs="Palatino Linotype" w:eastAsia="Palatino Linotype" w:hAnsi="Palatino Linotype"/>
          <w:rtl w:val="0"/>
        </w:rPr>
        <w:t xml:space="preserve">, a quien en lo sucesivo se le denominará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contra de la respuesta del </w:t>
      </w:r>
      <w:r w:rsidDel="00000000" w:rsidR="00000000" w:rsidRPr="00000000">
        <w:rPr>
          <w:rFonts w:ascii="Palatino Linotype" w:cs="Palatino Linotype" w:eastAsia="Palatino Linotype" w:hAnsi="Palatino Linotype"/>
          <w:b w:val="1"/>
          <w:rtl w:val="0"/>
        </w:rPr>
        <w:t xml:space="preserve">Ayuntamiento de Sultepec, </w:t>
      </w:r>
      <w:r w:rsidDel="00000000" w:rsidR="00000000" w:rsidRPr="00000000">
        <w:rPr>
          <w:rFonts w:ascii="Palatino Linotype" w:cs="Palatino Linotype" w:eastAsia="Palatino Linotype" w:hAnsi="Palatino Linotype"/>
          <w:rtl w:val="0"/>
        </w:rPr>
        <w:t xml:space="preserve">en lo subsecuente se le denominará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se procede a dictar la presente resolución con base en lo siguiente: </w:t>
      </w:r>
    </w:p>
    <w:p w:rsidR="00000000" w:rsidDel="00000000" w:rsidP="00000000" w:rsidRDefault="00000000" w:rsidRPr="00000000" w14:paraId="00000005">
      <w:pPr>
        <w:spacing w:line="276"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6">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ANTECEDENTES  </w:t>
      </w:r>
    </w:p>
    <w:p w:rsidR="00000000" w:rsidDel="00000000" w:rsidP="00000000" w:rsidRDefault="00000000" w:rsidRPr="00000000" w14:paraId="00000007">
      <w:pPr>
        <w:spacing w:line="276" w:lineRule="auto"/>
        <w:jc w:val="both"/>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08">
      <w:pPr>
        <w:spacing w:line="360" w:lineRule="auto"/>
        <w:jc w:val="both"/>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I. De la Solicitud de Información</w:t>
      </w:r>
    </w:p>
    <w:p w:rsidR="00000000" w:rsidDel="00000000" w:rsidP="00000000" w:rsidRDefault="00000000" w:rsidRPr="00000000" w14:paraId="0000000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once de febrero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presentó a través del Sistema de Acceso a la Información Mexiquense, que en lo subsecuente se le denominará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 de expediente</w:t>
      </w:r>
      <w:r w:rsidDel="00000000" w:rsidR="00000000" w:rsidRPr="00000000">
        <w:rPr>
          <w:rFonts w:ascii="Palatino Linotype" w:cs="Palatino Linotype" w:eastAsia="Palatino Linotype" w:hAnsi="Palatino Linotype"/>
          <w:b w:val="1"/>
          <w:rtl w:val="0"/>
        </w:rPr>
        <w:t xml:space="preserve"> 00016/SULTEPEC/IP/2022</w:t>
      </w:r>
      <w:r w:rsidDel="00000000" w:rsidR="00000000" w:rsidRPr="00000000">
        <w:rPr>
          <w:rFonts w:ascii="Palatino Linotype" w:cs="Palatino Linotype" w:eastAsia="Palatino Linotype" w:hAnsi="Palatino Linotype"/>
          <w:rtl w:val="0"/>
        </w:rPr>
        <w:t xml:space="preserve">, mediante la cual requirió, lo siguiente:</w:t>
      </w:r>
    </w:p>
    <w:p w:rsidR="00000000" w:rsidDel="00000000" w:rsidP="00000000" w:rsidRDefault="00000000" w:rsidRPr="00000000" w14:paraId="0000000A">
      <w:pPr>
        <w:tabs>
          <w:tab w:val="left" w:pos="851"/>
        </w:tabs>
        <w:ind w:left="992" w:right="901" w:hanging="142.0000000000000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B">
      <w:pPr>
        <w:tabs>
          <w:tab w:val="left" w:pos="851"/>
        </w:tabs>
        <w:ind w:left="992" w:right="901" w:hanging="142.00000000000003"/>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“Quiero saber la remuneración bruta y neta de todos los servidores públicos de base o de confianza, incluyendo sueldos, prestaciones, gratificaciones, primas, comisiones, dietas, bonos, estímulos, ingresos y sistemas de compensación del ejercicio fiscal 2020,2021 y del ejercicio en curso; asi como las contrataciones de servicios profesionales por honorarios, señalando los nombres de los prestadores de servicios, los servicios contratados, el monto de los honorarios y el periodo de contratación.” (Sic)</w:t>
      </w:r>
    </w:p>
    <w:p w:rsidR="00000000" w:rsidDel="00000000" w:rsidP="00000000" w:rsidRDefault="00000000" w:rsidRPr="00000000" w14:paraId="0000000C">
      <w:pPr>
        <w:tabs>
          <w:tab w:val="left" w:pos="851"/>
        </w:tabs>
        <w:ind w:left="992" w:right="901" w:hanging="142.00000000000003"/>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D">
      <w:pPr>
        <w:widowControl w:val="0"/>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Sistema de Acceso a la Información Mexiquense</w:t>
      </w:r>
      <w:r w:rsidDel="00000000" w:rsidR="00000000" w:rsidRPr="00000000">
        <w:rPr>
          <w:rFonts w:ascii="Palatino Linotype" w:cs="Palatino Linotype" w:eastAsia="Palatino Linotype" w:hAnsi="Palatino Linotype"/>
          <w:b w:val="1"/>
          <w:rtl w:val="0"/>
        </w:rPr>
        <w:t xml:space="preserve"> (SAIMEX).</w:t>
      </w:r>
    </w:p>
    <w:p w:rsidR="00000000" w:rsidDel="00000000" w:rsidP="00000000" w:rsidRDefault="00000000" w:rsidRPr="00000000" w14:paraId="0000000E">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F">
      <w:pPr>
        <w:widowControl w:val="0"/>
        <w:spacing w:line="360" w:lineRule="auto"/>
        <w:jc w:val="both"/>
        <w:rPr>
          <w:rFonts w:ascii="Palatino Linotype" w:cs="Palatino Linotype" w:eastAsia="Palatino Linotype" w:hAnsi="Palatino Linotype"/>
          <w:sz w:val="26"/>
          <w:szCs w:val="26"/>
        </w:rPr>
      </w:pPr>
      <w:r w:rsidDel="00000000" w:rsidR="00000000" w:rsidRPr="00000000">
        <w:rPr>
          <w:rFonts w:ascii="Palatino Linotype" w:cs="Palatino Linotype" w:eastAsia="Palatino Linotype" w:hAnsi="Palatino Linotype"/>
          <w:b w:val="1"/>
          <w:sz w:val="26"/>
          <w:szCs w:val="26"/>
          <w:rtl w:val="0"/>
        </w:rPr>
        <w:t xml:space="preserve">II.</w:t>
      </w:r>
      <w:r w:rsidDel="00000000" w:rsidR="00000000" w:rsidRPr="00000000">
        <w:rPr>
          <w:rFonts w:ascii="Palatino Linotype" w:cs="Palatino Linotype" w:eastAsia="Palatino Linotype" w:hAnsi="Palatino Linotype"/>
          <w:sz w:val="26"/>
          <w:szCs w:val="26"/>
          <w:rtl w:val="0"/>
        </w:rPr>
        <w:t xml:space="preserve"> </w:t>
      </w:r>
      <w:r w:rsidDel="00000000" w:rsidR="00000000" w:rsidRPr="00000000">
        <w:rPr>
          <w:rFonts w:ascii="Palatino Linotype" w:cs="Palatino Linotype" w:eastAsia="Palatino Linotype" w:hAnsi="Palatino Linotype"/>
          <w:b w:val="1"/>
          <w:sz w:val="26"/>
          <w:szCs w:val="26"/>
          <w:rtl w:val="0"/>
        </w:rPr>
        <w:t xml:space="preserve">Respuesta del Sujeto Obligado</w:t>
      </w:r>
      <w:r w:rsidDel="00000000" w:rsidR="00000000" w:rsidRPr="00000000">
        <w:rPr>
          <w:rtl w:val="0"/>
        </w:rPr>
      </w:r>
    </w:p>
    <w:p w:rsidR="00000000" w:rsidDel="00000000" w:rsidP="00000000" w:rsidRDefault="00000000" w:rsidRPr="00000000" w14:paraId="00000010">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fecha </w:t>
      </w:r>
      <w:r w:rsidDel="00000000" w:rsidR="00000000" w:rsidRPr="00000000">
        <w:rPr>
          <w:rFonts w:ascii="Palatino Linotype" w:cs="Palatino Linotype" w:eastAsia="Palatino Linotype" w:hAnsi="Palatino Linotype"/>
          <w:b w:val="1"/>
          <w:rtl w:val="0"/>
        </w:rPr>
        <w:t xml:space="preserve">veinticinco de febrero de dos mil veintidós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dio respuesta a la solicitud de información en los siguientes términos:</w:t>
      </w:r>
    </w:p>
    <w:p w:rsidR="00000000" w:rsidDel="00000000" w:rsidP="00000000" w:rsidRDefault="00000000" w:rsidRPr="00000000" w14:paraId="00000011">
      <w:pPr>
        <w:ind w:left="84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2">
      <w:pPr>
        <w:ind w:left="84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“…BUENAS TARDES SE ENVÍA RESPUESTA A SU SOLICITUD NO.00016/SULTEPEC/IP/2022, SE ENVÍA FORMATO PDF...” (Sic)</w:t>
      </w:r>
    </w:p>
    <w:p w:rsidR="00000000" w:rsidDel="00000000" w:rsidP="00000000" w:rsidRDefault="00000000" w:rsidRPr="00000000" w14:paraId="00000013">
      <w:pPr>
        <w:ind w:left="84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4">
      <w:pPr>
        <w:ind w:left="840" w:right="90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mismo,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 acompaño a la respuesta el archivo denominado: </w:t>
      </w:r>
      <w:r w:rsidDel="00000000" w:rsidR="00000000" w:rsidRPr="00000000">
        <w:rPr>
          <w:rFonts w:ascii="Palatino Linotype" w:cs="Palatino Linotype" w:eastAsia="Palatino Linotype" w:hAnsi="Palatino Linotype"/>
          <w:b w:val="1"/>
          <w:i w:val="1"/>
          <w:rtl w:val="0"/>
        </w:rPr>
        <w:t xml:space="preserve">“respuesta de la solicitud 16.jpg”</w:t>
      </w:r>
      <w:r w:rsidDel="00000000" w:rsidR="00000000" w:rsidRPr="00000000">
        <w:rPr>
          <w:rFonts w:ascii="Palatino Linotype" w:cs="Palatino Linotype" w:eastAsia="Palatino Linotype" w:hAnsi="Palatino Linotype"/>
          <w:rtl w:val="0"/>
        </w:rPr>
        <w:t xml:space="preserve">, que menciona que por el momento no se no se cuenta con la información, en los siguientes términos:</w:t>
      </w:r>
    </w:p>
    <w:p w:rsidR="00000000" w:rsidDel="00000000" w:rsidP="00000000" w:rsidRDefault="00000000" w:rsidRPr="00000000" w14:paraId="00000016">
      <w:pPr>
        <w:spacing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-25399</wp:posOffset>
                </wp:positionH>
                <wp:positionV relativeFrom="paragraph">
                  <wp:posOffset>292100</wp:posOffset>
                </wp:positionV>
                <wp:extent cx="5930900" cy="1501775"/>
                <wp:effectExtent b="0" l="0" r="0" t="0"/>
                <wp:wrapNone/>
                <wp:docPr id="22" name=""/>
                <a:graphic>
                  <a:graphicData uri="http://schemas.microsoft.com/office/word/2010/wordprocessingShape">
                    <wps:wsp>
                      <wps:cNvSpPr/>
                      <wps:cNvPr id="2" name="Shape 2"/>
                      <wps:spPr>
                        <a:xfrm>
                          <a:off x="2393250" y="3041813"/>
                          <a:ext cx="5905500" cy="1476375"/>
                        </a:xfrm>
                        <a:prstGeom prst="rect">
                          <a:avLst/>
                        </a:prstGeom>
                        <a:noFill/>
                        <a:ln cap="flat" cmpd="sng" w="25400">
                          <a:solidFill>
                            <a:schemeClr val="accent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-25399</wp:posOffset>
                </wp:positionH>
                <wp:positionV relativeFrom="paragraph">
                  <wp:posOffset>292100</wp:posOffset>
                </wp:positionV>
                <wp:extent cx="5930900" cy="1501775"/>
                <wp:effectExtent b="0" l="0" r="0" t="0"/>
                <wp:wrapNone/>
                <wp:docPr id="22"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930900" cy="1501775"/>
                        </a:xfrm>
                        <a:prstGeom prst="rect"/>
                        <a:ln/>
                      </pic:spPr>
                    </pic:pic>
                  </a:graphicData>
                </a:graphic>
              </wp:anchor>
            </w:drawing>
          </mc:Fallback>
        </mc:AlternateContent>
      </w:r>
    </w:p>
    <w:p w:rsidR="00000000" w:rsidDel="00000000" w:rsidP="00000000" w:rsidRDefault="00000000" w:rsidRPr="00000000" w14:paraId="00000017">
      <w:pPr>
        <w:spacing w:line="360" w:lineRule="auto"/>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Pr>
        <w:drawing>
          <wp:inline distB="0" distT="0" distL="0" distR="0">
            <wp:extent cx="5791835" cy="1377315"/>
            <wp:effectExtent b="0" l="0" r="0" t="0"/>
            <wp:docPr id="2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91835" cy="137731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spacing w:line="360" w:lineRule="auto"/>
        <w:jc w:val="both"/>
        <w:rPr>
          <w:rFonts w:ascii="Palatino Linotype" w:cs="Palatino Linotype" w:eastAsia="Palatino Linotype" w:hAnsi="Palatino Linotype"/>
          <w:b w:val="1"/>
          <w:sz w:val="26"/>
          <w:szCs w:val="26"/>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III. Del Recurso de Revisión</w:t>
      </w:r>
    </w:p>
    <w:p w:rsidR="00000000" w:rsidDel="00000000" w:rsidP="00000000" w:rsidRDefault="00000000" w:rsidRPr="00000000" w14:paraId="0000001A">
      <w:pPr>
        <w:spacing w:line="360" w:lineRule="auto"/>
        <w:jc w:val="both"/>
        <w:rPr>
          <w:rFonts w:ascii="Palatino Linotype" w:cs="Palatino Linotype" w:eastAsia="Palatino Linotype" w:hAnsi="Palatino Linotype"/>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Inconforme por la respuesta proporcionada por 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el dos de marzo de dos mil veintidós, se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interpuso el Recurso de Revisión materia del presente estudio, el cual fue registrado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y se le asignó el número de expediente anotado al rubro</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en el que señaló el particular, lo siguiente:</w:t>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Acto impugnado:</w:t>
      </w:r>
    </w:p>
    <w:p w:rsidR="00000000" w:rsidDel="00000000" w:rsidP="00000000" w:rsidRDefault="00000000" w:rsidRPr="00000000" w14:paraId="0000001C">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D">
      <w:pPr>
        <w:tabs>
          <w:tab w:val="left" w:pos="851"/>
        </w:tabs>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es entrega Información" (Sic)</w:t>
      </w:r>
    </w:p>
    <w:p w:rsidR="00000000" w:rsidDel="00000000" w:rsidP="00000000" w:rsidRDefault="00000000" w:rsidRPr="00000000" w14:paraId="0000001E">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Razones o motivos de inconformidad:</w:t>
      </w:r>
    </w:p>
    <w:p w:rsidR="00000000" w:rsidDel="00000000" w:rsidP="00000000" w:rsidRDefault="00000000" w:rsidRPr="00000000" w14:paraId="00000020">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21">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es entrega Información”</w:t>
      </w:r>
    </w:p>
    <w:p w:rsidR="00000000" w:rsidDel="00000000" w:rsidP="00000000" w:rsidRDefault="00000000" w:rsidRPr="00000000" w14:paraId="00000022">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23">
      <w:pPr>
        <w:spacing w:line="360" w:lineRule="auto"/>
        <w:jc w:val="both"/>
        <w:rPr>
          <w:rFonts w:ascii="Palatino Linotype" w:cs="Palatino Linotype" w:eastAsia="Palatino Linotype" w:hAnsi="Palatino Linotype"/>
          <w:b w:val="1"/>
          <w:color w:val="000000"/>
          <w:sz w:val="26"/>
          <w:szCs w:val="26"/>
        </w:rPr>
      </w:pPr>
      <w:r w:rsidDel="00000000" w:rsidR="00000000" w:rsidRPr="00000000">
        <w:rPr>
          <w:rFonts w:ascii="Palatino Linotype" w:cs="Palatino Linotype" w:eastAsia="Palatino Linotype" w:hAnsi="Palatino Linotype"/>
          <w:b w:val="1"/>
          <w:sz w:val="26"/>
          <w:szCs w:val="26"/>
          <w:rtl w:val="0"/>
        </w:rPr>
        <w:t xml:space="preserve">IV. Del turno del Recurso de Revisión</w:t>
      </w:r>
      <w:r w:rsidDel="00000000" w:rsidR="00000000" w:rsidRPr="00000000">
        <w:rPr>
          <w:rtl w:val="0"/>
        </w:rPr>
      </w:r>
    </w:p>
    <w:p w:rsidR="00000000" w:rsidDel="00000000" w:rsidP="00000000" w:rsidRDefault="00000000" w:rsidRPr="00000000" w14:paraId="00000024">
      <w:pPr>
        <w:spacing w:line="360" w:lineRule="auto"/>
        <w:jc w:val="both"/>
        <w:rPr>
          <w:rFonts w:ascii="Palatino Linotype" w:cs="Palatino Linotype" w:eastAsia="Palatino Linotype" w:hAnsi="Palatino Linotype"/>
        </w:rPr>
      </w:pPr>
      <w:bookmarkStart w:colFirst="0" w:colLast="0" w:name="_heading=h.1fob9te" w:id="2"/>
      <w:bookmarkEnd w:id="2"/>
      <w:r w:rsidDel="00000000" w:rsidR="00000000" w:rsidRPr="00000000">
        <w:rPr>
          <w:rFonts w:ascii="Palatino Linotype" w:cs="Palatino Linotype" w:eastAsia="Palatino Linotype" w:hAnsi="Palatino Linotype"/>
          <w:rtl w:val="0"/>
        </w:rPr>
        <w:t xml:space="preserve">El dos de marzo de dos mil veintidós, el recurso que se trata se envió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turnó mediante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w:t>
      </w:r>
      <w:r w:rsidDel="00000000" w:rsidR="00000000" w:rsidRPr="00000000">
        <w:rPr>
          <w:rFonts w:ascii="Palatino Linotype" w:cs="Palatino Linotype" w:eastAsia="Palatino Linotype" w:hAnsi="Palatino Linotype"/>
          <w:b w:val="1"/>
          <w:rtl w:val="0"/>
        </w:rPr>
        <w:t xml:space="preserve">Comisionada Guadalupe Ramírez Peña</w:t>
      </w:r>
      <w:r w:rsidDel="00000000" w:rsidR="00000000" w:rsidRPr="00000000">
        <w:rPr>
          <w:rFonts w:ascii="Palatino Linotype" w:cs="Palatino Linotype" w:eastAsia="Palatino Linotype" w:hAnsi="Palatino Linotype"/>
          <w:rtl w:val="0"/>
        </w:rPr>
        <w:t xml:space="preserve">, a efecto de decretar su admisión o desechamiento.</w:t>
      </w:r>
    </w:p>
    <w:p w:rsidR="00000000" w:rsidDel="00000000" w:rsidP="00000000" w:rsidRDefault="00000000" w:rsidRPr="00000000" w14:paraId="0000002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tabs>
          <w:tab w:val="center" w:pos="4252"/>
          <w:tab w:val="right" w:pos="8504"/>
        </w:tabs>
        <w:spacing w:line="360" w:lineRule="auto"/>
        <w:jc w:val="both"/>
        <w:rPr>
          <w:rFonts w:ascii="Palatino Linotype" w:cs="Palatino Linotype" w:eastAsia="Palatino Linotype" w:hAnsi="Palatino Linotype"/>
          <w:b w:val="1"/>
          <w:color w:val="000000"/>
          <w:sz w:val="26"/>
          <w:szCs w:val="26"/>
        </w:rPr>
      </w:pPr>
      <w:r w:rsidDel="00000000" w:rsidR="00000000" w:rsidRPr="00000000">
        <w:rPr>
          <w:rFonts w:ascii="Palatino Linotype" w:cs="Palatino Linotype" w:eastAsia="Palatino Linotype" w:hAnsi="Palatino Linotype"/>
          <w:b w:val="1"/>
          <w:color w:val="000000"/>
          <w:sz w:val="26"/>
          <w:szCs w:val="26"/>
          <w:rtl w:val="0"/>
        </w:rPr>
        <w:t xml:space="preserve">a) Admisión del Recurso de Revisión</w:t>
      </w:r>
    </w:p>
    <w:p w:rsidR="00000000" w:rsidDel="00000000" w:rsidP="00000000" w:rsidRDefault="00000000" w:rsidRPr="00000000" w14:paraId="00000027">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del expediente electrónico del</w:t>
      </w:r>
      <w:r w:rsidDel="00000000" w:rsidR="00000000" w:rsidRPr="00000000">
        <w:rPr>
          <w:rFonts w:ascii="Palatino Linotype" w:cs="Palatino Linotype" w:eastAsia="Palatino Linotype" w:hAnsi="Palatino Linotype"/>
          <w:b w:val="1"/>
          <w:rtl w:val="0"/>
        </w:rPr>
        <w:t xml:space="preserve"> SAIMEX</w:t>
      </w:r>
      <w:r w:rsidDel="00000000" w:rsidR="00000000" w:rsidRPr="00000000">
        <w:rPr>
          <w:rFonts w:ascii="Palatino Linotype" w:cs="Palatino Linotype" w:eastAsia="Palatino Linotype" w:hAnsi="Palatino Linotype"/>
          <w:rtl w:val="0"/>
        </w:rPr>
        <w:t xml:space="preserve">, se advierte que en fecha </w:t>
      </w:r>
      <w:r w:rsidDel="00000000" w:rsidR="00000000" w:rsidRPr="00000000">
        <w:rPr>
          <w:rFonts w:ascii="Palatino Linotype" w:cs="Palatino Linotype" w:eastAsia="Palatino Linotype" w:hAnsi="Palatino Linotype"/>
          <w:b w:val="1"/>
          <w:rtl w:val="0"/>
        </w:rPr>
        <w:t xml:space="preserve">cuatro de marzo de dos mil veintidós,</w:t>
      </w:r>
      <w:r w:rsidDel="00000000" w:rsidR="00000000" w:rsidRPr="00000000">
        <w:rPr>
          <w:rFonts w:ascii="Palatino Linotype" w:cs="Palatino Linotype" w:eastAsia="Palatino Linotype" w:hAnsi="Palatino Linotype"/>
          <w:rtl w:val="0"/>
        </w:rPr>
        <w:t xml:space="preserve"> se acordó la admisión a trámite del Recurso de Revisión que nos ocupa; así como la integración del expediente respectivo, mismo que se puso a disposición de las partes, para que en un plazo máximo de siete días hábiles, manifestaran lo que a su derecho conviniera, a efecto de presentar pruebas y alegatos; así como para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rindiera su</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Informe Justificado, conforme a lo dispuesto por el artículo 185 de la Ley de Transparencia y Acceso a la Información Pública del Estado de México y Municipios.</w:t>
      </w:r>
    </w:p>
    <w:p w:rsidR="00000000" w:rsidDel="00000000" w:rsidP="00000000" w:rsidRDefault="00000000" w:rsidRPr="00000000" w14:paraId="00000028">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b w:val="1"/>
          <w:color w:val="000000"/>
          <w:sz w:val="26"/>
          <w:szCs w:val="26"/>
        </w:rPr>
      </w:pPr>
      <w:bookmarkStart w:colFirst="0" w:colLast="0" w:name="_heading=h.3znysh7" w:id="3"/>
      <w:bookmarkEnd w:id="3"/>
      <w:r w:rsidDel="00000000" w:rsidR="00000000" w:rsidRPr="00000000">
        <w:rPr>
          <w:rFonts w:ascii="Palatino Linotype" w:cs="Palatino Linotype" w:eastAsia="Palatino Linotype" w:hAnsi="Palatino Linotype"/>
          <w:b w:val="1"/>
          <w:sz w:val="26"/>
          <w:szCs w:val="26"/>
          <w:rtl w:val="0"/>
        </w:rPr>
        <w:t xml:space="preserve">b) </w:t>
      </w:r>
      <w:r w:rsidDel="00000000" w:rsidR="00000000" w:rsidRPr="00000000">
        <w:rPr>
          <w:rFonts w:ascii="Palatino Linotype" w:cs="Palatino Linotype" w:eastAsia="Palatino Linotype" w:hAnsi="Palatino Linotype"/>
          <w:b w:val="1"/>
          <w:color w:val="000000"/>
          <w:sz w:val="26"/>
          <w:szCs w:val="26"/>
          <w:rtl w:val="0"/>
        </w:rPr>
        <w:t xml:space="preserve">Del returno del Recurso de Revisión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2et92p0" w:id="4"/>
      <w:bookmarkEnd w:id="4"/>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la Novena Sesión Ordinaria de fecha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nueve de marzo de dos mil veintidós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por acuerdo del Pleno de este Órgano Garante, fue returnado el Recurso de Revisión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03157/INFOEM/IP/RR/2022</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a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Comisionada Sharon Cristina Morales Martínez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para su resolución y presentación al Pleno. </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b w:val="1"/>
          <w:color w:val="000000"/>
          <w:sz w:val="26"/>
          <w:szCs w:val="26"/>
        </w:rPr>
      </w:pPr>
      <w:r w:rsidDel="00000000" w:rsidR="00000000" w:rsidRPr="00000000">
        <w:rPr>
          <w:rFonts w:ascii="Palatino Linotype" w:cs="Palatino Linotype" w:eastAsia="Palatino Linotype" w:hAnsi="Palatino Linotype"/>
          <w:b w:val="1"/>
          <w:color w:val="000000"/>
          <w:sz w:val="26"/>
          <w:szCs w:val="26"/>
          <w:rtl w:val="0"/>
        </w:rPr>
        <w:t xml:space="preserve">c) </w:t>
      </w:r>
      <w:r w:rsidDel="00000000" w:rsidR="00000000" w:rsidRPr="00000000">
        <w:rPr>
          <w:rFonts w:ascii="Palatino Linotype" w:cs="Palatino Linotype" w:eastAsia="Palatino Linotype" w:hAnsi="Palatino Linotype"/>
          <w:b w:val="1"/>
          <w:sz w:val="26"/>
          <w:szCs w:val="26"/>
          <w:rtl w:val="0"/>
        </w:rPr>
        <w:t xml:space="preserve">Informe Justificado</w:t>
      </w:r>
      <w:r w:rsidDel="00000000" w:rsidR="00000000" w:rsidRPr="00000000">
        <w:rPr>
          <w:rtl w:val="0"/>
        </w:rPr>
      </w:r>
    </w:p>
    <w:p w:rsidR="00000000" w:rsidDel="00000000" w:rsidP="00000000" w:rsidRDefault="00000000" w:rsidRPr="00000000" w14:paraId="0000002D">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cumplimiento a lo anterior, de las constancias del expediente electrónico que obra en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del Recurso materia del presente estudio, se advierte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no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presento su Informe Justificado, como se desprende en la imagen que se anexa a continuación:</w:t>
      </w:r>
    </w:p>
    <w:p w:rsidR="00000000" w:rsidDel="00000000" w:rsidP="00000000" w:rsidRDefault="00000000" w:rsidRPr="00000000" w14:paraId="0000002E">
      <w:pPr>
        <w:tabs>
          <w:tab w:val="center" w:pos="4252"/>
          <w:tab w:val="right" w:pos="8504"/>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F">
      <w:pPr>
        <w:tabs>
          <w:tab w:val="center" w:pos="4252"/>
          <w:tab w:val="right" w:pos="8504"/>
        </w:tabs>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791835" cy="1413510"/>
            <wp:effectExtent b="0" l="0" r="0" t="0"/>
            <wp:docPr id="26"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791835" cy="141351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tabs>
          <w:tab w:val="center" w:pos="4252"/>
          <w:tab w:val="right" w:pos="8504"/>
        </w:tabs>
        <w:spacing w:line="360" w:lineRule="auto"/>
        <w:jc w:val="cente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1">
      <w:pPr>
        <w:spacing w:line="360" w:lineRule="auto"/>
        <w:jc w:val="both"/>
        <w:rPr>
          <w:rFonts w:ascii="Palatino Linotype" w:cs="Palatino Linotype" w:eastAsia="Palatino Linotype" w:hAnsi="Palatino Linotype"/>
          <w:b w:val="1"/>
          <w:sz w:val="26"/>
          <w:szCs w:val="26"/>
        </w:rPr>
      </w:pPr>
      <w:bookmarkStart w:colFirst="0" w:colLast="0" w:name="_heading=h.tyjcwt" w:id="5"/>
      <w:bookmarkEnd w:id="5"/>
      <w:r w:rsidDel="00000000" w:rsidR="00000000" w:rsidRPr="00000000">
        <w:rPr>
          <w:rFonts w:ascii="Palatino Linotype" w:cs="Palatino Linotype" w:eastAsia="Palatino Linotype" w:hAnsi="Palatino Linotype"/>
          <w:b w:val="1"/>
          <w:sz w:val="26"/>
          <w:szCs w:val="26"/>
          <w:rtl w:val="0"/>
        </w:rPr>
        <w:t xml:space="preserve">d) Manifestaciones del Recurrente.</w:t>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constancias que obran en el expediente electrónico del Sistema de Acceso a la Información Mexiquense (SAIMEX), se advierte que el particular no realizó sus manifestaciones conforme a derecho le correspondían.</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1"/>
          <w:i w:val="0"/>
          <w:smallCaps w:val="0"/>
          <w:strike w:val="0"/>
          <w:color w:val="000000"/>
          <w:sz w:val="26"/>
          <w:szCs w:val="26"/>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6"/>
          <w:szCs w:val="26"/>
          <w:u w:val="none"/>
          <w:shd w:fill="auto" w:val="clear"/>
          <w:vertAlign w:val="baseline"/>
          <w:rtl w:val="0"/>
        </w:rPr>
        <w:t xml:space="preserve">e) Cierre de Instrucción</w:t>
      </w:r>
    </w:p>
    <w:p w:rsidR="00000000" w:rsidDel="00000000" w:rsidP="00000000" w:rsidRDefault="00000000" w:rsidRPr="00000000" w14:paraId="00000036">
      <w:pPr>
        <w:tabs>
          <w:tab w:val="left" w:pos="709"/>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Una vez analizado el estado procesal que guarda el expediente, en fecha </w:t>
      </w:r>
      <w:r w:rsidDel="00000000" w:rsidR="00000000" w:rsidRPr="00000000">
        <w:rPr>
          <w:rFonts w:ascii="Palatino Linotype" w:cs="Palatino Linotype" w:eastAsia="Palatino Linotype" w:hAnsi="Palatino Linotype"/>
          <w:b w:val="1"/>
          <w:rtl w:val="0"/>
        </w:rPr>
        <w:t xml:space="preserve">veinte de abril de dos mil veintidós</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Comisionada Sharon Cristina Morales Martínez </w:t>
      </w:r>
      <w:r w:rsidDel="00000000" w:rsidR="00000000" w:rsidRPr="00000000">
        <w:rPr>
          <w:rFonts w:ascii="Palatino Linotype" w:cs="Palatino Linotype" w:eastAsia="Palatino Linotype" w:hAnsi="Palatino Linotype"/>
          <w:rtl w:val="0"/>
        </w:rPr>
        <w:t xml:space="preserve">acordó el cierre de instrucción, así como la remisión de este a efecto de ser resuelto, de conformidad con lo establecido en el artículo 185 fracciones VI y VIII de la Ley de Transparencia y Acceso a la Información Pública del Estado de México y Municipios</w:t>
      </w: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37">
      <w:pPr>
        <w:tabs>
          <w:tab w:val="left" w:pos="709"/>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b w:val="1"/>
          <w:sz w:val="26"/>
          <w:szCs w:val="26"/>
        </w:rPr>
      </w:pPr>
      <w:r w:rsidDel="00000000" w:rsidR="00000000" w:rsidRPr="00000000">
        <w:rPr>
          <w:rFonts w:ascii="Palatino Linotype" w:cs="Palatino Linotype" w:eastAsia="Palatino Linotype" w:hAnsi="Palatino Linotype"/>
          <w:b w:val="1"/>
          <w:sz w:val="26"/>
          <w:szCs w:val="26"/>
          <w:rtl w:val="0"/>
        </w:rPr>
        <w:t xml:space="preserve">f) De ampliación plazo para resolver</w:t>
      </w:r>
    </w:p>
    <w:p w:rsidR="00000000" w:rsidDel="00000000" w:rsidP="00000000" w:rsidRDefault="00000000" w:rsidRPr="00000000" w14:paraId="00000039">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b w:val="1"/>
          <w:color w:val="000000"/>
          <w:rtl w:val="0"/>
        </w:rPr>
        <w:t xml:space="preserve">veinte de mayo de dos mil veintidós</w:t>
      </w:r>
      <w:r w:rsidDel="00000000" w:rsidR="00000000" w:rsidRPr="00000000">
        <w:rPr>
          <w:rFonts w:ascii="Palatino Linotype" w:cs="Palatino Linotype" w:eastAsia="Palatino Linotype" w:hAnsi="Palatino Linotype"/>
          <w:color w:val="000000"/>
          <w:rtl w:val="0"/>
        </w:rPr>
        <w:t xml:space="preserve">, se notificó a las partes el Acuerdo de ampliación del plazo para resolver los Recursos de Revisión en estudio, por un periodo de hasta quince días hábiles, de conformidad con el artículo 181, tercer párrafo de la Ley de Transparencia y Acceso a la Información Pública del Estado de México y Municipios.</w:t>
      </w:r>
    </w:p>
    <w:p w:rsidR="00000000" w:rsidDel="00000000" w:rsidP="00000000" w:rsidRDefault="00000000" w:rsidRPr="00000000" w14:paraId="0000003A">
      <w:pPr>
        <w:tabs>
          <w:tab w:val="left" w:pos="709"/>
        </w:tabs>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3B">
      <w:pPr>
        <w:spacing w:line="360"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CONSIDERANDO</w:t>
      </w:r>
    </w:p>
    <w:p w:rsidR="00000000" w:rsidDel="00000000" w:rsidP="00000000" w:rsidRDefault="00000000" w:rsidRPr="00000000" w14:paraId="0000003C">
      <w:pPr>
        <w:spacing w:line="360"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03D">
      <w:pPr>
        <w:widowControl w:val="0"/>
        <w:numPr>
          <w:ilvl w:val="0"/>
          <w:numId w:val="7"/>
        </w:numPr>
        <w:tabs>
          <w:tab w:val="left" w:pos="1701"/>
        </w:tabs>
        <w:spacing w:line="360" w:lineRule="auto"/>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Competencia</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r>
    </w:p>
    <w:p w:rsidR="00000000" w:rsidDel="00000000" w:rsidP="00000000" w:rsidRDefault="00000000" w:rsidRPr="00000000" w14:paraId="0000003E">
      <w:pPr>
        <w:widowControl w:val="0"/>
        <w:tabs>
          <w:tab w:val="left" w:pos="1701"/>
        </w:tabs>
        <w:spacing w:line="360" w:lineRule="auto"/>
        <w:jc w:val="both"/>
        <w:rPr>
          <w:rFonts w:ascii="Palatino Linotype" w:cs="Palatino Linotype" w:eastAsia="Palatino Linotype" w:hAnsi="Palatino Linotype"/>
        </w:rPr>
      </w:pPr>
      <w:bookmarkStart w:colFirst="0" w:colLast="0" w:name="_heading=h.3dy6vkm" w:id="6"/>
      <w:bookmarkEnd w:id="6"/>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3F">
      <w:pPr>
        <w:widowControl w:val="0"/>
        <w:tabs>
          <w:tab w:val="left" w:pos="1701"/>
          <w:tab w:val="left" w:pos="2977"/>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b w:val="1"/>
          <w:rtl w:val="0"/>
        </w:rPr>
        <w:t xml:space="preserve">. Interés. </w:t>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El Recurso de Revisión fue interpuesto por parte legítima, en atención a que se presentó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quien es la misma persona que formuló la solicitud de acceso a la Información Pública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razón de que las claves de acceso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son personales e irrepetibles a lo cual se tiene certeza que se trata del mismo particular.</w:t>
      </w: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49"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TERCERO</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Oportunidad</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1701"/>
        </w:tabs>
        <w:spacing w:after="0" w:before="0" w:line="360" w:lineRule="auto"/>
        <w:ind w:left="0" w:right="49"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Recurso de Revisión fue interpuesto dentro del plazo de quince días hábiles, contados a partir del día siguiente al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RECURRENTE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tuvo conocimiento de la respuesta impugnada; tal y como, lo prevé el artículo 178 de la Ley de Transparencia y Acceso a la Información Pública del Estado de México y Municipios, que establece:</w:t>
      </w:r>
      <w:r w:rsidDel="00000000" w:rsidR="00000000" w:rsidRPr="00000000">
        <w:rPr>
          <w:rtl w:val="0"/>
        </w:rPr>
      </w:r>
    </w:p>
    <w:p w:rsidR="00000000" w:rsidDel="00000000" w:rsidP="00000000" w:rsidRDefault="00000000" w:rsidRPr="00000000" w14:paraId="00000045">
      <w:pPr>
        <w:ind w:left="720"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178.</w:t>
      </w:r>
      <w:r w:rsidDel="00000000" w:rsidR="00000000" w:rsidRPr="00000000">
        <w:rPr>
          <w:rFonts w:ascii="Palatino Linotype" w:cs="Palatino Linotype" w:eastAsia="Palatino Linotype" w:hAnsi="Palatino Linotype"/>
          <w:i w:val="1"/>
          <w:sz w:val="22"/>
          <w:szCs w:val="22"/>
          <w:rtl w:val="0"/>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00000" w:rsidDel="00000000" w:rsidP="00000000" w:rsidRDefault="00000000" w:rsidRPr="00000000" w14:paraId="00000047">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000000" w:rsidDel="00000000" w:rsidP="00000000" w:rsidRDefault="00000000" w:rsidRPr="00000000" w14:paraId="00000049">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que se interponga ante la Unidad de Transparencia, ésta deberá remitir el Recurso de Revisión al Instituto a más tardar al día siguiente de haberlo recibido.”</w:t>
      </w:r>
    </w:p>
    <w:p w:rsidR="00000000" w:rsidDel="00000000" w:rsidP="00000000" w:rsidRDefault="00000000" w:rsidRPr="00000000" w14:paraId="0000004B">
      <w:pPr>
        <w:ind w:left="720"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C">
      <w:pPr>
        <w:spacing w:line="360" w:lineRule="auto"/>
        <w:jc w:val="both"/>
        <w:rPr>
          <w:rFonts w:ascii="Palatino Linotype" w:cs="Palatino Linotype" w:eastAsia="Palatino Linotype" w:hAnsi="Palatino Linotype"/>
        </w:rPr>
      </w:pPr>
      <w:bookmarkStart w:colFirst="0" w:colLast="0" w:name="_heading=h.1t3h5sf" w:id="7"/>
      <w:bookmarkEnd w:id="7"/>
      <w:r w:rsidDel="00000000" w:rsidR="00000000" w:rsidRPr="00000000">
        <w:rPr>
          <w:rFonts w:ascii="Palatino Linotype" w:cs="Palatino Linotype" w:eastAsia="Palatino Linotype" w:hAnsi="Palatino Linotype"/>
          <w:rtl w:val="0"/>
        </w:rPr>
        <w:t xml:space="preserve">En esa tesitura, atendiendo 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notificó la respuesta a la solicitud de acceso a la Información Pública el día</w:t>
      </w:r>
      <w:r w:rsidDel="00000000" w:rsidR="00000000" w:rsidRPr="00000000">
        <w:rPr>
          <w:rFonts w:ascii="Palatino Linotype" w:cs="Palatino Linotype" w:eastAsia="Palatino Linotype" w:hAnsi="Palatino Linotype"/>
          <w:b w:val="1"/>
          <w:rtl w:val="0"/>
        </w:rPr>
        <w:t xml:space="preserve"> veinticinco de febrero de dos mil veintidós</w:t>
      </w:r>
      <w:r w:rsidDel="00000000" w:rsidR="00000000" w:rsidRPr="00000000">
        <w:rPr>
          <w:rFonts w:ascii="Palatino Linotype" w:cs="Palatino Linotype" w:eastAsia="Palatino Linotype" w:hAnsi="Palatino Linotype"/>
          <w:rtl w:val="0"/>
        </w:rPr>
        <w:t xml:space="preserve">; así, el plazo de quince días hábiles que el artículo 178 de la Ley de la materia otorga a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para presentar el respectivo Recurso de Revisión, transcurrió del </w:t>
      </w:r>
      <w:r w:rsidDel="00000000" w:rsidR="00000000" w:rsidRPr="00000000">
        <w:rPr>
          <w:rFonts w:ascii="Palatino Linotype" w:cs="Palatino Linotype" w:eastAsia="Palatino Linotype" w:hAnsi="Palatino Linotype"/>
          <w:b w:val="1"/>
          <w:rtl w:val="0"/>
        </w:rPr>
        <w:t xml:space="preserve">veintiocho de febrero veintidós al  de marzo de dos mil veintidós</w:t>
      </w:r>
      <w:r w:rsidDel="00000000" w:rsidR="00000000" w:rsidRPr="00000000">
        <w:rPr>
          <w:rFonts w:ascii="Palatino Linotype" w:cs="Palatino Linotype" w:eastAsia="Palatino Linotype" w:hAnsi="Palatino Linotype"/>
          <w:rtl w:val="0"/>
        </w:rPr>
        <w:t xml:space="preserve">, sin contemplar en el cómputo los días cinco, seis, doce, trece, diecinueve y veinte de marzo de dos mil veintidós, por corresponder a sábados y domingos, considerados como días inhábiles, en términos del artículo 3, fracción X de la Ley de Transparencia y Acceso a la Información Pública del Estado de México y Municipios, así como, los días dos  y veintiuno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rsidR="00000000" w:rsidDel="00000000" w:rsidP="00000000" w:rsidRDefault="00000000" w:rsidRPr="00000000" w14:paraId="0000004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E">
      <w:pPr>
        <w:spacing w:line="360" w:lineRule="auto"/>
        <w:ind w:left="-5" w:hanging="1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En ese tenor, si el Recurso de Revisión que nos ocupa se interpuso el</w:t>
      </w:r>
      <w:r w:rsidDel="00000000" w:rsidR="00000000" w:rsidRPr="00000000">
        <w:rPr>
          <w:rFonts w:ascii="Palatino Linotype" w:cs="Palatino Linotype" w:eastAsia="Palatino Linotype" w:hAnsi="Palatino Linotype"/>
          <w:b w:val="1"/>
          <w:rtl w:val="0"/>
        </w:rPr>
        <w:t xml:space="preserve"> dos de marzo de dos mil veintidós,</w:t>
      </w:r>
      <w:r w:rsidDel="00000000" w:rsidR="00000000" w:rsidRPr="00000000">
        <w:rPr>
          <w:rFonts w:ascii="Palatino Linotype" w:cs="Palatino Linotype" w:eastAsia="Palatino Linotype" w:hAnsi="Palatino Linotype"/>
          <w:rtl w:val="0"/>
        </w:rPr>
        <w:t xml:space="preserve"> éste se encuentra dentro de los márgenes temporales previstos en el citado precepto legal y, por tanto, se considera oportuno.</w:t>
      </w:r>
    </w:p>
    <w:p w:rsidR="00000000" w:rsidDel="00000000" w:rsidP="00000000" w:rsidRDefault="00000000" w:rsidRPr="00000000" w14:paraId="0000004F">
      <w:pPr>
        <w:spacing w:line="360" w:lineRule="auto"/>
        <w:ind w:left="-5" w:hanging="1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0">
      <w:pPr>
        <w:spacing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8"/>
          <w:szCs w:val="28"/>
          <w:rtl w:val="0"/>
        </w:rPr>
        <w:t xml:space="preserve">CUARTO</w:t>
      </w:r>
      <w:r w:rsidDel="00000000" w:rsidR="00000000" w:rsidRPr="00000000">
        <w:rPr>
          <w:rFonts w:ascii="Palatino Linotype" w:cs="Palatino Linotype" w:eastAsia="Palatino Linotype" w:hAnsi="Palatino Linotype"/>
          <w:b w:val="1"/>
          <w:rtl w:val="0"/>
        </w:rPr>
        <w:t xml:space="preserve">. Procedibilidad. </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SAIMEX.</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2">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b w:val="1"/>
          <w:rtl w:val="0"/>
        </w:rPr>
        <w:t xml:space="preserve">. Estudio y análisis del asunto.</w:t>
      </w: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determinada la vía sobre la que versará el presente recurso, y previa revisión del expediente electrónico formado en </w:t>
      </w:r>
      <w:r w:rsidDel="00000000" w:rsidR="00000000" w:rsidRPr="00000000">
        <w:rPr>
          <w:rFonts w:ascii="Palatino Linotype" w:cs="Palatino Linotype" w:eastAsia="Palatino Linotype" w:hAnsi="Palatino Linotype"/>
          <w:b w:val="1"/>
          <w:rtl w:val="0"/>
        </w:rPr>
        <w:t xml:space="preserve">EL SAIMEX</w:t>
      </w:r>
      <w:r w:rsidDel="00000000" w:rsidR="00000000" w:rsidRPr="00000000">
        <w:rPr>
          <w:rFonts w:ascii="Palatino Linotype" w:cs="Palatino Linotype" w:eastAsia="Palatino Linotype" w:hAnsi="Palatino Linotype"/>
          <w:rtl w:val="0"/>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Política de los Estados Unidos Mexicanos, Constitución Política del Estado Libre del Estado de México y demás leyes aplicables en la materia; así como, en los Tratados Internacionales en los que el Estado Mexicano sea parte, en concordancia con el párrafo tercero del artículo 1 de la Constitución Política de los Estados Unidos Mexicanos y diversos 8 y 9 de la Ley de Transparencia y Acceso a la Información Pública del Estado de México y Municipios.</w:t>
      </w:r>
    </w:p>
    <w:p w:rsidR="00000000" w:rsidDel="00000000" w:rsidP="00000000" w:rsidRDefault="00000000" w:rsidRPr="00000000" w14:paraId="00000055">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derivado de la revisión de las constancias que obran en el sistema electrónico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el Titular de la Unidad de Transparencia no turnó la solicitud de información a los servidores públicos que, por sus atribuciones, funciones realicen una búsqueda exhaustiva y razonable de la información </w:t>
      </w:r>
    </w:p>
    <w:p w:rsidR="00000000" w:rsidDel="00000000" w:rsidP="00000000" w:rsidRDefault="00000000" w:rsidRPr="00000000" w14:paraId="0000005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bookmarkStart w:colFirst="0" w:colLast="0" w:name="_heading=h.4d34og8" w:id="8"/>
      <w:bookmarkEnd w:id="8"/>
      <w:r w:rsidDel="00000000" w:rsidR="00000000" w:rsidRPr="00000000">
        <w:rPr>
          <w:rFonts w:ascii="Palatino Linotype" w:cs="Palatino Linotype" w:eastAsia="Palatino Linotype" w:hAnsi="Palatino Linotype"/>
          <w:rtl w:val="0"/>
        </w:rPr>
        <w:t xml:space="preserve">En esa tesitura, es de observancia el artículo 30, fracción II, del Bando Municipal de Sultepec, Estado de México, 2022</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disposición normativa aplicable a la fecha de la solicitud</w:t>
      </w:r>
      <w:r w:rsidDel="00000000" w:rsidR="00000000" w:rsidRPr="00000000">
        <w:rPr>
          <w:rFonts w:ascii="Palatino Linotype" w:cs="Palatino Linotype" w:eastAsia="Palatino Linotype" w:hAnsi="Palatino Linotype"/>
          <w:vertAlign w:val="superscript"/>
        </w:rPr>
        <w:footnoteReference w:customMarkFollows="0" w:id="1"/>
      </w:r>
      <w:r w:rsidDel="00000000" w:rsidR="00000000" w:rsidRPr="00000000">
        <w:rPr>
          <w:rFonts w:ascii="Palatino Linotype" w:cs="Palatino Linotype" w:eastAsia="Palatino Linotype" w:hAnsi="Palatino Linotype"/>
          <w:rtl w:val="0"/>
        </w:rPr>
        <w:t xml:space="preserve">, prevé el área considerada para dar atención a la solicitud, cuyo tenor literal es el siguiente:</w:t>
      </w:r>
    </w:p>
    <w:p w:rsidR="00000000" w:rsidDel="00000000" w:rsidP="00000000" w:rsidRDefault="00000000" w:rsidRPr="00000000" w14:paraId="00000059">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30.- </w:t>
      </w:r>
      <w:r w:rsidDel="00000000" w:rsidR="00000000" w:rsidRPr="00000000">
        <w:rPr>
          <w:rFonts w:ascii="Palatino Linotype" w:cs="Palatino Linotype" w:eastAsia="Palatino Linotype" w:hAnsi="Palatino Linotype"/>
          <w:i w:val="1"/>
          <w:sz w:val="22"/>
          <w:szCs w:val="22"/>
          <w:rtl w:val="0"/>
        </w:rPr>
        <w:t xml:space="preserve">Para el despacho, estudio y planeación de los diversos asuntos de la administración municipal, el Ayuntamiento contara con las siguientes dependencias:</w:t>
      </w:r>
    </w:p>
    <w:p w:rsidR="00000000" w:rsidDel="00000000" w:rsidP="00000000" w:rsidRDefault="00000000" w:rsidRPr="00000000" w14:paraId="0000005B">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nombramientos y remociones serán aprobados por el Ayuntamiento a propuesta del Presidente Municipal, siendo los siguientes:</w:t>
      </w:r>
    </w:p>
    <w:p w:rsidR="00000000" w:rsidDel="00000000" w:rsidP="00000000" w:rsidRDefault="00000000" w:rsidRPr="00000000" w14:paraId="0000005C">
      <w:pPr>
        <w:ind w:left="850"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5D">
      <w:pPr>
        <w:ind w:left="850"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Tesorero Municipal.”</w:t>
      </w:r>
    </w:p>
    <w:p w:rsidR="00000000" w:rsidDel="00000000" w:rsidP="00000000" w:rsidRDefault="00000000" w:rsidRPr="00000000" w14:paraId="0000005E">
      <w:pPr>
        <w:ind w:left="850"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5F">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0">
      <w:pPr>
        <w:tabs>
          <w:tab w:val="left" w:pos="709"/>
        </w:tabs>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así que, la Dirección de Administración y Finanzas debe de contar con la información requerida por el particular.</w:t>
      </w:r>
    </w:p>
    <w:p w:rsidR="00000000" w:rsidDel="00000000" w:rsidP="00000000" w:rsidRDefault="00000000" w:rsidRPr="00000000" w14:paraId="00000061">
      <w:pPr>
        <w:tabs>
          <w:tab w:val="left" w:pos="709"/>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2">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Atento a ello, es de señalar que del análisis que integran el expediente electrónico se advierte que </w:t>
      </w:r>
      <w:r w:rsidDel="00000000" w:rsidR="00000000" w:rsidRPr="00000000">
        <w:rPr>
          <w:rFonts w:ascii="Palatino Linotype" w:cs="Palatino Linotype" w:eastAsia="Palatino Linotype" w:hAnsi="Palatino Linotype"/>
          <w:color w:val="000000"/>
          <w:rtl w:val="0"/>
        </w:rPr>
        <w:t xml:space="preserve">el </w:t>
      </w:r>
      <w:r w:rsidDel="00000000" w:rsidR="00000000" w:rsidRPr="00000000">
        <w:rPr>
          <w:rFonts w:ascii="Palatino Linotype" w:cs="Palatino Linotype" w:eastAsia="Palatino Linotype" w:hAnsi="Palatino Linotype"/>
          <w:color w:val="222222"/>
          <w:highlight w:val="white"/>
          <w:rtl w:val="0"/>
        </w:rPr>
        <w:t xml:space="preserve">Titular de la Unidad de Transparencia </w:t>
      </w:r>
      <w:r w:rsidDel="00000000" w:rsidR="00000000" w:rsidRPr="00000000">
        <w:rPr>
          <w:rFonts w:ascii="Palatino Linotype" w:cs="Palatino Linotype" w:eastAsia="Palatino Linotype" w:hAnsi="Palatino Linotype"/>
          <w:rtl w:val="0"/>
        </w:rPr>
        <w:t xml:space="preserve">no siguió a cabalidad el procedimiento de acceso a la información previsto en el artículo 162 de la Ley de Transparencia y Acceso a la Información Pública del Estado de México y Municipios, esto dado que omitió turnar a todas las Áreas competentes que pudiesen contar con la información o deban tenerla de acuerdo a sus facultades, competencias y funciones, con el objeto de que realicen una búsqueda exhaustiva y razonable de la información solicitada, </w:t>
      </w:r>
      <w:r w:rsidDel="00000000" w:rsidR="00000000" w:rsidRPr="00000000">
        <w:rPr>
          <w:rFonts w:ascii="Palatino Linotype" w:cs="Palatino Linotype" w:eastAsia="Palatino Linotype" w:hAnsi="Palatino Linotype"/>
          <w:b w:val="1"/>
          <w:rtl w:val="0"/>
        </w:rPr>
        <w:t xml:space="preserve">ya que el Titular de la Unidad de Transparencia se limitó a dar respuesta de manera unilateral a la solicitud de información.</w:t>
      </w:r>
    </w:p>
    <w:p w:rsidR="00000000" w:rsidDel="00000000" w:rsidP="00000000" w:rsidRDefault="00000000" w:rsidRPr="00000000" w14:paraId="00000063">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reforzar lo anterior, es necesario tomar en cuenta las siguientes disposiciones de la Ley de Transparencia y Acceso a la Información Pública del Estado de México y Municipios.</w:t>
      </w:r>
    </w:p>
    <w:p w:rsidR="00000000" w:rsidDel="00000000" w:rsidP="00000000" w:rsidRDefault="00000000" w:rsidRPr="00000000" w14:paraId="00000065">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50.</w:t>
      </w:r>
      <w:r w:rsidDel="00000000" w:rsidR="00000000" w:rsidRPr="00000000">
        <w:rPr>
          <w:rFonts w:ascii="Palatino Linotype" w:cs="Palatino Linotype" w:eastAsia="Palatino Linotype" w:hAnsi="Palatino Linotype"/>
          <w:i w:val="1"/>
          <w:sz w:val="22"/>
          <w:szCs w:val="22"/>
          <w:rtl w:val="0"/>
        </w:rPr>
        <w:t xml:space="preserve"> Los sujetos obligados contarán con un área responsable para la atención de las solicitudes de información, a la que se le denominará Unidad de Transparencia.</w:t>
      </w:r>
    </w:p>
    <w:p w:rsidR="00000000" w:rsidDel="00000000" w:rsidP="00000000" w:rsidRDefault="00000000" w:rsidRPr="00000000" w14:paraId="00000067">
      <w:pPr>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51</w:t>
      </w:r>
      <w:r w:rsidDel="00000000" w:rsidR="00000000" w:rsidRPr="00000000">
        <w:rPr>
          <w:rFonts w:ascii="Palatino Linotype" w:cs="Palatino Linotype" w:eastAsia="Palatino Linotype" w:hAnsi="Palatino Linotype"/>
          <w:i w:val="1"/>
          <w:sz w:val="22"/>
          <w:szCs w:val="22"/>
          <w:rtl w:val="0"/>
        </w:rPr>
        <w:t xml:space="preserve">.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rsidR="00000000" w:rsidDel="00000000" w:rsidP="00000000" w:rsidRDefault="00000000" w:rsidRPr="00000000" w14:paraId="00000069">
      <w:pPr>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Unidades de Transparencia tendrán las siguientes funciones:</w:t>
      </w:r>
    </w:p>
    <w:p w:rsidR="00000000" w:rsidDel="00000000" w:rsidP="00000000" w:rsidRDefault="00000000" w:rsidRPr="00000000" w14:paraId="0000006B">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rsidR="00000000" w:rsidDel="00000000" w:rsidP="00000000" w:rsidRDefault="00000000" w:rsidRPr="00000000" w14:paraId="0000006D">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E">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Recibir, </w:t>
      </w:r>
      <w:r w:rsidDel="00000000" w:rsidR="00000000" w:rsidRPr="00000000">
        <w:rPr>
          <w:rFonts w:ascii="Palatino Linotype" w:cs="Palatino Linotype" w:eastAsia="Palatino Linotype" w:hAnsi="Palatino Linotype"/>
          <w:b w:val="1"/>
          <w:i w:val="1"/>
          <w:sz w:val="22"/>
          <w:szCs w:val="22"/>
          <w:u w:val="single"/>
          <w:rtl w:val="0"/>
        </w:rPr>
        <w:t xml:space="preserve">tramitar</w:t>
      </w:r>
      <w:r w:rsidDel="00000000" w:rsidR="00000000" w:rsidRPr="00000000">
        <w:rPr>
          <w:rFonts w:ascii="Palatino Linotype" w:cs="Palatino Linotype" w:eastAsia="Palatino Linotype" w:hAnsi="Palatino Linotype"/>
          <w:b w:val="1"/>
          <w:i w:val="1"/>
          <w:sz w:val="22"/>
          <w:szCs w:val="22"/>
          <w:rtl w:val="0"/>
        </w:rPr>
        <w:t xml:space="preserve"> y dar respuesta a las solicitudes de acceso a la información;</w:t>
      </w:r>
    </w:p>
    <w:p w:rsidR="00000000" w:rsidDel="00000000" w:rsidP="00000000" w:rsidRDefault="00000000" w:rsidRPr="00000000" w14:paraId="0000006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Auxiliar a los particulares en la elaboración de solicitudes de acceso a la información y, en su caso, orientarlos sobre los sujetos obligados competentes conforme a la normatividad aplicable;</w:t>
      </w:r>
    </w:p>
    <w:p w:rsidR="00000000" w:rsidDel="00000000" w:rsidP="00000000" w:rsidRDefault="00000000" w:rsidRPr="00000000" w14:paraId="0000007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Realizar, con efectividad, los trámites internos necesarios para la atención de las solicitudes de acceso a la información;</w:t>
      </w:r>
    </w:p>
    <w:p w:rsidR="00000000" w:rsidDel="00000000" w:rsidP="00000000" w:rsidRDefault="00000000" w:rsidRPr="00000000" w14:paraId="0000007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Entregar, en su caso, a los particulares la información solicitada;</w:t>
      </w:r>
    </w:p>
    <w:p w:rsidR="00000000" w:rsidDel="00000000" w:rsidP="00000000" w:rsidRDefault="00000000" w:rsidRPr="00000000" w14:paraId="0000007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Efectuar las notificaciones a los solicitantes;</w:t>
      </w:r>
    </w:p>
    <w:p w:rsidR="00000000" w:rsidDel="00000000" w:rsidP="00000000" w:rsidRDefault="00000000" w:rsidRPr="00000000" w14:paraId="00000073">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Proponer al Comité de Transparencia, los procedimientos internos que aseguren la mayor eficiencia en la gestión de las solicitudes de acceso a la información, conforme a la normatividad aplicable;</w:t>
      </w:r>
    </w:p>
    <w:p w:rsidR="00000000" w:rsidDel="00000000" w:rsidP="00000000" w:rsidRDefault="00000000" w:rsidRPr="00000000" w14:paraId="00000074">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Proponer a quien preside el Comité de Transparencia, personal habilitado que sea necesario para recibir y dar trámite a las solicitudes de acceso a la información;</w:t>
      </w:r>
    </w:p>
    <w:p w:rsidR="00000000" w:rsidDel="00000000" w:rsidP="00000000" w:rsidRDefault="00000000" w:rsidRPr="00000000" w14:paraId="00000075">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IX. Llevar un registro de las solicitudes de acceso a la información, sus respuestas, resultados, costos de reproducción y envío, resolución a los recursos de revisión que se hayan emitido en contra de sus respuestas y del cumplimiento de las mismas;</w:t>
      </w:r>
    </w:p>
    <w:p w:rsidR="00000000" w:rsidDel="00000000" w:rsidP="00000000" w:rsidRDefault="00000000" w:rsidRPr="00000000" w14:paraId="00000076">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 Presentar ante el Comité, el proyecto de clasificación de información;</w:t>
      </w:r>
    </w:p>
    <w:p w:rsidR="00000000" w:rsidDel="00000000" w:rsidP="00000000" w:rsidRDefault="00000000" w:rsidRPr="00000000" w14:paraId="0000007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Promover e implementar políticas de transparencia proactiva procurando su accesibilidad;</w:t>
      </w:r>
    </w:p>
    <w:p w:rsidR="00000000" w:rsidDel="00000000" w:rsidP="00000000" w:rsidRDefault="00000000" w:rsidRPr="00000000" w14:paraId="0000007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Fomentar la transparencia y accesibilidad al interior del sujeto obligado;</w:t>
      </w:r>
    </w:p>
    <w:p w:rsidR="00000000" w:rsidDel="00000000" w:rsidP="00000000" w:rsidRDefault="00000000" w:rsidRPr="00000000" w14:paraId="00000079">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Hacer del conocimiento de la instancia competente la probable responsabilidad por el incumplimiento de las obligaciones previstas en la presente Ley; y</w:t>
      </w:r>
    </w:p>
    <w:p w:rsidR="00000000" w:rsidDel="00000000" w:rsidP="00000000" w:rsidRDefault="00000000" w:rsidRPr="00000000" w14:paraId="0000007A">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XIV. Las demás que resulten necesarias para facilitar el acceso a la información y aquellas que se desprenden de la presente Ley y demás disposiciones jurídicas aplicables.</w:t>
      </w:r>
    </w:p>
    <w:p w:rsidR="00000000" w:rsidDel="00000000" w:rsidP="00000000" w:rsidRDefault="00000000" w:rsidRPr="00000000" w14:paraId="0000007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promoverán acuerdos con instituciones públicas especializadas que pudieran auxiliarse a entregar las respuestas a solicitudes de información, en la lengua indígena, braille o cualquier formato accesible correspondiente, en forma más eficiente.</w:t>
      </w:r>
    </w:p>
    <w:p w:rsidR="00000000" w:rsidDel="00000000" w:rsidP="00000000" w:rsidRDefault="00000000" w:rsidRPr="00000000" w14:paraId="0000007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00000" w:rsidDel="00000000" w:rsidP="00000000" w:rsidRDefault="00000000" w:rsidRPr="00000000" w14:paraId="0000007D">
      <w:pPr>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7E">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servidores públicos habilitados tendrán las funciones siguientes:</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211" w:right="901"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Localizar la información que le solicite la Unidad de Transparencia;</w:t>
      </w:r>
    </w:p>
    <w:p w:rsidR="00000000" w:rsidDel="00000000" w:rsidP="00000000" w:rsidRDefault="00000000" w:rsidRPr="00000000" w14:paraId="00000080">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Proporcionar la información que obre en los archivos y que le sea solicitada por la Unidad de Transparencia;</w:t>
      </w:r>
    </w:p>
    <w:p w:rsidR="00000000" w:rsidDel="00000000" w:rsidP="00000000" w:rsidRDefault="00000000" w:rsidRPr="00000000" w14:paraId="0000008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Apoyar a la Unidad de Transparencia en lo que esta le solicite para el cumplimiento de sus funciones;</w:t>
      </w:r>
    </w:p>
    <w:p w:rsidR="00000000" w:rsidDel="00000000" w:rsidP="00000000" w:rsidRDefault="00000000" w:rsidRPr="00000000" w14:paraId="00000082">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Proporcionar a la Unidad de Transparencia, las modificaciones a la información pública de oficio que obre en su poder;</w:t>
      </w:r>
    </w:p>
    <w:p w:rsidR="00000000" w:rsidDel="00000000" w:rsidP="00000000" w:rsidRDefault="00000000" w:rsidRPr="00000000" w14:paraId="00000083">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Integrar y presentar al responsable de la Unidad de Transparencia la propuesta de clasificación de información, la cual tendrá los fundamentos y argumentos en que se basa dicha propuesta;</w:t>
      </w:r>
    </w:p>
    <w:p w:rsidR="00000000" w:rsidDel="00000000" w:rsidP="00000000" w:rsidRDefault="00000000" w:rsidRPr="00000000" w14:paraId="00000084">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Verificar, una vez analizado el contenido de la información, que no se encuentre en los supuestos de información clasificada; y</w:t>
      </w:r>
    </w:p>
    <w:p w:rsidR="00000000" w:rsidDel="00000000" w:rsidP="00000000" w:rsidRDefault="00000000" w:rsidRPr="00000000" w14:paraId="00000085">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Dar cuenta a la Unidad de Transparencia del vencimiento de los plazos de reserva.</w:t>
      </w:r>
    </w:p>
    <w:p w:rsidR="00000000" w:rsidDel="00000000" w:rsidP="00000000" w:rsidRDefault="00000000" w:rsidRPr="00000000" w14:paraId="00000086">
      <w:pPr>
        <w:ind w:left="567" w:right="618"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7">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89">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y los solicitantes, y tiene bajo su responsabilidad el tramitar internamente la solicitud de información.</w:t>
      </w:r>
    </w:p>
    <w:p w:rsidR="00000000" w:rsidDel="00000000" w:rsidP="00000000" w:rsidRDefault="00000000" w:rsidRPr="00000000" w14:paraId="0000008B">
      <w:pPr>
        <w:spacing w:line="360" w:lineRule="auto"/>
        <w:ind w:left="426"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manera que, si bien, el Titular de la Unidad de Transparencia </w:t>
      </w:r>
      <w:r w:rsidDel="00000000" w:rsidR="00000000" w:rsidRPr="00000000">
        <w:rPr>
          <w:rFonts w:ascii="Palatino Linotype" w:cs="Palatino Linotype" w:eastAsia="Palatino Linotype" w:hAnsi="Palatino Linotype"/>
          <w:u w:val="single"/>
          <w:rtl w:val="0"/>
        </w:rPr>
        <w:t xml:space="preserve">no tiene bajo su resguardo los soportes documentales donde consta la información solicitada</w:t>
      </w:r>
      <w:r w:rsidDel="00000000" w:rsidR="00000000" w:rsidRPr="00000000">
        <w:rPr>
          <w:rFonts w:ascii="Palatino Linotype" w:cs="Palatino Linotype" w:eastAsia="Palatino Linotype" w:hAnsi="Palatino Linotype"/>
          <w:rtl w:val="0"/>
        </w:rPr>
        <w:t xml:space="preserve">, sino que pudiera obrar en las distintas áreas que conforman la estructura del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es por ello que, debe turnar la solicitud a todas las áreas que pudieran generar, administrar o poseer la información requerida por la particular; pues tienen como función, buscar, localizar y poseer la información, así como entregarla</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bookmarkStart w:colFirst="0" w:colLast="0" w:name="_heading=h.2s8eyo1" w:id="9"/>
      <w:bookmarkEnd w:id="9"/>
      <w:r w:rsidDel="00000000" w:rsidR="00000000" w:rsidRPr="00000000">
        <w:rPr>
          <w:rFonts w:ascii="Palatino Linotype" w:cs="Palatino Linotype" w:eastAsia="Palatino Linotype" w:hAnsi="Palatino Linotype"/>
          <w:color w:val="000000"/>
          <w:highlight w:val="white"/>
          <w:rtl w:val="0"/>
        </w:rPr>
        <w:t xml:space="preserve">Con respecto a </w:t>
      </w:r>
      <w:r w:rsidDel="00000000" w:rsidR="00000000" w:rsidRPr="00000000">
        <w:rPr>
          <w:rFonts w:ascii="Palatino Linotype" w:cs="Palatino Linotype" w:eastAsia="Palatino Linotype" w:hAnsi="Palatino Linotype"/>
          <w:i w:val="1"/>
          <w:color w:val="000000"/>
          <w:highlight w:val="white"/>
          <w:rtl w:val="0"/>
        </w:rPr>
        <w:t xml:space="preserve">“la remuneración bruta y neta de todos los servidores públicos de base o de confianza, incluyendo sueldos, prestaciones, gratificaciones, primas, comisiones, dietas, bonos, estímulos, ingresos y sistemas de compensación del ejercicio fiscal 2020,2021 y del ejercicio en curso; </w:t>
      </w:r>
      <w:r w:rsidDel="00000000" w:rsidR="00000000" w:rsidRPr="00000000">
        <w:rPr>
          <w:rFonts w:ascii="Palatino Linotype" w:cs="Palatino Linotype" w:eastAsia="Palatino Linotype" w:hAnsi="Palatino Linotype"/>
          <w:rtl w:val="0"/>
        </w:rPr>
        <w:t xml:space="preserve">es importante citar los artículos 78, 80 y 220 K de la Ley del Trabajo de los Servidores Públicos del Estado y Municipios, se puede notar que los servidores públicos tienen derecho a recibir prestaciones, así como, el pago de salarios, prima vacacional, prima antigüedad y </w:t>
      </w:r>
      <w:r w:rsidDel="00000000" w:rsidR="00000000" w:rsidRPr="00000000">
        <w:rPr>
          <w:rFonts w:ascii="Palatino Linotype" w:cs="Palatino Linotype" w:eastAsia="Palatino Linotype" w:hAnsi="Palatino Linotype"/>
          <w:color w:val="000000"/>
          <w:rtl w:val="0"/>
        </w:rPr>
        <w:t xml:space="preserve">aguinaldo</w:t>
      </w:r>
      <w:r w:rsidDel="00000000" w:rsidR="00000000" w:rsidRPr="00000000">
        <w:rPr>
          <w:rFonts w:ascii="Palatino Linotype" w:cs="Palatino Linotype" w:eastAsia="Palatino Linotype" w:hAnsi="Palatino Linotype"/>
          <w:rtl w:val="0"/>
        </w:rPr>
        <w:t xml:space="preserve"> se podría deducir que de ellas se reciben una remuneración y existe un documento donde consta la prestación recibida, para mayor referencia se adjuntan los preceptos legales: </w:t>
      </w:r>
    </w:p>
    <w:p w:rsidR="00000000" w:rsidDel="00000000" w:rsidP="00000000" w:rsidRDefault="00000000" w:rsidRPr="00000000" w14:paraId="0000008F">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0">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78.</w:t>
      </w:r>
      <w:r w:rsidDel="00000000" w:rsidR="00000000" w:rsidRPr="00000000">
        <w:rPr>
          <w:rFonts w:ascii="Palatino Linotype" w:cs="Palatino Linotype" w:eastAsia="Palatino Linotype" w:hAnsi="Palatino Linotype"/>
          <w:i w:val="1"/>
          <w:sz w:val="22"/>
          <w:szCs w:val="22"/>
          <w:rtl w:val="0"/>
        </w:rPr>
        <w:t xml:space="preserve"> Los servidores públicos tendrán derecho a un </w:t>
      </w:r>
      <w:r w:rsidDel="00000000" w:rsidR="00000000" w:rsidRPr="00000000">
        <w:rPr>
          <w:rFonts w:ascii="Palatino Linotype" w:cs="Palatino Linotype" w:eastAsia="Palatino Linotype" w:hAnsi="Palatino Linotype"/>
          <w:b w:val="1"/>
          <w:i w:val="1"/>
          <w:sz w:val="22"/>
          <w:szCs w:val="22"/>
          <w:rtl w:val="0"/>
        </w:rPr>
        <w:t xml:space="preserve">aguinaldo</w:t>
      </w:r>
      <w:r w:rsidDel="00000000" w:rsidR="00000000" w:rsidRPr="00000000">
        <w:rPr>
          <w:rFonts w:ascii="Palatino Linotype" w:cs="Palatino Linotype" w:eastAsia="Palatino Linotype" w:hAnsi="Palatino Linotype"/>
          <w:i w:val="1"/>
          <w:sz w:val="22"/>
          <w:szCs w:val="22"/>
          <w:rtl w:val="0"/>
        </w:rPr>
        <w:t xml:space="preserve"> anual, equivalente a 40 días de sueldo base, cuando menos, sin deducción alguna, y estará comprendido en el presupuesto de egresos correspondiente.</w:t>
      </w:r>
    </w:p>
    <w:p w:rsidR="00000000" w:rsidDel="00000000" w:rsidP="00000000" w:rsidRDefault="00000000" w:rsidRPr="00000000" w14:paraId="00000091">
      <w:pPr>
        <w:ind w:left="850" w:right="901" w:firstLine="0"/>
        <w:jc w:val="both"/>
        <w:rPr>
          <w:rFonts w:ascii="Palatino Linotype" w:cs="Palatino Linotype" w:eastAsia="Palatino Linotype" w:hAnsi="Palatino Linotype"/>
          <w:i w:val="1"/>
          <w:sz w:val="22"/>
          <w:szCs w:val="22"/>
        </w:rPr>
      </w:pPr>
      <w:bookmarkStart w:colFirst="0" w:colLast="0" w:name="_heading=h.17dp8vu" w:id="10"/>
      <w:bookmarkEnd w:id="10"/>
      <w:r w:rsidDel="00000000" w:rsidR="00000000" w:rsidRPr="00000000">
        <w:rPr>
          <w:rFonts w:ascii="Palatino Linotype" w:cs="Palatino Linotype" w:eastAsia="Palatino Linotype" w:hAnsi="Palatino Linotype"/>
          <w:b w:val="1"/>
          <w:i w:val="1"/>
          <w:sz w:val="22"/>
          <w:szCs w:val="22"/>
          <w:rtl w:val="0"/>
        </w:rPr>
        <w:t xml:space="preserve">ARTÍCULO 80.</w:t>
      </w:r>
      <w:r w:rsidDel="00000000" w:rsidR="00000000" w:rsidRPr="00000000">
        <w:rPr>
          <w:rFonts w:ascii="Palatino Linotype" w:cs="Palatino Linotype" w:eastAsia="Palatino Linotype" w:hAnsi="Palatino Linotype"/>
          <w:i w:val="1"/>
          <w:sz w:val="22"/>
          <w:szCs w:val="22"/>
          <w:rtl w:val="0"/>
        </w:rPr>
        <w:t xml:space="preserve"> Los servidores públicos que optaren por separarse del servicio habiendo cumplido 15 años en el mismo, tendrán derecho al pago de una </w:t>
      </w:r>
      <w:r w:rsidDel="00000000" w:rsidR="00000000" w:rsidRPr="00000000">
        <w:rPr>
          <w:rFonts w:ascii="Palatino Linotype" w:cs="Palatino Linotype" w:eastAsia="Palatino Linotype" w:hAnsi="Palatino Linotype"/>
          <w:b w:val="1"/>
          <w:i w:val="1"/>
          <w:sz w:val="22"/>
          <w:szCs w:val="22"/>
          <w:rtl w:val="0"/>
        </w:rPr>
        <w:t xml:space="preserve">prima de antigüedad</w:t>
      </w:r>
      <w:r w:rsidDel="00000000" w:rsidR="00000000" w:rsidRPr="00000000">
        <w:rPr>
          <w:rFonts w:ascii="Palatino Linotype" w:cs="Palatino Linotype" w:eastAsia="Palatino Linotype" w:hAnsi="Palatino Linotype"/>
          <w:i w:val="1"/>
          <w:sz w:val="22"/>
          <w:szCs w:val="22"/>
          <w:rtl w:val="0"/>
        </w:rPr>
        <w:t xml:space="preserve"> consistente en el importe de 12 días de su sueldo base, por cada año de servicios prestados</w:t>
      </w:r>
    </w:p>
    <w:p w:rsidR="00000000" w:rsidDel="00000000" w:rsidP="00000000" w:rsidRDefault="00000000" w:rsidRPr="00000000" w14:paraId="00000092">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ARTÍCULO 220 K.-</w:t>
      </w:r>
      <w:r w:rsidDel="00000000" w:rsidR="00000000" w:rsidRPr="00000000">
        <w:rPr>
          <w:rFonts w:ascii="Palatino Linotype" w:cs="Palatino Linotype" w:eastAsia="Palatino Linotype" w:hAnsi="Palatino Linotype"/>
          <w:i w:val="1"/>
          <w:color w:val="000000"/>
          <w:sz w:val="22"/>
          <w:szCs w:val="22"/>
          <w:rtl w:val="0"/>
        </w:rPr>
        <w:t xml:space="preserve"> La institución o dependencia pública tiene la obligación de conservar y exhibir en el proceso los documentos que a continuación se precisan: </w:t>
      </w:r>
    </w:p>
    <w:p w:rsidR="00000000" w:rsidDel="00000000" w:rsidP="00000000" w:rsidRDefault="00000000" w:rsidRPr="00000000" w14:paraId="00000093">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94">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Recibos de pagos de salarios o las constancias documentales del pago de salario cuando sea por depósito o mediante información electrónica; </w:t>
      </w:r>
    </w:p>
    <w:p w:rsidR="00000000" w:rsidDel="00000000" w:rsidP="00000000" w:rsidRDefault="00000000" w:rsidRPr="00000000" w14:paraId="00000095">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p>
    <w:p w:rsidR="00000000" w:rsidDel="00000000" w:rsidP="00000000" w:rsidRDefault="00000000" w:rsidRPr="00000000" w14:paraId="00000096">
      <w:pPr>
        <w:ind w:left="850" w:right="901" w:firstLine="0"/>
        <w:jc w:val="both"/>
        <w:rPr>
          <w:rFonts w:ascii="Palatino Linotype" w:cs="Palatino Linotype" w:eastAsia="Palatino Linotype" w:hAnsi="Palatino Linotype"/>
          <w:i w:val="1"/>
          <w:color w:val="000000"/>
          <w:sz w:val="22"/>
          <w:szCs w:val="22"/>
        </w:rPr>
      </w:pPr>
      <w:bookmarkStart w:colFirst="0" w:colLast="0" w:name="_heading=h.3rdcrjn" w:id="11"/>
      <w:bookmarkEnd w:id="11"/>
      <w:r w:rsidDel="00000000" w:rsidR="00000000" w:rsidRPr="00000000">
        <w:rPr>
          <w:rFonts w:ascii="Palatino Linotype" w:cs="Palatino Linotype" w:eastAsia="Palatino Linotype" w:hAnsi="Palatino Linotype"/>
          <w:i w:val="1"/>
          <w:color w:val="000000"/>
          <w:sz w:val="22"/>
          <w:szCs w:val="22"/>
          <w:rtl w:val="0"/>
        </w:rPr>
        <w:t xml:space="preserve">IV. Recibos o las constancias de depósito o del medio de información magnética o electrónica que sean utilizadas para el </w:t>
      </w:r>
      <w:r w:rsidDel="00000000" w:rsidR="00000000" w:rsidRPr="00000000">
        <w:rPr>
          <w:rFonts w:ascii="Palatino Linotype" w:cs="Palatino Linotype" w:eastAsia="Palatino Linotype" w:hAnsi="Palatino Linotype"/>
          <w:b w:val="1"/>
          <w:i w:val="1"/>
          <w:color w:val="000000"/>
          <w:sz w:val="22"/>
          <w:szCs w:val="22"/>
          <w:rtl w:val="0"/>
        </w:rPr>
        <w:t xml:space="preserve">pago de salarios, prima vacacional, aguinaldo y demás prestaciones establecidas en la presente ley</w:t>
      </w:r>
      <w:r w:rsidDel="00000000" w:rsidR="00000000" w:rsidRPr="00000000">
        <w:rPr>
          <w:rFonts w:ascii="Palatino Linotype" w:cs="Palatino Linotype" w:eastAsia="Palatino Linotype" w:hAnsi="Palatino Linotype"/>
          <w:i w:val="1"/>
          <w:color w:val="000000"/>
          <w:sz w:val="22"/>
          <w:szCs w:val="22"/>
          <w:rtl w:val="0"/>
        </w:rPr>
        <w:t xml:space="preserve">; y </w:t>
      </w:r>
    </w:p>
    <w:p w:rsidR="00000000" w:rsidDel="00000000" w:rsidP="00000000" w:rsidRDefault="00000000" w:rsidRPr="00000000" w14:paraId="00000097">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 Los demás que señalen las leyes. </w:t>
      </w:r>
    </w:p>
    <w:p w:rsidR="00000000" w:rsidDel="00000000" w:rsidP="00000000" w:rsidRDefault="00000000" w:rsidRPr="00000000" w14:paraId="00000098">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Los documentos señalados</w:t>
      </w:r>
      <w:r w:rsidDel="00000000" w:rsidR="00000000" w:rsidRPr="00000000">
        <w:rPr>
          <w:rFonts w:ascii="Palatino Linotype" w:cs="Palatino Linotype" w:eastAsia="Palatino Linotype" w:hAnsi="Palatino Linotype"/>
          <w:i w:val="1"/>
          <w:color w:val="000000"/>
          <w:sz w:val="22"/>
          <w:szCs w:val="22"/>
          <w:rtl w:val="0"/>
        </w:rPr>
        <w:t xml:space="preserve"> en la fracción I de este artículo, </w:t>
      </w:r>
      <w:r w:rsidDel="00000000" w:rsidR="00000000" w:rsidRPr="00000000">
        <w:rPr>
          <w:rFonts w:ascii="Palatino Linotype" w:cs="Palatino Linotype" w:eastAsia="Palatino Linotype" w:hAnsi="Palatino Linotype"/>
          <w:b w:val="1"/>
          <w:i w:val="1"/>
          <w:color w:val="000000"/>
          <w:sz w:val="22"/>
          <w:szCs w:val="22"/>
          <w:rtl w:val="0"/>
        </w:rPr>
        <w:t xml:space="preserve">deberán conservarse mientras dure la relación laboral y hasta un año después</w:t>
      </w:r>
      <w:r w:rsidDel="00000000" w:rsidR="00000000" w:rsidRPr="00000000">
        <w:rPr>
          <w:rFonts w:ascii="Palatino Linotype" w:cs="Palatino Linotype" w:eastAsia="Palatino Linotype" w:hAnsi="Palatino Linotype"/>
          <w:i w:val="1"/>
          <w:color w:val="000000"/>
          <w:sz w:val="22"/>
          <w:szCs w:val="22"/>
          <w:rtl w:val="0"/>
        </w:rPr>
        <w:t xml:space="preserve">; los señalados por las fracciones II, III, IV durante el último año y un año después de que se extinga la relación laboral,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rsidR="00000000" w:rsidDel="00000000" w:rsidP="00000000" w:rsidRDefault="00000000" w:rsidRPr="00000000" w14:paraId="00000099">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El incumplimiento por lo dispuesto por este artículo, establecerá la presunción de ser ciertos los hechos que el actor exprese en su demanda, en relación con tales documentos, salvo prueba en contrario.”</w:t>
      </w:r>
    </w:p>
    <w:p w:rsidR="00000000" w:rsidDel="00000000" w:rsidP="00000000" w:rsidRDefault="00000000" w:rsidRPr="00000000" w14:paraId="0000009A">
      <w:pPr>
        <w:ind w:left="850" w:right="901"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(Énfasis añadido)</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9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de la ley antes citada, nos refiere que los Servidores Públicos por la prestación de sus servicios deben de recibir, por lo menos un salario, prima vacacional, de antigüedad, un aguinaldo y demás remuneraciones que por ley tienen derecho a gozar.</w:t>
      </w:r>
    </w:p>
    <w:p w:rsidR="00000000" w:rsidDel="00000000" w:rsidP="00000000" w:rsidRDefault="00000000" w:rsidRPr="00000000" w14:paraId="000000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E">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tabs>
          <w:tab w:val="right" w:pos="8505"/>
        </w:tabs>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Aunado a lo anterior, </w:t>
      </w:r>
      <w:r w:rsidDel="00000000" w:rsidR="00000000" w:rsidRPr="00000000">
        <w:rPr>
          <w:rFonts w:ascii="Palatino Linotype" w:cs="Palatino Linotype" w:eastAsia="Palatino Linotype" w:hAnsi="Palatino Linotype"/>
          <w:color w:val="000000"/>
          <w:rtl w:val="0"/>
        </w:rPr>
        <w:t xml:space="preserve">para conocer lo que debe contener la información correspondiente a los requerimientos solicitados por el particular el documento idóneo es la Nómina</w:t>
      </w:r>
      <w:r w:rsidDel="00000000" w:rsidR="00000000" w:rsidRPr="00000000">
        <w:rPr>
          <w:rFonts w:ascii="Palatino Linotype" w:cs="Palatino Linotype" w:eastAsia="Palatino Linotype" w:hAnsi="Palatino Linotype"/>
          <w:color w:val="000000"/>
          <w:vertAlign w:val="superscript"/>
        </w:rPr>
        <w:footnoteReference w:customMarkFollows="0" w:id="2"/>
      </w:r>
      <w:r w:rsidDel="00000000" w:rsidR="00000000" w:rsidRPr="00000000">
        <w:rPr>
          <w:rFonts w:ascii="Palatino Linotype" w:cs="Palatino Linotype" w:eastAsia="Palatino Linotype" w:hAnsi="Palatino Linotype"/>
          <w:color w:val="000000"/>
          <w:rtl w:val="0"/>
        </w:rPr>
        <w:t xml:space="preserve"> es necesario señalar la fracción II, del artículo 4 de la Ley de Fiscalización Superior del Estado de México, la cual señala: </w:t>
      </w:r>
    </w:p>
    <w:p w:rsidR="00000000" w:rsidDel="00000000" w:rsidP="00000000" w:rsidRDefault="00000000" w:rsidRPr="00000000" w14:paraId="000000A0">
      <w:pPr>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 </w:t>
      </w:r>
      <w:r w:rsidDel="00000000" w:rsidR="00000000" w:rsidRPr="00000000">
        <w:rPr>
          <w:rFonts w:ascii="Palatino Linotype" w:cs="Palatino Linotype" w:eastAsia="Palatino Linotype" w:hAnsi="Palatino Linotype"/>
          <w:i w:val="1"/>
          <w:sz w:val="22"/>
          <w:szCs w:val="22"/>
          <w:rtl w:val="0"/>
        </w:rPr>
        <w:t xml:space="preserve">Son sujetos de fiscalización:</w:t>
      </w:r>
    </w:p>
    <w:p w:rsidR="00000000" w:rsidDel="00000000" w:rsidP="00000000" w:rsidRDefault="00000000" w:rsidRPr="00000000" w14:paraId="000000A2">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A3">
      <w:pPr>
        <w:numPr>
          <w:ilvl w:val="0"/>
          <w:numId w:val="3"/>
        </w:num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municipios del Estado de México;</w:t>
      </w:r>
    </w:p>
    <w:p w:rsidR="00000000" w:rsidDel="00000000" w:rsidP="00000000" w:rsidRDefault="00000000" w:rsidRPr="00000000" w14:paraId="000000A4">
      <w:pPr>
        <w:ind w:left="851" w:right="90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A5">
      <w:pP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A6">
      <w:pPr>
        <w:spacing w:line="360" w:lineRule="auto"/>
        <w:ind w:right="49"/>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Razón por la que, al Órgano Superior de Fiscalización de esta entidad federativa, le asiste la facultad de emitir los </w:t>
      </w:r>
      <w:r w:rsidDel="00000000" w:rsidR="00000000" w:rsidRPr="00000000">
        <w:rPr>
          <w:rFonts w:ascii="Palatino Linotype" w:cs="Palatino Linotype" w:eastAsia="Palatino Linotype" w:hAnsi="Palatino Linotype"/>
          <w:b w:val="1"/>
          <w:color w:val="000000"/>
          <w:rtl w:val="0"/>
        </w:rPr>
        <w:t xml:space="preserve">Lineamientos para la Integración del Informe Mensual</w:t>
      </w:r>
      <w:r w:rsidDel="00000000" w:rsidR="00000000" w:rsidRPr="00000000">
        <w:rPr>
          <w:rFonts w:ascii="Palatino Linotype" w:cs="Palatino Linotype" w:eastAsia="Palatino Linotype" w:hAnsi="Palatino Linotype"/>
          <w:color w:val="000000"/>
          <w:rtl w:val="0"/>
        </w:rPr>
        <w:t xml:space="preserve">, en términos la fracción XI del artículo 8 de la Ley de Fiscalización Superior del Estado de México, que señalan: </w:t>
      </w:r>
    </w:p>
    <w:p w:rsidR="00000000" w:rsidDel="00000000" w:rsidP="00000000" w:rsidRDefault="00000000" w:rsidRPr="00000000" w14:paraId="000000A7">
      <w:pPr>
        <w:ind w:left="567" w:right="618"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A8">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 </w:t>
      </w:r>
      <w:r w:rsidDel="00000000" w:rsidR="00000000" w:rsidRPr="00000000">
        <w:rPr>
          <w:rFonts w:ascii="Palatino Linotype" w:cs="Palatino Linotype" w:eastAsia="Palatino Linotype" w:hAnsi="Palatino Linotype"/>
          <w:i w:val="1"/>
          <w:sz w:val="22"/>
          <w:szCs w:val="22"/>
          <w:rtl w:val="0"/>
        </w:rPr>
        <w:t xml:space="preserve">El Órgano Superior tendrá las siguientes atribuciones:</w:t>
      </w:r>
    </w:p>
    <w:p w:rsidR="00000000" w:rsidDel="00000000" w:rsidP="00000000" w:rsidRDefault="00000000" w:rsidRPr="00000000" w14:paraId="000000A9">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AA">
      <w:pPr>
        <w:ind w:left="851"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Establecer los lineamientos, criterios, procedimientos, métodos y sistemas para las acciones de control y evaluación, necesarios para la fiscalización de las cuentas públicas y los informes trimestrales;</w:t>
      </w:r>
    </w:p>
    <w:p w:rsidR="00000000" w:rsidDel="00000000" w:rsidP="00000000" w:rsidRDefault="00000000" w:rsidRPr="00000000" w14:paraId="000000AB">
      <w:pPr>
        <w:ind w:left="851" w:right="901" w:firstLine="0"/>
        <w:jc w:val="both"/>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w:t>
      </w:r>
      <w:r w:rsidDel="00000000" w:rsidR="00000000" w:rsidRPr="00000000">
        <w:rPr>
          <w:rtl w:val="0"/>
        </w:rPr>
      </w:r>
    </w:p>
    <w:p w:rsidR="00000000" w:rsidDel="00000000" w:rsidP="00000000" w:rsidRDefault="00000000" w:rsidRPr="00000000" w14:paraId="000000AC">
      <w:pPr>
        <w:ind w:left="851" w:right="901"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4, relativo a información </w:t>
      </w:r>
      <w:r w:rsidDel="00000000" w:rsidR="00000000" w:rsidRPr="00000000">
        <w:rPr>
          <w:rFonts w:ascii="Palatino Linotype" w:cs="Palatino Linotype" w:eastAsia="Palatino Linotype" w:hAnsi="Palatino Linotype"/>
          <w:color w:val="000000"/>
          <w:rtl w:val="0"/>
        </w:rPr>
        <w:t xml:space="preserve">comprobantes fiscales digitales por internet (</w:t>
      </w:r>
      <w:r w:rsidDel="00000000" w:rsidR="00000000" w:rsidRPr="00000000">
        <w:rPr>
          <w:rFonts w:ascii="Palatino Linotype" w:cs="Palatino Linotype" w:eastAsia="Palatino Linotype" w:hAnsi="Palatino Linotype"/>
          <w:b w:val="1"/>
          <w:color w:val="000000"/>
          <w:rtl w:val="0"/>
        </w:rPr>
        <w:t xml:space="preserve">CFDI</w:t>
      </w:r>
      <w:r w:rsidDel="00000000" w:rsidR="00000000" w:rsidRPr="00000000">
        <w:rPr>
          <w:rFonts w:ascii="Palatino Linotype" w:cs="Palatino Linotype" w:eastAsia="Palatino Linotype" w:hAnsi="Palatino Linotype"/>
          <w:color w:val="000000"/>
          <w:rtl w:val="0"/>
        </w:rPr>
        <w:t xml:space="preserv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E">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A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w:t>
      </w:r>
      <w:r w:rsidDel="00000000" w:rsidR="00000000" w:rsidRPr="00000000">
        <w:rPr>
          <w:rFonts w:ascii="Palatino Linotype" w:cs="Palatino Linotype" w:eastAsia="Palatino Linotype" w:hAnsi="Palatino Linotype"/>
          <w:b w:val="1"/>
          <w:rtl w:val="0"/>
        </w:rPr>
        <w:t xml:space="preserve">el informe mensual deberá ser presentado</w:t>
      </w:r>
      <w:r w:rsidDel="00000000" w:rsidR="00000000" w:rsidRPr="00000000">
        <w:rPr>
          <w:rFonts w:ascii="Palatino Linotype" w:cs="Palatino Linotype" w:eastAsia="Palatino Linotype" w:hAnsi="Palatino Linotype"/>
          <w:rtl w:val="0"/>
        </w:rPr>
        <w:t xml:space="preserve"> al Órgano Superior de Fiscalización </w:t>
      </w:r>
      <w:r w:rsidDel="00000000" w:rsidR="00000000" w:rsidRPr="00000000">
        <w:rPr>
          <w:rFonts w:ascii="Palatino Linotype" w:cs="Palatino Linotype" w:eastAsia="Palatino Linotype" w:hAnsi="Palatino Linotype"/>
          <w:b w:val="1"/>
          <w:rtl w:val="0"/>
        </w:rPr>
        <w:t xml:space="preserve">dentro de los 20 días posteriores al término del mes correspondiente</w:t>
      </w:r>
      <w:r w:rsidDel="00000000" w:rsidR="00000000" w:rsidRPr="00000000">
        <w:rPr>
          <w:rFonts w:ascii="Palatino Linotype" w:cs="Palatino Linotype" w:eastAsia="Palatino Linotype" w:hAnsi="Palatino Linotype"/>
          <w:rtl w:val="0"/>
        </w:rPr>
        <w:t xml:space="preserve"> de acuerdo a lo establecido en el artículo 32 de la Ley de Fiscalización Superior del Estado de México, que a la letra dice:</w:t>
      </w:r>
    </w:p>
    <w:p w:rsidR="00000000" w:rsidDel="00000000" w:rsidP="00000000" w:rsidRDefault="00000000" w:rsidRPr="00000000" w14:paraId="000000B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1">
      <w:pPr>
        <w:spacing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32.-</w:t>
      </w:r>
      <w:r w:rsidDel="00000000" w:rsidR="00000000" w:rsidRPr="00000000">
        <w:rPr>
          <w:rFonts w:ascii="Palatino Linotype" w:cs="Palatino Linotype" w:eastAsia="Palatino Linotype" w:hAnsi="Palatino Linotype"/>
          <w:i w:val="1"/>
          <w:sz w:val="22"/>
          <w:szCs w:val="22"/>
          <w:rtl w:val="0"/>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000000" w:rsidDel="00000000" w:rsidP="00000000" w:rsidRDefault="00000000" w:rsidRPr="00000000" w14:paraId="000000B2">
      <w:pPr>
        <w:spacing w:line="276" w:lineRule="auto"/>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3">
      <w:pPr>
        <w:spacing w:line="276" w:lineRule="auto"/>
        <w:ind w:left="851" w:right="901"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Los Presidentes Municipales presentarán a la Legislatura las cuentas públicas anuales de sus respectivos municipios, del ejercicio fiscal inmediato anterior, dentro de los quince primeros días del mes de marzo de cada año; asimismo, </w:t>
      </w:r>
      <w:r w:rsidDel="00000000" w:rsidR="00000000" w:rsidRPr="00000000">
        <w:rPr>
          <w:rFonts w:ascii="Palatino Linotype" w:cs="Palatino Linotype" w:eastAsia="Palatino Linotype" w:hAnsi="Palatino Linotype"/>
          <w:b w:val="1"/>
          <w:i w:val="1"/>
          <w:sz w:val="22"/>
          <w:szCs w:val="22"/>
          <w:u w:val="single"/>
          <w:rtl w:val="0"/>
        </w:rPr>
        <w:t xml:space="preserve">los informes mensuales</w:t>
      </w:r>
      <w:r w:rsidDel="00000000" w:rsidR="00000000" w:rsidRPr="00000000">
        <w:rPr>
          <w:rFonts w:ascii="Palatino Linotype" w:cs="Palatino Linotype" w:eastAsia="Palatino Linotype" w:hAnsi="Palatino Linotype"/>
          <w:i w:val="1"/>
          <w:sz w:val="22"/>
          <w:szCs w:val="22"/>
          <w:rtl w:val="0"/>
        </w:rPr>
        <w:t xml:space="preserve"> los deberán presentar </w:t>
      </w:r>
      <w:r w:rsidDel="00000000" w:rsidR="00000000" w:rsidRPr="00000000">
        <w:rPr>
          <w:rFonts w:ascii="Palatino Linotype" w:cs="Palatino Linotype" w:eastAsia="Palatino Linotype" w:hAnsi="Palatino Linotype"/>
          <w:b w:val="1"/>
          <w:i w:val="1"/>
          <w:sz w:val="22"/>
          <w:szCs w:val="22"/>
          <w:u w:val="single"/>
          <w:rtl w:val="0"/>
        </w:rPr>
        <w:t xml:space="preserve">dentro de los veinte días posteriores al término del mes correspondiente.”</w:t>
      </w:r>
    </w:p>
    <w:p w:rsidR="00000000" w:rsidDel="00000000" w:rsidP="00000000" w:rsidRDefault="00000000" w:rsidRPr="00000000" w14:paraId="000000B4">
      <w:pPr>
        <w:spacing w:line="360" w:lineRule="auto"/>
        <w:ind w:left="851" w:right="758"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5">
      <w:pPr>
        <w:spacing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w:t>
      </w:r>
      <w:r w:rsidDel="00000000" w:rsidR="00000000" w:rsidRPr="00000000">
        <w:rPr>
          <w:rFonts w:ascii="Palatino Linotype" w:cs="Palatino Linotype" w:eastAsia="Palatino Linotype" w:hAnsi="Palatino Linotype"/>
          <w:b w:val="1"/>
          <w:rtl w:val="0"/>
        </w:rPr>
        <w:t xml:space="preserve">documental comprobatoria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u w:val="single"/>
          <w:rtl w:val="0"/>
        </w:rPr>
        <w:t xml:space="preserve">deberá conservarse en los archivos de la entidad fiscalizada –Municipio</w:t>
      </w:r>
      <w:r w:rsidDel="00000000" w:rsidR="00000000" w:rsidRPr="00000000">
        <w:rPr>
          <w:rFonts w:ascii="Palatino Linotype" w:cs="Palatino Linotype" w:eastAsia="Palatino Linotype" w:hAnsi="Palatino Linotype"/>
          <w:rtl w:val="0"/>
        </w:rPr>
        <w:t xml:space="preserve">-, en original y debidamente integrada en términos de los lineamientos de referencia, pues son susceptibles de revisión directa por el órgano Superior de Fiscalización.</w:t>
      </w:r>
    </w:p>
    <w:p w:rsidR="00000000" w:rsidDel="00000000" w:rsidP="00000000" w:rsidRDefault="00000000" w:rsidRPr="00000000" w14:paraId="000000B6">
      <w:pPr>
        <w:spacing w:line="360" w:lineRule="auto"/>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Atento a lo anterior, </w:t>
      </w:r>
      <w:r w:rsidDel="00000000" w:rsidR="00000000" w:rsidRPr="00000000">
        <w:rPr>
          <w:rFonts w:ascii="Palatino Linotype" w:cs="Palatino Linotype" w:eastAsia="Palatino Linotype" w:hAnsi="Palatino Linotype"/>
          <w:color w:val="000000"/>
          <w:rtl w:val="0"/>
        </w:rPr>
        <w:t xml:space="preserve">los Lineamientos para la Integración del Informe Mensual 2020, visibles en la página oficial de dicho Órgano en el sitio de internet </w:t>
      </w:r>
      <w:hyperlink r:id="rId11">
        <w:r w:rsidDel="00000000" w:rsidR="00000000" w:rsidRPr="00000000">
          <w:rPr>
            <w:rFonts w:ascii="Palatino Linotype" w:cs="Palatino Linotype" w:eastAsia="Palatino Linotype" w:hAnsi="Palatino Linotype"/>
            <w:strike w:val="0"/>
            <w:color w:val="035899"/>
            <w:u w:val="none"/>
            <w:rtl w:val="0"/>
          </w:rPr>
          <w:t xml:space="preserve">https://www.osfem.gob.mx/04_Normatividad/doc/Normatividad/2020/02_LinEntInfMenMpal20.pdf</w:t>
        </w:r>
      </w:hyperlink>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color w:val="000000"/>
          <w:rtl w:val="0"/>
        </w:rPr>
        <w:t xml:space="preserve"> donde se destaca que dentro de los informes mensuales que los Ayuntamientos se encuentran constreñidos a transparentar sus obligaciones, se tiene contemplado precisamente la presentación de la Información referente a la Nómina General, </w:t>
      </w:r>
      <w:r w:rsidDel="00000000" w:rsidR="00000000" w:rsidRPr="00000000">
        <w:rPr>
          <w:rFonts w:ascii="Palatino Linotype" w:cs="Palatino Linotype" w:eastAsia="Palatino Linotype" w:hAnsi="Palatino Linotype"/>
          <w:rtl w:val="0"/>
        </w:rPr>
        <w:t xml:space="preserve">los cuales tiene como objetivo presentar la información del pago de las remuneraciones de cada uno de los servidores públicos, dicho formato constituye un soporte documental de que la información solicitada por el recurrente, que obra en los archivos del Sujeto Obligado, </w:t>
      </w:r>
      <w:r w:rsidDel="00000000" w:rsidR="00000000" w:rsidRPr="00000000">
        <w:rPr>
          <w:rFonts w:ascii="Palatino Linotype" w:cs="Palatino Linotype" w:eastAsia="Palatino Linotype" w:hAnsi="Palatino Linotype"/>
          <w:color w:val="000000"/>
          <w:rtl w:val="0"/>
        </w:rPr>
        <w:t xml:space="preserve">tal y como se muestra en las siguientes imágenes: </w:t>
      </w:r>
    </w:p>
    <w:p w:rsidR="00000000" w:rsidDel="00000000" w:rsidP="00000000" w:rsidRDefault="00000000" w:rsidRPr="00000000" w14:paraId="000000B8">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9">
      <w:pPr>
        <w:spacing w:line="360"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Pr>
        <w:drawing>
          <wp:inline distB="0" distT="0" distL="0" distR="0">
            <wp:extent cx="4776470" cy="3305175"/>
            <wp:effectExtent b="0" l="0" r="0" t="0"/>
            <wp:docPr id="25" name="image5.png"/>
            <a:graphic>
              <a:graphicData uri="http://schemas.openxmlformats.org/drawingml/2006/picture">
                <pic:pic>
                  <pic:nvPicPr>
                    <pic:cNvPr id="0" name="image5.png"/>
                    <pic:cNvPicPr preferRelativeResize="0"/>
                  </pic:nvPicPr>
                  <pic:blipFill>
                    <a:blip r:embed="rId12"/>
                    <a:srcRect b="31309" l="0" r="0" t="10297"/>
                    <a:stretch>
                      <a:fillRect/>
                    </a:stretch>
                  </pic:blipFill>
                  <pic:spPr>
                    <a:xfrm>
                      <a:off x="0" y="0"/>
                      <a:ext cx="4776470" cy="3305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508000</wp:posOffset>
                </wp:positionH>
                <wp:positionV relativeFrom="paragraph">
                  <wp:posOffset>596900</wp:posOffset>
                </wp:positionV>
                <wp:extent cx="4778375" cy="646502"/>
                <wp:effectExtent b="0" l="0" r="0" t="0"/>
                <wp:wrapNone/>
                <wp:docPr id="23" name=""/>
                <a:graphic>
                  <a:graphicData uri="http://schemas.microsoft.com/office/word/2010/wordprocessingShape">
                    <wps:wsp>
                      <wps:cNvSpPr/>
                      <wps:cNvPr id="3" name="Shape 3"/>
                      <wps:spPr>
                        <a:xfrm>
                          <a:off x="2969513" y="3469449"/>
                          <a:ext cx="4752975" cy="621102"/>
                        </a:xfrm>
                        <a:prstGeom prst="roundRect">
                          <a:avLst>
                            <a:gd fmla="val 16667" name="adj"/>
                          </a:avLst>
                        </a:prstGeom>
                        <a:noFill/>
                        <a:ln cap="flat" cmpd="sng" w="25400">
                          <a:solidFill>
                            <a:srgbClr val="C0504D"/>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508000</wp:posOffset>
                </wp:positionH>
                <wp:positionV relativeFrom="paragraph">
                  <wp:posOffset>596900</wp:posOffset>
                </wp:positionV>
                <wp:extent cx="4778375" cy="646502"/>
                <wp:effectExtent b="0" l="0" r="0" t="0"/>
                <wp:wrapNone/>
                <wp:docPr id="2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4778375" cy="646502"/>
                        </a:xfrm>
                        <a:prstGeom prst="rect"/>
                        <a:ln/>
                      </pic:spPr>
                    </pic:pic>
                  </a:graphicData>
                </a:graphic>
              </wp:anchor>
            </w:drawing>
          </mc:Fallback>
        </mc:AlternateContent>
      </w:r>
    </w:p>
    <w:p w:rsidR="00000000" w:rsidDel="00000000" w:rsidP="00000000" w:rsidRDefault="00000000" w:rsidRPr="00000000" w14:paraId="000000BA">
      <w:pPr>
        <w:spacing w:line="360" w:lineRule="auto"/>
        <w:jc w:val="center"/>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BB">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357980" cy="2935987"/>
            <wp:effectExtent b="0" l="0" r="0" t="0"/>
            <wp:docPr id="28" name="image1.png"/>
            <a:graphic>
              <a:graphicData uri="http://schemas.openxmlformats.org/drawingml/2006/picture">
                <pic:pic>
                  <pic:nvPicPr>
                    <pic:cNvPr id="0" name="image1.png"/>
                    <pic:cNvPicPr preferRelativeResize="0"/>
                  </pic:nvPicPr>
                  <pic:blipFill>
                    <a:blip r:embed="rId14"/>
                    <a:srcRect b="4670" l="19684" r="21500" t="24731"/>
                    <a:stretch>
                      <a:fillRect/>
                    </a:stretch>
                  </pic:blipFill>
                  <pic:spPr>
                    <a:xfrm>
                      <a:off x="0" y="0"/>
                      <a:ext cx="4357980" cy="2935987"/>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spacing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817996" cy="4605754"/>
            <wp:effectExtent b="0" l="0" r="0" t="0"/>
            <wp:docPr id="27" name="image4.png"/>
            <a:graphic>
              <a:graphicData uri="http://schemas.openxmlformats.org/drawingml/2006/picture">
                <pic:pic>
                  <pic:nvPicPr>
                    <pic:cNvPr id="0" name="image4.png"/>
                    <pic:cNvPicPr preferRelativeResize="0"/>
                  </pic:nvPicPr>
                  <pic:blipFill>
                    <a:blip r:embed="rId15"/>
                    <a:srcRect b="0" l="2828" r="945" t="0"/>
                    <a:stretch>
                      <a:fillRect/>
                    </a:stretch>
                  </pic:blipFill>
                  <pic:spPr>
                    <a:xfrm>
                      <a:off x="0" y="0"/>
                      <a:ext cx="5817996" cy="4605754"/>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insertas, se obtiene que </w:t>
      </w:r>
      <w:r w:rsidDel="00000000" w:rsidR="00000000" w:rsidRPr="00000000">
        <w:rPr>
          <w:rFonts w:ascii="Palatino Linotype" w:cs="Palatino Linotype" w:eastAsia="Palatino Linotype" w:hAnsi="Palatino Linotype"/>
          <w:b w:val="1"/>
          <w:color w:val="000000"/>
          <w:rtl w:val="0"/>
        </w:rPr>
        <w:t xml:space="preserve">EL SUJETO OBLIGADO</w:t>
      </w:r>
      <w:r w:rsidDel="00000000" w:rsidR="00000000" w:rsidRPr="00000000">
        <w:rPr>
          <w:rFonts w:ascii="Palatino Linotype" w:cs="Palatino Linotype" w:eastAsia="Palatino Linotype" w:hAnsi="Palatino Linotype"/>
          <w:rtl w:val="0"/>
        </w:rPr>
        <w:t xml:space="preserve"> tiene el deber de generar las Nóminas Generales</w:t>
      </w:r>
      <w:r w:rsidDel="00000000" w:rsidR="00000000" w:rsidRPr="00000000">
        <w:rPr>
          <w:rFonts w:ascii="Palatino Linotype" w:cs="Palatino Linotype" w:eastAsia="Palatino Linotype" w:hAnsi="Palatino Linotype"/>
          <w:b w:val="1"/>
          <w:rtl w:val="0"/>
        </w:rPr>
        <w:t xml:space="preserve">, documentos en el que se refleja el monto de las remuneraciones</w:t>
      </w:r>
      <w:r w:rsidDel="00000000" w:rsidR="00000000" w:rsidRPr="00000000">
        <w:rPr>
          <w:rFonts w:ascii="Palatino Linotype" w:cs="Palatino Linotype" w:eastAsia="Palatino Linotype" w:hAnsi="Palatino Linotype"/>
          <w:rtl w:val="0"/>
        </w:rPr>
        <w:t xml:space="preserve"> que los servidores públicos reciben.</w:t>
      </w:r>
    </w:p>
    <w:p w:rsidR="00000000" w:rsidDel="00000000" w:rsidP="00000000" w:rsidRDefault="00000000" w:rsidRPr="00000000" w14:paraId="000000B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24, fracción XVIII de la Ley de Transparencia y Acceso a la Información Pública del Estado de México y Municipios, que establece como deber de los sujetos obligados el hacer público toda la información respecto a los montos y nombres de las personas a quienes se entreguen recursos públicos y con ello transparentar la forma, términos, causas y finalidad en la disposición de esos recursos; precepto legal que es del tenor siguiente:</w:t>
      </w:r>
    </w:p>
    <w:p w:rsidR="00000000" w:rsidDel="00000000" w:rsidP="00000000" w:rsidRDefault="00000000" w:rsidRPr="00000000" w14:paraId="000000C1">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2">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24.</w:t>
      </w:r>
      <w:r w:rsidDel="00000000" w:rsidR="00000000" w:rsidRPr="00000000">
        <w:rPr>
          <w:rFonts w:ascii="Palatino Linotype" w:cs="Palatino Linotype" w:eastAsia="Palatino Linotype" w:hAnsi="Palatino Linotype"/>
          <w:i w:val="1"/>
          <w:sz w:val="22"/>
          <w:szCs w:val="22"/>
          <w:rtl w:val="0"/>
        </w:rPr>
        <w:t xml:space="preserve"> Para el cumplimiento de los objetivos de esta Ley, los sujetos obligados deberán cumplir con las siguientes obligaciones, según corresponda, de acuerdo a su naturaleza: </w:t>
      </w:r>
    </w:p>
    <w:p w:rsidR="00000000" w:rsidDel="00000000" w:rsidP="00000000" w:rsidRDefault="00000000" w:rsidRPr="00000000" w14:paraId="000000C3">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4">
      <w:pPr>
        <w:ind w:left="850" w:right="90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0C5">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6">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w:t>
      </w:r>
      <w:r w:rsidDel="00000000" w:rsidR="00000000" w:rsidRPr="00000000">
        <w:rPr>
          <w:rtl w:val="0"/>
        </w:rPr>
      </w:r>
    </w:p>
    <w:p w:rsidR="00000000" w:rsidDel="00000000" w:rsidP="00000000" w:rsidRDefault="00000000" w:rsidRPr="00000000" w14:paraId="000000C7">
      <w:pPr>
        <w:spacing w:line="360" w:lineRule="auto"/>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ind w:left="851" w:right="90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01/2003.</w:t>
      </w:r>
    </w:p>
    <w:p w:rsidR="00000000" w:rsidDel="00000000" w:rsidP="00000000" w:rsidRDefault="00000000" w:rsidRPr="00000000" w14:paraId="000000CB">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Y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Del="00000000" w:rsidR="00000000" w:rsidRPr="00000000">
        <w:rPr>
          <w:rFonts w:ascii="Palatino Linotype" w:cs="Palatino Linotype" w:eastAsia="Palatino Linotype" w:hAnsi="Palatino Linotype"/>
          <w:i w:val="1"/>
          <w:sz w:val="22"/>
          <w:szCs w:val="22"/>
          <w:u w:val="single"/>
          <w:rtl w:val="0"/>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Del="00000000" w:rsidR="00000000" w:rsidRPr="00000000">
        <w:rPr>
          <w:rtl w:val="0"/>
        </w:rPr>
      </w:r>
    </w:p>
    <w:p w:rsidR="00000000" w:rsidDel="00000000" w:rsidP="00000000" w:rsidRDefault="00000000" w:rsidRPr="00000000" w14:paraId="000000C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CD">
      <w:pPr>
        <w:ind w:left="851"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E">
      <w:pPr>
        <w:ind w:left="851" w:right="901"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p>
    <w:p w:rsidR="00000000" w:rsidDel="00000000" w:rsidP="00000000" w:rsidRDefault="00000000" w:rsidRPr="00000000" w14:paraId="000000CF">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Y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Del="00000000" w:rsidR="00000000" w:rsidRPr="00000000">
        <w:rPr>
          <w:rFonts w:ascii="Palatino Linotype" w:cs="Palatino Linotype" w:eastAsia="Palatino Linotype" w:hAnsi="Palatino Linotype"/>
          <w:i w:val="1"/>
          <w:sz w:val="22"/>
          <w:szCs w:val="22"/>
          <w:u w:val="single"/>
          <w:rtl w:val="0"/>
        </w:rPr>
        <w:t xml:space="preserve">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Del="00000000" w:rsidR="00000000" w:rsidRPr="00000000">
        <w:rPr>
          <w:rFonts w:ascii="Palatino Linotype" w:cs="Palatino Linotype" w:eastAsia="Palatino Linotype" w:hAnsi="Palatino Linotype"/>
          <w:i w:val="1"/>
          <w:sz w:val="22"/>
          <w:szCs w:val="22"/>
          <w:rtl w:val="0"/>
        </w:rPr>
        <w:t xml:space="preserve"> el sistema de compensación</w:t>
      </w:r>
    </w:p>
    <w:p w:rsidR="00000000" w:rsidDel="00000000" w:rsidP="00000000" w:rsidRDefault="00000000" w:rsidRPr="00000000" w14:paraId="000000D0">
      <w:pPr>
        <w:ind w:left="851" w:right="901" w:firstLine="0"/>
        <w:jc w:val="both"/>
        <w:rPr>
          <w:rFonts w:ascii="Palatino Linotype" w:cs="Palatino Linotype" w:eastAsia="Palatino Linotype" w:hAnsi="Palatino Linotype"/>
          <w:i w:val="1"/>
          <w:sz w:val="22"/>
          <w:szCs w:val="22"/>
          <w:u w:val="single"/>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D1">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widowControl w:val="0"/>
        <w:tabs>
          <w:tab w:val="left" w:pos="1418"/>
        </w:tabs>
        <w:spacing w:line="360" w:lineRule="auto"/>
        <w:jc w:val="both"/>
        <w:rPr>
          <w:rFonts w:ascii="Palatino Linotype" w:cs="Palatino Linotype" w:eastAsia="Palatino Linotype" w:hAnsi="Palatino Linotype"/>
          <w:color w:val="222222"/>
        </w:rPr>
      </w:pPr>
      <w:bookmarkStart w:colFirst="0" w:colLast="0" w:name="_heading=h.26in1rg" w:id="12"/>
      <w:bookmarkEnd w:id="12"/>
      <w:r w:rsidDel="00000000" w:rsidR="00000000" w:rsidRPr="00000000">
        <w:rPr>
          <w:rFonts w:ascii="Palatino Linotype" w:cs="Palatino Linotype" w:eastAsia="Palatino Linotype" w:hAnsi="Palatino Linotype"/>
          <w:color w:val="222222"/>
          <w:rtl w:val="0"/>
        </w:rPr>
        <w:t xml:space="preserve">En esa virtud, es dable ordenar al </w:t>
      </w:r>
      <w:r w:rsidDel="00000000" w:rsidR="00000000" w:rsidRPr="00000000">
        <w:rPr>
          <w:rFonts w:ascii="Palatino Linotype" w:cs="Palatino Linotype" w:eastAsia="Palatino Linotype" w:hAnsi="Palatino Linotype"/>
          <w:b w:val="1"/>
          <w:color w:val="222222"/>
          <w:rtl w:val="0"/>
        </w:rPr>
        <w:t xml:space="preserve">SUJETO OBLIGADO</w:t>
      </w:r>
      <w:r w:rsidDel="00000000" w:rsidR="00000000" w:rsidRPr="00000000">
        <w:rPr>
          <w:rFonts w:ascii="Palatino Linotype" w:cs="Palatino Linotype" w:eastAsia="Palatino Linotype" w:hAnsi="Palatino Linotype"/>
          <w:color w:val="222222"/>
          <w:rtl w:val="0"/>
        </w:rPr>
        <w:t xml:space="preserve"> haga entrega de los documentos donde conste el salario bruto, neto, aguinaldo, gratificaciones, </w:t>
      </w:r>
      <w:r w:rsidDel="00000000" w:rsidR="00000000" w:rsidRPr="00000000">
        <w:rPr>
          <w:rFonts w:ascii="Palatino Linotype" w:cs="Palatino Linotype" w:eastAsia="Palatino Linotype" w:hAnsi="Palatino Linotype"/>
          <w:rtl w:val="0"/>
        </w:rPr>
        <w:t xml:space="preserve">prima vacacional y de antigüedad, comisiones, dietas, bonos, estímulos y compensaciones, correspondientes al mes de diciembre de dos mil veintiuno, los servidores públicos de base o de confianza del año 2020 a la fecha de la solicitud, </w:t>
      </w:r>
      <w:r w:rsidDel="00000000" w:rsidR="00000000" w:rsidRPr="00000000">
        <w:rPr>
          <w:rFonts w:ascii="Palatino Linotype" w:cs="Palatino Linotype" w:eastAsia="Palatino Linotype" w:hAnsi="Palatino Linotype"/>
          <w:b w:val="1"/>
          <w:rtl w:val="0"/>
        </w:rPr>
        <w:t xml:space="preserve">versión publica</w:t>
      </w:r>
      <w:r w:rsidDel="00000000" w:rsidR="00000000" w:rsidRPr="00000000">
        <w:rPr>
          <w:rFonts w:ascii="Palatino Linotype" w:cs="Palatino Linotype" w:eastAsia="Palatino Linotype" w:hAnsi="Palatino Linotype"/>
          <w:rtl w:val="0"/>
        </w:rPr>
        <w:t xml:space="preserve"> de ser procedente.</w:t>
      </w: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al rubro </w:t>
      </w:r>
      <w:r w:rsidDel="00000000" w:rsidR="00000000" w:rsidRPr="00000000">
        <w:rPr>
          <w:rFonts w:ascii="Palatino Linotype" w:cs="Palatino Linotype" w:eastAsia="Palatino Linotype" w:hAnsi="Palatino Linotype"/>
          <w:i w:val="1"/>
          <w:sz w:val="22"/>
          <w:szCs w:val="22"/>
          <w:rtl w:val="0"/>
        </w:rPr>
        <w:t xml:space="preserve">“…las contrataciones de servicios profesionales por honorarios, señalando los nombres de los prestadores de servicios, los servicios contratados, el monto de los honorarios y el periodo de contratación”, </w:t>
      </w:r>
      <w:r w:rsidDel="00000000" w:rsidR="00000000" w:rsidRPr="00000000">
        <w:rPr>
          <w:rFonts w:ascii="Palatino Linotype" w:cs="Palatino Linotype" w:eastAsia="Palatino Linotype" w:hAnsi="Palatino Linotype"/>
          <w:rtl w:val="0"/>
        </w:rPr>
        <w:t xml:space="preserve">este Órgano Garante advierte que no hubo pronunciamiento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así mismo, se deduce que se trata de una Obligación de Transparencia Común, que los sujetos obligados en materia municipal se encuentran constreñidos a cumplir de acuerdo al diverso artículo 92, fracción XI de la Ley de Transparencia y Acceso a la Información Pública del Estado de México y Municipios que establece lo siguiente:</w:t>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0D7">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D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Las contrataciones de servicios profesionales por honorarios, señalando los nombres de los prestadores de servicios, los servicios contratados, el monto de los honorarios y el periodo de contratación;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D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DB">
      <w:pPr>
        <w:widowControl w:val="0"/>
        <w:tabs>
          <w:tab w:val="left" w:pos="1701"/>
          <w:tab w:val="left" w:pos="1843"/>
        </w:tabs>
        <w:spacing w:after="12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Correlativo a lo anterior,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Fonts w:ascii="Palatino Linotype" w:cs="Palatino Linotype" w:eastAsia="Palatino Linotype" w:hAnsi="Palatino Linotype"/>
          <w:rtl w:val="0"/>
        </w:rPr>
        <w:t xml:space="preserve"> en su Anexo I referente a las Obligaciones de Transparencia Comunes de los Sujetos Obligados contempladas en el artículo 70, fracción XI, de la Ley General de Transparencia y Acceso a la Información Pública, precisan en los Criterios Sustantivos de Contenido con relación a la información de los convenios, así como si el procedimiento involucra el aprovechamiento de bienes, servicios y/o recursos públicos, lo siguiente:</w:t>
      </w:r>
    </w:p>
    <w:p w:rsidR="00000000" w:rsidDel="00000000" w:rsidP="00000000" w:rsidRDefault="00000000" w:rsidRPr="00000000" w14:paraId="000000DC">
      <w:pPr>
        <w:ind w:left="709" w:right="709"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DD">
      <w:pPr>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Anexo I</w:t>
      </w:r>
    </w:p>
    <w:p w:rsidR="00000000" w:rsidDel="00000000" w:rsidP="00000000" w:rsidRDefault="00000000" w:rsidRPr="00000000" w14:paraId="000000DE">
      <w:pPr>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Obligaciones de transparencia comunes todos los sujetos obligados</w:t>
      </w:r>
    </w:p>
    <w:p w:rsidR="00000000" w:rsidDel="00000000" w:rsidP="00000000" w:rsidRDefault="00000000" w:rsidRPr="00000000" w14:paraId="000000DF">
      <w:pPr>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Criterios para las obligaciones de transparencia comunes</w:t>
      </w:r>
    </w:p>
    <w:p w:rsidR="00000000" w:rsidDel="00000000" w:rsidP="00000000" w:rsidRDefault="00000000" w:rsidRPr="00000000" w14:paraId="000000E0">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El catálogo de la información que todos los sujetos obligados deben poner a disposición de las personas en sus portales de Internet y en la Plataforma Nacional está detallado en el Título Quinto, Capítulo II de la Ley General, en el artículo 70, fracciones I a la XLVIII</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1">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000000" w:rsidDel="00000000" w:rsidP="00000000" w:rsidRDefault="00000000" w:rsidRPr="00000000" w14:paraId="000000E2">
      <w:pPr>
        <w:ind w:left="709"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3">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El artículo 70 dice a la letra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4">
      <w:pPr>
        <w:ind w:left="1416" w:right="118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70. </w:t>
      </w:r>
      <w:r w:rsidDel="00000000" w:rsidR="00000000" w:rsidRPr="00000000">
        <w:rPr>
          <w:rFonts w:ascii="Palatino Linotype" w:cs="Palatino Linotype" w:eastAsia="Palatino Linotype" w:hAnsi="Palatino Linotype"/>
          <w:b w:val="1"/>
          <w:i w:val="1"/>
          <w:sz w:val="22"/>
          <w:szCs w:val="22"/>
          <w:u w:val="single"/>
          <w:rtl w:val="0"/>
        </w:rPr>
        <w:t xml:space="preserve">En la Ley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Federal y</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de las Entidades Federativas se contemplará que los sujetos obligados pongan a disposición del público</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y mantengan actualizada, en los respectivos medios electrónicos, de acuerdo con sus facultades, atribuciones, funciones u objeto social, según corresponda, </w:t>
      </w:r>
      <w:r w:rsidDel="00000000" w:rsidR="00000000" w:rsidRPr="00000000">
        <w:rPr>
          <w:rFonts w:ascii="Palatino Linotype" w:cs="Palatino Linotype" w:eastAsia="Palatino Linotype" w:hAnsi="Palatino Linotype"/>
          <w:b w:val="1"/>
          <w:i w:val="1"/>
          <w:sz w:val="22"/>
          <w:szCs w:val="22"/>
          <w:u w:val="single"/>
          <w:rtl w:val="0"/>
        </w:rPr>
        <w:t xml:space="preserve">la información, por lo menos, de los temas, documentos y políticas que a continuación se señalan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5">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las siguientes páginas se hace mención de cada una de las fracciones con sus respectivos criterios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6">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E7">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 Las contrataciones de servicios profesionales por honorarios, señalando los nombres de los prestadores de servicios, los servicios contratados, el monto de los honorarios y el periodo de contratación.</w:t>
      </w:r>
    </w:p>
    <w:p w:rsidR="00000000" w:rsidDel="00000000" w:rsidP="00000000" w:rsidRDefault="00000000" w:rsidRPr="00000000" w14:paraId="000000E8">
      <w:pPr>
        <w:ind w:left="709"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9">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cumplimiento de la presente fracción, los sujetos obligados publicarán información de las personas contratadas bajo el régimen de servicios profesionales por honorarios y servicios profesionales por honorarios asimilados a salarios; entendiéndose éstos como los servicios que se contratan y/o prestan a cambio de una 26 retribución por ellos.</w:t>
      </w:r>
    </w:p>
    <w:p w:rsidR="00000000" w:rsidDel="00000000" w:rsidP="00000000" w:rsidRDefault="00000000" w:rsidRPr="00000000" w14:paraId="000000EA">
      <w:pPr>
        <w:ind w:left="709"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B">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de los sujetos obligados de la Federación, la información publicada tendrá relación con lo establecido en la Ley Federal de Presupuesto y Responsabilidad Hacendaria, su Reglamento, las disposiciones en las materias de Recursos Humanos y del Servicio Profesional de Carrera, y demás normas aplicables a la materia. Por su parte, los sujetos obligados de entidades federativas y municipios se sujetarán a la normatividad en la materia que les resulte aplicable.</w:t>
      </w:r>
    </w:p>
    <w:p w:rsidR="00000000" w:rsidDel="00000000" w:rsidP="00000000" w:rsidRDefault="00000000" w:rsidRPr="00000000" w14:paraId="000000EC">
      <w:pPr>
        <w:ind w:left="709" w:right="70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D">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periodo en el que los sujetos obligados no cuenten con personal contratado bajo este régimen, deberán aclararlo mediante una nota debidamente fundamentada y motivada por cada periodo que así sea.</w:t>
      </w:r>
    </w:p>
    <w:p w:rsidR="00000000" w:rsidDel="00000000" w:rsidP="00000000" w:rsidRDefault="00000000" w:rsidRPr="00000000" w14:paraId="000000EE">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______________________________________________________________________</w:t>
      </w:r>
    </w:p>
    <w:p w:rsidR="00000000" w:rsidDel="00000000" w:rsidP="00000000" w:rsidRDefault="00000000" w:rsidRPr="00000000" w14:paraId="000000EF">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Periodo de actualización: trimestral</w:t>
      </w:r>
    </w:p>
    <w:p w:rsidR="00000000" w:rsidDel="00000000" w:rsidP="00000000" w:rsidRDefault="00000000" w:rsidRPr="00000000" w14:paraId="000000F0">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Conservar en el sitio de Internet: información del ejercicio en curso y la correspondiente al ejercicio anterior</w:t>
      </w:r>
    </w:p>
    <w:p w:rsidR="00000000" w:rsidDel="00000000" w:rsidP="00000000" w:rsidRDefault="00000000" w:rsidRPr="00000000" w14:paraId="000000F1">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Aplica a: todos los sujetos obligados</w:t>
      </w:r>
    </w:p>
    <w:p w:rsidR="00000000" w:rsidDel="00000000" w:rsidP="00000000" w:rsidRDefault="00000000" w:rsidRPr="00000000" w14:paraId="000000F2">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______________________________________________________________________</w:t>
      </w:r>
    </w:p>
    <w:p w:rsidR="00000000" w:rsidDel="00000000" w:rsidP="00000000" w:rsidRDefault="00000000" w:rsidRPr="00000000" w14:paraId="000000F3">
      <w:pPr>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Criterios sustantivos de contenido</w:t>
      </w:r>
    </w:p>
    <w:p w:rsidR="00000000" w:rsidDel="00000000" w:rsidP="00000000" w:rsidRDefault="00000000" w:rsidRPr="00000000" w14:paraId="000000F4">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 Ejercicio</w:t>
      </w:r>
    </w:p>
    <w:p w:rsidR="00000000" w:rsidDel="00000000" w:rsidP="00000000" w:rsidRDefault="00000000" w:rsidRPr="00000000" w14:paraId="000000F5">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 Periodo que se informa (fecha de inicio y fecha de término con el formato</w:t>
      </w:r>
    </w:p>
    <w:p w:rsidR="00000000" w:rsidDel="00000000" w:rsidP="00000000" w:rsidRDefault="00000000" w:rsidRPr="00000000" w14:paraId="000000F6">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día/mes/año)</w:t>
      </w:r>
    </w:p>
    <w:p w:rsidR="00000000" w:rsidDel="00000000" w:rsidP="00000000" w:rsidRDefault="00000000" w:rsidRPr="00000000" w14:paraId="000000F7">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Criterio 3 Tipo de contratación (catálogo): Servicios profesionales por honorarios</w:t>
      </w:r>
      <w:r w:rsidDel="00000000" w:rsidR="00000000" w:rsidRPr="00000000">
        <w:rPr>
          <w:rFonts w:ascii="Palatino Linotype" w:cs="Palatino Linotype" w:eastAsia="Palatino Linotype" w:hAnsi="Palatino Linotype"/>
          <w:i w:val="1"/>
          <w:sz w:val="22"/>
          <w:szCs w:val="22"/>
          <w:rtl w:val="0"/>
        </w:rPr>
        <w:t xml:space="preserve"> / Servicios profesionales por honorarios asimilados a salarios</w:t>
      </w:r>
    </w:p>
    <w:p w:rsidR="00000000" w:rsidDel="00000000" w:rsidP="00000000" w:rsidRDefault="00000000" w:rsidRPr="00000000" w14:paraId="000000F8">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4 Partida presupuestal de los recursos con que se cubran los honorarios pactados, con base en el Clasificador por Objeto del Gasto o Clasificador Contable que aplique</w:t>
      </w:r>
    </w:p>
    <w:p w:rsidR="00000000" w:rsidDel="00000000" w:rsidP="00000000" w:rsidRDefault="00000000" w:rsidRPr="00000000" w14:paraId="000000F9">
      <w:pPr>
        <w:ind w:left="709" w:right="70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Criterio 5 Nombre completo de la persona contratada (nombre[s], primer apellido, segundo apellido)</w:t>
      </w:r>
    </w:p>
    <w:p w:rsidR="00000000" w:rsidDel="00000000" w:rsidP="00000000" w:rsidRDefault="00000000" w:rsidRPr="00000000" w14:paraId="000000FA">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6 Número de contrato</w:t>
      </w:r>
    </w:p>
    <w:p w:rsidR="00000000" w:rsidDel="00000000" w:rsidP="00000000" w:rsidRDefault="00000000" w:rsidRPr="00000000" w14:paraId="000000FB">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7 Hipervínculo al contrato correspondiente</w:t>
      </w:r>
    </w:p>
    <w:p w:rsidR="00000000" w:rsidDel="00000000" w:rsidP="00000000" w:rsidRDefault="00000000" w:rsidRPr="00000000" w14:paraId="000000FC">
      <w:pPr>
        <w:ind w:left="709" w:right="70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Criterio 8 Fecha de inicio del contrato expresada con el formato día/mes/año</w:t>
      </w:r>
    </w:p>
    <w:p w:rsidR="00000000" w:rsidDel="00000000" w:rsidP="00000000" w:rsidRDefault="00000000" w:rsidRPr="00000000" w14:paraId="000000FD">
      <w:pPr>
        <w:ind w:left="709" w:right="70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Criterio 9 Fecha de término del contrato expresada con el formato día/mes/año</w:t>
      </w:r>
    </w:p>
    <w:p w:rsidR="00000000" w:rsidDel="00000000" w:rsidP="00000000" w:rsidRDefault="00000000" w:rsidRPr="00000000" w14:paraId="000000FE">
      <w:pPr>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10 Servicios contratados (objeto del contrato)</w:t>
      </w:r>
    </w:p>
    <w:p w:rsidR="00000000" w:rsidDel="00000000" w:rsidP="00000000" w:rsidRDefault="00000000" w:rsidRPr="00000000" w14:paraId="000000FF">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11 Remuneración mensual bruta o contraprestación</w:t>
      </w:r>
    </w:p>
    <w:p w:rsidR="00000000" w:rsidDel="00000000" w:rsidP="00000000" w:rsidRDefault="00000000" w:rsidRPr="00000000" w14:paraId="00000100">
      <w:pPr>
        <w:ind w:left="709" w:right="709"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Criterio 12 Monto total a pagar</w:t>
      </w:r>
    </w:p>
    <w:p w:rsidR="00000000" w:rsidDel="00000000" w:rsidP="00000000" w:rsidRDefault="00000000" w:rsidRPr="00000000" w14:paraId="00000101">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13 Prestaciones, en su caso</w:t>
      </w:r>
    </w:p>
    <w:p w:rsidR="00000000" w:rsidDel="00000000" w:rsidP="00000000" w:rsidRDefault="00000000" w:rsidRPr="00000000" w14:paraId="00000102">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14 Hipervínculo a la normatividad que regula la celebración de contratos de servicios profesionales por honorarios</w:t>
      </w:r>
    </w:p>
    <w:p w:rsidR="00000000" w:rsidDel="00000000" w:rsidP="00000000" w:rsidRDefault="00000000" w:rsidRPr="00000000" w14:paraId="00000103">
      <w:pPr>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Criterios adjetivos de actualización</w:t>
      </w:r>
    </w:p>
    <w:p w:rsidR="00000000" w:rsidDel="00000000" w:rsidP="00000000" w:rsidRDefault="00000000" w:rsidRPr="00000000" w14:paraId="00000104">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15 Periodo de actualización de la información: trimestral</w:t>
      </w:r>
    </w:p>
    <w:p w:rsidR="00000000" w:rsidDel="00000000" w:rsidP="00000000" w:rsidRDefault="00000000" w:rsidRPr="00000000" w14:paraId="00000105">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16 La información publicada deberá estar actualizada al periodo que corresponde</w:t>
      </w:r>
    </w:p>
    <w:p w:rsidR="00000000" w:rsidDel="00000000" w:rsidP="00000000" w:rsidRDefault="00000000" w:rsidRPr="00000000" w14:paraId="00000106">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 acuerdo con la Tabla de actualización y conservación de la información</w:t>
      </w:r>
    </w:p>
    <w:p w:rsidR="00000000" w:rsidDel="00000000" w:rsidP="00000000" w:rsidRDefault="00000000" w:rsidRPr="00000000" w14:paraId="00000107">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17 Conservar en el sitio de Internet y a través de la Plataforma Nacional la información de acuerdo con la Tabla de actualización y conservación de la información</w:t>
      </w:r>
    </w:p>
    <w:p w:rsidR="00000000" w:rsidDel="00000000" w:rsidP="00000000" w:rsidRDefault="00000000" w:rsidRPr="00000000" w14:paraId="00000108">
      <w:pPr>
        <w:ind w:left="709" w:right="70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Criterios adjetivos de confiabilidad</w:t>
      </w:r>
    </w:p>
    <w:p w:rsidR="00000000" w:rsidDel="00000000" w:rsidP="00000000" w:rsidRDefault="00000000" w:rsidRPr="00000000" w14:paraId="00000109">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18 Área(s) responsable(s) que genera(n), posee(n), publica(n) y/o actualiza(n)la</w:t>
      </w:r>
    </w:p>
    <w:p w:rsidR="00000000" w:rsidDel="00000000" w:rsidP="00000000" w:rsidRDefault="00000000" w:rsidRPr="00000000" w14:paraId="0000010A">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información</w:t>
      </w:r>
    </w:p>
    <w:p w:rsidR="00000000" w:rsidDel="00000000" w:rsidP="00000000" w:rsidRDefault="00000000" w:rsidRPr="00000000" w14:paraId="0000010B">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19 Fecha de actualización de la información publicada con el formato día/mes/año</w:t>
      </w:r>
    </w:p>
    <w:p w:rsidR="00000000" w:rsidDel="00000000" w:rsidP="00000000" w:rsidRDefault="00000000" w:rsidRPr="00000000" w14:paraId="0000010C">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20 Fecha de validación de la información publicada con el formato día/mes/año</w:t>
      </w:r>
    </w:p>
    <w:p w:rsidR="00000000" w:rsidDel="00000000" w:rsidP="00000000" w:rsidRDefault="00000000" w:rsidRPr="00000000" w14:paraId="0000010D">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21 Nota. Este criterio se cumple en caso de que sea necesario que el sujeto</w:t>
      </w:r>
    </w:p>
    <w:p w:rsidR="00000000" w:rsidDel="00000000" w:rsidP="00000000" w:rsidRDefault="00000000" w:rsidRPr="00000000" w14:paraId="0000010E">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obligado incluya alguna aclaración relativa a la información publicada y/o</w:t>
      </w:r>
    </w:p>
    <w:p w:rsidR="00000000" w:rsidDel="00000000" w:rsidP="00000000" w:rsidRDefault="00000000" w:rsidRPr="00000000" w14:paraId="0000010F">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explicación por la falta de información</w:t>
      </w:r>
    </w:p>
    <w:p w:rsidR="00000000" w:rsidDel="00000000" w:rsidP="00000000" w:rsidRDefault="00000000" w:rsidRPr="00000000" w14:paraId="00000110">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Criterios adjetivos de formato</w:t>
      </w:r>
    </w:p>
    <w:p w:rsidR="00000000" w:rsidDel="00000000" w:rsidP="00000000" w:rsidRDefault="00000000" w:rsidRPr="00000000" w14:paraId="00000111">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Criterio 22 La información publicada se organiza mediante el formato 11, en el que se</w:t>
      </w:r>
    </w:p>
    <w:p w:rsidR="00000000" w:rsidDel="00000000" w:rsidP="00000000" w:rsidRDefault="00000000" w:rsidRPr="00000000" w14:paraId="00000112">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incluyen todos los campos especificados en los criterios sustantivos de</w:t>
      </w:r>
    </w:p>
    <w:p w:rsidR="00000000" w:rsidDel="00000000" w:rsidP="00000000" w:rsidRDefault="00000000" w:rsidRPr="00000000" w14:paraId="00000113">
      <w:pP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contenido</w:t>
      </w:r>
    </w:p>
    <w:p w:rsidR="00000000" w:rsidDel="00000000" w:rsidP="00000000" w:rsidRDefault="00000000" w:rsidRPr="00000000" w14:paraId="00000114">
      <w:pPr>
        <w:ind w:left="709" w:right="709"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sz w:val="22"/>
          <w:szCs w:val="22"/>
          <w:rtl w:val="0"/>
        </w:rPr>
        <w:t xml:space="preserve">Criterio 23 El soporte de la información permite su reutilización </w:t>
        <w:br w:type="textWrapping"/>
        <w:t xml:space="preserve">(énfasis añadido)</w:t>
      </w:r>
      <w:r w:rsidDel="00000000" w:rsidR="00000000" w:rsidRPr="00000000">
        <w:rPr>
          <w:rtl w:val="0"/>
        </w:rPr>
      </w:r>
    </w:p>
    <w:p w:rsidR="00000000" w:rsidDel="00000000" w:rsidP="00000000" w:rsidRDefault="00000000" w:rsidRPr="00000000" w14:paraId="00000115">
      <w:pPr>
        <w:spacing w:after="240" w:before="24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Así, como bien se advierte los contratos de servicios profesionales por honorarios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deben de constar en los archivos de los mismos, éstos deben ser entregados a los particulares que así lo soliciten, de conformidad en los previsto en el artículo 4 de la Ley de la materia, que es del tenor siguiente:</w:t>
      </w:r>
      <w:r w:rsidDel="00000000" w:rsidR="00000000" w:rsidRPr="00000000">
        <w:rPr>
          <w:rtl w:val="0"/>
        </w:rPr>
      </w:r>
    </w:p>
    <w:p w:rsidR="00000000" w:rsidDel="00000000" w:rsidP="00000000" w:rsidRDefault="00000000" w:rsidRPr="00000000" w14:paraId="00000116">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w:t>
      </w:r>
    </w:p>
    <w:p w:rsidR="00000000" w:rsidDel="00000000" w:rsidP="00000000" w:rsidRDefault="00000000" w:rsidRPr="00000000" w14:paraId="00000117">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8">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000000" w:rsidDel="00000000" w:rsidP="00000000" w:rsidRDefault="00000000" w:rsidRPr="00000000" w14:paraId="00000119">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A">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36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bookmarkStart w:colFirst="0" w:colLast="0" w:name="_heading=h.lnxbz9" w:id="13"/>
      <w:bookmarkEnd w:id="13"/>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de acuerdo a las disposiciones legales antes descritas, aun cuando no haya generado información relativa a lo solicitado, se encuentra obligado a informarlo de manera trimestral; así como; conservarlo en los sitios de internet; conservando lo de dos ejercicios inmediatamente anteriores, cumplimiento al artículo 92, fracción XI de la Ley de Transparencia y Acceso a la Información Pública del Estado de México y Municipios y de los Lineamientos Técnicos Generales, en tal sentido, se entiende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genera, posee o administración dicha información; por lo que, deberá hacer entrega de los contratos de servicios profesionales por honorarios donde se advierte los nombres de los prestadores de servicios, los servicios contratados, el monto total a pagar y fecha de inicio y termino de la contratación, en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versión publica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1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Derivado que del contenido de la solicitud de información, se advierte que el particular omitió señalar el periodo para </w:t>
      </w:r>
      <w:r w:rsidDel="00000000" w:rsidR="00000000" w:rsidRPr="00000000">
        <w:rPr>
          <w:rFonts w:ascii="Palatino Linotype" w:cs="Palatino Linotype" w:eastAsia="Palatino Linotype" w:hAnsi="Palatino Linotype"/>
          <w:b w:val="1"/>
          <w:rtl w:val="0"/>
        </w:rPr>
        <w:t xml:space="preserve">los contratos de servicios profesionales por honorarios</w:t>
      </w:r>
      <w:r w:rsidDel="00000000" w:rsidR="00000000" w:rsidRPr="00000000">
        <w:rPr>
          <w:rFonts w:ascii="Palatino Linotype" w:cs="Palatino Linotype" w:eastAsia="Palatino Linotype" w:hAnsi="Palatino Linotype"/>
          <w:rtl w:val="0"/>
        </w:rPr>
        <w:t xml:space="preserve">; este Instituto con fundamento en lo dispuesto por el artículo 13 y 181 párrafo cuarto de la Ley de la materia, suple la deficiencia presentada respecto a la temporalidad de su solicitud, determinando que la información solicitada corresponderá al año inmediato anterior a la fecha en que fue presentada su solicitud; es decir, del 11 de febrero de 2021 al 11 de febrero de 2022.</w:t>
      </w:r>
    </w:p>
    <w:p w:rsidR="00000000" w:rsidDel="00000000" w:rsidP="00000000" w:rsidRDefault="00000000" w:rsidRPr="00000000" w14:paraId="0000011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aplicable el Criterio 03-19, emitido por el Instituto Nacional de Transparencia, Acceso a la Información y Protección de Datos Personales, que dice: </w:t>
      </w:r>
    </w:p>
    <w:p w:rsidR="00000000" w:rsidDel="00000000" w:rsidP="00000000" w:rsidRDefault="00000000" w:rsidRPr="00000000" w14:paraId="0000011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0">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Periodo de búsqueda de la información.</w:t>
      </w:r>
      <w:r w:rsidDel="00000000" w:rsidR="00000000" w:rsidRPr="00000000">
        <w:rPr>
          <w:rFonts w:ascii="Palatino Linotype" w:cs="Palatino Linotype" w:eastAsia="Palatino Linotype" w:hAnsi="Palatino Linotype"/>
          <w:i w:val="1"/>
          <w:sz w:val="22"/>
          <w:szCs w:val="22"/>
          <w:rtl w:val="0"/>
        </w:rPr>
        <w:t xml:space="preserve"> 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p>
    <w:p w:rsidR="00000000" w:rsidDel="00000000" w:rsidP="00000000" w:rsidRDefault="00000000" w:rsidRPr="00000000" w14:paraId="00000121">
      <w:pPr>
        <w:spacing w:line="360" w:lineRule="auto"/>
        <w:jc w:val="both"/>
        <w:rPr>
          <w:rFonts w:ascii="Palatino Linotype" w:cs="Palatino Linotype" w:eastAsia="Palatino Linotype" w:hAnsi="Palatino Linotype"/>
          <w:color w:val="000000"/>
          <w:highlight w:val="white"/>
        </w:rPr>
      </w:pPr>
      <w:r w:rsidDel="00000000" w:rsidR="00000000" w:rsidRPr="00000000">
        <w:rPr>
          <w:rtl w:val="0"/>
        </w:rPr>
      </w:r>
    </w:p>
    <w:p w:rsidR="00000000" w:rsidDel="00000000" w:rsidP="00000000" w:rsidRDefault="00000000" w:rsidRPr="00000000" w14:paraId="0000012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3">
      <w:pPr>
        <w:spacing w:line="360" w:lineRule="auto"/>
        <w:jc w:val="both"/>
        <w:rPr>
          <w:rFonts w:ascii="Palatino Linotype" w:cs="Palatino Linotype" w:eastAsia="Palatino Linotype" w:hAnsi="Palatino Linotype"/>
          <w:b w:val="1"/>
          <w:color w:val="0d0d0d"/>
        </w:rPr>
      </w:pPr>
      <w:r w:rsidDel="00000000" w:rsidR="00000000" w:rsidRPr="00000000">
        <w:rPr>
          <w:rFonts w:ascii="Palatino Linotype" w:cs="Palatino Linotype" w:eastAsia="Palatino Linotype" w:hAnsi="Palatino Linotype"/>
          <w:rtl w:val="0"/>
        </w:rPr>
        <w:t xml:space="preserve">Es necesario precisar que, la información respecto del personal de seguridad corresponde a información reservada; esto es, ya que los elementos operativos se dedican a combatir de manera directa a los delincuentes en el municipio, así como a prevenir la actividad delictiva. Entonces, </w:t>
      </w:r>
      <w:r w:rsidDel="00000000" w:rsidR="00000000" w:rsidRPr="00000000">
        <w:rPr>
          <w:rFonts w:ascii="Palatino Linotype" w:cs="Palatino Linotype" w:eastAsia="Palatino Linotype" w:hAnsi="Palatino Linotype"/>
          <w:color w:val="0d0d0d"/>
          <w:rtl w:val="0"/>
        </w:rPr>
        <w:t xml:space="preserve">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Del="00000000" w:rsidR="00000000" w:rsidRPr="00000000">
        <w:rPr>
          <w:rFonts w:ascii="Palatino Linotype" w:cs="Palatino Linotype" w:eastAsia="Palatino Linotype" w:hAnsi="Palatino Linotype"/>
          <w:b w:val="1"/>
          <w:color w:val="0d0d0d"/>
          <w:rtl w:val="0"/>
        </w:rPr>
        <w:t xml:space="preserve">análisis caso por caso.</w:t>
      </w:r>
    </w:p>
    <w:p w:rsidR="00000000" w:rsidDel="00000000" w:rsidP="00000000" w:rsidRDefault="00000000" w:rsidRPr="00000000" w14:paraId="00000124">
      <w:pPr>
        <w:spacing w:line="360" w:lineRule="auto"/>
        <w:jc w:val="both"/>
        <w:rPr>
          <w:rFonts w:ascii="Palatino Linotype" w:cs="Palatino Linotype" w:eastAsia="Palatino Linotype" w:hAnsi="Palatino Linotype"/>
          <w:b w:val="1"/>
          <w:color w:val="0d0d0d"/>
        </w:rPr>
      </w:pPr>
      <w:r w:rsidDel="00000000" w:rsidR="00000000" w:rsidRPr="00000000">
        <w:rPr>
          <w:rtl w:val="0"/>
        </w:rPr>
      </w:r>
    </w:p>
    <w:p w:rsidR="00000000" w:rsidDel="00000000" w:rsidP="00000000" w:rsidRDefault="00000000" w:rsidRPr="00000000" w14:paraId="00000125">
      <w:pPr>
        <w:spacing w:line="360" w:lineRule="auto"/>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Además, el artículo 131 de la Ley referida, así como el Quinto de los Lineamientos Generales, establecen que los sujetos obligados </w:t>
      </w:r>
      <w:r w:rsidDel="00000000" w:rsidR="00000000" w:rsidRPr="00000000">
        <w:rPr>
          <w:rFonts w:ascii="Palatino Linotype" w:cs="Palatino Linotype" w:eastAsia="Palatino Linotype" w:hAnsi="Palatino Linotype"/>
          <w:b w:val="1"/>
          <w:color w:val="0d0d0d"/>
          <w:rtl w:val="0"/>
        </w:rPr>
        <w:t xml:space="preserve">deberán fundar y motivar</w:t>
      </w:r>
      <w:r w:rsidDel="00000000" w:rsidR="00000000" w:rsidRPr="00000000">
        <w:rPr>
          <w:rFonts w:ascii="Palatino Linotype" w:cs="Palatino Linotype" w:eastAsia="Palatino Linotype" w:hAnsi="Palatino Linotype"/>
          <w:color w:val="0d0d0d"/>
          <w:rtl w:val="0"/>
        </w:rPr>
        <w:t xml:space="preserve"> debidamente la clasificación de la información.</w:t>
      </w:r>
    </w:p>
    <w:p w:rsidR="00000000" w:rsidDel="00000000" w:rsidP="00000000" w:rsidRDefault="00000000" w:rsidRPr="00000000" w14:paraId="00000126">
      <w:pPr>
        <w:spacing w:line="360" w:lineRule="auto"/>
        <w:jc w:val="both"/>
        <w:rPr>
          <w:rFonts w:ascii="Palatino Linotype" w:cs="Palatino Linotype" w:eastAsia="Palatino Linotype" w:hAnsi="Palatino Linotype"/>
          <w:b w:val="1"/>
          <w:color w:val="0d0d0d"/>
        </w:rPr>
      </w:pPr>
      <w:r w:rsidDel="00000000" w:rsidR="00000000" w:rsidRPr="00000000">
        <w:rPr>
          <w:rtl w:val="0"/>
        </w:rPr>
      </w:r>
    </w:p>
    <w:p w:rsidR="00000000" w:rsidDel="00000000" w:rsidP="00000000" w:rsidRDefault="00000000" w:rsidRPr="00000000" w14:paraId="00000127">
      <w:pPr>
        <w:spacing w:line="360" w:lineRule="auto"/>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Al respecto, el Octavo de los Lineamientos Generales, precisa lo siguiente:</w:t>
      </w:r>
    </w:p>
    <w:p w:rsidR="00000000" w:rsidDel="00000000" w:rsidP="00000000" w:rsidRDefault="00000000" w:rsidRPr="00000000" w14:paraId="00000128">
      <w:pPr>
        <w:spacing w:line="360" w:lineRule="auto"/>
        <w:jc w:val="both"/>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29">
      <w:pPr>
        <w:numPr>
          <w:ilvl w:val="0"/>
          <w:numId w:val="6"/>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b w:val="1"/>
          <w:color w:val="0d0d0d"/>
          <w:rtl w:val="0"/>
        </w:rPr>
        <w:t xml:space="preserve">Para fundar la clasificación</w:t>
      </w:r>
      <w:r w:rsidDel="00000000" w:rsidR="00000000" w:rsidRPr="00000000">
        <w:rPr>
          <w:rFonts w:ascii="Palatino Linotype" w:cs="Palatino Linotype" w:eastAsia="Palatino Linotype" w:hAnsi="Palatino Linotype"/>
          <w:color w:val="0d0d0d"/>
          <w:rtl w:val="0"/>
        </w:rPr>
        <w:t xml:space="preserve"> de la información se deberán señalar el artículo, fracción, inciso, párrafo o numeral de la Ley aplicable;</w:t>
      </w:r>
    </w:p>
    <w:p w:rsidR="00000000" w:rsidDel="00000000" w:rsidP="00000000" w:rsidRDefault="00000000" w:rsidRPr="00000000" w14:paraId="0000012A">
      <w:pPr>
        <w:spacing w:line="360" w:lineRule="auto"/>
        <w:jc w:val="both"/>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2B">
      <w:pPr>
        <w:numPr>
          <w:ilvl w:val="0"/>
          <w:numId w:val="6"/>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b w:val="1"/>
          <w:color w:val="0d0d0d"/>
          <w:rtl w:val="0"/>
        </w:rPr>
        <w:t xml:space="preserve">Para motivar la clasificación</w:t>
      </w:r>
      <w:r w:rsidDel="00000000" w:rsidR="00000000" w:rsidRPr="00000000">
        <w:rPr>
          <w:rFonts w:ascii="Palatino Linotype" w:cs="Palatino Linotype" w:eastAsia="Palatino Linotype" w:hAnsi="Palatino Linotype"/>
          <w:color w:val="0d0d0d"/>
          <w:rtl w:val="0"/>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00000000" w:rsidDel="00000000" w:rsidP="00000000" w:rsidRDefault="00000000" w:rsidRPr="00000000" w14:paraId="0000012C">
      <w:pPr>
        <w:spacing w:line="360" w:lineRule="auto"/>
        <w:ind w:left="708" w:firstLine="0"/>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2D">
      <w:pPr>
        <w:spacing w:line="360" w:lineRule="auto"/>
        <w:jc w:val="both"/>
        <w:rPr>
          <w:rFonts w:ascii="Palatino Linotype" w:cs="Palatino Linotype" w:eastAsia="Palatino Linotype" w:hAnsi="Palatino Linotype"/>
          <w:b w:val="1"/>
          <w:color w:val="0d0d0d"/>
        </w:rPr>
      </w:pPr>
      <w:r w:rsidDel="00000000" w:rsidR="00000000" w:rsidRPr="00000000">
        <w:rPr>
          <w:rFonts w:ascii="Palatino Linotype" w:cs="Palatino Linotype" w:eastAsia="Palatino Linotype" w:hAnsi="Palatino Linotype"/>
          <w:color w:val="0d0d0d"/>
          <w:rtl w:val="0"/>
        </w:rPr>
        <w:t xml:space="preserve">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 este.</w:t>
      </w: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2F">
      <w:pPr>
        <w:spacing w:line="360" w:lineRule="auto"/>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En ese orden de ideas, el Trigésimo tercero de los Lineamientos Generales establece la forma en que se debe fundamentar y motivar la reserva de la información, es decir, a través de los siguientes pasos:</w:t>
      </w:r>
    </w:p>
    <w:p w:rsidR="00000000" w:rsidDel="00000000" w:rsidP="00000000" w:rsidRDefault="00000000" w:rsidRPr="00000000" w14:paraId="00000130">
      <w:pPr>
        <w:spacing w:line="360" w:lineRule="auto"/>
        <w:jc w:val="both"/>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31">
      <w:pPr>
        <w:numPr>
          <w:ilvl w:val="0"/>
          <w:numId w:val="5"/>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000000" w:rsidDel="00000000" w:rsidP="00000000" w:rsidRDefault="00000000" w:rsidRPr="00000000" w14:paraId="00000132">
      <w:pPr>
        <w:spacing w:line="360" w:lineRule="auto"/>
        <w:ind w:left="720" w:firstLine="0"/>
        <w:jc w:val="both"/>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33">
      <w:pPr>
        <w:numPr>
          <w:ilvl w:val="0"/>
          <w:numId w:val="5"/>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Se deberá demostrar que la publicidad de la información generaría un riesgo de perjuicio, que rebasa el interés público;</w:t>
      </w:r>
    </w:p>
    <w:p w:rsidR="00000000" w:rsidDel="00000000" w:rsidP="00000000" w:rsidRDefault="00000000" w:rsidRPr="00000000" w14:paraId="00000134">
      <w:pPr>
        <w:spacing w:line="360" w:lineRule="auto"/>
        <w:ind w:left="708" w:firstLine="0"/>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35">
      <w:pPr>
        <w:numPr>
          <w:ilvl w:val="0"/>
          <w:numId w:val="5"/>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Se acreditará el vínculo entre la difusión de la información y la afectación del interés jurídico tutelado;</w:t>
      </w:r>
    </w:p>
    <w:p w:rsidR="00000000" w:rsidDel="00000000" w:rsidP="00000000" w:rsidRDefault="00000000" w:rsidRPr="00000000" w14:paraId="00000136">
      <w:pPr>
        <w:spacing w:line="360" w:lineRule="auto"/>
        <w:ind w:left="720" w:firstLine="0"/>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37">
      <w:pPr>
        <w:numPr>
          <w:ilvl w:val="0"/>
          <w:numId w:val="5"/>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Se precisará las razones objetivas por las que la apertura de la información generaría una afectación, por medio del riesgo real, demostrable e identificable;</w:t>
      </w:r>
    </w:p>
    <w:p w:rsidR="00000000" w:rsidDel="00000000" w:rsidP="00000000" w:rsidRDefault="00000000" w:rsidRPr="00000000" w14:paraId="00000138">
      <w:pPr>
        <w:spacing w:line="360" w:lineRule="auto"/>
        <w:ind w:left="720" w:firstLine="0"/>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39">
      <w:pPr>
        <w:numPr>
          <w:ilvl w:val="0"/>
          <w:numId w:val="5"/>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Se deberán señalar las circunstancias de modo, tiempo y lugar del daño, y</w:t>
      </w:r>
    </w:p>
    <w:p w:rsidR="00000000" w:rsidDel="00000000" w:rsidP="00000000" w:rsidRDefault="00000000" w:rsidRPr="00000000" w14:paraId="0000013A">
      <w:pPr>
        <w:spacing w:line="360" w:lineRule="auto"/>
        <w:ind w:left="720" w:firstLine="0"/>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3B">
      <w:pPr>
        <w:numPr>
          <w:ilvl w:val="0"/>
          <w:numId w:val="5"/>
        </w:numPr>
        <w:spacing w:line="360" w:lineRule="auto"/>
        <w:ind w:left="720" w:hanging="360"/>
        <w:jc w:val="both"/>
        <w:rPr>
          <w:rFonts w:ascii="Palatino Linotype" w:cs="Palatino Linotype" w:eastAsia="Palatino Linotype" w:hAnsi="Palatino Linotype"/>
          <w:color w:val="0d0d0d"/>
        </w:rPr>
      </w:pPr>
      <w:r w:rsidDel="00000000" w:rsidR="00000000" w:rsidRPr="00000000">
        <w:rPr>
          <w:rFonts w:ascii="Palatino Linotype" w:cs="Palatino Linotype" w:eastAsia="Palatino Linotype" w:hAnsi="Palatino Linotype"/>
          <w:color w:val="0d0d0d"/>
          <w:rtl w:val="0"/>
        </w:rPr>
        <w:t xml:space="preserve">Se elegirá la opción de excepción al acceso a la información que menos restrinja, la cual será adecuada y proporcional para la protección del interés público.</w:t>
      </w:r>
    </w:p>
    <w:p w:rsidR="00000000" w:rsidDel="00000000" w:rsidP="00000000" w:rsidRDefault="00000000" w:rsidRPr="00000000" w14:paraId="0000013C">
      <w:pPr>
        <w:spacing w:line="360" w:lineRule="auto"/>
        <w:ind w:left="708" w:firstLine="0"/>
        <w:rPr>
          <w:rFonts w:ascii="Palatino Linotype" w:cs="Palatino Linotype" w:eastAsia="Palatino Linotype" w:hAnsi="Palatino Linotype"/>
          <w:color w:val="0d0d0d"/>
        </w:rPr>
      </w:pPr>
      <w:r w:rsidDel="00000000" w:rsidR="00000000" w:rsidRPr="00000000">
        <w:rPr>
          <w:rtl w:val="0"/>
        </w:rPr>
      </w:r>
    </w:p>
    <w:p w:rsidR="00000000" w:rsidDel="00000000" w:rsidP="00000000" w:rsidRDefault="00000000" w:rsidRPr="00000000" w14:paraId="000001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d0d0d"/>
          <w:rtl w:val="0"/>
        </w:rPr>
        <w:t xml:space="preserve">De acuerdo con lo expuesto, </w:t>
      </w:r>
      <w:r w:rsidDel="00000000" w:rsidR="00000000" w:rsidRPr="00000000">
        <w:rPr>
          <w:rFonts w:ascii="Palatino Linotype" w:cs="Palatino Linotype" w:eastAsia="Palatino Linotype" w:hAnsi="Palatino Linotype"/>
          <w:rtl w:val="0"/>
        </w:rPr>
        <w:t xml:space="preserve">el Sujeto Obligado, debe fundar y motivar la existencia de información reserva al momento del cumplimiento del Recurso, con la entrega del Acta del Comité de Transparencia con la prueba de daño respectiva,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 en términos del Trigésimo tercero de los Lineamientos Generales, relacionado con el artículo 129 de la Ley de Transparencia y Acceso a la Información Pública del Estado de México y Municipios, de acuerdo con lo siguiente:</w:t>
      </w:r>
    </w:p>
    <w:p w:rsidR="00000000" w:rsidDel="00000000" w:rsidP="00000000" w:rsidRDefault="00000000" w:rsidRPr="00000000" w14:paraId="0000013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F">
      <w:pPr>
        <w:tabs>
          <w:tab w:val="left"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artículo 140, fracción IV, de la Ley de Transparencia y Acceso a la Información Pública del Estado de México y Municipios, (homólogo a parte del artículo 113, fracción V de la Ley General de Transparencia y Acceso a la Información Pública), prevé lo siguiente:</w:t>
      </w:r>
    </w:p>
    <w:p w:rsidR="00000000" w:rsidDel="00000000" w:rsidP="00000000" w:rsidRDefault="00000000" w:rsidRPr="00000000" w14:paraId="00000140">
      <w:pPr>
        <w:tabs>
          <w:tab w:val="left" w:pos="4962"/>
        </w:tabs>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por razones de interés público, ésta sea clasificada como reservada, conforme a los criterios siguientes: </w:t>
      </w:r>
    </w:p>
    <w:p w:rsidR="00000000" w:rsidDel="00000000" w:rsidP="00000000" w:rsidRDefault="00000000" w:rsidRPr="00000000" w14:paraId="00000141">
      <w:pPr>
        <w:tabs>
          <w:tab w:val="left" w:pos="4962"/>
        </w:tabs>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al III…</w:t>
      </w:r>
    </w:p>
    <w:p w:rsidR="00000000" w:rsidDel="00000000" w:rsidP="00000000" w:rsidRDefault="00000000" w:rsidRPr="00000000" w14:paraId="00000142">
      <w:pPr>
        <w:tabs>
          <w:tab w:val="left" w:pos="4962"/>
        </w:tabs>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Ponga en riesgo la vida, la seguridad o la salud de una persona física;</w:t>
      </w:r>
    </w:p>
    <w:p w:rsidR="00000000" w:rsidDel="00000000" w:rsidP="00000000" w:rsidRDefault="00000000" w:rsidRPr="00000000" w14:paraId="00000143">
      <w:pPr>
        <w:tabs>
          <w:tab w:val="left" w:pos="4962"/>
        </w:tabs>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al XI…</w:t>
      </w:r>
    </w:p>
    <w:p w:rsidR="00000000" w:rsidDel="00000000" w:rsidP="00000000" w:rsidRDefault="00000000" w:rsidRPr="00000000" w14:paraId="00000144">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precepto citado se desprende que como información reservada podrá clasificarse aquella cuya publicación pueda poner en riesgo la vida, seguridad o salud de una persona física; para acreditar lo anterior, los Lineamientos Generales, establecen lo siguiente:</w:t>
      </w:r>
    </w:p>
    <w:p w:rsidR="00000000" w:rsidDel="00000000" w:rsidP="00000000" w:rsidRDefault="00000000" w:rsidRPr="00000000" w14:paraId="00000146">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7">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Vigésimo tercero. </w:t>
      </w:r>
      <w:r w:rsidDel="00000000" w:rsidR="00000000" w:rsidRPr="00000000">
        <w:rPr>
          <w:rFonts w:ascii="Palatino Linotype" w:cs="Palatino Linotype" w:eastAsia="Palatino Linotype" w:hAnsi="Palatino Linotype"/>
          <w:i w:val="1"/>
          <w:sz w:val="22"/>
          <w:szCs w:val="22"/>
          <w:rtl w:val="0"/>
        </w:rPr>
        <w:t xml:space="preserve">Para clasificar la información como reservada, de conformidad con el artículo 113, fracción V de la Ley General, será necesario acreditar un vínculo, entre la persona física y la información que pueda poner en riesgo su vida, seguridad o salud.</w:t>
      </w:r>
    </w:p>
    <w:p w:rsidR="00000000" w:rsidDel="00000000" w:rsidP="00000000" w:rsidRDefault="00000000" w:rsidRPr="00000000" w14:paraId="00000148">
      <w:pPr>
        <w:ind w:lef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Lineamiento referido, se desprende que para clasificar la información como reservada, será necesario </w:t>
      </w:r>
      <w:r w:rsidDel="00000000" w:rsidR="00000000" w:rsidRPr="00000000">
        <w:rPr>
          <w:rFonts w:ascii="Palatino Linotype" w:cs="Palatino Linotype" w:eastAsia="Palatino Linotype" w:hAnsi="Palatino Linotype"/>
          <w:b w:val="1"/>
          <w:rtl w:val="0"/>
        </w:rPr>
        <w:t xml:space="preserve">acreditar un vínculo, entre la persona física y la información que pueda poner en riesgo su vida, seguridad o salud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artículo 81, fracción III, de la Ley de Seguridad del Estado de México, establece lo siguiente:</w:t>
      </w:r>
    </w:p>
    <w:p w:rsidR="00000000" w:rsidDel="00000000" w:rsidP="00000000" w:rsidRDefault="00000000" w:rsidRPr="00000000" w14:paraId="0000014C">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4D">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81.-</w:t>
      </w:r>
      <w:r w:rsidDel="00000000" w:rsidR="00000000" w:rsidRPr="00000000">
        <w:rPr>
          <w:rFonts w:ascii="Palatino Linotype" w:cs="Palatino Linotype" w:eastAsia="Palatino Linotype" w:hAnsi="Palatino Linotype"/>
          <w:i w:val="1"/>
          <w:sz w:val="22"/>
          <w:szCs w:val="22"/>
          <w:rtl w:val="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rsidR="00000000" w:rsidDel="00000000" w:rsidP="00000000" w:rsidRDefault="00000000" w:rsidRPr="00000000" w14:paraId="0000014E">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4F">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relativa a los servidores públicos integrantes de las instituciones de seguridad pública, cuya revelación pueda poner en riesgo su vida e integridad física con motivo de sus funciones;</w:t>
      </w:r>
    </w:p>
    <w:p w:rsidR="00000000" w:rsidDel="00000000" w:rsidP="00000000" w:rsidRDefault="00000000" w:rsidRPr="00000000" w14:paraId="00000150">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1">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al citado artículo, se desprende que es reservada toda aquella información de los servidores públicos integrantes de las instituciones de seguridad pública, cuya revelación pueda poner en riesgo su vida e integridad física con motivo de sus funciones.</w:t>
      </w:r>
    </w:p>
    <w:p w:rsidR="00000000" w:rsidDel="00000000" w:rsidP="00000000" w:rsidRDefault="00000000" w:rsidRPr="00000000" w14:paraId="0000015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tal como se precisó en párrafos anteriores, </w:t>
      </w:r>
      <w:r w:rsidDel="00000000" w:rsidR="00000000" w:rsidRPr="00000000">
        <w:rPr>
          <w:rFonts w:ascii="Palatino Linotype" w:cs="Palatino Linotype" w:eastAsia="Palatino Linotype" w:hAnsi="Palatino Linotype"/>
          <w:b w:val="1"/>
          <w:rtl w:val="0"/>
        </w:rPr>
        <w:t xml:space="preserve">los datos de servidores públicos, entre los que se encuentran el nombre de los trabajadores, por regla general, </w:t>
      </w:r>
      <w:r w:rsidDel="00000000" w:rsidR="00000000" w:rsidRPr="00000000">
        <w:rPr>
          <w:rFonts w:ascii="Palatino Linotype" w:cs="Palatino Linotype" w:eastAsia="Palatino Linotype" w:hAnsi="Palatino Linotype"/>
          <w:rtl w:val="0"/>
        </w:rPr>
        <w:t xml:space="preserve">son de naturaleza pública, ya que su publicidad orienta a cumplir los objetivos que persigue la Ley.</w:t>
      </w:r>
    </w:p>
    <w:p w:rsidR="00000000" w:rsidDel="00000000" w:rsidP="00000000" w:rsidRDefault="00000000" w:rsidRPr="00000000" w14:paraId="0000015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resulta necesario traer a colación por analogía, el Criterio 06/09, emitido por el entonces Instituto Federal de Acceso a la Información y Protección de Datos ahora Instituto Nacional de Transparencia, Acceso a la Información y Protección de Datos Personales, que establece lo siguiente:</w:t>
      </w:r>
    </w:p>
    <w:p w:rsidR="00000000" w:rsidDel="00000000" w:rsidP="00000000" w:rsidRDefault="00000000" w:rsidRPr="00000000" w14:paraId="00000157">
      <w:pPr>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8">
      <w:pPr>
        <w:tabs>
          <w:tab w:val="left" w:pos="4962"/>
        </w:tabs>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Nombres de servidores públicos dedicados a actividades en materia de seguridad, por excepción pueden considerarse información reservada.</w:t>
      </w:r>
      <w:r w:rsidDel="00000000" w:rsidR="00000000" w:rsidRPr="00000000">
        <w:rPr>
          <w:rFonts w:ascii="Palatino Linotype" w:cs="Palatino Linotype" w:eastAsia="Palatino Linotype" w:hAnsi="Palatino Linotype"/>
          <w:i w:val="1"/>
          <w:sz w:val="22"/>
          <w:szCs w:val="22"/>
          <w:rtl w:val="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000000" w:rsidDel="00000000" w:rsidP="00000000" w:rsidRDefault="00000000" w:rsidRPr="00000000" w14:paraId="00000159">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5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rsidR="00000000" w:rsidDel="00000000" w:rsidP="00000000" w:rsidRDefault="00000000" w:rsidRPr="00000000" w14:paraId="0000015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si bien por regla general los nombres de los trabajadores gubernamentales son información pública de oficio, existe una excepción relativa a </w:t>
      </w:r>
      <w:r w:rsidDel="00000000" w:rsidR="00000000" w:rsidRPr="00000000">
        <w:rPr>
          <w:rFonts w:ascii="Palatino Linotype" w:cs="Palatino Linotype" w:eastAsia="Palatino Linotype" w:hAnsi="Palatino Linotype"/>
          <w:b w:val="1"/>
          <w:rtl w:val="0"/>
        </w:rPr>
        <w:t xml:space="preserve">aquellos que realicen actividades operativas en materia de seguridad,</w:t>
      </w:r>
      <w:r w:rsidDel="00000000" w:rsidR="00000000" w:rsidRPr="00000000">
        <w:rPr>
          <w:rFonts w:ascii="Palatino Linotype" w:cs="Palatino Linotype" w:eastAsia="Palatino Linotype" w:hAnsi="Palatino Linotype"/>
          <w:rtl w:val="0"/>
        </w:rPr>
        <w:t xml:space="preserve"> como es el caso de los elementos operativos y la policía municipal.</w:t>
      </w:r>
    </w:p>
    <w:p w:rsidR="00000000" w:rsidDel="00000000" w:rsidP="00000000" w:rsidRDefault="00000000" w:rsidRPr="00000000" w14:paraId="0000015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rsidR="00000000" w:rsidDel="00000000" w:rsidP="00000000" w:rsidRDefault="00000000" w:rsidRPr="00000000" w14:paraId="0000015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el artículo 6, fracciones XI y XII de dicho ordenamiento jurídico, establece los siguientes conceptos:</w:t>
      </w:r>
    </w:p>
    <w:p w:rsidR="00000000" w:rsidDel="00000000" w:rsidP="00000000" w:rsidRDefault="00000000" w:rsidRPr="00000000" w14:paraId="0000016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numPr>
          <w:ilvl w:val="0"/>
          <w:numId w:val="4"/>
        </w:numP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Instituciones Policiales: </w:t>
      </w:r>
      <w:r w:rsidDel="00000000" w:rsidR="00000000" w:rsidRPr="00000000">
        <w:rPr>
          <w:rFonts w:ascii="Palatino Linotype" w:cs="Palatino Linotype" w:eastAsia="Palatino Linotype" w:hAnsi="Palatino Linotype"/>
          <w:rtl w:val="0"/>
        </w:rPr>
        <w:t xml:space="preserve">Son los cuerpos de policía, de vigilancia y custodia de los establecimientos penitenciarios, detención preventiva, centros de arraigo y en general, </w:t>
      </w:r>
      <w:r w:rsidDel="00000000" w:rsidR="00000000" w:rsidRPr="00000000">
        <w:rPr>
          <w:rFonts w:ascii="Palatino Linotype" w:cs="Palatino Linotype" w:eastAsia="Palatino Linotype" w:hAnsi="Palatino Linotype"/>
          <w:b w:val="1"/>
          <w:rtl w:val="0"/>
        </w:rPr>
        <w:t xml:space="preserve">todas las dependencias encargadas de la seguridad pública a nivel</w:t>
      </w:r>
      <w:r w:rsidDel="00000000" w:rsidR="00000000" w:rsidRPr="00000000">
        <w:rPr>
          <w:rFonts w:ascii="Palatino Linotype" w:cs="Palatino Linotype" w:eastAsia="Palatino Linotype" w:hAnsi="Palatino Linotype"/>
          <w:rtl w:val="0"/>
        </w:rPr>
        <w:t xml:space="preserve"> estatal y </w:t>
      </w:r>
      <w:r w:rsidDel="00000000" w:rsidR="00000000" w:rsidRPr="00000000">
        <w:rPr>
          <w:rFonts w:ascii="Palatino Linotype" w:cs="Palatino Linotype" w:eastAsia="Palatino Linotype" w:hAnsi="Palatino Linotype"/>
          <w:b w:val="1"/>
          <w:rtl w:val="0"/>
        </w:rPr>
        <w:t xml:space="preserve">municipal.</w:t>
      </w:r>
    </w:p>
    <w:p w:rsidR="00000000" w:rsidDel="00000000" w:rsidP="00000000" w:rsidRDefault="00000000" w:rsidRPr="00000000" w14:paraId="00000163">
      <w:pPr>
        <w:spacing w:line="360" w:lineRule="auto"/>
        <w:ind w:left="708"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4">
      <w:pPr>
        <w:numPr>
          <w:ilvl w:val="0"/>
          <w:numId w:val="4"/>
        </w:numP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Instituciones de Seguridad Pública: </w:t>
      </w:r>
      <w:r w:rsidDel="00000000" w:rsidR="00000000" w:rsidRPr="00000000">
        <w:rPr>
          <w:rFonts w:ascii="Palatino Linotype" w:cs="Palatino Linotype" w:eastAsia="Palatino Linotype" w:hAnsi="Palatino Linotype"/>
          <w:rtl w:val="0"/>
        </w:rPr>
        <w:t xml:space="preserve">Instituciones Policiales, Procuración de Justicia, Sistema Penitenciario y </w:t>
      </w:r>
      <w:r w:rsidDel="00000000" w:rsidR="00000000" w:rsidRPr="00000000">
        <w:rPr>
          <w:rFonts w:ascii="Palatino Linotype" w:cs="Palatino Linotype" w:eastAsia="Palatino Linotype" w:hAnsi="Palatino Linotype"/>
          <w:b w:val="1"/>
          <w:rtl w:val="0"/>
        </w:rPr>
        <w:t xml:space="preserve">dependencias encargadas de la seguridad pública a nivel </w:t>
      </w:r>
      <w:r w:rsidDel="00000000" w:rsidR="00000000" w:rsidRPr="00000000">
        <w:rPr>
          <w:rFonts w:ascii="Palatino Linotype" w:cs="Palatino Linotype" w:eastAsia="Palatino Linotype" w:hAnsi="Palatino Linotype"/>
          <w:rtl w:val="0"/>
        </w:rPr>
        <w:t xml:space="preserve">estatal y </w:t>
      </w:r>
      <w:r w:rsidDel="00000000" w:rsidR="00000000" w:rsidRPr="00000000">
        <w:rPr>
          <w:rFonts w:ascii="Palatino Linotype" w:cs="Palatino Linotype" w:eastAsia="Palatino Linotype" w:hAnsi="Palatino Linotype"/>
          <w:b w:val="1"/>
          <w:rtl w:val="0"/>
        </w:rPr>
        <w:t xml:space="preserve">municipal.</w:t>
      </w:r>
    </w:p>
    <w:p w:rsidR="00000000" w:rsidDel="00000000" w:rsidP="00000000" w:rsidRDefault="00000000" w:rsidRPr="00000000" w14:paraId="00000165">
      <w:pPr>
        <w:spacing w:line="360" w:lineRule="auto"/>
        <w:ind w:left="708"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puede deducir que la Dirección de Seguridad Pública Municipal, es una institución de seguridad pública, pues tiene como atribución principal resguardar el orden público y la paz social, la prevención de delitos y la inhibición de manifestaciones de conductas antisociales.</w:t>
      </w:r>
    </w:p>
    <w:p w:rsidR="00000000" w:rsidDel="00000000" w:rsidP="00000000" w:rsidRDefault="00000000" w:rsidRPr="00000000" w14:paraId="0000016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8">
      <w:pPr>
        <w:tabs>
          <w:tab w:val="left"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el Instructivo de llenado del Formato “Personal de Seguridad Pública”, del Secretariado Ejecutivo del Sistema Nacional de Seguridad Pública (consultado el veinte de abril de dos mil veintidós, a las dieciocho horas, en la liga electrónica </w:t>
      </w:r>
      <w:hyperlink r:id="rId16">
        <w:r w:rsidDel="00000000" w:rsidR="00000000" w:rsidRPr="00000000">
          <w:rPr>
            <w:rFonts w:ascii="Palatino Linotype" w:cs="Palatino Linotype" w:eastAsia="Palatino Linotype" w:hAnsi="Palatino Linotype"/>
            <w:color w:val="0563c1"/>
            <w:u w:val="single"/>
            <w:rtl w:val="0"/>
          </w:rPr>
          <w:t xml:space="preserve">http://secretariadoejecutivo.gob.mx/work/models/SecretariadoEjecutivo/Resource/328/1/images/instructivo_final_edo_fuerza(1).pdf</w:t>
        </w:r>
      </w:hyperlink>
      <w:r w:rsidDel="00000000" w:rsidR="00000000" w:rsidRPr="00000000">
        <w:rPr>
          <w:rFonts w:ascii="Palatino Linotype" w:cs="Palatino Linotype" w:eastAsia="Palatino Linotype" w:hAnsi="Palatino Linotype"/>
          <w:rtl w:val="0"/>
        </w:rPr>
        <w:t xml:space="preserve">), establece que los elementos operativos de seguridad pública, son aquellos que desempeñan funciones de campo (policiacas, especializadas o equivalentes y que no </w:t>
      </w:r>
      <w:r w:rsidDel="00000000" w:rsidR="00000000" w:rsidRPr="00000000">
        <w:rPr>
          <w:rFonts w:ascii="Palatino Linotype" w:cs="Palatino Linotype" w:eastAsia="Palatino Linotype" w:hAnsi="Palatino Linotype"/>
          <w:b w:val="1"/>
          <w:rtl w:val="0"/>
        </w:rPr>
        <w:t xml:space="preserve">desempeña funciones de mando</w:t>
      </w:r>
      <w:r w:rsidDel="00000000" w:rsidR="00000000" w:rsidRPr="00000000">
        <w:rPr>
          <w:rFonts w:ascii="Palatino Linotype" w:cs="Palatino Linotype" w:eastAsia="Palatino Linotype" w:hAnsi="Palatino Linotype"/>
          <w:rtl w:val="0"/>
        </w:rPr>
        <w:t xml:space="preserve">), entre los cuales, se encuentra </w:t>
      </w:r>
      <w:r w:rsidDel="00000000" w:rsidR="00000000" w:rsidRPr="00000000">
        <w:rPr>
          <w:rFonts w:ascii="Palatino Linotype" w:cs="Palatino Linotype" w:eastAsia="Palatino Linotype" w:hAnsi="Palatino Linotype"/>
          <w:b w:val="1"/>
          <w:rtl w:val="0"/>
        </w:rPr>
        <w:t xml:space="preserve">la Policía Municipal</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69">
      <w:pPr>
        <w:tabs>
          <w:tab w:val="left" w:pos="4962"/>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A">
      <w:pPr>
        <w:tabs>
          <w:tab w:val="left" w:pos="4962"/>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 De tales circunstancias, se puede observar que la Dirección de Seguridad Pública, tiene dos clases de servidores públicos, por una parte, los operativos (policía municipal) y por otra, los administrativos, de apoyo y personal de mando, los cuales no realizan funciones operativas.</w:t>
      </w:r>
    </w:p>
    <w:p w:rsidR="00000000" w:rsidDel="00000000" w:rsidP="00000000" w:rsidRDefault="00000000" w:rsidRPr="00000000" w14:paraId="0000016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dar a conocer el nombre de las personas,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rsidR="00000000" w:rsidDel="00000000" w:rsidP="00000000" w:rsidRDefault="00000000" w:rsidRPr="00000000" w14:paraId="0000016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 situación, se considera que dar a conocer el nombre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rsidR="00000000" w:rsidDel="00000000" w:rsidP="00000000" w:rsidRDefault="00000000" w:rsidRPr="00000000" w14:paraId="0000016F">
      <w:pPr>
        <w:spacing w:line="360" w:lineRule="auto"/>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tales consideraciones, </w:t>
      </w:r>
      <w:r w:rsidDel="00000000" w:rsidR="00000000" w:rsidRPr="00000000">
        <w:rPr>
          <w:rFonts w:ascii="Palatino Linotype" w:cs="Palatino Linotype" w:eastAsia="Palatino Linotype" w:hAnsi="Palatino Linotype"/>
          <w:b w:val="1"/>
          <w:rtl w:val="0"/>
        </w:rPr>
        <w:t xml:space="preserve">resulta procedente la reserva del nombre de los elementos operativos de la Dirección de Seguridad Pública Municipal, en términos del artículo 140, fracción IV, de de la Ley de Transparencia y Acceso a la Información Pública del Estado de México y Municipios.</w:t>
      </w:r>
    </w:p>
    <w:p w:rsidR="00000000" w:rsidDel="00000000" w:rsidP="00000000" w:rsidRDefault="00000000" w:rsidRPr="00000000" w14:paraId="0000017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Ahora </w:t>
      </w:r>
      <w:r w:rsidDel="00000000" w:rsidR="00000000" w:rsidRPr="00000000">
        <w:rPr>
          <w:rFonts w:ascii="Palatino Linotype" w:cs="Palatino Linotype" w:eastAsia="Palatino Linotype" w:hAnsi="Palatino Linotype"/>
          <w:rtl w:val="0"/>
        </w:rPr>
        <w:t xml:space="preserve">bien</w:t>
      </w:r>
      <w:r w:rsidDel="00000000" w:rsidR="00000000" w:rsidRPr="00000000">
        <w:rPr>
          <w:rFonts w:ascii="Palatino Linotype" w:cs="Palatino Linotype" w:eastAsia="Palatino Linotype" w:hAnsi="Palatino Linotype"/>
          <w:color w:val="000000"/>
          <w:rtl w:val="0"/>
        </w:rPr>
        <w:t xml:space="preserve">, con relación a la </w:t>
      </w:r>
      <w:r w:rsidDel="00000000" w:rsidR="00000000" w:rsidRPr="00000000">
        <w:rPr>
          <w:rFonts w:ascii="Palatino Linotype" w:cs="Palatino Linotype" w:eastAsia="Palatino Linotype" w:hAnsi="Palatino Linotype"/>
          <w:b w:val="1"/>
          <w:color w:val="000000"/>
          <w:rtl w:val="0"/>
        </w:rPr>
        <w:t xml:space="preserve">versión pública </w:t>
      </w:r>
      <w:r w:rsidDel="00000000" w:rsidR="00000000" w:rsidRPr="00000000">
        <w:rPr>
          <w:rFonts w:ascii="Palatino Linotype" w:cs="Palatino Linotype" w:eastAsia="Palatino Linotype" w:hAnsi="Palatino Linotype"/>
          <w:color w:val="000000"/>
          <w:rtl w:val="0"/>
        </w:rPr>
        <w:t xml:space="preserve">de la información de la que se ordena su entrega, en términos del artículo 143, fracción I y II de la Ley de Transparencia y Acceso a la Información Pública del Estado de México y Municipios, deberá </w:t>
      </w:r>
      <w:r w:rsidDel="00000000" w:rsidR="00000000" w:rsidRPr="00000000">
        <w:rPr>
          <w:rFonts w:ascii="Palatino Linotype" w:cs="Palatino Linotype" w:eastAsia="Palatino Linotype" w:hAnsi="Palatino Linotype"/>
          <w:rtl w:val="0"/>
        </w:rPr>
        <w:t xml:space="preserve">omitirse, eliminarse o suprimirse la</w:t>
      </w:r>
      <w:r w:rsidDel="00000000" w:rsidR="00000000" w:rsidRPr="00000000">
        <w:rPr>
          <w:rFonts w:ascii="Palatino Linotype" w:cs="Palatino Linotype" w:eastAsia="Palatino Linotype" w:hAnsi="Palatino Linotype"/>
          <w:color w:val="000000"/>
          <w:rtl w:val="0"/>
        </w:rPr>
        <w:t xml:space="preserve"> información </w:t>
      </w:r>
      <w:r w:rsidDel="00000000" w:rsidR="00000000" w:rsidRPr="00000000">
        <w:rPr>
          <w:rFonts w:ascii="Palatino Linotype" w:cs="Palatino Linotype" w:eastAsia="Palatino Linotype" w:hAnsi="Palatino Linotype"/>
          <w:b w:val="1"/>
          <w:color w:val="000000"/>
          <w:rtl w:val="0"/>
        </w:rPr>
        <w:t xml:space="preserve">confidencial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7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sólo podrán ser testados los datos que actualicen las hipótesis normativas previstas en dicho precepto legal y deberá procederse a su clasificación mediante las formalidades de Ley; es decir, que 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emita el Acuerdo de Clasificación correspondiente debidamente fundado y motivado, en el cual se sustente la versión pública, misma que deberá cumplir cabalmente con las formalidades de los </w:t>
      </w:r>
      <w:r w:rsidDel="00000000" w:rsidR="00000000" w:rsidRPr="00000000">
        <w:rPr>
          <w:rFonts w:ascii="Palatino Linotype" w:cs="Palatino Linotype" w:eastAsia="Palatino Linotype" w:hAnsi="Palatino Linotype"/>
          <w:u w:val="single"/>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15 de abril de 2016, mediante Acuerdo del Consejo Nacional del Sistema Nacional de Transparencia, Acceso a la Información Pública y Protección de Datos Personales.</w:t>
      </w:r>
    </w:p>
    <w:p w:rsidR="00000000" w:rsidDel="00000000" w:rsidP="00000000" w:rsidRDefault="00000000" w:rsidRPr="00000000" w14:paraId="0000017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respecto de los documentos que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ha de </w:t>
      </w:r>
      <w:r w:rsidDel="00000000" w:rsidR="00000000" w:rsidRPr="00000000">
        <w:rPr>
          <w:rFonts w:ascii="Palatino Linotype" w:cs="Palatino Linotype" w:eastAsia="Palatino Linotype" w:hAnsi="Palatino Linotype"/>
          <w:b w:val="1"/>
          <w:rtl w:val="0"/>
        </w:rPr>
        <w:t xml:space="preserve">entregar</w:t>
      </w:r>
      <w:r w:rsidDel="00000000" w:rsidR="00000000" w:rsidRPr="00000000">
        <w:rPr>
          <w:rFonts w:ascii="Palatino Linotype" w:cs="Palatino Linotype" w:eastAsia="Palatino Linotype" w:hAnsi="Palatino Linotype"/>
          <w:rtl w:val="0"/>
        </w:rPr>
        <w:t xml:space="preserve"> en </w:t>
      </w:r>
      <w:r w:rsidDel="00000000" w:rsidR="00000000" w:rsidRPr="00000000">
        <w:rPr>
          <w:rFonts w:ascii="Palatino Linotype" w:cs="Palatino Linotype" w:eastAsia="Palatino Linotype" w:hAnsi="Palatino Linotype"/>
          <w:b w:val="1"/>
          <w:rtl w:val="0"/>
        </w:rPr>
        <w:t xml:space="preserve">versión pública</w:t>
      </w:r>
      <w:r w:rsidDel="00000000" w:rsidR="00000000" w:rsidRPr="00000000">
        <w:rPr>
          <w:rFonts w:ascii="Palatino Linotype" w:cs="Palatino Linotype" w:eastAsia="Palatino Linotype" w:hAnsi="Palatino Linotype"/>
          <w:rtl w:val="0"/>
        </w:rPr>
        <w:t xml:space="preserve">, se deberá omitir, eliminar o suprimir la información personal de los servidores públicos, como lo es (de manera enunciativa más no limitativa), el Registro Federal de Contribuyentes (RFC), Clave única de Registro de Población (CURP), clave del Instituto de Seguridad Social del Estado de México y Municipios (ISSEMyM),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rsidR="00000000" w:rsidDel="00000000" w:rsidP="00000000" w:rsidRDefault="00000000" w:rsidRPr="00000000" w14:paraId="0000017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7">
      <w:pPr>
        <w:spacing w:after="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con documentos oficiales.</w:t>
      </w:r>
    </w:p>
    <w:p w:rsidR="00000000" w:rsidDel="00000000" w:rsidP="00000000" w:rsidRDefault="00000000" w:rsidRPr="00000000" w14:paraId="00000178">
      <w:pPr>
        <w:spacing w:before="280" w:line="360" w:lineRule="auto"/>
        <w:jc w:val="both"/>
        <w:rPr>
          <w:rFonts w:ascii="Palatino Linotype" w:cs="Palatino Linotype" w:eastAsia="Palatino Linotype" w:hAnsi="Palatino Linotype"/>
          <w:b w:val="1"/>
          <w:color w:val="000000"/>
        </w:rPr>
      </w:pPr>
      <w:r w:rsidDel="00000000" w:rsidR="00000000" w:rsidRPr="00000000">
        <w:rPr>
          <w:rFonts w:ascii="Palatino Linotype" w:cs="Palatino Linotype" w:eastAsia="Palatino Linotype" w:hAnsi="Palatino Linotype"/>
          <w:rtl w:val="0"/>
        </w:rPr>
        <w:t xml:space="preserve">Al respecto, </w:t>
      </w:r>
      <w:r w:rsidDel="00000000" w:rsidR="00000000" w:rsidRPr="00000000">
        <w:rPr>
          <w:rFonts w:ascii="Palatino Linotype" w:cs="Palatino Linotype" w:eastAsia="Palatino Linotype" w:hAnsi="Palatino Linotype"/>
          <w:color w:val="000000"/>
          <w:rtl w:val="0"/>
        </w:rPr>
        <w:t xml:space="preserve">es aplicable el Criterio 19/17 de la Segunda Época, emitido por el INAI, que dice:</w:t>
      </w:r>
      <w:r w:rsidDel="00000000" w:rsidR="00000000" w:rsidRPr="00000000">
        <w:rPr>
          <w:rFonts w:ascii="Palatino Linotype" w:cs="Palatino Linotype" w:eastAsia="Palatino Linotype" w:hAnsi="Palatino Linotype"/>
          <w:b w:val="1"/>
          <w:color w:val="000000"/>
          <w:rtl w:val="0"/>
        </w:rPr>
        <w:t xml:space="preserve"> </w:t>
      </w:r>
    </w:p>
    <w:p w:rsidR="00000000" w:rsidDel="00000000" w:rsidP="00000000" w:rsidRDefault="00000000" w:rsidRPr="00000000" w14:paraId="00000179">
      <w:pPr>
        <w:jc w:val="both"/>
        <w:rPr>
          <w:rFonts w:ascii="Palatino Linotype" w:cs="Palatino Linotype" w:eastAsia="Palatino Linotype" w:hAnsi="Palatino Linotype"/>
          <w:b w:val="1"/>
          <w:color w:val="000000"/>
        </w:rPr>
      </w:pPr>
      <w:r w:rsidDel="00000000" w:rsidR="00000000" w:rsidRPr="00000000">
        <w:rPr>
          <w:rtl w:val="0"/>
        </w:rPr>
      </w:r>
    </w:p>
    <w:p w:rsidR="00000000" w:rsidDel="00000000" w:rsidP="00000000" w:rsidRDefault="00000000" w:rsidRPr="00000000" w14:paraId="0000017A">
      <w:pPr>
        <w:tabs>
          <w:tab w:val="left" w:pos="7655"/>
        </w:tabs>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El RFC es una clave</w:t>
      </w:r>
      <w:r w:rsidDel="00000000" w:rsidR="00000000" w:rsidRPr="00000000">
        <w:rPr>
          <w:rFonts w:ascii="Palatino Linotype" w:cs="Palatino Linotype" w:eastAsia="Palatino Linotype" w:hAnsi="Palatino Linotype"/>
          <w:i w:val="1"/>
          <w:sz w:val="22"/>
          <w:szCs w:val="22"/>
          <w:rtl w:val="0"/>
        </w:rPr>
        <w:t xml:space="preserve"> de carácter fiscal, única e irrepetible, </w:t>
      </w:r>
      <w:r w:rsidDel="00000000" w:rsidR="00000000" w:rsidRPr="00000000">
        <w:rPr>
          <w:rFonts w:ascii="Palatino Linotype" w:cs="Palatino Linotype" w:eastAsia="Palatino Linotype" w:hAnsi="Palatino Linotype"/>
          <w:b w:val="1"/>
          <w:i w:val="1"/>
          <w:sz w:val="22"/>
          <w:szCs w:val="22"/>
          <w:rtl w:val="0"/>
        </w:rPr>
        <w:t xml:space="preserve">que permite identificar al titular, su edad y fecha de nacimiento</w:t>
      </w:r>
      <w:r w:rsidDel="00000000" w:rsidR="00000000" w:rsidRPr="00000000">
        <w:rPr>
          <w:rFonts w:ascii="Palatino Linotype" w:cs="Palatino Linotype" w:eastAsia="Palatino Linotype" w:hAnsi="Palatino Linotype"/>
          <w:i w:val="1"/>
          <w:sz w:val="22"/>
          <w:szCs w:val="22"/>
          <w:rtl w:val="0"/>
        </w:rPr>
        <w:t xml:space="preserve">, por lo que </w:t>
      </w:r>
      <w:r w:rsidDel="00000000" w:rsidR="00000000" w:rsidRPr="00000000">
        <w:rPr>
          <w:rFonts w:ascii="Palatino Linotype" w:cs="Palatino Linotype" w:eastAsia="Palatino Linotype" w:hAnsi="Palatino Linotype"/>
          <w:b w:val="1"/>
          <w:i w:val="1"/>
          <w:sz w:val="22"/>
          <w:szCs w:val="22"/>
          <w:rtl w:val="0"/>
        </w:rPr>
        <w:t xml:space="preserve">es un dato personal de carácter confidencial</w:t>
      </w:r>
      <w:r w:rsidDel="00000000" w:rsidR="00000000" w:rsidRPr="00000000">
        <w:rPr>
          <w:rFonts w:ascii="Palatino Linotype" w:cs="Palatino Linotype" w:eastAsia="Palatino Linotype" w:hAnsi="Palatino Linotype"/>
          <w:i w:val="1"/>
          <w:sz w:val="22"/>
          <w:szCs w:val="22"/>
          <w:rtl w:val="0"/>
        </w:rPr>
        <w:t xml:space="preserve">.” (Sic)</w:t>
      </w:r>
    </w:p>
    <w:p w:rsidR="00000000" w:rsidDel="00000000" w:rsidP="00000000" w:rsidRDefault="00000000" w:rsidRPr="00000000" w14:paraId="0000017B">
      <w:pPr>
        <w:tabs>
          <w:tab w:val="left" w:pos="7655"/>
        </w:tabs>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7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el RFC se vincula al nombre de su titular, lo que permite identificar la edad de la persona y fecha de nacimiento, en consecuencia determinar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7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CURP</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constituye un dato personal, que tiene como fin llevar registro de cada a cada una de las personas que integran la población del país, se tiene como sustento los artículos 86 y 91 de la Ley General de Población, la cual señala lo siguiente:</w:t>
      </w:r>
    </w:p>
    <w:p w:rsidR="00000000" w:rsidDel="00000000" w:rsidP="00000000" w:rsidRDefault="00000000" w:rsidRPr="00000000" w14:paraId="0000017F">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86. </w:t>
      </w:r>
      <w:r w:rsidDel="00000000" w:rsidR="00000000" w:rsidRPr="00000000">
        <w:rPr>
          <w:rFonts w:ascii="Palatino Linotype" w:cs="Palatino Linotype" w:eastAsia="Palatino Linotype" w:hAnsi="Palatino Linotype"/>
          <w:i w:val="1"/>
          <w:sz w:val="22"/>
          <w:szCs w:val="22"/>
          <w:rtl w:val="0"/>
        </w:rPr>
        <w:t xml:space="preserve">El Registro Nacional de Población tiene como finalidad registrar a cada una de las personas que integran la población del país, con los datos que permitan certificar y acreditar fehacientemente su identidad.</w:t>
      </w:r>
    </w:p>
    <w:p w:rsidR="00000000" w:rsidDel="00000000" w:rsidP="00000000" w:rsidRDefault="00000000" w:rsidRPr="00000000" w14:paraId="0000018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 Al incorporar a una persona en el Registro Nacional de Población</w:t>
      </w:r>
      <w:r w:rsidDel="00000000" w:rsidR="00000000" w:rsidRPr="00000000">
        <w:rPr>
          <w:rFonts w:ascii="Palatino Linotype" w:cs="Palatino Linotype" w:eastAsia="Palatino Linotype" w:hAnsi="Palatino Linotype"/>
          <w:i w:val="1"/>
          <w:sz w:val="22"/>
          <w:szCs w:val="22"/>
          <w:rtl w:val="0"/>
        </w:rPr>
        <w:t xml:space="preserve">, se le asignará una clave </w:t>
      </w:r>
      <w:r w:rsidDel="00000000" w:rsidR="00000000" w:rsidRPr="00000000">
        <w:rPr>
          <w:rFonts w:ascii="Palatino Linotype" w:cs="Palatino Linotype" w:eastAsia="Palatino Linotype" w:hAnsi="Palatino Linotype"/>
          <w:b w:val="1"/>
          <w:i w:val="1"/>
          <w:sz w:val="22"/>
          <w:szCs w:val="22"/>
          <w:rtl w:val="0"/>
        </w:rPr>
        <w:t xml:space="preserve">que se denominará Clave Única de Registro de Población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Esta servirá para</w:t>
      </w:r>
      <w:r w:rsidDel="00000000" w:rsidR="00000000" w:rsidRPr="00000000">
        <w:rPr>
          <w:rFonts w:ascii="Palatino Linotype" w:cs="Palatino Linotype" w:eastAsia="Palatino Linotype" w:hAnsi="Palatino Linotype"/>
          <w:i w:val="1"/>
          <w:sz w:val="22"/>
          <w:szCs w:val="22"/>
          <w:rtl w:val="0"/>
        </w:rPr>
        <w:t xml:space="preserve"> registrarla e </w:t>
      </w:r>
      <w:r w:rsidDel="00000000" w:rsidR="00000000" w:rsidRPr="00000000">
        <w:rPr>
          <w:rFonts w:ascii="Palatino Linotype" w:cs="Palatino Linotype" w:eastAsia="Palatino Linotype" w:hAnsi="Palatino Linotype"/>
          <w:b w:val="1"/>
          <w:i w:val="1"/>
          <w:sz w:val="22"/>
          <w:szCs w:val="22"/>
          <w:rtl w:val="0"/>
        </w:rPr>
        <w:t xml:space="preserve">identificarla en forma individual</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82">
      <w:pPr>
        <w:spacing w:after="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83">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rsidR="00000000" w:rsidDel="00000000" w:rsidP="00000000" w:rsidRDefault="00000000" w:rsidRPr="00000000" w14:paraId="000001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INAI, a través del Criterio 18/17 de la Segunda Época, señala lo siguiente:</w:t>
      </w:r>
    </w:p>
    <w:p w:rsidR="00000000" w:rsidDel="00000000" w:rsidP="00000000" w:rsidRDefault="00000000" w:rsidRPr="00000000" w14:paraId="00000187">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8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Clave Única de Registro de Población (CURP).</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Clave Única de Registro de Población se integra por datos personales que sólo conciernen al particular titular</w:t>
      </w:r>
      <w:r w:rsidDel="00000000" w:rsidR="00000000" w:rsidRPr="00000000">
        <w:rPr>
          <w:rFonts w:ascii="Palatino Linotype" w:cs="Palatino Linotype" w:eastAsia="Palatino Linotype" w:hAnsi="Palatino Linotype"/>
          <w:i w:val="1"/>
          <w:sz w:val="22"/>
          <w:szCs w:val="22"/>
          <w:rtl w:val="0"/>
        </w:rPr>
        <w:t xml:space="preserve"> de la misma, </w:t>
      </w:r>
      <w:r w:rsidDel="00000000" w:rsidR="00000000" w:rsidRPr="00000000">
        <w:rPr>
          <w:rFonts w:ascii="Palatino Linotype" w:cs="Palatino Linotype" w:eastAsia="Palatino Linotype" w:hAnsi="Palatino Linotype"/>
          <w:b w:val="1"/>
          <w:i w:val="1"/>
          <w:sz w:val="22"/>
          <w:szCs w:val="22"/>
          <w:rtl w:val="0"/>
        </w:rPr>
        <w:t xml:space="preserve">como lo son su nombre, apellidos, fecha de nacimiento, lugar de nacimiento y sexo</w:t>
      </w:r>
      <w:r w:rsidDel="00000000" w:rsidR="00000000" w:rsidRPr="00000000">
        <w:rPr>
          <w:rFonts w:ascii="Palatino Linotype" w:cs="Palatino Linotype" w:eastAsia="Palatino Linotype" w:hAnsi="Palatino Linotype"/>
          <w:i w:val="1"/>
          <w:sz w:val="22"/>
          <w:szCs w:val="22"/>
          <w:rtl w:val="0"/>
        </w:rPr>
        <w:t xml:space="preserve">. Dichos datos, constituyen información que distingue plenamente a una persona física del resto de los habitantes del país, </w:t>
      </w:r>
      <w:r w:rsidDel="00000000" w:rsidR="00000000" w:rsidRPr="00000000">
        <w:rPr>
          <w:rFonts w:ascii="Palatino Linotype" w:cs="Palatino Linotype" w:eastAsia="Palatino Linotype" w:hAnsi="Palatino Linotype"/>
          <w:b w:val="1"/>
          <w:i w:val="1"/>
          <w:sz w:val="22"/>
          <w:szCs w:val="22"/>
          <w:rtl w:val="0"/>
        </w:rPr>
        <w:t xml:space="preserve">por lo que la CURP está considerada como información confidencial</w:t>
      </w:r>
      <w:r w:rsidDel="00000000" w:rsidR="00000000" w:rsidRPr="00000000">
        <w:rPr>
          <w:rFonts w:ascii="Palatino Linotype" w:cs="Palatino Linotype" w:eastAsia="Palatino Linotype" w:hAnsi="Palatino Linotype"/>
          <w:i w:val="1"/>
          <w:sz w:val="22"/>
          <w:szCs w:val="22"/>
          <w:rtl w:val="0"/>
        </w:rPr>
        <w:t xml:space="preserve">. ” (Sic)</w:t>
      </w:r>
    </w:p>
    <w:p w:rsidR="00000000" w:rsidDel="00000000" w:rsidP="00000000" w:rsidRDefault="00000000" w:rsidRPr="00000000" w14:paraId="00000189">
      <w:pPr>
        <w:spacing w:after="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8A">
      <w:pPr>
        <w:spacing w:after="24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8B">
      <w:pPr>
        <w:spacing w:after="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la CURP se encuentra vinculada al nombre y apellidos de la persona, lo que permite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8C">
      <w:pPr>
        <w:spacing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Clave de cualquier tipo de seguridad social,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000000" w:rsidDel="00000000" w:rsidP="00000000" w:rsidRDefault="00000000" w:rsidRPr="00000000" w14:paraId="0000018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00000" w:rsidDel="00000000" w:rsidP="00000000" w:rsidRDefault="00000000" w:rsidRPr="00000000" w14:paraId="0000018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84 de la Ley del Trabajo de los Servidores Públicos del Estado y Municipios, señala:</w:t>
      </w:r>
    </w:p>
    <w:p w:rsidR="00000000" w:rsidDel="00000000" w:rsidP="00000000" w:rsidRDefault="00000000" w:rsidRPr="00000000" w14:paraId="00000191">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2">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ARTICULO 84. Sólo podrán hacerse retenciones, descuentos o deducciones al sueldo de los servidores públicos por concepto de:</w:t>
      </w:r>
    </w:p>
    <w:p w:rsidR="00000000" w:rsidDel="00000000" w:rsidP="00000000" w:rsidRDefault="00000000" w:rsidRPr="00000000" w14:paraId="0000019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9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Deudas contraídas con las instituciones públicas o dependencias</w:t>
      </w:r>
      <w:r w:rsidDel="00000000" w:rsidR="00000000" w:rsidRPr="00000000">
        <w:rPr>
          <w:rFonts w:ascii="Palatino Linotype" w:cs="Palatino Linotype" w:eastAsia="Palatino Linotype" w:hAnsi="Palatino Linotype"/>
          <w:i w:val="1"/>
          <w:sz w:val="22"/>
          <w:szCs w:val="22"/>
          <w:rtl w:val="0"/>
        </w:rPr>
        <w:t xml:space="preserve"> por concepto de anticipos de sueldo, pagos hechos con exceso, errores o pérdidas debidamente comprobados;</w:t>
      </w:r>
    </w:p>
    <w:p w:rsidR="00000000" w:rsidDel="00000000" w:rsidP="00000000" w:rsidRDefault="00000000" w:rsidRPr="00000000" w14:paraId="0000019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Cuotas sindicales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9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98">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 Obligaciones a cargo del servidor público con las que haya consentido</w:t>
      </w:r>
      <w:r w:rsidDel="00000000" w:rsidR="00000000" w:rsidRPr="00000000">
        <w:rPr>
          <w:rFonts w:ascii="Palatino Linotype" w:cs="Palatino Linotype" w:eastAsia="Palatino Linotype" w:hAnsi="Palatino Linotype"/>
          <w:i w:val="1"/>
          <w:sz w:val="22"/>
          <w:szCs w:val="22"/>
          <w:rtl w:val="0"/>
        </w:rPr>
        <w:t xml:space="preserve">, derivadas de la adquisición o del uso de habitaciones consideradas como de interés social;</w:t>
      </w:r>
      <w:r w:rsidDel="00000000" w:rsidR="00000000" w:rsidRPr="00000000">
        <w:rPr>
          <w:rtl w:val="0"/>
        </w:rPr>
      </w:r>
    </w:p>
    <w:p w:rsidR="00000000" w:rsidDel="00000000" w:rsidP="00000000" w:rsidRDefault="00000000" w:rsidRPr="00000000" w14:paraId="0000019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9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9B">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9C">
      <w:pP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r w:rsidDel="00000000" w:rsidR="00000000" w:rsidRPr="00000000">
        <w:rPr>
          <w:rtl w:val="0"/>
        </w:rPr>
      </w:r>
    </w:p>
    <w:p w:rsidR="00000000" w:rsidDel="00000000" w:rsidP="00000000" w:rsidRDefault="00000000" w:rsidRPr="00000000" w14:paraId="0000019D">
      <w:pPr>
        <w:spacing w:before="24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atención a lo anterior, la ley establece claramente cuáles son esos descuentos o gravámenes que directamente se relacionan con las obligaciones adquiridas como servidores públicos y aquéllos que </w:t>
      </w:r>
      <w:r w:rsidDel="00000000" w:rsidR="00000000" w:rsidRPr="00000000">
        <w:rPr>
          <w:rFonts w:ascii="Palatino Linotype" w:cs="Palatino Linotype" w:eastAsia="Palatino Linotype" w:hAnsi="Palatino Linotype"/>
          <w:b w:val="1"/>
          <w:rtl w:val="0"/>
        </w:rPr>
        <w:t xml:space="preserve">únicamente inciden en su vida privada</w:t>
      </w:r>
      <w:r w:rsidDel="00000000" w:rsidR="00000000" w:rsidRPr="00000000">
        <w:rPr>
          <w:rFonts w:ascii="Palatino Linotype" w:cs="Palatino Linotype" w:eastAsia="Palatino Linotype" w:hAnsi="Palatino Linotype"/>
          <w:rtl w:val="0"/>
        </w:rPr>
        <w:t xml:space="preserve">. De este modo, descuentos por pensiones alimenticias o créditos adquiridos con instituciones privadas o públicas pero que fueron contraídas en forma individual, son información que debe clasificarse como confidencial.</w:t>
      </w:r>
    </w:p>
    <w:p w:rsidR="00000000" w:rsidDel="00000000" w:rsidP="00000000" w:rsidRDefault="00000000" w:rsidRPr="00000000" w14:paraId="0000019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0">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obstante, esta Autoridad reitera que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deberá entregar la información requerida en versión pública y someterse a un proceso de desvinculación, en armonía con los principios constitucionales de máxima publicidad y de protección de datos personales, de conformidad con el estudio que ya se abordó ampliamente en líneas anteriores.</w:t>
      </w:r>
    </w:p>
    <w:p w:rsidR="00000000" w:rsidDel="00000000" w:rsidP="00000000" w:rsidRDefault="00000000" w:rsidRPr="00000000" w14:paraId="000001A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mismo tiempo,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deberá testar los datos confidenciales, sin pasar por alto que la clasificación respectiva tiene que cumplirse a través de la forma y formalidades que la Ley impone; es decir, mediante Acuerdo debidamente fundado y motivado, en términos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00000" w:rsidDel="00000000" w:rsidP="00000000" w:rsidRDefault="00000000" w:rsidRPr="00000000" w14:paraId="000001A3">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4">
      <w:pPr>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1A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 </w:t>
      </w:r>
      <w:r w:rsidDel="00000000" w:rsidR="00000000" w:rsidRPr="00000000">
        <w:rPr>
          <w:rFonts w:ascii="Palatino Linotype" w:cs="Palatino Linotype" w:eastAsia="Palatino Linotype" w:hAnsi="Palatino Linotype"/>
          <w:i w:val="1"/>
          <w:sz w:val="22"/>
          <w:szCs w:val="22"/>
          <w:rtl w:val="0"/>
        </w:rPr>
        <w:t xml:space="preserve">Los Comités de Transparencia tendrán las siguientes atribuciones:</w:t>
      </w:r>
    </w:p>
    <w:p w:rsidR="00000000" w:rsidDel="00000000" w:rsidP="00000000" w:rsidRDefault="00000000" w:rsidRPr="00000000" w14:paraId="000001A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Aprobar</w:t>
      </w:r>
      <w:r w:rsidDel="00000000" w:rsidR="00000000" w:rsidRPr="00000000">
        <w:rPr>
          <w:rFonts w:ascii="Palatino Linotype" w:cs="Palatino Linotype" w:eastAsia="Palatino Linotype" w:hAnsi="Palatino Linotype"/>
          <w:i w:val="1"/>
          <w:sz w:val="22"/>
          <w:szCs w:val="22"/>
          <w:rtl w:val="0"/>
        </w:rPr>
        <w:t xml:space="preserve">, modificar o revocar la clasificación de la información;</w:t>
      </w:r>
    </w:p>
    <w:p w:rsidR="00000000" w:rsidDel="00000000" w:rsidP="00000000" w:rsidRDefault="00000000" w:rsidRPr="00000000" w14:paraId="000001A7">
      <w:pPr>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clasificación de la información se llevará a cabo en el momento en que:</w:t>
      </w:r>
    </w:p>
    <w:p w:rsidR="00000000" w:rsidDel="00000000" w:rsidP="00000000" w:rsidRDefault="00000000" w:rsidRPr="00000000" w14:paraId="000001A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A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Se generen versiones públicas para dar cumplimiento a las obligaciones de transparencia previstas en esta Ley</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AB">
      <w:pPr>
        <w:ind w:left="851" w:right="902"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w:t>
      </w:r>
    </w:p>
    <w:p w:rsidR="00000000" w:rsidDel="00000000" w:rsidP="00000000" w:rsidRDefault="00000000" w:rsidRPr="00000000" w14:paraId="000001A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p>
    <w:p w:rsidR="00000000" w:rsidDel="00000000" w:rsidP="00000000" w:rsidRDefault="00000000" w:rsidRPr="00000000" w14:paraId="000001A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p>
    <w:p w:rsidR="00000000" w:rsidDel="00000000" w:rsidP="00000000" w:rsidRDefault="00000000" w:rsidRPr="00000000" w14:paraId="000001A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Para clasificar la información como</w:t>
      </w:r>
      <w:r w:rsidDel="00000000" w:rsidR="00000000" w:rsidRPr="00000000">
        <w:rPr>
          <w:rFonts w:ascii="Palatino Linotype" w:cs="Palatino Linotype" w:eastAsia="Palatino Linotype" w:hAnsi="Palatino Linotype"/>
          <w:i w:val="1"/>
          <w:sz w:val="22"/>
          <w:szCs w:val="22"/>
          <w:rtl w:val="0"/>
        </w:rPr>
        <w:t xml:space="preserve"> reservada o </w:t>
      </w:r>
      <w:r w:rsidDel="00000000" w:rsidR="00000000" w:rsidRPr="00000000">
        <w:rPr>
          <w:rFonts w:ascii="Palatino Linotype" w:cs="Palatino Linotype" w:eastAsia="Palatino Linotype" w:hAnsi="Palatino Linotype"/>
          <w:b w:val="1"/>
          <w:i w:val="1"/>
          <w:sz w:val="22"/>
          <w:szCs w:val="22"/>
          <w:rtl w:val="0"/>
        </w:rPr>
        <w:t xml:space="preserve">confidencial, de manera total o parcial, el titular del área del sujeto obligado deberá atender lo dispuesto por el Título Sexto de la Ley General</w:t>
      </w:r>
      <w:r w:rsidDel="00000000" w:rsidR="00000000" w:rsidRPr="00000000">
        <w:rPr>
          <w:rFonts w:ascii="Palatino Linotype" w:cs="Palatino Linotype" w:eastAsia="Palatino Linotype" w:hAnsi="Palatino Linotype"/>
          <w:i w:val="1"/>
          <w:sz w:val="22"/>
          <w:szCs w:val="22"/>
          <w:rtl w:val="0"/>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00000" w:rsidDel="00000000" w:rsidP="00000000" w:rsidRDefault="00000000" w:rsidRPr="00000000" w14:paraId="000001A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p>
    <w:p w:rsidR="00000000" w:rsidDel="00000000" w:rsidP="00000000" w:rsidRDefault="00000000" w:rsidRPr="00000000" w14:paraId="000001B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00000" w:rsidDel="00000000" w:rsidP="00000000" w:rsidRDefault="00000000" w:rsidRPr="00000000" w14:paraId="000001B1">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Sexto.</w:t>
      </w:r>
      <w:r w:rsidDel="00000000" w:rsidR="00000000" w:rsidRPr="00000000">
        <w:rPr>
          <w:rFonts w:ascii="Palatino Linotype" w:cs="Palatino Linotype" w:eastAsia="Palatino Linotype" w:hAnsi="Palatino Linotype"/>
          <w:i w:val="1"/>
          <w:sz w:val="22"/>
          <w:szCs w:val="22"/>
          <w:rtl w:val="0"/>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000000" w:rsidDel="00000000" w:rsidP="00000000" w:rsidRDefault="00000000" w:rsidRPr="00000000" w14:paraId="000001B2">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clasificación de información se realizará conforme a un análisis caso por caso, mediante la aplicación de la prueba de daño y de interés público.</w:t>
      </w:r>
    </w:p>
    <w:p w:rsidR="00000000" w:rsidDel="00000000" w:rsidP="00000000" w:rsidRDefault="00000000" w:rsidRPr="00000000" w14:paraId="000001B3">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1B4">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1B5">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1B6">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p>
    <w:p w:rsidR="00000000" w:rsidDel="00000000" w:rsidP="00000000" w:rsidRDefault="00000000" w:rsidRPr="00000000" w14:paraId="000001B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p>
    <w:p w:rsidR="00000000" w:rsidDel="00000000" w:rsidP="00000000" w:rsidRDefault="00000000" w:rsidRPr="00000000" w14:paraId="000001B8">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000000" w:rsidDel="00000000" w:rsidP="00000000" w:rsidRDefault="00000000" w:rsidRPr="00000000" w14:paraId="000001B9">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p>
    <w:p w:rsidR="00000000" w:rsidDel="00000000" w:rsidP="00000000" w:rsidRDefault="00000000" w:rsidRPr="00000000" w14:paraId="000001BA">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también deberá comprender las circunstancias que justifican el establecimiento de determinado plazo de reserva.</w:t>
      </w:r>
    </w:p>
    <w:p w:rsidR="00000000" w:rsidDel="00000000" w:rsidP="00000000" w:rsidRDefault="00000000" w:rsidRPr="00000000" w14:paraId="000001B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Tratándose de información clasificada como confidencial respecto de la cual se haya determinado su conservación permanente por tener valor histórico, ésta conservará tal carácter de conformidad con la normativa aplicable en materia de archivos.</w:t>
      </w:r>
    </w:p>
    <w:p w:rsidR="00000000" w:rsidDel="00000000" w:rsidP="00000000" w:rsidRDefault="00000000" w:rsidRPr="00000000" w14:paraId="000001BC">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documentos contenidos en los archivos históricos y los identificados como históricos confidenciales no serán susceptibles de clasificación como reservados.</w:t>
      </w:r>
    </w:p>
    <w:p w:rsidR="00000000" w:rsidDel="00000000" w:rsidP="00000000" w:rsidRDefault="00000000" w:rsidRPr="00000000" w14:paraId="000001BD">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00000" w:rsidDel="00000000" w:rsidP="00000000" w:rsidRDefault="00000000" w:rsidRPr="00000000" w14:paraId="000001BE">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00000" w:rsidDel="00000000" w:rsidP="00000000" w:rsidRDefault="00000000" w:rsidRPr="00000000" w14:paraId="000001BF">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p>
    <w:p w:rsidR="00000000" w:rsidDel="00000000" w:rsidP="00000000" w:rsidRDefault="00000000" w:rsidRPr="00000000" w14:paraId="000001C0">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1C1">
      <w:pPr>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(Énfasis Añadido)</w:t>
      </w:r>
    </w:p>
    <w:p w:rsidR="00000000" w:rsidDel="00000000" w:rsidP="00000000" w:rsidRDefault="00000000" w:rsidRPr="00000000" w14:paraId="000001C2">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tanto, es importante referir que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EL SUJETO OBLIGADO</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deberá seguir el procedimiento legal establecido para su clasificación, esto es, que su Comité de Transparencia emita un Acuerdo de Clasificación que cumpla con las formalidades previstas, antes citadas</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00000" w:rsidDel="00000000" w:rsidP="00000000" w:rsidRDefault="00000000" w:rsidRPr="00000000" w14:paraId="000001C4">
      <w:pPr>
        <w:spacing w:line="360" w:lineRule="auto"/>
        <w:jc w:val="both"/>
        <w:rPr>
          <w:rFonts w:ascii="Palatino Linotype" w:cs="Palatino Linotype" w:eastAsia="Palatino Linotype" w:hAnsi="Palatino Linotype"/>
          <w:color w:val="000000"/>
          <w:highlight w:val="white"/>
        </w:rPr>
      </w:pPr>
      <w:r w:rsidDel="00000000" w:rsidR="00000000" w:rsidRPr="00000000">
        <w:rPr>
          <w:rtl w:val="0"/>
        </w:rPr>
      </w:r>
    </w:p>
    <w:p w:rsidR="00000000" w:rsidDel="00000000" w:rsidP="00000000" w:rsidRDefault="00000000" w:rsidRPr="00000000" w14:paraId="000001C5">
      <w:pPr>
        <w:spacing w:line="360" w:lineRule="auto"/>
        <w:jc w:val="both"/>
        <w:rPr>
          <w:rFonts w:ascii="Palatino Linotype" w:cs="Palatino Linotype" w:eastAsia="Palatino Linotype" w:hAnsi="Palatino Linotype"/>
        </w:rPr>
      </w:pPr>
      <w:bookmarkStart w:colFirst="0" w:colLast="0" w:name="_heading=h.35nkun2" w:id="14"/>
      <w:bookmarkEnd w:id="14"/>
      <w:r w:rsidDel="00000000" w:rsidR="00000000" w:rsidRPr="00000000">
        <w:rPr>
          <w:rFonts w:ascii="Palatino Linotype" w:cs="Palatino Linotype" w:eastAsia="Palatino Linotype" w:hAnsi="Palatino Linotype"/>
          <w:rtl w:val="0"/>
        </w:rPr>
        <w:t xml:space="preserve">Expuesto todo lo anterior</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 lo dispuesto en el artículo 186, fracción III de la Ley de Transparencia y Acceso a la Información Pública del Estado de México y Municipios, el Pleno de este Instituto, estima que las razones o motivos de inconformidad planteadas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resultan fundadas; en consecuencia, este Órgano Garante determina </w:t>
      </w:r>
      <w:r w:rsidDel="00000000" w:rsidR="00000000" w:rsidRPr="00000000">
        <w:rPr>
          <w:rFonts w:ascii="Palatino Linotype" w:cs="Palatino Linotype" w:eastAsia="Palatino Linotype" w:hAnsi="Palatino Linotype"/>
          <w:b w:val="1"/>
          <w:rtl w:val="0"/>
        </w:rPr>
        <w:t xml:space="preserve">REVOCAR</w:t>
      </w:r>
      <w:r w:rsidDel="00000000" w:rsidR="00000000" w:rsidRPr="00000000">
        <w:rPr>
          <w:rFonts w:ascii="Palatino Linotype" w:cs="Palatino Linotype" w:eastAsia="Palatino Linotype" w:hAnsi="Palatino Linotype"/>
          <w:rtl w:val="0"/>
        </w:rPr>
        <w:t xml:space="preserve"> la respuesta otorgada por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a la solicitud de información que dio trámite al Recurso de Revisión número: </w:t>
      </w:r>
      <w:r w:rsidDel="00000000" w:rsidR="00000000" w:rsidRPr="00000000">
        <w:rPr>
          <w:rFonts w:ascii="Palatino Linotype" w:cs="Palatino Linotype" w:eastAsia="Palatino Linotype" w:hAnsi="Palatino Linotype"/>
          <w:b w:val="1"/>
          <w:rtl w:val="0"/>
        </w:rPr>
        <w:t xml:space="preserve">03157/INFOEM/IP/RR/2022 </w:t>
      </w:r>
      <w:r w:rsidDel="00000000" w:rsidR="00000000" w:rsidRPr="00000000">
        <w:rPr>
          <w:rFonts w:ascii="Palatino Linotype" w:cs="Palatino Linotype" w:eastAsia="Palatino Linotype" w:hAnsi="Palatino Linotype"/>
          <w:rtl w:val="0"/>
        </w:rPr>
        <w:t xml:space="preserve">y ordenar la entrega de los previsto en el presente Considerando.</w:t>
      </w:r>
    </w:p>
    <w:p w:rsidR="00000000" w:rsidDel="00000000" w:rsidP="00000000" w:rsidRDefault="00000000" w:rsidRPr="00000000" w14:paraId="000001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7">
      <w:pPr>
        <w:widowControl w:val="0"/>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lo que, con fundamento en lo prescrito en los artículos 5, párrafos </w:t>
      </w:r>
      <w:r w:rsidDel="00000000" w:rsidR="00000000" w:rsidRPr="00000000">
        <w:rPr>
          <w:rFonts w:ascii="Palatino Linotype" w:cs="Palatino Linotype" w:eastAsia="Palatino Linotype" w:hAnsi="Palatino Linotype"/>
          <w:rtl w:val="0"/>
        </w:rPr>
        <w:t xml:space="preserve">trigésimos, trigésimos primero, trigésimos segundos,</w:t>
      </w:r>
      <w:r w:rsidDel="00000000" w:rsidR="00000000" w:rsidRPr="00000000">
        <w:rPr>
          <w:rFonts w:ascii="Palatino Linotype" w:cs="Palatino Linotype" w:eastAsia="Palatino Linotype" w:hAnsi="Palatino Linotype"/>
          <w:color w:val="000000"/>
          <w:rtl w:val="0"/>
        </w:rPr>
        <w:t xml:space="preserve"> fracciones IV y V, de la Constitución Política del Estado Libre y Soberano de México, y los artículos 2, fracción II, 9, 29, 36, fracciones I y II, 176, 178, 179, 181, 185, fracción I, 186 y 188, de la Ley de Transparencia y Acceso a la Información Pública del Estado de México y Municipios, este Pleno:</w:t>
      </w:r>
    </w:p>
    <w:p w:rsidR="00000000" w:rsidDel="00000000" w:rsidP="00000000" w:rsidRDefault="00000000" w:rsidRPr="00000000" w14:paraId="000001C8">
      <w:pPr>
        <w:spacing w:line="276" w:lineRule="auto"/>
        <w:jc w:val="center"/>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1C9">
      <w:pPr>
        <w:spacing w:line="276" w:lineRule="auto"/>
        <w:jc w:val="center"/>
        <w:rPr>
          <w:rFonts w:ascii="Palatino Linotype" w:cs="Palatino Linotype" w:eastAsia="Palatino Linotype" w:hAnsi="Palatino Linotype"/>
          <w:b w:val="1"/>
          <w:sz w:val="28"/>
          <w:szCs w:val="28"/>
        </w:rPr>
      </w:pPr>
      <w:r w:rsidDel="00000000" w:rsidR="00000000" w:rsidRPr="00000000">
        <w:rPr>
          <w:rFonts w:ascii="Palatino Linotype" w:cs="Palatino Linotype" w:eastAsia="Palatino Linotype" w:hAnsi="Palatino Linotype"/>
          <w:b w:val="1"/>
          <w:sz w:val="28"/>
          <w:szCs w:val="28"/>
          <w:rtl w:val="0"/>
        </w:rPr>
        <w:t xml:space="preserve">RESUELVE</w:t>
      </w:r>
    </w:p>
    <w:p w:rsidR="00000000" w:rsidDel="00000000" w:rsidP="00000000" w:rsidRDefault="00000000" w:rsidRPr="00000000" w14:paraId="000001CA">
      <w:pPr>
        <w:spacing w:line="276" w:lineRule="auto"/>
        <w:jc w:val="center"/>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C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PRIMERO</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rtl w:val="0"/>
        </w:rPr>
        <w:t xml:space="preserve"> Resultan </w:t>
      </w:r>
      <w:r w:rsidDel="00000000" w:rsidR="00000000" w:rsidRPr="00000000">
        <w:rPr>
          <w:rFonts w:ascii="Palatino Linotype" w:cs="Palatino Linotype" w:eastAsia="Palatino Linotype" w:hAnsi="Palatino Linotype"/>
          <w:b w:val="1"/>
          <w:rtl w:val="0"/>
        </w:rPr>
        <w:t xml:space="preserve">fundadas</w:t>
      </w:r>
      <w:r w:rsidDel="00000000" w:rsidR="00000000" w:rsidRPr="00000000">
        <w:rPr>
          <w:rFonts w:ascii="Palatino Linotype" w:cs="Palatino Linotype" w:eastAsia="Palatino Linotype" w:hAnsi="Palatino Linotype"/>
          <w:rtl w:val="0"/>
        </w:rPr>
        <w:t xml:space="preserve"> las razones o motivos de inconformidad planteadas por </w:t>
      </w:r>
      <w:r w:rsidDel="00000000" w:rsidR="00000000" w:rsidRPr="00000000">
        <w:rPr>
          <w:rFonts w:ascii="Palatino Linotype" w:cs="Palatino Linotype" w:eastAsia="Palatino Linotype" w:hAnsi="Palatino Linotype"/>
          <w:b w:val="1"/>
          <w:rtl w:val="0"/>
        </w:rPr>
        <w:t xml:space="preserve">EL RECURRENTE</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1C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bookmarkStart w:colFirst="0" w:colLast="0" w:name="_heading=h.1ksv4uv" w:id="15"/>
      <w:bookmarkEnd w:id="15"/>
      <w:r w:rsidDel="00000000" w:rsidR="00000000" w:rsidRPr="00000000">
        <w:rPr>
          <w:rFonts w:ascii="Palatino Linotype" w:cs="Palatino Linotype" w:eastAsia="Palatino Linotype" w:hAnsi="Palatino Linotype"/>
          <w:b w:val="1"/>
          <w:sz w:val="28"/>
          <w:szCs w:val="28"/>
          <w:rtl w:val="0"/>
        </w:rPr>
        <w:t xml:space="preserve">SEGUNDO</w:t>
      </w: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rtl w:val="0"/>
        </w:rPr>
        <w:t xml:space="preserve"> Se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proporcionada por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y se </w:t>
      </w:r>
      <w:r w:rsidDel="00000000" w:rsidR="00000000" w:rsidRPr="00000000">
        <w:rPr>
          <w:rFonts w:ascii="Palatino Linotype" w:cs="Palatino Linotype" w:eastAsia="Palatino Linotype" w:hAnsi="Palatino Linotype"/>
          <w:b w:val="1"/>
          <w:rtl w:val="0"/>
        </w:rPr>
        <w:t xml:space="preserve">ORDENA </w:t>
      </w:r>
      <w:r w:rsidDel="00000000" w:rsidR="00000000" w:rsidRPr="00000000">
        <w:rPr>
          <w:rFonts w:ascii="Palatino Linotype" w:cs="Palatino Linotype" w:eastAsia="Palatino Linotype" w:hAnsi="Palatino Linotype"/>
          <w:rtl w:val="0"/>
        </w:rPr>
        <w:t xml:space="preserve">atienda la Solicitud de Información que dio origen al Recurso de Revisión </w:t>
      </w:r>
      <w:r w:rsidDel="00000000" w:rsidR="00000000" w:rsidRPr="00000000">
        <w:rPr>
          <w:rFonts w:ascii="Palatino Linotype" w:cs="Palatino Linotype" w:eastAsia="Palatino Linotype" w:hAnsi="Palatino Linotype"/>
          <w:b w:val="1"/>
          <w:rtl w:val="0"/>
        </w:rPr>
        <w:t xml:space="preserve">03157/INFOEM/IP/RR/2022</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QUINTO</w:t>
      </w:r>
      <w:r w:rsidDel="00000000" w:rsidR="00000000" w:rsidRPr="00000000">
        <w:rPr>
          <w:rFonts w:ascii="Palatino Linotype" w:cs="Palatino Linotype" w:eastAsia="Palatino Linotype" w:hAnsi="Palatino Linotype"/>
          <w:rtl w:val="0"/>
        </w:rPr>
        <w:t xml:space="preserve"> de la presente resolución, y haga entrega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previa búsqueda exhaustiva y razonable, vía el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y en</w:t>
      </w:r>
      <w:r w:rsidDel="00000000" w:rsidR="00000000" w:rsidRPr="00000000">
        <w:rPr>
          <w:rFonts w:ascii="Palatino Linotype" w:cs="Palatino Linotype" w:eastAsia="Palatino Linotype" w:hAnsi="Palatino Linotype"/>
          <w:b w:val="1"/>
          <w:rtl w:val="0"/>
        </w:rPr>
        <w:t xml:space="preserve"> versión publica </w:t>
      </w:r>
      <w:r w:rsidDel="00000000" w:rsidR="00000000" w:rsidRPr="00000000">
        <w:rPr>
          <w:rFonts w:ascii="Palatino Linotype" w:cs="Palatino Linotype" w:eastAsia="Palatino Linotype" w:hAnsi="Palatino Linotype"/>
          <w:rtl w:val="0"/>
        </w:rPr>
        <w:t xml:space="preserve">de ser procedente,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lo siguiente:</w:t>
      </w:r>
    </w:p>
    <w:p w:rsidR="00000000" w:rsidDel="00000000" w:rsidP="00000000" w:rsidRDefault="00000000" w:rsidRPr="00000000" w14:paraId="000001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F">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Los documentos donde conste el salario bruto, neto, aguinaldo, gratificaciones, prima vacacional y de antigüedad, comisiones, dietas, bonos, estímulos y compensaciones, correspondientes al mes de diciembre de dos mil veintiuno, los servidores públicos de base o de confianza del uno de enero de dos mil veinte al once de febrero de dos mil veintidós.</w:t>
      </w:r>
    </w:p>
    <w:p w:rsidR="00000000" w:rsidDel="00000000" w:rsidP="00000000" w:rsidRDefault="00000000" w:rsidRPr="00000000" w14:paraId="000001D0">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1">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b) Los contratos de servicios profesionales por honorarios donde se advierta los nombres de los prestadores de servicios, los servicios contratados, el monto total a pagar y fecha de inicio y termino de la contratación, del periodo comprendido del 11 de febrero de 2021 al 11 de febrero de 2022.</w:t>
      </w:r>
    </w:p>
    <w:p w:rsidR="00000000" w:rsidDel="00000000" w:rsidP="00000000" w:rsidRDefault="00000000" w:rsidRPr="00000000" w14:paraId="000001D2">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3">
      <w:pPr>
        <w:ind w:left="850"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notificar al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el Acuerdo de Clasificación que emita el Comité de Transparencia, con motivo de la versión pública”</w:t>
      </w:r>
    </w:p>
    <w:p w:rsidR="00000000" w:rsidDel="00000000" w:rsidP="00000000" w:rsidRDefault="00000000" w:rsidRPr="00000000" w14:paraId="000001D4">
      <w:pPr>
        <w:ind w:left="850" w:right="90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D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highlight w:val="white"/>
          <w:rtl w:val="0"/>
        </w:rPr>
        <w:t xml:space="preserve">TERCERO.</w:t>
      </w:r>
      <w:r w:rsidDel="00000000" w:rsidR="00000000" w:rsidRPr="00000000">
        <w:rPr>
          <w:rFonts w:ascii="Palatino Linotype" w:cs="Palatino Linotype" w:eastAsia="Palatino Linotype" w:hAnsi="Palatino Linotype"/>
          <w:b w:val="1"/>
          <w:highlight w:val="white"/>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highlight w:val="white"/>
          <w:rtl w:val="0"/>
        </w:rPr>
        <w:t xml:space="preserve">al </w:t>
      </w:r>
      <w:r w:rsidDel="00000000" w:rsidR="00000000" w:rsidRPr="00000000">
        <w:rPr>
          <w:rFonts w:ascii="Palatino Linotype" w:cs="Palatino Linotype" w:eastAsia="Palatino Linotype" w:hAnsi="Palatino Linotype"/>
          <w:rtl w:val="0"/>
        </w:rPr>
        <w:t xml:space="preserve">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D6">
      <w:pPr>
        <w:spacing w:line="360" w:lineRule="auto"/>
        <w:ind w:right="49"/>
        <w:jc w:val="both"/>
        <w:rPr>
          <w:rFonts w:ascii="Palatino Linotype" w:cs="Palatino Linotype" w:eastAsia="Palatino Linotype" w:hAnsi="Palatino Linotype"/>
          <w:b w:val="1"/>
          <w:highlight w:val="white"/>
        </w:rPr>
      </w:pPr>
      <w:r w:rsidDel="00000000" w:rsidR="00000000" w:rsidRPr="00000000">
        <w:rPr>
          <w:rtl w:val="0"/>
        </w:rPr>
      </w:r>
    </w:p>
    <w:p w:rsidR="00000000" w:rsidDel="00000000" w:rsidP="00000000" w:rsidRDefault="00000000" w:rsidRPr="00000000" w14:paraId="000001D7">
      <w:pPr>
        <w:spacing w:line="360" w:lineRule="auto"/>
        <w:ind w:right="49"/>
        <w:jc w:val="both"/>
        <w:rPr>
          <w:rFonts w:ascii="Palatino Linotype" w:cs="Palatino Linotype" w:eastAsia="Palatino Linotype" w:hAnsi="Palatino Linotype"/>
          <w:b w:val="1"/>
        </w:rPr>
      </w:pPr>
      <w:bookmarkStart w:colFirst="0" w:colLast="0" w:name="_heading=h.44sinio" w:id="16"/>
      <w:bookmarkEnd w:id="16"/>
      <w:r w:rsidDel="00000000" w:rsidR="00000000" w:rsidRPr="00000000">
        <w:rPr>
          <w:rFonts w:ascii="Palatino Linotype" w:cs="Palatino Linotype" w:eastAsia="Palatino Linotype" w:hAnsi="Palatino Linotype"/>
          <w:b w:val="1"/>
          <w:sz w:val="28"/>
          <w:szCs w:val="28"/>
          <w:rtl w:val="0"/>
        </w:rPr>
        <w:t xml:space="preserve">CUARTO.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vía Sistema de Acceso a la Información Mexiquense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1D8">
      <w:pPr>
        <w:spacing w:line="360" w:lineRule="auto"/>
        <w:ind w:right="49"/>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D9">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QUINTO.</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Hágase del conocimiento</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000000" w:rsidDel="00000000" w:rsidP="00000000" w:rsidRDefault="00000000" w:rsidRPr="00000000" w14:paraId="000001DA">
      <w:pPr>
        <w:spacing w:line="360" w:lineRule="auto"/>
        <w:ind w:right="49"/>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1D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8"/>
          <w:szCs w:val="28"/>
          <w:rtl w:val="0"/>
        </w:rPr>
        <w:t xml:space="preserve">SEXTO</w:t>
      </w:r>
      <w:r w:rsidDel="00000000" w:rsidR="00000000" w:rsidRPr="00000000">
        <w:rPr>
          <w:rFonts w:ascii="Palatino Linotype" w:cs="Palatino Linotype" w:eastAsia="Palatino Linotype" w:hAnsi="Palatino Linotype"/>
          <w:rtl w:val="0"/>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DC">
      <w:pPr>
        <w:spacing w:line="360" w:lineRule="auto"/>
        <w:rPr>
          <w:rFonts w:ascii="Palatino Linotype" w:cs="Palatino Linotype" w:eastAsia="Palatino Linotype" w:hAnsi="Palatino Linotype"/>
          <w:b w:val="1"/>
          <w:sz w:val="28"/>
          <w:szCs w:val="28"/>
        </w:rPr>
      </w:pPr>
      <w:r w:rsidDel="00000000" w:rsidR="00000000" w:rsidRPr="00000000">
        <w:rPr>
          <w:rtl w:val="0"/>
        </w:rPr>
      </w:r>
    </w:p>
    <w:p w:rsidR="00000000" w:rsidDel="00000000" w:rsidP="00000000" w:rsidRDefault="00000000" w:rsidRPr="00000000" w14:paraId="000001D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00"/>
          <w:rtl w:val="0"/>
        </w:rPr>
        <w:t xml:space="preserve">ASÍ LO RESUELVE,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EMITIENDO VOTO DISIDENTE; LUIS GUSTAVO PARRA NORIEGA EMITIENDO VOTO PARTICULAR Y GUADALUPE RAMÍREZ PEÑA; EN LA DÉCIMA NOVENA SESIÓN ORDINARIA CELEBRADA EL VEINTICINCO DE MAYO DE DOS MIL VEINTIDÓS, ANTE EL SECRETARIO TÉCNICO DEL PLENO, ALEXIS TAPIA RAMÍREZ</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DE">
      <w:pPr>
        <w:spacing w:line="360" w:lineRule="auto"/>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SCMM/BLA/DEMF/CCC</w:t>
      </w:r>
    </w:p>
    <w:p w:rsidR="00000000" w:rsidDel="00000000" w:rsidP="00000000" w:rsidRDefault="00000000" w:rsidRPr="00000000" w14:paraId="000001DF">
      <w:pPr>
        <w:spacing w:line="360" w:lineRule="auto"/>
        <w:jc w:val="both"/>
        <w:rPr>
          <w:rFonts w:ascii="Palatino Linotype" w:cs="Palatino Linotype" w:eastAsia="Palatino Linotype" w:hAnsi="Palatino Linotype"/>
        </w:rPr>
      </w:pPr>
      <w:r w:rsidDel="00000000" w:rsidR="00000000" w:rsidRPr="00000000">
        <w:br w:type="page"/>
      </w:r>
      <w:r w:rsidDel="00000000" w:rsidR="00000000" w:rsidRPr="00000000">
        <w:rPr>
          <w:rtl w:val="0"/>
        </w:rPr>
      </w:r>
    </w:p>
    <w:p w:rsidR="00000000" w:rsidDel="00000000" w:rsidP="00000000" w:rsidRDefault="00000000" w:rsidRPr="00000000" w14:paraId="000001E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1">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7" w:type="default"/>
      <w:headerReference r:id="rId18" w:type="first"/>
      <w:headerReference r:id="rId19" w:type="even"/>
      <w:footerReference r:id="rId20" w:type="default"/>
      <w:footerReference r:id="rId21" w:type="first"/>
      <w:pgSz w:h="15840" w:w="12240" w:orient="portrait"/>
      <w:pgMar w:bottom="1418" w:top="1418" w:left="1701" w:right="1418" w:header="709" w:footer="10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Página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Palatino Linotype" w:cs="Palatino Linotype" w:eastAsia="Palatino Linotype" w:hAnsi="Palatino Linotype"/>
            <w:b w:val="0"/>
            <w:i w:val="1"/>
            <w:smallCaps w:val="0"/>
            <w:strike w:val="0"/>
            <w:color w:val="035899"/>
            <w:sz w:val="20"/>
            <w:szCs w:val="20"/>
            <w:u w:val="none"/>
            <w:shd w:fill="auto" w:val="clear"/>
            <w:vertAlign w:val="baseline"/>
            <w:rtl w:val="0"/>
          </w:rPr>
          <w:t xml:space="preserve">https://sultepec.gob.mx/contenidos/sultepec/docs/109_bando-municipal-2022-2024_22516105107.pdf</w:t>
        </w:r>
      </w:hyperlink>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p>
  </w:footnote>
  <w:footnote w:id="1">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tl w:val="0"/>
        </w:rPr>
      </w:r>
    </w:p>
  </w:footnote>
  <w:footnote w:id="2">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“NÓMINA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Listado general de los trabajadores de una institución, en</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el cual se asientan las percepciones brutas, deducciones y</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alcance neto de las mismas; la nómina es utilizada para</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efectuar los pagos periódicos (semanales, quincenales o</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mensuales) a los trabajadores por concepto de sueldos y</w:t>
      </w:r>
      <w:r w:rsidDel="00000000" w:rsidR="00000000" w:rsidRPr="00000000">
        <w:rPr>
          <w:rFonts w:ascii="Palatino Linotype" w:cs="Palatino Linotype" w:eastAsia="Palatino Linotype" w:hAnsi="Palatino Linotype"/>
          <w:b w:val="1"/>
          <w:i w:val="1"/>
          <w:smallCaps w:val="0"/>
          <w:strike w:val="0"/>
          <w:color w:val="000000"/>
          <w:sz w:val="20"/>
          <w:szCs w:val="20"/>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1"/>
          <w:smallCaps w:val="0"/>
          <w:strike w:val="0"/>
          <w:color w:val="000000"/>
          <w:sz w:val="20"/>
          <w:szCs w:val="20"/>
          <w:u w:val="none"/>
          <w:shd w:fill="auto" w:val="clear"/>
          <w:vertAlign w:val="baseline"/>
          <w:rtl w:val="0"/>
        </w:rPr>
        <w:t xml:space="preserve">salarios.”</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8"/>
        <w:szCs w:val="28"/>
        <w:u w:val="none"/>
        <w:shd w:fill="auto" w:val="clear"/>
        <w:vertAlign w:val="baseline"/>
      </w:rPr>
      <w:pict>
        <v:shape id="WordPictureWatermark2"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tbl>
    <w:tblPr>
      <w:tblStyle w:val="Table1"/>
      <w:tblW w:w="9534.0" w:type="dxa"/>
      <w:jc w:val="left"/>
      <w:tblInd w:w="-142.0" w:type="dxa"/>
      <w:tblLayout w:type="fixed"/>
      <w:tblLook w:val="0400"/>
    </w:tblPr>
    <w:tblGrid>
      <w:gridCol w:w="3261"/>
      <w:gridCol w:w="2551"/>
      <w:gridCol w:w="3722"/>
      <w:tblGridChange w:id="0">
        <w:tblGrid>
          <w:gridCol w:w="3261"/>
          <w:gridCol w:w="2551"/>
          <w:gridCol w:w="3722"/>
        </w:tblGrid>
      </w:tblGridChange>
    </w:tblGrid>
    <w:tr>
      <w:trPr>
        <w:cantSplit w:val="0"/>
        <w:tblHeader w:val="0"/>
      </w:trPr>
      <w:tc>
        <w:tcPr>
          <w:vMerge w:val="restart"/>
        </w:tcPr>
        <w:p w:rsidR="00000000" w:rsidDel="00000000" w:rsidP="00000000" w:rsidRDefault="00000000" w:rsidRPr="00000000" w14:paraId="000001F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29"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1F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F9">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03157/INFOEM/IP/RR/2022</w:t>
          </w:r>
        </w:p>
      </w:tc>
    </w:tr>
    <w:tr>
      <w:trPr>
        <w:cantSplit w:val="0"/>
        <w:tblHeader w:val="0"/>
      </w:trPr>
      <w:tc>
        <w:tcPr>
          <w:vMerge w:val="continue"/>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F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FC">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Sultepec</w:t>
          </w:r>
        </w:p>
      </w:tc>
    </w:tr>
    <w:tr>
      <w:trPr>
        <w:cantSplit w:val="0"/>
        <w:trHeight w:val="228" w:hRule="atLeast"/>
        <w:tblHeader w:val="0"/>
      </w:trPr>
      <w:tc>
        <w:tcPr>
          <w:vMerge w:val="continue"/>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1F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1FF">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pict>
        <v:shape id="WordPictureWatermark1"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02">
    <w:pP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Pr>
      <w:pict>
        <v:shape id="WordPictureWatermark3" style="position:absolute;width:540.0pt;height:720.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tbl>
    <w:tblPr>
      <w:tblStyle w:val="Table2"/>
      <w:tblW w:w="9900.0" w:type="dxa"/>
      <w:jc w:val="left"/>
      <w:tblInd w:w="-833.0" w:type="dxa"/>
      <w:tblLayout w:type="fixed"/>
      <w:tblLook w:val="0400"/>
    </w:tblPr>
    <w:tblGrid>
      <w:gridCol w:w="3805"/>
      <w:gridCol w:w="3000"/>
      <w:gridCol w:w="3095"/>
      <w:tblGridChange w:id="0">
        <w:tblGrid>
          <w:gridCol w:w="3805"/>
          <w:gridCol w:w="3000"/>
          <w:gridCol w:w="3095"/>
        </w:tblGrid>
      </w:tblGridChange>
    </w:tblGrid>
    <w:tr>
      <w:trPr>
        <w:cantSplit w:val="0"/>
        <w:tblHeader w:val="0"/>
      </w:trPr>
      <w:tc>
        <w:tcPr>
          <w:vMerge w:val="restart"/>
          <w:shd w:fill="auto" w:val="clear"/>
        </w:tcPr>
        <w:p w:rsidR="00000000" w:rsidDel="00000000" w:rsidP="00000000" w:rsidRDefault="00000000" w:rsidRPr="00000000" w14:paraId="00000203">
          <w:pPr>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8"/>
              <w:szCs w:val="28"/>
            </w:rPr>
            <w:drawing>
              <wp:inline distB="0" distT="0" distL="0" distR="0">
                <wp:extent cx="1692162" cy="852673"/>
                <wp:effectExtent b="0" l="0" r="0" t="0"/>
                <wp:docPr id="30"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692162" cy="852673"/>
                        </a:xfrm>
                        <a:prstGeom prst="rect"/>
                        <a:ln/>
                      </pic:spPr>
                    </pic:pic>
                  </a:graphicData>
                </a:graphic>
              </wp:inline>
            </w:drawing>
          </w:r>
          <w:r w:rsidDel="00000000" w:rsidR="00000000" w:rsidRPr="00000000">
            <w:rPr>
              <w:rtl w:val="0"/>
            </w:rPr>
          </w:r>
        </w:p>
      </w:tc>
      <w:tc>
        <w:tcPr>
          <w:shd w:fill="auto" w:val="clear"/>
        </w:tcPr>
        <w:p w:rsidR="00000000" w:rsidDel="00000000" w:rsidP="00000000" w:rsidRDefault="00000000" w:rsidRPr="00000000" w14:paraId="0000020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05">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03157/INFOEM/IP/RR/2022</w:t>
          </w:r>
        </w:p>
      </w:tc>
    </w:tr>
    <w:tr>
      <w:trPr>
        <w:cantSplit w:val="0"/>
        <w:tblHeader w:val="0"/>
      </w:trPr>
      <w:tc>
        <w:tcPr>
          <w:vMerge w:val="continue"/>
          <w:shd w:fill="auto" w:val="cle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20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08">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XXXXX XXXXXXX XXXXX</w:t>
          </w:r>
          <w:r w:rsidDel="00000000" w:rsidR="00000000" w:rsidRPr="00000000">
            <w:rPr>
              <w:rtl w:val="0"/>
            </w:rPr>
          </w:r>
        </w:p>
      </w:tc>
    </w:tr>
    <w:tr>
      <w:trPr>
        <w:cantSplit w:val="0"/>
        <w:trHeight w:val="228" w:hRule="atLeast"/>
        <w:tblHeader w:val="0"/>
      </w:trPr>
      <w:tc>
        <w:tcPr>
          <w:vMerge w:val="continue"/>
          <w:shd w:fill="auto" w:val="clear"/>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20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0B">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Sultepec</w:t>
          </w:r>
        </w:p>
      </w:tc>
    </w:tr>
    <w:tr>
      <w:trPr>
        <w:cantSplit w:val="0"/>
        <w:tblHeader w:val="0"/>
      </w:trPr>
      <w:tc>
        <w:tcPr>
          <w:vMerge w:val="continue"/>
          <w:shd w:fill="auto" w:val="cle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sz w:val="22"/>
              <w:szCs w:val="22"/>
            </w:rPr>
          </w:pPr>
          <w:r w:rsidDel="00000000" w:rsidR="00000000" w:rsidRPr="00000000">
            <w:rPr>
              <w:rtl w:val="0"/>
            </w:rPr>
          </w:r>
        </w:p>
      </w:tc>
      <w:tc>
        <w:tcPr>
          <w:shd w:fill="auto" w:val="clear"/>
        </w:tcPr>
        <w:p w:rsidR="00000000" w:rsidDel="00000000" w:rsidP="00000000" w:rsidRDefault="00000000" w:rsidRPr="00000000" w14:paraId="0000020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tcPr>
        <w:p w:rsidR="00000000" w:rsidDel="00000000" w:rsidP="00000000" w:rsidRDefault="00000000" w:rsidRPr="00000000" w14:paraId="0000020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Sharon Cristina Morales Martínez</w:t>
          </w:r>
        </w:p>
      </w:tc>
    </w:tr>
  </w:tbl>
  <w:p w:rsidR="00000000" w:rsidDel="00000000" w:rsidP="00000000" w:rsidRDefault="00000000" w:rsidRPr="00000000" w14:paraId="0000020F">
    <w:pPr>
      <w:rPr>
        <w:rFonts w:ascii="Palatino Linotype" w:cs="Palatino Linotype" w:eastAsia="Palatino Linotype" w:hAnsi="Palatino Linotype"/>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1"/>
      <w:numFmt w:val="decimal"/>
      <w:lvlText w:val="%1."/>
      <w:lvlJc w:val="left"/>
      <w:pPr>
        <w:ind w:left="1211" w:hanging="36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3">
    <w:lvl w:ilvl="0">
      <w:start w:val="1"/>
      <w:numFmt w:val="upperRoman"/>
      <w:lvlText w:val="%1."/>
      <w:lvlJc w:val="left"/>
      <w:pPr>
        <w:ind w:left="1429" w:hanging="72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1920" w:hanging="360"/>
      </w:pPr>
      <w:rPr>
        <w:b w:val="1"/>
        <w:smallCaps w:val="1"/>
        <w:sz w:val="28"/>
        <w:szCs w:val="28"/>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259" w:lineRule="auto"/>
    </w:pPr>
    <w:rPr>
      <w:rFonts w:ascii="Calibri" w:cs="Calibri" w:eastAsia="Calibri" w:hAnsi="Calibri"/>
      <w:color w:val="366091"/>
      <w:sz w:val="26"/>
      <w:szCs w:val="2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spacing w:before="40" w:lineRule="auto"/>
    </w:pPr>
    <w:rPr>
      <w:rFonts w:ascii="Calibri" w:cs="Calibri" w:eastAsia="Calibri" w:hAnsi="Calibri"/>
      <w:color w:val="366091"/>
    </w:rPr>
  </w:style>
  <w:style w:type="paragraph" w:styleId="Heading6">
    <w:name w:val="heading 6"/>
    <w:basedOn w:val="Normal"/>
    <w:next w:val="Normal"/>
    <w:pPr>
      <w:keepNext w:val="1"/>
      <w:keepLines w:val="1"/>
      <w:spacing w:before="40" w:lineRule="auto"/>
    </w:pPr>
    <w:rPr>
      <w:rFonts w:ascii="Calibri" w:cs="Calibri" w:eastAsia="Calibri" w:hAnsi="Calibri"/>
      <w:color w:val="243f6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B2895"/>
    <w:rPr>
      <w:rFonts w:ascii="Times New Roman" w:cs="Times New Roman" w:eastAsia="Times New Roman" w:hAnsi="Times New Roman"/>
      <w:lang w:val="es-MX"/>
    </w:rPr>
  </w:style>
  <w:style w:type="paragraph" w:styleId="Ttulo1">
    <w:name w:val="heading 1"/>
    <w:basedOn w:val="Normal"/>
    <w:next w:val="Normal"/>
    <w:link w:val="Ttulo1Car"/>
    <w:uiPriority w:val="9"/>
    <w:qFormat w:val="1"/>
    <w:rsid w:val="00CC7BDB"/>
    <w:pPr>
      <w:keepNext w:val="1"/>
      <w:keepLines w:val="1"/>
      <w:spacing w:before="240"/>
      <w:outlineLvl w:val="0"/>
    </w:pPr>
    <w:rPr>
      <w:rFonts w:asciiTheme="majorHAnsi" w:cstheme="majorBidi" w:eastAsiaTheme="majorEastAsia" w:hAnsiTheme="majorHAnsi"/>
      <w:color w:val="365f91" w:themeColor="accent1" w:themeShade="0000BF"/>
      <w:sz w:val="32"/>
      <w:szCs w:val="32"/>
      <w:lang w:val="es-ES"/>
    </w:rPr>
  </w:style>
  <w:style w:type="paragraph" w:styleId="Ttulo2">
    <w:name w:val="heading 2"/>
    <w:basedOn w:val="Normal"/>
    <w:next w:val="Normal"/>
    <w:link w:val="Ttulo2Car"/>
    <w:uiPriority w:val="9"/>
    <w:unhideWhenUsed w:val="1"/>
    <w:qFormat w:val="1"/>
    <w:rsid w:val="004435D7"/>
    <w:pPr>
      <w:keepNext w:val="1"/>
      <w:keepLines w:val="1"/>
      <w:spacing w:before="40" w:line="259" w:lineRule="auto"/>
      <w:outlineLvl w:val="1"/>
    </w:pPr>
    <w:rPr>
      <w:rFonts w:asciiTheme="majorHAnsi" w:cstheme="majorBidi" w:eastAsiaTheme="majorEastAsia" w:hAnsiTheme="majorHAnsi"/>
      <w:color w:val="365f91" w:themeColor="accent1" w:themeShade="0000BF"/>
      <w:sz w:val="26"/>
      <w:szCs w:val="26"/>
      <w:lang w:eastAsia="en-US"/>
    </w:rPr>
  </w:style>
  <w:style w:type="paragraph" w:styleId="Ttulo3">
    <w:name w:val="heading 3"/>
    <w:basedOn w:val="Normal"/>
    <w:link w:val="Ttulo3Car"/>
    <w:uiPriority w:val="9"/>
    <w:qFormat w:val="1"/>
    <w:rsid w:val="0071255C"/>
    <w:pPr>
      <w:spacing w:after="100" w:afterAutospacing="1" w:before="100" w:beforeAutospacing="1"/>
      <w:outlineLvl w:val="2"/>
    </w:pPr>
    <w:rPr>
      <w:b w:val="1"/>
      <w:bCs w:val="1"/>
      <w:sz w:val="27"/>
      <w:szCs w:val="27"/>
      <w:lang w:eastAsia="es-MX"/>
    </w:rPr>
  </w:style>
  <w:style w:type="paragraph" w:styleId="Ttulo4">
    <w:name w:val="heading 4"/>
    <w:basedOn w:val="Normal"/>
    <w:next w:val="Normal"/>
    <w:link w:val="Ttulo4Car"/>
    <w:uiPriority w:val="9"/>
    <w:unhideWhenUsed w:val="1"/>
    <w:qFormat w:val="1"/>
    <w:rsid w:val="00FC157F"/>
    <w:pPr>
      <w:keepNext w:val="1"/>
      <w:keepLines w:val="1"/>
      <w:spacing w:before="40"/>
      <w:outlineLvl w:val="3"/>
    </w:pPr>
    <w:rPr>
      <w:rFonts w:asciiTheme="majorHAnsi" w:cstheme="majorBidi" w:eastAsiaTheme="majorEastAsia" w:hAnsiTheme="majorHAnsi"/>
      <w:i w:val="1"/>
      <w:iCs w:val="1"/>
      <w:color w:val="365f91" w:themeColor="accent1" w:themeShade="0000BF"/>
      <w:lang w:val="es-ES"/>
    </w:rPr>
  </w:style>
  <w:style w:type="paragraph" w:styleId="Ttulo5">
    <w:name w:val="heading 5"/>
    <w:basedOn w:val="Normal"/>
    <w:next w:val="Normal"/>
    <w:link w:val="Ttulo5Car"/>
    <w:uiPriority w:val="9"/>
    <w:unhideWhenUsed w:val="1"/>
    <w:qFormat w:val="1"/>
    <w:rsid w:val="00FC157F"/>
    <w:pPr>
      <w:keepNext w:val="1"/>
      <w:keepLines w:val="1"/>
      <w:spacing w:before="40"/>
      <w:outlineLvl w:val="4"/>
    </w:pPr>
    <w:rPr>
      <w:rFonts w:asciiTheme="majorHAnsi" w:cstheme="majorBidi" w:eastAsiaTheme="majorEastAsia" w:hAnsiTheme="majorHAnsi"/>
      <w:color w:val="365f91" w:themeColor="accent1" w:themeShade="0000BF"/>
      <w:lang w:val="es-ES"/>
    </w:rPr>
  </w:style>
  <w:style w:type="paragraph" w:styleId="Ttulo6">
    <w:name w:val="heading 6"/>
    <w:basedOn w:val="Normal"/>
    <w:next w:val="Normal"/>
    <w:link w:val="Ttulo6Car"/>
    <w:uiPriority w:val="9"/>
    <w:unhideWhenUsed w:val="1"/>
    <w:qFormat w:val="1"/>
    <w:rsid w:val="00FC157F"/>
    <w:pPr>
      <w:keepNext w:val="1"/>
      <w:keepLines w:val="1"/>
      <w:spacing w:before="40"/>
      <w:outlineLvl w:val="5"/>
    </w:pPr>
    <w:rPr>
      <w:rFonts w:asciiTheme="majorHAnsi" w:cstheme="majorBidi" w:eastAsiaTheme="majorEastAsia" w:hAnsiTheme="majorHAnsi"/>
      <w:color w:val="243f60" w:themeColor="accent1" w:themeShade="00007F"/>
      <w:lang w:val="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2780F"/>
    <w:pPr>
      <w:ind w:left="708"/>
    </w:p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2780F"/>
    <w:rPr>
      <w:rFonts w:ascii="Times New Roman" w:cs="Times New Roman" w:eastAsia="Times New Roman" w:hAnsi="Times New Roman"/>
      <w:lang w:val="es-ES"/>
    </w:rPr>
  </w:style>
  <w:style w:type="character" w:styleId="Hipervnculo">
    <w:name w:val="Hyperlink"/>
    <w:uiPriority w:val="99"/>
    <w:unhideWhenUsed w:val="1"/>
    <w:rsid w:val="00A2780F"/>
    <w:rPr>
      <w:strike w:val="0"/>
      <w:dstrike w:val="0"/>
      <w:color w:val="035899"/>
      <w:u w:val="none"/>
      <w:effect w:val="none"/>
    </w:rPr>
  </w:style>
  <w:style w:type="paragraph" w:styleId="NormalWeb">
    <w:name w:val="Normal (Web)"/>
    <w:basedOn w:val="Normal"/>
    <w:uiPriority w:val="99"/>
    <w:rsid w:val="00A2780F"/>
    <w:pPr>
      <w:spacing w:after="100" w:afterAutospacing="1" w:before="100" w:beforeAutospacing="1"/>
    </w:pPr>
  </w:style>
  <w:style w:type="character" w:styleId="Textoennegrita">
    <w:name w:val="Strong"/>
    <w:uiPriority w:val="22"/>
    <w:qFormat w:val="1"/>
    <w:rsid w:val="00A2780F"/>
    <w:rPr>
      <w:b w:val="1"/>
      <w:bCs w:val="1"/>
    </w:rPr>
  </w:style>
  <w:style w:type="character" w:styleId="Hipervnculovisitado">
    <w:name w:val="FollowedHyperlink"/>
    <w:basedOn w:val="Fuentedeprrafopredeter"/>
    <w:uiPriority w:val="99"/>
    <w:semiHidden w:val="1"/>
    <w:unhideWhenUsed w:val="1"/>
    <w:rsid w:val="009776B8"/>
    <w:rPr>
      <w:color w:val="800080" w:themeColor="followedHyperlink"/>
      <w:u w:val="single"/>
    </w:rPr>
  </w:style>
  <w:style w:type="paragraph" w:styleId="Textoindependiente2">
    <w:name w:val="Body Text 2"/>
    <w:basedOn w:val="Normal"/>
    <w:link w:val="Textoindependiente2Car"/>
    <w:uiPriority w:val="99"/>
    <w:unhideWhenUsed w:val="1"/>
    <w:rsid w:val="009776B8"/>
    <w:pPr>
      <w:spacing w:after="120" w:line="480" w:lineRule="auto"/>
    </w:pPr>
  </w:style>
  <w:style w:type="character" w:styleId="Textoindependiente2Car" w:customStyle="1">
    <w:name w:val="Texto independiente 2 Car"/>
    <w:basedOn w:val="Fuentedeprrafopredeter"/>
    <w:link w:val="Textoindependiente2"/>
    <w:uiPriority w:val="99"/>
    <w:rsid w:val="009776B8"/>
    <w:rPr>
      <w:rFonts w:ascii="Times New Roman" w:cs="Times New Roman" w:eastAsia="Times New Roman" w:hAnsi="Times New Roman"/>
      <w:lang w:val="es-ES"/>
    </w:rPr>
  </w:style>
  <w:style w:type="character" w:styleId="Refdecomentario">
    <w:name w:val="annotation reference"/>
    <w:basedOn w:val="Fuentedeprrafopredeter"/>
    <w:uiPriority w:val="99"/>
    <w:semiHidden w:val="1"/>
    <w:unhideWhenUsed w:val="1"/>
    <w:rsid w:val="00532734"/>
    <w:rPr>
      <w:sz w:val="16"/>
      <w:szCs w:val="16"/>
    </w:rPr>
  </w:style>
  <w:style w:type="character" w:styleId="apple-converted-space" w:customStyle="1">
    <w:name w:val="apple-converted-space"/>
    <w:basedOn w:val="Fuentedeprrafopredeter"/>
    <w:rsid w:val="00097B14"/>
  </w:style>
  <w:style w:type="paragraph" w:styleId="Default" w:customStyle="1">
    <w:name w:val="Default"/>
    <w:uiPriority w:val="99"/>
    <w:rsid w:val="004325CE"/>
    <w:pPr>
      <w:autoSpaceDE w:val="0"/>
      <w:autoSpaceDN w:val="0"/>
      <w:adjustRightInd w:val="0"/>
    </w:pPr>
    <w:rPr>
      <w:rFonts w:ascii="Arial" w:cs="Arial" w:hAnsi="Arial" w:eastAsiaTheme="minorHAnsi"/>
      <w:color w:val="000000"/>
      <w:lang w:eastAsia="en-US" w:val="es-MX"/>
    </w:rPr>
  </w:style>
  <w:style w:type="paragraph" w:styleId="Listavistosa-nfasis11" w:customStyle="1">
    <w:name w:val="Lista vistosa - Énfasis 11"/>
    <w:basedOn w:val="Normal"/>
    <w:link w:val="Listavistosa-nfasis1Car"/>
    <w:uiPriority w:val="34"/>
    <w:qFormat w:val="1"/>
    <w:rsid w:val="0015349A"/>
    <w:pPr>
      <w:ind w:left="708"/>
    </w:pPr>
  </w:style>
  <w:style w:type="character" w:styleId="Listavistosa-nfasis1Car" w:customStyle="1">
    <w:name w:val="Lista vistosa - Énfasis 1 Car"/>
    <w:link w:val="Listavistosa-nfasis11"/>
    <w:uiPriority w:val="34"/>
    <w:locked w:val="1"/>
    <w:rsid w:val="0015349A"/>
    <w:rPr>
      <w:rFonts w:ascii="Times New Roman" w:cs="Times New Roman" w:eastAsia="Times New Roman" w:hAnsi="Times New Roman"/>
      <w:lang w:val="es-ES"/>
    </w:rPr>
  </w:style>
  <w:style w:type="paragraph" w:styleId="Texto" w:customStyle="1">
    <w:name w:val="Texto"/>
    <w:basedOn w:val="Normal"/>
    <w:link w:val="TextoCar"/>
    <w:qFormat w:val="1"/>
    <w:rsid w:val="0015349A"/>
    <w:pPr>
      <w:spacing w:after="101" w:line="216" w:lineRule="exact"/>
      <w:ind w:firstLine="288"/>
      <w:jc w:val="both"/>
    </w:pPr>
    <w:rPr>
      <w:rFonts w:ascii="Arial" w:cs="Arial" w:hAnsi="Arial"/>
      <w:sz w:val="18"/>
      <w:szCs w:val="18"/>
    </w:rPr>
  </w:style>
  <w:style w:type="character" w:styleId="apple-style-span" w:customStyle="1">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15349A"/>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eastAsia="en-US" w:val="es-MX"/>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val="1"/>
    <w:qFormat w:val="1"/>
    <w:rsid w:val="0015349A"/>
    <w:rPr>
      <w:vertAlign w:val="superscript"/>
    </w:rPr>
  </w:style>
  <w:style w:type="paragraph" w:styleId="Sinespaciado">
    <w:name w:val="No Spacing"/>
    <w:aliases w:val="Francesa"/>
    <w:link w:val="SinespaciadoCar"/>
    <w:uiPriority w:val="1"/>
    <w:qFormat w:val="1"/>
    <w:rsid w:val="0015349A"/>
    <w:rPr>
      <w:rFonts w:ascii="Times New Roman" w:cs="Times New Roman" w:eastAsia="Times New Roman" w:hAnsi="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styleId="TextosinformatoCar" w:customStyle="1">
    <w:name w:val="Texto sin formato Car"/>
    <w:basedOn w:val="Fuentedeprrafopredeter"/>
    <w:link w:val="Textosinformato"/>
    <w:uiPriority w:val="99"/>
    <w:rsid w:val="0015349A"/>
    <w:rPr>
      <w:rFonts w:ascii="Courier New" w:cs="Times New Roman" w:eastAsia="Times New Roman" w:hAnsi="Courier New"/>
      <w:sz w:val="20"/>
      <w:szCs w:val="20"/>
      <w:lang w:val="es-ES"/>
    </w:rPr>
  </w:style>
  <w:style w:type="paragraph" w:styleId="Standard" w:customStyle="1">
    <w:name w:val="Standard"/>
    <w:uiPriority w:val="99"/>
    <w:rsid w:val="0015349A"/>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15349A"/>
    <w:rPr>
      <w:rFonts w:ascii="Arial" w:cs="Arial" w:hAnsi="Arial" w:hint="default"/>
      <w:b w:val="1"/>
      <w:bCs w:val="1"/>
      <w:sz w:val="18"/>
      <w:szCs w:val="18"/>
    </w:rPr>
  </w:style>
  <w:style w:type="paragraph" w:styleId="Pa2" w:customStyle="1">
    <w:name w:val="Pa2"/>
    <w:basedOn w:val="Normal"/>
    <w:next w:val="Normal"/>
    <w:uiPriority w:val="99"/>
    <w:rsid w:val="0015349A"/>
    <w:pPr>
      <w:autoSpaceDE w:val="0"/>
      <w:autoSpaceDN w:val="0"/>
      <w:adjustRightInd w:val="0"/>
      <w:spacing w:line="240" w:lineRule="atLeast"/>
    </w:pPr>
    <w:rPr>
      <w:rFonts w:ascii="Helvetica" w:hAnsi="Helvetica"/>
      <w:lang w:eastAsia="es-ES_tradnl" w:val="es-ES_tradnl"/>
    </w:rPr>
  </w:style>
  <w:style w:type="character" w:styleId="f" w:customStyle="1">
    <w:name w:val="f"/>
    <w:basedOn w:val="Fuentedeprrafopredeter"/>
    <w:rsid w:val="0015349A"/>
  </w:style>
  <w:style w:type="paragraph" w:styleId="q" w:customStyle="1">
    <w:name w:val="q"/>
    <w:basedOn w:val="Normal"/>
    <w:uiPriority w:val="99"/>
    <w:rsid w:val="0015349A"/>
    <w:pPr>
      <w:spacing w:after="100" w:afterAutospacing="1" w:before="100" w:beforeAutospacing="1"/>
    </w:pPr>
    <w:rPr>
      <w:lang w:eastAsia="es-MX"/>
    </w:rPr>
  </w:style>
  <w:style w:type="character" w:styleId="d" w:customStyle="1">
    <w:name w:val="d"/>
    <w:basedOn w:val="Fuentedeprrafopredeter"/>
    <w:rsid w:val="0015349A"/>
  </w:style>
  <w:style w:type="character" w:styleId="b" w:customStyle="1">
    <w:name w:val="b"/>
    <w:basedOn w:val="Fuentedeprrafopredeter"/>
    <w:rsid w:val="0015349A"/>
  </w:style>
  <w:style w:type="character" w:styleId="k" w:customStyle="1">
    <w:name w:val="k"/>
    <w:basedOn w:val="Fuentedeprrafopredeter"/>
    <w:rsid w:val="0015349A"/>
  </w:style>
  <w:style w:type="character" w:styleId="h" w:customStyle="1">
    <w:name w:val="h"/>
    <w:basedOn w:val="Fuentedeprrafopredeter"/>
    <w:rsid w:val="0015349A"/>
  </w:style>
  <w:style w:type="character" w:styleId="CitaHTML">
    <w:name w:val="HTML Cite"/>
    <w:uiPriority w:val="99"/>
    <w:semiHidden w:val="1"/>
    <w:unhideWhenUsed w:val="1"/>
    <w:rsid w:val="0015349A"/>
    <w:rPr>
      <w:i w:val="1"/>
      <w:iCs w:val="1"/>
    </w:rPr>
  </w:style>
  <w:style w:type="paragraph" w:styleId="RSCGnotaalpie" w:customStyle="1">
    <w:name w:val="RSCG nota al pie"/>
    <w:basedOn w:val="Normal"/>
    <w:uiPriority w:val="99"/>
    <w:qFormat w:val="1"/>
    <w:rsid w:val="0015349A"/>
    <w:pPr>
      <w:spacing w:after="120"/>
      <w:jc w:val="both"/>
    </w:pPr>
    <w:rPr>
      <w:rFonts w:ascii="palatino" w:hAnsi="palatino" w:cstheme="minorBidi"/>
      <w:sz w:val="22"/>
      <w:szCs w:val="22"/>
      <w:lang w:eastAsia="en-US"/>
    </w:rPr>
  </w:style>
  <w:style w:type="character" w:styleId="lbl-encabezado-blanco2" w:customStyle="1">
    <w:name w:val="lbl-encabezado-blanco2"/>
    <w:rsid w:val="00052E1B"/>
    <w:rPr>
      <w:color w:val="ffffff"/>
    </w:rPr>
  </w:style>
  <w:style w:type="character" w:styleId="TextoCar" w:customStyle="1">
    <w:name w:val="Texto Car"/>
    <w:link w:val="Texto"/>
    <w:locked w:val="1"/>
    <w:rsid w:val="00AB159D"/>
    <w:rPr>
      <w:rFonts w:ascii="Arial" w:cs="Arial" w:eastAsia="Times New Roman" w:hAnsi="Arial"/>
      <w:sz w:val="18"/>
      <w:szCs w:val="18"/>
      <w:lang w:val="es-MX"/>
    </w:rPr>
  </w:style>
  <w:style w:type="character" w:styleId="Ttulo3Car" w:customStyle="1">
    <w:name w:val="Título 3 Car"/>
    <w:basedOn w:val="Fuentedeprrafopredeter"/>
    <w:link w:val="Ttulo3"/>
    <w:uiPriority w:val="9"/>
    <w:rsid w:val="0071255C"/>
    <w:rPr>
      <w:rFonts w:ascii="Times New Roman" w:cs="Times New Roman" w:eastAsia="Times New Roman" w:hAnsi="Times New Roman"/>
      <w:b w:val="1"/>
      <w:bCs w:val="1"/>
      <w:sz w:val="27"/>
      <w:szCs w:val="27"/>
      <w:lang w:eastAsia="es-MX" w:val="es-MX"/>
    </w:rPr>
  </w:style>
  <w:style w:type="paragraph" w:styleId="ANOTACION" w:customStyle="1">
    <w:name w:val="ANOTACION"/>
    <w:basedOn w:val="Normal"/>
    <w:link w:val="ANOTACIONCar"/>
    <w:rsid w:val="003D3A0C"/>
    <w:pPr>
      <w:spacing w:after="101" w:before="101"/>
      <w:jc w:val="center"/>
    </w:pPr>
    <w:rPr>
      <w:b w:val="1"/>
      <w:sz w:val="18"/>
      <w:szCs w:val="18"/>
    </w:rPr>
  </w:style>
  <w:style w:type="character" w:styleId="ANOTACIONCar" w:customStyle="1">
    <w:name w:val="ANOTACION Car"/>
    <w:link w:val="ANOTACION"/>
    <w:locked w:val="1"/>
    <w:rsid w:val="003D3A0C"/>
    <w:rPr>
      <w:rFonts w:ascii="Times New Roman" w:cs="Times New Roman" w:eastAsia="Times New Roman" w:hAnsi="Times New Roman"/>
      <w:b w:val="1"/>
      <w:sz w:val="18"/>
      <w:szCs w:val="18"/>
    </w:rPr>
  </w:style>
  <w:style w:type="table" w:styleId="Tablaconcuadrcula">
    <w:name w:val="Table Grid"/>
    <w:basedOn w:val="Tablanormal"/>
    <w:uiPriority w:val="39"/>
    <w:rsid w:val="00AA48A5"/>
    <w:rPr>
      <w:rFonts w:eastAsiaTheme="minorHAns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fasis">
    <w:name w:val="Emphasis"/>
    <w:basedOn w:val="Fuentedeprrafopredeter"/>
    <w:uiPriority w:val="20"/>
    <w:qFormat w:val="1"/>
    <w:rsid w:val="0022780C"/>
    <w:rPr>
      <w:i w:val="1"/>
      <w:iCs w:val="1"/>
    </w:rPr>
  </w:style>
  <w:style w:type="character" w:styleId="SinespaciadoCar" w:customStyle="1">
    <w:name w:val="Sin espaciado Car"/>
    <w:aliases w:val="Francesa Car"/>
    <w:link w:val="Sinespaciado"/>
    <w:uiPriority w:val="1"/>
    <w:locked w:val="1"/>
    <w:rsid w:val="0088649D"/>
    <w:rPr>
      <w:rFonts w:ascii="Times New Roman" w:cs="Times New Roman" w:eastAsia="Times New Roman" w:hAnsi="Times New Roman"/>
      <w:lang w:val="es-MX"/>
    </w:rPr>
  </w:style>
  <w:style w:type="character" w:styleId="Ttulo2Car" w:customStyle="1">
    <w:name w:val="Título 2 Car"/>
    <w:basedOn w:val="Fuentedeprrafopredeter"/>
    <w:link w:val="Ttulo2"/>
    <w:uiPriority w:val="9"/>
    <w:rsid w:val="004435D7"/>
    <w:rPr>
      <w:rFonts w:asciiTheme="majorHAnsi" w:cstheme="majorBidi" w:eastAsiaTheme="majorEastAsia" w:hAnsiTheme="majorHAnsi"/>
      <w:color w:val="365f91" w:themeColor="accent1" w:themeShade="0000BF"/>
      <w:sz w:val="26"/>
      <w:szCs w:val="26"/>
      <w:lang w:eastAsia="en-US" w:val="es-MX"/>
    </w:rPr>
  </w:style>
  <w:style w:type="paragraph" w:styleId="Bibliografa">
    <w:name w:val="Bibliography"/>
    <w:basedOn w:val="Normal"/>
    <w:next w:val="Normal"/>
    <w:uiPriority w:val="37"/>
    <w:semiHidden w:val="1"/>
    <w:unhideWhenUsed w:val="1"/>
    <w:rsid w:val="002B0232"/>
  </w:style>
  <w:style w:type="paragraph" w:styleId="Textocomentario">
    <w:name w:val="annotation text"/>
    <w:basedOn w:val="Normal"/>
    <w:link w:val="TextocomentarioCar"/>
    <w:uiPriority w:val="99"/>
    <w:unhideWhenUsed w:val="1"/>
    <w:rsid w:val="006C2EF9"/>
    <w:rPr>
      <w:sz w:val="20"/>
      <w:szCs w:val="20"/>
    </w:rPr>
  </w:style>
  <w:style w:type="character" w:styleId="TextocomentarioCar" w:customStyle="1">
    <w:name w:val="Texto comentario Car"/>
    <w:basedOn w:val="Fuentedeprrafopredeter"/>
    <w:link w:val="Textocomentario"/>
    <w:uiPriority w:val="99"/>
    <w:rsid w:val="006C2EF9"/>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6C2EF9"/>
    <w:rPr>
      <w:b w:val="1"/>
      <w:bCs w:val="1"/>
    </w:rPr>
  </w:style>
  <w:style w:type="character" w:styleId="AsuntodelcomentarioCar" w:customStyle="1">
    <w:name w:val="Asunto del comentario Car"/>
    <w:basedOn w:val="TextocomentarioCar"/>
    <w:link w:val="Asuntodelcomentario"/>
    <w:uiPriority w:val="99"/>
    <w:semiHidden w:val="1"/>
    <w:rsid w:val="006C2EF9"/>
    <w:rPr>
      <w:rFonts w:ascii="Times New Roman" w:cs="Times New Roman" w:eastAsia="Times New Roman" w:hAnsi="Times New Roman"/>
      <w:b w:val="1"/>
      <w:bCs w:val="1"/>
      <w:sz w:val="20"/>
      <w:szCs w:val="20"/>
      <w:lang w:val="es-ES"/>
    </w:rPr>
  </w:style>
  <w:style w:type="paragraph" w:styleId="ROMANOS" w:customStyle="1">
    <w:name w:val="ROMANOS"/>
    <w:basedOn w:val="Normal"/>
    <w:link w:val="ROMANOSCar"/>
    <w:rsid w:val="0014538F"/>
    <w:pPr>
      <w:tabs>
        <w:tab w:val="left" w:pos="720"/>
      </w:tabs>
      <w:spacing w:after="101" w:line="216" w:lineRule="exact"/>
      <w:ind w:left="720" w:hanging="432"/>
      <w:jc w:val="both"/>
    </w:pPr>
    <w:rPr>
      <w:rFonts w:ascii="Arial" w:cs="Arial" w:hAnsi="Arial"/>
      <w:sz w:val="18"/>
      <w:szCs w:val="18"/>
      <w:lang w:val="es-ES"/>
    </w:rPr>
  </w:style>
  <w:style w:type="character" w:styleId="ROMANOSCar" w:customStyle="1">
    <w:name w:val="ROMANOS Car"/>
    <w:link w:val="ROMANOS"/>
    <w:locked w:val="1"/>
    <w:rsid w:val="0014538F"/>
    <w:rPr>
      <w:rFonts w:ascii="Arial" w:cs="Arial" w:eastAsia="Times New Roman" w:hAnsi="Arial"/>
      <w:sz w:val="18"/>
      <w:szCs w:val="18"/>
      <w:lang w:val="es-ES"/>
    </w:rPr>
  </w:style>
  <w:style w:type="character" w:styleId="m1553324590483875794gmail-m8993139698400752374gmail-apple-converted-space" w:customStyle="1">
    <w:name w:val="m_1553324590483875794gmail-m_8993139698400752374gmail-apple-converted-space"/>
    <w:basedOn w:val="Fuentedeprrafopredeter"/>
    <w:rsid w:val="000054EA"/>
  </w:style>
  <w:style w:type="character" w:styleId="Ninguno" w:customStyle="1">
    <w:name w:val="Ninguno"/>
    <w:rsid w:val="00A327E0"/>
    <w:rPr>
      <w:lang w:val="es-ES_tradnl"/>
    </w:rPr>
  </w:style>
  <w:style w:type="paragraph" w:styleId="Cuerpo" w:customStyle="1">
    <w:name w:val="Cuerpo"/>
    <w:rsid w:val="004F00D5"/>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sz w:val="22"/>
      <w:szCs w:val="22"/>
      <w:u w:color="000000"/>
      <w:bdr w:space="0" w:sz="0" w:val="nil"/>
      <w:lang w:val="de-DE"/>
    </w:rPr>
  </w:style>
  <w:style w:type="numbering" w:styleId="Estiloimportado2" w:customStyle="1">
    <w:name w:val="Estilo importado 2"/>
    <w:rsid w:val="008677B6"/>
    <w:pPr>
      <w:numPr>
        <w:numId w:val="1"/>
      </w:numPr>
    </w:pPr>
  </w:style>
  <w:style w:type="character" w:styleId="Ttulo1Car" w:customStyle="1">
    <w:name w:val="Título 1 Car"/>
    <w:basedOn w:val="Fuentedeprrafopredeter"/>
    <w:link w:val="Ttulo1"/>
    <w:uiPriority w:val="9"/>
    <w:rsid w:val="00CC7BDB"/>
    <w:rPr>
      <w:rFonts w:asciiTheme="majorHAnsi" w:cstheme="majorBidi" w:eastAsiaTheme="majorEastAsia" w:hAnsiTheme="majorHAnsi"/>
      <w:color w:val="365f91" w:themeColor="accent1" w:themeShade="0000BF"/>
      <w:sz w:val="32"/>
      <w:szCs w:val="32"/>
      <w:lang w:val="es-ES"/>
    </w:rPr>
  </w:style>
  <w:style w:type="numbering" w:styleId="Estiloimportado1" w:customStyle="1">
    <w:name w:val="Estilo importado 1"/>
    <w:rsid w:val="00CC7BDB"/>
    <w:pPr>
      <w:numPr>
        <w:numId w:val="2"/>
      </w:numPr>
    </w:pPr>
  </w:style>
  <w:style w:type="character" w:styleId="normaltextrun" w:customStyle="1">
    <w:name w:val="normaltextrun"/>
    <w:basedOn w:val="Fuentedeprrafopredeter"/>
    <w:rsid w:val="00641BB8"/>
  </w:style>
  <w:style w:type="paragraph" w:styleId="INCISO" w:customStyle="1">
    <w:name w:val="INCISO"/>
    <w:basedOn w:val="Normal"/>
    <w:rsid w:val="002064B3"/>
    <w:pPr>
      <w:spacing w:after="101" w:line="216" w:lineRule="exact"/>
      <w:ind w:left="1080" w:hanging="360"/>
      <w:jc w:val="both"/>
    </w:pPr>
    <w:rPr>
      <w:rFonts w:ascii="Arial" w:cs="Arial" w:hAnsi="Arial"/>
      <w:sz w:val="18"/>
      <w:szCs w:val="18"/>
      <w:lang w:eastAsia="es-MX" w:val="es-ES"/>
    </w:rPr>
  </w:style>
  <w:style w:type="paragraph" w:styleId="n2" w:customStyle="1">
    <w:name w:val="n2"/>
    <w:basedOn w:val="Normal"/>
    <w:rsid w:val="001C4E80"/>
    <w:pPr>
      <w:spacing w:after="100" w:afterAutospacing="1" w:before="100" w:beforeAutospacing="1"/>
    </w:pPr>
    <w:rPr>
      <w:lang w:eastAsia="es-MX"/>
    </w:rPr>
  </w:style>
  <w:style w:type="paragraph" w:styleId="j" w:customStyle="1">
    <w:name w:val="j"/>
    <w:basedOn w:val="Normal"/>
    <w:rsid w:val="001C4E80"/>
    <w:pPr>
      <w:spacing w:after="100" w:afterAutospacing="1" w:before="100" w:beforeAutospacing="1"/>
    </w:pPr>
    <w:rPr>
      <w:lang w:eastAsia="es-MX"/>
    </w:rPr>
  </w:style>
  <w:style w:type="character" w:styleId="nacep" w:customStyle="1">
    <w:name w:val="n_acep"/>
    <w:basedOn w:val="Fuentedeprrafopredeter"/>
    <w:rsid w:val="001C4E80"/>
  </w:style>
  <w:style w:type="paragraph" w:styleId="m5212863947045306324gmail-msonormal" w:customStyle="1">
    <w:name w:val="m_5212863947045306324gmail-msonormal"/>
    <w:basedOn w:val="Normal"/>
    <w:rsid w:val="003A73F9"/>
    <w:pPr>
      <w:spacing w:after="100" w:afterAutospacing="1" w:before="100" w:beforeAutospacing="1"/>
    </w:pPr>
    <w:rPr>
      <w:lang w:eastAsia="es-MX"/>
    </w:rPr>
  </w:style>
  <w:style w:type="character" w:styleId="user-highlighted-active" w:customStyle="1">
    <w:name w:val="user-highlighted-active"/>
    <w:basedOn w:val="Fuentedeprrafopredeter"/>
    <w:rsid w:val="00967345"/>
  </w:style>
  <w:style w:type="character" w:styleId="Ttulo4Car" w:customStyle="1">
    <w:name w:val="Título 4 Car"/>
    <w:basedOn w:val="Fuentedeprrafopredeter"/>
    <w:link w:val="Ttulo4"/>
    <w:uiPriority w:val="9"/>
    <w:rsid w:val="00FC157F"/>
    <w:rPr>
      <w:rFonts w:asciiTheme="majorHAnsi" w:cstheme="majorBidi" w:eastAsiaTheme="majorEastAsia" w:hAnsiTheme="majorHAnsi"/>
      <w:i w:val="1"/>
      <w:iCs w:val="1"/>
      <w:color w:val="365f91" w:themeColor="accent1" w:themeShade="0000BF"/>
      <w:lang w:val="es-ES"/>
    </w:rPr>
  </w:style>
  <w:style w:type="character" w:styleId="Ttulo5Car" w:customStyle="1">
    <w:name w:val="Título 5 Car"/>
    <w:basedOn w:val="Fuentedeprrafopredeter"/>
    <w:link w:val="Ttulo5"/>
    <w:uiPriority w:val="9"/>
    <w:rsid w:val="00FC157F"/>
    <w:rPr>
      <w:rFonts w:asciiTheme="majorHAnsi" w:cstheme="majorBidi" w:eastAsiaTheme="majorEastAsia" w:hAnsiTheme="majorHAnsi"/>
      <w:color w:val="365f91" w:themeColor="accent1" w:themeShade="0000BF"/>
      <w:lang w:val="es-ES"/>
    </w:rPr>
  </w:style>
  <w:style w:type="character" w:styleId="Ttulo6Car" w:customStyle="1">
    <w:name w:val="Título 6 Car"/>
    <w:basedOn w:val="Fuentedeprrafopredeter"/>
    <w:link w:val="Ttulo6"/>
    <w:uiPriority w:val="9"/>
    <w:rsid w:val="00FC157F"/>
    <w:rPr>
      <w:rFonts w:asciiTheme="majorHAnsi" w:cstheme="majorBidi" w:eastAsiaTheme="majorEastAsia" w:hAnsiTheme="majorHAnsi"/>
      <w:color w:val="243f60" w:themeColor="accent1" w:themeShade="00007F"/>
      <w:lang w:val="es-ES"/>
    </w:rPr>
  </w:style>
  <w:style w:type="paragraph" w:styleId="Lista">
    <w:name w:val="List"/>
    <w:basedOn w:val="Normal"/>
    <w:uiPriority w:val="99"/>
    <w:unhideWhenUsed w:val="1"/>
    <w:rsid w:val="00FC157F"/>
    <w:pPr>
      <w:ind w:left="283" w:hanging="283"/>
      <w:contextualSpacing w:val="1"/>
    </w:pPr>
    <w:rPr>
      <w:lang w:val="es-ES"/>
    </w:rPr>
  </w:style>
  <w:style w:type="paragraph" w:styleId="Lista2">
    <w:name w:val="List 2"/>
    <w:basedOn w:val="Normal"/>
    <w:uiPriority w:val="99"/>
    <w:unhideWhenUsed w:val="1"/>
    <w:rsid w:val="00FC157F"/>
    <w:pPr>
      <w:ind w:left="566" w:hanging="283"/>
      <w:contextualSpacing w:val="1"/>
    </w:pPr>
    <w:rPr>
      <w:lang w:val="es-ES"/>
    </w:rPr>
  </w:style>
  <w:style w:type="paragraph" w:styleId="Lista3">
    <w:name w:val="List 3"/>
    <w:basedOn w:val="Normal"/>
    <w:uiPriority w:val="99"/>
    <w:unhideWhenUsed w:val="1"/>
    <w:rsid w:val="00FC157F"/>
    <w:pPr>
      <w:ind w:left="849" w:hanging="283"/>
      <w:contextualSpacing w:val="1"/>
    </w:pPr>
    <w:rPr>
      <w:lang w:val="es-ES"/>
    </w:rPr>
  </w:style>
  <w:style w:type="paragraph" w:styleId="Textoindependiente">
    <w:name w:val="Body Text"/>
    <w:basedOn w:val="Normal"/>
    <w:link w:val="TextoindependienteCar"/>
    <w:uiPriority w:val="99"/>
    <w:unhideWhenUsed w:val="1"/>
    <w:rsid w:val="00FC157F"/>
    <w:pPr>
      <w:spacing w:after="120"/>
    </w:pPr>
    <w:rPr>
      <w:lang w:val="es-ES"/>
    </w:rPr>
  </w:style>
  <w:style w:type="character" w:styleId="TextoindependienteCar" w:customStyle="1">
    <w:name w:val="Texto independiente Car"/>
    <w:basedOn w:val="Fuentedeprrafopredeter"/>
    <w:link w:val="Textoindependiente"/>
    <w:uiPriority w:val="99"/>
    <w:rsid w:val="00FC157F"/>
    <w:rPr>
      <w:rFonts w:ascii="Times New Roman" w:cs="Times New Roman" w:eastAsia="Times New Roman" w:hAnsi="Times New Roman"/>
      <w:lang w:val="es-ES"/>
    </w:rPr>
  </w:style>
  <w:style w:type="paragraph" w:styleId="Sangradetextonormal">
    <w:name w:val="Body Text Indent"/>
    <w:basedOn w:val="Normal"/>
    <w:link w:val="SangradetextonormalCar"/>
    <w:uiPriority w:val="99"/>
    <w:unhideWhenUsed w:val="1"/>
    <w:rsid w:val="00FC157F"/>
    <w:pPr>
      <w:spacing w:after="120"/>
      <w:ind w:left="283"/>
    </w:pPr>
    <w:rPr>
      <w:lang w:val="es-ES"/>
    </w:rPr>
  </w:style>
  <w:style w:type="character" w:styleId="SangradetextonormalCar" w:customStyle="1">
    <w:name w:val="Sangría de texto normal Car"/>
    <w:basedOn w:val="Fuentedeprrafopredeter"/>
    <w:link w:val="Sangradetextonormal"/>
    <w:uiPriority w:val="99"/>
    <w:rsid w:val="00FC157F"/>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FC157F"/>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FC157F"/>
    <w:rPr>
      <w:rFonts w:ascii="Times New Roman" w:cs="Times New Roman" w:eastAsia="Times New Roman" w:hAnsi="Times New Roman"/>
      <w:lang w:val="es-ES"/>
    </w:rPr>
  </w:style>
  <w:style w:type="character" w:styleId="numberfracccentro" w:customStyle="1">
    <w:name w:val="numberfracccentro"/>
    <w:basedOn w:val="Fuentedeprrafopredeter"/>
    <w:rsid w:val="004B7691"/>
  </w:style>
  <w:style w:type="character" w:styleId="titulorubrolgt" w:customStyle="1">
    <w:name w:val="titulorubrolgt"/>
    <w:basedOn w:val="Fuentedeprrafopredeter"/>
    <w:rsid w:val="004B7691"/>
  </w:style>
  <w:style w:type="paragraph" w:styleId="Text" w:customStyle="1">
    <w:name w:val="Text"/>
    <w:basedOn w:val="Normal"/>
    <w:link w:val="TextChar"/>
    <w:rsid w:val="00B93B76"/>
    <w:pPr>
      <w:spacing w:after="240"/>
    </w:pPr>
    <w:rPr>
      <w:szCs w:val="20"/>
      <w:lang w:eastAsia="en-US" w:val="en-US"/>
    </w:rPr>
  </w:style>
  <w:style w:type="character" w:styleId="TextChar" w:customStyle="1">
    <w:name w:val="Text Char"/>
    <w:link w:val="Text"/>
    <w:locked w:val="1"/>
    <w:rsid w:val="00B93B76"/>
    <w:rPr>
      <w:rFonts w:ascii="Times New Roman" w:cs="Times New Roman" w:eastAsia="Times New Roman" w:hAnsi="Times New Roman"/>
      <w:szCs w:val="20"/>
      <w:lang w:eastAsia="en-US" w:val="en-US"/>
    </w:rPr>
  </w:style>
  <w:style w:type="paragraph" w:styleId="corte5transcripcion" w:customStyle="1">
    <w:name w:val="corte5 transcripcion"/>
    <w:basedOn w:val="Normal"/>
    <w:rsid w:val="00B93B76"/>
    <w:pPr>
      <w:spacing w:line="360" w:lineRule="auto"/>
      <w:ind w:left="709" w:right="709"/>
      <w:jc w:val="both"/>
    </w:pPr>
    <w:rPr>
      <w:rFonts w:ascii="Arial" w:cs="Arial" w:hAnsi="Arial"/>
      <w:b w:val="1"/>
      <w:bCs w:val="1"/>
      <w:i w:val="1"/>
      <w:iCs w:val="1"/>
      <w:sz w:val="30"/>
      <w:szCs w:val="30"/>
      <w:lang w:eastAsia="es-MX"/>
    </w:rPr>
  </w:style>
  <w:style w:type="paragraph" w:styleId="FAFunotente1" w:customStyle="1">
    <w:name w:val="FA Fu?notente1"/>
    <w:basedOn w:val="Normal"/>
    <w:next w:val="Textonotapie"/>
    <w:uiPriority w:val="99"/>
    <w:rsid w:val="001D2165"/>
    <w:rPr>
      <w:rFonts w:eastAsia="Cambria" w:asciiTheme="minorHAnsi" w:cstheme="minorBidi" w:hAnsiTheme="minorHAnsi"/>
      <w:sz w:val="20"/>
      <w:szCs w:val="20"/>
      <w:lang w:eastAsia="en-US"/>
    </w:rPr>
  </w:style>
  <w:style w:type="paragraph" w:styleId="paragraph" w:customStyle="1">
    <w:name w:val="paragraph"/>
    <w:basedOn w:val="Normal"/>
    <w:uiPriority w:val="99"/>
    <w:rsid w:val="00004C7A"/>
    <w:pPr>
      <w:spacing w:after="100" w:afterAutospacing="1" w:before="100" w:beforeAutospacing="1" w:line="264" w:lineRule="auto"/>
    </w:pPr>
    <w:rPr>
      <w:rFonts w:asciiTheme="minorHAnsi" w:cstheme="minorBidi" w:eastAsiaTheme="minorEastAsia" w:hAnsiTheme="minorHAnsi"/>
      <w:sz w:val="20"/>
      <w:szCs w:val="20"/>
      <w:lang w:eastAsia="es-MX"/>
    </w:rPr>
  </w:style>
  <w:style w:type="table" w:styleId="Tablaconcuadrcula1" w:customStyle="1">
    <w:name w:val="Tabla con cuadrícula1"/>
    <w:basedOn w:val="Tablanormal"/>
    <w:next w:val="Tablaconcuadrcula"/>
    <w:uiPriority w:val="59"/>
    <w:rsid w:val="00555C12"/>
    <w:rPr>
      <w:rFonts w:ascii="Calibri" w:cs="Times New Roman" w:eastAsia="Calibri" w:hAnsi="Calibri"/>
      <w:sz w:val="22"/>
      <w:szCs w:val="22"/>
      <w:lang w:eastAsia="en-US" w:val="es-ES"/>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aconcuadrcula2" w:customStyle="1">
    <w:name w:val="Tabla con cuadrícula2"/>
    <w:basedOn w:val="Tablanormal"/>
    <w:next w:val="Tablaconcuadrcula"/>
    <w:uiPriority w:val="39"/>
    <w:rsid w:val="00177F5F"/>
    <w:rPr>
      <w:rFonts w:eastAsia="Calibri"/>
      <w:sz w:val="22"/>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 w:customStyle="1">
    <w:name w:val="Mención sin resolver1"/>
    <w:basedOn w:val="Fuentedeprrafopredeter"/>
    <w:uiPriority w:val="99"/>
    <w:semiHidden w:val="1"/>
    <w:unhideWhenUsed w:val="1"/>
    <w:rsid w:val="000D2977"/>
    <w:rPr>
      <w:color w:val="605e5c"/>
      <w:shd w:color="auto" w:fill="e1dfdd" w:val="clear"/>
    </w:rPr>
  </w:style>
  <w:style w:type="paragraph" w:styleId="temp" w:customStyle="1">
    <w:name w:val="temp"/>
    <w:basedOn w:val="Normal"/>
    <w:rsid w:val="00C83961"/>
    <w:pPr>
      <w:spacing w:after="100" w:afterAutospacing="1" w:before="100" w:beforeAutospacing="1"/>
    </w:pPr>
    <w:rPr>
      <w:lang w:eastAsia="es-MX"/>
    </w:rPr>
  </w:style>
  <w:style w:type="character" w:styleId="bold" w:customStyle="1">
    <w:name w:val="bold"/>
    <w:basedOn w:val="Fuentedeprrafopredeter"/>
    <w:rsid w:val="00C83961"/>
  </w:style>
  <w:style w:type="paragraph" w:styleId="ng-star-inserted" w:customStyle="1">
    <w:name w:val="ng-star-inserted"/>
    <w:basedOn w:val="Normal"/>
    <w:rsid w:val="00C83961"/>
    <w:pPr>
      <w:spacing w:after="100" w:afterAutospacing="1" w:before="100" w:beforeAutospacing="1"/>
    </w:pPr>
    <w:rPr>
      <w:lang w:eastAsia="es-MX"/>
    </w:rPr>
  </w:style>
  <w:style w:type="character" w:styleId="Mencinsinresolver2" w:customStyle="1">
    <w:name w:val="Mención sin resolver2"/>
    <w:basedOn w:val="Fuentedeprrafopredeter"/>
    <w:uiPriority w:val="99"/>
    <w:semiHidden w:val="1"/>
    <w:unhideWhenUsed w:val="1"/>
    <w:rsid w:val="009E6E1F"/>
    <w:rPr>
      <w:color w:val="605e5c"/>
      <w:shd w:color="auto" w:fill="e1dfdd" w:val="clear"/>
    </w:rPr>
  </w:style>
  <w:style w:type="character" w:styleId="Mencinsinresolver3" w:customStyle="1">
    <w:name w:val="Mención sin resolver3"/>
    <w:basedOn w:val="Fuentedeprrafopredeter"/>
    <w:uiPriority w:val="99"/>
    <w:semiHidden w:val="1"/>
    <w:unhideWhenUsed w:val="1"/>
    <w:rsid w:val="008A6AD5"/>
    <w:rPr>
      <w:color w:val="605e5c"/>
      <w:shd w:color="auto" w:fill="e1dfdd" w:val="clear"/>
    </w:rPr>
  </w:style>
  <w:style w:type="paragraph" w:styleId="Saludo">
    <w:name w:val="Salutation"/>
    <w:basedOn w:val="Normal"/>
    <w:next w:val="Normal"/>
    <w:link w:val="SaludoCar"/>
    <w:uiPriority w:val="99"/>
    <w:unhideWhenUsed w:val="1"/>
    <w:rsid w:val="009A2B79"/>
  </w:style>
  <w:style w:type="character" w:styleId="SaludoCar" w:customStyle="1">
    <w:name w:val="Saludo Car"/>
    <w:basedOn w:val="Fuentedeprrafopredeter"/>
    <w:link w:val="Saludo"/>
    <w:uiPriority w:val="99"/>
    <w:rsid w:val="009A2B79"/>
    <w:rPr>
      <w:rFonts w:ascii="Times New Roman" w:cs="Times New Roman" w:eastAsia="Times New Roman" w:hAnsi="Times New Roman"/>
      <w:lang w:val="es-MX"/>
    </w:rPr>
  </w:style>
  <w:style w:type="character" w:styleId="Caracteresdenotaalpie" w:customStyle="1">
    <w:name w:val="Caracteres de nota al pie"/>
    <w:qFormat w:val="1"/>
    <w:rsid w:val="00E17961"/>
  </w:style>
  <w:style w:type="character" w:styleId="Mencinsinresolver4" w:customStyle="1">
    <w:name w:val="Mención sin resolver4"/>
    <w:basedOn w:val="Fuentedeprrafopredeter"/>
    <w:uiPriority w:val="99"/>
    <w:semiHidden w:val="1"/>
    <w:unhideWhenUsed w:val="1"/>
    <w:rsid w:val="00843F27"/>
    <w:rPr>
      <w:color w:val="605e5c"/>
      <w:shd w:color="auto" w:fill="e1dfdd" w:val="clear"/>
    </w:rPr>
  </w:style>
  <w:style w:type="character" w:styleId="Mencinsinresolver5" w:customStyle="1">
    <w:name w:val="Mención sin resolver5"/>
    <w:basedOn w:val="Fuentedeprrafopredeter"/>
    <w:uiPriority w:val="99"/>
    <w:semiHidden w:val="1"/>
    <w:unhideWhenUsed w:val="1"/>
    <w:rsid w:val="009F00FA"/>
    <w:rPr>
      <w:color w:val="605e5c"/>
      <w:shd w:color="auto" w:fill="e1dfdd" w:val="clear"/>
    </w:rPr>
  </w:style>
  <w:style w:type="character" w:styleId="Mencinsinresolver6" w:customStyle="1">
    <w:name w:val="Mención sin resolver6"/>
    <w:basedOn w:val="Fuentedeprrafopredeter"/>
    <w:uiPriority w:val="99"/>
    <w:semiHidden w:val="1"/>
    <w:unhideWhenUsed w:val="1"/>
    <w:rsid w:val="00C72FCC"/>
    <w:rPr>
      <w:color w:val="605e5c"/>
      <w:shd w:color="auto" w:fill="e1dfdd" w:val="clear"/>
    </w:rPr>
  </w:style>
  <w:style w:type="table" w:styleId="Tablaconcuadrcula111121" w:customStyle="1">
    <w:name w:val="Tabla con cuadrícula111121"/>
    <w:basedOn w:val="Tablanormal"/>
    <w:uiPriority w:val="39"/>
    <w:rsid w:val="00D02D6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concuadrcula1111211" w:customStyle="1">
    <w:name w:val="Tabla con cuadrícula1111211"/>
    <w:basedOn w:val="Tablanormal"/>
    <w:uiPriority w:val="39"/>
    <w:rsid w:val="0039304B"/>
    <w:rPr>
      <w:rFonts w:ascii="Cambria" w:cs="Times New Roman"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7" w:customStyle="1">
    <w:name w:val="Mención sin resolver7"/>
    <w:basedOn w:val="Fuentedeprrafopredeter"/>
    <w:uiPriority w:val="99"/>
    <w:semiHidden w:val="1"/>
    <w:unhideWhenUsed w:val="1"/>
    <w:rsid w:val="003C387B"/>
    <w:rPr>
      <w:color w:val="605e5c"/>
      <w:shd w:color="auto" w:fill="e1dfdd" w:val="clear"/>
    </w:rPr>
  </w:style>
  <w:style w:type="character" w:styleId="Mencinsinresolver8" w:customStyle="1">
    <w:name w:val="Mención sin resolver8"/>
    <w:basedOn w:val="Fuentedeprrafopredeter"/>
    <w:uiPriority w:val="99"/>
    <w:semiHidden w:val="1"/>
    <w:unhideWhenUsed w:val="1"/>
    <w:rsid w:val="003B6C49"/>
    <w:rPr>
      <w:color w:val="605e5c"/>
      <w:shd w:color="auto" w:fill="e1dfdd" w:val="clear"/>
    </w:rPr>
  </w:style>
  <w:style w:type="table" w:styleId="Tablaconcuadrcula1111212" w:customStyle="1">
    <w:name w:val="Tabla con cuadrícula1111212"/>
    <w:basedOn w:val="Tablanormal"/>
    <w:uiPriority w:val="39"/>
    <w:rsid w:val="00D1790E"/>
    <w:rPr>
      <w:rFonts w:ascii="Cambria" w:cs="Times New Roman" w:eastAsia="Cambria" w:hAnsi="Cambria"/>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n">
    <w:name w:val="Revision"/>
    <w:hidden w:val="1"/>
    <w:uiPriority w:val="99"/>
    <w:semiHidden w:val="1"/>
    <w:rsid w:val="00C07EF1"/>
    <w:rPr>
      <w:rFonts w:ascii="Times New Roman" w:cs="Times New Roman" w:eastAsia="Times New Roman" w:hAnsi="Times New Roman"/>
      <w:lang w:val="es-MX"/>
    </w:rPr>
  </w:style>
  <w:style w:type="table" w:styleId="Tablaconcuadrcula3" w:customStyle="1">
    <w:name w:val="Tabla con cuadrícula3"/>
    <w:basedOn w:val="Tablanormal"/>
    <w:next w:val="Tablaconcuadrcula"/>
    <w:uiPriority w:val="39"/>
    <w:rsid w:val="006E27FE"/>
    <w:rPr>
      <w:rFonts w:ascii="Arial" w:eastAsia="Calibri" w:hAnsi="Arial"/>
      <w:szCs w:val="22"/>
      <w:lang w:eastAsia="en-US" w:val="es-MX"/>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independiente3">
    <w:name w:val="Body Text 3"/>
    <w:basedOn w:val="Normal"/>
    <w:link w:val="Textoindependiente3Car"/>
    <w:uiPriority w:val="99"/>
    <w:semiHidden w:val="1"/>
    <w:unhideWhenUsed w:val="1"/>
    <w:rsid w:val="007366EE"/>
    <w:pPr>
      <w:spacing w:after="120"/>
    </w:pPr>
    <w:rPr>
      <w:sz w:val="16"/>
      <w:szCs w:val="16"/>
    </w:rPr>
  </w:style>
  <w:style w:type="character" w:styleId="Textoindependiente3Car" w:customStyle="1">
    <w:name w:val="Texto independiente 3 Car"/>
    <w:basedOn w:val="Fuentedeprrafopredeter"/>
    <w:link w:val="Textoindependiente3"/>
    <w:uiPriority w:val="99"/>
    <w:semiHidden w:val="1"/>
    <w:rsid w:val="007366EE"/>
    <w:rPr>
      <w:rFonts w:ascii="Times New Roman" w:cs="Times New Roman" w:eastAsia="Times New Roman" w:hAnsi="Times New Roman"/>
      <w:sz w:val="16"/>
      <w:szCs w:val="16"/>
      <w:lang w:val="es-MX"/>
    </w:rPr>
  </w:style>
  <w:style w:type="paragraph" w:styleId="xmsonormal" w:customStyle="1">
    <w:name w:val="x_msonormal"/>
    <w:basedOn w:val="Normal"/>
    <w:uiPriority w:val="99"/>
    <w:rsid w:val="007366EE"/>
    <w:pPr>
      <w:spacing w:after="100" w:afterAutospacing="1" w:before="100" w:beforeAutospacing="1"/>
    </w:pPr>
    <w:rPr>
      <w:lang w:eastAsia="es-MX"/>
    </w:rPr>
  </w:style>
  <w:style w:type="character" w:styleId="eop" w:customStyle="1">
    <w:name w:val="eop"/>
    <w:basedOn w:val="Fuentedeprrafopredeter"/>
    <w:rsid w:val="007366EE"/>
  </w:style>
  <w:style w:type="paragraph" w:styleId="Textonotaalfinal">
    <w:name w:val="endnote text"/>
    <w:basedOn w:val="Normal"/>
    <w:link w:val="TextonotaalfinalCar"/>
    <w:uiPriority w:val="99"/>
    <w:semiHidden w:val="1"/>
    <w:unhideWhenUsed w:val="1"/>
    <w:rsid w:val="007366EE"/>
    <w:rPr>
      <w:sz w:val="20"/>
      <w:szCs w:val="20"/>
    </w:rPr>
  </w:style>
  <w:style w:type="character" w:styleId="TextonotaalfinalCar" w:customStyle="1">
    <w:name w:val="Texto nota al final Car"/>
    <w:basedOn w:val="Fuentedeprrafopredeter"/>
    <w:link w:val="Textonotaalfinal"/>
    <w:uiPriority w:val="99"/>
    <w:semiHidden w:val="1"/>
    <w:rsid w:val="007366EE"/>
    <w:rPr>
      <w:rFonts w:ascii="Times New Roman" w:cs="Times New Roman" w:eastAsia="Times New Roman" w:hAnsi="Times New Roman"/>
      <w:sz w:val="20"/>
      <w:szCs w:val="20"/>
      <w:lang w:val="es-MX"/>
    </w:rPr>
  </w:style>
  <w:style w:type="character" w:styleId="Refdenotaalfinal">
    <w:name w:val="endnote reference"/>
    <w:basedOn w:val="Fuentedeprrafopredeter"/>
    <w:uiPriority w:val="99"/>
    <w:semiHidden w:val="1"/>
    <w:unhideWhenUsed w:val="1"/>
    <w:rsid w:val="007366EE"/>
    <w:rPr>
      <w:vertAlign w:val="superscript"/>
    </w:rPr>
  </w:style>
  <w:style w:type="table" w:styleId="Tablaconcuadrcula1111213" w:customStyle="1">
    <w:name w:val="Tabla con cuadrícula1111213"/>
    <w:basedOn w:val="Tablanormal"/>
    <w:uiPriority w:val="39"/>
    <w:rsid w:val="001C70C5"/>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9" w:customStyle="1">
    <w:name w:val="Mención sin resolver9"/>
    <w:basedOn w:val="Fuentedeprrafopredeter"/>
    <w:uiPriority w:val="99"/>
    <w:semiHidden w:val="1"/>
    <w:unhideWhenUsed w:val="1"/>
    <w:rsid w:val="00977934"/>
    <w:rPr>
      <w:color w:val="605e5c"/>
      <w:shd w:color="auto" w:fill="e1dfdd" w:val="clear"/>
    </w:rPr>
  </w:style>
  <w:style w:type="character" w:styleId="Mencinsinresolver10" w:customStyle="1">
    <w:name w:val="Mención sin resolver10"/>
    <w:basedOn w:val="Fuentedeprrafopredeter"/>
    <w:uiPriority w:val="99"/>
    <w:semiHidden w:val="1"/>
    <w:unhideWhenUsed w:val="1"/>
    <w:rsid w:val="00294127"/>
    <w:rPr>
      <w:color w:val="605e5c"/>
      <w:shd w:color="auto" w:fill="e1dfdd" w:val="clear"/>
    </w:rPr>
  </w:style>
  <w:style w:type="table" w:styleId="Tablaconcuadrcula31" w:customStyle="1">
    <w:name w:val="Tabla con cuadrícula31"/>
    <w:basedOn w:val="Tablanormal"/>
    <w:uiPriority w:val="59"/>
    <w:rsid w:val="0030725A"/>
    <w:rPr>
      <w:rFonts w:eastAsiaTheme="minorHAnsi"/>
      <w:sz w:val="22"/>
      <w:szCs w:val="22"/>
      <w:lang w:eastAsia="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cinsinresolver11" w:customStyle="1">
    <w:name w:val="Mención sin resolver11"/>
    <w:basedOn w:val="Fuentedeprrafopredeter"/>
    <w:uiPriority w:val="99"/>
    <w:semiHidden w:val="1"/>
    <w:unhideWhenUsed w:val="1"/>
    <w:rsid w:val="007053D7"/>
    <w:rPr>
      <w:color w:val="605e5c"/>
      <w:shd w:color="auto" w:fill="e1dfdd" w:val="clear"/>
    </w:rPr>
  </w:style>
  <w:style w:type="character" w:styleId="Mencinsinresolver12" w:customStyle="1">
    <w:name w:val="Mención sin resolver12"/>
    <w:basedOn w:val="Fuentedeprrafopredeter"/>
    <w:uiPriority w:val="99"/>
    <w:semiHidden w:val="1"/>
    <w:unhideWhenUsed w:val="1"/>
    <w:rsid w:val="00AD38BA"/>
    <w:rPr>
      <w:color w:val="605e5c"/>
      <w:shd w:color="auto" w:fill="e1dfdd" w:val="clear"/>
    </w:rPr>
  </w:style>
  <w:style w:type="character" w:styleId="Mencinsinresolver13" w:customStyle="1">
    <w:name w:val="Mención sin resolver13"/>
    <w:basedOn w:val="Fuentedeprrafopredeter"/>
    <w:uiPriority w:val="99"/>
    <w:semiHidden w:val="1"/>
    <w:unhideWhenUsed w:val="1"/>
    <w:rsid w:val="00C23A0C"/>
    <w:rPr>
      <w:color w:val="605e5c"/>
      <w:shd w:color="auto" w:fill="e1dfdd" w:val="clear"/>
    </w:rPr>
  </w:style>
  <w:style w:type="paragraph" w:styleId="msonormal0" w:customStyle="1">
    <w:name w:val="msonormal"/>
    <w:basedOn w:val="Normal"/>
    <w:uiPriority w:val="99"/>
    <w:rsid w:val="0005252B"/>
    <w:pPr>
      <w:spacing w:after="100" w:afterAutospacing="1" w:before="100" w:beforeAutospacing="1"/>
    </w:pPr>
  </w:style>
  <w:style w:type="character" w:styleId="TextonotapieCar1" w:customStyle="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val="1"/>
    <w:rsid w:val="0005252B"/>
    <w:rPr>
      <w:rFonts w:ascii="Times New Roman" w:cs="Times New Roman" w:eastAsia="Times New Roman" w:hAnsi="Times New Roman"/>
      <w:sz w:val="20"/>
      <w:szCs w:val="20"/>
      <w:lang w:val="es-MX"/>
    </w:rPr>
  </w:style>
  <w:style w:type="character" w:styleId="Mencinsinresolver14" w:customStyle="1">
    <w:name w:val="Mención sin resolver14"/>
    <w:basedOn w:val="Fuentedeprrafopredeter"/>
    <w:uiPriority w:val="99"/>
    <w:semiHidden w:val="1"/>
    <w:unhideWhenUsed w:val="1"/>
    <w:rsid w:val="006F6E3D"/>
    <w:rPr>
      <w:color w:val="605e5c"/>
      <w:shd w:color="auto" w:fill="e1dfdd" w:val="clear"/>
    </w:rPr>
  </w:style>
  <w:style w:type="character" w:styleId="Mencinsinresolver15" w:customStyle="1">
    <w:name w:val="Mención sin resolver15"/>
    <w:basedOn w:val="Fuentedeprrafopredeter"/>
    <w:uiPriority w:val="99"/>
    <w:semiHidden w:val="1"/>
    <w:unhideWhenUsed w:val="1"/>
    <w:rsid w:val="00A65802"/>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osfem.gob.mx/04_Normatividad/doc/Normatividad/2020/02_LinEntInfMenMpal20.pdf" TargetMode="External"/><Relationship Id="rId10" Type="http://schemas.openxmlformats.org/officeDocument/2006/relationships/image" Target="media/image6.png"/><Relationship Id="rId21" Type="http://schemas.openxmlformats.org/officeDocument/2006/relationships/footer" Target="footer2.xml"/><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9.png"/><Relationship Id="rId15" Type="http://schemas.openxmlformats.org/officeDocument/2006/relationships/image" Target="media/image4.png"/><Relationship Id="rId14" Type="http://schemas.openxmlformats.org/officeDocument/2006/relationships/image" Target="media/image1.png"/><Relationship Id="rId17" Type="http://schemas.openxmlformats.org/officeDocument/2006/relationships/header" Target="header1.xml"/><Relationship Id="rId16" Type="http://schemas.openxmlformats.org/officeDocument/2006/relationships/hyperlink" Target="http://secretariadoejecutivo.gob.mx/work/models/SecretariadoEjecutivo/Resource/328/1/images/instructivo_final_edo_fuerza(1).pdf" TargetMode="External"/><Relationship Id="rId5" Type="http://schemas.openxmlformats.org/officeDocument/2006/relationships/numbering" Target="numbering.xml"/><Relationship Id="rId19" Type="http://schemas.openxmlformats.org/officeDocument/2006/relationships/header" Target="header2.xml"/><Relationship Id="rId6" Type="http://schemas.openxmlformats.org/officeDocument/2006/relationships/styles" Target="styles.xml"/><Relationship Id="rId18" Type="http://schemas.openxmlformats.org/officeDocument/2006/relationships/header" Target="header3.xml"/><Relationship Id="rId7" Type="http://schemas.openxmlformats.org/officeDocument/2006/relationships/customXml" Target="../customXML/item1.xml"/><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sultepec.gob.mx/contenidos/sultepec/docs/109_bando-municipal-2022-2024_2251610510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g7+cjOzsesccOHb/4/oYcGkNHQ==">AMUW2mWIx797H3znkzxpjVJtL/hS4+DVIuHZ4kn7+8lIo95srOoqQwFQSJV3BevNDdFyYQN5VIxCV9cO06lCsuAjvrANCgaowP7hfOEiULr7k1Ui1Mihm72U435DcsFc5IT8K4j/70ygsBHYfgtwO6QZ0y8bz7VBEfhBmKc1d0hG0AgceaWfyW5DE75zRttPMX+9yzfOanonYnfuXlnSd2jwkWrkhE4UZpUNRSHW9OYifVjdzGfRAD4XysYdRWixZEs+Wel8rAtpHbnLEpOxtKoBdF6W2jnV0Rq6SYB3/FO4fAb5R9viSNINXrsqYsOp79nXPxkiceX81CR25NMbFLCi1Pu8nrYGLuJdD/woagm8baO2f43nyT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2022-05-20T00:49:00Z</dcterms:created>
  <dc:creator>iMac</dc:creator>
</cp:coreProperties>
</file>