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8FE8DF" w14:textId="77777777" w:rsidR="00282196" w:rsidRDefault="005F33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w:t>
      </w:r>
      <w:bookmarkStart w:id="0" w:name="_GoBack"/>
      <w:bookmarkEnd w:id="0"/>
      <w:r>
        <w:rPr>
          <w:rFonts w:ascii="Palatino Linotype" w:eastAsia="Palatino Linotype" w:hAnsi="Palatino Linotype" w:cs="Palatino Linotype"/>
        </w:rPr>
        <w:t xml:space="preserve"> a la Información Pública y Protección de Datos Personales del Estado de México y Municipios, con domicilio en Metepec, Estado de México, de fecha </w:t>
      </w:r>
      <w:r>
        <w:rPr>
          <w:rFonts w:ascii="Palatino Linotype" w:eastAsia="Palatino Linotype" w:hAnsi="Palatino Linotype" w:cs="Palatino Linotype"/>
          <w:b/>
        </w:rPr>
        <w:t>veinticinco de mayo del dos mil veintidós</w:t>
      </w:r>
      <w:r>
        <w:rPr>
          <w:rFonts w:ascii="Palatino Linotype" w:eastAsia="Palatino Linotype" w:hAnsi="Palatino Linotype" w:cs="Palatino Linotype"/>
        </w:rPr>
        <w:t>.</w:t>
      </w:r>
    </w:p>
    <w:p w14:paraId="74E59756" w14:textId="6835C095" w:rsidR="00282196" w:rsidRDefault="005F33E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02354/INFOEM/IP/RR/2022</w:t>
      </w:r>
      <w:r>
        <w:rPr>
          <w:rFonts w:ascii="Palatino Linotype" w:eastAsia="Palatino Linotype" w:hAnsi="Palatino Linotype" w:cs="Palatino Linotype"/>
        </w:rPr>
        <w:t>, interpuesto por</w:t>
      </w:r>
      <w:r w:rsidR="00122310">
        <w:rPr>
          <w:rFonts w:ascii="Palatino Linotype" w:eastAsia="Palatino Linotype" w:hAnsi="Palatino Linotype" w:cs="Palatino Linotype"/>
          <w:b/>
        </w:rPr>
        <w:t xml:space="preserve"> XXXXX</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w:t>
      </w:r>
      <w:r>
        <w:rPr>
          <w:rFonts w:ascii="Palatino Linotype" w:eastAsia="Palatino Linotype" w:hAnsi="Palatino Linotype" w:cs="Palatino Linotype"/>
          <w:b/>
        </w:rPr>
        <w:t xml:space="preserve"> Ayuntamiento de </w:t>
      </w:r>
      <w:proofErr w:type="spellStart"/>
      <w:r>
        <w:rPr>
          <w:rFonts w:ascii="Palatino Linotype" w:eastAsia="Palatino Linotype" w:hAnsi="Palatino Linotype" w:cs="Palatino Linotype"/>
          <w:b/>
        </w:rPr>
        <w:t>Capulhuac</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26EBC6C3" w14:textId="77777777" w:rsidR="00282196" w:rsidRDefault="005F33E4">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14:paraId="3E34FEE2" w14:textId="77777777" w:rsidR="00282196" w:rsidRDefault="005F33E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trece de enero de dos mil veintidós,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 la Plataforma Nacional de Trasparencia (PNT), la cual se encuentra vinculada al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00003/CAPULHUA/IP/2022, </w:t>
      </w:r>
      <w:r>
        <w:rPr>
          <w:rFonts w:ascii="Palatino Linotype" w:eastAsia="Palatino Linotype" w:hAnsi="Palatino Linotype" w:cs="Palatino Linotype"/>
        </w:rPr>
        <w:t xml:space="preserve">mediante la cual requirió la información siguiente: </w:t>
      </w:r>
    </w:p>
    <w:p w14:paraId="1222E7FD" w14:textId="77777777" w:rsidR="00282196" w:rsidRDefault="005F33E4">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“Solicito lo siguiente en formato abierto PDF </w:t>
      </w:r>
      <w:r>
        <w:rPr>
          <w:rFonts w:ascii="Palatino Linotype" w:eastAsia="Palatino Linotype" w:hAnsi="Palatino Linotype" w:cs="Palatino Linotype"/>
          <w:b/>
          <w:i/>
          <w:sz w:val="22"/>
          <w:szCs w:val="22"/>
        </w:rPr>
        <w:t xml:space="preserve">1) Número total, ubicación y copia digitalizada del expediente para cada una de las podas autorizadas desde el 1 de enero de 2015 y hasta el 10 de julio de 2021 en la Unidad Habitacional San José de la Palma. 2) Conocer el </w:t>
      </w:r>
      <w:proofErr w:type="spellStart"/>
      <w:r>
        <w:rPr>
          <w:rFonts w:ascii="Palatino Linotype" w:eastAsia="Palatino Linotype" w:hAnsi="Palatino Linotype" w:cs="Palatino Linotype"/>
          <w:b/>
          <w:i/>
          <w:sz w:val="22"/>
          <w:szCs w:val="22"/>
        </w:rPr>
        <w:t>numero</w:t>
      </w:r>
      <w:proofErr w:type="spellEnd"/>
      <w:r>
        <w:rPr>
          <w:rFonts w:ascii="Palatino Linotype" w:eastAsia="Palatino Linotype" w:hAnsi="Palatino Linotype" w:cs="Palatino Linotype"/>
          <w:b/>
          <w:i/>
          <w:sz w:val="22"/>
          <w:szCs w:val="22"/>
        </w:rPr>
        <w:t xml:space="preserve"> total, ubicación, fecha, causa y monto de las sanciones emitidas en material ambiental por el Ayuntamiento por lo dispuesto en el Artículo 2.263, fracción IV del </w:t>
      </w:r>
      <w:proofErr w:type="spellStart"/>
      <w:r>
        <w:rPr>
          <w:rFonts w:ascii="Palatino Linotype" w:eastAsia="Palatino Linotype" w:hAnsi="Palatino Linotype" w:cs="Palatino Linotype"/>
          <w:b/>
          <w:i/>
          <w:sz w:val="22"/>
          <w:szCs w:val="22"/>
        </w:rPr>
        <w:t>Codigo</w:t>
      </w:r>
      <w:proofErr w:type="spellEnd"/>
      <w:r>
        <w:rPr>
          <w:rFonts w:ascii="Palatino Linotype" w:eastAsia="Palatino Linotype" w:hAnsi="Palatino Linotype" w:cs="Palatino Linotype"/>
          <w:b/>
          <w:i/>
          <w:sz w:val="22"/>
          <w:szCs w:val="22"/>
        </w:rPr>
        <w:t xml:space="preserve"> para la Biodiversidad del Estado de México y 274 </w:t>
      </w:r>
      <w:proofErr w:type="spellStart"/>
      <w:r>
        <w:rPr>
          <w:rFonts w:ascii="Palatino Linotype" w:eastAsia="Palatino Linotype" w:hAnsi="Palatino Linotype" w:cs="Palatino Linotype"/>
          <w:b/>
          <w:i/>
          <w:sz w:val="22"/>
          <w:szCs w:val="22"/>
        </w:rPr>
        <w:t>fraccion</w:t>
      </w:r>
      <w:proofErr w:type="spellEnd"/>
      <w:r>
        <w:rPr>
          <w:rFonts w:ascii="Palatino Linotype" w:eastAsia="Palatino Linotype" w:hAnsi="Palatino Linotype" w:cs="Palatino Linotype"/>
          <w:b/>
          <w:i/>
          <w:sz w:val="22"/>
          <w:szCs w:val="22"/>
        </w:rPr>
        <w:t xml:space="preserve"> X del Bando Municipal en la U.H San </w:t>
      </w:r>
      <w:proofErr w:type="spellStart"/>
      <w:r>
        <w:rPr>
          <w:rFonts w:ascii="Palatino Linotype" w:eastAsia="Palatino Linotype" w:hAnsi="Palatino Linotype" w:cs="Palatino Linotype"/>
          <w:b/>
          <w:i/>
          <w:sz w:val="22"/>
          <w:szCs w:val="22"/>
        </w:rPr>
        <w:t>Jose</w:t>
      </w:r>
      <w:proofErr w:type="spellEnd"/>
      <w:r>
        <w:rPr>
          <w:rFonts w:ascii="Palatino Linotype" w:eastAsia="Palatino Linotype" w:hAnsi="Palatino Linotype" w:cs="Palatino Linotype"/>
          <w:b/>
          <w:i/>
          <w:sz w:val="22"/>
          <w:szCs w:val="22"/>
        </w:rPr>
        <w:t xml:space="preserve"> de la Palma del 1 de enero de 2015 al 10 de julio de 2021. </w:t>
      </w:r>
      <w:r>
        <w:rPr>
          <w:rFonts w:ascii="Palatino Linotype" w:eastAsia="Palatino Linotype" w:hAnsi="Palatino Linotype" w:cs="Palatino Linotype"/>
          <w:b/>
          <w:i/>
          <w:sz w:val="22"/>
          <w:szCs w:val="22"/>
        </w:rPr>
        <w:lastRenderedPageBreak/>
        <w:t xml:space="preserve">3) Conocer el </w:t>
      </w:r>
      <w:proofErr w:type="spellStart"/>
      <w:r>
        <w:rPr>
          <w:rFonts w:ascii="Palatino Linotype" w:eastAsia="Palatino Linotype" w:hAnsi="Palatino Linotype" w:cs="Palatino Linotype"/>
          <w:b/>
          <w:i/>
          <w:sz w:val="22"/>
          <w:szCs w:val="22"/>
        </w:rPr>
        <w:t>numero</w:t>
      </w:r>
      <w:proofErr w:type="spellEnd"/>
      <w:r>
        <w:rPr>
          <w:rFonts w:ascii="Palatino Linotype" w:eastAsia="Palatino Linotype" w:hAnsi="Palatino Linotype" w:cs="Palatino Linotype"/>
          <w:b/>
          <w:i/>
          <w:sz w:val="22"/>
          <w:szCs w:val="22"/>
        </w:rPr>
        <w:t>, ubicación y estatus del total de denuncias presentadas en la Dirección o Subdirección de Ecología del 1 de enero de 2015 al 10 de julio de 2021.</w:t>
      </w:r>
      <w:r>
        <w:rPr>
          <w:rFonts w:ascii="Palatino Linotype" w:eastAsia="Palatino Linotype" w:hAnsi="Palatino Linotype" w:cs="Palatino Linotype"/>
          <w:i/>
          <w:sz w:val="22"/>
          <w:szCs w:val="22"/>
        </w:rPr>
        <w:t>” (Sic) (Énfasis añadido)</w:t>
      </w:r>
    </w:p>
    <w:p w14:paraId="602A9E1D" w14:textId="77777777" w:rsidR="00282196" w:rsidRDefault="005F33E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14:paraId="5E00AA21" w14:textId="77777777" w:rsidR="00282196" w:rsidRDefault="005F33E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114300" distB="114300" distL="114300" distR="114300" wp14:anchorId="4228A87B" wp14:editId="2CD451A6">
            <wp:extent cx="5581015" cy="558800"/>
            <wp:effectExtent l="0" t="0" r="0" b="0"/>
            <wp:docPr id="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581015" cy="558800"/>
                    </a:xfrm>
                    <a:prstGeom prst="rect">
                      <a:avLst/>
                    </a:prstGeom>
                    <a:ln/>
                  </pic:spPr>
                </pic:pic>
              </a:graphicData>
            </a:graphic>
          </wp:inline>
        </w:drawing>
      </w:r>
    </w:p>
    <w:p w14:paraId="5A8BADE5" w14:textId="77777777" w:rsidR="00282196" w:rsidRDefault="005F33E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uno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la respuesta a la solicitud de información sustancialmente en los siguientes términos: </w:t>
      </w:r>
    </w:p>
    <w:p w14:paraId="3B9B1856" w14:textId="77777777" w:rsidR="00282196" w:rsidRDefault="005F33E4">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anexa información</w:t>
      </w:r>
    </w:p>
    <w:p w14:paraId="48017588" w14:textId="77777777" w:rsidR="00282196" w:rsidRDefault="005F33E4">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7B06B786" w14:textId="77777777" w:rsidR="00282196" w:rsidRDefault="005F33E4">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P.D. IGNACIO BENITEZ BOBADILLA” (Sic) </w:t>
      </w:r>
    </w:p>
    <w:p w14:paraId="4BBB76B5" w14:textId="77777777" w:rsidR="00282196" w:rsidRDefault="005F33E4">
      <w:pPr>
        <w:spacing w:before="240" w:after="240"/>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14:paraId="71C5CE4D" w14:textId="77777777" w:rsidR="00282196" w:rsidRDefault="005F33E4">
      <w:pPr>
        <w:spacing w:before="240" w:after="24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rPr>
        <w:t xml:space="preserve">“00003.pdf”: </w:t>
      </w:r>
      <w:r>
        <w:rPr>
          <w:rFonts w:ascii="Palatino Linotype" w:eastAsia="Palatino Linotype" w:hAnsi="Palatino Linotype" w:cs="Palatino Linotype"/>
        </w:rPr>
        <w:t xml:space="preserve">Documento de ocho fojas mediante el cual </w:t>
      </w:r>
      <w:r>
        <w:rPr>
          <w:rFonts w:ascii="Palatino Linotype" w:eastAsia="Palatino Linotype" w:hAnsi="Palatino Linotype" w:cs="Palatino Linotype"/>
          <w:b/>
          <w:u w:val="single"/>
        </w:rPr>
        <w:t>el Director de Ecología y Desarrollo Sustentable, manifiesta que dentro del área no se encontró la información requerida</w:t>
      </w:r>
      <w:r>
        <w:rPr>
          <w:rFonts w:ascii="Palatino Linotype" w:eastAsia="Palatino Linotype" w:hAnsi="Palatino Linotype" w:cs="Palatino Linotype"/>
        </w:rPr>
        <w:t xml:space="preserve">, sin embargo, se envió un oficio al Secretario del Ayuntamiento, quien dio contestación a la solicitud en mención, refiriendo que no se encontró información </w:t>
      </w:r>
      <w:proofErr w:type="gramStart"/>
      <w:r>
        <w:rPr>
          <w:rFonts w:ascii="Palatino Linotype" w:eastAsia="Palatino Linotype" w:hAnsi="Palatino Linotype" w:cs="Palatino Linotype"/>
        </w:rPr>
        <w:t>alguna</w:t>
      </w:r>
      <w:proofErr w:type="gramEnd"/>
      <w:r>
        <w:rPr>
          <w:rFonts w:ascii="Palatino Linotype" w:eastAsia="Palatino Linotype" w:hAnsi="Palatino Linotype" w:cs="Palatino Linotype"/>
        </w:rPr>
        <w:t xml:space="preserve"> ya que han realizado transferencia documental de los años que se mencionan, asimismo </w:t>
      </w:r>
      <w:r>
        <w:rPr>
          <w:rFonts w:ascii="Palatino Linotype" w:eastAsia="Palatino Linotype" w:hAnsi="Palatino Linotype" w:cs="Palatino Linotype"/>
          <w:b/>
          <w:u w:val="single"/>
        </w:rPr>
        <w:t>el Coordinador de Archivo manifestó que respecto de los años 2015-2018, de los expedientes relativos a la dirección, coordinación y regiduría de ecología no se encontró la información requerida</w:t>
      </w:r>
      <w:r>
        <w:rPr>
          <w:rFonts w:ascii="Palatino Linotype" w:eastAsia="Palatino Linotype" w:hAnsi="Palatino Linotype" w:cs="Palatino Linotype"/>
        </w:rPr>
        <w:t xml:space="preserve">, adicionalmente agregó que la misma </w:t>
      </w:r>
      <w:r>
        <w:rPr>
          <w:rFonts w:ascii="Palatino Linotype" w:eastAsia="Palatino Linotype" w:hAnsi="Palatino Linotype" w:cs="Palatino Linotype"/>
        </w:rPr>
        <w:lastRenderedPageBreak/>
        <w:t>solicitud fue turnada a la Cuarta Regiduría pero quedaba pendiente su respuesta</w:t>
      </w:r>
      <w:r>
        <w:rPr>
          <w:rFonts w:ascii="Palatino Linotype" w:eastAsia="Palatino Linotype" w:hAnsi="Palatino Linotype" w:cs="Palatino Linotype"/>
          <w:sz w:val="22"/>
          <w:szCs w:val="22"/>
        </w:rPr>
        <w:t>:</w:t>
      </w:r>
    </w:p>
    <w:p w14:paraId="4C8843ED" w14:textId="77777777" w:rsidR="00282196" w:rsidRDefault="005F33E4">
      <w:pPr>
        <w:spacing w:before="240" w:after="240" w:line="360" w:lineRule="auto"/>
        <w:ind w:left="567" w:right="902"/>
        <w:jc w:val="both"/>
        <w:rPr>
          <w:rFonts w:ascii="Palatino Linotype" w:eastAsia="Palatino Linotype" w:hAnsi="Palatino Linotype" w:cs="Palatino Linotype"/>
          <w:sz w:val="22"/>
          <w:szCs w:val="22"/>
        </w:rPr>
      </w:pPr>
      <w:r>
        <w:object w:dxaOrig="7365" w:dyaOrig="9780" w14:anchorId="684D1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489pt" o:ole="">
            <v:imagedata r:id="rId9" o:title=""/>
          </v:shape>
          <o:OLEObject Type="Embed" ProgID="Paint.Picture.1" ShapeID="_x0000_i1025" DrawAspect="Content" ObjectID="_1716109097" r:id="rId10"/>
        </w:object>
      </w:r>
    </w:p>
    <w:p w14:paraId="22A2C0ED" w14:textId="77777777" w:rsidR="00282196" w:rsidRDefault="005F33E4">
      <w:pPr>
        <w:spacing w:before="240" w:after="240" w:line="360" w:lineRule="auto"/>
        <w:ind w:left="567" w:right="902"/>
        <w:jc w:val="both"/>
      </w:pPr>
      <w:r>
        <w:object w:dxaOrig="7920" w:dyaOrig="9240" w14:anchorId="7014E871">
          <v:shape id="_x0000_i1026" type="#_x0000_t75" style="width:396pt;height:462pt" o:ole="">
            <v:imagedata r:id="rId11" o:title=""/>
          </v:shape>
          <o:OLEObject Type="Embed" ProgID="Paint.Picture.1" ShapeID="_x0000_i1026" DrawAspect="Content" ObjectID="_1716109098" r:id="rId12"/>
        </w:object>
      </w:r>
      <w:r>
        <w:object w:dxaOrig="8730" w:dyaOrig="9210" w14:anchorId="6D263142">
          <v:shape id="_x0000_i1027" type="#_x0000_t75" style="width:435.75pt;height:460.5pt" o:ole="">
            <v:imagedata r:id="rId13" o:title=""/>
          </v:shape>
          <o:OLEObject Type="Embed" ProgID="Paint.Picture.1" ShapeID="_x0000_i1027" DrawAspect="Content" ObjectID="_1716109099" r:id="rId14"/>
        </w:object>
      </w:r>
    </w:p>
    <w:p w14:paraId="58D0182A" w14:textId="77777777" w:rsidR="00282196" w:rsidRDefault="00282196">
      <w:pPr>
        <w:spacing w:before="240" w:after="240" w:line="360" w:lineRule="auto"/>
        <w:ind w:left="567" w:right="902"/>
        <w:jc w:val="both"/>
        <w:rPr>
          <w:rFonts w:ascii="Palatino Linotype" w:eastAsia="Palatino Linotype" w:hAnsi="Palatino Linotype" w:cs="Palatino Linotype"/>
          <w:sz w:val="22"/>
          <w:szCs w:val="22"/>
        </w:rPr>
      </w:pPr>
    </w:p>
    <w:p w14:paraId="423BFBD1" w14:textId="77777777" w:rsidR="00282196" w:rsidRDefault="00282196">
      <w:pPr>
        <w:spacing w:before="240" w:after="240" w:line="360" w:lineRule="auto"/>
        <w:ind w:left="567" w:right="902"/>
        <w:jc w:val="both"/>
        <w:rPr>
          <w:rFonts w:ascii="Palatino Linotype" w:eastAsia="Palatino Linotype" w:hAnsi="Palatino Linotype" w:cs="Palatino Linotype"/>
          <w:sz w:val="22"/>
          <w:szCs w:val="22"/>
        </w:rPr>
      </w:pPr>
    </w:p>
    <w:p w14:paraId="123864BC" w14:textId="77777777" w:rsidR="00282196" w:rsidRDefault="00282196">
      <w:pPr>
        <w:spacing w:before="240" w:after="240" w:line="360" w:lineRule="auto"/>
        <w:ind w:left="567" w:right="902"/>
        <w:jc w:val="both"/>
        <w:rPr>
          <w:rFonts w:ascii="Palatino Linotype" w:eastAsia="Palatino Linotype" w:hAnsi="Palatino Linotype" w:cs="Palatino Linotype"/>
          <w:sz w:val="22"/>
          <w:szCs w:val="22"/>
        </w:rPr>
      </w:pPr>
    </w:p>
    <w:p w14:paraId="187D31AD" w14:textId="77777777" w:rsidR="00282196" w:rsidRDefault="005F33E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14:paraId="15E7883A" w14:textId="77777777" w:rsidR="00282196" w:rsidRDefault="005F33E4">
      <w:pPr>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14:paraId="6E61CC65" w14:textId="77777777" w:rsidR="00282196" w:rsidRDefault="00282196">
      <w:pPr>
        <w:ind w:right="567"/>
        <w:jc w:val="both"/>
        <w:rPr>
          <w:rFonts w:ascii="Palatino Linotype" w:eastAsia="Palatino Linotype" w:hAnsi="Palatino Linotype" w:cs="Palatino Linotype"/>
          <w:i/>
          <w:sz w:val="22"/>
          <w:szCs w:val="22"/>
        </w:rPr>
      </w:pPr>
    </w:p>
    <w:p w14:paraId="38EB28CA" w14:textId="77777777" w:rsidR="00282196" w:rsidRDefault="005F33E4">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“falta </w:t>
      </w:r>
      <w:proofErr w:type="spellStart"/>
      <w:r>
        <w:rPr>
          <w:rFonts w:ascii="Palatino Linotype" w:eastAsia="Palatino Linotype" w:hAnsi="Palatino Linotype" w:cs="Palatino Linotype"/>
          <w:i/>
          <w:sz w:val="22"/>
          <w:szCs w:val="22"/>
        </w:rPr>
        <w:t>informacion</w:t>
      </w:r>
      <w:proofErr w:type="spellEnd"/>
      <w:r>
        <w:rPr>
          <w:rFonts w:ascii="Palatino Linotype" w:eastAsia="Palatino Linotype" w:hAnsi="Palatino Linotype" w:cs="Palatino Linotype"/>
          <w:i/>
          <w:sz w:val="22"/>
          <w:szCs w:val="22"/>
        </w:rPr>
        <w:t>” (Sic)</w:t>
      </w:r>
    </w:p>
    <w:p w14:paraId="3088AF04" w14:textId="77777777" w:rsidR="00282196" w:rsidRDefault="005F33E4">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14:paraId="06AEF9EF" w14:textId="77777777" w:rsidR="00282196" w:rsidRDefault="005F33E4">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rPr>
        <w:t>El particular no expresó alguna manifestación en este rubro.</w:t>
      </w:r>
    </w:p>
    <w:p w14:paraId="01B6F243" w14:textId="77777777" w:rsidR="00282196" w:rsidRDefault="00282196">
      <w:pPr>
        <w:ind w:right="49"/>
        <w:jc w:val="both"/>
        <w:rPr>
          <w:rFonts w:ascii="Palatino Linotype" w:eastAsia="Palatino Linotype" w:hAnsi="Palatino Linotype" w:cs="Palatino Linotype"/>
          <w:i/>
          <w:sz w:val="22"/>
          <w:szCs w:val="22"/>
        </w:rPr>
      </w:pPr>
    </w:p>
    <w:p w14:paraId="62789CCD" w14:textId="77777777" w:rsidR="00282196" w:rsidRDefault="005F33E4">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4824419C" w14:textId="77777777" w:rsidR="00282196" w:rsidRDefault="00282196">
      <w:pPr>
        <w:widowControl w:val="0"/>
        <w:spacing w:line="360" w:lineRule="auto"/>
        <w:ind w:right="49"/>
        <w:jc w:val="both"/>
        <w:rPr>
          <w:rFonts w:ascii="Palatino Linotype" w:eastAsia="Palatino Linotype" w:hAnsi="Palatino Linotype" w:cs="Palatino Linotype"/>
        </w:rPr>
      </w:pPr>
    </w:p>
    <w:p w14:paraId="31F5E60C" w14:textId="77777777" w:rsidR="00282196" w:rsidRDefault="005F33E4">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cuatro de marzo de dos mil veintidós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14:paraId="4187352C" w14:textId="77777777" w:rsidR="00282196" w:rsidRDefault="00282196">
      <w:pPr>
        <w:widowControl w:val="0"/>
        <w:spacing w:line="360" w:lineRule="auto"/>
        <w:ind w:right="49"/>
        <w:jc w:val="both"/>
        <w:rPr>
          <w:rFonts w:ascii="Palatino Linotype" w:eastAsia="Palatino Linotype" w:hAnsi="Palatino Linotype" w:cs="Palatino Linotype"/>
        </w:rPr>
      </w:pPr>
    </w:p>
    <w:p w14:paraId="7B0FB884" w14:textId="77777777" w:rsidR="00282196" w:rsidRDefault="005F33E4">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en fecha siete de </w:t>
      </w:r>
      <w:r>
        <w:rPr>
          <w:rFonts w:ascii="Palatino Linotype" w:eastAsia="Palatino Linotype" w:hAnsi="Palatino Linotype" w:cs="Palatino Linotype"/>
        </w:rPr>
        <w:lastRenderedPageBreak/>
        <w:t>marzo de dos mil veintidós mediante el archivo electrónico “</w:t>
      </w:r>
      <w:r>
        <w:rPr>
          <w:rFonts w:ascii="Palatino Linotype" w:eastAsia="Palatino Linotype" w:hAnsi="Palatino Linotype" w:cs="Palatino Linotype"/>
          <w:b/>
          <w:i/>
        </w:rPr>
        <w:t>00003.pdf”</w:t>
      </w:r>
      <w:r>
        <w:rPr>
          <w:rFonts w:ascii="Palatino Linotype" w:eastAsia="Palatino Linotype" w:hAnsi="Palatino Linotype" w:cs="Palatino Linotype"/>
        </w:rPr>
        <w:t xml:space="preserve">, el cual se compone de ocho fojas y consiste en la respuesta inicialmente vertida, misma que se describió en los antecedentes del presente asunto, asimismo cabe señalar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fue omiso en emitir pronunciamientos, ofrecer pruebas o alegatos, por lo que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w:t>
      </w:r>
    </w:p>
    <w:p w14:paraId="2526907F" w14:textId="77777777" w:rsidR="00282196" w:rsidRDefault="005F33E4">
      <w:pPr>
        <w:widowControl w:val="0"/>
        <w:spacing w:line="360" w:lineRule="auto"/>
        <w:ind w:right="49"/>
        <w:rPr>
          <w:rFonts w:ascii="Palatino Linotype" w:eastAsia="Palatino Linotype" w:hAnsi="Palatino Linotype" w:cs="Palatino Linotype"/>
        </w:rPr>
      </w:pPr>
      <w:r>
        <w:object w:dxaOrig="8790" w:dyaOrig="3000" w14:anchorId="6D3C94B4">
          <v:shape id="_x0000_i1028" type="#_x0000_t75" style="width:439.5pt;height:150pt" o:ole="">
            <v:imagedata r:id="rId15" o:title=""/>
          </v:shape>
          <o:OLEObject Type="Embed" ProgID="Paint.Picture.1" ShapeID="_x0000_i1028" DrawAspect="Content" ObjectID="_1716109100" r:id="rId16"/>
        </w:object>
      </w:r>
    </w:p>
    <w:p w14:paraId="53822B62" w14:textId="77777777" w:rsidR="00282196" w:rsidRDefault="005F33E4">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Debe precisarse que una vez revisada la documentación remitida en informe justificado, se puso a la vista del particular mediante acuerdo de fecha </w:t>
      </w:r>
      <w:r>
        <w:rPr>
          <w:rFonts w:ascii="Palatino Linotype" w:eastAsia="Palatino Linotype" w:hAnsi="Palatino Linotype" w:cs="Palatino Linotype"/>
          <w:b/>
        </w:rPr>
        <w:t>diecisiete de mayo de dos mil veintidós</w:t>
      </w:r>
      <w:r>
        <w:rPr>
          <w:rFonts w:ascii="Palatino Linotype" w:eastAsia="Palatino Linotype" w:hAnsi="Palatino Linotype" w:cs="Palatino Linotype"/>
        </w:rPr>
        <w:t>, el cual fue emitido por la Comisionada Ponente.</w:t>
      </w:r>
    </w:p>
    <w:p w14:paraId="43C720DF" w14:textId="77777777" w:rsidR="00282196" w:rsidRDefault="00282196">
      <w:pPr>
        <w:widowControl w:val="0"/>
        <w:spacing w:line="360" w:lineRule="auto"/>
        <w:ind w:right="49"/>
        <w:jc w:val="both"/>
        <w:rPr>
          <w:rFonts w:ascii="Palatino Linotype" w:eastAsia="Palatino Linotype" w:hAnsi="Palatino Linotype" w:cs="Palatino Linotype"/>
        </w:rPr>
      </w:pPr>
    </w:p>
    <w:p w14:paraId="4944F5C9" w14:textId="77777777" w:rsidR="00282196" w:rsidRDefault="005F33E4">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7. Ampliación del plazo.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diecisiete de mayo de dos mil veintidós</w:t>
      </w:r>
      <w:r>
        <w:rPr>
          <w:rFonts w:ascii="Palatino Linotype" w:eastAsia="Palatino Linotype" w:hAnsi="Palatino Linotype" w:cs="Palatino Linotype"/>
        </w:rPr>
        <w:t>, este Instituto notificó a las partes el Acuerdo de Ampliación de Plazo para resolver el medio de impugnación que nos ocupa, en términos de lo dispuesto por el artículo 181, párrafo tercero de la Ley de Transparencia y Acceso a la Información Pública del Estado de México y Municipios, a fin de aminorar los efectos que conlleva.</w:t>
      </w:r>
    </w:p>
    <w:p w14:paraId="7595F3A3" w14:textId="77777777" w:rsidR="00282196" w:rsidRDefault="005F33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w:t>
      </w:r>
      <w:r>
        <w:rPr>
          <w:rFonts w:ascii="Palatino Linotype" w:eastAsia="Palatino Linotype" w:hAnsi="Palatino Linotype" w:cs="Palatino Linotype"/>
        </w:rPr>
        <w:lastRenderedPageBreak/>
        <w:t xml:space="preserve">correspondientes con fundamento en el artículo 185 fracción VI de la Ley de Transparencia y Acceso a la Información Pública del Estado de México y Municipios, el día </w:t>
      </w:r>
      <w:r>
        <w:rPr>
          <w:rFonts w:ascii="Palatino Linotype" w:eastAsia="Palatino Linotype" w:hAnsi="Palatino Linotype" w:cs="Palatino Linotype"/>
          <w:b/>
        </w:rPr>
        <w:t>veinticuatro</w:t>
      </w:r>
      <w:r>
        <w:rPr>
          <w:rFonts w:ascii="Palatino Linotype" w:eastAsia="Palatino Linotype" w:hAnsi="Palatino Linotype" w:cs="Palatino Linotype"/>
          <w:b/>
          <w:color w:val="000000"/>
        </w:rPr>
        <w:t xml:space="preserve"> de mayo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14B0A955" w14:textId="77777777" w:rsidR="00282196" w:rsidRDefault="005F33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85CD1C2" w14:textId="77777777" w:rsidR="00282196" w:rsidRDefault="005F33E4">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14:paraId="7BE7DBEF" w14:textId="77777777" w:rsidR="00282196" w:rsidRDefault="005F33E4">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8ED6593" w14:textId="77777777" w:rsidR="00282196" w:rsidRDefault="005F33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Análisis de las Causales de Improcedencia y Sobreseimiento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Este Instituto, realiza el estudio preferente y oficioso de las cuales de improcedencia, en </w:t>
      </w:r>
      <w:r>
        <w:rPr>
          <w:rFonts w:ascii="Palatino Linotype" w:eastAsia="Palatino Linotype" w:hAnsi="Palatino Linotype" w:cs="Palatino Linotype"/>
        </w:rPr>
        <w:lastRenderedPageBreak/>
        <w:t>el entendido de que las mismas deben ser analizadas sea que las hayan hecho valer o no las partes, por tratarse de una cuestión de orden público y de estudio preferente, atento a lo establecido por la Jurisprudencia número 940, publicada en la página 1538 de la Segunda Parte del Apéndice del Semanario Judicial de la Federación 1917-1918 que a la letra señala:</w:t>
      </w:r>
    </w:p>
    <w:p w14:paraId="165E74B9" w14:textId="77777777" w:rsidR="00282196" w:rsidRDefault="005F33E4">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“Improcedencia: </w:t>
      </w:r>
      <w:r>
        <w:rPr>
          <w:rFonts w:ascii="Palatino Linotype" w:eastAsia="Palatino Linotype" w:hAnsi="Palatino Linotype" w:cs="Palatino Linotype"/>
          <w:i/>
          <w:sz w:val="22"/>
          <w:szCs w:val="22"/>
        </w:rPr>
        <w:t>Sea que las partes la aleguen o no, debe examinarse previamente la procedencia del juicio de amparo, por ser cuestión de orden público en el juicio de garantías.”</w:t>
      </w:r>
    </w:p>
    <w:p w14:paraId="40B09926" w14:textId="77777777" w:rsidR="00282196" w:rsidRDefault="005F33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14:paraId="51F02CA2" w14:textId="77777777" w:rsidR="00282196" w:rsidRDefault="005F33E4">
      <w:pPr>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5ED16ED" w14:textId="77777777" w:rsidR="00282196" w:rsidRDefault="005F33E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w:t>
      </w:r>
    </w:p>
    <w:p w14:paraId="73952DEE" w14:textId="77777777" w:rsidR="00282196" w:rsidRDefault="005F33E4">
      <w:pPr>
        <w:spacing w:before="240" w:after="240" w:line="360" w:lineRule="auto"/>
        <w:ind w:right="-1134"/>
        <w:jc w:val="both"/>
        <w:rPr>
          <w:rFonts w:ascii="Palatino Linotype" w:eastAsia="Palatino Linotype" w:hAnsi="Palatino Linotype" w:cs="Palatino Linotype"/>
        </w:rPr>
      </w:pPr>
      <w:r>
        <w:rPr>
          <w:rFonts w:ascii="Palatino Linotype" w:eastAsia="Palatino Linotype" w:hAnsi="Palatino Linotype" w:cs="Palatino Linotype"/>
        </w:rPr>
        <w:t>Por su parte los artículos 186, 191 y 192 de la Ley en cita, disponen lo siguiente:</w:t>
      </w:r>
    </w:p>
    <w:p w14:paraId="3D0FE744" w14:textId="77777777" w:rsidR="00282196" w:rsidRDefault="005F33E4">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“Artículo 186.</w:t>
      </w:r>
      <w:r>
        <w:rPr>
          <w:rFonts w:ascii="Palatino Linotype" w:eastAsia="Palatino Linotype" w:hAnsi="Palatino Linotype" w:cs="Palatino Linotype"/>
          <w:i/>
          <w:sz w:val="22"/>
          <w:szCs w:val="22"/>
        </w:rPr>
        <w:t xml:space="preserve"> Las resoluciones del Instituto podrán: </w:t>
      </w:r>
    </w:p>
    <w:p w14:paraId="2627F372" w14:textId="77777777" w:rsidR="00282196" w:rsidRDefault="005F33E4">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Desechar o sobreseer el recurso; </w:t>
      </w:r>
    </w:p>
    <w:p w14:paraId="65B32AC9" w14:textId="77777777" w:rsidR="00282196" w:rsidRDefault="005F33E4">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57D6113" w14:textId="77777777" w:rsidR="00282196" w:rsidRDefault="005F33E4">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191. </w:t>
      </w:r>
      <w:r>
        <w:rPr>
          <w:rFonts w:ascii="Palatino Linotype" w:eastAsia="Palatino Linotype" w:hAnsi="Palatino Linotype" w:cs="Palatino Linotype"/>
          <w:i/>
          <w:sz w:val="22"/>
          <w:szCs w:val="22"/>
        </w:rPr>
        <w:t>El recurso será desechado por improcedente cuando:</w:t>
      </w:r>
    </w:p>
    <w:p w14:paraId="5601D9A3" w14:textId="77777777" w:rsidR="00282196" w:rsidRDefault="005F33E4">
      <w:pPr>
        <w:tabs>
          <w:tab w:val="left" w:pos="1276"/>
        </w:tabs>
        <w:spacing w:before="120" w:after="120"/>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I. Sea extemporáneo por haber transcurrido el plazo establecido en la presente Ley, a partir de la respuesta;</w:t>
      </w:r>
    </w:p>
    <w:p w14:paraId="200723D9" w14:textId="77777777" w:rsidR="00282196" w:rsidRDefault="005F33E4">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Se esté tramitando ante el Poder Judicial de la Federación algún recurso o medio de defensa interpuesto por el recurrente;</w:t>
      </w:r>
    </w:p>
    <w:p w14:paraId="4CF7094F" w14:textId="77777777" w:rsidR="00282196" w:rsidRDefault="005F33E4">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i/>
          <w:sz w:val="22"/>
          <w:szCs w:val="22"/>
        </w:rPr>
        <w:t>No actualice alguno de los supuestos previstos en la presente Ley;</w:t>
      </w:r>
    </w:p>
    <w:p w14:paraId="3C2CEE7F" w14:textId="77777777" w:rsidR="00282196" w:rsidRDefault="005F33E4">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No se haya desahogado la prevención en los términos establecidos en la presente Ley;</w:t>
      </w:r>
    </w:p>
    <w:p w14:paraId="22C64CF7" w14:textId="77777777" w:rsidR="00282196" w:rsidRDefault="005F33E4">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Se impugne la veracidad de la información proporcionada;</w:t>
      </w:r>
    </w:p>
    <w:p w14:paraId="2C835681" w14:textId="77777777" w:rsidR="00282196" w:rsidRDefault="005F33E4">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Se trate de una consulta, o trámite en específico; y</w:t>
      </w:r>
    </w:p>
    <w:p w14:paraId="459A643C" w14:textId="77777777" w:rsidR="00282196" w:rsidRDefault="005F33E4">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El recurrente amplíe su solicitud en el recurso de revisión, únicamente respecto de los nuevos contenidos.”</w:t>
      </w:r>
    </w:p>
    <w:p w14:paraId="4F0435AD" w14:textId="77777777" w:rsidR="00282196" w:rsidRDefault="00282196">
      <w:pPr>
        <w:spacing w:before="120" w:after="120"/>
        <w:ind w:left="851" w:right="902"/>
        <w:jc w:val="both"/>
        <w:rPr>
          <w:rFonts w:ascii="Palatino Linotype" w:eastAsia="Palatino Linotype" w:hAnsi="Palatino Linotype" w:cs="Palatino Linotype"/>
          <w:i/>
          <w:sz w:val="22"/>
          <w:szCs w:val="22"/>
        </w:rPr>
      </w:pPr>
    </w:p>
    <w:p w14:paraId="6F8C0C8E" w14:textId="77777777" w:rsidR="00282196" w:rsidRDefault="005F33E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6ACA9433" w14:textId="77777777" w:rsidR="00282196" w:rsidRDefault="005F33E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El recurrente se desista expresamente del recurso;</w:t>
      </w:r>
    </w:p>
    <w:p w14:paraId="78A46907" w14:textId="77777777" w:rsidR="00282196" w:rsidRDefault="005F33E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El recurrente fallezca o, tratándose de personas jurídicas colectivas, se disuelva;</w:t>
      </w:r>
    </w:p>
    <w:p w14:paraId="565E1F29" w14:textId="77777777" w:rsidR="00282196" w:rsidRDefault="005F33E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i/>
          <w:sz w:val="22"/>
          <w:szCs w:val="22"/>
        </w:rPr>
        <w:t>El sujeto obligado responsable del acto lo modifique o revoque de tal manera que el recurso de revisión quede sin materia;</w:t>
      </w:r>
    </w:p>
    <w:p w14:paraId="73DE5E34" w14:textId="77777777" w:rsidR="00282196" w:rsidRDefault="005F33E4">
      <w:pPr>
        <w:spacing w:before="120" w:after="120"/>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Admitido el recurso de revisión, aparezca alguna causal de improcedencia en los términos de la presente Ley; y</w:t>
      </w:r>
    </w:p>
    <w:p w14:paraId="34D0E9D3" w14:textId="77777777" w:rsidR="00282196" w:rsidRDefault="005F33E4">
      <w:pPr>
        <w:spacing w:before="120" w:after="120"/>
        <w:ind w:left="1134"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Cuando por cualquier motivo quede sin materia el recurso</w:t>
      </w:r>
      <w:r>
        <w:rPr>
          <w:rFonts w:ascii="Palatino Linotype" w:eastAsia="Palatino Linotype" w:hAnsi="Palatino Linotype" w:cs="Palatino Linotype"/>
          <w:sz w:val="22"/>
          <w:szCs w:val="22"/>
        </w:rPr>
        <w:t>.”</w:t>
      </w:r>
    </w:p>
    <w:p w14:paraId="4DA72416" w14:textId="77777777" w:rsidR="00282196" w:rsidRDefault="005F33E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primer lugar,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previstos en el artículo 179 de la Ley en la Materia.</w:t>
      </w:r>
    </w:p>
    <w:p w14:paraId="20203111" w14:textId="77777777" w:rsidR="00282196" w:rsidRDefault="005F33E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esta tesitura, es evidente que no se puede invocar el precepto legal 191 de la Ley en cita ulteriormente a que ha sido admitido, determinando la actualización de un </w:t>
      </w:r>
      <w:proofErr w:type="spellStart"/>
      <w:r>
        <w:rPr>
          <w:rFonts w:ascii="Palatino Linotype" w:eastAsia="Palatino Linotype" w:hAnsi="Palatino Linotype" w:cs="Palatino Linotype"/>
        </w:rPr>
        <w:lastRenderedPageBreak/>
        <w:t>desechamiento</w:t>
      </w:r>
      <w:proofErr w:type="spellEnd"/>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porque está ya sería posterior a la etapa procedimental en la que debió desecharse.</w:t>
      </w:r>
    </w:p>
    <w:p w14:paraId="0E07212F" w14:textId="77777777" w:rsidR="00282196" w:rsidRDefault="005F33E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Cobrando aplicación lo previsto en la fracción IV del artículo 192, en razón a que al haber sido el recurso y al actualizarse una causal de improcedencia, debe ser sobreseído. </w:t>
      </w:r>
    </w:p>
    <w:p w14:paraId="4290D0E8" w14:textId="77777777" w:rsidR="00282196" w:rsidRDefault="005F33E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de las constancias que obran en el expediente de mérito, se advierte que se actualiza la causal de sobreseimiento enunciada en la fracción IV del artículo 192 de la Ley de Transparencia y Acceso a la Información Pública del Estado de México y Municipios, en relación directa con la fracción I del artículo 191 de la misma Ley, por no existir elementos de procedencia.</w:t>
      </w:r>
    </w:p>
    <w:p w14:paraId="48AB1D09" w14:textId="77777777" w:rsidR="00282196" w:rsidRDefault="005F33E4">
      <w:pPr>
        <w:spacing w:before="28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Lo anterior se afirma así, en virtud de que no escapa de la óptica de este Organismo Garante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dio respuesta a la solicitud de información el día </w:t>
      </w:r>
      <w:r>
        <w:rPr>
          <w:rFonts w:ascii="Palatino Linotype" w:eastAsia="Palatino Linotype" w:hAnsi="Palatino Linotype" w:cs="Palatino Linotype"/>
          <w:b/>
        </w:rPr>
        <w:t xml:space="preserve">uno de febrero de dos mil veintidós, </w:t>
      </w:r>
      <w:r>
        <w:rPr>
          <w:rFonts w:ascii="Palatino Linotype" w:eastAsia="Palatino Linotype" w:hAnsi="Palatino Linotype" w:cs="Palatino Linotype"/>
        </w:rPr>
        <w:t xml:space="preserve">mientras que el particular interpuso el recurso de revisión que nos ocupa hasta el día </w:t>
      </w:r>
      <w:r>
        <w:rPr>
          <w:rFonts w:ascii="Palatino Linotype" w:eastAsia="Palatino Linotype" w:hAnsi="Palatino Linotype" w:cs="Palatino Linotype"/>
          <w:b/>
        </w:rPr>
        <w:t xml:space="preserve">veintiocho de febrero de dos mil veintidós, </w:t>
      </w:r>
      <w:r>
        <w:rPr>
          <w:rFonts w:ascii="Palatino Linotype" w:eastAsia="Palatino Linotype" w:hAnsi="Palatino Linotype" w:cs="Palatino Linotype"/>
        </w:rPr>
        <w:t xml:space="preserve">de tal suerte que trascurrieron </w:t>
      </w:r>
      <w:r>
        <w:rPr>
          <w:rFonts w:ascii="Palatino Linotype" w:eastAsia="Palatino Linotype" w:hAnsi="Palatino Linotype" w:cs="Palatino Linotype"/>
          <w:b/>
        </w:rPr>
        <w:t>dieciocho días hábiles desde la notificación de la respuesta, hasta el día de la interposición del medio de impugnación.</w:t>
      </w:r>
    </w:p>
    <w:p w14:paraId="6785CA6B" w14:textId="77777777" w:rsidR="00282196" w:rsidRDefault="005F33E4">
      <w:pPr>
        <w:spacing w:before="280" w:after="280" w:line="360" w:lineRule="auto"/>
        <w:jc w:val="both"/>
        <w:rPr>
          <w:highlight w:val="red"/>
        </w:rPr>
      </w:pPr>
      <w:r>
        <w:rPr>
          <w:rFonts w:ascii="Palatino Linotype" w:eastAsia="Palatino Linotype" w:hAnsi="Palatino Linotype" w:cs="Palatino Linotype"/>
        </w:rPr>
        <w:lastRenderedPageBreak/>
        <w:t xml:space="preserve">Lo anterior se afirma así, en virtud de que el plazo de quince días previsto en el artículo 178 de la Ley de Transparencia y Acceso a la Información Pública del Estado de México y Municipios citado con antelación, comenzó a computarse a partir del día </w:t>
      </w:r>
      <w:r>
        <w:rPr>
          <w:rFonts w:ascii="Palatino Linotype" w:eastAsia="Palatino Linotype" w:hAnsi="Palatino Linotype" w:cs="Palatino Linotype"/>
          <w:b/>
        </w:rPr>
        <w:t>dos de febrero de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u w:val="single"/>
        </w:rPr>
        <w:t xml:space="preserve">feneció el día </w:t>
      </w:r>
      <w:r>
        <w:rPr>
          <w:rFonts w:ascii="Palatino Linotype" w:eastAsia="Palatino Linotype" w:hAnsi="Palatino Linotype" w:cs="Palatino Linotype"/>
          <w:b/>
          <w:u w:val="single"/>
        </w:rPr>
        <w:t>veintitrés de febrero de dos mil veintidós</w:t>
      </w:r>
      <w:r>
        <w:rPr>
          <w:rFonts w:ascii="Palatino Linotype" w:eastAsia="Palatino Linotype" w:hAnsi="Palatino Linotype" w:cs="Palatino Linotype"/>
        </w:rPr>
        <w:t>,  sin tomar en cuenta los días cinco, seis, doce, trece, diecinueve y veinte de febrero, en términos del artículo 3, fracción X</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de la Ley de la Materia y el ACUERDO SEGUNDO del Acuerdo por el cual se expide el Calendario Oficial en Materia de Transparencia, Acceso a la Información Pública y Protección de Datos Personales del Estado de México y Municipios, así como de labores de este Organismo Garante para el año dos mil veintidós y enero del dos mil veintitrés</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w:t>
      </w:r>
      <w:r>
        <w:rPr>
          <w:rFonts w:ascii="Palatino Linotype" w:eastAsia="Palatino Linotype" w:hAnsi="Palatino Linotype" w:cs="Palatino Linotype"/>
          <w:highlight w:val="red"/>
        </w:rPr>
        <w:t xml:space="preserve"> </w:t>
      </w:r>
    </w:p>
    <w:p w14:paraId="12B35725" w14:textId="77777777" w:rsidR="00282196" w:rsidRDefault="005F33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hasta aquí expuesto, es evidente que el presente asunto actualiza la causal de improcedencia enunciada en el artículo 191 fracción I de la Ley de Transparencia y Acceso a la Información Pública del Estado de México y Municipios, en virtud de que el recurso de revisión fue presentado fuera del plazo señalado en el artículo 178 de la Ley de la Materia; situación que trae aparejada el sobreseimiento, atendiendo a lo dispuesto en el artículo 192 fracción IV del citado ordenamiento legal. </w:t>
      </w:r>
    </w:p>
    <w:p w14:paraId="0522EBFB" w14:textId="77777777" w:rsidR="00282196" w:rsidRDefault="005F33E4">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Sirve como criterio orientador, lo establecido en la Jurisprudencia 1ª.J3/99 de la Novena Época, emitida por la Primera Sala de la Suprema Corte de Justicia de la Nación, publicada en el Semanario Judicial de la Federación y su Gaceta, que en lo conducente dispone: </w:t>
      </w:r>
    </w:p>
    <w:p w14:paraId="27C39EE1" w14:textId="77777777" w:rsidR="00282196" w:rsidRDefault="005F33E4">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IMPROCEDENCIA. ESTUDIO PREFERENCIAL DE LAS CAUSALES PREVISTAS EN EL ARTÍCULO 73 DE LA LEY DE AMPARO.</w:t>
      </w:r>
      <w:r>
        <w:rPr>
          <w:rFonts w:ascii="Palatino Linotype" w:eastAsia="Palatino Linotype" w:hAnsi="Palatino Linotype" w:cs="Palatino Linotype"/>
          <w:i/>
          <w:sz w:val="22"/>
          <w:szCs w:val="22"/>
        </w:rPr>
        <w:t xml:space="preserve"> De conformidad con lo dispuesto en el último párrafo del artículo 73 de la Ley de Amparo las causales de improcedencia deben ser examinadas de oficio y debe abordarse en cualquier instancia en que el juicio se encuentre; de tal manera que si en la revisión se advierte que existen otras causas de estudio preferente a la invocada por el Juez para sobreseer, habrán de analizarse, sin atender razonamiento alguno expresado por el recurrente…”</w:t>
      </w:r>
    </w:p>
    <w:p w14:paraId="16B2D50A" w14:textId="77777777" w:rsidR="00282196" w:rsidRDefault="005F33E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Atento a los razonamientos lógico jurídicos que han quedado precisados y toda vez que el  </w:t>
      </w:r>
      <w:r>
        <w:rPr>
          <w:rFonts w:ascii="Palatino Linotype" w:eastAsia="Palatino Linotype" w:hAnsi="Palatino Linotype" w:cs="Palatino Linotype"/>
          <w:b/>
          <w:i/>
        </w:rPr>
        <w:t>sobreseimiento</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Pr>
          <w:rFonts w:ascii="Palatino Linotype" w:eastAsia="Palatino Linotype" w:hAnsi="Palatino Linotype" w:cs="Palatino Linotype"/>
          <w:b/>
        </w:rPr>
        <w:t>SOBRESEIMIENTO, NO PERMITE ENTRAR AL ESTUDIO DE LAS CUESTIONES DE FONDO</w:t>
      </w:r>
      <w:r>
        <w:rPr>
          <w:rFonts w:ascii="Palatino Linotype" w:eastAsia="Palatino Linotype" w:hAnsi="Palatino Linotype" w:cs="Palatino Linotype"/>
          <w:vertAlign w:val="superscript"/>
        </w:rPr>
        <w:footnoteReference w:id="4"/>
      </w:r>
      <w:r>
        <w:rPr>
          <w:rFonts w:ascii="Palatino Linotype" w:eastAsia="Palatino Linotype" w:hAnsi="Palatino Linotype" w:cs="Palatino Linotype"/>
          <w:b/>
        </w:rPr>
        <w:t>.</w:t>
      </w:r>
    </w:p>
    <w:p w14:paraId="65A3960E" w14:textId="77777777" w:rsidR="00282196" w:rsidRDefault="005F33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resulta procedente </w:t>
      </w:r>
      <w:r>
        <w:rPr>
          <w:rFonts w:ascii="Palatino Linotype" w:eastAsia="Palatino Linotype" w:hAnsi="Palatino Linotype" w:cs="Palatino Linotype"/>
          <w:b/>
          <w:i/>
        </w:rPr>
        <w:t>sobreseer</w:t>
      </w:r>
      <w:r>
        <w:rPr>
          <w:rFonts w:ascii="Palatino Linotype" w:eastAsia="Palatino Linotype" w:hAnsi="Palatino Linotype" w:cs="Palatino Linotype"/>
        </w:rPr>
        <w:t xml:space="preserve"> el recurso de revisión materia de la presente resolución en términos del artículo 186 fracción I de la de la Ley de Transparencia y Acceso a la Información Pública del Estado de México y Municipios en relación directa con los artículos 191 fracción I y 192 fracción IV de mismo ordenamiento legal, citados con anterioridad, pues se actualizó una causal de </w:t>
      </w:r>
      <w:r>
        <w:rPr>
          <w:rFonts w:ascii="Palatino Linotype" w:eastAsia="Palatino Linotype" w:hAnsi="Palatino Linotype" w:cs="Palatino Linotype"/>
        </w:rPr>
        <w:lastRenderedPageBreak/>
        <w:t>improcedencia; ya que fue interpuesto fuera del plazo legal establecido para tal efecto.</w:t>
      </w:r>
    </w:p>
    <w:p w14:paraId="4FC0847B" w14:textId="77777777" w:rsidR="00282196" w:rsidRDefault="005F33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27A74404" w14:textId="77777777" w:rsidR="00282196" w:rsidRDefault="005F33E4">
      <w:pPr>
        <w:numPr>
          <w:ilvl w:val="0"/>
          <w:numId w:val="1"/>
        </w:numPr>
        <w:pBdr>
          <w:top w:val="nil"/>
          <w:left w:val="nil"/>
          <w:bottom w:val="nil"/>
          <w:right w:val="nil"/>
          <w:between w:val="nil"/>
        </w:pBdr>
        <w:spacing w:before="240" w:after="240" w:line="360" w:lineRule="auto"/>
        <w:ind w:left="0" w:firstLine="0"/>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56E9256B" w14:textId="77777777" w:rsidR="00282196" w:rsidRDefault="005F33E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bookmarkStart w:id="1" w:name="_heading=h.1fob9te" w:colFirst="0" w:colLast="0"/>
      <w:bookmarkEnd w:id="1"/>
      <w:r>
        <w:rPr>
          <w:rFonts w:ascii="Palatino Linotype" w:eastAsia="Palatino Linotype" w:hAnsi="Palatino Linotype" w:cs="Palatino Linotype"/>
          <w:b/>
          <w:color w:val="000000"/>
        </w:rPr>
        <w:t xml:space="preserve">Primero. </w:t>
      </w:r>
      <w:r>
        <w:rPr>
          <w:rFonts w:ascii="Palatino Linotype" w:eastAsia="Palatino Linotype" w:hAnsi="Palatino Linotype" w:cs="Palatino Linotype"/>
        </w:rPr>
        <w:t xml:space="preserve">Se </w:t>
      </w:r>
      <w:r>
        <w:rPr>
          <w:rFonts w:ascii="Palatino Linotype" w:eastAsia="Palatino Linotype" w:hAnsi="Palatino Linotype" w:cs="Palatino Linotype"/>
          <w:b/>
        </w:rPr>
        <w:t>Sobresee</w:t>
      </w:r>
      <w:r>
        <w:rPr>
          <w:rFonts w:ascii="Palatino Linotype" w:eastAsia="Palatino Linotype" w:hAnsi="Palatino Linotype" w:cs="Palatino Linotype"/>
        </w:rPr>
        <w:t xml:space="preserve"> el recurso de revisión número </w:t>
      </w:r>
      <w:r>
        <w:rPr>
          <w:rFonts w:ascii="Palatino Linotype" w:eastAsia="Palatino Linotype" w:hAnsi="Palatino Linotype" w:cs="Palatino Linotype"/>
          <w:b/>
        </w:rPr>
        <w:t>02354/INFOEM/IP/RR/2022,</w:t>
      </w:r>
      <w:r>
        <w:rPr>
          <w:rFonts w:ascii="Palatino Linotype" w:eastAsia="Palatino Linotype" w:hAnsi="Palatino Linotype" w:cs="Palatino Linotype"/>
        </w:rPr>
        <w:t xml:space="preserve"> porque una vez admitido se actualizó la causal de improcedencia prevista en el artículo 192 fracción IV, en relación con la fracción I del artículo 191, de la Ley de Transparencia vigente en la entidad, que lo dejó sin materia en términos del </w:t>
      </w:r>
      <w:r>
        <w:rPr>
          <w:rFonts w:ascii="Palatino Linotype" w:eastAsia="Palatino Linotype" w:hAnsi="Palatino Linotype" w:cs="Palatino Linotype"/>
          <w:b/>
        </w:rPr>
        <w:t>Considerando Segundo</w:t>
      </w:r>
      <w:r>
        <w:rPr>
          <w:rFonts w:ascii="Palatino Linotype" w:eastAsia="Palatino Linotype" w:hAnsi="Palatino Linotype" w:cs="Palatino Linotype"/>
        </w:rPr>
        <w:t xml:space="preserve"> de la presente resolución.</w:t>
      </w:r>
    </w:p>
    <w:p w14:paraId="494D5D27" w14:textId="77777777" w:rsidR="00282196" w:rsidRDefault="005F33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Notifíquese, </w:t>
      </w:r>
      <w:r>
        <w:rPr>
          <w:rFonts w:ascii="Palatino Linotype" w:eastAsia="Palatino Linotype" w:hAnsi="Palatino Linotype" w:cs="Palatino Linotype"/>
        </w:rPr>
        <w:t>vía</w:t>
      </w:r>
      <w:r>
        <w:rPr>
          <w:rFonts w:ascii="Palatino Linotype" w:eastAsia="Palatino Linotype" w:hAnsi="Palatino Linotype" w:cs="Palatino Linotype"/>
          <w:b/>
        </w:rPr>
        <w:t xml:space="preserve"> SAIMEX, a</w:t>
      </w:r>
      <w:r>
        <w:rPr>
          <w:rFonts w:ascii="Palatino Linotype" w:eastAsia="Palatino Linotype" w:hAnsi="Palatino Linotype" w:cs="Palatino Linotype"/>
        </w:rPr>
        <w:t xml:space="preserve">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su conocimiento.</w:t>
      </w:r>
    </w:p>
    <w:p w14:paraId="37FB6E7F" w14:textId="77777777" w:rsidR="00282196" w:rsidRDefault="005F33E4">
      <w:pPr>
        <w:spacing w:before="240" w:after="240" w:line="360" w:lineRule="auto"/>
        <w:jc w:val="both"/>
        <w:rPr>
          <w:rFonts w:ascii="Palatino Linotype" w:eastAsia="Palatino Linotype" w:hAnsi="Palatino Linotype" w:cs="Palatino Linotype"/>
        </w:rPr>
      </w:pPr>
      <w:bookmarkStart w:id="2" w:name="_heading=h.gjdgxs" w:colFirst="0" w:colLast="0"/>
      <w:bookmarkEnd w:id="2"/>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a</w:t>
      </w:r>
      <w:r>
        <w:rPr>
          <w:rFonts w:ascii="Palatino Linotype" w:eastAsia="Palatino Linotype" w:hAnsi="Palatino Linotype" w:cs="Palatino Linotype"/>
          <w:b/>
        </w:rPr>
        <w:t>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43CAC2FF" w14:textId="55157EA7" w:rsidR="00282196" w:rsidRDefault="005F33E4">
      <w:pPr>
        <w:spacing w:before="240" w:after="240" w:line="360" w:lineRule="auto"/>
        <w:jc w:val="both"/>
        <w:rPr>
          <w:rFonts w:ascii="Palatino Linotype" w:eastAsia="Palatino Linotype" w:hAnsi="Palatino Linotype" w:cs="Palatino Linotype"/>
        </w:rPr>
        <w:sectPr w:rsidR="00282196">
          <w:headerReference w:type="default" r:id="rId17"/>
          <w:footerReference w:type="default" r:id="rId18"/>
          <w:headerReference w:type="first" r:id="rId19"/>
          <w:footerReference w:type="first" r:id="rId20"/>
          <w:pgSz w:w="12240" w:h="15840"/>
          <w:pgMar w:top="1417" w:right="1750" w:bottom="1417" w:left="1701" w:header="708" w:footer="708" w:gutter="0"/>
          <w:pgNumType w:start="1"/>
          <w:cols w:space="720"/>
          <w:titlePg/>
        </w:sectPr>
      </w:pPr>
      <w:r>
        <w:rPr>
          <w:rFonts w:ascii="Palatino Linotype" w:eastAsia="Palatino Linotype" w:hAnsi="Palatino Linotype" w:cs="Palatino Linotype"/>
        </w:rPr>
        <w:t xml:space="preserve">ASÍ LO RESUELVE, POR UNANIMIDAD DE VOTOS EL PLENO DEL INSTITUTO DE TRANSPARENCIA, ACCESO A LA INFORMACIÓN PÚBLICA Y </w:t>
      </w:r>
      <w:r>
        <w:rPr>
          <w:rFonts w:ascii="Palatino Linotype" w:eastAsia="Palatino Linotype" w:hAnsi="Palatino Linotype" w:cs="Palatino Linotype"/>
        </w:rPr>
        <w:lastRenderedPageBreak/>
        <w:t>PROTECCIÓN DE DATOS PERSONALES DEL ESTADO DE MÉXICO Y MUNICIPIOS, CONFORMADO POR LOS COMISIONADOS JOSÉ MARTÍNEZ VILCHIS; MARÍA DEL ROSARIO MEJÍA AYALA;</w:t>
      </w:r>
      <w:r w:rsidR="00FB4D3A">
        <w:rPr>
          <w:rFonts w:ascii="Palatino Linotype" w:eastAsia="Palatino Linotype" w:hAnsi="Palatino Linotype" w:cs="Palatino Linotype"/>
        </w:rPr>
        <w:t xml:space="preserve"> SHARON CRISTINA MORALES MARTÍNEZ, </w:t>
      </w:r>
      <w:r>
        <w:rPr>
          <w:rFonts w:ascii="Palatino Linotype" w:eastAsia="Palatino Linotype" w:hAnsi="Palatino Linotype" w:cs="Palatino Linotype"/>
        </w:rPr>
        <w:t xml:space="preserve"> LUIS GUSTAVO PARRA NORIEGA Y GUADALUPE RAMÍREZ PEÑA; EN LA DÉCIMO NOVENA SESIÓN ORDINARIA CELEBRADA EL VEINTICINCO DE MAYO DEL DOS MIL VEINTIDÓS, ANTE EL SECRETARIO </w:t>
      </w: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4821B49A" wp14:editId="501A517C">
                <wp:simplePos x="0" y="0"/>
                <wp:positionH relativeFrom="column">
                  <wp:posOffset>34289</wp:posOffset>
                </wp:positionH>
                <wp:positionV relativeFrom="paragraph">
                  <wp:posOffset>2070099</wp:posOffset>
                </wp:positionV>
                <wp:extent cx="5324475" cy="54197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324475" cy="5419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1E507F"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163pt" to="421.95pt,5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" strokecolor="black [3040]"/>
            </w:pict>
          </mc:Fallback>
        </mc:AlternateContent>
      </w:r>
      <w:r>
        <w:rPr>
          <w:rFonts w:ascii="Palatino Linotype" w:eastAsia="Palatino Linotype" w:hAnsi="Palatino Linotype" w:cs="Palatino Linotype"/>
        </w:rPr>
        <w:t>TÉCNICO DEL PLENO, ALEXIS TAPIA RAMÍREZ.</w:t>
      </w:r>
    </w:p>
    <w:p w14:paraId="54A787B4" w14:textId="77777777" w:rsidR="00282196" w:rsidRDefault="0028219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3A0DE0C7" w14:textId="77777777" w:rsidR="00282196" w:rsidRDefault="0028219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41750AB5" w14:textId="77777777" w:rsidR="00282196" w:rsidRDefault="0028219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282196">
      <w:headerReference w:type="first" r:id="rId21"/>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EB1711" w14:textId="77777777" w:rsidR="007F0819" w:rsidRDefault="007F0819">
      <w:r>
        <w:separator/>
      </w:r>
    </w:p>
  </w:endnote>
  <w:endnote w:type="continuationSeparator" w:id="0">
    <w:p w14:paraId="349E2E01" w14:textId="77777777" w:rsidR="007F0819" w:rsidRDefault="007F0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D32F9" w14:textId="77777777" w:rsidR="00282196" w:rsidRDefault="005F33E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22310">
      <w:rPr>
        <w:rFonts w:ascii="Arial" w:eastAsia="Arial" w:hAnsi="Arial" w:cs="Arial"/>
        <w:b/>
        <w:noProof/>
        <w:color w:val="000000"/>
        <w:sz w:val="20"/>
        <w:szCs w:val="20"/>
      </w:rPr>
      <w:t>14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22310">
      <w:rPr>
        <w:rFonts w:ascii="Arial" w:eastAsia="Arial" w:hAnsi="Arial" w:cs="Arial"/>
        <w:b/>
        <w:noProof/>
        <w:color w:val="000000"/>
        <w:sz w:val="20"/>
        <w:szCs w:val="20"/>
      </w:rPr>
      <w:t>16</w:t>
    </w:r>
    <w:r>
      <w:rPr>
        <w:rFonts w:ascii="Arial" w:eastAsia="Arial" w:hAnsi="Arial" w:cs="Arial"/>
        <w:b/>
        <w:color w:val="000000"/>
        <w:sz w:val="20"/>
        <w:szCs w:val="20"/>
      </w:rPr>
      <w:fldChar w:fldCharType="end"/>
    </w:r>
  </w:p>
  <w:p w14:paraId="49892E88" w14:textId="77777777" w:rsidR="00282196" w:rsidRDefault="00282196">
    <w:pPr>
      <w:pBdr>
        <w:top w:val="nil"/>
        <w:left w:val="nil"/>
        <w:bottom w:val="nil"/>
        <w:right w:val="nil"/>
        <w:between w:val="nil"/>
      </w:pBdr>
      <w:tabs>
        <w:tab w:val="center" w:pos="4252"/>
        <w:tab w:val="right" w:pos="8504"/>
      </w:tabs>
      <w:rPr>
        <w:color w:val="000000"/>
      </w:rPr>
    </w:pPr>
  </w:p>
  <w:p w14:paraId="2ECAFA77" w14:textId="77777777" w:rsidR="00282196" w:rsidRDefault="0028219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8C805" w14:textId="77777777" w:rsidR="00282196" w:rsidRDefault="005F33E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2231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22310">
      <w:rPr>
        <w:rFonts w:ascii="Arial" w:eastAsia="Arial" w:hAnsi="Arial" w:cs="Arial"/>
        <w:b/>
        <w:noProof/>
        <w:color w:val="000000"/>
        <w:sz w:val="20"/>
        <w:szCs w:val="20"/>
      </w:rPr>
      <w:t>16</w:t>
    </w:r>
    <w:r>
      <w:rPr>
        <w:rFonts w:ascii="Arial" w:eastAsia="Arial" w:hAnsi="Arial" w:cs="Arial"/>
        <w:b/>
        <w:color w:val="000000"/>
        <w:sz w:val="20"/>
        <w:szCs w:val="20"/>
      </w:rPr>
      <w:fldChar w:fldCharType="end"/>
    </w:r>
  </w:p>
  <w:p w14:paraId="5EFE5908" w14:textId="77777777" w:rsidR="00282196" w:rsidRDefault="0028219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F9834" w14:textId="77777777" w:rsidR="007F0819" w:rsidRDefault="007F0819">
      <w:r>
        <w:separator/>
      </w:r>
    </w:p>
  </w:footnote>
  <w:footnote w:type="continuationSeparator" w:id="0">
    <w:p w14:paraId="37773595" w14:textId="77777777" w:rsidR="007F0819" w:rsidRDefault="007F0819">
      <w:r>
        <w:continuationSeparator/>
      </w:r>
    </w:p>
  </w:footnote>
  <w:footnote w:id="1">
    <w:p w14:paraId="296EF723" w14:textId="77777777" w:rsidR="00282196" w:rsidRDefault="005F33E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 xml:space="preserve">DESISTIMIENTO DE LA DEMANDA DE AMPARO. CORRESPONDE PROVEER RESPECTO DE ÉL AL JUEZ DE DISTRITO CUANDO SE PLANTEA ESTANDO PENDIENTE LA RESOLUCIÓN DEL RECURSO DE REVISIÓN Y ÉSTE SE DESECHA. El </w:t>
      </w:r>
      <w:proofErr w:type="spellStart"/>
      <w:r>
        <w:rPr>
          <w:rFonts w:ascii="Palatino Linotype" w:eastAsia="Palatino Linotype" w:hAnsi="Palatino Linotype" w:cs="Palatino Linotype"/>
          <w:i/>
          <w:color w:val="000000"/>
          <w:sz w:val="16"/>
          <w:szCs w:val="16"/>
        </w:rPr>
        <w:t>desechamiento</w:t>
      </w:r>
      <w:proofErr w:type="spellEnd"/>
      <w:r>
        <w:rPr>
          <w:rFonts w:ascii="Palatino Linotype" w:eastAsia="Palatino Linotype" w:hAnsi="Palatino Linotype" w:cs="Palatino Linotype"/>
          <w:i/>
          <w:color w:val="000000"/>
          <w:sz w:val="16"/>
          <w:szCs w:val="16"/>
        </w:rPr>
        <w:t xml:space="preserve">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p w14:paraId="210BBCA1" w14:textId="77777777" w:rsidR="00282196" w:rsidRDefault="00282196">
      <w:pPr>
        <w:pBdr>
          <w:top w:val="nil"/>
          <w:left w:val="nil"/>
          <w:bottom w:val="nil"/>
          <w:right w:val="nil"/>
          <w:between w:val="nil"/>
        </w:pBdr>
        <w:rPr>
          <w:rFonts w:ascii="Palatino Linotype" w:eastAsia="Palatino Linotype" w:hAnsi="Palatino Linotype" w:cs="Palatino Linotype"/>
          <w:color w:val="000000"/>
          <w:sz w:val="16"/>
          <w:szCs w:val="16"/>
        </w:rPr>
      </w:pPr>
    </w:p>
  </w:footnote>
  <w:footnote w:id="2">
    <w:p w14:paraId="5A5027D5" w14:textId="77777777" w:rsidR="00282196" w:rsidRDefault="005F33E4">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3. Para los efectos de la presente Ley se entenderá por:</w:t>
      </w:r>
    </w:p>
    <w:p w14:paraId="5014EAD3" w14:textId="77777777" w:rsidR="00282196" w:rsidRDefault="005F33E4">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Días: Todos los días del año a excepción de los sábados, los domingos e inhábiles en términos de lo previsto en el calendario oficial que para tal efecto apruebe el Pleno del Instituto;</w:t>
      </w:r>
    </w:p>
  </w:footnote>
  <w:footnote w:id="3">
    <w:p w14:paraId="4D816F54" w14:textId="77777777" w:rsidR="00282196" w:rsidRDefault="005F33E4">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https://www.infoem.org.mx/doc/acuerdos/20211215_ORD_45_CALENDARIO_OFICIAL_2022_ENERO_2023.pdf</w:t>
      </w:r>
    </w:p>
  </w:footnote>
  <w:footnote w:id="4">
    <w:p w14:paraId="7998B8B6" w14:textId="77777777" w:rsidR="00282196" w:rsidRDefault="005F33E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72F31E18" w14:textId="77777777" w:rsidR="00282196" w:rsidRDefault="005F33E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40A65" w14:textId="77777777" w:rsidR="00282196" w:rsidRDefault="005F33E4">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DF864C0" wp14:editId="4D3DE859">
          <wp:simplePos x="0" y="0"/>
          <wp:positionH relativeFrom="column">
            <wp:posOffset>-1080133</wp:posOffset>
          </wp:positionH>
          <wp:positionV relativeFrom="paragraph">
            <wp:posOffset>-349248</wp:posOffset>
          </wp:positionV>
          <wp:extent cx="7635600" cy="9943200"/>
          <wp:effectExtent l="0" t="0" r="0" b="0"/>
          <wp:wrapNone/>
          <wp:docPr id="6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5"/>
      <w:tblW w:w="6240" w:type="dxa"/>
      <w:tblInd w:w="3746" w:type="dxa"/>
      <w:tblLayout w:type="fixed"/>
      <w:tblLook w:val="0400" w:firstRow="0" w:lastRow="0" w:firstColumn="0" w:lastColumn="0" w:noHBand="0" w:noVBand="1"/>
    </w:tblPr>
    <w:tblGrid>
      <w:gridCol w:w="2553"/>
      <w:gridCol w:w="3687"/>
    </w:tblGrid>
    <w:tr w:rsidR="00282196" w14:paraId="5252AD81" w14:textId="77777777">
      <w:tc>
        <w:tcPr>
          <w:tcW w:w="2553" w:type="dxa"/>
          <w:vAlign w:val="center"/>
        </w:tcPr>
        <w:p w14:paraId="61DFCBDC" w14:textId="77777777" w:rsidR="00282196" w:rsidRDefault="005F33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619CAAD6" w14:textId="77777777" w:rsidR="00282196" w:rsidRDefault="005F33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02354/INFOEM/IP/RR/2022</w:t>
          </w:r>
        </w:p>
      </w:tc>
    </w:tr>
    <w:tr w:rsidR="00282196" w14:paraId="13E9B750" w14:textId="77777777">
      <w:trPr>
        <w:trHeight w:val="228"/>
      </w:trPr>
      <w:tc>
        <w:tcPr>
          <w:tcW w:w="2553" w:type="dxa"/>
          <w:vAlign w:val="center"/>
        </w:tcPr>
        <w:p w14:paraId="48D71EEE" w14:textId="77777777" w:rsidR="00282196" w:rsidRDefault="005F33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7FCA6DF8" w14:textId="77777777" w:rsidR="00282196" w:rsidRDefault="005F33E4">
          <w:pPr>
            <w:ind w:right="23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Capulhuac</w:t>
          </w:r>
          <w:proofErr w:type="spellEnd"/>
        </w:p>
      </w:tc>
    </w:tr>
    <w:tr w:rsidR="00282196" w14:paraId="4089B588" w14:textId="77777777">
      <w:tc>
        <w:tcPr>
          <w:tcW w:w="2553" w:type="dxa"/>
          <w:vAlign w:val="center"/>
        </w:tcPr>
        <w:p w14:paraId="082A210D" w14:textId="77777777" w:rsidR="00282196" w:rsidRDefault="005F33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5342B0E9" w14:textId="77777777" w:rsidR="00282196" w:rsidRDefault="005F33E4">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E0608E8" w14:textId="77777777" w:rsidR="00282196" w:rsidRDefault="005F33E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14:paraId="489098B4" w14:textId="77777777" w:rsidR="00282196" w:rsidRDefault="00282196">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FD331" w14:textId="77777777" w:rsidR="00282196" w:rsidRDefault="005F33E4">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5B078CED" wp14:editId="4BB63DD5">
          <wp:simplePos x="0" y="0"/>
          <wp:positionH relativeFrom="column">
            <wp:posOffset>-1080133</wp:posOffset>
          </wp:positionH>
          <wp:positionV relativeFrom="paragraph">
            <wp:posOffset>-390523</wp:posOffset>
          </wp:positionV>
          <wp:extent cx="7635600" cy="9943200"/>
          <wp:effectExtent l="0" t="0" r="0" b="0"/>
          <wp:wrapNone/>
          <wp:docPr id="6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6240" w:type="dxa"/>
      <w:tblInd w:w="3685" w:type="dxa"/>
      <w:tblLayout w:type="fixed"/>
      <w:tblLook w:val="0400" w:firstRow="0" w:lastRow="0" w:firstColumn="0" w:lastColumn="0" w:noHBand="0" w:noVBand="1"/>
    </w:tblPr>
    <w:tblGrid>
      <w:gridCol w:w="2553"/>
      <w:gridCol w:w="3687"/>
    </w:tblGrid>
    <w:tr w:rsidR="00282196" w14:paraId="6C3DFC2D" w14:textId="77777777">
      <w:tc>
        <w:tcPr>
          <w:tcW w:w="2553" w:type="dxa"/>
          <w:vAlign w:val="center"/>
        </w:tcPr>
        <w:p w14:paraId="6BA5AF34" w14:textId="77777777" w:rsidR="00282196" w:rsidRDefault="005F33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4E3F44C4" w14:textId="77777777" w:rsidR="00282196" w:rsidRDefault="005F33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02354/INFOEM/IP/RR/2022</w:t>
          </w:r>
        </w:p>
      </w:tc>
    </w:tr>
    <w:tr w:rsidR="00282196" w14:paraId="52DBBDC6" w14:textId="77777777">
      <w:tc>
        <w:tcPr>
          <w:tcW w:w="2553" w:type="dxa"/>
          <w:vAlign w:val="center"/>
        </w:tcPr>
        <w:p w14:paraId="2100368C" w14:textId="77777777" w:rsidR="00282196" w:rsidRDefault="005F33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2039576D" w14:textId="2911D740" w:rsidR="00282196" w:rsidRDefault="001223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w:t>
          </w:r>
        </w:p>
      </w:tc>
    </w:tr>
    <w:tr w:rsidR="00282196" w14:paraId="178EBD86" w14:textId="77777777">
      <w:trPr>
        <w:trHeight w:val="228"/>
      </w:trPr>
      <w:tc>
        <w:tcPr>
          <w:tcW w:w="2553" w:type="dxa"/>
          <w:vAlign w:val="center"/>
        </w:tcPr>
        <w:p w14:paraId="530C3237" w14:textId="77777777" w:rsidR="00282196" w:rsidRDefault="005F33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15EF474B" w14:textId="77777777" w:rsidR="00282196" w:rsidRDefault="005F33E4">
          <w:pPr>
            <w:tabs>
              <w:tab w:val="left" w:pos="2436"/>
            </w:tabs>
            <w:ind w:right="31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Capulhuac</w:t>
          </w:r>
          <w:proofErr w:type="spellEnd"/>
        </w:p>
      </w:tc>
    </w:tr>
    <w:tr w:rsidR="00282196" w14:paraId="0341F315" w14:textId="77777777">
      <w:tc>
        <w:tcPr>
          <w:tcW w:w="2553" w:type="dxa"/>
          <w:vAlign w:val="center"/>
        </w:tcPr>
        <w:p w14:paraId="5A0976C6" w14:textId="77777777" w:rsidR="00282196" w:rsidRDefault="005F33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381E7381" w14:textId="77777777" w:rsidR="00282196" w:rsidRDefault="005F33E4">
          <w:pPr>
            <w:ind w:right="59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4173098" w14:textId="77777777" w:rsidR="00282196" w:rsidRDefault="00282196">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B0F8A" w14:textId="77777777" w:rsidR="00282196" w:rsidRDefault="005F33E4">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452FED09" w14:textId="77777777" w:rsidR="00282196" w:rsidRDefault="0028219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D1F3B"/>
    <w:multiLevelType w:val="multilevel"/>
    <w:tmpl w:val="B066C2E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196"/>
    <w:rsid w:val="00122310"/>
    <w:rsid w:val="001414DC"/>
    <w:rsid w:val="00282196"/>
    <w:rsid w:val="005F33E4"/>
    <w:rsid w:val="00757721"/>
    <w:rsid w:val="007F0819"/>
    <w:rsid w:val="008F6B41"/>
    <w:rsid w:val="00FB4D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0D28A"/>
  <w15:docId w15:val="{CDAA7F9D-FECA-4316-B8DF-6D1EF194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Cygxny70byoNMCP5elLRF0IIqw==">AMUW2mX8yXJsG2AyYU4KYDlSjxbwWoOzgRqzI0sGPM059qunRLx+kZpLfxqIi8GWWpNg9fso1/J6tTFcyke91ugJHciO8LZ7fyDETz9gYfcJVlDvHg3NuLICeLqkTrmce4h2U5tmFlBO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2574</Words>
  <Characters>14159</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5</cp:revision>
  <cp:lastPrinted>2022-05-30T05:48:00Z</cp:lastPrinted>
  <dcterms:created xsi:type="dcterms:W3CDTF">2022-05-27T18:13:00Z</dcterms:created>
  <dcterms:modified xsi:type="dcterms:W3CDTF">2022-06-07T17:12:00Z</dcterms:modified>
</cp:coreProperties>
</file>