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C257B69"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D625C7">
        <w:rPr>
          <w:rFonts w:ascii="Palatino Linotype" w:hAnsi="Palatino Linotype" w:cs="Arial"/>
          <w:color w:val="000000"/>
          <w:lang w:eastAsia="es-MX"/>
        </w:rPr>
        <w:t>veintiocho de septiembre</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5DF93FAD"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D625C7" w:rsidRPr="00D625C7">
        <w:rPr>
          <w:rFonts w:ascii="Palatino Linotype" w:hAnsi="Palatino Linotype" w:cs="Arial"/>
          <w:b/>
          <w:bCs/>
          <w:lang w:eastAsia="es-MX"/>
        </w:rPr>
        <w:t>08425/INFOEM/IP/RR/2022</w:t>
      </w:r>
      <w:r w:rsidR="000D4CB2" w:rsidRPr="00B21190">
        <w:rPr>
          <w:rFonts w:ascii="Palatino Linotype" w:hAnsi="Palatino Linotype" w:cs="Arial"/>
        </w:rPr>
        <w:t xml:space="preserve">, </w:t>
      </w:r>
      <w:r w:rsidR="00154698" w:rsidRPr="007C3942">
        <w:rPr>
          <w:rFonts w:ascii="Palatino Linotype" w:hAnsi="Palatino Linotype" w:cs="Arial"/>
        </w:rPr>
        <w:t>interpuesto por</w:t>
      </w:r>
      <w:r w:rsidR="00154698">
        <w:rPr>
          <w:rFonts w:ascii="Palatino Linotype" w:hAnsi="Palatino Linotype" w:cs="Arial"/>
        </w:rPr>
        <w:t xml:space="preserve"> el </w:t>
      </w:r>
      <w:r w:rsidR="005046A9">
        <w:rPr>
          <w:rFonts w:ascii="Palatino Linotype" w:hAnsi="Palatino Linotype" w:cs="Arial"/>
          <w:b/>
        </w:rPr>
        <w:t>XXXXXXXXXXXXXXXXXXXXXXX</w:t>
      </w:r>
      <w:r w:rsidR="00D625C7" w:rsidRPr="00D625C7">
        <w:rPr>
          <w:rFonts w:ascii="Palatino Linotype" w:hAnsi="Palatino Linotype" w:cs="Arial"/>
          <w:b/>
        </w:rPr>
        <w:t xml:space="preserve"> </w:t>
      </w:r>
      <w:r w:rsidR="005046A9">
        <w:rPr>
          <w:rFonts w:ascii="Palatino Linotype" w:hAnsi="Palatino Linotype" w:cs="Arial"/>
          <w:b/>
        </w:rPr>
        <w:t>XXXXXXX</w:t>
      </w:r>
      <w:r w:rsidR="00154698" w:rsidRPr="007C3942">
        <w:rPr>
          <w:rFonts w:ascii="Palatino Linotype" w:hAnsi="Palatino Linotype" w:cs="Arial"/>
        </w:rPr>
        <w:t xml:space="preserve">, quien en lo sucesivo y para efectos prácticos se le denominara </w:t>
      </w:r>
      <w:r w:rsidR="00154698">
        <w:rPr>
          <w:rFonts w:ascii="Palatino Linotype" w:hAnsi="Palatino Linotype" w:cs="Arial"/>
          <w:b/>
        </w:rPr>
        <w:t>el</w:t>
      </w:r>
      <w:r w:rsidR="00154698" w:rsidRPr="007C3942">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D625C7" w:rsidRPr="00D625C7">
        <w:rPr>
          <w:rFonts w:ascii="Palatino Linotype" w:hAnsi="Palatino Linotype" w:cs="Arial"/>
          <w:b/>
        </w:rPr>
        <w:t>Ayuntamiento de Ecatepec de Morelos</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CA52F70"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D625C7">
        <w:rPr>
          <w:rFonts w:ascii="Palatino Linotype" w:hAnsi="Palatino Linotype" w:cs="Arial"/>
        </w:rPr>
        <w:t>tres de mayo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D625C7" w:rsidRPr="00D625C7">
        <w:rPr>
          <w:rFonts w:ascii="Palatino Linotype" w:hAnsi="Palatino Linotype" w:cs="Arial"/>
          <w:b/>
        </w:rPr>
        <w:t>00505/ECATEPEC/IP/2022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356B4AF2" w14:textId="01AAA243" w:rsidR="0049360F" w:rsidRDefault="008D6D96" w:rsidP="00D625C7">
      <w:pPr>
        <w:ind w:left="851" w:right="851"/>
        <w:jc w:val="both"/>
        <w:rPr>
          <w:rFonts w:ascii="Palatino Linotype" w:hAnsi="Palatino Linotype"/>
          <w:i/>
          <w:lang w:val="es-ES_tradnl"/>
        </w:rPr>
      </w:pPr>
      <w:r w:rsidRPr="006B26E3">
        <w:rPr>
          <w:rFonts w:ascii="Palatino Linotype" w:hAnsi="Palatino Linotype"/>
          <w:i/>
          <w:lang w:val="es-ES_tradnl"/>
        </w:rPr>
        <w:t>“</w:t>
      </w:r>
      <w:r w:rsidR="00D625C7" w:rsidRPr="00D625C7">
        <w:rPr>
          <w:rFonts w:ascii="Palatino Linotype" w:hAnsi="Palatino Linotype"/>
          <w:i/>
          <w:lang w:val="es-ES_tradnl"/>
        </w:rPr>
        <w:t>Que la tesorería informe los montos de recuersos pagados al issseym durante el ejercicio fiscal 2019, 2020, y 2021 así como las fechas de realización de dichos pagos.</w:t>
      </w:r>
      <w:r w:rsidRPr="006B26E3">
        <w:rPr>
          <w:rFonts w:ascii="Palatino Linotype" w:hAnsi="Palatino Linotype"/>
          <w:i/>
          <w:lang w:val="es-ES_tradnl"/>
        </w:rPr>
        <w:t>”</w:t>
      </w:r>
      <w:r w:rsidRPr="006B26E3">
        <w:rPr>
          <w:rFonts w:ascii="Palatino Linotype" w:hAnsi="Palatino Linotype"/>
          <w:lang w:val="es-ES_tradnl"/>
        </w:rPr>
        <w:t xml:space="preserve"> [Sic]</w:t>
      </w:r>
    </w:p>
    <w:p w14:paraId="0A1FA648" w14:textId="77777777" w:rsidR="00D625C7" w:rsidRPr="00D625C7" w:rsidRDefault="00D625C7" w:rsidP="00D625C7">
      <w:pPr>
        <w:ind w:left="851" w:right="851"/>
        <w:jc w:val="both"/>
        <w:rPr>
          <w:rFonts w:ascii="Palatino Linotype" w:hAnsi="Palatino Linotype"/>
          <w:i/>
          <w:lang w:val="es-ES_tradnl"/>
        </w:rPr>
      </w:pPr>
    </w:p>
    <w:p w14:paraId="7793FDA5" w14:textId="57280597"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lastRenderedPageBreak/>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3B0904F4"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D625C7">
        <w:rPr>
          <w:rFonts w:ascii="Palatino Linotype" w:hAnsi="Palatino Linotype" w:cs="Arial"/>
        </w:rPr>
        <w:t>trece de mayo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229DCEAD" w14:textId="77777777" w:rsidR="00D625C7" w:rsidRPr="00D625C7" w:rsidRDefault="008D6D96" w:rsidP="00D625C7">
      <w:pPr>
        <w:ind w:left="851" w:right="851"/>
        <w:jc w:val="right"/>
        <w:rPr>
          <w:rFonts w:ascii="Palatino Linotype" w:hAnsi="Palatino Linotype" w:cs="Arial"/>
          <w:i/>
        </w:rPr>
      </w:pPr>
      <w:r w:rsidRPr="006E2D8D">
        <w:rPr>
          <w:rFonts w:ascii="Palatino Linotype" w:hAnsi="Palatino Linotype" w:cs="Arial"/>
          <w:i/>
        </w:rPr>
        <w:t xml:space="preserve"> “</w:t>
      </w:r>
      <w:r w:rsidR="00D625C7" w:rsidRPr="00D625C7">
        <w:rPr>
          <w:rFonts w:ascii="Palatino Linotype" w:hAnsi="Palatino Linotype" w:cs="Arial"/>
          <w:i/>
        </w:rPr>
        <w:t xml:space="preserve">Folio de la solicitud: </w:t>
      </w:r>
      <w:r w:rsidR="00D625C7" w:rsidRPr="00D625C7">
        <w:rPr>
          <w:rFonts w:ascii="Palatino Linotype" w:hAnsi="Palatino Linotype" w:cs="Arial"/>
          <w:b/>
          <w:bCs/>
          <w:i/>
        </w:rPr>
        <w:t>00505/ECATEPEC/IP/2022</w:t>
      </w:r>
    </w:p>
    <w:p w14:paraId="44AFFEA7" w14:textId="77777777" w:rsidR="00D625C7" w:rsidRDefault="00D625C7" w:rsidP="00D625C7">
      <w:pPr>
        <w:ind w:left="851" w:right="851"/>
        <w:jc w:val="both"/>
        <w:rPr>
          <w:rFonts w:ascii="Palatino Linotype" w:hAnsi="Palatino Linotype" w:cs="Arial"/>
          <w:i/>
        </w:rPr>
      </w:pPr>
    </w:p>
    <w:p w14:paraId="1B0E8DB4" w14:textId="2EC9368B" w:rsidR="00D625C7" w:rsidRDefault="00D625C7" w:rsidP="00D625C7">
      <w:pPr>
        <w:ind w:left="851" w:right="851"/>
        <w:jc w:val="both"/>
        <w:rPr>
          <w:rFonts w:ascii="Palatino Linotype" w:hAnsi="Palatino Linotype" w:cs="Arial"/>
          <w:i/>
        </w:rPr>
      </w:pPr>
      <w:r w:rsidRPr="00D625C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3E3F38" w14:textId="77777777" w:rsidR="00D625C7" w:rsidRPr="00D625C7" w:rsidRDefault="00D625C7" w:rsidP="00D625C7">
      <w:pPr>
        <w:ind w:left="851" w:right="851"/>
        <w:jc w:val="both"/>
        <w:rPr>
          <w:rFonts w:ascii="Palatino Linotype" w:hAnsi="Palatino Linotype" w:cs="Arial"/>
          <w:i/>
        </w:rPr>
      </w:pPr>
    </w:p>
    <w:p w14:paraId="185EF77A" w14:textId="77777777" w:rsidR="00D625C7" w:rsidRPr="00D625C7" w:rsidRDefault="00D625C7" w:rsidP="00D625C7">
      <w:pPr>
        <w:ind w:left="851" w:right="851"/>
        <w:jc w:val="both"/>
        <w:rPr>
          <w:rFonts w:ascii="Palatino Linotype" w:hAnsi="Palatino Linotype" w:cs="Arial"/>
          <w:i/>
        </w:rPr>
      </w:pPr>
      <w:r w:rsidRPr="00D625C7">
        <w:rPr>
          <w:rFonts w:ascii="Palatino Linotype" w:hAnsi="Palatino Linotype" w:cs="Arial"/>
          <w:i/>
        </w:rPr>
        <w:t>El H. Ayuntamiento Constitucional de Ecatepec de Morelos hace de su conocimiento la respuesta emitida por Tesorería Municipal, la cual se anexa al presente en formato PDF.</w:t>
      </w:r>
    </w:p>
    <w:p w14:paraId="7D21979A" w14:textId="77777777" w:rsidR="00D625C7" w:rsidRDefault="00D625C7" w:rsidP="00D625C7">
      <w:pPr>
        <w:ind w:left="851" w:right="851"/>
        <w:jc w:val="both"/>
        <w:rPr>
          <w:rFonts w:ascii="Palatino Linotype" w:hAnsi="Palatino Linotype" w:cs="Arial"/>
          <w:i/>
        </w:rPr>
      </w:pPr>
    </w:p>
    <w:p w14:paraId="0E48C8EF" w14:textId="070C478D" w:rsidR="00D625C7" w:rsidRPr="00D625C7" w:rsidRDefault="00D625C7" w:rsidP="00D625C7">
      <w:pPr>
        <w:ind w:left="851" w:right="851"/>
        <w:jc w:val="both"/>
        <w:rPr>
          <w:rFonts w:ascii="Palatino Linotype" w:hAnsi="Palatino Linotype" w:cs="Arial"/>
          <w:i/>
        </w:rPr>
      </w:pPr>
      <w:r w:rsidRPr="00D625C7">
        <w:rPr>
          <w:rFonts w:ascii="Palatino Linotype" w:hAnsi="Palatino Linotype" w:cs="Arial"/>
          <w:i/>
        </w:rPr>
        <w:t>ATENTAMENTE</w:t>
      </w:r>
    </w:p>
    <w:p w14:paraId="3D71D1C1" w14:textId="1951227D" w:rsidR="008D6D96" w:rsidRPr="002246A2" w:rsidRDefault="00D625C7" w:rsidP="00D625C7">
      <w:pPr>
        <w:ind w:left="851" w:right="851"/>
        <w:jc w:val="both"/>
        <w:rPr>
          <w:rFonts w:ascii="Palatino Linotype" w:hAnsi="Palatino Linotype" w:cs="Arial"/>
          <w:i/>
        </w:rPr>
      </w:pPr>
      <w:r w:rsidRPr="00D625C7">
        <w:rPr>
          <w:rFonts w:ascii="Palatino Linotype" w:hAnsi="Palatino Linotype" w:cs="Arial"/>
          <w:i/>
        </w:rPr>
        <w:t>Lic. Brianda Eunice Iberri Estrada</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31B76D53"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0" w:name="_Hlk99652498"/>
      <w:r w:rsidRPr="00BB0886">
        <w:rPr>
          <w:rFonts w:ascii="Palatino Linotype" w:hAnsi="Palatino Linotype"/>
          <w:b/>
          <w:bCs/>
          <w:i/>
          <w:iCs/>
          <w:color w:val="000000"/>
        </w:rPr>
        <w:t>“</w:t>
      </w:r>
      <w:r w:rsidR="00D625C7" w:rsidRPr="00D625C7">
        <w:rPr>
          <w:rFonts w:ascii="Palatino Linotype" w:hAnsi="Palatino Linotype"/>
          <w:b/>
          <w:bCs/>
          <w:i/>
          <w:iCs/>
          <w:color w:val="000000"/>
        </w:rPr>
        <w:t>505-2022.pdf</w:t>
      </w:r>
      <w:r w:rsidRPr="00BB0886">
        <w:rPr>
          <w:rFonts w:ascii="Palatino Linotype" w:hAnsi="Palatino Linotype"/>
          <w:b/>
          <w:bCs/>
          <w:i/>
          <w:iCs/>
          <w:color w:val="000000"/>
        </w:rPr>
        <w:t>”</w:t>
      </w:r>
      <w:bookmarkEnd w:id="0"/>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671575DD"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D625C7">
        <w:rPr>
          <w:rFonts w:ascii="Palatino Linotype" w:hAnsi="Palatino Linotype" w:cs="Arial"/>
        </w:rPr>
        <w:t>dieciocho de mayo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D625C7" w:rsidRPr="00D625C7">
        <w:rPr>
          <w:rFonts w:ascii="Palatino Linotype" w:hAnsi="Palatino Linotype" w:cs="Arial"/>
          <w:b/>
          <w:bCs/>
          <w:lang w:eastAsia="es-MX"/>
        </w:rPr>
        <w:t>08425/INFOEM/IP/RR/2022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4FE295E"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D625C7" w:rsidRPr="00D625C7">
        <w:rPr>
          <w:rFonts w:ascii="Palatino Linotype" w:hAnsi="Palatino Linotype" w:cs="Arial"/>
          <w:bCs/>
          <w:i/>
        </w:rPr>
        <w:t xml:space="preserve">El sujeto obligado </w:t>
      </w:r>
      <w:r w:rsidR="00D625C7" w:rsidRPr="00D625C7">
        <w:rPr>
          <w:rFonts w:ascii="Palatino Linotype" w:hAnsi="Palatino Linotype" w:cs="Arial"/>
          <w:b/>
          <w:i/>
        </w:rPr>
        <w:t>no da respuesta directa a la solicitud de información y en cambio hace dificil elacceso a la información</w:t>
      </w:r>
      <w:r w:rsidR="00D625C7" w:rsidRPr="00D625C7">
        <w:rPr>
          <w:rFonts w:ascii="Palatino Linotype" w:hAnsi="Palatino Linotype" w:cs="Arial"/>
          <w:bCs/>
          <w:i/>
        </w:rPr>
        <w:t xml:space="preserve"> toda vez que dicho sujeto está en posibilidad de entregar la informaciíón facilmente. </w:t>
      </w:r>
      <w:r w:rsidR="00D625C7" w:rsidRPr="00D625C7">
        <w:rPr>
          <w:rFonts w:ascii="Palatino Linotype" w:hAnsi="Palatino Linotype" w:cs="Arial"/>
          <w:b/>
          <w:i/>
        </w:rPr>
        <w:t>En estricto sentido está provocando una busqueda de información en enormes bases de datos.</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23037108"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D625C7" w:rsidRPr="00D625C7">
        <w:rPr>
          <w:rFonts w:ascii="Palatino Linotype" w:hAnsi="Palatino Linotype" w:cs="Arial"/>
          <w:bCs/>
          <w:i/>
        </w:rPr>
        <w:t xml:space="preserve">El sujeto obligado en termios práctios está negando la información, toda vez que en sus bases de datos cuenta con la información de manera rápida, ágil y veraz, y en cambio </w:t>
      </w:r>
      <w:r w:rsidR="00D625C7" w:rsidRPr="00D625C7">
        <w:rPr>
          <w:rFonts w:ascii="Palatino Linotype" w:hAnsi="Palatino Linotype" w:cs="Arial"/>
          <w:b/>
          <w:i/>
        </w:rPr>
        <w:t>me remite a consultar bases de datos complejas que requerirían de todo un equipo de trabajo para poder encontrar la información.</w:t>
      </w:r>
      <w:r w:rsidR="00D625C7" w:rsidRPr="00D625C7">
        <w:rPr>
          <w:rFonts w:ascii="Palatino Linotype" w:hAnsi="Palatino Linotype" w:cs="Arial"/>
          <w:bCs/>
          <w:i/>
        </w:rPr>
        <w:t xml:space="preserve"> El remitirme a otra base de datos a explorar en una multiplicidad de archivos es sólo una manera de bloquear el acceso a la información que tiene el sujeto obligado de manera sencilla y agil.</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F676C3C" w14:textId="4886BCBC" w:rsidR="0014624E" w:rsidRPr="00C21C00"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D377B">
        <w:rPr>
          <w:rFonts w:ascii="Palatino Linotype" w:eastAsiaTheme="minorHAnsi" w:hAnsi="Palatino Linotype" w:cs="Arial"/>
        </w:rPr>
        <w:t>veinticuatro</w:t>
      </w:r>
      <w:r w:rsidR="00C21C00">
        <w:rPr>
          <w:rFonts w:ascii="Palatino Linotype" w:eastAsiaTheme="minorHAnsi" w:hAnsi="Palatino Linotype" w:cs="Arial"/>
        </w:rPr>
        <w:t xml:space="preserve"> de mayo</w:t>
      </w:r>
      <w:r>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lastRenderedPageBreak/>
        <w:t>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C7236B3" w14:textId="74034EFC" w:rsidR="004213E0" w:rsidRDefault="004213E0" w:rsidP="004213E0">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3DFA1FD2" w14:textId="3FA381F2" w:rsidR="005D377B" w:rsidRDefault="005D377B" w:rsidP="004213E0">
      <w:pPr>
        <w:spacing w:line="360" w:lineRule="auto"/>
        <w:jc w:val="both"/>
        <w:rPr>
          <w:rFonts w:ascii="Palatino Linotype" w:eastAsiaTheme="minorHAnsi" w:hAnsi="Palatino Linotype" w:cs="Arial"/>
        </w:rPr>
      </w:pPr>
    </w:p>
    <w:p w14:paraId="6F75496E" w14:textId="7F462105" w:rsidR="00945712" w:rsidRPr="00C557D7" w:rsidRDefault="005D377B" w:rsidP="004213E0">
      <w:pPr>
        <w:spacing w:line="360" w:lineRule="auto"/>
        <w:jc w:val="both"/>
        <w:rPr>
          <w:rFonts w:ascii="Palatino Linotype" w:eastAsiaTheme="minorHAnsi" w:hAnsi="Palatino Linotype" w:cs="Arial"/>
        </w:rPr>
      </w:pPr>
      <w:r w:rsidRPr="005D377B">
        <w:rPr>
          <w:rFonts w:ascii="Palatino Linotype" w:eastAsiaTheme="minorHAnsi" w:hAnsi="Palatino Linotype" w:cs="Arial"/>
          <w:noProof/>
          <w:lang w:val="es-MX" w:eastAsia="es-MX"/>
        </w:rPr>
        <w:drawing>
          <wp:inline distT="0" distB="0" distL="0" distR="0" wp14:anchorId="1AFD0FB5" wp14:editId="68D655A4">
            <wp:extent cx="5760720" cy="1645920"/>
            <wp:effectExtent l="190500" t="190500" r="182880" b="1828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5920"/>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2EF79D19" w14:textId="03D0AEC4" w:rsidR="00F1409B" w:rsidRPr="0014624E" w:rsidRDefault="009F3DA1" w:rsidP="0014624E">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C344A6">
        <w:rPr>
          <w:rFonts w:ascii="Palatino Linotype" w:hAnsi="Palatino Linotype"/>
        </w:rPr>
        <w:t>cinco de julio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Default="00F1409B" w:rsidP="005874D3">
      <w:pPr>
        <w:spacing w:line="360" w:lineRule="auto"/>
        <w:rPr>
          <w:rFonts w:ascii="Palatino Linotype" w:hAnsi="Palatino Linotype"/>
          <w:b/>
          <w:sz w:val="28"/>
          <w:szCs w:val="28"/>
        </w:rPr>
      </w:pP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28B35C15" w14:textId="3B4ACBC3" w:rsidR="0045589A" w:rsidRDefault="005874D3" w:rsidP="004213E0">
      <w:pPr>
        <w:spacing w:line="360" w:lineRule="auto"/>
        <w:jc w:val="both"/>
        <w:rPr>
          <w:rFonts w:ascii="Palatino Linotype" w:hAnsi="Palatino Linotype"/>
        </w:rPr>
      </w:pPr>
      <w:r w:rsidRPr="00FE7E4C">
        <w:rPr>
          <w:rFonts w:ascii="Palatino Linotype" w:hAnsi="Palatino Linotype"/>
        </w:rPr>
        <w:lastRenderedPageBreak/>
        <w:t xml:space="preserve">En fecha </w:t>
      </w:r>
      <w:r w:rsidR="00C344A6">
        <w:rPr>
          <w:rFonts w:ascii="Palatino Linotype" w:hAnsi="Palatino Linotype"/>
        </w:rPr>
        <w:t>seis</w:t>
      </w:r>
      <w:r w:rsidR="00945712">
        <w:rPr>
          <w:rFonts w:ascii="Palatino Linotype" w:hAnsi="Palatino Linotype"/>
        </w:rPr>
        <w:t xml:space="preserve"> de julio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B01D73">
        <w:rPr>
          <w:rFonts w:ascii="Palatino Linotype" w:hAnsi="Palatino Linotype" w:cstheme="majorHAnsi"/>
        </w:rPr>
        <w:lastRenderedPageBreak/>
        <w:t>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1B0A88">
        <w:rPr>
          <w:rFonts w:ascii="Palatino Linotype" w:hAnsi="Palatino Linotype"/>
          <w:lang w:val="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18855099" w:rsidR="00912A21" w:rsidRPr="00597C13" w:rsidRDefault="00B177DF"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06149A">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533DC85" w:rsidR="00912A21" w:rsidRPr="0006149A" w:rsidRDefault="00B177DF"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FF39C1">
        <w:rPr>
          <w:rFonts w:ascii="Palatino Linotype" w:eastAsiaTheme="minorHAnsi" w:hAnsi="Palatino Linotype" w:cs="Arial"/>
          <w:lang w:val="es-MX" w:eastAsia="en-US"/>
        </w:rPr>
        <w:lastRenderedPageBreak/>
        <w:t xml:space="preserve">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4972C8C0" w14:textId="15704072" w:rsidR="00C344A6" w:rsidRPr="00C344A6" w:rsidRDefault="00847043" w:rsidP="009E626E">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w:t>
      </w:r>
      <w:r w:rsidR="009E626E">
        <w:rPr>
          <w:rFonts w:ascii="Palatino Linotype" w:hAnsi="Palatino Linotype" w:cs="Arial"/>
        </w:rPr>
        <w:t>, medularmente</w:t>
      </w:r>
      <w:r w:rsidR="00760FCC">
        <w:rPr>
          <w:rFonts w:ascii="Palatino Linotype" w:hAnsi="Palatino Linotype"/>
        </w:rPr>
        <w:t>,</w:t>
      </w:r>
      <w:r w:rsidR="00BD1BFE">
        <w:rPr>
          <w:rFonts w:ascii="Palatino Linotype" w:hAnsi="Palatino Linotype"/>
        </w:rPr>
        <w:t xml:space="preserve"> </w:t>
      </w:r>
      <w:bookmarkStart w:id="1" w:name="_Hlk111664219"/>
      <w:r w:rsidR="00494245">
        <w:rPr>
          <w:rFonts w:ascii="Palatino Linotype" w:hAnsi="Palatino Linotype"/>
        </w:rPr>
        <w:t xml:space="preserve">el o los documentos en donde conste </w:t>
      </w:r>
      <w:r w:rsidR="009232E7">
        <w:rPr>
          <w:rFonts w:ascii="Palatino Linotype" w:hAnsi="Palatino Linotype"/>
        </w:rPr>
        <w:t>lo siguiente</w:t>
      </w:r>
      <w:r w:rsidR="009232E7" w:rsidRPr="00E152F9">
        <w:rPr>
          <w:rFonts w:ascii="Palatino Linotype" w:hAnsi="Palatino Linotype"/>
        </w:rPr>
        <w:t>:</w:t>
      </w:r>
    </w:p>
    <w:p w14:paraId="3ACCC5BB" w14:textId="0FF04E95" w:rsidR="00E37429" w:rsidRPr="00C344A6" w:rsidRDefault="00C344A6" w:rsidP="00C344A6">
      <w:pPr>
        <w:pStyle w:val="Prrafodelista"/>
        <w:numPr>
          <w:ilvl w:val="0"/>
          <w:numId w:val="17"/>
        </w:numPr>
        <w:spacing w:before="240" w:after="240" w:line="360" w:lineRule="auto"/>
        <w:ind w:left="714" w:hanging="357"/>
        <w:jc w:val="both"/>
        <w:rPr>
          <w:rFonts w:ascii="Palatino Linotype" w:hAnsi="Palatino Linotype"/>
        </w:rPr>
      </w:pPr>
      <w:bookmarkStart w:id="2" w:name="_Hlk96702671"/>
      <w:bookmarkStart w:id="3" w:name="_Hlk99657083"/>
      <w:bookmarkStart w:id="4" w:name="_Hlk114077592"/>
      <w:r>
        <w:rPr>
          <w:rFonts w:ascii="Palatino Linotype" w:hAnsi="Palatino Linotype"/>
        </w:rPr>
        <w:t xml:space="preserve">Fecha de pago y </w:t>
      </w:r>
      <w:r w:rsidRPr="00C344A6">
        <w:rPr>
          <w:rFonts w:ascii="Palatino Linotype" w:hAnsi="Palatino Linotype"/>
        </w:rPr>
        <w:t xml:space="preserve">montos de recursos </w:t>
      </w:r>
      <w:r>
        <w:rPr>
          <w:rFonts w:ascii="Palatino Linotype" w:hAnsi="Palatino Linotype"/>
        </w:rPr>
        <w:t>erogados</w:t>
      </w:r>
      <w:r w:rsidRPr="00C344A6">
        <w:rPr>
          <w:rFonts w:ascii="Palatino Linotype" w:hAnsi="Palatino Linotype"/>
        </w:rPr>
        <w:t xml:space="preserve"> al </w:t>
      </w:r>
      <w:r>
        <w:rPr>
          <w:rFonts w:ascii="Palatino Linotype" w:hAnsi="Palatino Linotype"/>
        </w:rPr>
        <w:t>Instituto de Seguridad Social del Estado de México y Municipios</w:t>
      </w:r>
      <w:r w:rsidRPr="00C344A6">
        <w:rPr>
          <w:rFonts w:ascii="Palatino Linotype" w:hAnsi="Palatino Linotype"/>
        </w:rPr>
        <w:t xml:space="preserve"> durante </w:t>
      </w:r>
      <w:r>
        <w:rPr>
          <w:rFonts w:ascii="Palatino Linotype" w:hAnsi="Palatino Linotype"/>
        </w:rPr>
        <w:t>los</w:t>
      </w:r>
      <w:r w:rsidRPr="00C344A6">
        <w:rPr>
          <w:rFonts w:ascii="Palatino Linotype" w:hAnsi="Palatino Linotype"/>
        </w:rPr>
        <w:t xml:space="preserve"> ejercicio</w:t>
      </w:r>
      <w:r>
        <w:rPr>
          <w:rFonts w:ascii="Palatino Linotype" w:hAnsi="Palatino Linotype"/>
        </w:rPr>
        <w:t>s</w:t>
      </w:r>
      <w:r w:rsidRPr="00C344A6">
        <w:rPr>
          <w:rFonts w:ascii="Palatino Linotype" w:hAnsi="Palatino Linotype"/>
        </w:rPr>
        <w:t xml:space="preserve"> fiscal</w:t>
      </w:r>
      <w:r>
        <w:rPr>
          <w:rFonts w:ascii="Palatino Linotype" w:hAnsi="Palatino Linotype"/>
        </w:rPr>
        <w:t>es</w:t>
      </w:r>
      <w:r w:rsidRPr="00C344A6">
        <w:rPr>
          <w:rFonts w:ascii="Palatino Linotype" w:hAnsi="Palatino Linotype"/>
        </w:rPr>
        <w:t xml:space="preserve"> 2019, 2020, y 2021</w:t>
      </w:r>
      <w:r>
        <w:rPr>
          <w:rFonts w:ascii="Palatino Linotype" w:hAnsi="Palatino Linotype"/>
        </w:rPr>
        <w:t>.</w:t>
      </w:r>
      <w:bookmarkEnd w:id="1"/>
      <w:bookmarkEnd w:id="2"/>
      <w:bookmarkEnd w:id="3"/>
    </w:p>
    <w:bookmarkEnd w:id="4"/>
    <w:p w14:paraId="4CD6D194" w14:textId="1DD8B5BE" w:rsidR="00470D24" w:rsidRDefault="00470D24" w:rsidP="00470D24">
      <w:pPr>
        <w:spacing w:after="240" w:line="360" w:lineRule="auto"/>
        <w:jc w:val="both"/>
        <w:rPr>
          <w:rFonts w:ascii="Palatino Linotype" w:eastAsia="Calibri" w:hAnsi="Palatino Linotype"/>
          <w:b/>
        </w:rPr>
      </w:pPr>
      <w:r>
        <w:rPr>
          <w:rFonts w:ascii="Palatino Linotype" w:eastAsia="Calibri" w:hAnsi="Palatino Linotype"/>
        </w:rPr>
        <w:t>Consecuentemente, el</w:t>
      </w:r>
      <w:r w:rsidRPr="00B26FB2">
        <w:rPr>
          <w:rFonts w:ascii="Palatino Linotype" w:eastAsia="Calibri" w:hAnsi="Palatino Linotype"/>
        </w:rPr>
        <w:t xml:space="preserve"> </w:t>
      </w:r>
      <w:r w:rsidRPr="00B26FB2">
        <w:rPr>
          <w:rFonts w:ascii="Palatino Linotype" w:eastAsia="Calibri" w:hAnsi="Palatino Linotype"/>
          <w:b/>
        </w:rPr>
        <w:t>Sujeto Obligado</w:t>
      </w:r>
      <w:r w:rsidRPr="00B26FB2">
        <w:rPr>
          <w:rFonts w:ascii="Palatino Linotype" w:eastAsia="Calibri" w:hAnsi="Palatino Linotype"/>
        </w:rPr>
        <w:t xml:space="preserve"> emitió respuesta a la solicitud de información con número de folio </w:t>
      </w:r>
      <w:r w:rsidR="00FB0A37" w:rsidRPr="00FB0A37">
        <w:rPr>
          <w:rFonts w:ascii="Palatino Linotype" w:eastAsia="Calibri" w:hAnsi="Palatino Linotype"/>
          <w:b/>
        </w:rPr>
        <w:t>00505/ECATEPEC/IP/2022</w:t>
      </w:r>
      <w:r w:rsidRPr="00B26FB2">
        <w:rPr>
          <w:rFonts w:ascii="Palatino Linotype" w:eastAsia="Calibri" w:hAnsi="Palatino Linotype"/>
          <w:b/>
        </w:rPr>
        <w:t>,</w:t>
      </w:r>
      <w:r>
        <w:rPr>
          <w:rFonts w:ascii="Palatino Linotype" w:eastAsia="Calibri" w:hAnsi="Palatino Linotype"/>
          <w:b/>
        </w:rPr>
        <w:t xml:space="preserve"> </w:t>
      </w:r>
      <w:r w:rsidRPr="00E74021">
        <w:rPr>
          <w:rFonts w:ascii="Palatino Linotype" w:eastAsia="Calibri" w:hAnsi="Palatino Linotype"/>
          <w:bCs/>
        </w:rPr>
        <w:t>informando</w:t>
      </w:r>
      <w:r w:rsidR="00806396">
        <w:rPr>
          <w:rFonts w:ascii="Palatino Linotype" w:eastAsia="Calibri" w:hAnsi="Palatino Linotype"/>
          <w:bCs/>
        </w:rPr>
        <w:t xml:space="preserve"> mediante el oficio número </w:t>
      </w:r>
      <w:r w:rsidR="00FB0A37">
        <w:rPr>
          <w:rFonts w:ascii="Palatino Linotype" w:eastAsia="Calibri" w:hAnsi="Palatino Linotype"/>
          <w:bCs/>
        </w:rPr>
        <w:t>SEySF/TM/2635/2022</w:t>
      </w:r>
      <w:r w:rsidR="00806396">
        <w:rPr>
          <w:rFonts w:ascii="Palatino Linotype" w:eastAsia="Calibri" w:hAnsi="Palatino Linotype"/>
          <w:bCs/>
        </w:rPr>
        <w:t xml:space="preserve">, signado por </w:t>
      </w:r>
      <w:r w:rsidR="00FB0A37">
        <w:rPr>
          <w:rFonts w:ascii="Palatino Linotype" w:eastAsia="Calibri" w:hAnsi="Palatino Linotype"/>
          <w:bCs/>
        </w:rPr>
        <w:t>la Tesorera Municipal</w:t>
      </w:r>
      <w:r>
        <w:rPr>
          <w:rFonts w:ascii="Palatino Linotype" w:eastAsia="Calibri" w:hAnsi="Palatino Linotype"/>
          <w:bCs/>
        </w:rPr>
        <w:t xml:space="preserve"> del Sujeto Obligado</w:t>
      </w:r>
      <w:r w:rsidR="00806396">
        <w:rPr>
          <w:rFonts w:ascii="Palatino Linotype" w:eastAsia="Calibri" w:hAnsi="Palatino Linotype"/>
          <w:bCs/>
        </w:rPr>
        <w:t>,</w:t>
      </w:r>
      <w:r w:rsidRPr="00E74021">
        <w:rPr>
          <w:rFonts w:ascii="Palatino Linotype" w:eastAsia="Calibri" w:hAnsi="Palatino Linotype"/>
          <w:bCs/>
        </w:rPr>
        <w:t xml:space="preserve"> </w:t>
      </w:r>
      <w:r>
        <w:rPr>
          <w:rFonts w:ascii="Palatino Linotype" w:eastAsia="Calibri" w:hAnsi="Palatino Linotype"/>
        </w:rPr>
        <w:lastRenderedPageBreak/>
        <w:t xml:space="preserve">que </w:t>
      </w:r>
      <w:r w:rsidR="006922E4">
        <w:rPr>
          <w:rFonts w:ascii="Palatino Linotype" w:eastAsia="Calibri" w:hAnsi="Palatino Linotype"/>
        </w:rPr>
        <w:t xml:space="preserve">la información solicitada </w:t>
      </w:r>
      <w:r w:rsidR="00FB0A37">
        <w:rPr>
          <w:rFonts w:ascii="Palatino Linotype" w:eastAsia="Calibri" w:hAnsi="Palatino Linotype"/>
        </w:rPr>
        <w:t>se puede consultar en el rubro de Seguridad Social en la página CONAC</w:t>
      </w:r>
      <w:r w:rsidR="006922E4">
        <w:rPr>
          <w:rFonts w:ascii="Palatino Linotype" w:eastAsia="Calibri" w:hAnsi="Palatino Linotype"/>
        </w:rPr>
        <w:t xml:space="preserve">, proporcionando la liga electrónica: </w:t>
      </w:r>
      <w:r w:rsidRPr="00FC158D">
        <w:rPr>
          <w:rFonts w:ascii="Palatino Linotype" w:eastAsia="Calibri" w:hAnsi="Palatino Linotype"/>
        </w:rPr>
        <w:t xml:space="preserve"> </w:t>
      </w:r>
      <w:hyperlink r:id="rId9" w:history="1">
        <w:r w:rsidR="00FB0A37" w:rsidRPr="00276E0A">
          <w:rPr>
            <w:rStyle w:val="Hipervnculo"/>
            <w:rFonts w:ascii="Palatino Linotype" w:eastAsia="Calibri" w:hAnsi="Palatino Linotype"/>
          </w:rPr>
          <w:t>https://www.ecatepec.gob.mx/transparencia-conac</w:t>
        </w:r>
      </w:hyperlink>
      <w:r w:rsidR="00FB0A37">
        <w:rPr>
          <w:rFonts w:ascii="Palatino Linotype" w:eastAsia="Calibri" w:hAnsi="Palatino Linotype"/>
        </w:rPr>
        <w:t xml:space="preserve">. </w:t>
      </w:r>
    </w:p>
    <w:p w14:paraId="6832FF04" w14:textId="77777777" w:rsidR="00470D24" w:rsidRPr="008A5D92" w:rsidRDefault="00470D24" w:rsidP="00470D24">
      <w:pPr>
        <w:spacing w:line="360" w:lineRule="auto"/>
        <w:jc w:val="both"/>
        <w:rPr>
          <w:rFonts w:ascii="Palatino Linotype" w:hAnsi="Palatino Linotype" w:cs="Arial"/>
          <w:b/>
        </w:rPr>
      </w:pPr>
    </w:p>
    <w:p w14:paraId="4EAF7919" w14:textId="2A1F0D2F" w:rsidR="006266F2" w:rsidRDefault="00470D24" w:rsidP="00470D24">
      <w:pPr>
        <w:spacing w:line="360" w:lineRule="auto"/>
        <w:ind w:right="141"/>
        <w:jc w:val="both"/>
        <w:rPr>
          <w:rFonts w:ascii="Palatino Linotype" w:hAnsi="Palatino Linotype" w:cs="Arial"/>
          <w:iCs/>
        </w:rPr>
      </w:pPr>
      <w:r w:rsidRPr="008A5D92">
        <w:rPr>
          <w:rFonts w:ascii="Palatino Linotype" w:hAnsi="Palatino Linotype" w:cs="Arial"/>
          <w:bCs/>
        </w:rPr>
        <w:t xml:space="preserve">Es así que derivado de la respuesta emitida por </w:t>
      </w:r>
      <w:r w:rsidRPr="008A5D92">
        <w:rPr>
          <w:rFonts w:ascii="Palatino Linotype" w:hAnsi="Palatino Linotype" w:cs="Arial"/>
          <w:b/>
          <w:bCs/>
        </w:rPr>
        <w:t>El Sujeto Obligado</w:t>
      </w:r>
      <w:r w:rsidRPr="008A5D92">
        <w:rPr>
          <w:rFonts w:ascii="Palatino Linotype" w:hAnsi="Palatino Linotype" w:cs="Arial"/>
          <w:bCs/>
        </w:rPr>
        <w:t xml:space="preserve">, </w:t>
      </w:r>
      <w:r w:rsidR="00F0085D">
        <w:rPr>
          <w:rFonts w:ascii="Palatino Linotype" w:hAnsi="Palatino Linotype" w:cs="Arial"/>
          <w:b/>
          <w:bCs/>
        </w:rPr>
        <w:t>el</w:t>
      </w:r>
      <w:r w:rsidRPr="008A5D92">
        <w:rPr>
          <w:rFonts w:ascii="Palatino Linotype" w:hAnsi="Palatino Linotype" w:cs="Arial"/>
          <w:b/>
          <w:bCs/>
        </w:rPr>
        <w:t xml:space="preserve"> Recurrente</w:t>
      </w:r>
      <w:r w:rsidRPr="008A5D92">
        <w:rPr>
          <w:rFonts w:ascii="Palatino Linotype" w:hAnsi="Palatino Linotype" w:cs="Arial"/>
          <w:bCs/>
        </w:rPr>
        <w:t xml:space="preserve">, interpuso el presente recurso de revisión, señalando como </w:t>
      </w:r>
      <w:r w:rsidR="006266F2">
        <w:rPr>
          <w:rFonts w:ascii="Palatino Linotype" w:hAnsi="Palatino Linotype" w:cs="Arial"/>
          <w:bCs/>
        </w:rPr>
        <w:t>acto impugnado</w:t>
      </w:r>
      <w:r w:rsidRPr="008A5D92">
        <w:rPr>
          <w:rFonts w:ascii="Palatino Linotype" w:hAnsi="Palatino Linotype" w:cs="Arial"/>
          <w:bCs/>
        </w:rPr>
        <w:t xml:space="preserve"> que: </w:t>
      </w:r>
      <w:r w:rsidR="006266F2" w:rsidRPr="006266F2">
        <w:rPr>
          <w:rFonts w:ascii="Palatino Linotype" w:hAnsi="Palatino Linotype" w:cs="Arial"/>
          <w:bCs/>
          <w:i/>
        </w:rPr>
        <w:t xml:space="preserve">El sujeto obligado no da respuesta directa a la solicitud de información y en cambio hace dificil elacceso a la información toda vez que dicho sujeto está en posibilidad de entregar la informaciíón facilmente. </w:t>
      </w:r>
      <w:r w:rsidR="006266F2" w:rsidRPr="006266F2">
        <w:rPr>
          <w:rFonts w:ascii="Palatino Linotype" w:hAnsi="Palatino Linotype" w:cs="Arial"/>
          <w:b/>
          <w:i/>
        </w:rPr>
        <w:t>En estricto sentido está provocando una busqueda de información en enormes bases de datos.</w:t>
      </w:r>
      <w:r w:rsidRPr="006266F2">
        <w:rPr>
          <w:rFonts w:ascii="Palatino Linotype" w:hAnsi="Palatino Linotype" w:cs="Arial"/>
          <w:b/>
          <w:bCs/>
          <w:i/>
        </w:rPr>
        <w:t>”</w:t>
      </w:r>
      <w:r w:rsidR="006266F2">
        <w:rPr>
          <w:rFonts w:ascii="Palatino Linotype" w:hAnsi="Palatino Linotype" w:cs="Arial"/>
          <w:b/>
          <w:bCs/>
          <w:i/>
        </w:rPr>
        <w:t xml:space="preserve"> </w:t>
      </w:r>
      <w:r w:rsidR="006266F2">
        <w:rPr>
          <w:rFonts w:ascii="Palatino Linotype" w:hAnsi="Palatino Linotype" w:cs="Arial"/>
          <w:iCs/>
        </w:rPr>
        <w:t>Y como Razones o motivos de inconformidad lo siguiente:</w:t>
      </w:r>
    </w:p>
    <w:p w14:paraId="7B453C16" w14:textId="77777777" w:rsidR="006266F2" w:rsidRPr="001B0A88" w:rsidRDefault="006266F2" w:rsidP="006266F2">
      <w:pPr>
        <w:ind w:left="851" w:right="850"/>
        <w:jc w:val="both"/>
        <w:rPr>
          <w:rFonts w:ascii="Palatino Linotype" w:hAnsi="Palatino Linotype" w:cs="Arial"/>
          <w:i/>
        </w:rPr>
      </w:pPr>
      <w:r>
        <w:rPr>
          <w:rFonts w:ascii="Palatino Linotype" w:hAnsi="Palatino Linotype" w:cs="Arial"/>
          <w:i/>
        </w:rPr>
        <w:t>“</w:t>
      </w:r>
      <w:r w:rsidRPr="00D625C7">
        <w:rPr>
          <w:rFonts w:ascii="Palatino Linotype" w:hAnsi="Palatino Linotype" w:cs="Arial"/>
          <w:bCs/>
          <w:i/>
        </w:rPr>
        <w:t xml:space="preserve">El sujeto obligado en termios práctios está negando la información, toda vez que en sus bases de datos cuenta con la información de manera rápida, ágil y veraz, y en cambio </w:t>
      </w:r>
      <w:r w:rsidRPr="00D625C7">
        <w:rPr>
          <w:rFonts w:ascii="Palatino Linotype" w:hAnsi="Palatino Linotype" w:cs="Arial"/>
          <w:b/>
          <w:i/>
        </w:rPr>
        <w:t>me remite a consultar bases de datos complejas que requerirían de todo un equipo de trabajo para poder encontrar la información.</w:t>
      </w:r>
      <w:r w:rsidRPr="00D625C7">
        <w:rPr>
          <w:rFonts w:ascii="Palatino Linotype" w:hAnsi="Palatino Linotype" w:cs="Arial"/>
          <w:bCs/>
          <w:i/>
        </w:rPr>
        <w:t xml:space="preserve"> El remitirme a otra base de datos a explorar en una multiplicidad de archivos es sólo una manera de bloquear el acceso a la información que tiene el sujeto obligado de manera sencilla y agil.</w:t>
      </w:r>
      <w:r w:rsidRPr="00B21190">
        <w:rPr>
          <w:rFonts w:ascii="Palatino Linotype" w:hAnsi="Palatino Linotype" w:cs="Arial"/>
          <w:i/>
        </w:rPr>
        <w:t>” [sic]</w:t>
      </w:r>
    </w:p>
    <w:p w14:paraId="36627C3F" w14:textId="77777777" w:rsidR="006266F2" w:rsidRDefault="006266F2" w:rsidP="00470D24">
      <w:pPr>
        <w:spacing w:line="360" w:lineRule="auto"/>
        <w:ind w:right="141"/>
        <w:jc w:val="both"/>
        <w:rPr>
          <w:rFonts w:ascii="Palatino Linotype" w:hAnsi="Palatino Linotype" w:cs="Arial"/>
          <w:iCs/>
        </w:rPr>
      </w:pPr>
    </w:p>
    <w:p w14:paraId="2B4D8860" w14:textId="77777777" w:rsidR="00470D24" w:rsidRDefault="00470D24" w:rsidP="00470D24">
      <w:pPr>
        <w:spacing w:line="360" w:lineRule="auto"/>
        <w:ind w:right="141"/>
        <w:jc w:val="both"/>
        <w:rPr>
          <w:rFonts w:ascii="Palatino Linotype" w:hAnsi="Palatino Linotype" w:cs="Arial"/>
          <w:bCs/>
        </w:rPr>
      </w:pPr>
    </w:p>
    <w:p w14:paraId="5875A6D0" w14:textId="38E258AA" w:rsidR="00470D24" w:rsidRDefault="00470D24" w:rsidP="00470D24">
      <w:pPr>
        <w:spacing w:line="360" w:lineRule="auto"/>
        <w:ind w:right="141"/>
        <w:jc w:val="both"/>
        <w:rPr>
          <w:rFonts w:ascii="Palatino Linotype" w:hAnsi="Palatino Linotype"/>
          <w:lang w:eastAsia="es-MX"/>
        </w:rPr>
      </w:pPr>
      <w:r w:rsidRPr="001B0708">
        <w:rPr>
          <w:rFonts w:ascii="Palatino Linotype" w:hAnsi="Palatino Linotype"/>
          <w:lang w:eastAsia="es-MX"/>
        </w:rPr>
        <w:t xml:space="preserve">Así, este Órgano Garante estima que las razones o motivos de </w:t>
      </w:r>
      <w:r>
        <w:rPr>
          <w:rFonts w:ascii="Palatino Linotype" w:hAnsi="Palatino Linotype"/>
          <w:lang w:eastAsia="es-MX"/>
        </w:rPr>
        <w:t xml:space="preserve">inconformidad hechos valer por </w:t>
      </w:r>
      <w:r w:rsidR="00F0085D">
        <w:rPr>
          <w:rFonts w:ascii="Palatino Linotype" w:hAnsi="Palatino Linotype"/>
          <w:b/>
          <w:lang w:eastAsia="es-MX"/>
        </w:rPr>
        <w:t>el</w:t>
      </w:r>
      <w:r w:rsidRPr="001B0708">
        <w:rPr>
          <w:rFonts w:ascii="Palatino Linotype" w:hAnsi="Palatino Linotype"/>
          <w:b/>
          <w:lang w:eastAsia="es-MX"/>
        </w:rPr>
        <w:t xml:space="preserve"> Recurrente</w:t>
      </w:r>
      <w:r w:rsidRPr="001B0708">
        <w:rPr>
          <w:rFonts w:ascii="Palatino Linotype" w:hAnsi="Palatino Linotype"/>
          <w:lang w:eastAsia="es-MX"/>
        </w:rPr>
        <w:t xml:space="preserve"> son fundados, tomando en cuenta las siguientes consideraciones de hecho y de derecho:</w:t>
      </w:r>
    </w:p>
    <w:p w14:paraId="348D4E88" w14:textId="77777777" w:rsidR="00470D24" w:rsidRDefault="00470D24" w:rsidP="00470D24">
      <w:pPr>
        <w:spacing w:line="360" w:lineRule="auto"/>
        <w:ind w:right="141"/>
        <w:jc w:val="both"/>
        <w:rPr>
          <w:rFonts w:ascii="Palatino Linotype" w:hAnsi="Palatino Linotype"/>
          <w:lang w:eastAsia="es-MX"/>
        </w:rPr>
      </w:pPr>
    </w:p>
    <w:p w14:paraId="2C0A907F" w14:textId="77777777" w:rsidR="00470D24" w:rsidRPr="000D7F2B" w:rsidRDefault="00470D24" w:rsidP="00470D24">
      <w:pPr>
        <w:spacing w:line="360" w:lineRule="auto"/>
        <w:jc w:val="both"/>
        <w:rPr>
          <w:rFonts w:ascii="Palatino Linotype" w:hAnsi="Palatino Linotype"/>
          <w:color w:val="000000"/>
        </w:rPr>
      </w:pPr>
      <w:r>
        <w:rPr>
          <w:rFonts w:ascii="Palatino Linotype" w:hAnsi="Palatino Linotype"/>
        </w:rPr>
        <w:lastRenderedPageBreak/>
        <w:t>En Primer</w:t>
      </w:r>
      <w:r w:rsidRPr="000D7F2B">
        <w:rPr>
          <w:rFonts w:ascii="Palatino Linotype" w:hAnsi="Palatino Linotype"/>
        </w:rPr>
        <w:t xml:space="preserve"> lugar </w:t>
      </w:r>
      <w:r w:rsidRPr="000D7F2B">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5630DA" w14:textId="77777777" w:rsidR="00470D24" w:rsidRPr="000D7F2B" w:rsidRDefault="00470D24" w:rsidP="00470D24">
      <w:pPr>
        <w:spacing w:line="360" w:lineRule="auto"/>
        <w:jc w:val="both"/>
        <w:rPr>
          <w:rFonts w:ascii="Palatino Linotype" w:hAnsi="Palatino Linotype"/>
          <w:color w:val="000000"/>
        </w:rPr>
      </w:pPr>
    </w:p>
    <w:p w14:paraId="019CF770" w14:textId="77777777" w:rsidR="00470D24" w:rsidRPr="000D7F2B" w:rsidRDefault="00470D24" w:rsidP="00470D24">
      <w:pPr>
        <w:ind w:left="851" w:right="851"/>
        <w:jc w:val="both"/>
        <w:rPr>
          <w:rFonts w:ascii="Palatino Linotype" w:hAnsi="Palatino Linotype"/>
          <w:b/>
          <w:i/>
        </w:rPr>
      </w:pPr>
      <w:r w:rsidRPr="000D7F2B">
        <w:rPr>
          <w:rFonts w:ascii="Palatino Linotype" w:hAnsi="Palatino Linotype"/>
          <w:b/>
          <w:i/>
        </w:rPr>
        <w:t>Artículo 6</w:t>
      </w:r>
    </w:p>
    <w:p w14:paraId="7DCD27CD"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i/>
        </w:rPr>
        <w:t>…</w:t>
      </w:r>
    </w:p>
    <w:p w14:paraId="427CD271"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9A21EE1" w14:textId="77777777" w:rsidR="00470D24" w:rsidRPr="000D7F2B" w:rsidRDefault="00470D24" w:rsidP="00470D24">
      <w:pPr>
        <w:ind w:left="851" w:right="851"/>
        <w:jc w:val="both"/>
        <w:rPr>
          <w:rFonts w:ascii="Palatino Linotype" w:hAnsi="Palatino Linotype"/>
          <w:i/>
        </w:rPr>
      </w:pPr>
    </w:p>
    <w:p w14:paraId="6B8771CE" w14:textId="77777777" w:rsidR="00470D24" w:rsidRPr="000D7F2B" w:rsidRDefault="00470D24" w:rsidP="00470D24">
      <w:pPr>
        <w:numPr>
          <w:ilvl w:val="0"/>
          <w:numId w:val="41"/>
        </w:numPr>
        <w:ind w:left="851" w:right="851"/>
        <w:jc w:val="both"/>
        <w:rPr>
          <w:rFonts w:ascii="Palatino Linotype" w:hAnsi="Palatino Linotype"/>
          <w:i/>
        </w:rPr>
      </w:pPr>
      <w:r w:rsidRPr="000D7F2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25E465" w14:textId="77777777" w:rsidR="00470D24" w:rsidRPr="000D7F2B" w:rsidRDefault="00470D24" w:rsidP="00470D24">
      <w:pPr>
        <w:spacing w:line="360" w:lineRule="auto"/>
        <w:jc w:val="both"/>
        <w:rPr>
          <w:rFonts w:ascii="Palatino Linotype" w:hAnsi="Palatino Linotype"/>
        </w:rPr>
      </w:pPr>
    </w:p>
    <w:p w14:paraId="4648F1C0" w14:textId="04497ADA" w:rsidR="00470D24" w:rsidRDefault="00470D24" w:rsidP="00243902">
      <w:pPr>
        <w:spacing w:line="360" w:lineRule="auto"/>
        <w:jc w:val="both"/>
        <w:rPr>
          <w:rFonts w:ascii="Palatino Linotype" w:hAnsi="Palatino Linotype" w:cs="Arial"/>
        </w:rPr>
      </w:pPr>
      <w:r w:rsidRPr="000D7F2B">
        <w:rPr>
          <w:rFonts w:ascii="Palatino Linotype" w:hAnsi="Palatino Linotype" w:cs="Arial"/>
        </w:rPr>
        <w:lastRenderedPageBreak/>
        <w:t xml:space="preserve">Ahora bien, en atención a lo dispuesto por los artículos 3, fracción XI y 12 </w:t>
      </w:r>
      <w:r w:rsidRPr="000D7F2B">
        <w:rPr>
          <w:rFonts w:ascii="Palatino Linotype" w:hAnsi="Palatino Linotype" w:cs="Arial"/>
          <w:bCs/>
        </w:rPr>
        <w:t>de la Ley de Transparencia y Acceso a la Información Pública del Estado de México y Municipios</w:t>
      </w:r>
      <w:r w:rsidRPr="000D7F2B">
        <w:rPr>
          <w:rFonts w:ascii="Palatino Linotype" w:hAnsi="Palatino Linotype" w:cs="Arial"/>
        </w:rPr>
        <w:t>, los cuales son del tenor literal siguiente:</w:t>
      </w:r>
    </w:p>
    <w:p w14:paraId="11FAA835" w14:textId="77777777" w:rsidR="006266F2" w:rsidRPr="00243902" w:rsidRDefault="006266F2" w:rsidP="00243902">
      <w:pPr>
        <w:spacing w:line="360" w:lineRule="auto"/>
        <w:jc w:val="both"/>
        <w:rPr>
          <w:rFonts w:ascii="Palatino Linotype" w:hAnsi="Palatino Linotype" w:cs="Arial"/>
        </w:rPr>
      </w:pPr>
    </w:p>
    <w:p w14:paraId="776F1D00"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b/>
          <w:bCs/>
          <w:i/>
        </w:rPr>
        <w:t xml:space="preserve">Artículo 3.- </w:t>
      </w:r>
      <w:r w:rsidRPr="000D7F2B">
        <w:rPr>
          <w:rFonts w:ascii="Palatino Linotype" w:hAnsi="Palatino Linotype"/>
          <w:i/>
        </w:rPr>
        <w:t>Para los efectos de la presente Ley se entenderá por:</w:t>
      </w:r>
    </w:p>
    <w:p w14:paraId="7CB8896C"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i/>
        </w:rPr>
        <w:t>…</w:t>
      </w:r>
    </w:p>
    <w:p w14:paraId="4E7D0153"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b/>
          <w:i/>
        </w:rPr>
        <w:t>XI.</w:t>
      </w:r>
      <w:r w:rsidRPr="000D7F2B">
        <w:rPr>
          <w:rFonts w:ascii="Palatino Linotype" w:hAnsi="Palatino Linotype"/>
          <w:i/>
        </w:rPr>
        <w:t xml:space="preserve"> </w:t>
      </w:r>
      <w:r w:rsidRPr="000D7F2B">
        <w:rPr>
          <w:rFonts w:ascii="Palatino Linotype" w:hAnsi="Palatino Linotype"/>
          <w:b/>
          <w:i/>
        </w:rPr>
        <w:t>Documento:</w:t>
      </w:r>
      <w:r w:rsidRPr="000D7F2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0D7F2B">
        <w:rPr>
          <w:rFonts w:ascii="Palatino Linotype" w:hAnsi="Palatino Linotype"/>
          <w:i/>
        </w:rPr>
        <w:t xml:space="preserve"> Los documentos podrán estar en cualquier medio, sea escrito, impreso, sonoro, visual, electrónico, informático u holográfico;</w:t>
      </w:r>
    </w:p>
    <w:p w14:paraId="2CA8A831" w14:textId="77777777" w:rsidR="00470D24" w:rsidRPr="000D7F2B" w:rsidRDefault="00470D24" w:rsidP="00470D24">
      <w:pPr>
        <w:ind w:left="851" w:right="851"/>
        <w:jc w:val="both"/>
        <w:rPr>
          <w:rFonts w:ascii="Palatino Linotype" w:hAnsi="Palatino Linotype"/>
          <w:i/>
        </w:rPr>
      </w:pPr>
    </w:p>
    <w:p w14:paraId="5D492DE0" w14:textId="77777777" w:rsidR="00470D24" w:rsidRPr="000D7F2B" w:rsidRDefault="00470D24" w:rsidP="00470D24">
      <w:pPr>
        <w:ind w:left="851" w:right="851"/>
        <w:jc w:val="both"/>
        <w:rPr>
          <w:rFonts w:ascii="Palatino Linotype" w:hAnsi="Palatino Linotype"/>
          <w:bCs/>
          <w:i/>
        </w:rPr>
      </w:pPr>
      <w:r w:rsidRPr="000D7F2B">
        <w:rPr>
          <w:rFonts w:ascii="Palatino Linotype" w:hAnsi="Palatino Linotype"/>
          <w:b/>
          <w:bCs/>
          <w:i/>
        </w:rPr>
        <w:t>Artículo 4.</w:t>
      </w:r>
      <w:r w:rsidRPr="000D7F2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71CE8E" w14:textId="77777777" w:rsidR="00470D24" w:rsidRPr="000D7F2B" w:rsidRDefault="00470D24" w:rsidP="00470D24">
      <w:pPr>
        <w:ind w:left="851" w:right="851"/>
        <w:jc w:val="both"/>
        <w:rPr>
          <w:rFonts w:ascii="Palatino Linotype" w:hAnsi="Palatino Linotype"/>
          <w:bCs/>
          <w:i/>
        </w:rPr>
      </w:pPr>
    </w:p>
    <w:p w14:paraId="380DF1CE" w14:textId="77777777" w:rsidR="00470D24" w:rsidRPr="000D7F2B" w:rsidRDefault="00470D24" w:rsidP="00470D24">
      <w:pPr>
        <w:ind w:left="851" w:right="851"/>
        <w:jc w:val="both"/>
        <w:rPr>
          <w:rFonts w:ascii="Palatino Linotype" w:hAnsi="Palatino Linotype"/>
          <w:bCs/>
          <w:i/>
        </w:rPr>
      </w:pPr>
      <w:r w:rsidRPr="000D7F2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0D7F2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024BF9" w14:textId="77777777" w:rsidR="00470D24" w:rsidRPr="000D7F2B" w:rsidRDefault="00470D24" w:rsidP="00470D24">
      <w:pPr>
        <w:ind w:left="851" w:right="851"/>
        <w:jc w:val="both"/>
        <w:rPr>
          <w:rFonts w:ascii="Palatino Linotype" w:hAnsi="Palatino Linotype"/>
          <w:bCs/>
          <w:i/>
        </w:rPr>
      </w:pPr>
    </w:p>
    <w:p w14:paraId="152944A9" w14:textId="77777777" w:rsidR="00470D24" w:rsidRPr="000D7F2B" w:rsidRDefault="00470D24" w:rsidP="00470D24">
      <w:pPr>
        <w:ind w:left="851" w:right="851"/>
        <w:jc w:val="both"/>
        <w:rPr>
          <w:rFonts w:ascii="Palatino Linotype" w:hAnsi="Palatino Linotype"/>
          <w:bCs/>
          <w:i/>
        </w:rPr>
      </w:pPr>
      <w:r w:rsidRPr="000D7F2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B3BB985" w14:textId="77777777" w:rsidR="00470D24" w:rsidRPr="000D7F2B" w:rsidRDefault="00470D24" w:rsidP="00470D24">
      <w:pPr>
        <w:ind w:left="851" w:right="851"/>
        <w:jc w:val="both"/>
        <w:rPr>
          <w:rFonts w:ascii="Palatino Linotype" w:hAnsi="Palatino Linotype"/>
          <w:i/>
        </w:rPr>
      </w:pPr>
    </w:p>
    <w:p w14:paraId="6D491102"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b/>
          <w:i/>
        </w:rPr>
        <w:t>Artículo 12.</w:t>
      </w:r>
      <w:r w:rsidRPr="000D7F2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71E76EF" w14:textId="77777777" w:rsidR="00470D24" w:rsidRPr="000D7F2B" w:rsidRDefault="00470D24" w:rsidP="00470D24">
      <w:pPr>
        <w:ind w:left="851" w:right="851"/>
        <w:jc w:val="both"/>
        <w:rPr>
          <w:rFonts w:ascii="Palatino Linotype" w:hAnsi="Palatino Linotype"/>
          <w:i/>
        </w:rPr>
      </w:pPr>
    </w:p>
    <w:p w14:paraId="56C57661" w14:textId="77777777" w:rsidR="00470D24" w:rsidRPr="000D7F2B" w:rsidRDefault="00470D24" w:rsidP="00470D24">
      <w:pPr>
        <w:ind w:left="851" w:right="851"/>
        <w:jc w:val="both"/>
        <w:rPr>
          <w:rFonts w:ascii="Palatino Linotype" w:hAnsi="Palatino Linotype"/>
          <w:i/>
          <w:u w:val="single"/>
        </w:rPr>
      </w:pPr>
      <w:r w:rsidRPr="000D7F2B">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hAnsi="Palatino Linotype"/>
          <w:i/>
        </w:rPr>
        <w:t>.</w:t>
      </w:r>
    </w:p>
    <w:p w14:paraId="705B52FC" w14:textId="77777777" w:rsidR="00470D24" w:rsidRPr="000D7F2B" w:rsidRDefault="00470D24" w:rsidP="00470D24">
      <w:pPr>
        <w:spacing w:line="360" w:lineRule="auto"/>
        <w:jc w:val="both"/>
        <w:rPr>
          <w:rFonts w:ascii="Palatino Linotype" w:hAnsi="Palatino Linotype"/>
        </w:rPr>
      </w:pPr>
    </w:p>
    <w:p w14:paraId="7A8B6F06" w14:textId="77777777" w:rsidR="00470D24" w:rsidRDefault="00470D24" w:rsidP="00470D24">
      <w:pPr>
        <w:spacing w:line="360" w:lineRule="auto"/>
        <w:jc w:val="both"/>
        <w:rPr>
          <w:rFonts w:ascii="Palatino Linotype" w:hAnsi="Palatino Linotype" w:cs="Arial"/>
        </w:rPr>
      </w:pPr>
      <w:r w:rsidRPr="000D7F2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2F4585" w14:textId="77777777" w:rsidR="00470D24" w:rsidRDefault="00470D24" w:rsidP="00470D24">
      <w:pPr>
        <w:spacing w:line="360" w:lineRule="auto"/>
        <w:jc w:val="both"/>
        <w:rPr>
          <w:rFonts w:ascii="Palatino Linotype" w:hAnsi="Palatino Linotype" w:cs="Arial"/>
        </w:rPr>
      </w:pPr>
    </w:p>
    <w:p w14:paraId="7A8AE165" w14:textId="77777777" w:rsidR="00470D24" w:rsidRPr="00271622" w:rsidRDefault="00470D24" w:rsidP="00470D24">
      <w:pPr>
        <w:spacing w:line="360" w:lineRule="auto"/>
        <w:jc w:val="both"/>
        <w:rPr>
          <w:rFonts w:ascii="Palatino Linotype" w:eastAsia="Calibri" w:hAnsi="Palatino Linotype"/>
        </w:rPr>
      </w:pPr>
      <w:r w:rsidRPr="00271622">
        <w:rPr>
          <w:rFonts w:ascii="Palatino Linotype" w:hAnsi="Palatino Linotype"/>
        </w:rPr>
        <w:t xml:space="preserve">En </w:t>
      </w:r>
      <w:r>
        <w:rPr>
          <w:rFonts w:ascii="Palatino Linotype" w:hAnsi="Palatino Linotype"/>
        </w:rPr>
        <w:t>segundo</w:t>
      </w:r>
      <w:r w:rsidRPr="00271622">
        <w:rPr>
          <w:rFonts w:ascii="Palatino Linotype" w:hAnsi="Palatino Linotype"/>
        </w:rPr>
        <w:t xml:space="preserve"> término, es de precisar que </w:t>
      </w:r>
      <w:r w:rsidRPr="00271622">
        <w:rPr>
          <w:rFonts w:ascii="Palatino Linotype" w:eastAsia="Calibri" w:hAnsi="Palatino Linotype"/>
        </w:rPr>
        <w:t xml:space="preserve">se obvia el análisis de la competencia por parte del </w:t>
      </w:r>
      <w:r w:rsidRPr="00271622">
        <w:rPr>
          <w:rFonts w:ascii="Palatino Linotype" w:eastAsia="Calibri" w:hAnsi="Palatino Linotype"/>
          <w:b/>
        </w:rPr>
        <w:t>Sujeto Obligado</w:t>
      </w:r>
      <w:r w:rsidRPr="00271622">
        <w:rPr>
          <w:rFonts w:ascii="Palatino Linotype" w:eastAsia="Calibri" w:hAnsi="Palatino Linotype"/>
        </w:rPr>
        <w:t>, para generar, administrar o poseer la información solicitada, dado que éste ha asumido la misma, mediante su respuesta a la solicitud de información.</w:t>
      </w:r>
    </w:p>
    <w:p w14:paraId="3CF5D6FA" w14:textId="77777777" w:rsidR="00470D24" w:rsidRPr="00271622" w:rsidRDefault="00470D24" w:rsidP="00470D24">
      <w:pPr>
        <w:spacing w:line="360" w:lineRule="auto"/>
        <w:jc w:val="both"/>
        <w:rPr>
          <w:rFonts w:ascii="Palatino Linotype" w:eastAsia="Calibri" w:hAnsi="Palatino Linotype"/>
        </w:rPr>
      </w:pPr>
    </w:p>
    <w:p w14:paraId="3E451541" w14:textId="77777777" w:rsidR="00470D24" w:rsidRPr="00271622" w:rsidRDefault="00470D24" w:rsidP="00470D24">
      <w:pPr>
        <w:spacing w:line="360" w:lineRule="auto"/>
        <w:jc w:val="both"/>
        <w:rPr>
          <w:rFonts w:ascii="Palatino Linotype" w:hAnsi="Palatino Linotype"/>
        </w:rPr>
      </w:pPr>
      <w:r w:rsidRPr="00271622">
        <w:rPr>
          <w:rFonts w:ascii="Palatino Linotype" w:eastAsia="Calibri" w:hAnsi="Palatino Linotype"/>
        </w:rPr>
        <w:t xml:space="preserve">En efecto, el hecho de que el </w:t>
      </w:r>
      <w:r w:rsidRPr="00271622">
        <w:rPr>
          <w:rFonts w:ascii="Palatino Linotype" w:eastAsia="Calibri" w:hAnsi="Palatino Linotype"/>
          <w:b/>
        </w:rPr>
        <w:t xml:space="preserve">Sujeto Obligado </w:t>
      </w:r>
      <w:r w:rsidRPr="00271622">
        <w:rPr>
          <w:rFonts w:ascii="Palatino Linotype" w:eastAsia="Calibri" w:hAnsi="Palatino Linotype"/>
        </w:rPr>
        <w:t>haya asumido la información implica que la genera, posee o administra, en ejercicio de sus funciones de derecho público</w:t>
      </w:r>
      <w:r w:rsidRPr="00271622">
        <w:rPr>
          <w:rFonts w:ascii="Palatino Linotype" w:hAnsi="Palatino Linotype"/>
        </w:rPr>
        <w:t xml:space="preserve">, es decir, no niega la existencia de la información solicitada, por el contrario, se pronuncia respecto de la información requerida, es por ello que se reitera, se asume que posee la </w:t>
      </w:r>
      <w:r w:rsidRPr="00271622">
        <w:rPr>
          <w:rFonts w:ascii="Palatino Linotype" w:hAnsi="Palatino Linotype"/>
        </w:rPr>
        <w:lastRenderedPageBreak/>
        <w:t xml:space="preserve">información; por lo tanto, el estudio en específico se obvia dado que a nada práctico llevaría el alcance del mismo. </w:t>
      </w:r>
    </w:p>
    <w:p w14:paraId="7B4D2FAF" w14:textId="77777777" w:rsidR="00470D24" w:rsidRPr="00271622" w:rsidRDefault="00470D24" w:rsidP="00470D24">
      <w:pPr>
        <w:spacing w:line="360" w:lineRule="auto"/>
        <w:jc w:val="both"/>
        <w:rPr>
          <w:rFonts w:ascii="Palatino Linotype" w:eastAsia="Calibri" w:hAnsi="Palatino Linotype"/>
        </w:rPr>
      </w:pPr>
    </w:p>
    <w:p w14:paraId="5B2B3AF1" w14:textId="77777777" w:rsidR="00470D24" w:rsidRDefault="00470D24" w:rsidP="00470D24">
      <w:pPr>
        <w:spacing w:line="360" w:lineRule="auto"/>
        <w:jc w:val="both"/>
        <w:rPr>
          <w:rFonts w:ascii="Palatino Linotype" w:hAnsi="Palatino Linotype"/>
        </w:rPr>
      </w:pPr>
      <w:r w:rsidRPr="00271622">
        <w:rPr>
          <w:rFonts w:ascii="Palatino Linotype" w:hAnsi="Palatino Linotype"/>
        </w:rPr>
        <w:t xml:space="preserve">De hecho, el estudio de la naturaleza jurídica de la información pública solicitada, tiene por objeto determinar si ésta la genera, posee o administra el </w:t>
      </w:r>
      <w:r w:rsidRPr="00271622">
        <w:rPr>
          <w:rFonts w:ascii="Palatino Linotype" w:hAnsi="Palatino Linotype"/>
          <w:b/>
        </w:rPr>
        <w:t>Sujeto Obligado</w:t>
      </w:r>
      <w:r w:rsidRPr="00271622">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hAnsi="Palatino Linotype"/>
          <w:b/>
        </w:rPr>
        <w:t>Sujeto Obligado</w:t>
      </w:r>
      <w:r w:rsidRPr="00271622">
        <w:rPr>
          <w:rFonts w:ascii="Palatino Linotype" w:hAnsi="Palatino Linotype"/>
        </w:rPr>
        <w:t>.</w:t>
      </w:r>
    </w:p>
    <w:p w14:paraId="24811ED2" w14:textId="77777777" w:rsidR="00470D24" w:rsidRDefault="00470D24" w:rsidP="00470D24">
      <w:pPr>
        <w:spacing w:line="360" w:lineRule="auto"/>
        <w:jc w:val="both"/>
        <w:rPr>
          <w:rFonts w:ascii="Palatino Linotype" w:hAnsi="Palatino Linotype"/>
        </w:rPr>
      </w:pPr>
    </w:p>
    <w:p w14:paraId="08882E04" w14:textId="72BA1886" w:rsidR="00470D24" w:rsidRDefault="00470D24" w:rsidP="00470D24">
      <w:pPr>
        <w:spacing w:line="360" w:lineRule="auto"/>
        <w:jc w:val="both"/>
        <w:rPr>
          <w:rFonts w:ascii="Palatino Linotype" w:hAnsi="Palatino Linotype"/>
        </w:rPr>
      </w:pPr>
      <w:r w:rsidRPr="00271622">
        <w:rPr>
          <w:rFonts w:ascii="Palatino Linotype" w:hAnsi="Palatino Linotype"/>
        </w:rPr>
        <w:t xml:space="preserve">Ahora bien, </w:t>
      </w:r>
      <w:r>
        <w:rPr>
          <w:rFonts w:ascii="Palatino Linotype" w:hAnsi="Palatino Linotype"/>
        </w:rPr>
        <w:t>en atención a los requerimientos formulados por el particular, el Sujeto Obligado remitió mediante</w:t>
      </w:r>
      <w:r w:rsidRPr="00271622">
        <w:rPr>
          <w:rFonts w:ascii="Palatino Linotype" w:hAnsi="Palatino Linotype"/>
        </w:rPr>
        <w:t xml:space="preserve"> respuesta primigenia</w:t>
      </w:r>
      <w:r>
        <w:rPr>
          <w:rFonts w:ascii="Palatino Linotype" w:hAnsi="Palatino Linotype"/>
        </w:rPr>
        <w:t xml:space="preserve"> la </w:t>
      </w:r>
      <w:r w:rsidR="00243902">
        <w:rPr>
          <w:rFonts w:ascii="Palatino Linotype" w:hAnsi="Palatino Linotype"/>
        </w:rPr>
        <w:t>dirección</w:t>
      </w:r>
      <w:r>
        <w:rPr>
          <w:rFonts w:ascii="Palatino Linotype" w:hAnsi="Palatino Linotype"/>
        </w:rPr>
        <w:t xml:space="preserve"> electrónic</w:t>
      </w:r>
      <w:r w:rsidR="00F0085D">
        <w:rPr>
          <w:rFonts w:ascii="Palatino Linotype" w:hAnsi="Palatino Linotype"/>
        </w:rPr>
        <w:t xml:space="preserve">a: </w:t>
      </w:r>
      <w:hyperlink r:id="rId10" w:history="1">
        <w:r w:rsidR="006266F2" w:rsidRPr="00276E0A">
          <w:rPr>
            <w:rStyle w:val="Hipervnculo"/>
            <w:rFonts w:ascii="Palatino Linotype" w:hAnsi="Palatino Linotype"/>
          </w:rPr>
          <w:t>https://www.ecatepec.gob.mx/transparencia-conac</w:t>
        </w:r>
      </w:hyperlink>
      <w:r w:rsidR="00F0085D">
        <w:rPr>
          <w:rFonts w:ascii="Palatino Linotype" w:hAnsi="Palatino Linotype"/>
        </w:rPr>
        <w:t xml:space="preserve"> </w:t>
      </w:r>
      <w:r w:rsidRPr="00271622">
        <w:rPr>
          <w:rFonts w:ascii="Palatino Linotype" w:hAnsi="Palatino Linotype"/>
        </w:rPr>
        <w:t xml:space="preserve">por lo que esta Ponencia procedió a verificar lo </w:t>
      </w:r>
      <w:r>
        <w:rPr>
          <w:rFonts w:ascii="Palatino Linotype" w:hAnsi="Palatino Linotype"/>
        </w:rPr>
        <w:t>manifestado</w:t>
      </w:r>
      <w:r w:rsidRPr="00271622">
        <w:rPr>
          <w:rFonts w:ascii="Palatino Linotype" w:hAnsi="Palatino Linotype"/>
        </w:rPr>
        <w:t xml:space="preserve"> por el Sujeto Obligado ingresando a </w:t>
      </w:r>
      <w:r w:rsidR="00F0085D">
        <w:rPr>
          <w:rFonts w:ascii="Palatino Linotype" w:hAnsi="Palatino Linotype"/>
        </w:rPr>
        <w:t xml:space="preserve">dicha </w:t>
      </w:r>
      <w:r w:rsidR="00F13C53">
        <w:rPr>
          <w:rFonts w:ascii="Palatino Linotype" w:hAnsi="Palatino Linotype"/>
        </w:rPr>
        <w:t>dirección</w:t>
      </w:r>
      <w:r w:rsidRPr="00271622">
        <w:rPr>
          <w:rFonts w:ascii="Palatino Linotype" w:hAnsi="Palatino Linotype"/>
        </w:rPr>
        <w:t>; no obstante, este Instituto estima que no se ha colmado a plenitud el derecho de acceso a la información pública del particular en razón de que la liga mencionada</w:t>
      </w:r>
      <w:r>
        <w:rPr>
          <w:rFonts w:ascii="Palatino Linotype" w:hAnsi="Palatino Linotype"/>
        </w:rPr>
        <w:t>s</w:t>
      </w:r>
      <w:r w:rsidRPr="00271622">
        <w:rPr>
          <w:rFonts w:ascii="Palatino Linotype" w:hAnsi="Palatino Linotype"/>
        </w:rPr>
        <w:t xml:space="preserve"> por el Sujeto Obligado únicamente lo direcciona </w:t>
      </w:r>
      <w:r w:rsidR="00F13C53">
        <w:rPr>
          <w:rFonts w:ascii="Palatino Linotype" w:hAnsi="Palatino Linotype"/>
        </w:rPr>
        <w:t>al portal de transparencia de la página oficial del Ayuntamiento de Ecatepec de Morelos en el apartado correspondiente al</w:t>
      </w:r>
      <w:r w:rsidR="00B26F7C">
        <w:rPr>
          <w:rFonts w:ascii="Palatino Linotype" w:hAnsi="Palatino Linotype"/>
        </w:rPr>
        <w:t xml:space="preserve"> apartado de </w:t>
      </w:r>
      <w:r w:rsidR="00B26F7C" w:rsidRPr="00B26F7C">
        <w:rPr>
          <w:rFonts w:ascii="Palatino Linotype" w:hAnsi="Palatino Linotype"/>
        </w:rPr>
        <w:t>Armonización Contable</w:t>
      </w:r>
      <w:r w:rsidRPr="00271622">
        <w:rPr>
          <w:rFonts w:ascii="Palatino Linotype" w:hAnsi="Palatino Linotype"/>
        </w:rPr>
        <w:t>, sin especificar el procedimiento de acceso a los datos solicitados</w:t>
      </w:r>
      <w:r>
        <w:rPr>
          <w:rFonts w:ascii="Palatino Linotype" w:hAnsi="Palatino Linotype"/>
        </w:rPr>
        <w:t xml:space="preserve">, como se puede apreciar de las siguientes imágenes ilustrativas: </w:t>
      </w:r>
    </w:p>
    <w:p w14:paraId="23DE6A82" w14:textId="3E1C16E9" w:rsidR="00243902" w:rsidRDefault="00B26F7C" w:rsidP="00243902">
      <w:pPr>
        <w:spacing w:line="360" w:lineRule="auto"/>
        <w:jc w:val="center"/>
        <w:rPr>
          <w:rFonts w:ascii="Palatino Linotype" w:hAnsi="Palatino Linotype"/>
        </w:rPr>
      </w:pPr>
      <w:r w:rsidRPr="00B26F7C">
        <w:rPr>
          <w:rFonts w:ascii="Palatino Linotype" w:hAnsi="Palatino Linotype"/>
          <w:noProof/>
          <w:lang w:val="es-MX" w:eastAsia="es-MX"/>
        </w:rPr>
        <w:lastRenderedPageBreak/>
        <w:drawing>
          <wp:inline distT="0" distB="0" distL="0" distR="0" wp14:anchorId="56A7BB97" wp14:editId="2A3F73DB">
            <wp:extent cx="5760720" cy="30441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044190"/>
                    </a:xfrm>
                    <a:prstGeom prst="rect">
                      <a:avLst/>
                    </a:prstGeom>
                  </pic:spPr>
                </pic:pic>
              </a:graphicData>
            </a:graphic>
          </wp:inline>
        </w:drawing>
      </w:r>
    </w:p>
    <w:p w14:paraId="78B6248B" w14:textId="14DDADE0" w:rsidR="00470D24" w:rsidRPr="00271622" w:rsidRDefault="00470D24" w:rsidP="00243902">
      <w:pPr>
        <w:spacing w:line="360" w:lineRule="auto"/>
        <w:rPr>
          <w:rFonts w:ascii="Palatino Linotype" w:hAnsi="Palatino Linotype"/>
        </w:rPr>
      </w:pPr>
    </w:p>
    <w:p w14:paraId="7EA4D104" w14:textId="77777777" w:rsidR="00470D24" w:rsidRPr="00271622" w:rsidRDefault="00470D24" w:rsidP="00470D24">
      <w:pPr>
        <w:spacing w:line="360" w:lineRule="auto"/>
        <w:jc w:val="both"/>
        <w:rPr>
          <w:rFonts w:ascii="Palatino Linotype" w:hAnsi="Palatino Linotype"/>
        </w:rPr>
      </w:pPr>
      <w:r w:rsidRPr="00271622">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3F395A5" w14:textId="77777777" w:rsidR="00470D24" w:rsidRPr="00271622" w:rsidRDefault="00470D24" w:rsidP="00470D24">
      <w:pPr>
        <w:spacing w:line="360" w:lineRule="auto"/>
        <w:jc w:val="both"/>
        <w:rPr>
          <w:rFonts w:ascii="Palatino Linotype" w:hAnsi="Palatino Linotype"/>
        </w:rPr>
      </w:pPr>
    </w:p>
    <w:p w14:paraId="02C092EB" w14:textId="77777777" w:rsidR="00470D24" w:rsidRPr="00271622" w:rsidRDefault="00470D24" w:rsidP="00470D24">
      <w:pPr>
        <w:ind w:left="567" w:right="616"/>
        <w:jc w:val="both"/>
        <w:rPr>
          <w:rFonts w:ascii="Palatino Linotype" w:hAnsi="Palatino Linotype"/>
          <w:i/>
        </w:rPr>
      </w:pPr>
      <w:r w:rsidRPr="00271622">
        <w:rPr>
          <w:rFonts w:ascii="Palatino Linotype" w:hAnsi="Palatino Linotype"/>
          <w:b/>
          <w:i/>
        </w:rPr>
        <w:t>Artículo 11.</w:t>
      </w:r>
      <w:r w:rsidRPr="00271622">
        <w:rPr>
          <w:rFonts w:ascii="Palatino Linotype" w:hAnsi="Palatino Linotype"/>
          <w:i/>
        </w:rPr>
        <w:t xml:space="preserve"> </w:t>
      </w:r>
      <w:r w:rsidRPr="00271622">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271622">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30D0E8C9" w14:textId="77777777" w:rsidR="00470D24" w:rsidRPr="00271622" w:rsidRDefault="00470D24" w:rsidP="00470D24">
      <w:pPr>
        <w:ind w:left="567" w:right="616"/>
        <w:jc w:val="both"/>
        <w:rPr>
          <w:rFonts w:ascii="Palatino Linotype" w:hAnsi="Palatino Linotype"/>
          <w:i/>
        </w:rPr>
      </w:pPr>
      <w:r w:rsidRPr="00271622">
        <w:rPr>
          <w:rFonts w:ascii="Palatino Linotype" w:hAnsi="Palatino Linotype"/>
          <w:i/>
        </w:rPr>
        <w:t>[…]</w:t>
      </w:r>
    </w:p>
    <w:p w14:paraId="597F2F54" w14:textId="77777777" w:rsidR="00470D24" w:rsidRPr="00271622" w:rsidRDefault="00470D24" w:rsidP="00470D24">
      <w:pPr>
        <w:ind w:left="567" w:right="616"/>
        <w:jc w:val="both"/>
        <w:rPr>
          <w:rFonts w:ascii="Palatino Linotype" w:hAnsi="Palatino Linotype"/>
          <w:i/>
        </w:rPr>
      </w:pPr>
    </w:p>
    <w:p w14:paraId="7F477EDB" w14:textId="77777777" w:rsidR="00470D24" w:rsidRPr="00271622" w:rsidRDefault="00470D24" w:rsidP="00470D24">
      <w:pPr>
        <w:ind w:left="567" w:right="616"/>
        <w:jc w:val="both"/>
        <w:rPr>
          <w:rFonts w:ascii="Palatino Linotype" w:hAnsi="Palatino Linotype"/>
        </w:rPr>
      </w:pPr>
      <w:r w:rsidRPr="00271622">
        <w:rPr>
          <w:rFonts w:ascii="Palatino Linotype" w:hAnsi="Palatino Linotype"/>
          <w:b/>
          <w:i/>
        </w:rPr>
        <w:lastRenderedPageBreak/>
        <w:t>Artículo 161.</w:t>
      </w:r>
      <w:r w:rsidRPr="00271622">
        <w:rPr>
          <w:rFonts w:ascii="Palatino Linotype" w:hAnsi="Palatino Linotype"/>
          <w:i/>
        </w:rPr>
        <w:t xml:space="preserve"> </w:t>
      </w:r>
      <w:r w:rsidRPr="00271622">
        <w:rPr>
          <w:rFonts w:ascii="Palatino Linotype" w:hAnsi="Palatino Linotype"/>
          <w:b/>
          <w:i/>
          <w:u w:val="single"/>
        </w:rPr>
        <w:t>Cuando la información requerida por el solicitante ya esté disponible al público</w:t>
      </w:r>
      <w:r w:rsidRPr="00271622">
        <w:rPr>
          <w:rFonts w:ascii="Palatino Linotype" w:hAnsi="Palatino Linotype"/>
          <w:i/>
        </w:rPr>
        <w:t xml:space="preserve"> en medios impresos, tales como libros, compendios, trípticos, registros públicos, </w:t>
      </w:r>
      <w:r w:rsidRPr="00271622">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4DA937D" w14:textId="77777777" w:rsidR="00470D24" w:rsidRPr="00271622" w:rsidRDefault="00470D24" w:rsidP="00470D24">
      <w:pPr>
        <w:spacing w:line="360" w:lineRule="auto"/>
        <w:jc w:val="both"/>
        <w:rPr>
          <w:rFonts w:ascii="Palatino Linotype" w:hAnsi="Palatino Linotype"/>
        </w:rPr>
      </w:pPr>
    </w:p>
    <w:p w14:paraId="00590D0A" w14:textId="77777777" w:rsidR="00470D24" w:rsidRPr="00271622" w:rsidRDefault="00470D24" w:rsidP="00470D24">
      <w:pPr>
        <w:spacing w:line="360" w:lineRule="auto"/>
        <w:jc w:val="both"/>
        <w:rPr>
          <w:rFonts w:ascii="Palatino Linotype" w:hAnsi="Palatino Linotype"/>
        </w:rPr>
      </w:pPr>
      <w:r w:rsidRPr="00271622">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355D806" w14:textId="77777777" w:rsidR="00470D24" w:rsidRPr="00271622" w:rsidRDefault="00470D24" w:rsidP="00470D24">
      <w:pPr>
        <w:spacing w:line="360" w:lineRule="auto"/>
        <w:jc w:val="both"/>
        <w:rPr>
          <w:rFonts w:ascii="Palatino Linotype" w:hAnsi="Palatino Linotype"/>
        </w:rPr>
      </w:pPr>
    </w:p>
    <w:p w14:paraId="3F4D6281" w14:textId="77777777" w:rsidR="00470D24" w:rsidRPr="00271622" w:rsidRDefault="00470D24" w:rsidP="00470D24">
      <w:pPr>
        <w:numPr>
          <w:ilvl w:val="0"/>
          <w:numId w:val="43"/>
        </w:numPr>
        <w:ind w:left="1134" w:hanging="567"/>
        <w:jc w:val="both"/>
        <w:rPr>
          <w:rFonts w:ascii="Palatino Linotype" w:hAnsi="Palatino Linotype"/>
        </w:rPr>
      </w:pPr>
      <w:r w:rsidRPr="00271622">
        <w:rPr>
          <w:rFonts w:ascii="Palatino Linotype" w:hAnsi="Palatino Linotype"/>
        </w:rPr>
        <w:t>La fuente</w:t>
      </w:r>
    </w:p>
    <w:p w14:paraId="16C8CE8D" w14:textId="77777777" w:rsidR="00470D24" w:rsidRPr="00271622" w:rsidRDefault="00470D24" w:rsidP="00470D24">
      <w:pPr>
        <w:numPr>
          <w:ilvl w:val="0"/>
          <w:numId w:val="43"/>
        </w:numPr>
        <w:ind w:left="1134" w:hanging="567"/>
        <w:jc w:val="both"/>
        <w:rPr>
          <w:rFonts w:ascii="Palatino Linotype" w:hAnsi="Palatino Linotype"/>
        </w:rPr>
      </w:pPr>
      <w:r w:rsidRPr="00271622">
        <w:rPr>
          <w:rFonts w:ascii="Palatino Linotype" w:hAnsi="Palatino Linotype"/>
        </w:rPr>
        <w:t>El lugar y</w:t>
      </w:r>
    </w:p>
    <w:p w14:paraId="30A8A8FA" w14:textId="77777777" w:rsidR="00470D24" w:rsidRPr="00271622" w:rsidRDefault="00470D24" w:rsidP="00470D24">
      <w:pPr>
        <w:numPr>
          <w:ilvl w:val="0"/>
          <w:numId w:val="43"/>
        </w:numPr>
        <w:ind w:left="1134" w:hanging="567"/>
        <w:jc w:val="both"/>
        <w:rPr>
          <w:rFonts w:ascii="Palatino Linotype" w:hAnsi="Palatino Linotype"/>
        </w:rPr>
      </w:pPr>
      <w:r w:rsidRPr="00271622">
        <w:rPr>
          <w:rFonts w:ascii="Palatino Linotype" w:hAnsi="Palatino Linotype"/>
        </w:rPr>
        <w:t xml:space="preserve">La forma </w:t>
      </w:r>
    </w:p>
    <w:p w14:paraId="516749AC" w14:textId="77777777" w:rsidR="00470D24" w:rsidRPr="00271622" w:rsidRDefault="00470D24" w:rsidP="00470D24">
      <w:pPr>
        <w:spacing w:line="360" w:lineRule="auto"/>
        <w:jc w:val="both"/>
        <w:rPr>
          <w:rFonts w:ascii="Palatino Linotype" w:hAnsi="Palatino Linotype"/>
        </w:rPr>
      </w:pPr>
    </w:p>
    <w:p w14:paraId="028236F0" w14:textId="77777777" w:rsidR="00470D24" w:rsidRPr="00271622" w:rsidRDefault="00470D24" w:rsidP="00470D24">
      <w:pPr>
        <w:spacing w:line="360" w:lineRule="auto"/>
        <w:jc w:val="both"/>
        <w:rPr>
          <w:rFonts w:ascii="Palatino Linotype" w:hAnsi="Palatino Linotype"/>
        </w:rPr>
      </w:pPr>
      <w:r w:rsidRPr="00271622">
        <w:rPr>
          <w:rFonts w:ascii="Palatino Linotype" w:hAnsi="Palatino Linotype"/>
        </w:rPr>
        <w:t>Asimismo, se establece que la fuente de la información deberá ser:</w:t>
      </w:r>
    </w:p>
    <w:p w14:paraId="5882346E" w14:textId="77777777" w:rsidR="00470D24" w:rsidRPr="00271622" w:rsidRDefault="00470D24" w:rsidP="00470D24">
      <w:pPr>
        <w:spacing w:line="360" w:lineRule="auto"/>
        <w:jc w:val="both"/>
        <w:rPr>
          <w:rFonts w:ascii="Palatino Linotype" w:hAnsi="Palatino Linotype"/>
        </w:rPr>
      </w:pPr>
    </w:p>
    <w:p w14:paraId="1622565A" w14:textId="77777777" w:rsidR="00470D24" w:rsidRPr="00271622" w:rsidRDefault="00470D24" w:rsidP="00470D24">
      <w:pPr>
        <w:numPr>
          <w:ilvl w:val="0"/>
          <w:numId w:val="44"/>
        </w:numPr>
        <w:ind w:left="1134" w:hanging="556"/>
        <w:jc w:val="both"/>
        <w:rPr>
          <w:rFonts w:ascii="Palatino Linotype" w:hAnsi="Palatino Linotype"/>
        </w:rPr>
      </w:pPr>
      <w:r w:rsidRPr="00271622">
        <w:rPr>
          <w:rFonts w:ascii="Palatino Linotype" w:hAnsi="Palatino Linotype"/>
        </w:rPr>
        <w:t>Precisa</w:t>
      </w:r>
    </w:p>
    <w:p w14:paraId="3E5784E0" w14:textId="77777777" w:rsidR="00470D24" w:rsidRPr="00271622" w:rsidRDefault="00470D24" w:rsidP="00470D24">
      <w:pPr>
        <w:numPr>
          <w:ilvl w:val="0"/>
          <w:numId w:val="44"/>
        </w:numPr>
        <w:ind w:left="1134" w:hanging="556"/>
        <w:jc w:val="both"/>
        <w:rPr>
          <w:rFonts w:ascii="Palatino Linotype" w:hAnsi="Palatino Linotype"/>
        </w:rPr>
      </w:pPr>
      <w:r w:rsidRPr="00271622">
        <w:rPr>
          <w:rFonts w:ascii="Palatino Linotype" w:hAnsi="Palatino Linotype"/>
        </w:rPr>
        <w:t>Concreta</w:t>
      </w:r>
    </w:p>
    <w:p w14:paraId="3E915879" w14:textId="77777777" w:rsidR="00470D24" w:rsidRPr="00271622" w:rsidRDefault="00470D24" w:rsidP="00470D24">
      <w:pPr>
        <w:numPr>
          <w:ilvl w:val="0"/>
          <w:numId w:val="44"/>
        </w:numPr>
        <w:ind w:left="1134" w:hanging="556"/>
        <w:jc w:val="both"/>
        <w:rPr>
          <w:rFonts w:ascii="Palatino Linotype" w:hAnsi="Palatino Linotype"/>
        </w:rPr>
      </w:pPr>
      <w:r w:rsidRPr="00271622">
        <w:rPr>
          <w:rFonts w:ascii="Palatino Linotype" w:hAnsi="Palatino Linotype"/>
          <w:b/>
        </w:rPr>
        <w:t>Y no debe implicar que el solicitante realice una búsqueda en toda la información que se encuentre disponible</w:t>
      </w:r>
      <w:r w:rsidRPr="00271622">
        <w:rPr>
          <w:rFonts w:ascii="Palatino Linotype" w:hAnsi="Palatino Linotype"/>
        </w:rPr>
        <w:t>.</w:t>
      </w:r>
    </w:p>
    <w:p w14:paraId="68FBDE4A" w14:textId="77777777" w:rsidR="00470D24" w:rsidRPr="00271622" w:rsidRDefault="00470D24" w:rsidP="00470D24">
      <w:pPr>
        <w:spacing w:line="360" w:lineRule="auto"/>
        <w:jc w:val="both"/>
        <w:rPr>
          <w:rFonts w:ascii="Palatino Linotype" w:hAnsi="Palatino Linotype"/>
        </w:rPr>
      </w:pPr>
    </w:p>
    <w:p w14:paraId="06E7DD6E" w14:textId="116489C8" w:rsidR="00470D24" w:rsidRDefault="00470D24" w:rsidP="00470D24">
      <w:pPr>
        <w:spacing w:line="360" w:lineRule="auto"/>
        <w:jc w:val="both"/>
        <w:rPr>
          <w:rFonts w:ascii="Palatino Linotype" w:hAnsi="Palatino Linotype"/>
        </w:rPr>
      </w:pPr>
      <w:r w:rsidRPr="00271622">
        <w:rPr>
          <w:rFonts w:ascii="Palatino Linotype" w:hAnsi="Palatino Linotype"/>
        </w:rPr>
        <w:lastRenderedPageBreak/>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w:t>
      </w:r>
      <w:r w:rsidR="00B521C4">
        <w:rPr>
          <w:rFonts w:ascii="Palatino Linotype" w:hAnsi="Palatino Linotype"/>
        </w:rPr>
        <w:t>oficial</w:t>
      </w:r>
      <w:r w:rsidR="003C79DD">
        <w:rPr>
          <w:rFonts w:ascii="Palatino Linotype" w:hAnsi="Palatino Linotype"/>
        </w:rPr>
        <w:t>,</w:t>
      </w:r>
      <w:r w:rsidRPr="00271622">
        <w:rPr>
          <w:rFonts w:ascii="Palatino Linotype" w:hAnsi="Palatino Linotype"/>
        </w:rPr>
        <w:t xml:space="preserv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5906733B" w14:textId="77777777" w:rsidR="00B521C4" w:rsidRDefault="00B521C4" w:rsidP="00470D24">
      <w:pPr>
        <w:spacing w:line="360" w:lineRule="auto"/>
        <w:jc w:val="both"/>
        <w:rPr>
          <w:rFonts w:ascii="Palatino Linotype" w:hAnsi="Palatino Linotype"/>
        </w:rPr>
      </w:pPr>
    </w:p>
    <w:p w14:paraId="08267465" w14:textId="6E4EB8E3" w:rsidR="00470D24" w:rsidRDefault="00470D24" w:rsidP="00470D24">
      <w:pPr>
        <w:spacing w:line="360" w:lineRule="auto"/>
        <w:ind w:right="51"/>
        <w:jc w:val="both"/>
        <w:rPr>
          <w:rFonts w:ascii="Palatino Linotype" w:hAnsi="Palatino Linotype" w:cs="Arial"/>
        </w:rPr>
      </w:pPr>
      <w:r w:rsidRPr="003604C6">
        <w:rPr>
          <w:rFonts w:ascii="Palatino Linotype" w:eastAsia="Arial Unicode MS" w:hAnsi="Palatino Linotype" w:cs="Arial"/>
        </w:rPr>
        <w:t xml:space="preserve">Por lo anteriormente expuesto, se concluye que el </w:t>
      </w:r>
      <w:r w:rsidRPr="003604C6">
        <w:rPr>
          <w:rFonts w:ascii="Palatino Linotype" w:eastAsia="Arial Unicode MS" w:hAnsi="Palatino Linotype" w:cs="Arial"/>
          <w:b/>
        </w:rPr>
        <w:t>Sujeto Obligado</w:t>
      </w:r>
      <w:r w:rsidRPr="003604C6">
        <w:rPr>
          <w:rFonts w:ascii="Palatino Linotype" w:eastAsia="Arial Unicode MS" w:hAnsi="Palatino Linotype" w:cs="Arial"/>
        </w:rPr>
        <w:t xml:space="preserve"> no colmó las pretensiones realizadas por el particular, con dichas instrucciones para acceder a la información solicitada en la multirreferida página de internet; no obstante</w:t>
      </w:r>
      <w:r w:rsidRPr="003604C6">
        <w:rPr>
          <w:rFonts w:ascii="Palatino Linotype" w:hAnsi="Palatino Linotype" w:cs="Arial"/>
          <w:color w:val="000000" w:themeColor="text1"/>
        </w:rPr>
        <w:t xml:space="preserve">, no pasa desapercibido para esta ponencia que el plazo transcurrido entre la solicitud de información y la respuesta del </w:t>
      </w:r>
      <w:r w:rsidRPr="003604C6">
        <w:rPr>
          <w:rFonts w:ascii="Palatino Linotype" w:hAnsi="Palatino Linotype" w:cs="Arial"/>
          <w:b/>
          <w:color w:val="000000" w:themeColor="text1"/>
        </w:rPr>
        <w:t>Sujeto Obligado</w:t>
      </w:r>
      <w:r w:rsidRPr="003604C6">
        <w:rPr>
          <w:rFonts w:ascii="Palatino Linotype" w:hAnsi="Palatino Linotype" w:cs="Arial"/>
          <w:color w:val="000000" w:themeColor="text1"/>
        </w:rPr>
        <w:t xml:space="preserve"> fue de </w:t>
      </w:r>
      <w:r w:rsidR="00B521C4">
        <w:rPr>
          <w:rFonts w:ascii="Palatino Linotype" w:hAnsi="Palatino Linotype" w:cs="Arial"/>
          <w:b/>
          <w:i/>
          <w:color w:val="000000" w:themeColor="text1"/>
        </w:rPr>
        <w:t>siete</w:t>
      </w:r>
      <w:r w:rsidRPr="003604C6">
        <w:rPr>
          <w:rFonts w:ascii="Palatino Linotype" w:hAnsi="Palatino Linotype" w:cs="Arial"/>
          <w:b/>
          <w:i/>
          <w:color w:val="000000" w:themeColor="text1"/>
        </w:rPr>
        <w:t xml:space="preserve"> días hábiles</w:t>
      </w:r>
      <w:r w:rsidRPr="003604C6">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3604C6">
        <w:rPr>
          <w:rFonts w:ascii="Palatino Linotype" w:hAnsi="Palatino Linotype" w:cs="Arial"/>
          <w:b/>
          <w:color w:val="000000" w:themeColor="text1"/>
        </w:rPr>
        <w:t>Sujeto Obligado</w:t>
      </w:r>
      <w:r w:rsidRPr="003604C6">
        <w:rPr>
          <w:rFonts w:ascii="Palatino Linotype" w:hAnsi="Palatino Linotype" w:cs="Arial"/>
          <w:color w:val="000000" w:themeColor="text1"/>
        </w:rPr>
        <w:t xml:space="preserve"> </w:t>
      </w:r>
      <w:r w:rsidRPr="003604C6">
        <w:rPr>
          <w:rFonts w:ascii="Palatino Linotype" w:hAnsi="Palatino Linotype" w:cs="Arial"/>
          <w:b/>
          <w:i/>
          <w:color w:val="000000" w:themeColor="text1"/>
          <w:u w:val="single"/>
        </w:rPr>
        <w:t>deberá hacerlo saber al solicitante en un plazo no mayor a cinco días hábiles</w:t>
      </w:r>
      <w:r w:rsidRPr="003604C6">
        <w:rPr>
          <w:rFonts w:ascii="Palatino Linotype" w:hAnsi="Palatino Linotype" w:cs="Arial"/>
          <w:color w:val="000000" w:themeColor="text1"/>
        </w:rPr>
        <w:t xml:space="preserve">; bajo esa premisa, la respuesta del </w:t>
      </w:r>
      <w:r w:rsidRPr="003604C6">
        <w:rPr>
          <w:rFonts w:ascii="Palatino Linotype" w:hAnsi="Palatino Linotype" w:cs="Arial"/>
          <w:b/>
          <w:color w:val="000000" w:themeColor="text1"/>
        </w:rPr>
        <w:t>Sujeto Obligado</w:t>
      </w:r>
      <w:r w:rsidRPr="003604C6">
        <w:rPr>
          <w:rFonts w:ascii="Palatino Linotype" w:hAnsi="Palatino Linotype" w:cs="Arial"/>
          <w:color w:val="000000" w:themeColor="text1"/>
        </w:rPr>
        <w:t xml:space="preserve"> </w:t>
      </w:r>
      <w:r w:rsidRPr="003604C6">
        <w:rPr>
          <w:rFonts w:ascii="Palatino Linotype" w:hAnsi="Palatino Linotype" w:cs="Arial"/>
        </w:rPr>
        <w:t>vulneró el referido disposi</w:t>
      </w:r>
      <w:r>
        <w:rPr>
          <w:rFonts w:ascii="Palatino Linotype" w:hAnsi="Palatino Linotype" w:cs="Arial"/>
        </w:rPr>
        <w:t>tivo de la Ley de Transparencia.</w:t>
      </w:r>
    </w:p>
    <w:p w14:paraId="464BF958" w14:textId="77777777" w:rsidR="00470D24" w:rsidRPr="00271622" w:rsidRDefault="00470D24" w:rsidP="00470D24">
      <w:pPr>
        <w:spacing w:line="360" w:lineRule="auto"/>
        <w:jc w:val="both"/>
        <w:rPr>
          <w:rFonts w:ascii="Palatino Linotype" w:hAnsi="Palatino Linotype"/>
        </w:rPr>
      </w:pPr>
    </w:p>
    <w:p w14:paraId="6BA976B7" w14:textId="77777777" w:rsidR="00470D24" w:rsidRDefault="00470D24" w:rsidP="00470D24">
      <w:pPr>
        <w:spacing w:line="360" w:lineRule="auto"/>
        <w:jc w:val="both"/>
        <w:rPr>
          <w:rFonts w:ascii="Palatino Linotype" w:hAnsi="Palatino Linotype"/>
        </w:rPr>
      </w:pPr>
      <w:r w:rsidRPr="00271622">
        <w:rPr>
          <w:rFonts w:ascii="Palatino Linotype" w:hAnsi="Palatino Linotype"/>
        </w:rPr>
        <w:t>De tal forma que este Instituto estima que el Sujeto Obligado incumplió lo establecido en la Ley de la Materia, por lo cual es procedente revocar la respuesta a la solicitud del particular y ordenar la entrega de la información requerida.</w:t>
      </w:r>
    </w:p>
    <w:p w14:paraId="43D7B652" w14:textId="77777777" w:rsidR="00AB0BFC" w:rsidRDefault="00AB0BFC" w:rsidP="00470D24">
      <w:pPr>
        <w:spacing w:line="360" w:lineRule="auto"/>
        <w:jc w:val="both"/>
        <w:rPr>
          <w:rFonts w:ascii="Palatino Linotype" w:hAnsi="Palatino Linotype"/>
        </w:rPr>
      </w:pPr>
    </w:p>
    <w:p w14:paraId="7C0FDF33" w14:textId="7F0B8F4B" w:rsidR="00AB0BFC" w:rsidRDefault="00AB0BFC" w:rsidP="00AB0BFC">
      <w:pPr>
        <w:spacing w:line="360" w:lineRule="auto"/>
        <w:jc w:val="both"/>
        <w:rPr>
          <w:rFonts w:ascii="Palatino Linotype" w:hAnsi="Palatino Linotype" w:cs="Arial"/>
          <w:noProof/>
        </w:rPr>
      </w:pPr>
      <w:r>
        <w:rPr>
          <w:rFonts w:ascii="Palatino Linotype" w:hAnsi="Palatino Linotype" w:cs="Arial"/>
          <w:noProof/>
        </w:rPr>
        <w:t>En virtud de lo anterior, para delimitar las fronteras conceptuales de las unidades administrativas en cita, resulta oportuno traer a colación el artículo 95, fracciones I, IV, V, XIV, XVI, XVII de la Ley Organica</w:t>
      </w:r>
      <w:r w:rsidR="0020574D">
        <w:rPr>
          <w:rFonts w:ascii="Palatino Linotype" w:hAnsi="Palatino Linotype" w:cs="Arial"/>
          <w:noProof/>
        </w:rPr>
        <w:t xml:space="preserve"> Municipal del Estado de México y el</w:t>
      </w:r>
      <w:r>
        <w:rPr>
          <w:rFonts w:ascii="Palatino Linotype" w:hAnsi="Palatino Linotype" w:cs="Arial"/>
          <w:noProof/>
        </w:rPr>
        <w:t xml:space="preserve"> artículo 32 de la Ley de Fiscalización</w:t>
      </w:r>
      <w:r w:rsidR="0020574D">
        <w:rPr>
          <w:rFonts w:ascii="Palatino Linotype" w:hAnsi="Palatino Linotype" w:cs="Arial"/>
          <w:noProof/>
        </w:rPr>
        <w:t xml:space="preserve"> Superior del Estado de México</w:t>
      </w:r>
      <w:r>
        <w:rPr>
          <w:rFonts w:ascii="Palatino Linotype" w:hAnsi="Palatino Linotype" w:cs="Arial"/>
          <w:noProof/>
        </w:rPr>
        <w:t xml:space="preserve">, porciones normativas que disponen a la literalidad lo siguiente: </w:t>
      </w:r>
    </w:p>
    <w:p w14:paraId="07F29A3F" w14:textId="77777777" w:rsidR="00AB0BFC" w:rsidRPr="00982467" w:rsidRDefault="00AB0BFC" w:rsidP="00AB0BFC">
      <w:pPr>
        <w:pStyle w:val="Citas"/>
        <w:jc w:val="center"/>
        <w:rPr>
          <w:b/>
          <w:bCs/>
          <w:noProof/>
        </w:rPr>
      </w:pPr>
      <w:r w:rsidRPr="00982467">
        <w:rPr>
          <w:b/>
          <w:bCs/>
          <w:noProof/>
        </w:rPr>
        <w:t>LEY ORGANICA MUNICIPAL DEL ESTADO DE MÉXICO</w:t>
      </w:r>
    </w:p>
    <w:p w14:paraId="011419F7" w14:textId="77777777" w:rsidR="00AB0BFC" w:rsidRDefault="00AB0BFC" w:rsidP="00AB0BFC">
      <w:pPr>
        <w:pStyle w:val="Citas"/>
      </w:pPr>
      <w:r>
        <w:t>“Artículo 95.- Son atribuciones del tesorero municipal:</w:t>
      </w:r>
    </w:p>
    <w:p w14:paraId="7B34B93F" w14:textId="77777777" w:rsidR="00AB0BFC" w:rsidRDefault="00AB0BFC" w:rsidP="00AB0BFC">
      <w:pPr>
        <w:pStyle w:val="Citas"/>
      </w:pPr>
      <w:r>
        <w:t>I. Administrar la hacienda pública municipal, de conformidad con las disposiciones legales aplicables;</w:t>
      </w:r>
    </w:p>
    <w:p w14:paraId="30B39FA6" w14:textId="77777777" w:rsidR="00AB0BFC" w:rsidRDefault="00AB0BFC" w:rsidP="00AB0BFC">
      <w:pPr>
        <w:pStyle w:val="Citas"/>
        <w:rPr>
          <w:noProof/>
          <w:sz w:val="24"/>
          <w:szCs w:val="24"/>
        </w:rPr>
      </w:pPr>
      <w:r>
        <w:rPr>
          <w:noProof/>
          <w:sz w:val="24"/>
          <w:szCs w:val="24"/>
        </w:rPr>
        <w:t>(…)</w:t>
      </w:r>
    </w:p>
    <w:p w14:paraId="760068C3" w14:textId="77777777" w:rsidR="00AB0BFC" w:rsidRDefault="00AB0BFC" w:rsidP="00AB0BFC">
      <w:pPr>
        <w:pStyle w:val="Citas"/>
      </w:pPr>
      <w:r>
        <w:t>IV. Llevar los registros contables, financieros y administrativos de los ingresos, egresos, e inventarios;</w:t>
      </w:r>
    </w:p>
    <w:p w14:paraId="08BFE94B" w14:textId="77777777" w:rsidR="00AB0BFC" w:rsidRDefault="00AB0BFC" w:rsidP="00AB0BFC">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45659DD0" w14:textId="77777777" w:rsidR="00AB0BFC" w:rsidRDefault="00AB0BFC" w:rsidP="00AB0BFC">
      <w:pPr>
        <w:pStyle w:val="Citas"/>
      </w:pPr>
      <w:r>
        <w:t>(…)</w:t>
      </w:r>
    </w:p>
    <w:p w14:paraId="66641DE9" w14:textId="77777777" w:rsidR="00AB0BFC" w:rsidRDefault="00AB0BFC" w:rsidP="00AB0BFC">
      <w:pPr>
        <w:pStyle w:val="Citas"/>
      </w:pPr>
      <w:r>
        <w:t>XIV. Ministrar a su inmediato antecesor todos los datos oficiales que le solicitare, para contestar los pliegos de observaciones y alcances que formule y deduzca el Órgano Superior de Fiscalización del Estado de México</w:t>
      </w:r>
    </w:p>
    <w:p w14:paraId="29DC5C52" w14:textId="77777777" w:rsidR="00AB0BFC" w:rsidRDefault="00AB0BFC" w:rsidP="00AB0BFC">
      <w:pPr>
        <w:pStyle w:val="Citas"/>
      </w:pPr>
      <w:r>
        <w:lastRenderedPageBreak/>
        <w:t>(…)</w:t>
      </w:r>
    </w:p>
    <w:p w14:paraId="05CE861E" w14:textId="77777777" w:rsidR="00AB0BFC" w:rsidRDefault="00AB0BFC" w:rsidP="00AB0BFC">
      <w:pPr>
        <w:pStyle w:val="Citas"/>
      </w:pPr>
      <w:r>
        <w:t xml:space="preserve">XVI. Glosar oportunamente las cuentas del ayuntamiento; </w:t>
      </w:r>
    </w:p>
    <w:p w14:paraId="5EFBD595" w14:textId="77777777" w:rsidR="00AB0BFC" w:rsidRDefault="00AB0BFC" w:rsidP="00AB0BFC">
      <w:pPr>
        <w:pStyle w:val="Citas"/>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7E3DA72B" w14:textId="77777777" w:rsidR="00AB0BFC" w:rsidRDefault="00AB0BFC" w:rsidP="00AB0BFC">
      <w:pPr>
        <w:pStyle w:val="Citas"/>
        <w:rPr>
          <w:b/>
          <w:bCs/>
        </w:rPr>
      </w:pPr>
      <w:r>
        <w:t xml:space="preserve">(…)” </w:t>
      </w:r>
      <w:r>
        <w:rPr>
          <w:b/>
          <w:bCs/>
        </w:rPr>
        <w:t>(Sic)</w:t>
      </w:r>
    </w:p>
    <w:p w14:paraId="723A2B94" w14:textId="77777777" w:rsidR="00AB0BFC" w:rsidRDefault="00AB0BFC" w:rsidP="00AB0BFC">
      <w:pPr>
        <w:spacing w:line="360" w:lineRule="auto"/>
        <w:jc w:val="both"/>
      </w:pPr>
    </w:p>
    <w:p w14:paraId="3CA6C7B9" w14:textId="77777777" w:rsidR="00AB0BFC" w:rsidRPr="00991F94" w:rsidRDefault="00AB0BFC" w:rsidP="00AB0BFC">
      <w:pPr>
        <w:pStyle w:val="Citas"/>
        <w:jc w:val="center"/>
        <w:rPr>
          <w:b/>
          <w:bCs/>
          <w:noProof/>
        </w:rPr>
      </w:pPr>
      <w:r w:rsidRPr="00991F94">
        <w:rPr>
          <w:b/>
          <w:bCs/>
          <w:noProof/>
        </w:rPr>
        <w:t>LEY DE FISCALIZACIÓN SUPERIOR DEL ESTADO DE MÉXICO</w:t>
      </w:r>
    </w:p>
    <w:p w14:paraId="6548E0E4" w14:textId="77777777" w:rsidR="00AB0BFC" w:rsidRDefault="00AB0BFC" w:rsidP="00AB0BFC">
      <w:pPr>
        <w:pStyle w:val="Citas"/>
      </w:pPr>
      <w:r>
        <w:t>“Artículo 32.- - El Gobernador del Estado, por conducto del titular de la dependencia competente, presentará a la Legislatura la cuenta pública del Gobierno del Estado del ejercicio fiscal inmediato anterior, a más tardar el treinta de abril de cada año</w:t>
      </w:r>
    </w:p>
    <w:p w14:paraId="37E87F1E" w14:textId="77777777" w:rsidR="00AB0BFC" w:rsidRPr="00991F94" w:rsidRDefault="00AB0BFC" w:rsidP="00AB0BFC">
      <w:pPr>
        <w:pStyle w:val="Citas"/>
        <w:rPr>
          <w:b/>
          <w:bCs/>
          <w:u w:val="single"/>
        </w:rPr>
      </w:pPr>
      <w:r w:rsidRPr="00991F94">
        <w:rPr>
          <w:b/>
          <w:bCs/>
          <w:u w:val="single"/>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6D617823" w14:textId="77777777" w:rsidR="00AB0BFC" w:rsidRDefault="00AB0BFC" w:rsidP="00AB0BFC">
      <w:pPr>
        <w:pStyle w:val="Citas"/>
        <w:rPr>
          <w:b/>
          <w:bCs/>
        </w:rPr>
      </w:pPr>
      <w:r>
        <w:t xml:space="preserve">Las cuentas públicas deberán presentarse conforme a lo establecido en la Ley General de Contabilidad Gubernamental, Ley de Disciplina Financiera delas Entidades Federativas y los Municipios y demás disposiciones aplicables.” </w:t>
      </w:r>
      <w:r>
        <w:rPr>
          <w:b/>
          <w:bCs/>
        </w:rPr>
        <w:t>(Sic)</w:t>
      </w:r>
    </w:p>
    <w:p w14:paraId="4F4AD98A" w14:textId="77777777" w:rsidR="00AB0BFC" w:rsidRDefault="00AB0BFC" w:rsidP="00AB0BFC">
      <w:pPr>
        <w:pStyle w:val="Citas"/>
        <w:rPr>
          <w:b/>
          <w:bCs/>
        </w:rPr>
      </w:pPr>
    </w:p>
    <w:p w14:paraId="497CF0D2" w14:textId="77777777" w:rsidR="00AB0BFC" w:rsidRDefault="00AB0BFC" w:rsidP="00AB0BFC">
      <w:pPr>
        <w:spacing w:line="360" w:lineRule="auto"/>
        <w:jc w:val="both"/>
      </w:pPr>
    </w:p>
    <w:p w14:paraId="592F8EDD" w14:textId="0B81B66D" w:rsidR="00AB0BFC" w:rsidRDefault="00AB0BFC" w:rsidP="00AB0BFC">
      <w:pPr>
        <w:spacing w:line="360" w:lineRule="auto"/>
        <w:jc w:val="both"/>
        <w:rPr>
          <w:rFonts w:ascii="Palatino Linotype" w:hAnsi="Palatino Linotype" w:cs="Arial"/>
        </w:rPr>
      </w:pPr>
      <w:r w:rsidRPr="00213FE0">
        <w:rPr>
          <w:rFonts w:ascii="Palatino Linotype" w:hAnsi="Palatino Linotype" w:cs="Arial"/>
        </w:rPr>
        <w:t xml:space="preserve">Del análisis sistemático y armónico de la normatividad previamente plasmada se desprende que la </w:t>
      </w:r>
      <w:r>
        <w:rPr>
          <w:rFonts w:ascii="Palatino Linotype" w:hAnsi="Palatino Linotype" w:cs="Arial"/>
        </w:rPr>
        <w:t xml:space="preserve">Tesorería Municipal da cuenta de los ingresos y egresos, administra la hacienda pública municipal </w:t>
      </w:r>
      <w:r w:rsidR="0020574D">
        <w:rPr>
          <w:rFonts w:ascii="Palatino Linotype" w:hAnsi="Palatino Linotype" w:cs="Arial"/>
        </w:rPr>
        <w:t>llevando en todo momento</w:t>
      </w:r>
      <w:r w:rsidR="0020574D" w:rsidRPr="0020574D">
        <w:rPr>
          <w:rFonts w:ascii="Palatino Linotype" w:hAnsi="Palatino Linotype" w:cs="Arial"/>
        </w:rPr>
        <w:t xml:space="preserve"> los registros contables, financieros y administrativos de los ingresos, egresos, e inventarios </w:t>
      </w:r>
      <w:r>
        <w:rPr>
          <w:rFonts w:ascii="Palatino Linotype" w:hAnsi="Palatino Linotype" w:cs="Arial"/>
        </w:rPr>
        <w:t xml:space="preserve">e incluso responde pliegos de observaciones derivado de los informes remitidos al Órgano Superior de Fiscalización del Estado de México. </w:t>
      </w:r>
    </w:p>
    <w:p w14:paraId="42D5E94D" w14:textId="77777777" w:rsidR="0020574D" w:rsidRDefault="0020574D" w:rsidP="00AB0BFC">
      <w:pPr>
        <w:spacing w:line="360" w:lineRule="auto"/>
        <w:jc w:val="both"/>
        <w:rPr>
          <w:rFonts w:ascii="Palatino Linotype" w:hAnsi="Palatino Linotype" w:cs="Arial"/>
        </w:rPr>
      </w:pPr>
    </w:p>
    <w:p w14:paraId="23640465" w14:textId="5975DEB3" w:rsidR="0020574D" w:rsidRDefault="0020574D" w:rsidP="00AB0BFC">
      <w:pPr>
        <w:spacing w:line="360" w:lineRule="auto"/>
        <w:jc w:val="both"/>
        <w:rPr>
          <w:rFonts w:ascii="Palatino Linotype" w:hAnsi="Palatino Linotype" w:cs="Arial"/>
        </w:rPr>
      </w:pPr>
      <w:r>
        <w:rPr>
          <w:rFonts w:ascii="Palatino Linotype" w:hAnsi="Palatino Linotype" w:cs="Arial"/>
        </w:rPr>
        <w:t xml:space="preserve">El Sujeto Obligado debe presentar </w:t>
      </w:r>
      <w:r w:rsidRPr="0020574D">
        <w:rPr>
          <w:rFonts w:ascii="Palatino Linotype" w:hAnsi="Palatino Linotype" w:cs="Arial"/>
        </w:rPr>
        <w:t xml:space="preserve"> a la Legislatura las cuentas públicas anuales del ejercicio fiscal inmediato anterior, dentro de los quince primeros días del mes de marzo de cada año; asimismo, los informes mensuales los deberán presentar dentro de los veinte días posteriores al término del mes correspondiente</w:t>
      </w:r>
      <w:r w:rsidR="0008542C">
        <w:rPr>
          <w:rFonts w:ascii="Palatino Linotype" w:hAnsi="Palatino Linotype" w:cs="Arial"/>
        </w:rPr>
        <w:t>.</w:t>
      </w:r>
    </w:p>
    <w:p w14:paraId="5970DA5C" w14:textId="77777777" w:rsidR="0008542C" w:rsidRDefault="0008542C" w:rsidP="00AB0BFC">
      <w:pPr>
        <w:spacing w:line="360" w:lineRule="auto"/>
        <w:jc w:val="both"/>
        <w:rPr>
          <w:rFonts w:ascii="Palatino Linotype" w:hAnsi="Palatino Linotype" w:cs="Arial"/>
        </w:rPr>
      </w:pPr>
    </w:p>
    <w:p w14:paraId="19ED6CB8" w14:textId="61FA9CEA" w:rsidR="0008542C" w:rsidRDefault="0008542C" w:rsidP="00AB0BFC">
      <w:pPr>
        <w:spacing w:line="360" w:lineRule="auto"/>
        <w:jc w:val="both"/>
        <w:rPr>
          <w:rFonts w:ascii="Palatino Linotype" w:hAnsi="Palatino Linotype" w:cs="Arial"/>
        </w:rPr>
      </w:pPr>
      <w:r>
        <w:rPr>
          <w:rFonts w:ascii="Palatino Linotype" w:hAnsi="Palatino Linotype" w:cs="Arial"/>
        </w:rPr>
        <w:t>L</w:t>
      </w:r>
      <w:r w:rsidRPr="0008542C">
        <w:rPr>
          <w:rFonts w:ascii="Palatino Linotype" w:hAnsi="Palatino Linotype" w:cs="Arial"/>
        </w:rPr>
        <w:t>os informes remitidos</w:t>
      </w:r>
      <w:r>
        <w:rPr>
          <w:rFonts w:ascii="Palatino Linotype" w:hAnsi="Palatino Linotype" w:cs="Arial"/>
        </w:rPr>
        <w:t xml:space="preserve"> por el Sujeto Obligado</w:t>
      </w:r>
      <w:r w:rsidRPr="0008542C">
        <w:rPr>
          <w:rFonts w:ascii="Palatino Linotype" w:hAnsi="Palatino Linotype" w:cs="Arial"/>
        </w:rPr>
        <w:t xml:space="preserve"> al Órgano Superior de Fiscalización del Estado de México son generados de manera trimestral, mismos que engloban información relativa a ingresos, egresos, pólizas de cheques, salarios y pago de nómina, cuotas </w:t>
      </w:r>
      <w:r w:rsidRPr="0008542C">
        <w:rPr>
          <w:rFonts w:ascii="Palatino Linotype" w:hAnsi="Palatino Linotype" w:cs="Arial"/>
          <w:b/>
          <w:i/>
        </w:rPr>
        <w:t>y</w:t>
      </w:r>
      <w:r w:rsidRPr="0008542C">
        <w:rPr>
          <w:rFonts w:ascii="Palatino Linotype" w:hAnsi="Palatino Linotype" w:cs="Arial"/>
          <w:b/>
        </w:rPr>
        <w:t xml:space="preserve"> aportaciones de seguridad social</w:t>
      </w:r>
      <w:r w:rsidRPr="0008542C">
        <w:rPr>
          <w:rFonts w:ascii="Palatino Linotype" w:hAnsi="Palatino Linotype" w:cs="Arial"/>
        </w:rPr>
        <w:t xml:space="preserve">, pago a proveedores, entre otros.  </w:t>
      </w:r>
    </w:p>
    <w:p w14:paraId="2E483D8C" w14:textId="77777777" w:rsidR="0020574D" w:rsidRPr="009B36EA" w:rsidRDefault="0020574D" w:rsidP="00AB0BFC">
      <w:pPr>
        <w:spacing w:line="360" w:lineRule="auto"/>
        <w:jc w:val="both"/>
      </w:pPr>
    </w:p>
    <w:p w14:paraId="5F3C2AD6" w14:textId="6662A874" w:rsidR="00470D24" w:rsidRDefault="00AB0BFC" w:rsidP="0008542C">
      <w:pPr>
        <w:spacing w:line="360" w:lineRule="auto"/>
        <w:jc w:val="both"/>
        <w:rPr>
          <w:rFonts w:ascii="Palatino Linotype" w:hAnsi="Palatino Linotype"/>
          <w:b/>
          <w:bCs/>
        </w:rPr>
      </w:pPr>
      <w:r>
        <w:rPr>
          <w:rFonts w:ascii="Palatino Linotype" w:hAnsi="Palatino Linotype"/>
        </w:rPr>
        <w:t xml:space="preserve">Hasta aquí lo expuesto, se arriba a la premisa de que la información requerida es susceptible de ser generada, poseída y administrada por </w:t>
      </w:r>
      <w:r>
        <w:rPr>
          <w:rFonts w:ascii="Palatino Linotype" w:hAnsi="Palatino Linotype"/>
          <w:b/>
          <w:bCs/>
        </w:rPr>
        <w:t xml:space="preserve">El Sujeto Obligado. </w:t>
      </w:r>
    </w:p>
    <w:p w14:paraId="3A19D4F3" w14:textId="77777777" w:rsidR="0008542C" w:rsidRPr="0008542C" w:rsidRDefault="0008542C" w:rsidP="0008542C">
      <w:pPr>
        <w:spacing w:line="360" w:lineRule="auto"/>
        <w:jc w:val="both"/>
        <w:rPr>
          <w:rFonts w:ascii="Palatino Linotype" w:hAnsi="Palatino Linotype"/>
          <w:b/>
          <w:bCs/>
        </w:rPr>
      </w:pPr>
    </w:p>
    <w:p w14:paraId="6CAD880A" w14:textId="67ED9717" w:rsidR="00031AED" w:rsidRPr="009E626E" w:rsidRDefault="00470D24" w:rsidP="0008542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 xml:space="preserve">no colmó el derecho de acceso a la información pública. Consecuentemente </w:t>
      </w:r>
      <w:r>
        <w:rPr>
          <w:rFonts w:ascii="Palatino Linotype" w:hAnsi="Palatino Linotype" w:cs="Arial"/>
        </w:rPr>
        <w:lastRenderedPageBreak/>
        <w:t xml:space="preserve">resulta dable ordenar la entrega, en versión pública de ser procedente, </w:t>
      </w:r>
      <w:r w:rsidR="00F87C1F">
        <w:rPr>
          <w:rFonts w:ascii="Palatino Linotype" w:hAnsi="Palatino Linotype"/>
        </w:rPr>
        <w:t>d</w:t>
      </w:r>
      <w:r w:rsidR="00031AED">
        <w:rPr>
          <w:rFonts w:ascii="Palatino Linotype" w:hAnsi="Palatino Linotype"/>
        </w:rPr>
        <w:t>el o los documentos en donde conste lo siguiente</w:t>
      </w:r>
      <w:r w:rsidR="00031AED" w:rsidRPr="00E152F9">
        <w:rPr>
          <w:rFonts w:ascii="Palatino Linotype" w:hAnsi="Palatino Linotype"/>
        </w:rPr>
        <w:t>:</w:t>
      </w:r>
    </w:p>
    <w:p w14:paraId="44898351" w14:textId="79AEFCE1" w:rsidR="00F87C1F" w:rsidRPr="00B521C4" w:rsidRDefault="00B521C4" w:rsidP="00B521C4">
      <w:pPr>
        <w:pStyle w:val="Prrafodelista"/>
        <w:numPr>
          <w:ilvl w:val="0"/>
          <w:numId w:val="49"/>
        </w:numPr>
        <w:spacing w:before="240" w:after="240" w:line="360" w:lineRule="auto"/>
        <w:jc w:val="both"/>
        <w:rPr>
          <w:rFonts w:ascii="Palatino Linotype" w:hAnsi="Palatino Linotype"/>
          <w:i/>
          <w:iCs/>
        </w:rPr>
      </w:pPr>
      <w:bookmarkStart w:id="5" w:name="_Hlk114077670"/>
      <w:r w:rsidRPr="00B521C4">
        <w:rPr>
          <w:rFonts w:ascii="Palatino Linotype" w:hAnsi="Palatino Linotype"/>
          <w:i/>
          <w:iCs/>
        </w:rPr>
        <w:t>Fecha de pago y montos de recursos erogados al Instituto de Seguridad Social del Estado de México y Municipios durante los ejercicios fiscales 2019, 2020, y 2021</w:t>
      </w:r>
      <w:r w:rsidR="00F87C1F" w:rsidRPr="00B521C4">
        <w:rPr>
          <w:rFonts w:ascii="Palatino Linotype" w:hAnsi="Palatino Linotype"/>
          <w:i/>
          <w:iCs/>
        </w:rPr>
        <w:t>.</w:t>
      </w:r>
    </w:p>
    <w:bookmarkEnd w:id="5"/>
    <w:p w14:paraId="749649EF" w14:textId="77777777" w:rsidR="00B6337D" w:rsidRDefault="00B6337D" w:rsidP="00031AED">
      <w:pPr>
        <w:pStyle w:val="Sinespaciado"/>
        <w:spacing w:line="360" w:lineRule="auto"/>
        <w:jc w:val="both"/>
        <w:rPr>
          <w:rFonts w:ascii="Palatino Linotype" w:hAnsi="Palatino Linotype"/>
          <w:b/>
          <w:sz w:val="28"/>
          <w:szCs w:val="28"/>
        </w:rPr>
      </w:pPr>
    </w:p>
    <w:p w14:paraId="7DB63E53" w14:textId="7A5A4858" w:rsidR="00470D24" w:rsidRDefault="00470D24" w:rsidP="00031AED">
      <w:pPr>
        <w:pStyle w:val="Sinespaciado"/>
        <w:spacing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381E99E" w14:textId="77777777" w:rsidR="00470D24" w:rsidRPr="001571EB" w:rsidRDefault="00470D24" w:rsidP="00470D24">
      <w:pPr>
        <w:tabs>
          <w:tab w:val="left" w:pos="7938"/>
        </w:tabs>
        <w:spacing w:before="240" w:after="240" w:line="360" w:lineRule="auto"/>
        <w:jc w:val="both"/>
        <w:rPr>
          <w:rFonts w:ascii="Palatino Linotype" w:eastAsia="Arial Unicode MS" w:hAnsi="Palatino Linotype" w:cs="Arial"/>
        </w:rPr>
      </w:pPr>
      <w:r>
        <w:rPr>
          <w:rFonts w:ascii="Palatino Linotype" w:eastAsia="Arial Unicode MS" w:hAnsi="Palatino Linotype" w:cs="Arial"/>
        </w:rPr>
        <w:t>N</w:t>
      </w:r>
      <w:r w:rsidRPr="001571EB">
        <w:rPr>
          <w:rFonts w:ascii="Palatino Linotype" w:eastAsia="Arial Unicode MS" w:hAnsi="Palatino Linotype" w:cs="Arial"/>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9EC28CB" w14:textId="77777777" w:rsidR="00470D24" w:rsidRPr="00E60DEF" w:rsidRDefault="00470D24" w:rsidP="00470D2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3E5B7C8" w14:textId="77777777" w:rsidR="00470D24" w:rsidRPr="00E60DEF" w:rsidRDefault="00470D24" w:rsidP="00470D2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EC84ACD" w14:textId="77777777" w:rsidR="00470D24" w:rsidRPr="001571EB" w:rsidRDefault="00470D24" w:rsidP="00470D2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4EA5777" w14:textId="77777777" w:rsidR="00470D24" w:rsidRPr="001571EB" w:rsidRDefault="00470D24" w:rsidP="00470D24">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1D2A4487" w14:textId="77777777" w:rsidR="00470D24" w:rsidRPr="001571EB" w:rsidRDefault="00470D24" w:rsidP="00470D2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993AFC7" w14:textId="77777777" w:rsidR="00470D24" w:rsidRPr="001571EB" w:rsidRDefault="00470D24" w:rsidP="00470D2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1CB6319" w14:textId="77777777" w:rsidR="00470D24" w:rsidRPr="001571EB" w:rsidRDefault="00470D24" w:rsidP="00470D2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2A58F05" w14:textId="77777777" w:rsidR="00470D24" w:rsidRPr="001571EB" w:rsidRDefault="00470D24" w:rsidP="00470D2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46CA3F6" w14:textId="77777777" w:rsidR="00470D24" w:rsidRPr="001571EB" w:rsidRDefault="00470D24" w:rsidP="00470D2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6DAD27B" w14:textId="77777777" w:rsidR="00470D24" w:rsidRPr="00E60DEF" w:rsidRDefault="00470D24" w:rsidP="00470D2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3C9A8C7" w14:textId="77777777" w:rsidR="00470D24" w:rsidRPr="001571EB" w:rsidRDefault="00470D24" w:rsidP="00470D2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A5CA9F2" w14:textId="77777777" w:rsidR="00470D24" w:rsidRPr="00E60DEF" w:rsidRDefault="00470D24" w:rsidP="00470D2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FF05F9D" w14:textId="77777777" w:rsidR="00470D24" w:rsidRPr="001571EB" w:rsidRDefault="00470D24" w:rsidP="00470D24">
      <w:pPr>
        <w:ind w:left="851" w:right="851"/>
        <w:jc w:val="both"/>
        <w:rPr>
          <w:rFonts w:ascii="Palatino Linotype" w:hAnsi="Palatino Linotype" w:cs="Arial"/>
          <w:b/>
          <w:i/>
          <w:u w:val="single"/>
        </w:rPr>
      </w:pPr>
    </w:p>
    <w:p w14:paraId="6390D470" w14:textId="77777777" w:rsidR="00470D24" w:rsidRPr="001571EB" w:rsidRDefault="00470D24" w:rsidP="00470D24">
      <w:pPr>
        <w:spacing w:line="360" w:lineRule="auto"/>
        <w:ind w:right="51"/>
        <w:jc w:val="both"/>
        <w:rPr>
          <w:rFonts w:ascii="Palatino Linotype" w:hAnsi="Palatino Linotype" w:cs="Arial"/>
        </w:rPr>
      </w:pPr>
      <w:r w:rsidRPr="001571EB">
        <w:rPr>
          <w:rFonts w:ascii="Palatino Linotype" w:eastAsia="Arial Unicode MS" w:hAnsi="Palatino Linotype" w:cs="Arial"/>
        </w:rPr>
        <w:lastRenderedPageBreak/>
        <w:t xml:space="preserve">Verbigracia, previo a poner a disposición la información correspondiente debe considerarse que tiene carácter de confidencial </w:t>
      </w:r>
      <w:r w:rsidRPr="001571EB">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32B4B0" w14:textId="77777777" w:rsidR="00470D24" w:rsidRPr="001571EB" w:rsidRDefault="00470D24" w:rsidP="00470D24">
      <w:pPr>
        <w:autoSpaceDE w:val="0"/>
        <w:autoSpaceDN w:val="0"/>
        <w:adjustRightInd w:val="0"/>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24AA246" w14:textId="77777777" w:rsidR="00470D24" w:rsidRPr="001571EB" w:rsidRDefault="00470D24" w:rsidP="00470D24">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4402535" w14:textId="77777777" w:rsidR="00470D24" w:rsidRDefault="00470D24" w:rsidP="00470D24">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 xml:space="preserve">Lo anterior es compartido por el ahora </w:t>
      </w:r>
      <w:r w:rsidRPr="001571EB">
        <w:rPr>
          <w:rFonts w:ascii="Palatino Linotype" w:hAnsi="Palatino Linotype" w:cs="Arial"/>
          <w:b/>
          <w:bCs/>
          <w:lang w:eastAsia="es-MX"/>
        </w:rPr>
        <w:t>Instituto Nacional de Transparencia, Acceso a la Información y Protección de Datos Personales</w:t>
      </w:r>
      <w:r w:rsidRPr="001571EB">
        <w:rPr>
          <w:rFonts w:ascii="Palatino Linotype" w:hAnsi="Palatino Linotype" w:cs="Arial"/>
          <w:lang w:eastAsia="es-MX"/>
        </w:rPr>
        <w:t xml:space="preserve"> (INAI), conforme al criterio </w:t>
      </w:r>
      <w:r w:rsidRPr="00E60DEF">
        <w:rPr>
          <w:rFonts w:ascii="Palatino Linotype" w:hAnsi="Palatino Linotype" w:cs="Arial"/>
          <w:b/>
          <w:lang w:eastAsia="es-MX"/>
        </w:rPr>
        <w:t>19/17,</w:t>
      </w:r>
      <w:r w:rsidRPr="001571EB">
        <w:rPr>
          <w:rFonts w:ascii="Palatino Linotype" w:hAnsi="Palatino Linotype" w:cs="Arial"/>
          <w:lang w:eastAsia="es-MX"/>
        </w:rPr>
        <w:t xml:space="preserve"> el cual es del tenor literal siguiente:</w:t>
      </w:r>
    </w:p>
    <w:p w14:paraId="4BE02A8F" w14:textId="77777777" w:rsidR="00470D24" w:rsidRDefault="00470D24" w:rsidP="00470D24">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REGISTRO FEDERAL DE CONTRIBUYENTES (RFC) DE PERSONAS FÍSICAS.</w:t>
      </w:r>
    </w:p>
    <w:p w14:paraId="71CD94A6"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bCs/>
          <w:i/>
        </w:rPr>
      </w:pPr>
      <w:r w:rsidRPr="001571EB">
        <w:rPr>
          <w:rFonts w:ascii="Palatino Linotype" w:hAnsi="Palatino Linotype" w:cs="Arial"/>
          <w:bCs/>
          <w:i/>
        </w:rPr>
        <w:lastRenderedPageBreak/>
        <w:t>El RFC es una clave de carácter fiscal, única e irrepetible, que permite identificar al titular, su edad y fecha de nacimiento, por lo que es un dato personal de carácter confidencial.</w:t>
      </w:r>
    </w:p>
    <w:p w14:paraId="76CCA94D"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Resoluciones:</w:t>
      </w:r>
    </w:p>
    <w:p w14:paraId="2487D8B3"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0189/17. </w:t>
      </w:r>
      <w:r w:rsidRPr="001571EB">
        <w:rPr>
          <w:rFonts w:ascii="Palatino Linotype" w:hAnsi="Palatino Linotype" w:cs="Arial"/>
          <w:i/>
        </w:rPr>
        <w:t>Morena. 08 de febrero de 2017. Por unanimidad. Comisionado Ponente Joel Salas Suárez.</w:t>
      </w:r>
    </w:p>
    <w:p w14:paraId="0A9109E5"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w:t>
      </w:r>
      <w:r w:rsidRPr="001571EB">
        <w:rPr>
          <w:rFonts w:ascii="Palatino Linotype" w:hAnsi="Palatino Linotype" w:cs="Arial"/>
          <w:b/>
          <w:bCs/>
          <w:i/>
        </w:rPr>
        <w:t>0677</w:t>
      </w:r>
      <w:r w:rsidRPr="001571EB">
        <w:rPr>
          <w:rFonts w:ascii="Palatino Linotype" w:hAnsi="Palatino Linotype" w:cs="Arial"/>
          <w:b/>
          <w:i/>
        </w:rPr>
        <w:t xml:space="preserve">/17. </w:t>
      </w:r>
      <w:r w:rsidRPr="001571EB">
        <w:rPr>
          <w:rFonts w:ascii="Palatino Linotype" w:hAnsi="Palatino Linotype" w:cs="Arial"/>
          <w:i/>
        </w:rPr>
        <w:t>Universidad Nacional Autónoma de México. 08 de marzo de 2017. Por unanimidad. Comisionado Ponente Rosendoevgueni Monterrey Chepov.</w:t>
      </w:r>
      <w:r w:rsidRPr="001571EB">
        <w:rPr>
          <w:rFonts w:ascii="Palatino Linotype" w:hAnsi="Palatino Linotype" w:cs="Arial"/>
          <w:b/>
          <w:i/>
        </w:rPr>
        <w:t xml:space="preserve"> </w:t>
      </w:r>
    </w:p>
    <w:p w14:paraId="793558E0" w14:textId="77777777" w:rsidR="00470D24" w:rsidRPr="00EE0180" w:rsidRDefault="00470D24" w:rsidP="00470D24">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RRA</w:t>
      </w:r>
      <w:r w:rsidRPr="001571EB">
        <w:rPr>
          <w:rFonts w:ascii="Palatino Linotype" w:hAnsi="Palatino Linotype" w:cs="Arial"/>
          <w:i/>
        </w:rPr>
        <w:t xml:space="preserve"> </w:t>
      </w:r>
      <w:r w:rsidRPr="001571EB">
        <w:rPr>
          <w:rFonts w:ascii="Palatino Linotype" w:hAnsi="Palatino Linotype" w:cs="Arial"/>
          <w:b/>
          <w:i/>
        </w:rPr>
        <w:t xml:space="preserve">1564/17. </w:t>
      </w:r>
      <w:r w:rsidRPr="001571EB">
        <w:rPr>
          <w:rFonts w:ascii="Palatino Linotype" w:hAnsi="Palatino Linotype" w:cs="Arial"/>
          <w:i/>
        </w:rPr>
        <w:t>Tribunal Electoral del Poder Judicial de la Federación. 26 de abril de 2017. Por unanimidad. Comisionado Ponente Oscar Mauricio Guerra Ford.</w:t>
      </w:r>
      <w:r>
        <w:rPr>
          <w:rFonts w:ascii="Palatino Linotype" w:hAnsi="Palatino Linotype" w:cs="Arial"/>
          <w:i/>
        </w:rPr>
        <w:t xml:space="preserve">” </w:t>
      </w:r>
      <w:r>
        <w:rPr>
          <w:rFonts w:ascii="Palatino Linotype" w:hAnsi="Palatino Linotype" w:cs="Arial"/>
          <w:b/>
          <w:i/>
        </w:rPr>
        <w:t>[Sic]</w:t>
      </w:r>
    </w:p>
    <w:p w14:paraId="0E9F7C8B" w14:textId="77777777" w:rsidR="00470D24" w:rsidRPr="001571EB" w:rsidRDefault="00470D24" w:rsidP="00470D24">
      <w:pPr>
        <w:autoSpaceDE w:val="0"/>
        <w:autoSpaceDN w:val="0"/>
        <w:adjustRightInd w:val="0"/>
        <w:spacing w:before="120" w:after="120"/>
        <w:ind w:left="567" w:right="850"/>
        <w:jc w:val="both"/>
        <w:rPr>
          <w:rFonts w:ascii="Palatino Linotype" w:hAnsi="Palatino Linotype" w:cs="Arial"/>
          <w:i/>
        </w:rPr>
      </w:pPr>
    </w:p>
    <w:p w14:paraId="17799B05" w14:textId="77777777" w:rsidR="00470D24" w:rsidRPr="001571EB" w:rsidRDefault="00470D24" w:rsidP="00470D24">
      <w:pPr>
        <w:spacing w:before="240" w:after="240" w:line="360" w:lineRule="auto"/>
        <w:jc w:val="both"/>
        <w:rPr>
          <w:rFonts w:ascii="Palatino Linotype" w:hAnsi="Palatino Linotype" w:cs="Arial"/>
          <w:lang w:eastAsia="es-MX"/>
        </w:rPr>
      </w:pPr>
      <w:r w:rsidRPr="001571EB">
        <w:rPr>
          <w:rFonts w:ascii="Palatino Linotype" w:hAnsi="Palatino Linotype" w:cs="Arial"/>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F3CBCF9" w14:textId="77777777" w:rsidR="00470D24" w:rsidRPr="001571EB" w:rsidRDefault="00470D24" w:rsidP="00470D24">
      <w:pPr>
        <w:spacing w:before="240" w:after="240" w:line="360" w:lineRule="auto"/>
        <w:jc w:val="both"/>
        <w:rPr>
          <w:rFonts w:ascii="Palatino Linotype" w:eastAsia="Calibri" w:hAnsi="Palatino Linotype" w:cs="Arial"/>
          <w:lang w:eastAsia="es-MX"/>
        </w:rPr>
      </w:pPr>
      <w:r w:rsidRPr="001571EB">
        <w:rPr>
          <w:rFonts w:ascii="Palatino Linotype" w:hAnsi="Palatino Linotype" w:cs="Arial"/>
          <w:lang w:eastAsia="es-MX"/>
        </w:rPr>
        <w:t xml:space="preserve">En cuanto a la </w:t>
      </w:r>
      <w:r w:rsidRPr="001571EB">
        <w:rPr>
          <w:rFonts w:ascii="Palatino Linotype" w:hAnsi="Palatino Linotype" w:cs="Arial"/>
        </w:rPr>
        <w:t xml:space="preserve">Clave Única de Registro de Población (CURP) en virtud de que éste se </w:t>
      </w:r>
      <w:r w:rsidRPr="001571EB">
        <w:rPr>
          <w:rFonts w:ascii="Palatino Linotype" w:eastAsia="Calibri" w:hAnsi="Palatino Linotype" w:cs="Arial"/>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lang w:eastAsia="es-MX"/>
        </w:rPr>
        <w:lastRenderedPageBreak/>
        <w:t>información que permite distinguirlo del resto de los habitantes, se considera que es de carácter confidencial.</w:t>
      </w:r>
    </w:p>
    <w:p w14:paraId="482A721A" w14:textId="77777777" w:rsidR="00470D24" w:rsidRPr="001571EB" w:rsidRDefault="00470D24" w:rsidP="00470D24">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14:paraId="1F681A87" w14:textId="77777777" w:rsidR="00470D24" w:rsidRDefault="00470D24" w:rsidP="00470D24">
      <w:pPr>
        <w:autoSpaceDE w:val="0"/>
        <w:autoSpaceDN w:val="0"/>
        <w:adjustRightInd w:val="0"/>
        <w:spacing w:before="240" w:line="360" w:lineRule="auto"/>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14:paraId="77CE60AA"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bCs/>
          <w:i/>
          <w:lang w:eastAsia="es-MX"/>
        </w:rPr>
      </w:pPr>
      <w:r w:rsidRPr="001571EB">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5F5FBB"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14:paraId="3CE85A15"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Secretaría de la Defensa Nacional. 1 de febrero de 2017. Por unanimidad. Comisionado Ponente Rosendoevgueni Monterrey Chepov.</w:t>
      </w:r>
    </w:p>
    <w:p w14:paraId="38D4A69B"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14:paraId="51084D04" w14:textId="77777777" w:rsidR="00470D24" w:rsidRPr="00EE0180"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0478/17. </w:t>
      </w:r>
      <w:r w:rsidRPr="001571EB">
        <w:rPr>
          <w:rFonts w:ascii="Palatino Linotype" w:hAnsi="Palatino Linotype" w:cs="Arial"/>
          <w:i/>
          <w:lang w:eastAsia="es-MX"/>
        </w:rPr>
        <w:t>Secretaría de Relaciones Exteriores. 26 de abril de 2017. Por unanimidad. Comisionada Ponente Areli Cano Guadiana.</w:t>
      </w:r>
      <w:r>
        <w:rPr>
          <w:rFonts w:ascii="Palatino Linotype" w:hAnsi="Palatino Linotype" w:cs="Arial"/>
          <w:i/>
          <w:lang w:eastAsia="es-MX"/>
        </w:rPr>
        <w:t xml:space="preserve">” </w:t>
      </w:r>
      <w:r>
        <w:rPr>
          <w:rFonts w:ascii="Palatino Linotype" w:hAnsi="Palatino Linotype" w:cs="Arial"/>
          <w:b/>
          <w:i/>
          <w:lang w:eastAsia="es-MX"/>
        </w:rPr>
        <w:t>[Sic]</w:t>
      </w:r>
    </w:p>
    <w:p w14:paraId="467F81F2" w14:textId="77777777" w:rsidR="00470D24" w:rsidRPr="001571EB" w:rsidRDefault="00470D24" w:rsidP="00470D24">
      <w:pPr>
        <w:spacing w:line="360" w:lineRule="auto"/>
        <w:jc w:val="both"/>
        <w:rPr>
          <w:rFonts w:ascii="Palatino Linotype" w:hAnsi="Palatino Linotype" w:cs="Arial"/>
        </w:rPr>
      </w:pPr>
    </w:p>
    <w:p w14:paraId="24A9058B" w14:textId="77777777" w:rsidR="00470D24" w:rsidRDefault="00470D24" w:rsidP="00470D24">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05F072F9"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B521C4" w:rsidRPr="00B521C4">
        <w:rPr>
          <w:rFonts w:ascii="Palatino Linotype" w:eastAsiaTheme="minorHAnsi" w:hAnsi="Palatino Linotype" w:cs="Arial"/>
          <w:b/>
          <w:szCs w:val="22"/>
          <w:lang w:val="es-MX" w:eastAsia="en-US"/>
        </w:rPr>
        <w:t>00505/ECATEPEC/IP/2022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7D928CEA"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B521C4" w:rsidRPr="00B521C4">
        <w:rPr>
          <w:rFonts w:ascii="Palatino Linotype" w:eastAsiaTheme="minorHAnsi" w:hAnsi="Palatino Linotype" w:cs="Arial"/>
          <w:b/>
          <w:szCs w:val="22"/>
          <w:lang w:val="es-MX" w:eastAsia="en-US"/>
        </w:rPr>
        <w:t>00505/ECATEPEC/IP/2022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434741">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6856FCAC"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434741">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sidRPr="0008542C">
        <w:rPr>
          <w:rFonts w:ascii="Palatino Linotype" w:hAnsi="Palatino Linotype"/>
          <w:lang w:val="es-ES_tradnl"/>
        </w:rPr>
        <w:t>en versión pública</w:t>
      </w:r>
      <w:r w:rsidR="00B6337D" w:rsidRPr="0008542C">
        <w:rPr>
          <w:rFonts w:ascii="Palatino Linotype" w:hAnsi="Palatino Linotype"/>
          <w:lang w:val="es-ES_tradnl"/>
        </w:rPr>
        <w:t xml:space="preserve"> de ser procedente</w:t>
      </w:r>
      <w:r w:rsidR="00E13557" w:rsidRPr="0008542C">
        <w:rPr>
          <w:rFonts w:ascii="Palatino Linotype" w:hAnsi="Palatino Linotype"/>
          <w:lang w:val="es-ES_tradnl"/>
        </w:rPr>
        <w:t>,</w:t>
      </w:r>
      <w:r w:rsidR="00E13557">
        <w:rPr>
          <w:rFonts w:ascii="Palatino Linotype" w:hAnsi="Palatino Linotype"/>
          <w:lang w:val="es-ES_tradnl"/>
        </w:rPr>
        <w:t xml:space="preserve"> </w:t>
      </w:r>
      <w:r w:rsidR="00F2688E">
        <w:rPr>
          <w:rFonts w:ascii="Palatino Linotype" w:hAnsi="Palatino Linotype"/>
        </w:rPr>
        <w:t>d</w:t>
      </w:r>
      <w:r w:rsidR="00B6337D" w:rsidRPr="00B6337D">
        <w:rPr>
          <w:rFonts w:ascii="Palatino Linotype" w:hAnsi="Palatino Linotype"/>
        </w:rPr>
        <w:t>el o los documentos en donde conste lo siguiente</w:t>
      </w:r>
      <w:r w:rsidR="00434741" w:rsidRPr="00E152F9">
        <w:rPr>
          <w:rFonts w:ascii="Palatino Linotype" w:hAnsi="Palatino Linotype"/>
        </w:rPr>
        <w:t>:</w:t>
      </w:r>
    </w:p>
    <w:p w14:paraId="746452BF" w14:textId="58F54349" w:rsidR="00B6337D" w:rsidRPr="00B521C4" w:rsidRDefault="00B521C4" w:rsidP="00B521C4">
      <w:pPr>
        <w:pStyle w:val="Prrafodelista"/>
        <w:numPr>
          <w:ilvl w:val="0"/>
          <w:numId w:val="50"/>
        </w:numPr>
        <w:spacing w:before="240" w:after="240" w:line="360" w:lineRule="auto"/>
        <w:jc w:val="both"/>
        <w:rPr>
          <w:rFonts w:ascii="Palatino Linotype" w:hAnsi="Palatino Linotype"/>
          <w:i/>
          <w:iCs/>
        </w:rPr>
      </w:pPr>
      <w:r w:rsidRPr="00B521C4">
        <w:rPr>
          <w:rFonts w:ascii="Palatino Linotype" w:hAnsi="Palatino Linotype"/>
          <w:i/>
          <w:iCs/>
        </w:rPr>
        <w:t>Fecha de pago y montos de recursos erogados al Instituto de Seguridad Social del Estado de México y Municipios durante los ejercicios fiscales 2019, 2020, y 2021</w:t>
      </w:r>
      <w:r w:rsidR="007F6A7C" w:rsidRPr="00B521C4">
        <w:rPr>
          <w:rFonts w:ascii="Palatino Linotype" w:hAnsi="Palatino Linotype"/>
          <w:i/>
          <w:iCs/>
        </w:rPr>
        <w:t>.</w:t>
      </w:r>
    </w:p>
    <w:p w14:paraId="2A3911BF" w14:textId="42716FAF" w:rsidR="00BD34CA" w:rsidRPr="00F1409B"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07186BB" w14:textId="77777777" w:rsidR="0008542C" w:rsidRDefault="0008542C" w:rsidP="00BD34CA">
      <w:pPr>
        <w:autoSpaceDE w:val="0"/>
        <w:autoSpaceDN w:val="0"/>
        <w:adjustRightInd w:val="0"/>
        <w:spacing w:before="240" w:after="160" w:line="360" w:lineRule="auto"/>
        <w:jc w:val="both"/>
        <w:rPr>
          <w:rFonts w:ascii="Palatino Linotype" w:eastAsiaTheme="minorHAnsi" w:hAnsi="Palatino Linotype" w:cs="Arial"/>
          <w:b/>
          <w:lang w:val="es-MX" w:eastAsia="en-US"/>
        </w:rPr>
      </w:pPr>
    </w:p>
    <w:p w14:paraId="162D6B21" w14:textId="75724B7A"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E4A97BD" w14:textId="77777777" w:rsidR="0008542C" w:rsidRDefault="0008542C" w:rsidP="00BD34CA">
      <w:pPr>
        <w:autoSpaceDE w:val="0"/>
        <w:autoSpaceDN w:val="0"/>
        <w:adjustRightInd w:val="0"/>
        <w:spacing w:line="360" w:lineRule="auto"/>
        <w:jc w:val="both"/>
        <w:rPr>
          <w:rFonts w:ascii="Palatino Linotype" w:hAnsi="Palatino Linotype" w:cs="Arial"/>
          <w:b/>
          <w:lang w:val="es-MX"/>
        </w:rPr>
      </w:pPr>
    </w:p>
    <w:p w14:paraId="551DE15E" w14:textId="1EAC056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 xml:space="preserve">De conformidad con el artículo 198 de la Ley de Transparencia y Acceso a la Información Pública del Estado de México y Municipios, de considerarlo </w:t>
      </w:r>
      <w:r w:rsidRPr="00BD34CA">
        <w:rPr>
          <w:rFonts w:ascii="Palatino Linotype" w:hAnsi="Palatino Linotype" w:cs="Arial"/>
        </w:rPr>
        <w:lastRenderedPageBreak/>
        <w:t>procedente, el Sujeto Obligado de manera fundada y motivada, podrá solicitar una ampliación de plazo para el cumplimiento de la presente resolución.</w:t>
      </w: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5307A0F0"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08542C">
        <w:rPr>
          <w:rFonts w:ascii="Palatino Linotype" w:hAnsi="Palatino Linotype" w:cs="Arial"/>
          <w:b/>
          <w:bCs/>
          <w:lang w:val="es-MX"/>
        </w:rPr>
        <w:t>el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w:t>
      </w:r>
      <w:bookmarkStart w:id="6" w:name="_GoBack"/>
      <w:bookmarkEnd w:id="6"/>
      <w:r w:rsidRPr="00BD34CA">
        <w:rPr>
          <w:rFonts w:ascii="Palatino Linotype" w:hAnsi="Palatino Linotype"/>
          <w:color w:val="222222"/>
          <w:shd w:val="clear" w:color="auto" w:fill="FFFFFF"/>
          <w:lang w:val="es-MX"/>
        </w:rPr>
        <w:t>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1C94BE23" w14:textId="66B60209" w:rsidR="001B7694" w:rsidRPr="00B521C4" w:rsidRDefault="008B5C47" w:rsidP="00B521C4">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94A1D">
        <w:rPr>
          <w:rFonts w:ascii="Palatino Linotype" w:hAnsi="Palatino Linotype"/>
        </w:rPr>
        <w:t xml:space="preserve"> </w:t>
      </w:r>
      <w:r w:rsidRPr="00DB5147">
        <w:rPr>
          <w:rFonts w:ascii="Palatino Linotype" w:hAnsi="Palatino Linotype"/>
        </w:rPr>
        <w:t xml:space="preserve">Y GUADALUPE RAMÍREZ PEÑA; EN LA </w:t>
      </w:r>
      <w:r w:rsidR="00E135E2">
        <w:rPr>
          <w:rFonts w:ascii="Palatino Linotype" w:hAnsi="Palatino Linotype"/>
        </w:rPr>
        <w:t>TRIGÉMIMA</w:t>
      </w:r>
      <w:r w:rsidRPr="00DB5147">
        <w:rPr>
          <w:rFonts w:ascii="Palatino Linotype" w:hAnsi="Palatino Linotype"/>
        </w:rPr>
        <w:t xml:space="preserve"> </w:t>
      </w:r>
      <w:r w:rsidR="00B521C4">
        <w:rPr>
          <w:rFonts w:ascii="Palatino Linotype" w:hAnsi="Palatino Linotype"/>
        </w:rPr>
        <w:t xml:space="preserve">QUINTA </w:t>
      </w:r>
      <w:r w:rsidRPr="00DB5147">
        <w:rPr>
          <w:rFonts w:ascii="Palatino Linotype" w:hAnsi="Palatino Linotype"/>
        </w:rPr>
        <w:t xml:space="preserve">SESIÓN ORDINARIA CELEBRADA EL </w:t>
      </w:r>
      <w:r w:rsidR="00B521C4">
        <w:rPr>
          <w:rFonts w:ascii="Palatino Linotype" w:hAnsi="Palatino Linotype"/>
        </w:rPr>
        <w:t>VEINTIOCHO DE SEPTIEMBRE</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r w:rsidR="0008542C">
        <w:rPr>
          <w:rFonts w:ascii="Palatino Linotype" w:hAnsi="Palatino Linotype" w:cs="Arial"/>
        </w:rPr>
        <w:t>---------------------------------------------------------------------------------------------------------------------------------------------------------------------------------------------------------------------------------------------------------------------------------------------------------------------------------------------------</w:t>
      </w:r>
      <w:r w:rsidR="006375BF">
        <w:rPr>
          <w:rFonts w:ascii="Palatino Linotype" w:hAnsi="Palatino Linotype" w:cs="Arial"/>
        </w:rPr>
        <w:t>-------</w:t>
      </w:r>
      <w:r w:rsidR="00757C88">
        <w:rPr>
          <w:rFonts w:ascii="Palatino Linotype" w:hAnsi="Palatino Linotype" w:cs="Arial"/>
        </w:rPr>
        <w:t>----------</w:t>
      </w: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AA4D6" w14:textId="77777777" w:rsidR="001411EC" w:rsidRDefault="001411EC" w:rsidP="00D34057">
      <w:r>
        <w:separator/>
      </w:r>
    </w:p>
  </w:endnote>
  <w:endnote w:type="continuationSeparator" w:id="0">
    <w:p w14:paraId="76C03FAD" w14:textId="77777777" w:rsidR="001411EC" w:rsidRDefault="001411EC"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46A9">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46A9">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5046A9">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5046A9">
      <w:rPr>
        <w:rFonts w:ascii="Palatino Linotype" w:hAnsi="Palatino Linotype"/>
        <w:b/>
        <w:bCs/>
        <w:noProof/>
        <w:sz w:val="20"/>
      </w:rPr>
      <w:t>32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5FD4" w14:textId="77777777" w:rsidR="001411EC" w:rsidRDefault="001411EC" w:rsidP="00D34057">
      <w:r>
        <w:separator/>
      </w:r>
    </w:p>
  </w:footnote>
  <w:footnote w:type="continuationSeparator" w:id="0">
    <w:p w14:paraId="04A58547" w14:textId="77777777" w:rsidR="001411EC" w:rsidRDefault="001411EC"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1411EC">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62124AB" w:rsidR="00A01730" w:rsidRDefault="00D625C7" w:rsidP="00564DB2">
          <w:pPr>
            <w:spacing w:after="120" w:line="256" w:lineRule="auto"/>
            <w:ind w:left="-486" w:right="214" w:firstLine="1585"/>
            <w:jc w:val="right"/>
            <w:rPr>
              <w:rFonts w:ascii="Palatino Linotype" w:hAnsi="Palatino Linotype" w:cs="Arial"/>
              <w:szCs w:val="20"/>
            </w:rPr>
          </w:pPr>
          <w:r w:rsidRPr="00D625C7">
            <w:rPr>
              <w:rFonts w:ascii="Palatino Linotype" w:hAnsi="Palatino Linotype" w:cs="Arial"/>
              <w:bCs/>
              <w:lang w:eastAsia="es-MX"/>
            </w:rPr>
            <w:t>08425/INFOEM/IP/RR/2022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36D615DD" w:rsidR="00A01730" w:rsidRDefault="00D625C7" w:rsidP="00E31501">
          <w:pPr>
            <w:spacing w:line="256" w:lineRule="auto"/>
            <w:ind w:left="-72" w:right="214" w:firstLine="284"/>
            <w:jc w:val="right"/>
            <w:rPr>
              <w:rFonts w:ascii="Palatino Linotype" w:hAnsi="Palatino Linotype" w:cs="Arial"/>
              <w:szCs w:val="20"/>
            </w:rPr>
          </w:pPr>
          <w:r w:rsidRPr="00D625C7">
            <w:rPr>
              <w:rFonts w:ascii="Palatino Linotype" w:hAnsi="Palatino Linotype" w:cs="Arial"/>
              <w:szCs w:val="20"/>
            </w:rPr>
            <w:t>Ayuntamiento de Ecatepec de Morelos</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01621FF0" w:rsidR="00A01730" w:rsidRPr="00B4142F" w:rsidRDefault="00D625C7" w:rsidP="004558D1">
          <w:pPr>
            <w:spacing w:after="120" w:line="256" w:lineRule="auto"/>
            <w:ind w:left="-486" w:right="214" w:firstLine="1408"/>
            <w:jc w:val="right"/>
            <w:rPr>
              <w:rFonts w:ascii="Palatino Linotype" w:hAnsi="Palatino Linotype" w:cs="Arial"/>
              <w:szCs w:val="20"/>
            </w:rPr>
          </w:pPr>
          <w:r w:rsidRPr="00D625C7">
            <w:rPr>
              <w:rFonts w:ascii="Palatino Linotype" w:hAnsi="Palatino Linotype" w:cs="Arial"/>
              <w:bCs/>
              <w:lang w:eastAsia="es-MX"/>
            </w:rPr>
            <w:t>08425/INFOEM/IP/RR/2022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5927EFA4" w:rsidR="00A01730" w:rsidRPr="00F06FED" w:rsidRDefault="005046A9"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0C00E71" w:rsidR="00A01730" w:rsidRDefault="00D625C7" w:rsidP="001A7EEE">
          <w:pPr>
            <w:spacing w:line="256" w:lineRule="auto"/>
            <w:ind w:left="-495" w:right="214" w:firstLine="843"/>
            <w:jc w:val="right"/>
            <w:rPr>
              <w:rFonts w:ascii="Palatino Linotype" w:hAnsi="Palatino Linotype" w:cs="Arial"/>
              <w:szCs w:val="20"/>
            </w:rPr>
          </w:pPr>
          <w:r w:rsidRPr="00D625C7">
            <w:rPr>
              <w:rFonts w:ascii="Palatino Linotype" w:hAnsi="Palatino Linotype" w:cs="Arial"/>
              <w:szCs w:val="20"/>
            </w:rPr>
            <w:t>Ayuntamiento de Ecatepec de Morelos</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1411EC">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0A955B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7332B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5"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FD26A9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9"/>
  </w:num>
  <w:num w:numId="2">
    <w:abstractNumId w:val="13"/>
  </w:num>
  <w:num w:numId="3">
    <w:abstractNumId w:val="32"/>
  </w:num>
  <w:num w:numId="4">
    <w:abstractNumId w:val="31"/>
  </w:num>
  <w:num w:numId="5">
    <w:abstractNumId w:val="44"/>
  </w:num>
  <w:num w:numId="6">
    <w:abstractNumId w:val="35"/>
  </w:num>
  <w:num w:numId="7">
    <w:abstractNumId w:val="26"/>
  </w:num>
  <w:num w:numId="8">
    <w:abstractNumId w:val="37"/>
  </w:num>
  <w:num w:numId="9">
    <w:abstractNumId w:val="24"/>
  </w:num>
  <w:num w:numId="10">
    <w:abstractNumId w:val="23"/>
  </w:num>
  <w:num w:numId="11">
    <w:abstractNumId w:val="0"/>
  </w:num>
  <w:num w:numId="12">
    <w:abstractNumId w:val="21"/>
  </w:num>
  <w:num w:numId="13">
    <w:abstractNumId w:val="16"/>
  </w:num>
  <w:num w:numId="14">
    <w:abstractNumId w:val="20"/>
  </w:num>
  <w:num w:numId="15">
    <w:abstractNumId w:val="43"/>
  </w:num>
  <w:num w:numId="16">
    <w:abstractNumId w:val="36"/>
  </w:num>
  <w:num w:numId="17">
    <w:abstractNumId w:val="6"/>
  </w:num>
  <w:num w:numId="18">
    <w:abstractNumId w:val="18"/>
  </w:num>
  <w:num w:numId="19">
    <w:abstractNumId w:val="11"/>
  </w:num>
  <w:num w:numId="20">
    <w:abstractNumId w:val="2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1"/>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 w:numId="28">
    <w:abstractNumId w:val="28"/>
  </w:num>
  <w:num w:numId="29">
    <w:abstractNumId w:val="19"/>
  </w:num>
  <w:num w:numId="30">
    <w:abstractNumId w:val="38"/>
  </w:num>
  <w:num w:numId="31">
    <w:abstractNumId w:val="40"/>
  </w:num>
  <w:num w:numId="32">
    <w:abstractNumId w:val="3"/>
  </w:num>
  <w:num w:numId="33">
    <w:abstractNumId w:val="30"/>
  </w:num>
  <w:num w:numId="34">
    <w:abstractNumId w:val="41"/>
  </w:num>
  <w:num w:numId="35">
    <w:abstractNumId w:val="42"/>
  </w:num>
  <w:num w:numId="36">
    <w:abstractNumId w:val="7"/>
  </w:num>
  <w:num w:numId="37">
    <w:abstractNumId w:val="9"/>
  </w:num>
  <w:num w:numId="38">
    <w:abstractNumId w:val="15"/>
  </w:num>
  <w:num w:numId="39">
    <w:abstractNumId w:val="14"/>
  </w:num>
  <w:num w:numId="40">
    <w:abstractNumId w:val="45"/>
  </w:num>
  <w:num w:numId="41">
    <w:abstractNumId w:val="22"/>
  </w:num>
  <w:num w:numId="42">
    <w:abstractNumId w:val="8"/>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46"/>
  </w:num>
  <w:num w:numId="47">
    <w:abstractNumId w:val="25"/>
  </w:num>
  <w:num w:numId="48">
    <w:abstractNumId w:val="29"/>
  </w:num>
  <w:num w:numId="49">
    <w:abstractNumId w:val="5"/>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8542C"/>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11EC"/>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4621"/>
    <w:rsid w:val="001770BD"/>
    <w:rsid w:val="00181245"/>
    <w:rsid w:val="001875F7"/>
    <w:rsid w:val="00194E28"/>
    <w:rsid w:val="001A7973"/>
    <w:rsid w:val="001A7EEE"/>
    <w:rsid w:val="001B0A88"/>
    <w:rsid w:val="001B36E9"/>
    <w:rsid w:val="001B7694"/>
    <w:rsid w:val="001C0E3D"/>
    <w:rsid w:val="001C2774"/>
    <w:rsid w:val="001D40B1"/>
    <w:rsid w:val="001D6B18"/>
    <w:rsid w:val="001E111C"/>
    <w:rsid w:val="001E7A89"/>
    <w:rsid w:val="001F4610"/>
    <w:rsid w:val="0020574D"/>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C79DD"/>
    <w:rsid w:val="003D002D"/>
    <w:rsid w:val="003D0754"/>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60F"/>
    <w:rsid w:val="00494245"/>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046A9"/>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A4CCF"/>
    <w:rsid w:val="005B0651"/>
    <w:rsid w:val="005B201D"/>
    <w:rsid w:val="005B4D50"/>
    <w:rsid w:val="005B5976"/>
    <w:rsid w:val="005B7C1F"/>
    <w:rsid w:val="005C3D98"/>
    <w:rsid w:val="005D377B"/>
    <w:rsid w:val="005E1C1B"/>
    <w:rsid w:val="005E50F1"/>
    <w:rsid w:val="005F3ED2"/>
    <w:rsid w:val="005F4AAF"/>
    <w:rsid w:val="006002BC"/>
    <w:rsid w:val="006004A4"/>
    <w:rsid w:val="00601482"/>
    <w:rsid w:val="00601557"/>
    <w:rsid w:val="006054E7"/>
    <w:rsid w:val="00606E07"/>
    <w:rsid w:val="00620A1D"/>
    <w:rsid w:val="00622C8D"/>
    <w:rsid w:val="0062301B"/>
    <w:rsid w:val="006266F2"/>
    <w:rsid w:val="00627C77"/>
    <w:rsid w:val="006301EC"/>
    <w:rsid w:val="00630FBE"/>
    <w:rsid w:val="00633AB9"/>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22E4"/>
    <w:rsid w:val="006A2320"/>
    <w:rsid w:val="006A64E6"/>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C88"/>
    <w:rsid w:val="00757DBC"/>
    <w:rsid w:val="00760FCC"/>
    <w:rsid w:val="0076305A"/>
    <w:rsid w:val="0076744D"/>
    <w:rsid w:val="0076759C"/>
    <w:rsid w:val="00775BD6"/>
    <w:rsid w:val="0078004C"/>
    <w:rsid w:val="00783FD2"/>
    <w:rsid w:val="00793527"/>
    <w:rsid w:val="007B1512"/>
    <w:rsid w:val="007C0315"/>
    <w:rsid w:val="007C07B0"/>
    <w:rsid w:val="007C4C2E"/>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3148"/>
    <w:rsid w:val="009440E4"/>
    <w:rsid w:val="00945712"/>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BFC"/>
    <w:rsid w:val="00AB0C41"/>
    <w:rsid w:val="00AB0F1D"/>
    <w:rsid w:val="00AB1B2E"/>
    <w:rsid w:val="00AB2C4C"/>
    <w:rsid w:val="00AB76DF"/>
    <w:rsid w:val="00AC1823"/>
    <w:rsid w:val="00AC3F77"/>
    <w:rsid w:val="00AC4340"/>
    <w:rsid w:val="00AD5B62"/>
    <w:rsid w:val="00AE478F"/>
    <w:rsid w:val="00AE5F6D"/>
    <w:rsid w:val="00AE61AD"/>
    <w:rsid w:val="00AF1B80"/>
    <w:rsid w:val="00B0487B"/>
    <w:rsid w:val="00B12105"/>
    <w:rsid w:val="00B16194"/>
    <w:rsid w:val="00B177DF"/>
    <w:rsid w:val="00B21190"/>
    <w:rsid w:val="00B235E2"/>
    <w:rsid w:val="00B26EBF"/>
    <w:rsid w:val="00B26F7C"/>
    <w:rsid w:val="00B32668"/>
    <w:rsid w:val="00B35972"/>
    <w:rsid w:val="00B42E2D"/>
    <w:rsid w:val="00B453B2"/>
    <w:rsid w:val="00B468C8"/>
    <w:rsid w:val="00B47551"/>
    <w:rsid w:val="00B506F8"/>
    <w:rsid w:val="00B521C4"/>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344A6"/>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25C7"/>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616D"/>
    <w:rsid w:val="00E26437"/>
    <w:rsid w:val="00E27B09"/>
    <w:rsid w:val="00E31501"/>
    <w:rsid w:val="00E3262B"/>
    <w:rsid w:val="00E354EB"/>
    <w:rsid w:val="00E36016"/>
    <w:rsid w:val="00E37429"/>
    <w:rsid w:val="00E41748"/>
    <w:rsid w:val="00E43997"/>
    <w:rsid w:val="00E44452"/>
    <w:rsid w:val="00E45777"/>
    <w:rsid w:val="00E467C2"/>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3C53"/>
    <w:rsid w:val="00F1409B"/>
    <w:rsid w:val="00F16EF8"/>
    <w:rsid w:val="00F20A68"/>
    <w:rsid w:val="00F21527"/>
    <w:rsid w:val="00F23C36"/>
    <w:rsid w:val="00F2688E"/>
    <w:rsid w:val="00F3632E"/>
    <w:rsid w:val="00F36BA8"/>
    <w:rsid w:val="00F41928"/>
    <w:rsid w:val="00F457C8"/>
    <w:rsid w:val="00F46230"/>
    <w:rsid w:val="00F50059"/>
    <w:rsid w:val="00F57746"/>
    <w:rsid w:val="00F60ECB"/>
    <w:rsid w:val="00F735E8"/>
    <w:rsid w:val="00F75B1E"/>
    <w:rsid w:val="00F87C1F"/>
    <w:rsid w:val="00F912B7"/>
    <w:rsid w:val="00F91528"/>
    <w:rsid w:val="00F96E94"/>
    <w:rsid w:val="00FA0539"/>
    <w:rsid w:val="00FA4896"/>
    <w:rsid w:val="00FA751D"/>
    <w:rsid w:val="00FB0A37"/>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 w:type="character" w:customStyle="1" w:styleId="UnresolvedMention">
    <w:name w:val="Unresolved Mention"/>
    <w:basedOn w:val="Fuentedeprrafopredeter"/>
    <w:uiPriority w:val="99"/>
    <w:semiHidden/>
    <w:unhideWhenUsed/>
    <w:rsid w:val="00FB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093356473">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catepec.gob.mx/transparencia-conac" TargetMode="External"/><Relationship Id="rId4" Type="http://schemas.openxmlformats.org/officeDocument/2006/relationships/settings" Target="settings.xml"/><Relationship Id="rId9" Type="http://schemas.openxmlformats.org/officeDocument/2006/relationships/hyperlink" Target="https://www.ecatepec.gob.mx/transparencia-conac"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F8F2-0C29-4DEB-B759-DB37BC37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6522</Words>
  <Characters>35876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10</cp:revision>
  <cp:lastPrinted>2018-04-05T14:31:00Z</cp:lastPrinted>
  <dcterms:created xsi:type="dcterms:W3CDTF">2022-09-15T00:32:00Z</dcterms:created>
  <dcterms:modified xsi:type="dcterms:W3CDTF">2022-10-06T18:38:00Z</dcterms:modified>
</cp:coreProperties>
</file>