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FE23B" w14:textId="5F79B155" w:rsidR="00051642" w:rsidRPr="003D5B55" w:rsidRDefault="00051642" w:rsidP="008567E8">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E42370">
        <w:rPr>
          <w:rFonts w:eastAsia="Calibri" w:cs="Tahoma"/>
          <w:lang w:val="es-ES"/>
        </w:rPr>
        <w:t>diecinueve</w:t>
      </w:r>
      <w:r>
        <w:rPr>
          <w:rFonts w:eastAsia="Calibri" w:cs="Tahoma"/>
          <w:lang w:val="es-ES"/>
        </w:rPr>
        <w:t xml:space="preserve"> de </w:t>
      </w:r>
      <w:r w:rsidR="00E42370">
        <w:rPr>
          <w:rFonts w:eastAsia="Calibri" w:cs="Tahoma"/>
          <w:lang w:val="es-ES"/>
        </w:rPr>
        <w:t>enero</w:t>
      </w:r>
      <w:r>
        <w:rPr>
          <w:rFonts w:eastAsia="Calibri" w:cs="Tahoma"/>
          <w:lang w:val="es-ES"/>
        </w:rPr>
        <w:t xml:space="preserve"> de dos mil veinti</w:t>
      </w:r>
      <w:r w:rsidR="00E42370">
        <w:rPr>
          <w:rFonts w:eastAsia="Calibri" w:cs="Tahoma"/>
          <w:lang w:val="es-ES"/>
        </w:rPr>
        <w:t>dós</w:t>
      </w:r>
      <w:r>
        <w:rPr>
          <w:rFonts w:eastAsia="Calibri" w:cs="Tahoma"/>
          <w:lang w:val="es-ES"/>
        </w:rPr>
        <w:t xml:space="preserve">. </w:t>
      </w:r>
    </w:p>
    <w:p w14:paraId="6246E0DA" w14:textId="77777777" w:rsidR="00051642" w:rsidRPr="003D5B55" w:rsidRDefault="00051642" w:rsidP="008567E8">
      <w:pPr>
        <w:spacing w:after="0" w:line="360" w:lineRule="auto"/>
        <w:rPr>
          <w:rFonts w:eastAsia="Calibri" w:cs="Tahoma"/>
          <w:b/>
          <w:bCs/>
          <w:lang w:val="es-ES"/>
        </w:rPr>
      </w:pPr>
    </w:p>
    <w:p w14:paraId="069D763C" w14:textId="257F5F9E" w:rsidR="00A01507" w:rsidRPr="00A01507" w:rsidRDefault="00051642" w:rsidP="00A01507">
      <w:pPr>
        <w:spacing w:after="0" w:line="360" w:lineRule="auto"/>
        <w:rPr>
          <w:rFonts w:cs="Tahoma"/>
          <w:b/>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de</w:t>
      </w:r>
      <w:r w:rsidR="008567E8">
        <w:rPr>
          <w:rFonts w:eastAsia="Calibri" w:cs="Tahoma"/>
          <w:lang w:val="es-ES"/>
        </w:rPr>
        <w:t xml:space="preserve"> </w:t>
      </w:r>
      <w:r>
        <w:rPr>
          <w:rFonts w:eastAsia="Calibri" w:cs="Tahoma"/>
          <w:lang w:val="es-ES"/>
        </w:rPr>
        <w:t>l</w:t>
      </w:r>
      <w:r w:rsidR="008567E8">
        <w:rPr>
          <w:rFonts w:eastAsia="Calibri" w:cs="Tahoma"/>
          <w:lang w:val="es-ES"/>
        </w:rPr>
        <w:t>os</w:t>
      </w:r>
      <w:r>
        <w:rPr>
          <w:rFonts w:eastAsia="Calibri" w:cs="Tahoma"/>
          <w:lang w:val="es-ES"/>
        </w:rPr>
        <w:t xml:space="preserve"> Recurso</w:t>
      </w:r>
      <w:r w:rsidR="008567E8">
        <w:rPr>
          <w:rFonts w:eastAsia="Calibri" w:cs="Tahoma"/>
          <w:lang w:val="es-ES"/>
        </w:rPr>
        <w:t>s</w:t>
      </w:r>
      <w:r>
        <w:rPr>
          <w:rFonts w:eastAsia="Calibri" w:cs="Tahoma"/>
          <w:lang w:val="es-ES"/>
        </w:rPr>
        <w:t xml:space="preserve"> de Revisión </w:t>
      </w:r>
      <w:bookmarkStart w:id="0" w:name="_Hlk86067050"/>
      <w:bookmarkStart w:id="1" w:name="_Hlk92883112"/>
      <w:r w:rsidR="00E42370" w:rsidRPr="00E42370">
        <w:rPr>
          <w:rFonts w:eastAsia="Calibri" w:cs="Tahoma"/>
        </w:rPr>
        <w:t>04926/INFOEM/ICR-62/IP/RR/2021</w:t>
      </w:r>
      <w:r w:rsidR="005924C4">
        <w:rPr>
          <w:rFonts w:eastAsia="Calibri" w:cs="Tahoma"/>
        </w:rPr>
        <w:t xml:space="preserve"> </w:t>
      </w:r>
      <w:bookmarkEnd w:id="0"/>
      <w:r w:rsidR="005924C4">
        <w:rPr>
          <w:rFonts w:eastAsia="Calibri" w:cs="Tahoma"/>
        </w:rPr>
        <w:t>y</w:t>
      </w:r>
      <w:r w:rsidR="00302555">
        <w:rPr>
          <w:rFonts w:eastAsia="Calibri" w:cs="Tahoma"/>
        </w:rPr>
        <w:t xml:space="preserve"> </w:t>
      </w:r>
      <w:r w:rsidR="00E42370" w:rsidRPr="00E42370">
        <w:rPr>
          <w:rFonts w:eastAsia="Calibri" w:cs="Tahoma"/>
        </w:rPr>
        <w:t>04928/INFOEM/ICR-60/IP/RR/2021</w:t>
      </w:r>
      <w:bookmarkEnd w:id="1"/>
      <w:r>
        <w:rPr>
          <w:rFonts w:eastAsia="Calibri" w:cs="Tahoma"/>
        </w:rPr>
        <w:t>, interpuesto</w:t>
      </w:r>
      <w:r w:rsidR="008567E8">
        <w:rPr>
          <w:rFonts w:eastAsia="Calibri" w:cs="Tahoma"/>
        </w:rPr>
        <w:t>s</w:t>
      </w:r>
      <w:r>
        <w:rPr>
          <w:rFonts w:eastAsia="Calibri" w:cs="Tahoma"/>
        </w:rPr>
        <w:t xml:space="preserve"> por </w:t>
      </w:r>
      <w:r w:rsidR="00D679B6">
        <w:rPr>
          <w:rFonts w:eastAsia="Calibri" w:cs="Tahoma"/>
        </w:rPr>
        <w:t xml:space="preserve">el </w:t>
      </w:r>
      <w:r w:rsidRPr="00240180">
        <w:rPr>
          <w:rFonts w:cs="Tahoma"/>
          <w:color w:val="0D0D0D" w:themeColor="text1" w:themeTint="F2"/>
        </w:rPr>
        <w:t xml:space="preserve">Recurrente o Particular, en contra de la falta de respuesta del Sujeto Obligado, </w:t>
      </w:r>
      <w:bookmarkStart w:id="2" w:name="_Hlk85623549"/>
      <w:r w:rsidR="00D679B6" w:rsidRPr="00D679B6">
        <w:rPr>
          <w:rFonts w:cs="Tahoma"/>
          <w:color w:val="0D0D0D" w:themeColor="text1" w:themeTint="F2"/>
        </w:rPr>
        <w:t>Ayuntamiento de Tezoyuca</w:t>
      </w:r>
      <w:bookmarkEnd w:id="2"/>
      <w:r w:rsidRPr="00240180">
        <w:rPr>
          <w:rFonts w:cs="Tahoma"/>
          <w:color w:val="0D0D0D" w:themeColor="text1" w:themeTint="F2"/>
        </w:rPr>
        <w:t xml:space="preserve">, </w:t>
      </w:r>
      <w:r>
        <w:rPr>
          <w:rFonts w:cs="Tahoma"/>
          <w:color w:val="0D0D0D" w:themeColor="text1" w:themeTint="F2"/>
        </w:rPr>
        <w:t>a la</w:t>
      </w:r>
      <w:r w:rsidR="008567E8">
        <w:rPr>
          <w:rFonts w:cs="Tahoma"/>
          <w:color w:val="0D0D0D" w:themeColor="text1" w:themeTint="F2"/>
        </w:rPr>
        <w:t>s</w:t>
      </w:r>
      <w:r>
        <w:rPr>
          <w:rFonts w:cs="Tahoma"/>
          <w:color w:val="0D0D0D" w:themeColor="text1" w:themeTint="F2"/>
        </w:rPr>
        <w:t xml:space="preserve"> solicitud</w:t>
      </w:r>
      <w:r w:rsidR="008567E8">
        <w:rPr>
          <w:rFonts w:cs="Tahoma"/>
          <w:color w:val="0D0D0D" w:themeColor="text1" w:themeTint="F2"/>
        </w:rPr>
        <w:t>es</w:t>
      </w:r>
      <w:r>
        <w:rPr>
          <w:rFonts w:cs="Tahoma"/>
          <w:color w:val="0D0D0D" w:themeColor="text1" w:themeTint="F2"/>
        </w:rPr>
        <w:t xml:space="preserve"> de acceso a la información pública </w:t>
      </w:r>
      <w:r w:rsidR="00D679B6" w:rsidRPr="00D679B6">
        <w:rPr>
          <w:rFonts w:cs="Tahoma"/>
          <w:color w:val="0D0D0D" w:themeColor="text1" w:themeTint="F2"/>
        </w:rPr>
        <w:t>0008</w:t>
      </w:r>
      <w:r w:rsidR="008567E8">
        <w:rPr>
          <w:rFonts w:cs="Tahoma"/>
          <w:color w:val="0D0D0D" w:themeColor="text1" w:themeTint="F2"/>
        </w:rPr>
        <w:t>0</w:t>
      </w:r>
      <w:r w:rsidR="00D679B6" w:rsidRPr="00D679B6">
        <w:rPr>
          <w:rFonts w:cs="Tahoma"/>
          <w:color w:val="0D0D0D" w:themeColor="text1" w:themeTint="F2"/>
        </w:rPr>
        <w:t>/TEZOYUCA/IP/2021</w:t>
      </w:r>
      <w:r w:rsidR="005924C4">
        <w:rPr>
          <w:rFonts w:cs="Tahoma"/>
          <w:color w:val="0D0D0D" w:themeColor="text1" w:themeTint="F2"/>
        </w:rPr>
        <w:t xml:space="preserve"> y </w:t>
      </w:r>
      <w:bookmarkStart w:id="3" w:name="_Hlk86067540"/>
      <w:r w:rsidR="005924C4" w:rsidRPr="005924C4">
        <w:rPr>
          <w:rFonts w:cs="Tahoma"/>
          <w:color w:val="0D0D0D" w:themeColor="text1" w:themeTint="F2"/>
        </w:rPr>
        <w:t>0008</w:t>
      </w:r>
      <w:r w:rsidR="008567E8">
        <w:rPr>
          <w:rFonts w:cs="Tahoma"/>
          <w:color w:val="0D0D0D" w:themeColor="text1" w:themeTint="F2"/>
        </w:rPr>
        <w:t>2</w:t>
      </w:r>
      <w:r w:rsidR="005924C4" w:rsidRPr="005924C4">
        <w:rPr>
          <w:rFonts w:cs="Tahoma"/>
          <w:color w:val="0D0D0D" w:themeColor="text1" w:themeTint="F2"/>
        </w:rPr>
        <w:t>/TEZOYUCA/IP/2021</w:t>
      </w:r>
      <w:bookmarkEnd w:id="3"/>
      <w:r w:rsidRPr="0085149F">
        <w:rPr>
          <w:rFonts w:cs="Tahoma"/>
          <w:iCs/>
          <w:color w:val="0D0D0D" w:themeColor="text1" w:themeTint="F2"/>
        </w:rPr>
        <w:t>,</w:t>
      </w:r>
      <w:r w:rsidRPr="0085149F">
        <w:rPr>
          <w:rFonts w:cs="Tahoma"/>
          <w:color w:val="0D0D0D" w:themeColor="text1" w:themeTint="F2"/>
        </w:rPr>
        <w:t xml:space="preserve"> </w:t>
      </w:r>
      <w:r w:rsidR="00A01507" w:rsidRPr="00A01507">
        <w:rPr>
          <w:rFonts w:cs="Tahoma"/>
          <w:bCs/>
          <w:color w:val="0D0D0D" w:themeColor="text1" w:themeTint="F2"/>
        </w:rPr>
        <w:t>en cumplimiento a la determinación del diverso con número 0</w:t>
      </w:r>
      <w:r w:rsidR="00A01507">
        <w:rPr>
          <w:rFonts w:cs="Tahoma"/>
          <w:bCs/>
          <w:color w:val="0D0D0D" w:themeColor="text1" w:themeTint="F2"/>
        </w:rPr>
        <w:t>4926</w:t>
      </w:r>
      <w:r w:rsidR="00A01507" w:rsidRPr="00A01507">
        <w:rPr>
          <w:rFonts w:cs="Tahoma"/>
          <w:bCs/>
          <w:color w:val="0D0D0D" w:themeColor="text1" w:themeTint="F2"/>
        </w:rPr>
        <w:t>/INFOEM/IP/RR/2021  y acumulado, se emite la presente Resolución, con base en los Antecedentes y Considerandos que se exponen a continuación:</w:t>
      </w:r>
    </w:p>
    <w:p w14:paraId="5A1C6FC2" w14:textId="77777777" w:rsidR="005369D0" w:rsidRPr="00004084" w:rsidRDefault="005369D0" w:rsidP="008567E8">
      <w:pPr>
        <w:spacing w:after="0" w:line="360" w:lineRule="auto"/>
        <w:rPr>
          <w:rFonts w:cs="Tahoma"/>
          <w:color w:val="0D0D0D" w:themeColor="text1" w:themeTint="F2"/>
        </w:rPr>
      </w:pPr>
    </w:p>
    <w:p w14:paraId="18EA1E5E" w14:textId="77777777" w:rsidR="00051642" w:rsidRPr="003D5B55" w:rsidRDefault="00051642" w:rsidP="008567E8">
      <w:pPr>
        <w:spacing w:after="0" w:line="360" w:lineRule="auto"/>
        <w:jc w:val="center"/>
        <w:rPr>
          <w:rFonts w:eastAsia="Calibri" w:cs="Tahoma"/>
          <w:b/>
          <w:bCs/>
          <w:lang w:val="es-ES"/>
        </w:rPr>
      </w:pPr>
      <w:r w:rsidRPr="003D5B55">
        <w:rPr>
          <w:rFonts w:eastAsia="Calibri" w:cs="Tahoma"/>
          <w:b/>
          <w:bCs/>
          <w:lang w:val="es-ES"/>
        </w:rPr>
        <w:t>A N T E C E D E N T E S:</w:t>
      </w:r>
    </w:p>
    <w:p w14:paraId="689BB71D" w14:textId="77777777" w:rsidR="00051642" w:rsidRPr="003D5B55" w:rsidRDefault="00051642" w:rsidP="008567E8">
      <w:pPr>
        <w:spacing w:after="0" w:line="360" w:lineRule="auto"/>
        <w:rPr>
          <w:lang w:val="es-ES"/>
        </w:rPr>
      </w:pPr>
    </w:p>
    <w:p w14:paraId="38CCD1DD" w14:textId="532F98C1" w:rsidR="00051642" w:rsidRPr="003D5B55" w:rsidRDefault="00051642" w:rsidP="008567E8">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w:t>
      </w:r>
      <w:r w:rsidR="008567E8">
        <w:rPr>
          <w:rFonts w:eastAsia="Calibri" w:cs="Tahoma"/>
          <w:b/>
          <w:bCs/>
          <w:lang w:val="es-ES"/>
        </w:rPr>
        <w:t>s</w:t>
      </w:r>
      <w:r>
        <w:rPr>
          <w:rFonts w:eastAsia="Calibri" w:cs="Tahoma"/>
          <w:b/>
          <w:bCs/>
          <w:lang w:val="es-ES"/>
        </w:rPr>
        <w:t xml:space="preserve"> solicitud</w:t>
      </w:r>
      <w:r w:rsidR="008567E8">
        <w:rPr>
          <w:rFonts w:eastAsia="Calibri" w:cs="Tahoma"/>
          <w:b/>
          <w:bCs/>
          <w:lang w:val="es-ES"/>
        </w:rPr>
        <w:t>es</w:t>
      </w:r>
      <w:r>
        <w:rPr>
          <w:rFonts w:eastAsia="Calibri" w:cs="Tahoma"/>
          <w:b/>
          <w:bCs/>
          <w:lang w:val="es-ES"/>
        </w:rPr>
        <w:t xml:space="preserve"> de información.</w:t>
      </w:r>
    </w:p>
    <w:p w14:paraId="249BEE91" w14:textId="77777777" w:rsidR="00051642" w:rsidRPr="003D5B55" w:rsidRDefault="00051642" w:rsidP="008567E8">
      <w:pPr>
        <w:spacing w:after="0" w:line="360" w:lineRule="auto"/>
        <w:rPr>
          <w:rFonts w:eastAsia="Calibri" w:cs="Tahoma"/>
          <w:b/>
          <w:bCs/>
          <w:lang w:val="es-ES"/>
        </w:rPr>
      </w:pPr>
    </w:p>
    <w:p w14:paraId="6DD77042" w14:textId="20A63B86" w:rsidR="005369D0" w:rsidRPr="0033044C" w:rsidRDefault="005369D0" w:rsidP="008567E8">
      <w:pPr>
        <w:autoSpaceDE w:val="0"/>
        <w:autoSpaceDN w:val="0"/>
        <w:adjustRightInd w:val="0"/>
        <w:spacing w:after="0" w:line="360" w:lineRule="auto"/>
        <w:rPr>
          <w:rFonts w:cs="Tahoma"/>
          <w:bCs/>
        </w:rPr>
      </w:pPr>
      <w:r w:rsidRPr="00033B8E">
        <w:rPr>
          <w:rFonts w:cs="Tahoma"/>
        </w:rPr>
        <w:t xml:space="preserve">Con fecha </w:t>
      </w:r>
      <w:r w:rsidR="00D679B6">
        <w:rPr>
          <w:rFonts w:cs="Tahoma"/>
        </w:rPr>
        <w:t>siete</w:t>
      </w:r>
      <w:r>
        <w:rPr>
          <w:rFonts w:cs="Tahoma"/>
        </w:rPr>
        <w:t xml:space="preserve"> de </w:t>
      </w:r>
      <w:r w:rsidR="00D679B6">
        <w:rPr>
          <w:rFonts w:cs="Tahoma"/>
        </w:rPr>
        <w:t>septiembre</w:t>
      </w:r>
      <w:r>
        <w:rPr>
          <w:rFonts w:cs="Tahoma"/>
        </w:rPr>
        <w:t xml:space="preserve"> de dos mil veintiuno</w:t>
      </w:r>
      <w:r w:rsidRPr="00033B8E">
        <w:rPr>
          <w:rFonts w:cs="Tahoma"/>
        </w:rPr>
        <w:t xml:space="preserve">, </w:t>
      </w:r>
      <w:r>
        <w:rPr>
          <w:rFonts w:cs="Tahoma"/>
        </w:rPr>
        <w:t xml:space="preserve">el Particular </w:t>
      </w:r>
      <w:r w:rsidRPr="00033B8E">
        <w:rPr>
          <w:rFonts w:cs="Tahoma"/>
        </w:rPr>
        <w:t xml:space="preserve">presentó </w:t>
      </w:r>
      <w:r w:rsidR="008567E8">
        <w:rPr>
          <w:rFonts w:cs="Tahoma"/>
        </w:rPr>
        <w:t>dos solicitudes</w:t>
      </w:r>
      <w:r w:rsidRPr="00033B8E">
        <w:rPr>
          <w:rFonts w:cs="Tahoma"/>
        </w:rPr>
        <w:t xml:space="preserve"> de acceso a la información pública, a través del Sistema de Acceso a la Información Mexiquense (SAIMEX), ante </w:t>
      </w:r>
      <w:r w:rsidR="00D679B6">
        <w:rPr>
          <w:rFonts w:cs="Tahoma"/>
        </w:rPr>
        <w:t>el</w:t>
      </w:r>
      <w:r w:rsidRPr="00033B8E">
        <w:rPr>
          <w:rFonts w:cs="Tahoma"/>
        </w:rPr>
        <w:t xml:space="preserve"> </w:t>
      </w:r>
      <w:bookmarkStart w:id="4" w:name="_Hlk85623687"/>
      <w:r w:rsidR="00D679B6" w:rsidRPr="00D679B6">
        <w:rPr>
          <w:rFonts w:cs="Tahoma"/>
          <w:bCs/>
        </w:rPr>
        <w:t>Ayuntamiento de Tezoyuca</w:t>
      </w:r>
      <w:bookmarkEnd w:id="4"/>
      <w:r w:rsidRPr="0033044C">
        <w:rPr>
          <w:rFonts w:cs="Tahoma"/>
          <w:bCs/>
        </w:rPr>
        <w:t>, en los siguientes términos:</w:t>
      </w:r>
    </w:p>
    <w:p w14:paraId="514850CA" w14:textId="77777777" w:rsidR="002A2C08" w:rsidRDefault="002A2C08" w:rsidP="008567E8">
      <w:pPr>
        <w:spacing w:after="0" w:line="360" w:lineRule="auto"/>
        <w:ind w:left="567" w:right="567"/>
        <w:rPr>
          <w:rFonts w:cs="Tahoma"/>
          <w:b/>
          <w:bCs/>
        </w:rPr>
      </w:pPr>
    </w:p>
    <w:p w14:paraId="232ECB34" w14:textId="0FD09DF4" w:rsidR="002A2C08" w:rsidRPr="008567E8" w:rsidRDefault="002A2C08" w:rsidP="008567E8">
      <w:pPr>
        <w:spacing w:after="0" w:line="360" w:lineRule="auto"/>
        <w:ind w:left="567" w:right="567"/>
        <w:rPr>
          <w:rFonts w:cs="Tahoma"/>
          <w:b/>
          <w:bCs/>
          <w:sz w:val="20"/>
          <w:szCs w:val="20"/>
        </w:rPr>
      </w:pPr>
      <w:bookmarkStart w:id="5" w:name="_Hlk86067858"/>
      <w:r w:rsidRPr="008567E8">
        <w:rPr>
          <w:rFonts w:cs="Tahoma"/>
          <w:b/>
          <w:bCs/>
          <w:sz w:val="20"/>
          <w:szCs w:val="20"/>
        </w:rPr>
        <w:t>Solicitud de Información 00080/TEZOYUCA/IP/2021</w:t>
      </w:r>
      <w:bookmarkEnd w:id="5"/>
    </w:p>
    <w:p w14:paraId="553643A9" w14:textId="35D1F13C" w:rsidR="002A2C08" w:rsidRPr="003D5B55" w:rsidRDefault="00A01507" w:rsidP="008567E8">
      <w:pPr>
        <w:tabs>
          <w:tab w:val="left" w:pos="4667"/>
        </w:tabs>
        <w:spacing w:after="0" w:line="360" w:lineRule="auto"/>
        <w:ind w:left="567" w:right="567"/>
        <w:rPr>
          <w:rFonts w:cs="Tahoma"/>
          <w:b/>
          <w:bCs/>
          <w:i/>
          <w:sz w:val="20"/>
          <w:szCs w:val="20"/>
        </w:rPr>
      </w:pPr>
      <w:r>
        <w:rPr>
          <w:rFonts w:cs="Tahoma"/>
          <w:b/>
          <w:bCs/>
          <w:i/>
          <w:sz w:val="20"/>
          <w:szCs w:val="20"/>
        </w:rPr>
        <w:t>“</w:t>
      </w:r>
      <w:r w:rsidR="002A2C08" w:rsidRPr="003D5B55">
        <w:rPr>
          <w:rFonts w:cs="Tahoma"/>
          <w:b/>
          <w:bCs/>
          <w:i/>
          <w:sz w:val="20"/>
          <w:szCs w:val="20"/>
        </w:rPr>
        <w:t>DESCRIPCIÓN CLARA Y PRECISA DE LA INFORMACIÓN SOLICITADA</w:t>
      </w:r>
    </w:p>
    <w:p w14:paraId="1DCE85F6" w14:textId="179B2A28" w:rsidR="002A2C08" w:rsidRDefault="002A2C08" w:rsidP="008567E8">
      <w:pPr>
        <w:tabs>
          <w:tab w:val="left" w:pos="4667"/>
        </w:tabs>
        <w:spacing w:after="0" w:line="360" w:lineRule="auto"/>
        <w:ind w:left="567" w:right="567"/>
        <w:rPr>
          <w:rFonts w:cs="Tahoma"/>
          <w:bCs/>
          <w:i/>
          <w:sz w:val="20"/>
          <w:szCs w:val="20"/>
        </w:rPr>
      </w:pPr>
      <w:r w:rsidRPr="002A2C08">
        <w:rPr>
          <w:rFonts w:cs="Tahoma"/>
          <w:bCs/>
          <w:i/>
          <w:sz w:val="20"/>
          <w:szCs w:val="20"/>
        </w:rPr>
        <w:t>SOLICITO LA NOMINA COMPLETA DE TODOS LOS SERVIDORES PUBLICOS DE ENERO A JULIO DEL 2021</w:t>
      </w:r>
      <w:r w:rsidR="00A01507">
        <w:rPr>
          <w:rFonts w:cs="Tahoma"/>
          <w:bCs/>
          <w:i/>
          <w:sz w:val="20"/>
          <w:szCs w:val="20"/>
        </w:rPr>
        <w:t>”</w:t>
      </w:r>
      <w:r w:rsidRPr="002A2C08">
        <w:rPr>
          <w:rFonts w:cs="Tahoma"/>
          <w:bCs/>
          <w:i/>
          <w:sz w:val="20"/>
          <w:szCs w:val="20"/>
        </w:rPr>
        <w:t xml:space="preserve"> </w:t>
      </w:r>
      <w:r w:rsidRPr="003D5B55">
        <w:rPr>
          <w:rFonts w:cs="Tahoma"/>
          <w:bCs/>
          <w:i/>
          <w:sz w:val="20"/>
          <w:szCs w:val="20"/>
        </w:rPr>
        <w:t>(Sic.)</w:t>
      </w:r>
    </w:p>
    <w:p w14:paraId="1B7BFDB3" w14:textId="77777777" w:rsidR="008567E8" w:rsidRPr="002A2C08" w:rsidRDefault="008567E8" w:rsidP="00985B53">
      <w:pPr>
        <w:spacing w:after="0" w:line="360" w:lineRule="auto"/>
        <w:ind w:right="567"/>
        <w:rPr>
          <w:rFonts w:eastAsia="Times New Roman" w:cs="Arial"/>
          <w:bCs/>
          <w:i/>
          <w:iCs/>
          <w:color w:val="auto"/>
          <w:sz w:val="20"/>
          <w:lang w:eastAsia="es-ES"/>
        </w:rPr>
      </w:pPr>
    </w:p>
    <w:p w14:paraId="1732B99D" w14:textId="0D5B0533" w:rsidR="002A2C08" w:rsidRPr="008567E8" w:rsidRDefault="002A2C08" w:rsidP="008567E8">
      <w:pPr>
        <w:spacing w:after="0" w:line="360" w:lineRule="auto"/>
        <w:ind w:left="567" w:right="567"/>
        <w:rPr>
          <w:rFonts w:cs="Tahoma"/>
          <w:b/>
          <w:bCs/>
          <w:sz w:val="20"/>
          <w:szCs w:val="20"/>
        </w:rPr>
      </w:pPr>
      <w:r w:rsidRPr="008567E8">
        <w:rPr>
          <w:rFonts w:cs="Tahoma"/>
          <w:b/>
          <w:bCs/>
          <w:sz w:val="20"/>
          <w:szCs w:val="20"/>
        </w:rPr>
        <w:t>Solicitud de Información 00082/TEZOYUCA/IP/2021</w:t>
      </w:r>
    </w:p>
    <w:p w14:paraId="51292EC6" w14:textId="3BC8CAE6" w:rsidR="00051642" w:rsidRPr="003D5B55" w:rsidRDefault="00A01507" w:rsidP="008567E8">
      <w:pPr>
        <w:tabs>
          <w:tab w:val="left" w:pos="4667"/>
        </w:tabs>
        <w:spacing w:after="0" w:line="360" w:lineRule="auto"/>
        <w:ind w:left="567" w:right="567"/>
        <w:rPr>
          <w:rFonts w:cs="Tahoma"/>
          <w:b/>
          <w:bCs/>
          <w:i/>
          <w:sz w:val="20"/>
          <w:szCs w:val="20"/>
        </w:rPr>
      </w:pPr>
      <w:r>
        <w:rPr>
          <w:rFonts w:cs="Tahoma"/>
          <w:b/>
          <w:bCs/>
          <w:i/>
          <w:sz w:val="20"/>
          <w:szCs w:val="20"/>
        </w:rPr>
        <w:t>“</w:t>
      </w:r>
      <w:r w:rsidR="00051642" w:rsidRPr="003D5B55">
        <w:rPr>
          <w:rFonts w:cs="Tahoma"/>
          <w:b/>
          <w:bCs/>
          <w:i/>
          <w:sz w:val="20"/>
          <w:szCs w:val="20"/>
        </w:rPr>
        <w:t>DESCRIPCIÓN CLARA Y PRECISA DE LA INFORMACIÓN SOLICITADA</w:t>
      </w:r>
    </w:p>
    <w:p w14:paraId="33F43E51" w14:textId="3B4C2E62" w:rsidR="00051642" w:rsidRDefault="00D679B6" w:rsidP="008567E8">
      <w:pPr>
        <w:tabs>
          <w:tab w:val="left" w:pos="4667"/>
        </w:tabs>
        <w:spacing w:after="0" w:line="360" w:lineRule="auto"/>
        <w:ind w:left="567" w:right="567"/>
        <w:rPr>
          <w:rFonts w:cs="Tahoma"/>
          <w:bCs/>
          <w:i/>
          <w:sz w:val="20"/>
          <w:szCs w:val="20"/>
        </w:rPr>
      </w:pPr>
      <w:r w:rsidRPr="00D679B6">
        <w:rPr>
          <w:rFonts w:cs="Tahoma"/>
          <w:bCs/>
          <w:i/>
          <w:sz w:val="20"/>
          <w:szCs w:val="20"/>
        </w:rPr>
        <w:lastRenderedPageBreak/>
        <w:t>SOLICITO EL TABULADOR DE SUELDOS Y SALARIOS DEL AÑO 2019,2020 Y 2021</w:t>
      </w:r>
      <w:r w:rsidR="00A01507">
        <w:rPr>
          <w:rFonts w:cs="Tahoma"/>
          <w:bCs/>
          <w:i/>
          <w:sz w:val="20"/>
          <w:szCs w:val="20"/>
        </w:rPr>
        <w:t>”</w:t>
      </w:r>
      <w:r>
        <w:rPr>
          <w:rFonts w:cs="Tahoma"/>
          <w:bCs/>
          <w:i/>
          <w:sz w:val="20"/>
          <w:szCs w:val="20"/>
        </w:rPr>
        <w:t xml:space="preserve"> </w:t>
      </w:r>
      <w:r w:rsidR="00051642" w:rsidRPr="003D5B55">
        <w:rPr>
          <w:rFonts w:cs="Tahoma"/>
          <w:bCs/>
          <w:i/>
          <w:sz w:val="20"/>
          <w:szCs w:val="20"/>
        </w:rPr>
        <w:t>(Sic.)</w:t>
      </w:r>
    </w:p>
    <w:p w14:paraId="3C0781D7" w14:textId="77777777" w:rsidR="00051642" w:rsidRPr="00A01507" w:rsidRDefault="00051642" w:rsidP="00A01507">
      <w:pPr>
        <w:tabs>
          <w:tab w:val="left" w:pos="4667"/>
        </w:tabs>
        <w:spacing w:after="0" w:line="360" w:lineRule="auto"/>
        <w:ind w:left="567"/>
        <w:rPr>
          <w:rFonts w:cs="Tahoma"/>
          <w:bCs/>
          <w:i/>
        </w:rPr>
      </w:pPr>
    </w:p>
    <w:p w14:paraId="778DD31C" w14:textId="0A6A7A8E" w:rsidR="00FA1130" w:rsidRPr="00A01507" w:rsidRDefault="00985B53" w:rsidP="00A01507">
      <w:pPr>
        <w:spacing w:after="0" w:line="360" w:lineRule="auto"/>
        <w:rPr>
          <w:rFonts w:eastAsia="Times New Roman" w:cs="Arial"/>
          <w:bCs/>
          <w:i/>
          <w:iCs/>
          <w:color w:val="auto"/>
          <w:lang w:eastAsia="es-ES"/>
        </w:rPr>
      </w:pPr>
      <w:bookmarkStart w:id="6" w:name="_Hlk86067762"/>
      <w:r w:rsidRPr="00A01507">
        <w:rPr>
          <w:rFonts w:eastAsia="Times New Roman" w:cs="Tahoma"/>
          <w:color w:val="auto"/>
          <w:lang w:eastAsia="es-ES"/>
        </w:rPr>
        <w:t xml:space="preserve">Es de señalar que en las dos solicitudes de acceso a la información el Particular eligió como modalidad de entrega de la información </w:t>
      </w:r>
      <w:r w:rsidRPr="00A01507">
        <w:rPr>
          <w:rFonts w:eastAsia="Times New Roman" w:cs="Tahoma"/>
          <w:b/>
          <w:bCs/>
          <w:i/>
          <w:iCs/>
          <w:color w:val="auto"/>
          <w:lang w:eastAsia="es-ES"/>
        </w:rPr>
        <w:t>“</w:t>
      </w:r>
      <w:r w:rsidR="00051642" w:rsidRPr="00A01507">
        <w:rPr>
          <w:rFonts w:eastAsia="Times New Roman" w:cs="Arial"/>
          <w:bCs/>
          <w:i/>
          <w:iCs/>
          <w:color w:val="auto"/>
          <w:lang w:eastAsia="es-ES"/>
        </w:rPr>
        <w:t>A través del SAIMEX.</w:t>
      </w:r>
      <w:r w:rsidRPr="00A01507">
        <w:rPr>
          <w:rFonts w:eastAsia="Times New Roman" w:cs="Arial"/>
          <w:bCs/>
          <w:i/>
          <w:iCs/>
          <w:color w:val="auto"/>
          <w:lang w:eastAsia="es-ES"/>
        </w:rPr>
        <w:t>”</w:t>
      </w:r>
    </w:p>
    <w:bookmarkEnd w:id="6"/>
    <w:p w14:paraId="7D6D1CE8" w14:textId="77777777" w:rsidR="00E7170C" w:rsidRPr="00E7170C" w:rsidRDefault="00E7170C" w:rsidP="00985B53">
      <w:pPr>
        <w:spacing w:after="0" w:line="360" w:lineRule="auto"/>
        <w:ind w:right="567"/>
        <w:rPr>
          <w:rFonts w:eastAsia="Times New Roman" w:cs="Arial"/>
          <w:bCs/>
          <w:i/>
          <w:iCs/>
          <w:color w:val="auto"/>
          <w:sz w:val="20"/>
          <w:lang w:eastAsia="es-ES"/>
        </w:rPr>
      </w:pPr>
    </w:p>
    <w:p w14:paraId="14D6D935" w14:textId="00EDFF85" w:rsidR="00051642" w:rsidRPr="003D5B55" w:rsidRDefault="00FA1130" w:rsidP="008567E8">
      <w:pPr>
        <w:spacing w:after="0" w:line="360" w:lineRule="auto"/>
        <w:rPr>
          <w:rFonts w:eastAsia="Calibri" w:cs="Tahoma"/>
          <w:b/>
          <w:bCs/>
        </w:rPr>
      </w:pPr>
      <w:r>
        <w:rPr>
          <w:rFonts w:eastAsia="Calibri" w:cs="Tahoma"/>
          <w:b/>
          <w:bCs/>
        </w:rPr>
        <w:t>I</w:t>
      </w:r>
      <w:r w:rsidR="00E7170C">
        <w:rPr>
          <w:rFonts w:eastAsia="Calibri" w:cs="Tahoma"/>
          <w:b/>
          <w:bCs/>
        </w:rPr>
        <w:t>I</w:t>
      </w:r>
      <w:r w:rsidR="00051642" w:rsidRPr="003D5B55">
        <w:rPr>
          <w:rFonts w:eastAsia="Calibri" w:cs="Tahoma"/>
          <w:b/>
          <w:bCs/>
        </w:rPr>
        <w:t xml:space="preserve">. </w:t>
      </w:r>
      <w:r w:rsidR="00051642" w:rsidRPr="003D5B55">
        <w:rPr>
          <w:rFonts w:eastAsia="Calibri" w:cs="Tahoma"/>
          <w:b/>
        </w:rPr>
        <w:t>Respuesta</w:t>
      </w:r>
      <w:r w:rsidR="00051642" w:rsidRPr="003D5B55">
        <w:rPr>
          <w:rFonts w:eastAsia="Calibri" w:cs="Tahoma"/>
          <w:b/>
          <w:bCs/>
        </w:rPr>
        <w:t xml:space="preserve"> del Sujeto Obligado.</w:t>
      </w:r>
    </w:p>
    <w:p w14:paraId="18F8D61D" w14:textId="77777777" w:rsidR="00F90DE8" w:rsidRPr="003D5B55" w:rsidRDefault="00F90DE8" w:rsidP="008567E8">
      <w:pPr>
        <w:spacing w:after="0" w:line="360" w:lineRule="auto"/>
        <w:rPr>
          <w:rFonts w:eastAsia="Calibri" w:cs="Tahoma"/>
          <w:b/>
          <w:bCs/>
        </w:rPr>
      </w:pPr>
    </w:p>
    <w:p w14:paraId="62FFEDF4" w14:textId="5AEB8F45" w:rsidR="00051642" w:rsidRDefault="00051642" w:rsidP="008567E8">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Pr>
          <w:rFonts w:eastAsia="Calibri" w:cs="Tahoma"/>
          <w:color w:val="000000"/>
        </w:rPr>
        <w:t>la solicitud</w:t>
      </w:r>
      <w:r w:rsidR="00DB12DB">
        <w:rPr>
          <w:rFonts w:eastAsia="Calibri" w:cs="Tahoma"/>
          <w:color w:val="000000"/>
        </w:rPr>
        <w:t xml:space="preserve"> </w:t>
      </w:r>
      <w:r w:rsidRPr="003D5B55">
        <w:rPr>
          <w:rFonts w:eastAsia="Calibri" w:cs="Tahoma"/>
          <w:color w:val="000000"/>
        </w:rPr>
        <w:t xml:space="preserve">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DB12DB" w:rsidRPr="00DB12DB">
        <w:rPr>
          <w:rFonts w:eastAsia="Calibri" w:cs="Tahoma"/>
          <w:b/>
          <w:bCs/>
        </w:rPr>
        <w:t>Ayuntamiento de Tezoyuca</w:t>
      </w:r>
      <w:r w:rsidRPr="003D5B55">
        <w:rPr>
          <w:rFonts w:eastAsia="Calibri" w:cs="Tahoma"/>
          <w:bCs/>
          <w:color w:val="000000"/>
        </w:rPr>
        <w:t>, omitió dar respuesta</w:t>
      </w:r>
      <w:r>
        <w:rPr>
          <w:rFonts w:eastAsia="Calibri" w:cs="Tahoma"/>
          <w:bCs/>
          <w:color w:val="000000"/>
        </w:rPr>
        <w:t xml:space="preserve"> a la</w:t>
      </w:r>
      <w:r w:rsidR="002A2C08">
        <w:rPr>
          <w:rFonts w:eastAsia="Calibri" w:cs="Tahoma"/>
          <w:bCs/>
          <w:color w:val="000000"/>
        </w:rPr>
        <w:t>s</w:t>
      </w:r>
      <w:r>
        <w:rPr>
          <w:rFonts w:eastAsia="Calibri" w:cs="Tahoma"/>
          <w:bCs/>
          <w:color w:val="000000"/>
        </w:rPr>
        <w:t xml:space="preserve"> solicitud</w:t>
      </w:r>
      <w:r w:rsidR="002A2C08">
        <w:rPr>
          <w:rFonts w:eastAsia="Calibri" w:cs="Tahoma"/>
          <w:bCs/>
          <w:color w:val="000000"/>
        </w:rPr>
        <w:t>es</w:t>
      </w:r>
      <w:r>
        <w:rPr>
          <w:rFonts w:eastAsia="Calibri" w:cs="Tahoma"/>
          <w:bCs/>
          <w:color w:val="000000"/>
        </w:rPr>
        <w:t xml:space="preserve">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3AFFBED" w14:textId="77777777" w:rsidR="00E7170C" w:rsidRPr="003D5B55" w:rsidRDefault="00E7170C" w:rsidP="008567E8">
      <w:pPr>
        <w:autoSpaceDE w:val="0"/>
        <w:autoSpaceDN w:val="0"/>
        <w:adjustRightInd w:val="0"/>
        <w:spacing w:after="0" w:line="360" w:lineRule="auto"/>
        <w:rPr>
          <w:rFonts w:eastAsia="Calibri" w:cs="Tahoma"/>
          <w:color w:val="000000"/>
          <w:lang w:val="es-ES"/>
        </w:rPr>
      </w:pPr>
    </w:p>
    <w:p w14:paraId="53B5A077" w14:textId="615531D8" w:rsidR="00051642" w:rsidRPr="005369D0" w:rsidRDefault="00E7170C" w:rsidP="008567E8">
      <w:pPr>
        <w:spacing w:after="0" w:line="360" w:lineRule="auto"/>
        <w:rPr>
          <w:rFonts w:eastAsia="Calibri" w:cs="Tahoma"/>
          <w:b/>
          <w:bCs/>
        </w:rPr>
      </w:pPr>
      <w:r w:rsidRPr="005369D0">
        <w:rPr>
          <w:rFonts w:eastAsia="Calibri" w:cs="Tahoma"/>
          <w:b/>
          <w:bCs/>
        </w:rPr>
        <w:t>III</w:t>
      </w:r>
      <w:r w:rsidR="00051642" w:rsidRPr="005369D0">
        <w:rPr>
          <w:rFonts w:eastAsia="Calibri" w:cs="Tahoma"/>
          <w:b/>
          <w:bCs/>
        </w:rPr>
        <w:t>. Interposición de</w:t>
      </w:r>
      <w:r w:rsidR="008567E8">
        <w:rPr>
          <w:rFonts w:eastAsia="Calibri" w:cs="Tahoma"/>
          <w:b/>
          <w:bCs/>
        </w:rPr>
        <w:t xml:space="preserve"> </w:t>
      </w:r>
      <w:r w:rsidR="00051642" w:rsidRPr="005369D0">
        <w:rPr>
          <w:rFonts w:eastAsia="Calibri" w:cs="Tahoma"/>
          <w:b/>
          <w:bCs/>
        </w:rPr>
        <w:t>l</w:t>
      </w:r>
      <w:r w:rsidR="008567E8">
        <w:rPr>
          <w:rFonts w:eastAsia="Calibri" w:cs="Tahoma"/>
          <w:b/>
          <w:bCs/>
        </w:rPr>
        <w:t>os</w:t>
      </w:r>
      <w:r w:rsidR="00051642" w:rsidRPr="005369D0">
        <w:rPr>
          <w:rFonts w:eastAsia="Calibri" w:cs="Tahoma"/>
          <w:b/>
          <w:bCs/>
        </w:rPr>
        <w:t xml:space="preserve"> Recurso</w:t>
      </w:r>
      <w:r w:rsidR="008567E8">
        <w:rPr>
          <w:rFonts w:eastAsia="Calibri" w:cs="Tahoma"/>
          <w:b/>
          <w:bCs/>
        </w:rPr>
        <w:t>s</w:t>
      </w:r>
      <w:r w:rsidR="00051642" w:rsidRPr="005369D0">
        <w:rPr>
          <w:rFonts w:eastAsia="Calibri" w:cs="Tahoma"/>
          <w:b/>
          <w:bCs/>
        </w:rPr>
        <w:t xml:space="preserve"> de Revisión. </w:t>
      </w:r>
    </w:p>
    <w:p w14:paraId="79D9CE18" w14:textId="77777777" w:rsidR="00051642" w:rsidRPr="003D5B55" w:rsidRDefault="00051642" w:rsidP="008567E8">
      <w:pPr>
        <w:spacing w:after="0" w:line="360" w:lineRule="auto"/>
        <w:rPr>
          <w:rFonts w:eastAsia="Times New Roman" w:cs="Tahoma"/>
          <w:bCs/>
          <w:color w:val="auto"/>
          <w:lang w:eastAsia="es-ES"/>
        </w:rPr>
      </w:pPr>
    </w:p>
    <w:p w14:paraId="33C458E5" w14:textId="5443A1E9" w:rsidR="00051642" w:rsidRPr="00CA21DC" w:rsidRDefault="00051642" w:rsidP="008567E8">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DB12DB">
        <w:rPr>
          <w:rFonts w:eastAsia="Times New Roman" w:cs="Tahoma"/>
          <w:bCs/>
          <w:color w:val="auto"/>
          <w:lang w:val="es-ES" w:eastAsia="es-ES"/>
        </w:rPr>
        <w:t>cuatro</w:t>
      </w:r>
      <w:r>
        <w:rPr>
          <w:rFonts w:eastAsia="Times New Roman" w:cs="Tahoma"/>
          <w:bCs/>
          <w:color w:val="auto"/>
          <w:lang w:val="es-ES" w:eastAsia="es-ES"/>
        </w:rPr>
        <w:t xml:space="preserve"> de </w:t>
      </w:r>
      <w:r w:rsidR="00DB12DB">
        <w:rPr>
          <w:rFonts w:eastAsia="Times New Roman" w:cs="Tahoma"/>
          <w:bCs/>
          <w:color w:val="auto"/>
          <w:lang w:val="es-ES" w:eastAsia="es-ES"/>
        </w:rPr>
        <w:t>octu</w:t>
      </w:r>
      <w:r w:rsidR="00E7170C">
        <w:rPr>
          <w:rFonts w:eastAsia="Times New Roman" w:cs="Tahoma"/>
          <w:bCs/>
          <w:color w:val="auto"/>
          <w:lang w:val="es-ES" w:eastAsia="es-ES"/>
        </w:rPr>
        <w:t>bre</w:t>
      </w:r>
      <w:r>
        <w:rPr>
          <w:rFonts w:eastAsia="Times New Roman" w:cs="Tahoma"/>
          <w:bCs/>
          <w:color w:val="auto"/>
          <w:lang w:val="es-ES" w:eastAsia="es-ES"/>
        </w:rPr>
        <w:t xml:space="preserve"> de dos mil veintiuno</w:t>
      </w:r>
      <w:r w:rsidR="008567E8">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sidR="008567E8">
        <w:rPr>
          <w:rFonts w:eastAsia="Times New Roman" w:cs="Tahoma"/>
          <w:bCs/>
          <w:color w:val="auto"/>
          <w:lang w:eastAsia="es-ES"/>
        </w:rPr>
        <w:t>dos</w:t>
      </w:r>
      <w:r>
        <w:rPr>
          <w:rFonts w:eastAsia="Times New Roman" w:cs="Tahoma"/>
          <w:bCs/>
          <w:color w:val="auto"/>
          <w:lang w:eastAsia="es-ES"/>
        </w:rPr>
        <w:t xml:space="preserve"> </w:t>
      </w:r>
      <w:r w:rsidRPr="003D5B55">
        <w:rPr>
          <w:rFonts w:eastAsia="Times New Roman" w:cs="Tahoma"/>
          <w:bCs/>
          <w:color w:val="auto"/>
          <w:lang w:eastAsia="es-ES"/>
        </w:rPr>
        <w:t>Recurso</w:t>
      </w:r>
      <w:r w:rsidR="002A2C08">
        <w:rPr>
          <w:rFonts w:eastAsia="Times New Roman" w:cs="Tahoma"/>
          <w:bCs/>
          <w:color w:val="auto"/>
          <w:lang w:eastAsia="es-ES"/>
        </w:rPr>
        <w:t>s</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5369D0">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14:paraId="0E930B82" w14:textId="77777777" w:rsidR="00051642" w:rsidRDefault="00051642" w:rsidP="008567E8">
      <w:pPr>
        <w:spacing w:after="0" w:line="360" w:lineRule="auto"/>
        <w:rPr>
          <w:rFonts w:eastAsia="Times New Roman" w:cs="Tahoma"/>
          <w:bCs/>
          <w:color w:val="auto"/>
          <w:lang w:eastAsia="es-ES"/>
        </w:rPr>
      </w:pPr>
    </w:p>
    <w:p w14:paraId="57274F52" w14:textId="77777777" w:rsidR="002A2C08" w:rsidRPr="008567E8" w:rsidRDefault="002A2C08" w:rsidP="008567E8">
      <w:pPr>
        <w:spacing w:after="0" w:line="360" w:lineRule="auto"/>
        <w:ind w:left="567" w:right="567"/>
        <w:rPr>
          <w:rFonts w:cs="Tahoma"/>
          <w:b/>
          <w:bCs/>
          <w:sz w:val="20"/>
          <w:szCs w:val="20"/>
        </w:rPr>
      </w:pPr>
      <w:bookmarkStart w:id="7" w:name="_Hlk86067911"/>
      <w:r w:rsidRPr="008567E8">
        <w:rPr>
          <w:rFonts w:cs="Tahoma"/>
          <w:b/>
          <w:bCs/>
          <w:sz w:val="20"/>
          <w:szCs w:val="20"/>
        </w:rPr>
        <w:t>Solicitud de Información 00080/TEZOYUCA/IP/2021</w:t>
      </w:r>
    </w:p>
    <w:bookmarkEnd w:id="7"/>
    <w:p w14:paraId="14508806" w14:textId="30900D3A" w:rsidR="002A2C08" w:rsidRPr="0085149F" w:rsidRDefault="00865114" w:rsidP="008567E8">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2A2C08" w:rsidRPr="0085149F">
        <w:rPr>
          <w:rFonts w:eastAsia="Times New Roman" w:cs="Tahoma"/>
          <w:b/>
          <w:bCs/>
          <w:i/>
          <w:color w:val="auto"/>
          <w:sz w:val="20"/>
          <w:szCs w:val="20"/>
          <w:lang w:eastAsia="es-ES"/>
        </w:rPr>
        <w:t>ACTO IMPUGNADO</w:t>
      </w:r>
    </w:p>
    <w:p w14:paraId="707EFF8E" w14:textId="1D8E6F72" w:rsidR="002A2C08" w:rsidRPr="0085149F" w:rsidRDefault="004640F3" w:rsidP="008567E8">
      <w:pPr>
        <w:spacing w:after="0" w:line="360" w:lineRule="auto"/>
        <w:ind w:left="567" w:right="567"/>
        <w:rPr>
          <w:rFonts w:eastAsia="Times New Roman" w:cs="Tahoma"/>
          <w:bCs/>
          <w:i/>
          <w:color w:val="auto"/>
          <w:sz w:val="20"/>
          <w:szCs w:val="20"/>
          <w:lang w:eastAsia="es-ES"/>
        </w:rPr>
      </w:pPr>
      <w:r w:rsidRPr="004640F3">
        <w:rPr>
          <w:i/>
          <w:color w:val="000000"/>
          <w:sz w:val="20"/>
          <w:szCs w:val="20"/>
        </w:rPr>
        <w:t>POR FALTA DE RESPUESTA DE LA AUTORIDAD Y POR SU INCOMPETENCIA</w:t>
      </w:r>
      <w:r w:rsidR="00EE086D">
        <w:rPr>
          <w:i/>
          <w:color w:val="000000"/>
          <w:sz w:val="20"/>
          <w:szCs w:val="20"/>
        </w:rPr>
        <w:t>”</w:t>
      </w:r>
      <w:r w:rsidRPr="004640F3">
        <w:rPr>
          <w:i/>
          <w:color w:val="000000"/>
          <w:sz w:val="20"/>
          <w:szCs w:val="20"/>
        </w:rPr>
        <w:t xml:space="preserve"> </w:t>
      </w:r>
      <w:r w:rsidR="002A2C08" w:rsidRPr="0085149F">
        <w:rPr>
          <w:rFonts w:eastAsia="Times New Roman" w:cs="Tahoma"/>
          <w:bCs/>
          <w:i/>
          <w:color w:val="auto"/>
          <w:sz w:val="20"/>
          <w:szCs w:val="20"/>
          <w:lang w:eastAsia="es-ES"/>
        </w:rPr>
        <w:t>(Sic.)</w:t>
      </w:r>
    </w:p>
    <w:p w14:paraId="531EDF53" w14:textId="77777777" w:rsidR="002A2C08" w:rsidRPr="0085149F" w:rsidRDefault="002A2C08" w:rsidP="008567E8">
      <w:pPr>
        <w:spacing w:after="0" w:line="360" w:lineRule="auto"/>
        <w:ind w:left="567" w:right="567"/>
        <w:rPr>
          <w:rFonts w:eastAsia="Times New Roman" w:cs="Tahoma"/>
          <w:bCs/>
          <w:i/>
          <w:color w:val="auto"/>
          <w:sz w:val="20"/>
          <w:szCs w:val="20"/>
          <w:lang w:eastAsia="es-ES"/>
        </w:rPr>
      </w:pPr>
    </w:p>
    <w:p w14:paraId="626A4CFD" w14:textId="54A63B5C" w:rsidR="002A2C08" w:rsidRPr="0085149F" w:rsidRDefault="00EE086D" w:rsidP="008567E8">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2A2C08" w:rsidRPr="0085149F">
        <w:rPr>
          <w:rFonts w:eastAsia="Times New Roman" w:cs="Tahoma"/>
          <w:b/>
          <w:bCs/>
          <w:i/>
          <w:color w:val="auto"/>
          <w:sz w:val="20"/>
          <w:szCs w:val="20"/>
          <w:lang w:eastAsia="es-ES"/>
        </w:rPr>
        <w:t>RAZONES O MOTIVOS DE LA INCONFORMIDAD</w:t>
      </w:r>
    </w:p>
    <w:p w14:paraId="23187DF3" w14:textId="7D06E2A5" w:rsidR="002A2C08" w:rsidRPr="0085149F" w:rsidRDefault="002A2C08" w:rsidP="008567E8">
      <w:pPr>
        <w:spacing w:after="0" w:line="360" w:lineRule="auto"/>
        <w:ind w:left="567" w:right="567"/>
        <w:rPr>
          <w:rFonts w:eastAsia="Times New Roman" w:cs="Tahoma"/>
          <w:bCs/>
          <w:color w:val="auto"/>
          <w:sz w:val="20"/>
          <w:szCs w:val="20"/>
          <w:lang w:eastAsia="es-ES"/>
        </w:rPr>
      </w:pPr>
      <w:r w:rsidRPr="00DB12DB">
        <w:rPr>
          <w:i/>
          <w:color w:val="000000"/>
          <w:sz w:val="20"/>
          <w:szCs w:val="20"/>
        </w:rPr>
        <w:t>POR FALTA DE RESPUESTA DE LA AUTORIDAD Y POR SU INCOMPETENCIA</w:t>
      </w:r>
      <w:r w:rsidR="00EE086D">
        <w:rPr>
          <w:i/>
          <w:color w:val="000000"/>
          <w:sz w:val="20"/>
          <w:szCs w:val="20"/>
        </w:rPr>
        <w:t>”</w:t>
      </w:r>
      <w:r w:rsidRPr="00DB12DB">
        <w:rPr>
          <w:i/>
          <w:color w:val="000000"/>
          <w:sz w:val="20"/>
          <w:szCs w:val="20"/>
        </w:rPr>
        <w:t xml:space="preserve"> </w:t>
      </w:r>
      <w:r w:rsidRPr="0085149F">
        <w:rPr>
          <w:rFonts w:eastAsia="Times New Roman" w:cs="Tahoma"/>
          <w:bCs/>
          <w:i/>
          <w:color w:val="auto"/>
          <w:sz w:val="20"/>
          <w:szCs w:val="20"/>
          <w:lang w:eastAsia="es-ES"/>
        </w:rPr>
        <w:t>(Sic)</w:t>
      </w:r>
    </w:p>
    <w:p w14:paraId="2BC12C90" w14:textId="77777777" w:rsidR="002A2C08" w:rsidRDefault="002A2C08" w:rsidP="008567E8">
      <w:pPr>
        <w:spacing w:after="0" w:line="360" w:lineRule="auto"/>
        <w:ind w:left="567" w:right="567"/>
        <w:rPr>
          <w:rFonts w:eastAsia="Times New Roman" w:cs="Tahoma"/>
          <w:b/>
          <w:bCs/>
          <w:i/>
          <w:color w:val="auto"/>
          <w:sz w:val="20"/>
          <w:szCs w:val="20"/>
          <w:lang w:eastAsia="es-ES"/>
        </w:rPr>
      </w:pPr>
    </w:p>
    <w:p w14:paraId="24F2119D" w14:textId="3FC90398" w:rsidR="004640F3" w:rsidRPr="00EE086D" w:rsidRDefault="004640F3" w:rsidP="008567E8">
      <w:pPr>
        <w:spacing w:after="0" w:line="360" w:lineRule="auto"/>
        <w:ind w:left="567" w:right="567"/>
        <w:rPr>
          <w:rFonts w:cs="Tahoma"/>
          <w:b/>
          <w:bCs/>
          <w:sz w:val="20"/>
          <w:szCs w:val="20"/>
        </w:rPr>
      </w:pPr>
      <w:r w:rsidRPr="00EE086D">
        <w:rPr>
          <w:rFonts w:cs="Tahoma"/>
          <w:b/>
          <w:bCs/>
          <w:sz w:val="20"/>
          <w:szCs w:val="20"/>
        </w:rPr>
        <w:t>Solicitud de Información 0008</w:t>
      </w:r>
      <w:r w:rsidR="00D534BB" w:rsidRPr="00EE086D">
        <w:rPr>
          <w:rFonts w:cs="Tahoma"/>
          <w:b/>
          <w:bCs/>
          <w:sz w:val="20"/>
          <w:szCs w:val="20"/>
        </w:rPr>
        <w:t>2</w:t>
      </w:r>
      <w:r w:rsidRPr="00EE086D">
        <w:rPr>
          <w:rFonts w:cs="Tahoma"/>
          <w:b/>
          <w:bCs/>
          <w:sz w:val="20"/>
          <w:szCs w:val="20"/>
        </w:rPr>
        <w:t>/TEZOYUCA/IP/2021</w:t>
      </w:r>
    </w:p>
    <w:p w14:paraId="3A2D2430" w14:textId="67F497FF" w:rsidR="00051642" w:rsidRPr="0085149F" w:rsidRDefault="00EE086D" w:rsidP="008567E8">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051642" w:rsidRPr="0085149F">
        <w:rPr>
          <w:rFonts w:eastAsia="Times New Roman" w:cs="Tahoma"/>
          <w:b/>
          <w:bCs/>
          <w:i/>
          <w:color w:val="auto"/>
          <w:sz w:val="20"/>
          <w:szCs w:val="20"/>
          <w:lang w:eastAsia="es-ES"/>
        </w:rPr>
        <w:t>ACTO IMPUGNADO</w:t>
      </w:r>
    </w:p>
    <w:p w14:paraId="70D2147C" w14:textId="17B77AA4" w:rsidR="00051642" w:rsidRPr="0085149F" w:rsidRDefault="00DB12DB" w:rsidP="008567E8">
      <w:pPr>
        <w:spacing w:after="0" w:line="360" w:lineRule="auto"/>
        <w:ind w:left="567" w:right="567"/>
        <w:rPr>
          <w:rFonts w:eastAsia="Times New Roman" w:cs="Tahoma"/>
          <w:bCs/>
          <w:i/>
          <w:color w:val="auto"/>
          <w:sz w:val="20"/>
          <w:szCs w:val="20"/>
          <w:lang w:eastAsia="es-ES"/>
        </w:rPr>
      </w:pPr>
      <w:r w:rsidRPr="00DB12DB">
        <w:rPr>
          <w:i/>
          <w:color w:val="000000"/>
          <w:sz w:val="20"/>
          <w:szCs w:val="20"/>
        </w:rPr>
        <w:t>POR FALTA DE RESPUESTA DE LA AUTORIDAD Y POR SU INCOMPETENCIA</w:t>
      </w:r>
      <w:r w:rsidR="00EE086D">
        <w:rPr>
          <w:i/>
          <w:color w:val="000000"/>
          <w:sz w:val="20"/>
          <w:szCs w:val="20"/>
        </w:rPr>
        <w:t>”</w:t>
      </w:r>
      <w:r w:rsidRPr="00DB12DB">
        <w:rPr>
          <w:i/>
          <w:color w:val="000000"/>
          <w:sz w:val="20"/>
          <w:szCs w:val="20"/>
        </w:rPr>
        <w:t xml:space="preserve"> </w:t>
      </w:r>
      <w:r w:rsidR="00051642" w:rsidRPr="0085149F">
        <w:rPr>
          <w:rFonts w:eastAsia="Times New Roman" w:cs="Tahoma"/>
          <w:bCs/>
          <w:i/>
          <w:color w:val="auto"/>
          <w:sz w:val="20"/>
          <w:szCs w:val="20"/>
          <w:lang w:eastAsia="es-ES"/>
        </w:rPr>
        <w:t>(Sic.)</w:t>
      </w:r>
    </w:p>
    <w:p w14:paraId="4668CB16" w14:textId="77777777" w:rsidR="00051642" w:rsidRPr="0085149F" w:rsidRDefault="00051642" w:rsidP="008567E8">
      <w:pPr>
        <w:spacing w:after="0" w:line="360" w:lineRule="auto"/>
        <w:ind w:left="567" w:right="567"/>
        <w:rPr>
          <w:rFonts w:eastAsia="Times New Roman" w:cs="Tahoma"/>
          <w:bCs/>
          <w:i/>
          <w:color w:val="auto"/>
          <w:sz w:val="20"/>
          <w:szCs w:val="20"/>
          <w:lang w:eastAsia="es-ES"/>
        </w:rPr>
      </w:pPr>
    </w:p>
    <w:p w14:paraId="3D43F684" w14:textId="310270B6" w:rsidR="00051642" w:rsidRPr="0085149F" w:rsidRDefault="00EE086D" w:rsidP="008567E8">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051642" w:rsidRPr="0085149F">
        <w:rPr>
          <w:rFonts w:eastAsia="Times New Roman" w:cs="Tahoma"/>
          <w:b/>
          <w:bCs/>
          <w:i/>
          <w:color w:val="auto"/>
          <w:sz w:val="20"/>
          <w:szCs w:val="20"/>
          <w:lang w:eastAsia="es-ES"/>
        </w:rPr>
        <w:t>RAZONES O MOTIVOS DE LA INCONFORMIDAD</w:t>
      </w:r>
    </w:p>
    <w:p w14:paraId="7354F287" w14:textId="36B1E049" w:rsidR="00051642" w:rsidRPr="0085149F" w:rsidRDefault="00DB12DB" w:rsidP="008567E8">
      <w:pPr>
        <w:spacing w:after="0" w:line="360" w:lineRule="auto"/>
        <w:ind w:left="567" w:right="567"/>
        <w:rPr>
          <w:rFonts w:eastAsia="Times New Roman" w:cs="Tahoma"/>
          <w:bCs/>
          <w:color w:val="auto"/>
          <w:sz w:val="20"/>
          <w:szCs w:val="20"/>
          <w:lang w:eastAsia="es-ES"/>
        </w:rPr>
      </w:pPr>
      <w:r w:rsidRPr="00DB12DB">
        <w:rPr>
          <w:i/>
          <w:color w:val="000000"/>
          <w:sz w:val="20"/>
          <w:szCs w:val="20"/>
        </w:rPr>
        <w:t>POR FALTA DE RESPUESTA DE LA AUTORIDAD Y POR SU INCOMPETENCIA</w:t>
      </w:r>
      <w:r w:rsidR="00EE086D">
        <w:rPr>
          <w:i/>
          <w:color w:val="000000"/>
          <w:sz w:val="20"/>
          <w:szCs w:val="20"/>
        </w:rPr>
        <w:t>”</w:t>
      </w:r>
      <w:r w:rsidRPr="00DB12DB">
        <w:rPr>
          <w:i/>
          <w:color w:val="000000"/>
          <w:sz w:val="20"/>
          <w:szCs w:val="20"/>
        </w:rPr>
        <w:t xml:space="preserve"> </w:t>
      </w:r>
      <w:r w:rsidR="00051642" w:rsidRPr="0085149F">
        <w:rPr>
          <w:rFonts w:eastAsia="Times New Roman" w:cs="Tahoma"/>
          <w:bCs/>
          <w:i/>
          <w:color w:val="auto"/>
          <w:sz w:val="20"/>
          <w:szCs w:val="20"/>
          <w:lang w:eastAsia="es-ES"/>
        </w:rPr>
        <w:t>(Sic)</w:t>
      </w:r>
    </w:p>
    <w:p w14:paraId="1CE91750" w14:textId="77777777" w:rsidR="00051642" w:rsidRPr="003D5B55" w:rsidRDefault="00051642" w:rsidP="008567E8">
      <w:pPr>
        <w:spacing w:after="0" w:line="360" w:lineRule="auto"/>
        <w:rPr>
          <w:rFonts w:eastAsia="Times New Roman" w:cs="Tahoma"/>
          <w:bCs/>
          <w:color w:val="auto"/>
          <w:lang w:eastAsia="es-ES"/>
        </w:rPr>
      </w:pPr>
    </w:p>
    <w:p w14:paraId="35300BB0" w14:textId="5392F99C" w:rsidR="00051642" w:rsidRDefault="00AC2906" w:rsidP="008567E8">
      <w:pPr>
        <w:spacing w:after="0" w:line="360" w:lineRule="auto"/>
        <w:rPr>
          <w:rFonts w:eastAsia="Batang" w:cs="Tahoma"/>
          <w:b/>
          <w:bCs/>
          <w:color w:val="000000"/>
        </w:rPr>
      </w:pPr>
      <w:r>
        <w:rPr>
          <w:rFonts w:eastAsia="Calibri" w:cs="Tahoma"/>
          <w:b/>
          <w:color w:val="000000"/>
        </w:rPr>
        <w:t>I</w:t>
      </w:r>
      <w:r w:rsidR="005369D0">
        <w:rPr>
          <w:rFonts w:eastAsia="Calibri" w:cs="Tahoma"/>
          <w:b/>
          <w:color w:val="000000"/>
        </w:rPr>
        <w:t>V</w:t>
      </w:r>
      <w:r w:rsidR="00051642" w:rsidRPr="003D5B55">
        <w:rPr>
          <w:rFonts w:eastAsia="Calibri" w:cs="Tahoma"/>
          <w:b/>
          <w:color w:val="000000"/>
        </w:rPr>
        <w:t xml:space="preserve">. </w:t>
      </w:r>
      <w:r w:rsidR="00051642" w:rsidRPr="003D5B55">
        <w:rPr>
          <w:rFonts w:eastAsia="Batang" w:cs="Tahoma"/>
          <w:b/>
          <w:bCs/>
          <w:color w:val="000000"/>
        </w:rPr>
        <w:t xml:space="preserve">Trámite </w:t>
      </w:r>
      <w:r w:rsidR="00051642">
        <w:rPr>
          <w:rFonts w:eastAsia="Batang" w:cs="Tahoma"/>
          <w:b/>
          <w:bCs/>
          <w:color w:val="000000"/>
        </w:rPr>
        <w:t>del Recurso de Revisión</w:t>
      </w:r>
      <w:r w:rsidR="00051642" w:rsidRPr="003D5B55">
        <w:rPr>
          <w:rFonts w:eastAsia="Calibri" w:cs="Tahoma"/>
          <w:b/>
          <w:color w:val="000000"/>
        </w:rPr>
        <w:t xml:space="preserve"> </w:t>
      </w:r>
      <w:r w:rsidR="00051642" w:rsidRPr="003D5B55">
        <w:rPr>
          <w:rFonts w:eastAsia="Batang" w:cs="Tahoma"/>
          <w:b/>
          <w:bCs/>
          <w:color w:val="000000"/>
        </w:rPr>
        <w:t>ante este Instituto.</w:t>
      </w:r>
    </w:p>
    <w:p w14:paraId="0F3D3E8D" w14:textId="77777777" w:rsidR="00051642" w:rsidRDefault="00051642" w:rsidP="008567E8">
      <w:pPr>
        <w:spacing w:after="0" w:line="360" w:lineRule="auto"/>
        <w:rPr>
          <w:rFonts w:eastAsia="Batang" w:cs="Tahoma"/>
          <w:bCs/>
          <w:color w:val="000000"/>
        </w:rPr>
      </w:pPr>
    </w:p>
    <w:p w14:paraId="3B955202" w14:textId="3FAC42FD" w:rsidR="00051642" w:rsidRPr="00A36F31" w:rsidRDefault="00051642" w:rsidP="008567E8">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DB12DB" w:rsidRPr="00DB12DB">
        <w:rPr>
          <w:rFonts w:eastAsia="Times New Roman" w:cs="Tahoma"/>
          <w:bCs/>
          <w:color w:val="auto"/>
          <w:lang w:val="es-ES" w:eastAsia="es-ES"/>
        </w:rPr>
        <w:t xml:space="preserve">cuatro de octubre </w:t>
      </w:r>
      <w:r w:rsidRPr="00126294">
        <w:rPr>
          <w:rFonts w:eastAsia="Times New Roman" w:cs="Tahoma"/>
          <w:bCs/>
          <w:color w:val="auto"/>
          <w:lang w:val="es-ES" w:eastAsia="es-ES"/>
        </w:rPr>
        <w:t>de dos mil veintiuno</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bookmarkStart w:id="8" w:name="_Hlk86071468"/>
      <w:r w:rsidR="00DB12DB" w:rsidRPr="00DB12DB">
        <w:rPr>
          <w:rFonts w:eastAsia="Batang" w:cs="Tahoma"/>
          <w:b/>
          <w:bCs/>
          <w:color w:val="000000"/>
        </w:rPr>
        <w:t>04926/INFOEM/IP/RR/2021</w:t>
      </w:r>
      <w:r w:rsidR="004640F3">
        <w:rPr>
          <w:rFonts w:eastAsia="Batang" w:cs="Tahoma"/>
          <w:b/>
          <w:bCs/>
          <w:color w:val="000000"/>
        </w:rPr>
        <w:t xml:space="preserve"> y </w:t>
      </w:r>
      <w:r w:rsidR="004640F3" w:rsidRPr="00DB12DB">
        <w:rPr>
          <w:rFonts w:eastAsia="Batang" w:cs="Tahoma"/>
          <w:b/>
          <w:bCs/>
          <w:color w:val="000000"/>
        </w:rPr>
        <w:t>0492</w:t>
      </w:r>
      <w:r w:rsidR="004640F3">
        <w:rPr>
          <w:rFonts w:eastAsia="Batang" w:cs="Tahoma"/>
          <w:b/>
          <w:bCs/>
          <w:color w:val="000000"/>
        </w:rPr>
        <w:t>8</w:t>
      </w:r>
      <w:r w:rsidR="004640F3" w:rsidRPr="00DB12DB">
        <w:rPr>
          <w:rFonts w:eastAsia="Batang" w:cs="Tahoma"/>
          <w:b/>
          <w:bCs/>
          <w:color w:val="000000"/>
        </w:rPr>
        <w:t>/INFOEM/IP/RR/2021</w:t>
      </w:r>
      <w:bookmarkEnd w:id="8"/>
      <w:r w:rsidRPr="00A36F31">
        <w:rPr>
          <w:rFonts w:eastAsia="Batang" w:cs="Tahoma"/>
          <w:bCs/>
          <w:color w:val="000000"/>
        </w:rPr>
        <w:t>, a</w:t>
      </w:r>
      <w:r w:rsidR="00DB5D3F">
        <w:rPr>
          <w:rFonts w:eastAsia="Batang" w:cs="Tahoma"/>
          <w:bCs/>
          <w:color w:val="000000"/>
        </w:rPr>
        <w:t xml:space="preserve"> </w:t>
      </w:r>
      <w:r w:rsidRPr="00A36F31">
        <w:rPr>
          <w:rFonts w:eastAsia="Batang" w:cs="Tahoma"/>
          <w:bCs/>
          <w:color w:val="000000"/>
        </w:rPr>
        <w:t>l</w:t>
      </w:r>
      <w:r w:rsidR="00DB5D3F">
        <w:rPr>
          <w:rFonts w:eastAsia="Batang" w:cs="Tahoma"/>
          <w:bCs/>
          <w:color w:val="000000"/>
        </w:rPr>
        <w:t>os M</w:t>
      </w:r>
      <w:r w:rsidRPr="00A36F31">
        <w:rPr>
          <w:rFonts w:eastAsia="Batang" w:cs="Tahoma"/>
          <w:bCs/>
          <w:color w:val="000000"/>
        </w:rPr>
        <w:t xml:space="preserve">edio de </w:t>
      </w:r>
      <w:r w:rsidR="00DB5D3F">
        <w:rPr>
          <w:rFonts w:eastAsia="Batang" w:cs="Tahoma"/>
          <w:bCs/>
          <w:color w:val="000000"/>
        </w:rPr>
        <w:t>I</w:t>
      </w:r>
      <w:r w:rsidRPr="00A36F31">
        <w:rPr>
          <w:rFonts w:eastAsia="Batang" w:cs="Tahoma"/>
          <w:bCs/>
          <w:color w:val="000000"/>
        </w:rPr>
        <w:t xml:space="preserve">mpugnación que nos ocupa, con base en el sistema aprobado por el Pleno de este Órgano Garante y lo turnó </w:t>
      </w:r>
      <w:r w:rsidR="00382A3B">
        <w:rPr>
          <w:rFonts w:eastAsia="Batang" w:cs="Tahoma"/>
          <w:bCs/>
          <w:color w:val="000000"/>
        </w:rPr>
        <w:t>a los Comisionados María del Rosario Mejía Ayala</w:t>
      </w:r>
      <w:r w:rsidRPr="00A36F31">
        <w:rPr>
          <w:rFonts w:eastAsia="Batang" w:cs="Tahoma"/>
          <w:bCs/>
          <w:color w:val="000000"/>
        </w:rPr>
        <w:t xml:space="preserve"> </w:t>
      </w:r>
      <w:r w:rsidR="00382A3B">
        <w:rPr>
          <w:rFonts w:eastAsia="Batang" w:cs="Tahoma"/>
          <w:bCs/>
          <w:color w:val="000000"/>
        </w:rPr>
        <w:t>y</w:t>
      </w:r>
      <w:r w:rsidR="00382A3B" w:rsidRPr="00382A3B">
        <w:rPr>
          <w:rFonts w:eastAsia="Batang" w:cs="Tahoma"/>
          <w:bCs/>
          <w:color w:val="000000"/>
        </w:rPr>
        <w:t xml:space="preserve"> </w:t>
      </w:r>
      <w:r w:rsidR="00382A3B" w:rsidRPr="00A36F31">
        <w:rPr>
          <w:rFonts w:eastAsia="Batang" w:cs="Tahoma"/>
          <w:bCs/>
          <w:color w:val="000000"/>
        </w:rPr>
        <w:t>Luis Gustavo Parra Noriega</w:t>
      </w:r>
      <w:r w:rsidRPr="00A36F31">
        <w:rPr>
          <w:rFonts w:eastAsia="Batang" w:cs="Tahoma"/>
          <w:bCs/>
          <w:color w:val="000000"/>
        </w:rPr>
        <w:t>, para los efectos del artículo 185, fracción I de la Ley de Transparencia y Acceso a la Información Pública del Estado de México y Municipios.</w:t>
      </w:r>
    </w:p>
    <w:p w14:paraId="6A77E5B3" w14:textId="77777777" w:rsidR="00051642" w:rsidRPr="003D5B55" w:rsidRDefault="00051642" w:rsidP="008567E8">
      <w:pPr>
        <w:spacing w:after="0" w:line="360" w:lineRule="auto"/>
        <w:rPr>
          <w:rFonts w:eastAsia="Batang" w:cs="Tahoma"/>
          <w:bCs/>
          <w:color w:val="000000"/>
        </w:rPr>
      </w:pPr>
    </w:p>
    <w:p w14:paraId="14B3EF1A" w14:textId="64C35701" w:rsidR="00051642" w:rsidRPr="003D5B55" w:rsidRDefault="00051642" w:rsidP="008567E8">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w:t>
      </w:r>
      <w:r w:rsidR="00DB5D3F">
        <w:rPr>
          <w:rFonts w:eastAsia="Times New Roman" w:cs="Tahoma"/>
          <w:b/>
          <w:bCs/>
          <w:color w:val="auto"/>
          <w:lang w:eastAsia="es-ES"/>
        </w:rPr>
        <w:t xml:space="preserve"> </w:t>
      </w:r>
      <w:r w:rsidRPr="003D5B55">
        <w:rPr>
          <w:rFonts w:eastAsia="Times New Roman" w:cs="Tahoma"/>
          <w:b/>
          <w:bCs/>
          <w:color w:val="auto"/>
          <w:lang w:eastAsia="es-ES"/>
        </w:rPr>
        <w:t>l</w:t>
      </w:r>
      <w:r w:rsidR="00DB5D3F">
        <w:rPr>
          <w:rFonts w:eastAsia="Times New Roman" w:cs="Tahoma"/>
          <w:b/>
          <w:bCs/>
          <w:color w:val="auto"/>
          <w:lang w:eastAsia="es-ES"/>
        </w:rPr>
        <w:t>os</w:t>
      </w:r>
      <w:r w:rsidRPr="003D5B55">
        <w:rPr>
          <w:rFonts w:eastAsia="Times New Roman" w:cs="Tahoma"/>
          <w:b/>
          <w:bCs/>
          <w:color w:val="auto"/>
          <w:lang w:eastAsia="es-ES"/>
        </w:rPr>
        <w:t xml:space="preserve"> Recurso</w:t>
      </w:r>
      <w:r w:rsidR="00DB5D3F">
        <w:rPr>
          <w:rFonts w:eastAsia="Times New Roman" w:cs="Tahoma"/>
          <w:b/>
          <w:bCs/>
          <w:color w:val="auto"/>
          <w:lang w:eastAsia="es-ES"/>
        </w:rPr>
        <w:t>s</w:t>
      </w:r>
      <w:r w:rsidRPr="003D5B55">
        <w:rPr>
          <w:rFonts w:eastAsia="Times New Roman" w:cs="Tahoma"/>
          <w:b/>
          <w:bCs/>
          <w:color w:val="auto"/>
          <w:lang w:eastAsia="es-ES"/>
        </w:rPr>
        <w:t xml:space="preserve">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DB12DB">
        <w:rPr>
          <w:rFonts w:eastAsia="Batang" w:cs="Tahoma"/>
          <w:bCs/>
          <w:color w:val="000000"/>
        </w:rPr>
        <w:t>siete</w:t>
      </w:r>
      <w:r>
        <w:rPr>
          <w:rFonts w:eastAsia="Batang" w:cs="Tahoma"/>
          <w:bCs/>
          <w:color w:val="000000"/>
        </w:rPr>
        <w:t xml:space="preserve"> </w:t>
      </w:r>
      <w:r w:rsidR="004640F3">
        <w:rPr>
          <w:rFonts w:eastAsia="Batang" w:cs="Tahoma"/>
          <w:bCs/>
          <w:color w:val="000000"/>
        </w:rPr>
        <w:t xml:space="preserve">y ocho </w:t>
      </w:r>
      <w:r>
        <w:rPr>
          <w:rFonts w:eastAsia="Batang" w:cs="Tahoma"/>
          <w:bCs/>
          <w:color w:val="000000"/>
        </w:rPr>
        <w:t xml:space="preserve">de </w:t>
      </w:r>
      <w:r w:rsidR="00DB12DB">
        <w:rPr>
          <w:rFonts w:eastAsia="Batang" w:cs="Tahoma"/>
          <w:bCs/>
          <w:color w:val="000000"/>
        </w:rPr>
        <w:t>octu</w:t>
      </w:r>
      <w:r w:rsidR="00E7170C">
        <w:rPr>
          <w:rFonts w:eastAsia="Batang" w:cs="Tahoma"/>
          <w:bCs/>
          <w:color w:val="000000"/>
        </w:rPr>
        <w:t>bre</w:t>
      </w:r>
      <w:r>
        <w:rPr>
          <w:rFonts w:eastAsia="Batang" w:cs="Tahoma"/>
          <w:bCs/>
          <w:color w:val="000000"/>
        </w:rPr>
        <w:t xml:space="preserve"> de dos mil veintiuno</w:t>
      </w:r>
      <w:r w:rsidRPr="003D5B55">
        <w:rPr>
          <w:rFonts w:eastAsia="Times New Roman" w:cs="Tahoma"/>
          <w:bCs/>
          <w:color w:val="auto"/>
          <w:lang w:val="es-ES_tradnl" w:eastAsia="es-ES"/>
        </w:rPr>
        <w:t>, se acordó</w:t>
      </w:r>
      <w:r w:rsidR="00DB5D3F">
        <w:rPr>
          <w:rFonts w:eastAsia="Times New Roman" w:cs="Tahoma"/>
          <w:bCs/>
          <w:color w:val="auto"/>
          <w:lang w:val="es-ES_tradnl" w:eastAsia="es-ES"/>
        </w:rPr>
        <w:t xml:space="preserve"> respectivamente,</w:t>
      </w:r>
      <w:r w:rsidRPr="003D5B55">
        <w:rPr>
          <w:rFonts w:eastAsia="Times New Roman" w:cs="Tahoma"/>
          <w:bCs/>
          <w:color w:val="auto"/>
          <w:lang w:val="es-ES_tradnl" w:eastAsia="es-ES"/>
        </w:rPr>
        <w:t xml:space="preserve"> la admisión de</w:t>
      </w:r>
      <w:r w:rsidR="004640F3">
        <w:rPr>
          <w:rFonts w:eastAsia="Times New Roman" w:cs="Tahoma"/>
          <w:bCs/>
          <w:color w:val="auto"/>
          <w:lang w:val="es-ES_tradnl" w:eastAsia="es-ES"/>
        </w:rPr>
        <w:t xml:space="preserve"> </w:t>
      </w:r>
      <w:r w:rsidRPr="003D5B55">
        <w:rPr>
          <w:rFonts w:eastAsia="Times New Roman" w:cs="Tahoma"/>
          <w:bCs/>
          <w:color w:val="auto"/>
          <w:lang w:val="es-ES_tradnl" w:eastAsia="es-ES"/>
        </w:rPr>
        <w:t>l</w:t>
      </w:r>
      <w:r w:rsidR="004640F3">
        <w:rPr>
          <w:rFonts w:eastAsia="Times New Roman" w:cs="Tahoma"/>
          <w:bCs/>
          <w:color w:val="auto"/>
          <w:lang w:val="es-ES_tradnl" w:eastAsia="es-ES"/>
        </w:rPr>
        <w:t>os</w:t>
      </w:r>
      <w:r w:rsidRPr="003D5B55">
        <w:rPr>
          <w:rFonts w:eastAsia="Times New Roman" w:cs="Tahoma"/>
          <w:bCs/>
          <w:color w:val="auto"/>
          <w:lang w:val="es-ES_tradnl" w:eastAsia="es-ES"/>
        </w:rPr>
        <w:t xml:space="preserve"> Recurso</w:t>
      </w:r>
      <w:r w:rsidR="004640F3">
        <w:rPr>
          <w:rFonts w:eastAsia="Times New Roman" w:cs="Tahoma"/>
          <w:bCs/>
          <w:color w:val="auto"/>
          <w:lang w:val="es-ES_tradnl" w:eastAsia="es-ES"/>
        </w:rPr>
        <w:t>s</w:t>
      </w:r>
      <w:r w:rsidRPr="003D5B55">
        <w:rPr>
          <w:rFonts w:eastAsia="Times New Roman" w:cs="Tahoma"/>
          <w:bCs/>
          <w:color w:val="auto"/>
          <w:lang w:val="es-ES_tradnl" w:eastAsia="es-ES"/>
        </w:rPr>
        <w:t xml:space="preserve"> de Revisión interpuesto</w:t>
      </w:r>
      <w:r w:rsidR="00DB5D3F">
        <w:rPr>
          <w:rFonts w:eastAsia="Times New Roman" w:cs="Tahoma"/>
          <w:bCs/>
          <w:color w:val="auto"/>
          <w:lang w:val="es-ES_tradnl" w:eastAsia="es-ES"/>
        </w:rPr>
        <w:t>s</w:t>
      </w:r>
      <w:r w:rsidRPr="003D5B55">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w:t>
      </w:r>
      <w:r w:rsidRPr="003D5B55">
        <w:rPr>
          <w:rFonts w:eastAsia="Times New Roman" w:cs="Tahoma"/>
          <w:bCs/>
          <w:color w:val="auto"/>
          <w:lang w:val="es-ES_tradnl" w:eastAsia="es-ES"/>
        </w:rPr>
        <w:t>el</w:t>
      </w:r>
      <w:r>
        <w:rPr>
          <w:rFonts w:eastAsia="Times New Roman" w:cs="Tahoma"/>
          <w:bCs/>
          <w:color w:val="auto"/>
          <w:lang w:val="es-ES_tradnl" w:eastAsia="es-ES"/>
        </w:rPr>
        <w:t xml:space="preserve"> mismo día</w:t>
      </w:r>
      <w:r w:rsidR="00DB5D3F">
        <w:rPr>
          <w:rFonts w:eastAsia="Times New Roman" w:cs="Tahoma"/>
          <w:bCs/>
          <w:color w:val="auto"/>
          <w:lang w:val="es-ES_tradnl" w:eastAsia="es-ES"/>
        </w:rPr>
        <w:t>, respectivamente</w:t>
      </w:r>
      <w:r w:rsidRPr="003D5B55">
        <w:rPr>
          <w:rFonts w:eastAsia="Times New Roman" w:cs="Tahoma"/>
          <w:bCs/>
          <w:color w:val="auto"/>
          <w:lang w:val="es-ES_tradnl" w:eastAsia="es-ES"/>
        </w:rPr>
        <w:t xml:space="preserve">, a través del Sistema de Acceso a la Información Mexiquense (SAIMEX), en el que se les otorgó un plazo de siete días </w:t>
      </w:r>
      <w:r w:rsidRPr="003D5B55">
        <w:rPr>
          <w:rFonts w:eastAsia="Times New Roman" w:cs="Tahoma"/>
          <w:bCs/>
          <w:color w:val="auto"/>
          <w:lang w:val="es-ES_tradnl" w:eastAsia="es-ES"/>
        </w:rPr>
        <w:lastRenderedPageBreak/>
        <w:t xml:space="preserve">hábiles posteriores a la misma, para que manifestaran lo que a su derecho conviniera y formularan alegatos. </w:t>
      </w:r>
    </w:p>
    <w:p w14:paraId="55E88193" w14:textId="77777777" w:rsidR="00051642" w:rsidRPr="000F3317" w:rsidRDefault="00051642" w:rsidP="008567E8">
      <w:pPr>
        <w:spacing w:after="0" w:line="360" w:lineRule="auto"/>
        <w:rPr>
          <w:rFonts w:cs="Tahoma"/>
        </w:rPr>
      </w:pPr>
    </w:p>
    <w:p w14:paraId="53BFC908" w14:textId="4A955ED8" w:rsidR="00051642" w:rsidRDefault="00051642" w:rsidP="008567E8">
      <w:pPr>
        <w:spacing w:after="0" w:line="360" w:lineRule="auto"/>
        <w:rPr>
          <w:rFonts w:cs="Tahoma"/>
          <w:lang w:val="es-ES_tradnl"/>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5F646FD7" w14:textId="2B23701C" w:rsidR="004640F3" w:rsidRDefault="004640F3" w:rsidP="008567E8">
      <w:pPr>
        <w:spacing w:after="0" w:line="360" w:lineRule="auto"/>
        <w:rPr>
          <w:rFonts w:cs="Tahoma"/>
          <w:lang w:val="es-ES_tradnl"/>
        </w:rPr>
      </w:pPr>
    </w:p>
    <w:p w14:paraId="0990B652" w14:textId="62C793A8" w:rsidR="004640F3" w:rsidRDefault="00B821D5" w:rsidP="008567E8">
      <w:pPr>
        <w:spacing w:after="0" w:line="360" w:lineRule="auto"/>
        <w:rPr>
          <w:rFonts w:eastAsia="Times New Roman" w:cs="Tahoma"/>
          <w:bCs/>
          <w:iCs/>
          <w:color w:val="auto"/>
          <w:lang w:val="es-ES" w:eastAsia="es-ES"/>
        </w:rPr>
      </w:pPr>
      <w:r w:rsidRPr="0035133F">
        <w:rPr>
          <w:rFonts w:eastAsia="Times New Roman" w:cs="Tahoma"/>
          <w:b/>
          <w:iCs/>
          <w:color w:val="auto"/>
          <w:lang w:val="es-ES" w:eastAsia="es-ES"/>
        </w:rPr>
        <w:t>d) Acumulación de los asuntos.</w:t>
      </w:r>
      <w:r>
        <w:rPr>
          <w:rFonts w:eastAsia="Times New Roman" w:cs="Tahoma"/>
          <w:bCs/>
          <w:iCs/>
          <w:color w:val="auto"/>
          <w:lang w:val="es-ES" w:eastAsia="es-ES"/>
        </w:rPr>
        <w:t xml:space="preserve"> El veinte de octubre de dos mil veintiuno, el Pleno del </w:t>
      </w:r>
      <w:r w:rsidR="0035133F">
        <w:rPr>
          <w:rFonts w:eastAsia="Times New Roman" w:cs="Tahoma"/>
          <w:bCs/>
          <w:iCs/>
          <w:color w:val="auto"/>
          <w:lang w:val="es-ES" w:eastAsia="es-ES"/>
        </w:rPr>
        <w:t>Instituto de</w:t>
      </w:r>
      <w:r>
        <w:rPr>
          <w:rFonts w:eastAsia="Times New Roman" w:cs="Tahoma"/>
          <w:bCs/>
          <w:iCs/>
          <w:color w:val="auto"/>
          <w:lang w:val="es-ES" w:eastAsia="es-ES"/>
        </w:rPr>
        <w:t xml:space="preserve"> Transparencia, Acceso a la Información Pública y Protección de Datos Personales del Estado de México y Municipios, durante su Trigésima Séptima Sesión Ordinaria, con el propósito de privilegiar la resolución expedita y evitar resoluciones </w:t>
      </w:r>
      <w:r w:rsidR="0035133F">
        <w:rPr>
          <w:rFonts w:eastAsia="Times New Roman" w:cs="Tahoma"/>
          <w:bCs/>
          <w:iCs/>
          <w:color w:val="auto"/>
          <w:lang w:val="es-ES" w:eastAsia="es-ES"/>
        </w:rPr>
        <w:t>contradictorias,</w:t>
      </w:r>
      <w:r>
        <w:rPr>
          <w:rFonts w:eastAsia="Times New Roman" w:cs="Tahoma"/>
          <w:bCs/>
          <w:iCs/>
          <w:color w:val="auto"/>
          <w:lang w:val="es-ES" w:eastAsia="es-ES"/>
        </w:rPr>
        <w:t xml:space="preserve"> con fundamento en el artículo 18 del Código de Procedimientos Administrativos del Estado de México</w:t>
      </w:r>
      <w:r w:rsidR="0035133F">
        <w:rPr>
          <w:rFonts w:eastAsia="Times New Roman" w:cs="Tahoma"/>
          <w:bCs/>
          <w:iCs/>
          <w:color w:val="auto"/>
          <w:lang w:val="es-ES" w:eastAsia="es-ES"/>
        </w:rPr>
        <w:t xml:space="preserve">, de aplicación supletoria a la Ley de Transparencia y Acceso a la Información Pública del Estado de México y Municipios, según lo previsto en su artículo 195, acordó la acumulación de los Recursos de Revisión </w:t>
      </w:r>
      <w:r w:rsidR="0035133F" w:rsidRPr="00DB12DB">
        <w:rPr>
          <w:rFonts w:eastAsia="Batang" w:cs="Tahoma"/>
          <w:b/>
          <w:bCs/>
          <w:color w:val="000000"/>
        </w:rPr>
        <w:t>0492</w:t>
      </w:r>
      <w:r w:rsidR="00814577">
        <w:rPr>
          <w:rFonts w:eastAsia="Batang" w:cs="Tahoma"/>
          <w:b/>
          <w:bCs/>
          <w:color w:val="000000"/>
        </w:rPr>
        <w:t>8</w:t>
      </w:r>
      <w:r w:rsidR="0035133F" w:rsidRPr="00DB12DB">
        <w:rPr>
          <w:rFonts w:eastAsia="Batang" w:cs="Tahoma"/>
          <w:b/>
          <w:bCs/>
          <w:color w:val="000000"/>
        </w:rPr>
        <w:t>/INFOEM/IP/RR/2021</w:t>
      </w:r>
      <w:r w:rsidR="0035133F">
        <w:rPr>
          <w:rFonts w:eastAsia="Batang" w:cs="Tahoma"/>
          <w:b/>
          <w:bCs/>
          <w:color w:val="000000"/>
        </w:rPr>
        <w:t xml:space="preserve"> </w:t>
      </w:r>
      <w:r w:rsidR="00814577">
        <w:rPr>
          <w:rFonts w:eastAsia="Batang" w:cs="Tahoma"/>
          <w:b/>
          <w:bCs/>
          <w:color w:val="000000"/>
        </w:rPr>
        <w:t xml:space="preserve">al diverso </w:t>
      </w:r>
      <w:r w:rsidR="0035133F" w:rsidRPr="00DB12DB">
        <w:rPr>
          <w:rFonts w:eastAsia="Batang" w:cs="Tahoma"/>
          <w:b/>
          <w:bCs/>
          <w:color w:val="000000"/>
        </w:rPr>
        <w:t>0492</w:t>
      </w:r>
      <w:r w:rsidR="00814577">
        <w:rPr>
          <w:rFonts w:eastAsia="Batang" w:cs="Tahoma"/>
          <w:b/>
          <w:bCs/>
          <w:color w:val="000000"/>
        </w:rPr>
        <w:t>6</w:t>
      </w:r>
      <w:r w:rsidR="0035133F" w:rsidRPr="00DB12DB">
        <w:rPr>
          <w:rFonts w:eastAsia="Batang" w:cs="Tahoma"/>
          <w:b/>
          <w:bCs/>
          <w:color w:val="000000"/>
        </w:rPr>
        <w:t>/INFOEM/IP/RR/2021</w:t>
      </w:r>
      <w:r w:rsidR="0035133F">
        <w:rPr>
          <w:rFonts w:eastAsia="Batang" w:cs="Tahoma"/>
          <w:b/>
          <w:bCs/>
          <w:color w:val="000000"/>
        </w:rPr>
        <w:t xml:space="preserve">, </w:t>
      </w:r>
      <w:r w:rsidR="0035133F" w:rsidRPr="0035133F">
        <w:rPr>
          <w:rFonts w:eastAsia="Batang" w:cs="Tahoma"/>
          <w:color w:val="000000"/>
        </w:rPr>
        <w:t>por</w:t>
      </w:r>
      <w:r w:rsidR="00814577">
        <w:rPr>
          <w:rFonts w:eastAsia="Batang" w:cs="Tahoma"/>
          <w:color w:val="000000"/>
        </w:rPr>
        <w:t xml:space="preserve"> ser este último el más antiguo, sustanciado bajo el índice de esta Ponencia, al advertir conexidad entre estos, ya que fueron promovidos por la misma persona, en los que señaló como Sujeto Obligado al Ayuntamiento de Tezoyuca. </w:t>
      </w:r>
    </w:p>
    <w:p w14:paraId="7F900F92" w14:textId="77777777" w:rsidR="00051642" w:rsidRDefault="00051642" w:rsidP="008567E8">
      <w:pPr>
        <w:widowControl w:val="0"/>
        <w:spacing w:after="0" w:line="360" w:lineRule="auto"/>
        <w:rPr>
          <w:rFonts w:eastAsia="Times New Roman" w:cs="Tahoma"/>
          <w:b/>
          <w:color w:val="auto"/>
          <w:szCs w:val="24"/>
          <w:lang w:eastAsia="es-ES"/>
        </w:rPr>
      </w:pPr>
    </w:p>
    <w:p w14:paraId="54B241CF" w14:textId="018A4B1A" w:rsidR="00051642" w:rsidRDefault="004640F3" w:rsidP="008567E8">
      <w:pPr>
        <w:spacing w:after="0" w:line="360" w:lineRule="auto"/>
        <w:rPr>
          <w:rFonts w:eastAsia="Times New Roman" w:cs="Tahoma"/>
          <w:color w:val="auto"/>
          <w:szCs w:val="24"/>
          <w:lang w:eastAsia="es-ES"/>
        </w:rPr>
      </w:pPr>
      <w:r>
        <w:rPr>
          <w:rFonts w:eastAsia="Times New Roman" w:cs="Tahoma"/>
          <w:b/>
          <w:color w:val="auto"/>
          <w:szCs w:val="24"/>
          <w:lang w:eastAsia="es-ES"/>
        </w:rPr>
        <w:t>e</w:t>
      </w:r>
      <w:r w:rsidR="00051642">
        <w:rPr>
          <w:rFonts w:eastAsia="Times New Roman" w:cs="Tahoma"/>
          <w:b/>
          <w:color w:val="auto"/>
          <w:szCs w:val="24"/>
          <w:lang w:eastAsia="es-ES"/>
        </w:rPr>
        <w:t>) Cierre de instrucción.</w:t>
      </w:r>
      <w:r w:rsidR="00051642">
        <w:rPr>
          <w:rFonts w:eastAsia="Times New Roman" w:cs="Tahoma"/>
          <w:color w:val="auto"/>
          <w:szCs w:val="24"/>
          <w:lang w:eastAsia="es-ES"/>
        </w:rPr>
        <w:t xml:space="preserve"> </w:t>
      </w:r>
      <w:r w:rsidR="00051642" w:rsidRPr="00FB2ACB">
        <w:rPr>
          <w:rFonts w:eastAsia="Times New Roman" w:cs="Tahoma"/>
          <w:color w:val="auto"/>
          <w:szCs w:val="24"/>
          <w:lang w:eastAsia="es-ES"/>
        </w:rPr>
        <w:t xml:space="preserve">El </w:t>
      </w:r>
      <w:r w:rsidR="00DB12DB" w:rsidRPr="00F90DE8">
        <w:rPr>
          <w:rFonts w:eastAsia="Times New Roman" w:cs="Tahoma"/>
          <w:color w:val="auto"/>
          <w:szCs w:val="24"/>
          <w:lang w:val="es-ES" w:eastAsia="es-ES"/>
        </w:rPr>
        <w:t>veinte</w:t>
      </w:r>
      <w:r w:rsidR="00384DCB" w:rsidRPr="00FB2ACB">
        <w:rPr>
          <w:rFonts w:eastAsia="Times New Roman" w:cs="Tahoma"/>
          <w:color w:val="auto"/>
          <w:szCs w:val="24"/>
          <w:lang w:val="es-ES" w:eastAsia="es-ES"/>
        </w:rPr>
        <w:t xml:space="preserve"> </w:t>
      </w:r>
      <w:r w:rsidR="00814577">
        <w:rPr>
          <w:rFonts w:eastAsia="Times New Roman" w:cs="Tahoma"/>
          <w:color w:val="auto"/>
          <w:szCs w:val="24"/>
          <w:lang w:val="es-ES" w:eastAsia="es-ES"/>
        </w:rPr>
        <w:t xml:space="preserve">y veintidós </w:t>
      </w:r>
      <w:r w:rsidR="00384DCB" w:rsidRPr="00FB2ACB">
        <w:rPr>
          <w:rFonts w:eastAsia="Times New Roman" w:cs="Tahoma"/>
          <w:color w:val="auto"/>
          <w:szCs w:val="24"/>
          <w:lang w:val="es-ES" w:eastAsia="es-ES"/>
        </w:rPr>
        <w:t xml:space="preserve">de </w:t>
      </w:r>
      <w:r w:rsidR="00183086" w:rsidRPr="00FB2ACB">
        <w:rPr>
          <w:rFonts w:eastAsia="Times New Roman" w:cs="Tahoma"/>
          <w:color w:val="auto"/>
          <w:szCs w:val="24"/>
          <w:lang w:val="es-ES" w:eastAsia="es-ES"/>
        </w:rPr>
        <w:t>octubre</w:t>
      </w:r>
      <w:r w:rsidR="00051642" w:rsidRPr="00FB2ACB">
        <w:rPr>
          <w:rFonts w:eastAsia="Times New Roman" w:cs="Tahoma"/>
          <w:color w:val="auto"/>
          <w:szCs w:val="24"/>
          <w:lang w:val="es-ES" w:eastAsia="es-ES"/>
        </w:rPr>
        <w:t xml:space="preserve"> de dos mil veintiuno</w:t>
      </w:r>
      <w:r w:rsidR="0005164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23114C">
        <w:rPr>
          <w:rFonts w:eastAsia="Times New Roman" w:cs="Tahoma"/>
          <w:color w:val="auto"/>
          <w:szCs w:val="24"/>
          <w:lang w:eastAsia="es-ES"/>
        </w:rPr>
        <w:t>veinte y veinticinco de octubre de la misma anualidad</w:t>
      </w:r>
      <w:r w:rsidR="00051642">
        <w:rPr>
          <w:rFonts w:eastAsia="Times New Roman" w:cs="Tahoma"/>
          <w:color w:val="auto"/>
          <w:szCs w:val="24"/>
          <w:lang w:eastAsia="es-ES"/>
        </w:rPr>
        <w:t xml:space="preserve">, a través del </w:t>
      </w:r>
      <w:r w:rsidR="00051642">
        <w:rPr>
          <w:rFonts w:eastAsia="Times New Roman" w:cs="Tahoma"/>
          <w:color w:val="auto"/>
          <w:szCs w:val="20"/>
          <w:lang w:val="es-ES" w:eastAsia="es-ES"/>
        </w:rPr>
        <w:t>Sistema de Acceso a la Información Mexiquense (SAIMEX)</w:t>
      </w:r>
      <w:r w:rsidR="00051642">
        <w:rPr>
          <w:rFonts w:eastAsia="Times New Roman" w:cs="Tahoma"/>
          <w:color w:val="auto"/>
          <w:szCs w:val="24"/>
          <w:lang w:eastAsia="es-ES"/>
        </w:rPr>
        <w:t>.</w:t>
      </w:r>
      <w:r w:rsidR="00183086">
        <w:rPr>
          <w:rFonts w:eastAsia="Times New Roman" w:cs="Tahoma"/>
          <w:color w:val="auto"/>
          <w:szCs w:val="24"/>
          <w:lang w:eastAsia="es-ES"/>
        </w:rPr>
        <w:t xml:space="preserve"> </w:t>
      </w:r>
    </w:p>
    <w:p w14:paraId="316FD1A1" w14:textId="29C9D546" w:rsidR="00E17A99" w:rsidRDefault="00E17A99" w:rsidP="008567E8">
      <w:pPr>
        <w:spacing w:after="0" w:line="360" w:lineRule="auto"/>
        <w:rPr>
          <w:rFonts w:eastAsia="Times New Roman" w:cs="Tahoma"/>
          <w:color w:val="auto"/>
          <w:szCs w:val="24"/>
          <w:lang w:eastAsia="es-ES"/>
        </w:rPr>
      </w:pPr>
    </w:p>
    <w:p w14:paraId="050BBF25" w14:textId="2F1BE250" w:rsidR="00E17A99" w:rsidRPr="00E17A99" w:rsidRDefault="00E17A99" w:rsidP="00E17A99">
      <w:pPr>
        <w:widowControl w:val="0"/>
        <w:spacing w:after="0" w:line="360" w:lineRule="auto"/>
        <w:rPr>
          <w:rFonts w:eastAsia="Calibri" w:cs="Tahoma"/>
          <w:b/>
          <w:bCs/>
        </w:rPr>
      </w:pPr>
      <w:r w:rsidRPr="00E17A99">
        <w:rPr>
          <w:rFonts w:eastAsia="Times New Roman" w:cs="Tahoma"/>
          <w:b/>
          <w:color w:val="auto"/>
          <w:szCs w:val="24"/>
          <w:lang w:eastAsia="es-ES"/>
        </w:rPr>
        <w:t xml:space="preserve">f) </w:t>
      </w:r>
      <w:r w:rsidRPr="00E17A99">
        <w:rPr>
          <w:rFonts w:eastAsia="Calibri" w:cs="Tahoma"/>
          <w:b/>
          <w:bCs/>
        </w:rPr>
        <w:t xml:space="preserve">Resolución del Recurso de Revisión </w:t>
      </w:r>
      <w:bookmarkStart w:id="9" w:name="_Hlk92790300"/>
      <w:r w:rsidRPr="00B865EF">
        <w:rPr>
          <w:rFonts w:eastAsia="Calibri" w:cs="Tahoma"/>
          <w:b/>
          <w:bCs/>
        </w:rPr>
        <w:t>04926/INFOEM/IP/RR/2021 y acumulado</w:t>
      </w:r>
      <w:bookmarkEnd w:id="9"/>
      <w:r w:rsidRPr="00E17A99">
        <w:rPr>
          <w:rFonts w:eastAsia="Calibri" w:cs="Tahoma"/>
          <w:b/>
          <w:bCs/>
        </w:rPr>
        <w:t xml:space="preserve">. </w:t>
      </w:r>
      <w:r w:rsidRPr="00E17A99">
        <w:rPr>
          <w:rFonts w:eastAsia="Calibri" w:cs="Tahoma"/>
        </w:rPr>
        <w:t xml:space="preserve">El </w:t>
      </w:r>
      <w:r w:rsidRPr="00E17A99">
        <w:rPr>
          <w:rFonts w:eastAsia="Calibri" w:cs="Tahoma"/>
        </w:rPr>
        <w:lastRenderedPageBreak/>
        <w:t>veinti</w:t>
      </w:r>
      <w:r w:rsidRPr="00B865EF">
        <w:rPr>
          <w:rFonts w:eastAsia="Calibri" w:cs="Tahoma"/>
        </w:rPr>
        <w:t>siete</w:t>
      </w:r>
      <w:r w:rsidRPr="00E17A99">
        <w:rPr>
          <w:rFonts w:eastAsia="Calibri" w:cs="Tahoma"/>
        </w:rPr>
        <w:t xml:space="preserve"> de </w:t>
      </w:r>
      <w:r w:rsidRPr="00B865EF">
        <w:rPr>
          <w:rFonts w:eastAsia="Calibri" w:cs="Tahoma"/>
        </w:rPr>
        <w:t>octubre</w:t>
      </w:r>
      <w:r w:rsidRPr="00E17A99">
        <w:rPr>
          <w:rFonts w:eastAsia="Calibri" w:cs="Tahoma"/>
        </w:rPr>
        <w:t xml:space="preserve"> de dos mil veintiuno, </w:t>
      </w:r>
      <w:r w:rsidRPr="00E17A99">
        <w:rPr>
          <w:rFonts w:eastAsia="Calibri" w:cs="Tahoma"/>
          <w:bCs/>
        </w:rPr>
        <w:t xml:space="preserve">el Pleno del Instituto de Transparencia, Accesos la Información Pública y Protección de Datos Personales del Estado de México y Municipios, durante la </w:t>
      </w:r>
      <w:r w:rsidRPr="00B865EF">
        <w:rPr>
          <w:rFonts w:eastAsia="Calibri" w:cs="Tahoma"/>
          <w:bCs/>
        </w:rPr>
        <w:t>Trigésima</w:t>
      </w:r>
      <w:r w:rsidRPr="00E17A99">
        <w:rPr>
          <w:rFonts w:eastAsia="Calibri" w:cs="Tahoma"/>
          <w:bCs/>
        </w:rPr>
        <w:t xml:space="preserve"> </w:t>
      </w:r>
      <w:r w:rsidRPr="00B865EF">
        <w:rPr>
          <w:rFonts w:eastAsia="Calibri" w:cs="Tahoma"/>
          <w:bCs/>
        </w:rPr>
        <w:t xml:space="preserve">Octava </w:t>
      </w:r>
      <w:r w:rsidRPr="00E17A99">
        <w:rPr>
          <w:rFonts w:eastAsia="Calibri" w:cs="Tahoma"/>
          <w:bCs/>
        </w:rPr>
        <w:t xml:space="preserve">Sesión Ordinaria, aprobó por unanimidad de votos la Resolución del Recurso de Revisión </w:t>
      </w:r>
      <w:r w:rsidRPr="00B865EF">
        <w:rPr>
          <w:rFonts w:eastAsia="Calibri" w:cs="Tahoma"/>
        </w:rPr>
        <w:t>04926/INFOEM/IP/RR/2021 y acumulado</w:t>
      </w:r>
      <w:r w:rsidRPr="00E17A99">
        <w:rPr>
          <w:rFonts w:eastAsia="Calibri" w:cs="Tahoma"/>
        </w:rPr>
        <w:t xml:space="preserve">, de acuerdo a lo siguiente: </w:t>
      </w:r>
    </w:p>
    <w:p w14:paraId="4818735D" w14:textId="77777777" w:rsidR="00E17A99" w:rsidRPr="00E17A99" w:rsidRDefault="00E17A99" w:rsidP="00E17A99">
      <w:pPr>
        <w:widowControl w:val="0"/>
        <w:spacing w:after="0" w:line="360" w:lineRule="auto"/>
        <w:rPr>
          <w:rFonts w:eastAsia="Calibri" w:cs="Tahoma"/>
        </w:rPr>
      </w:pPr>
    </w:p>
    <w:p w14:paraId="6D0E92A5" w14:textId="77777777" w:rsidR="00E17A99" w:rsidRPr="00E17A99" w:rsidRDefault="00E17A99" w:rsidP="00E17A99">
      <w:pPr>
        <w:widowControl w:val="0"/>
        <w:spacing w:after="0" w:line="360" w:lineRule="auto"/>
        <w:ind w:left="567" w:right="567"/>
        <w:rPr>
          <w:rFonts w:eastAsia="Calibri" w:cs="Tahoma"/>
          <w:sz w:val="20"/>
          <w:szCs w:val="20"/>
        </w:rPr>
      </w:pPr>
      <w:r w:rsidRPr="00E17A99">
        <w:rPr>
          <w:rFonts w:eastAsia="Calibri" w:cs="Tahoma"/>
          <w:sz w:val="20"/>
          <w:szCs w:val="20"/>
        </w:rPr>
        <w:t>“…</w:t>
      </w:r>
    </w:p>
    <w:p w14:paraId="4B244962" w14:textId="77777777" w:rsidR="00B865EF" w:rsidRPr="00B865EF" w:rsidRDefault="00B865EF" w:rsidP="00B865EF">
      <w:pPr>
        <w:widowControl w:val="0"/>
        <w:spacing w:after="0" w:line="360" w:lineRule="auto"/>
        <w:ind w:left="567" w:right="567"/>
        <w:rPr>
          <w:rFonts w:eastAsia="Calibri" w:cs="Tahoma"/>
          <w:bCs/>
          <w:i/>
          <w:iCs/>
          <w:color w:val="auto"/>
          <w:sz w:val="20"/>
          <w:szCs w:val="20"/>
        </w:rPr>
      </w:pPr>
      <w:r w:rsidRPr="00B865EF">
        <w:rPr>
          <w:rFonts w:eastAsia="Times New Roman" w:cs="Tahoma"/>
          <w:b/>
          <w:bCs/>
          <w:i/>
          <w:iCs/>
          <w:color w:val="auto"/>
          <w:sz w:val="20"/>
          <w:szCs w:val="20"/>
          <w:lang w:eastAsia="es-ES"/>
        </w:rPr>
        <w:t xml:space="preserve">PRIMERO. </w:t>
      </w:r>
      <w:r w:rsidRPr="00B865EF">
        <w:rPr>
          <w:rFonts w:eastAsia="Calibri" w:cs="Tahoma"/>
          <w:bCs/>
          <w:i/>
          <w:iCs/>
          <w:color w:val="auto"/>
          <w:sz w:val="20"/>
          <w:szCs w:val="20"/>
        </w:rPr>
        <w:t xml:space="preserve">Resultan </w:t>
      </w:r>
      <w:r w:rsidRPr="00B865EF">
        <w:rPr>
          <w:rFonts w:eastAsia="Calibri" w:cs="Tahoma"/>
          <w:b/>
          <w:bCs/>
          <w:i/>
          <w:iCs/>
          <w:color w:val="auto"/>
          <w:sz w:val="20"/>
          <w:szCs w:val="20"/>
        </w:rPr>
        <w:t>FUNDADAS</w:t>
      </w:r>
      <w:r w:rsidRPr="00B865EF">
        <w:rPr>
          <w:rFonts w:eastAsia="Calibri" w:cs="Tahoma"/>
          <w:bCs/>
          <w:i/>
          <w:iCs/>
          <w:color w:val="auto"/>
          <w:sz w:val="20"/>
          <w:szCs w:val="20"/>
        </w:rPr>
        <w:t xml:space="preserve"> las razones o motivos de inconformidad hechos valer por el Particular en los Recursos de Revisión 04926/INFOEM/IP/RR/2021 y 04928/INFOEM/IP/RR/2021</w:t>
      </w:r>
      <w:r w:rsidRPr="00B865EF">
        <w:rPr>
          <w:rFonts w:eastAsia="Times New Roman" w:cs="Tahoma"/>
          <w:bCs/>
          <w:i/>
          <w:iCs/>
          <w:color w:val="0D0D0D"/>
          <w:sz w:val="20"/>
          <w:szCs w:val="20"/>
          <w:lang w:eastAsia="es-ES"/>
        </w:rPr>
        <w:t>,</w:t>
      </w:r>
      <w:r w:rsidRPr="00B865EF">
        <w:rPr>
          <w:rFonts w:eastAsia="Times New Roman" w:cs="Tahoma"/>
          <w:b/>
          <w:i/>
          <w:iCs/>
          <w:color w:val="0D0D0D"/>
          <w:sz w:val="20"/>
          <w:szCs w:val="20"/>
          <w:lang w:eastAsia="es-ES"/>
        </w:rPr>
        <w:t xml:space="preserve"> </w:t>
      </w:r>
      <w:r w:rsidRPr="00B865EF">
        <w:rPr>
          <w:rFonts w:eastAsia="Calibri" w:cs="Tahoma"/>
          <w:bCs/>
          <w:i/>
          <w:iCs/>
          <w:color w:val="auto"/>
          <w:sz w:val="20"/>
          <w:szCs w:val="20"/>
        </w:rPr>
        <w:t xml:space="preserve">en términos del considerando </w:t>
      </w:r>
      <w:r w:rsidRPr="00B865EF">
        <w:rPr>
          <w:rFonts w:eastAsia="Calibri" w:cs="Tahoma"/>
          <w:b/>
          <w:bCs/>
          <w:i/>
          <w:iCs/>
          <w:color w:val="auto"/>
          <w:sz w:val="20"/>
          <w:szCs w:val="20"/>
        </w:rPr>
        <w:t xml:space="preserve">QUINTO </w:t>
      </w:r>
      <w:r w:rsidRPr="00B865EF">
        <w:rPr>
          <w:rFonts w:eastAsia="Calibri" w:cs="Tahoma"/>
          <w:i/>
          <w:iCs/>
          <w:color w:val="auto"/>
          <w:sz w:val="20"/>
          <w:szCs w:val="20"/>
        </w:rPr>
        <w:t>y</w:t>
      </w:r>
      <w:r w:rsidRPr="00B865EF">
        <w:rPr>
          <w:rFonts w:eastAsia="Calibri" w:cs="Tahoma"/>
          <w:b/>
          <w:bCs/>
          <w:i/>
          <w:iCs/>
          <w:color w:val="auto"/>
          <w:sz w:val="20"/>
          <w:szCs w:val="20"/>
        </w:rPr>
        <w:t xml:space="preserve"> SEXTO </w:t>
      </w:r>
      <w:r w:rsidRPr="00B865EF">
        <w:rPr>
          <w:rFonts w:eastAsia="Calibri" w:cs="Tahoma"/>
          <w:bCs/>
          <w:i/>
          <w:iCs/>
          <w:color w:val="auto"/>
          <w:sz w:val="20"/>
          <w:szCs w:val="20"/>
        </w:rPr>
        <w:t>de la presente Resolución.</w:t>
      </w:r>
    </w:p>
    <w:p w14:paraId="4A200EBD" w14:textId="77777777" w:rsidR="00B865EF" w:rsidRPr="00B865EF" w:rsidRDefault="00B865EF" w:rsidP="00B865EF">
      <w:pPr>
        <w:spacing w:after="0" w:line="360" w:lineRule="auto"/>
        <w:ind w:left="567" w:right="567"/>
        <w:rPr>
          <w:rFonts w:eastAsia="Times New Roman" w:cs="Tahoma"/>
          <w:b/>
          <w:bCs/>
          <w:i/>
          <w:iCs/>
          <w:color w:val="auto"/>
          <w:sz w:val="20"/>
          <w:szCs w:val="20"/>
          <w:lang w:eastAsia="es-ES"/>
        </w:rPr>
      </w:pPr>
    </w:p>
    <w:p w14:paraId="4AE25634" w14:textId="77777777" w:rsidR="00B865EF" w:rsidRPr="00B865EF" w:rsidRDefault="00B865EF" w:rsidP="00B865EF">
      <w:pPr>
        <w:spacing w:after="0" w:line="360" w:lineRule="auto"/>
        <w:ind w:left="567" w:right="567"/>
        <w:rPr>
          <w:rFonts w:eastAsia="Calibri" w:cs="Tahoma"/>
          <w:bCs/>
          <w:i/>
          <w:iCs/>
          <w:color w:val="auto"/>
          <w:sz w:val="20"/>
          <w:szCs w:val="20"/>
        </w:rPr>
      </w:pPr>
      <w:r w:rsidRPr="00B865EF">
        <w:rPr>
          <w:rFonts w:eastAsia="Calibri" w:cs="Tahoma"/>
          <w:b/>
          <w:bCs/>
          <w:i/>
          <w:iCs/>
          <w:color w:val="auto"/>
          <w:sz w:val="20"/>
          <w:szCs w:val="20"/>
        </w:rPr>
        <w:t>SEGUNDO.</w:t>
      </w:r>
      <w:r w:rsidRPr="00B865EF">
        <w:rPr>
          <w:rFonts w:eastAsia="Calibri" w:cs="Tahoma"/>
          <w:i/>
          <w:iCs/>
          <w:color w:val="auto"/>
          <w:sz w:val="20"/>
          <w:szCs w:val="20"/>
          <w:lang w:eastAsia="es-MX"/>
        </w:rPr>
        <w:t xml:space="preserve"> Se </w:t>
      </w:r>
      <w:r w:rsidRPr="00B865EF">
        <w:rPr>
          <w:rFonts w:eastAsia="Calibri" w:cs="Tahoma"/>
          <w:b/>
          <w:i/>
          <w:iCs/>
          <w:color w:val="auto"/>
          <w:sz w:val="20"/>
          <w:szCs w:val="20"/>
          <w:lang w:eastAsia="es-MX"/>
        </w:rPr>
        <w:t xml:space="preserve">ORDENA </w:t>
      </w:r>
      <w:r w:rsidRPr="00B865EF">
        <w:rPr>
          <w:rFonts w:eastAsia="Calibri" w:cs="Tahoma"/>
          <w:i/>
          <w:iCs/>
          <w:color w:val="auto"/>
          <w:sz w:val="20"/>
          <w:szCs w:val="20"/>
          <w:lang w:eastAsia="es-MX"/>
        </w:rPr>
        <w:t xml:space="preserve">al Sujeto Obligado, </w:t>
      </w:r>
      <w:r w:rsidRPr="00B865EF">
        <w:rPr>
          <w:rFonts w:eastAsia="Calibri" w:cs="Tahoma"/>
          <w:bCs/>
          <w:i/>
          <w:iCs/>
          <w:color w:val="auto"/>
          <w:sz w:val="20"/>
          <w:szCs w:val="20"/>
        </w:rPr>
        <w:t xml:space="preserve">a efecto de que dé trámite a las solicitudes de acceso a la información </w:t>
      </w:r>
      <w:r w:rsidRPr="00B865EF">
        <w:rPr>
          <w:rFonts w:cs="Tahoma"/>
          <w:i/>
          <w:iCs/>
          <w:color w:val="0D0D0D" w:themeColor="text1" w:themeTint="F2"/>
          <w:sz w:val="20"/>
          <w:szCs w:val="20"/>
        </w:rPr>
        <w:t>00080/TEZOYUCA/IP/2021 y 00082/TEZOYUCA/IP/2021</w:t>
      </w:r>
      <w:r w:rsidRPr="00B865EF">
        <w:rPr>
          <w:rFonts w:eastAsia="Times New Roman" w:cs="Tahoma"/>
          <w:i/>
          <w:iCs/>
          <w:color w:val="auto"/>
          <w:sz w:val="20"/>
          <w:szCs w:val="20"/>
          <w:lang w:eastAsia="es-ES"/>
        </w:rPr>
        <w:t>, y,</w:t>
      </w:r>
      <w:r w:rsidRPr="00B865EF">
        <w:rPr>
          <w:rFonts w:eastAsia="Times New Roman" w:cs="Tahoma"/>
          <w:b/>
          <w:i/>
          <w:iCs/>
          <w:color w:val="auto"/>
          <w:sz w:val="20"/>
          <w:szCs w:val="20"/>
          <w:lang w:eastAsia="es-ES"/>
        </w:rPr>
        <w:t xml:space="preserve"> </w:t>
      </w:r>
      <w:r w:rsidRPr="00B865EF">
        <w:rPr>
          <w:rFonts w:eastAsia="Times New Roman" w:cs="Tahoma"/>
          <w:i/>
          <w:iCs/>
          <w:color w:val="auto"/>
          <w:sz w:val="20"/>
          <w:szCs w:val="20"/>
          <w:lang w:eastAsia="es-ES"/>
        </w:rPr>
        <w:t xml:space="preserve">a través del </w:t>
      </w:r>
      <w:r w:rsidRPr="00B865EF">
        <w:rPr>
          <w:rFonts w:eastAsia="Times New Roman" w:cs="Tahoma"/>
          <w:i/>
          <w:iCs/>
          <w:color w:val="auto"/>
          <w:sz w:val="20"/>
          <w:szCs w:val="20"/>
          <w:lang w:val="es-ES" w:eastAsia="es-ES"/>
        </w:rPr>
        <w:t>Sistema de Acceso a la Información Mexiquense (SAIMEX), dé la respuesta que conforme a derecho corresponda.</w:t>
      </w:r>
    </w:p>
    <w:p w14:paraId="6811F828" w14:textId="77777777" w:rsidR="00B865EF" w:rsidRPr="00B865EF" w:rsidRDefault="00B865EF" w:rsidP="00B865EF">
      <w:pPr>
        <w:spacing w:after="0" w:line="360" w:lineRule="auto"/>
        <w:ind w:left="567" w:right="567"/>
        <w:rPr>
          <w:rFonts w:eastAsia="Calibri" w:cs="Tahoma"/>
          <w:bCs/>
          <w:i/>
          <w:iCs/>
          <w:color w:val="auto"/>
          <w:sz w:val="20"/>
          <w:szCs w:val="20"/>
        </w:rPr>
      </w:pPr>
    </w:p>
    <w:p w14:paraId="146A0C9F" w14:textId="77777777" w:rsidR="00B865EF" w:rsidRPr="00B865EF" w:rsidRDefault="00B865EF" w:rsidP="00B865EF">
      <w:pPr>
        <w:spacing w:after="0" w:line="360" w:lineRule="auto"/>
        <w:ind w:left="567" w:right="567"/>
        <w:rPr>
          <w:rFonts w:eastAsia="Calibri" w:cs="Tahoma"/>
          <w:bCs/>
          <w:i/>
          <w:iCs/>
          <w:color w:val="auto"/>
          <w:sz w:val="20"/>
          <w:szCs w:val="20"/>
          <w:lang w:eastAsia="es-ES"/>
        </w:rPr>
      </w:pPr>
      <w:r w:rsidRPr="00B865EF">
        <w:rPr>
          <w:rFonts w:eastAsia="Calibri" w:cs="Tahoma"/>
          <w:b/>
          <w:bCs/>
          <w:i/>
          <w:iCs/>
          <w:color w:val="auto"/>
          <w:sz w:val="20"/>
          <w:szCs w:val="20"/>
          <w:lang w:val="es-ES" w:eastAsia="es-ES"/>
        </w:rPr>
        <w:t>TERCERO</w:t>
      </w:r>
      <w:r w:rsidRPr="00B865EF">
        <w:rPr>
          <w:rFonts w:eastAsia="Calibri" w:cs="Tahoma"/>
          <w:b/>
          <w:bCs/>
          <w:i/>
          <w:iCs/>
          <w:color w:val="auto"/>
          <w:sz w:val="20"/>
          <w:szCs w:val="20"/>
        </w:rPr>
        <w:t xml:space="preserve">. </w:t>
      </w:r>
      <w:r w:rsidRPr="00B865EF">
        <w:rPr>
          <w:rFonts w:eastAsia="Calibri" w:cs="Tahoma"/>
          <w:bCs/>
          <w:i/>
          <w:iCs/>
          <w:color w:val="auto"/>
          <w:sz w:val="20"/>
          <w:szCs w:val="20"/>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64AEA54C" w14:textId="77777777" w:rsidR="00E17A99" w:rsidRPr="00E17A99" w:rsidRDefault="00E17A99" w:rsidP="00E17A99">
      <w:pPr>
        <w:spacing w:after="0" w:line="360" w:lineRule="auto"/>
        <w:ind w:left="567" w:right="567"/>
        <w:rPr>
          <w:rFonts w:eastAsia="Calibri" w:cs="Tahoma"/>
          <w:b/>
          <w:bCs/>
          <w:i/>
          <w:iCs/>
          <w:sz w:val="20"/>
          <w:szCs w:val="20"/>
        </w:rPr>
      </w:pPr>
      <w:r w:rsidRPr="00E17A99">
        <w:rPr>
          <w:rFonts w:eastAsia="Calibri" w:cs="Tahoma"/>
          <w:b/>
          <w:bCs/>
          <w:i/>
          <w:iCs/>
          <w:sz w:val="20"/>
          <w:szCs w:val="20"/>
        </w:rPr>
        <w:t>…”</w:t>
      </w:r>
    </w:p>
    <w:p w14:paraId="1B083B7D" w14:textId="77777777" w:rsidR="00E17A99" w:rsidRPr="00E17A99" w:rsidRDefault="00E17A99" w:rsidP="00E17A99">
      <w:pPr>
        <w:widowControl w:val="0"/>
        <w:spacing w:after="0" w:line="360" w:lineRule="auto"/>
        <w:rPr>
          <w:rFonts w:eastAsia="Calibri" w:cs="Tahoma"/>
          <w:highlight w:val="yellow"/>
        </w:rPr>
      </w:pPr>
    </w:p>
    <w:p w14:paraId="25DEECF3" w14:textId="04B85C6E" w:rsidR="00E17A99" w:rsidRPr="00E17A99" w:rsidRDefault="00E17A99" w:rsidP="00E17A99">
      <w:pPr>
        <w:spacing w:after="0" w:line="360" w:lineRule="auto"/>
        <w:rPr>
          <w:rFonts w:eastAsia="Calibri" w:cs="Tahoma"/>
        </w:rPr>
      </w:pPr>
      <w:r w:rsidRPr="00E17A99">
        <w:rPr>
          <w:rFonts w:eastAsia="Calibri" w:cs="Tahoma"/>
          <w:b/>
        </w:rPr>
        <w:t xml:space="preserve">g) </w:t>
      </w:r>
      <w:r w:rsidRPr="00E17A99">
        <w:rPr>
          <w:rFonts w:eastAsia="Calibri" w:cs="Tahoma"/>
          <w:b/>
          <w:bCs/>
        </w:rPr>
        <w:t xml:space="preserve">Notificación de la Resolución del Recurso de Revisión </w:t>
      </w:r>
      <w:bookmarkStart w:id="10" w:name="_Hlk92790422"/>
      <w:r w:rsidR="00B865EF" w:rsidRPr="00F83617">
        <w:rPr>
          <w:rFonts w:eastAsia="Calibri" w:cs="Tahoma"/>
          <w:b/>
          <w:bCs/>
        </w:rPr>
        <w:t>04926/INFOEM/IP/RR/2021 y acumulado</w:t>
      </w:r>
      <w:bookmarkEnd w:id="10"/>
      <w:r w:rsidRPr="00E17A99">
        <w:rPr>
          <w:rFonts w:eastAsia="Calibri" w:cs="Tahoma"/>
          <w:b/>
          <w:bCs/>
        </w:rPr>
        <w:t xml:space="preserve">. </w:t>
      </w:r>
      <w:r w:rsidRPr="00E17A99">
        <w:rPr>
          <w:rFonts w:eastAsia="Calibri" w:cs="Tahoma"/>
        </w:rPr>
        <w:t xml:space="preserve">El </w:t>
      </w:r>
      <w:r w:rsidR="00F83617" w:rsidRPr="00F83617">
        <w:rPr>
          <w:rFonts w:eastAsia="Calibri" w:cs="Tahoma"/>
        </w:rPr>
        <w:t>veintinueve</w:t>
      </w:r>
      <w:r w:rsidRPr="00E17A99">
        <w:rPr>
          <w:rFonts w:eastAsia="Calibri" w:cs="Tahoma"/>
        </w:rPr>
        <w:t xml:space="preserve"> de </w:t>
      </w:r>
      <w:r w:rsidR="00F83617" w:rsidRPr="00F83617">
        <w:rPr>
          <w:rFonts w:eastAsia="Calibri" w:cs="Tahoma"/>
        </w:rPr>
        <w:t>octubre</w:t>
      </w:r>
      <w:r w:rsidRPr="00E17A99">
        <w:rPr>
          <w:rFonts w:eastAsia="Calibri" w:cs="Tahoma"/>
        </w:rPr>
        <w:t xml:space="preserve"> de dos mil veintiuno, </w:t>
      </w:r>
      <w:r w:rsidRPr="00E17A99">
        <w:rPr>
          <w:rFonts w:eastAsia="Calibri" w:cs="Tahoma"/>
          <w:bCs/>
        </w:rPr>
        <w:t xml:space="preserve">se notificó por medio del Sistema de Acceso a la Información Mexiquense </w:t>
      </w:r>
      <w:r w:rsidRPr="00E17A99">
        <w:rPr>
          <w:rFonts w:eastAsia="Calibri" w:cs="Tahoma"/>
          <w:bCs/>
          <w:lang w:val="es-ES"/>
        </w:rPr>
        <w:t>(SAIMEX)</w:t>
      </w:r>
      <w:r w:rsidRPr="00E17A99">
        <w:rPr>
          <w:rFonts w:eastAsia="Calibri" w:cs="Tahoma"/>
          <w:bCs/>
        </w:rPr>
        <w:t>, a las partes, la Resolución referida.</w:t>
      </w:r>
    </w:p>
    <w:p w14:paraId="7434E524" w14:textId="77777777" w:rsidR="00E17A99" w:rsidRPr="00E17A99" w:rsidRDefault="00E17A99" w:rsidP="00E17A99">
      <w:pPr>
        <w:widowControl w:val="0"/>
        <w:spacing w:after="0" w:line="360" w:lineRule="auto"/>
        <w:rPr>
          <w:rFonts w:eastAsia="Calibri" w:cs="Tahoma"/>
          <w:highlight w:val="yellow"/>
        </w:rPr>
      </w:pPr>
    </w:p>
    <w:p w14:paraId="2C477F21" w14:textId="4958FBC6" w:rsidR="00E17A99" w:rsidRPr="00E17A99" w:rsidRDefault="00E17A99" w:rsidP="00E17A99">
      <w:pPr>
        <w:spacing w:after="0" w:line="360" w:lineRule="auto"/>
        <w:rPr>
          <w:rFonts w:eastAsia="Calibri" w:cs="Tahoma"/>
          <w:b/>
          <w:bCs/>
        </w:rPr>
      </w:pPr>
      <w:r w:rsidRPr="00E17A99">
        <w:rPr>
          <w:rFonts w:eastAsia="Times New Roman" w:cs="Tahoma"/>
          <w:b/>
          <w:bCs/>
          <w:color w:val="auto"/>
          <w:szCs w:val="24"/>
          <w:lang w:val="es-ES" w:eastAsia="es-ES"/>
        </w:rPr>
        <w:lastRenderedPageBreak/>
        <w:t xml:space="preserve">V. </w:t>
      </w:r>
      <w:r w:rsidRPr="00E17A99">
        <w:rPr>
          <w:rFonts w:eastAsia="Calibri" w:cs="Tahoma"/>
          <w:b/>
        </w:rPr>
        <w:t xml:space="preserve">Cumplimiento a la </w:t>
      </w:r>
      <w:r w:rsidRPr="00E17A99">
        <w:rPr>
          <w:rFonts w:eastAsia="Calibri" w:cs="Tahoma"/>
          <w:b/>
          <w:bCs/>
        </w:rPr>
        <w:t xml:space="preserve">Resolución del Recurso de Revisión </w:t>
      </w:r>
      <w:r w:rsidR="00F83617" w:rsidRPr="00F83617">
        <w:rPr>
          <w:rFonts w:eastAsia="Calibri" w:cs="Tahoma"/>
          <w:b/>
          <w:bCs/>
        </w:rPr>
        <w:t>04926/INFOEM/IP/RR/2021 y acumulado</w:t>
      </w:r>
      <w:r w:rsidRPr="00E17A99">
        <w:rPr>
          <w:rFonts w:eastAsia="Calibri" w:cs="Tahoma"/>
          <w:b/>
          <w:bCs/>
        </w:rPr>
        <w:t xml:space="preserve">. </w:t>
      </w:r>
    </w:p>
    <w:p w14:paraId="4DE4E1F0" w14:textId="77777777" w:rsidR="00E17A99" w:rsidRPr="00E17A99" w:rsidRDefault="00E17A99" w:rsidP="00E17A99">
      <w:pPr>
        <w:widowControl w:val="0"/>
        <w:spacing w:after="0" w:line="360" w:lineRule="auto"/>
        <w:rPr>
          <w:rFonts w:eastAsia="Calibri" w:cs="Tahoma"/>
          <w:highlight w:val="yellow"/>
        </w:rPr>
      </w:pPr>
    </w:p>
    <w:p w14:paraId="60BCA2EE" w14:textId="5F064D51" w:rsidR="00E17A99" w:rsidRPr="00E17A99" w:rsidRDefault="00E17A99" w:rsidP="00E17A99">
      <w:pPr>
        <w:spacing w:after="0" w:line="360" w:lineRule="auto"/>
        <w:rPr>
          <w:rFonts w:eastAsia="Calibri" w:cs="Tahoma"/>
          <w:bCs/>
          <w:color w:val="000000"/>
        </w:rPr>
      </w:pPr>
      <w:r w:rsidRPr="00E17A99">
        <w:rPr>
          <w:rFonts w:eastAsia="Calibri" w:cs="Tahoma"/>
          <w:color w:val="000000"/>
        </w:rPr>
        <w:t xml:space="preserve">De conformidad con el artículo 186, último párrafo de la Ley de Transparencia y Acceso a la Información Pública del Estado de México y Municipios, el Sujeto Obligado debió dar cumplimiento a la Resolución del Recurso de Revisión </w:t>
      </w:r>
      <w:r w:rsidR="0043588F" w:rsidRPr="0043588F">
        <w:rPr>
          <w:rFonts w:eastAsia="Calibri" w:cs="Tahoma"/>
          <w:b/>
          <w:bCs/>
        </w:rPr>
        <w:t>04926/INFOEM/IP/RR/2021 y acumulado</w:t>
      </w:r>
      <w:r w:rsidRPr="00E17A99">
        <w:rPr>
          <w:rFonts w:eastAsia="Calibri" w:cs="Tahoma"/>
          <w:color w:val="000000"/>
        </w:rPr>
        <w:t xml:space="preserve">; sin embargo, de las constancias que obran en el expediente electrónico del </w:t>
      </w:r>
      <w:r w:rsidRPr="00E17A99">
        <w:rPr>
          <w:rFonts w:eastAsia="Calibri" w:cs="Tahoma"/>
          <w:color w:val="000000"/>
          <w:lang w:val="es-ES"/>
        </w:rPr>
        <w:t xml:space="preserve">Sistema de Acceso a la Información Mexiquense (SAIMEX), se advierte que el </w:t>
      </w:r>
      <w:r w:rsidR="0065553D" w:rsidRPr="0065553D">
        <w:rPr>
          <w:rFonts w:eastAsia="Calibri" w:cs="Tahoma"/>
          <w:b/>
          <w:bCs/>
        </w:rPr>
        <w:t>Ayuntamiento de Tezoyuca</w:t>
      </w:r>
      <w:r w:rsidRPr="00E17A99">
        <w:rPr>
          <w:rFonts w:eastAsia="Calibri" w:cs="Tahoma"/>
          <w:bCs/>
          <w:color w:val="000000"/>
        </w:rPr>
        <w:t>, omitió dicha acción.</w:t>
      </w:r>
    </w:p>
    <w:p w14:paraId="3FC37022" w14:textId="77777777" w:rsidR="00E17A99" w:rsidRPr="00E17A99" w:rsidRDefault="00E17A99" w:rsidP="00E17A99">
      <w:pPr>
        <w:widowControl w:val="0"/>
        <w:spacing w:after="0" w:line="360" w:lineRule="auto"/>
        <w:rPr>
          <w:rFonts w:eastAsia="Calibri" w:cs="Tahoma"/>
          <w:highlight w:val="yellow"/>
        </w:rPr>
      </w:pPr>
    </w:p>
    <w:p w14:paraId="47B1A2DD" w14:textId="6B14B9D4" w:rsidR="00E17A99" w:rsidRPr="00E17A99" w:rsidRDefault="00E17A99" w:rsidP="00E17A99">
      <w:pPr>
        <w:tabs>
          <w:tab w:val="center" w:pos="4560"/>
          <w:tab w:val="left" w:pos="8207"/>
        </w:tabs>
        <w:spacing w:after="0" w:line="360" w:lineRule="auto"/>
        <w:rPr>
          <w:rFonts w:eastAsia="Calibri" w:cs="Tahoma"/>
        </w:rPr>
      </w:pPr>
      <w:r w:rsidRPr="00E17A99">
        <w:rPr>
          <w:rFonts w:eastAsia="Times New Roman" w:cs="Tahoma"/>
          <w:b/>
          <w:color w:val="auto"/>
          <w:lang w:eastAsia="es-ES"/>
        </w:rPr>
        <w:t xml:space="preserve">VI. Interposición del Recurso de Revisión </w:t>
      </w:r>
      <w:r w:rsidR="0065553D" w:rsidRPr="0065553D">
        <w:rPr>
          <w:rFonts w:eastAsia="Calibri" w:cs="Tahoma"/>
          <w:b/>
        </w:rPr>
        <w:t xml:space="preserve">04926/INFOEM/ICR-62/IP/RR/2021 y </w:t>
      </w:r>
      <w:r w:rsidR="00FA2734" w:rsidRPr="00FA2734">
        <w:rPr>
          <w:rFonts w:eastAsia="Calibri" w:cs="Tahoma"/>
          <w:b/>
        </w:rPr>
        <w:t>04928/INFOEM/ICR-60/IP/RR/2021</w:t>
      </w:r>
      <w:r w:rsidRPr="00E17A99">
        <w:rPr>
          <w:rFonts w:eastAsia="Calibri" w:cs="Tahoma"/>
          <w:b/>
        </w:rPr>
        <w:t xml:space="preserve">. </w:t>
      </w:r>
    </w:p>
    <w:p w14:paraId="04C1E250" w14:textId="77777777" w:rsidR="00E17A99" w:rsidRPr="00E17A99" w:rsidRDefault="00E17A99" w:rsidP="00E17A99">
      <w:pPr>
        <w:widowControl w:val="0"/>
        <w:spacing w:after="0" w:line="360" w:lineRule="auto"/>
        <w:rPr>
          <w:rFonts w:eastAsia="Calibri" w:cs="Tahoma"/>
          <w:highlight w:val="yellow"/>
        </w:rPr>
      </w:pPr>
    </w:p>
    <w:p w14:paraId="1B6D8062" w14:textId="7B6E29B2" w:rsidR="00E17A99" w:rsidRPr="0027365E" w:rsidRDefault="00E17A99" w:rsidP="00E17A99">
      <w:pPr>
        <w:widowControl w:val="0"/>
        <w:spacing w:after="0" w:line="360" w:lineRule="auto"/>
        <w:rPr>
          <w:rFonts w:eastAsia="Times New Roman" w:cs="Tahoma"/>
          <w:color w:val="auto"/>
          <w:lang w:eastAsia="es-ES"/>
        </w:rPr>
      </w:pPr>
      <w:r w:rsidRPr="00E17A99">
        <w:rPr>
          <w:rFonts w:eastAsia="Times New Roman" w:cs="Tahoma"/>
          <w:color w:val="auto"/>
          <w:lang w:eastAsia="es-ES"/>
        </w:rPr>
        <w:t xml:space="preserve">Con fecha </w:t>
      </w:r>
      <w:r w:rsidR="0065553D" w:rsidRPr="0065553D">
        <w:rPr>
          <w:rFonts w:eastAsia="Times New Roman" w:cs="Tahoma"/>
          <w:color w:val="auto"/>
          <w:lang w:eastAsia="es-ES"/>
        </w:rPr>
        <w:t>veintitrés</w:t>
      </w:r>
      <w:r w:rsidRPr="00E17A99">
        <w:rPr>
          <w:rFonts w:eastAsia="Times New Roman" w:cs="Tahoma"/>
          <w:color w:val="auto"/>
          <w:lang w:eastAsia="es-ES"/>
        </w:rPr>
        <w:t xml:space="preserve"> de </w:t>
      </w:r>
      <w:r w:rsidR="0065553D" w:rsidRPr="0065553D">
        <w:rPr>
          <w:rFonts w:eastAsia="Times New Roman" w:cs="Tahoma"/>
          <w:color w:val="auto"/>
          <w:lang w:eastAsia="es-ES"/>
        </w:rPr>
        <w:t>noviembre</w:t>
      </w:r>
      <w:r w:rsidRPr="00E17A99">
        <w:rPr>
          <w:rFonts w:eastAsia="Times New Roman" w:cs="Tahoma"/>
          <w:color w:val="auto"/>
          <w:lang w:eastAsia="es-ES"/>
        </w:rPr>
        <w:t xml:space="preserve"> de dos mil veintiuno, el Particular interpuso Recurso de Revisión ante este Instituto, a través del </w:t>
      </w:r>
      <w:r w:rsidRPr="00E17A99">
        <w:rPr>
          <w:rFonts w:eastAsia="Times New Roman" w:cs="Tahoma"/>
          <w:color w:val="auto"/>
          <w:lang w:val="es-ES" w:eastAsia="es-ES"/>
        </w:rPr>
        <w:t xml:space="preserve">Sistema de Acceso a la Información Mexiquense (SAIMEX), en </w:t>
      </w:r>
      <w:r w:rsidRPr="00E17A99">
        <w:rPr>
          <w:rFonts w:eastAsia="Times New Roman" w:cs="Tahoma"/>
          <w:color w:val="auto"/>
          <w:lang w:eastAsia="es-ES"/>
        </w:rPr>
        <w:t>contra de la falta de respuesta del Sujeto Obligado, en cumplimiento a la Resolución referida en el Antecedente IV, inciso f</w:t>
      </w:r>
      <w:r w:rsidR="00617DF0">
        <w:rPr>
          <w:rFonts w:eastAsia="Times New Roman" w:cs="Tahoma"/>
          <w:color w:val="auto"/>
          <w:lang w:eastAsia="es-ES"/>
        </w:rPr>
        <w:t>,</w:t>
      </w:r>
      <w:r w:rsidRPr="00E17A99">
        <w:rPr>
          <w:rFonts w:eastAsia="Times New Roman" w:cs="Tahoma"/>
          <w:color w:val="auto"/>
          <w:lang w:eastAsia="es-ES"/>
        </w:rPr>
        <w:t xml:space="preserve"> en los términos siguientes: </w:t>
      </w:r>
    </w:p>
    <w:p w14:paraId="6CF9B014" w14:textId="77777777" w:rsidR="0027365E" w:rsidRPr="00E17A99" w:rsidRDefault="0027365E" w:rsidP="00E17A99">
      <w:pPr>
        <w:widowControl w:val="0"/>
        <w:spacing w:after="0" w:line="360" w:lineRule="auto"/>
        <w:rPr>
          <w:rFonts w:eastAsia="Times New Roman" w:cs="Tahoma"/>
          <w:color w:val="auto"/>
          <w:highlight w:val="yellow"/>
          <w:lang w:eastAsia="es-ES"/>
        </w:rPr>
      </w:pPr>
    </w:p>
    <w:p w14:paraId="7029001D" w14:textId="77777777" w:rsidR="0027365E" w:rsidRDefault="0027365E" w:rsidP="00E17A99">
      <w:pPr>
        <w:tabs>
          <w:tab w:val="left" w:pos="4667"/>
        </w:tabs>
        <w:spacing w:after="0" w:line="360" w:lineRule="auto"/>
        <w:ind w:left="567" w:right="567"/>
        <w:rPr>
          <w:rFonts w:eastAsia="Calibri" w:cs="Tahoma"/>
          <w:b/>
          <w:bCs/>
          <w:i/>
          <w:color w:val="000000"/>
          <w:sz w:val="20"/>
          <w:szCs w:val="20"/>
        </w:rPr>
      </w:pPr>
      <w:bookmarkStart w:id="11" w:name="_Hlk92800750"/>
      <w:r w:rsidRPr="0027365E">
        <w:rPr>
          <w:rFonts w:eastAsia="Calibri" w:cs="Tahoma"/>
          <w:b/>
          <w:bCs/>
          <w:i/>
          <w:color w:val="000000"/>
          <w:sz w:val="20"/>
          <w:szCs w:val="20"/>
        </w:rPr>
        <w:t>Solicitud de Información 00080/TEZOYUCA/IP/2021</w:t>
      </w:r>
    </w:p>
    <w:p w14:paraId="52E30206" w14:textId="16C89D10" w:rsidR="00E17A99" w:rsidRPr="00E17A99" w:rsidRDefault="0027365E" w:rsidP="00E17A99">
      <w:pPr>
        <w:tabs>
          <w:tab w:val="left" w:pos="4667"/>
        </w:tabs>
        <w:spacing w:after="0" w:line="360" w:lineRule="auto"/>
        <w:ind w:left="567" w:right="567"/>
        <w:rPr>
          <w:rFonts w:eastAsia="Calibri" w:cs="Tahoma"/>
          <w:bCs/>
          <w:i/>
          <w:color w:val="000000"/>
          <w:sz w:val="18"/>
          <w:szCs w:val="18"/>
        </w:rPr>
      </w:pPr>
      <w:r>
        <w:rPr>
          <w:rFonts w:eastAsia="Calibri" w:cs="Tahoma"/>
          <w:b/>
          <w:bCs/>
          <w:i/>
          <w:color w:val="000000"/>
          <w:sz w:val="20"/>
          <w:szCs w:val="20"/>
        </w:rPr>
        <w:t>“</w:t>
      </w:r>
      <w:r w:rsidR="00E17A99" w:rsidRPr="00E17A99">
        <w:rPr>
          <w:rFonts w:eastAsia="Calibri" w:cs="Tahoma"/>
          <w:b/>
          <w:bCs/>
          <w:i/>
          <w:color w:val="000000"/>
          <w:sz w:val="20"/>
          <w:szCs w:val="20"/>
        </w:rPr>
        <w:t>ACTO IMPUGNADO</w:t>
      </w:r>
    </w:p>
    <w:p w14:paraId="69D17286" w14:textId="41685A3E" w:rsidR="00E17A99" w:rsidRPr="00E17A99" w:rsidRDefault="0027365E" w:rsidP="00E17A99">
      <w:pPr>
        <w:autoSpaceDE w:val="0"/>
        <w:autoSpaceDN w:val="0"/>
        <w:adjustRightInd w:val="0"/>
        <w:spacing w:after="0" w:line="360" w:lineRule="auto"/>
        <w:ind w:left="567" w:right="567"/>
        <w:rPr>
          <w:rFonts w:eastAsia="Calibri" w:cs="Tahoma"/>
          <w:i/>
          <w:color w:val="000000"/>
          <w:sz w:val="20"/>
          <w:szCs w:val="20"/>
        </w:rPr>
      </w:pPr>
      <w:r w:rsidRPr="0027365E">
        <w:rPr>
          <w:rFonts w:eastAsia="Calibri" w:cs="Tahoma"/>
          <w:i/>
          <w:color w:val="000000"/>
          <w:sz w:val="20"/>
          <w:szCs w:val="20"/>
        </w:rPr>
        <w:t>que Se ORDENA al Sujeto Obligado, a efecto de que dé trámite a las solicitudes de acceso a la información 00080/TEZOYUCA/IP/2021 y 00082/TEZOYUCA/IP/2021, y, a través del Sistema de Acceso a la Información Mexiquense (SAIMEX), dé la respuesta que conforme a derecho corresponda y la Autoridad Municipal no da respuesta a lo ordenado y se burla de uno como ciudadano</w:t>
      </w:r>
      <w:r w:rsidR="009D0818">
        <w:rPr>
          <w:rFonts w:eastAsia="Calibri" w:cs="Tahoma"/>
          <w:i/>
          <w:color w:val="000000"/>
          <w:sz w:val="20"/>
          <w:szCs w:val="20"/>
        </w:rPr>
        <w:t>.</w:t>
      </w:r>
      <w:r w:rsidR="00E17A99" w:rsidRPr="00E17A99">
        <w:rPr>
          <w:rFonts w:eastAsia="Calibri" w:cs="Tahoma"/>
          <w:i/>
          <w:color w:val="000000"/>
          <w:sz w:val="20"/>
          <w:szCs w:val="20"/>
        </w:rPr>
        <w:t>” (Sic.)</w:t>
      </w:r>
    </w:p>
    <w:p w14:paraId="2323706C" w14:textId="77777777" w:rsidR="00E17A99" w:rsidRPr="00E17A99" w:rsidRDefault="00E17A99" w:rsidP="00E17A99">
      <w:pPr>
        <w:autoSpaceDE w:val="0"/>
        <w:autoSpaceDN w:val="0"/>
        <w:adjustRightInd w:val="0"/>
        <w:spacing w:after="0" w:line="360" w:lineRule="auto"/>
        <w:ind w:left="567" w:right="567"/>
        <w:rPr>
          <w:rFonts w:eastAsia="Calibri" w:cs="Tahoma"/>
          <w:i/>
          <w:color w:val="000000"/>
          <w:sz w:val="20"/>
          <w:szCs w:val="20"/>
        </w:rPr>
      </w:pPr>
    </w:p>
    <w:p w14:paraId="219CAEBC" w14:textId="77777777" w:rsidR="00E17A99" w:rsidRPr="00E17A99" w:rsidRDefault="00E17A99" w:rsidP="00E17A99">
      <w:pPr>
        <w:autoSpaceDE w:val="0"/>
        <w:autoSpaceDN w:val="0"/>
        <w:adjustRightInd w:val="0"/>
        <w:spacing w:after="0" w:line="360" w:lineRule="auto"/>
        <w:ind w:left="567" w:right="567"/>
        <w:rPr>
          <w:rFonts w:eastAsia="Calibri" w:cs="Tahoma"/>
          <w:b/>
          <w:i/>
          <w:color w:val="000000"/>
          <w:sz w:val="20"/>
          <w:szCs w:val="20"/>
        </w:rPr>
      </w:pPr>
      <w:r w:rsidRPr="00E17A99">
        <w:rPr>
          <w:rFonts w:eastAsia="Calibri" w:cs="Tahoma"/>
          <w:b/>
          <w:i/>
          <w:color w:val="000000"/>
          <w:sz w:val="20"/>
          <w:szCs w:val="20"/>
        </w:rPr>
        <w:t>“RAZONES O MOTIVOS DE LA INCONFORMIDAD</w:t>
      </w:r>
    </w:p>
    <w:p w14:paraId="12E8316D" w14:textId="79009E9F" w:rsidR="00E17A99" w:rsidRDefault="009D0818" w:rsidP="00E17A99">
      <w:pPr>
        <w:autoSpaceDE w:val="0"/>
        <w:autoSpaceDN w:val="0"/>
        <w:adjustRightInd w:val="0"/>
        <w:spacing w:after="0" w:line="360" w:lineRule="auto"/>
        <w:ind w:left="567" w:right="567"/>
        <w:rPr>
          <w:rFonts w:eastAsia="Calibri" w:cs="Tahoma"/>
          <w:i/>
          <w:color w:val="000000"/>
          <w:sz w:val="20"/>
          <w:szCs w:val="20"/>
        </w:rPr>
      </w:pPr>
      <w:proofErr w:type="spellStart"/>
      <w:r w:rsidRPr="009D0818">
        <w:rPr>
          <w:rFonts w:eastAsia="Calibri" w:cs="Tahoma"/>
          <w:i/>
          <w:color w:val="000000"/>
          <w:sz w:val="20"/>
          <w:szCs w:val="20"/>
        </w:rPr>
        <w:lastRenderedPageBreak/>
        <w:t>por que</w:t>
      </w:r>
      <w:proofErr w:type="spellEnd"/>
      <w:r w:rsidRPr="009D0818">
        <w:rPr>
          <w:rFonts w:eastAsia="Calibri" w:cs="Tahoma"/>
          <w:i/>
          <w:color w:val="000000"/>
          <w:sz w:val="20"/>
          <w:szCs w:val="20"/>
        </w:rPr>
        <w:t xml:space="preserve"> Se ORDENA al Sujeto Obligado, a efecto de que dé trámite a las solicitudes de acceso a la información 00080/TEZOYUCA/IP/2021 y 00082/TEZOYUCA/IP/2021, y, a través del Sistema de Acceso a la Información Mexiquense (SAIMEX), dé la respuesta que conforme a derecho corresponda y la Autoridad Municipal no da respuesta a lo ordenado y se burla de uno como ciudadano.</w:t>
      </w:r>
      <w:r w:rsidR="00E17A99" w:rsidRPr="00E17A99">
        <w:rPr>
          <w:rFonts w:eastAsia="Calibri" w:cs="Tahoma"/>
          <w:i/>
          <w:color w:val="000000"/>
          <w:sz w:val="20"/>
          <w:szCs w:val="20"/>
        </w:rPr>
        <w:t>” (Sic.)</w:t>
      </w:r>
    </w:p>
    <w:p w14:paraId="4509F48A" w14:textId="77777777" w:rsidR="009D0818" w:rsidRPr="00E17A99" w:rsidRDefault="009D0818" w:rsidP="00E17A99">
      <w:pPr>
        <w:autoSpaceDE w:val="0"/>
        <w:autoSpaceDN w:val="0"/>
        <w:adjustRightInd w:val="0"/>
        <w:spacing w:after="0" w:line="360" w:lineRule="auto"/>
        <w:ind w:left="567" w:right="567"/>
        <w:rPr>
          <w:rFonts w:eastAsia="Calibri" w:cs="Tahoma"/>
          <w:i/>
          <w:color w:val="000000"/>
          <w:sz w:val="20"/>
          <w:szCs w:val="20"/>
        </w:rPr>
      </w:pPr>
    </w:p>
    <w:bookmarkEnd w:id="11"/>
    <w:p w14:paraId="495B11D3" w14:textId="4919C852" w:rsidR="0027365E" w:rsidRDefault="0027365E" w:rsidP="0027365E">
      <w:pPr>
        <w:tabs>
          <w:tab w:val="left" w:pos="4667"/>
        </w:tabs>
        <w:spacing w:after="0" w:line="360" w:lineRule="auto"/>
        <w:ind w:left="567" w:right="567"/>
        <w:rPr>
          <w:rFonts w:eastAsia="Calibri" w:cs="Tahoma"/>
          <w:b/>
          <w:bCs/>
          <w:i/>
          <w:color w:val="000000"/>
          <w:sz w:val="20"/>
          <w:szCs w:val="20"/>
        </w:rPr>
      </w:pPr>
      <w:r w:rsidRPr="0027365E">
        <w:rPr>
          <w:rFonts w:eastAsia="Calibri" w:cs="Tahoma"/>
          <w:b/>
          <w:bCs/>
          <w:i/>
          <w:color w:val="000000"/>
          <w:sz w:val="20"/>
          <w:szCs w:val="20"/>
        </w:rPr>
        <w:t>Solicitud de Información 0008</w:t>
      </w:r>
      <w:r>
        <w:rPr>
          <w:rFonts w:eastAsia="Calibri" w:cs="Tahoma"/>
          <w:b/>
          <w:bCs/>
          <w:i/>
          <w:color w:val="000000"/>
          <w:sz w:val="20"/>
          <w:szCs w:val="20"/>
        </w:rPr>
        <w:t>2</w:t>
      </w:r>
      <w:r w:rsidRPr="0027365E">
        <w:rPr>
          <w:rFonts w:eastAsia="Calibri" w:cs="Tahoma"/>
          <w:b/>
          <w:bCs/>
          <w:i/>
          <w:color w:val="000000"/>
          <w:sz w:val="20"/>
          <w:szCs w:val="20"/>
        </w:rPr>
        <w:t>/TEZOYUCA/IP/2021</w:t>
      </w:r>
    </w:p>
    <w:p w14:paraId="45C7B17B" w14:textId="77777777" w:rsidR="0027365E" w:rsidRPr="00E17A99" w:rsidRDefault="0027365E" w:rsidP="0027365E">
      <w:pPr>
        <w:tabs>
          <w:tab w:val="left" w:pos="4667"/>
        </w:tabs>
        <w:spacing w:after="0" w:line="360" w:lineRule="auto"/>
        <w:ind w:left="567" w:right="567"/>
        <w:rPr>
          <w:rFonts w:eastAsia="Calibri" w:cs="Tahoma"/>
          <w:bCs/>
          <w:i/>
          <w:color w:val="000000"/>
          <w:sz w:val="18"/>
          <w:szCs w:val="18"/>
        </w:rPr>
      </w:pPr>
      <w:r>
        <w:rPr>
          <w:rFonts w:eastAsia="Calibri" w:cs="Tahoma"/>
          <w:b/>
          <w:bCs/>
          <w:i/>
          <w:color w:val="000000"/>
          <w:sz w:val="20"/>
          <w:szCs w:val="20"/>
        </w:rPr>
        <w:t>“</w:t>
      </w:r>
      <w:r w:rsidRPr="00E17A99">
        <w:rPr>
          <w:rFonts w:eastAsia="Calibri" w:cs="Tahoma"/>
          <w:b/>
          <w:bCs/>
          <w:i/>
          <w:color w:val="000000"/>
          <w:sz w:val="20"/>
          <w:szCs w:val="20"/>
        </w:rPr>
        <w:t>ACTO IMPUGNADO</w:t>
      </w:r>
    </w:p>
    <w:p w14:paraId="18F08FC1" w14:textId="77777777" w:rsidR="0027365E" w:rsidRPr="00E17A99" w:rsidRDefault="0027365E" w:rsidP="0027365E">
      <w:pPr>
        <w:autoSpaceDE w:val="0"/>
        <w:autoSpaceDN w:val="0"/>
        <w:adjustRightInd w:val="0"/>
        <w:spacing w:after="0" w:line="360" w:lineRule="auto"/>
        <w:ind w:left="567" w:right="567"/>
        <w:rPr>
          <w:rFonts w:eastAsia="Calibri" w:cs="Tahoma"/>
          <w:i/>
          <w:color w:val="000000"/>
          <w:sz w:val="20"/>
          <w:szCs w:val="20"/>
        </w:rPr>
      </w:pPr>
      <w:proofErr w:type="spellStart"/>
      <w:r w:rsidRPr="00E36332">
        <w:rPr>
          <w:rFonts w:eastAsia="Calibri" w:cs="Tahoma"/>
          <w:i/>
          <w:color w:val="000000"/>
          <w:sz w:val="20"/>
          <w:szCs w:val="20"/>
        </w:rPr>
        <w:t>por que</w:t>
      </w:r>
      <w:proofErr w:type="spellEnd"/>
      <w:r w:rsidRPr="00E36332">
        <w:rPr>
          <w:rFonts w:eastAsia="Calibri" w:cs="Tahoma"/>
          <w:i/>
          <w:color w:val="000000"/>
          <w:sz w:val="20"/>
          <w:szCs w:val="20"/>
        </w:rPr>
        <w:t xml:space="preserve"> Se ORDENA a la </w:t>
      </w:r>
      <w:proofErr w:type="spellStart"/>
      <w:r w:rsidRPr="00E36332">
        <w:rPr>
          <w:rFonts w:eastAsia="Calibri" w:cs="Tahoma"/>
          <w:i/>
          <w:color w:val="000000"/>
          <w:sz w:val="20"/>
          <w:szCs w:val="20"/>
        </w:rPr>
        <w:t>contraloria</w:t>
      </w:r>
      <w:proofErr w:type="spellEnd"/>
      <w:r w:rsidRPr="00E36332">
        <w:rPr>
          <w:rFonts w:eastAsia="Calibri" w:cs="Tahoma"/>
          <w:i/>
          <w:color w:val="000000"/>
          <w:sz w:val="20"/>
          <w:szCs w:val="20"/>
        </w:rPr>
        <w:t xml:space="preserve"> poner medidas de apremio, a efecto de que dé trámite a las solicitudes de acceso a la información y la Autoridad Municipal no da respuesta a lo ordenado y se burla de uno como ciudadano y de la </w:t>
      </w:r>
      <w:proofErr w:type="spellStart"/>
      <w:r w:rsidRPr="00E36332">
        <w:rPr>
          <w:rFonts w:eastAsia="Calibri" w:cs="Tahoma"/>
          <w:i/>
          <w:color w:val="000000"/>
          <w:sz w:val="20"/>
          <w:szCs w:val="20"/>
        </w:rPr>
        <w:t>contraloria</w:t>
      </w:r>
      <w:proofErr w:type="spellEnd"/>
      <w:r w:rsidRPr="00E17A99">
        <w:rPr>
          <w:rFonts w:eastAsia="Calibri" w:cs="Tahoma"/>
          <w:i/>
          <w:color w:val="000000"/>
          <w:sz w:val="20"/>
          <w:szCs w:val="20"/>
        </w:rPr>
        <w:t>” (Sic.)</w:t>
      </w:r>
    </w:p>
    <w:p w14:paraId="5FC7B14F" w14:textId="77777777" w:rsidR="0027365E" w:rsidRPr="00E17A99" w:rsidRDefault="0027365E" w:rsidP="0027365E">
      <w:pPr>
        <w:autoSpaceDE w:val="0"/>
        <w:autoSpaceDN w:val="0"/>
        <w:adjustRightInd w:val="0"/>
        <w:spacing w:after="0" w:line="360" w:lineRule="auto"/>
        <w:ind w:left="567" w:right="567"/>
        <w:rPr>
          <w:rFonts w:eastAsia="Calibri" w:cs="Tahoma"/>
          <w:i/>
          <w:color w:val="000000"/>
          <w:sz w:val="20"/>
          <w:szCs w:val="20"/>
        </w:rPr>
      </w:pPr>
    </w:p>
    <w:p w14:paraId="0AEA0782" w14:textId="77777777" w:rsidR="0027365E" w:rsidRPr="00E17A99" w:rsidRDefault="0027365E" w:rsidP="0027365E">
      <w:pPr>
        <w:autoSpaceDE w:val="0"/>
        <w:autoSpaceDN w:val="0"/>
        <w:adjustRightInd w:val="0"/>
        <w:spacing w:after="0" w:line="360" w:lineRule="auto"/>
        <w:ind w:left="567" w:right="567"/>
        <w:rPr>
          <w:rFonts w:eastAsia="Calibri" w:cs="Tahoma"/>
          <w:b/>
          <w:i/>
          <w:color w:val="000000"/>
          <w:sz w:val="20"/>
          <w:szCs w:val="20"/>
        </w:rPr>
      </w:pPr>
      <w:r w:rsidRPr="00E17A99">
        <w:rPr>
          <w:rFonts w:eastAsia="Calibri" w:cs="Tahoma"/>
          <w:b/>
          <w:i/>
          <w:color w:val="000000"/>
          <w:sz w:val="20"/>
          <w:szCs w:val="20"/>
        </w:rPr>
        <w:t>“RAZONES O MOTIVOS DE LA INCONFORMIDAD</w:t>
      </w:r>
    </w:p>
    <w:p w14:paraId="4F2EB79B" w14:textId="77777777" w:rsidR="0027365E" w:rsidRPr="00E17A99" w:rsidRDefault="0027365E" w:rsidP="0027365E">
      <w:pPr>
        <w:autoSpaceDE w:val="0"/>
        <w:autoSpaceDN w:val="0"/>
        <w:adjustRightInd w:val="0"/>
        <w:spacing w:after="0" w:line="360" w:lineRule="auto"/>
        <w:ind w:left="567" w:right="567"/>
        <w:rPr>
          <w:rFonts w:eastAsia="Calibri" w:cs="Tahoma"/>
          <w:i/>
          <w:color w:val="000000"/>
          <w:sz w:val="20"/>
          <w:szCs w:val="20"/>
        </w:rPr>
      </w:pPr>
      <w:proofErr w:type="spellStart"/>
      <w:r w:rsidRPr="00E36332">
        <w:rPr>
          <w:rFonts w:eastAsia="Calibri" w:cs="Tahoma"/>
          <w:i/>
          <w:color w:val="000000"/>
          <w:sz w:val="20"/>
          <w:szCs w:val="20"/>
        </w:rPr>
        <w:t>por que</w:t>
      </w:r>
      <w:proofErr w:type="spellEnd"/>
      <w:r w:rsidRPr="00E36332">
        <w:rPr>
          <w:rFonts w:eastAsia="Calibri" w:cs="Tahoma"/>
          <w:i/>
          <w:color w:val="000000"/>
          <w:sz w:val="20"/>
          <w:szCs w:val="20"/>
        </w:rPr>
        <w:t xml:space="preserve"> Se ORDENA a la </w:t>
      </w:r>
      <w:proofErr w:type="spellStart"/>
      <w:r w:rsidRPr="00E36332">
        <w:rPr>
          <w:rFonts w:eastAsia="Calibri" w:cs="Tahoma"/>
          <w:i/>
          <w:color w:val="000000"/>
          <w:sz w:val="20"/>
          <w:szCs w:val="20"/>
        </w:rPr>
        <w:t>contraloria</w:t>
      </w:r>
      <w:proofErr w:type="spellEnd"/>
      <w:r w:rsidRPr="00E36332">
        <w:rPr>
          <w:rFonts w:eastAsia="Calibri" w:cs="Tahoma"/>
          <w:i/>
          <w:color w:val="000000"/>
          <w:sz w:val="20"/>
          <w:szCs w:val="20"/>
        </w:rPr>
        <w:t xml:space="preserve"> poner medidas de apremio, a efecto de que dé trámite a las solicitudes de acceso a la información y la Autoridad Municipal no da respuesta a lo ordenado y se burla de uno como ciudadano y de la </w:t>
      </w:r>
      <w:proofErr w:type="spellStart"/>
      <w:r w:rsidRPr="00E36332">
        <w:rPr>
          <w:rFonts w:eastAsia="Calibri" w:cs="Tahoma"/>
          <w:i/>
          <w:color w:val="000000"/>
          <w:sz w:val="20"/>
          <w:szCs w:val="20"/>
        </w:rPr>
        <w:t>contraloria</w:t>
      </w:r>
      <w:proofErr w:type="spellEnd"/>
      <w:r w:rsidRPr="00E17A99">
        <w:rPr>
          <w:rFonts w:eastAsia="Calibri" w:cs="Tahoma"/>
          <w:i/>
          <w:color w:val="000000"/>
          <w:sz w:val="20"/>
          <w:szCs w:val="20"/>
        </w:rPr>
        <w:t>” (Sic.)</w:t>
      </w:r>
    </w:p>
    <w:p w14:paraId="70BCCEE1" w14:textId="77777777" w:rsidR="00E17A99" w:rsidRPr="00E17A99" w:rsidRDefault="00E17A99" w:rsidP="00E17A99">
      <w:pPr>
        <w:widowControl w:val="0"/>
        <w:spacing w:after="0" w:line="360" w:lineRule="auto"/>
        <w:rPr>
          <w:rFonts w:eastAsia="Times New Roman" w:cs="Tahoma"/>
          <w:color w:val="auto"/>
          <w:highlight w:val="yellow"/>
          <w:lang w:eastAsia="es-ES"/>
        </w:rPr>
      </w:pPr>
    </w:p>
    <w:p w14:paraId="165974FE" w14:textId="5FCB58C0" w:rsidR="00E17A99" w:rsidRPr="00E17A99" w:rsidRDefault="00E17A99" w:rsidP="00E17A99">
      <w:pPr>
        <w:spacing w:after="0" w:line="360" w:lineRule="auto"/>
        <w:rPr>
          <w:rFonts w:eastAsia="Batang" w:cs="Tahoma"/>
          <w:b/>
          <w:bCs/>
          <w:color w:val="auto"/>
          <w:lang w:eastAsia="es-ES"/>
        </w:rPr>
      </w:pPr>
      <w:r w:rsidRPr="00E17A99">
        <w:rPr>
          <w:rFonts w:eastAsia="Times New Roman" w:cs="Tahoma"/>
          <w:b/>
          <w:color w:val="auto"/>
          <w:lang w:eastAsia="es-ES"/>
        </w:rPr>
        <w:t xml:space="preserve">VII. </w:t>
      </w:r>
      <w:r w:rsidRPr="00E17A99">
        <w:rPr>
          <w:rFonts w:eastAsia="Batang" w:cs="Tahoma"/>
          <w:b/>
          <w:bCs/>
          <w:color w:val="auto"/>
          <w:lang w:eastAsia="es-ES"/>
        </w:rPr>
        <w:t xml:space="preserve">Trámite del </w:t>
      </w:r>
      <w:r w:rsidRPr="00E17A99">
        <w:rPr>
          <w:rFonts w:eastAsia="Times New Roman" w:cs="Tahoma"/>
          <w:b/>
          <w:color w:val="auto"/>
          <w:lang w:eastAsia="es-ES"/>
        </w:rPr>
        <w:t xml:space="preserve">Recurso de Revisión con número </w:t>
      </w:r>
      <w:r w:rsidR="00E36332" w:rsidRPr="00CB3102">
        <w:rPr>
          <w:rFonts w:eastAsia="Calibri" w:cs="Tahoma"/>
          <w:b/>
        </w:rPr>
        <w:t>04926/INFOEM/ICR-62/IP/RR/2021 y acumulado</w:t>
      </w:r>
      <w:r w:rsidRPr="00E17A99">
        <w:rPr>
          <w:rFonts w:eastAsia="Calibri" w:cs="Tahoma"/>
          <w:b/>
        </w:rPr>
        <w:t xml:space="preserve">, ante este Instituto. </w:t>
      </w:r>
    </w:p>
    <w:p w14:paraId="00E9F371" w14:textId="77777777" w:rsidR="00E17A99" w:rsidRPr="00E17A99" w:rsidRDefault="00E17A99" w:rsidP="00E17A99">
      <w:pPr>
        <w:widowControl w:val="0"/>
        <w:spacing w:after="0" w:line="360" w:lineRule="auto"/>
        <w:rPr>
          <w:rFonts w:eastAsia="Calibri" w:cs="Tahoma"/>
          <w:highlight w:val="yellow"/>
        </w:rPr>
      </w:pPr>
    </w:p>
    <w:p w14:paraId="2A2CEE40" w14:textId="639563F7" w:rsidR="00E17A99" w:rsidRPr="00E17A99" w:rsidRDefault="00E17A99" w:rsidP="00E17A99">
      <w:pPr>
        <w:spacing w:after="0" w:line="360" w:lineRule="auto"/>
        <w:rPr>
          <w:rFonts w:eastAsia="Batang" w:cs="Tahoma"/>
          <w:bCs/>
          <w:lang w:eastAsia="es-ES"/>
        </w:rPr>
      </w:pPr>
      <w:r w:rsidRPr="00E17A99">
        <w:rPr>
          <w:rFonts w:eastAsia="Calibri" w:cs="Times New Roman"/>
          <w:b/>
          <w:bCs/>
        </w:rPr>
        <w:t xml:space="preserve">a) Turno del Recurso de Revisión. </w:t>
      </w:r>
      <w:r w:rsidRPr="00E17A99">
        <w:rPr>
          <w:rFonts w:eastAsia="Calibri" w:cs="Times New Roman"/>
        </w:rPr>
        <w:t xml:space="preserve">El </w:t>
      </w:r>
      <w:r w:rsidR="00CB3102" w:rsidRPr="007F2440">
        <w:rPr>
          <w:rFonts w:eastAsia="Times New Roman" w:cs="Tahoma"/>
          <w:color w:val="auto"/>
          <w:lang w:eastAsia="es-ES"/>
        </w:rPr>
        <w:t>veintitrés</w:t>
      </w:r>
      <w:r w:rsidRPr="00E17A99">
        <w:rPr>
          <w:rFonts w:eastAsia="Times New Roman" w:cs="Tahoma"/>
          <w:color w:val="auto"/>
          <w:lang w:eastAsia="es-ES"/>
        </w:rPr>
        <w:t xml:space="preserve"> de </w:t>
      </w:r>
      <w:r w:rsidR="00CB3102" w:rsidRPr="007F2440">
        <w:rPr>
          <w:rFonts w:eastAsia="Times New Roman" w:cs="Tahoma"/>
          <w:color w:val="auto"/>
          <w:lang w:eastAsia="es-ES"/>
        </w:rPr>
        <w:t>noviembre</w:t>
      </w:r>
      <w:r w:rsidRPr="00E17A99">
        <w:rPr>
          <w:rFonts w:eastAsia="Times New Roman" w:cs="Tahoma"/>
          <w:color w:val="auto"/>
          <w:lang w:eastAsia="es-ES"/>
        </w:rPr>
        <w:t xml:space="preserve"> de dos mil veintiuno</w:t>
      </w:r>
      <w:r w:rsidRPr="00E17A99">
        <w:rPr>
          <w:rFonts w:eastAsia="Batang" w:cs="Tahoma"/>
          <w:bCs/>
          <w:lang w:eastAsia="es-ES"/>
        </w:rPr>
        <w:t xml:space="preserve">, el </w:t>
      </w:r>
      <w:r w:rsidRPr="00E17A99">
        <w:rPr>
          <w:rFonts w:eastAsia="Times New Roman" w:cs="Tahoma"/>
          <w:lang w:val="es-ES" w:eastAsia="es-ES"/>
        </w:rPr>
        <w:t>Sistema de Acceso a la Información Mexiquense (SAIMEX),</w:t>
      </w:r>
      <w:r w:rsidRPr="00E17A99">
        <w:rPr>
          <w:rFonts w:eastAsia="Batang" w:cs="Tahoma"/>
          <w:bCs/>
          <w:lang w:eastAsia="es-ES"/>
        </w:rPr>
        <w:t xml:space="preserve"> asignó el número de expediente </w:t>
      </w:r>
      <w:r w:rsidR="00302555" w:rsidRPr="007F2440">
        <w:rPr>
          <w:rFonts w:eastAsia="Calibri" w:cs="Tahoma"/>
          <w:b/>
        </w:rPr>
        <w:t>04926/INFOEM/ICR-62/IP/RR/2021 y 04928/INFOEM/ICR-60/IP/RR/2021</w:t>
      </w:r>
      <w:r w:rsidRPr="00E17A99">
        <w:rPr>
          <w:rFonts w:eastAsia="Batang" w:cs="Tahoma"/>
          <w:bCs/>
          <w:lang w:eastAsia="es-E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8BCC992" w14:textId="77777777" w:rsidR="00E17A99" w:rsidRPr="00E17A99" w:rsidRDefault="00E17A99" w:rsidP="00E17A99">
      <w:pPr>
        <w:spacing w:after="0" w:line="360" w:lineRule="auto"/>
        <w:rPr>
          <w:rFonts w:eastAsia="Batang" w:cs="Tahoma"/>
          <w:bCs/>
          <w:color w:val="auto"/>
          <w:highlight w:val="yellow"/>
          <w:lang w:eastAsia="es-ES"/>
        </w:rPr>
      </w:pPr>
    </w:p>
    <w:p w14:paraId="1D8DAD7C" w14:textId="0ACE6C11" w:rsidR="00E17A99" w:rsidRPr="00E17A99" w:rsidRDefault="00E17A99" w:rsidP="00E17A99">
      <w:pPr>
        <w:spacing w:after="0" w:line="360" w:lineRule="auto"/>
        <w:rPr>
          <w:rFonts w:eastAsia="Batang" w:cs="Tahoma"/>
          <w:bCs/>
          <w:lang w:val="es-ES_tradnl" w:eastAsia="es-ES"/>
        </w:rPr>
      </w:pPr>
      <w:r w:rsidRPr="00E17A99">
        <w:rPr>
          <w:rFonts w:eastAsia="Batang" w:cs="Tahoma"/>
          <w:b/>
          <w:bCs/>
          <w:lang w:eastAsia="es-ES"/>
        </w:rPr>
        <w:lastRenderedPageBreak/>
        <w:t xml:space="preserve">b) Admisión del </w:t>
      </w:r>
      <w:r w:rsidRPr="00E17A99">
        <w:rPr>
          <w:rFonts w:eastAsia="Times New Roman" w:cs="Tahoma"/>
          <w:b/>
          <w:lang w:eastAsia="es-ES"/>
        </w:rPr>
        <w:t>Recurso de Revisión</w:t>
      </w:r>
      <w:r w:rsidRPr="00E17A99">
        <w:rPr>
          <w:rFonts w:eastAsia="Batang" w:cs="Tahoma"/>
          <w:b/>
          <w:bCs/>
          <w:lang w:val="es-ES_tradnl" w:eastAsia="es-ES"/>
        </w:rPr>
        <w:t xml:space="preserve">. </w:t>
      </w:r>
      <w:r w:rsidRPr="00E17A99">
        <w:rPr>
          <w:rFonts w:eastAsia="Batang" w:cs="Tahoma"/>
          <w:bCs/>
          <w:lang w:val="es-ES_tradnl" w:eastAsia="es-ES"/>
        </w:rPr>
        <w:t xml:space="preserve">El </w:t>
      </w:r>
      <w:r w:rsidR="007F2440" w:rsidRPr="00DC1818">
        <w:rPr>
          <w:rFonts w:eastAsia="Batang" w:cs="Tahoma"/>
          <w:bCs/>
          <w:lang w:eastAsia="es-ES"/>
        </w:rPr>
        <w:t xml:space="preserve">veintiséis </w:t>
      </w:r>
      <w:r w:rsidRPr="00E17A99">
        <w:rPr>
          <w:rFonts w:eastAsia="Batang" w:cs="Tahoma"/>
          <w:bCs/>
          <w:lang w:eastAsia="es-ES"/>
        </w:rPr>
        <w:t xml:space="preserve">de </w:t>
      </w:r>
      <w:r w:rsidR="007F2440" w:rsidRPr="00DC1818">
        <w:rPr>
          <w:rFonts w:eastAsia="Batang" w:cs="Tahoma"/>
          <w:bCs/>
          <w:lang w:eastAsia="es-ES"/>
        </w:rPr>
        <w:t>noviembre</w:t>
      </w:r>
      <w:r w:rsidRPr="00E17A99">
        <w:rPr>
          <w:rFonts w:eastAsia="Batang" w:cs="Tahoma"/>
          <w:bCs/>
          <w:lang w:eastAsia="es-ES"/>
        </w:rPr>
        <w:t xml:space="preserve"> de dos mil veintiuno</w:t>
      </w:r>
      <w:r w:rsidRPr="00E17A99">
        <w:rPr>
          <w:rFonts w:eastAsia="Batang" w:cs="Tahoma"/>
          <w:bCs/>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7F2440" w:rsidRPr="00DC1818">
        <w:rPr>
          <w:rFonts w:eastAsia="Batang" w:cs="Tahoma"/>
          <w:bCs/>
          <w:lang w:val="es-ES_tradnl" w:eastAsia="es-ES"/>
        </w:rPr>
        <w:t>veintinueve</w:t>
      </w:r>
      <w:r w:rsidR="00DC1818" w:rsidRPr="00DC1818">
        <w:rPr>
          <w:rFonts w:eastAsia="Batang" w:cs="Tahoma"/>
          <w:bCs/>
          <w:lang w:val="es-ES_tradnl" w:eastAsia="es-ES"/>
        </w:rPr>
        <w:t xml:space="preserve"> del mismo mes y año</w:t>
      </w:r>
      <w:r w:rsidRPr="00E17A99">
        <w:rPr>
          <w:rFonts w:eastAsia="Batang" w:cs="Tahoma"/>
          <w:bCs/>
          <w:lang w:val="es-ES_tradnl" w:eastAsia="es-ES"/>
        </w:rPr>
        <w:t>, a través del Sistema de Acceso a la Información Mexiquense (SAIMEX), en el que se les otorgó un plazo de siete días hábiles posteriores a la misma, para que manifestaran lo que a su derecho conviniera y formularan alegatos.</w:t>
      </w:r>
    </w:p>
    <w:p w14:paraId="5F453C28" w14:textId="77777777" w:rsidR="00E17A99" w:rsidRPr="00E17A99" w:rsidRDefault="00E17A99" w:rsidP="00E17A99">
      <w:pPr>
        <w:widowControl w:val="0"/>
        <w:spacing w:after="0" w:line="360" w:lineRule="auto"/>
        <w:rPr>
          <w:rFonts w:eastAsia="Calibri" w:cs="Tahoma"/>
          <w:lang w:val="es-ES_tradnl"/>
        </w:rPr>
      </w:pPr>
    </w:p>
    <w:p w14:paraId="7E21C55F" w14:textId="39795DF9" w:rsidR="00E17A99" w:rsidRPr="00E17A99" w:rsidRDefault="00E17A99" w:rsidP="00E17A99">
      <w:pPr>
        <w:spacing w:line="360" w:lineRule="auto"/>
        <w:contextualSpacing/>
        <w:rPr>
          <w:rFonts w:eastAsia="Calibri" w:cs="Tahoma"/>
        </w:rPr>
      </w:pPr>
      <w:r w:rsidRPr="00E17A99">
        <w:rPr>
          <w:rFonts w:eastAsia="Times New Roman" w:cs="Tahoma"/>
          <w:b/>
          <w:lang w:eastAsia="es-ES"/>
        </w:rPr>
        <w:t>c)</w:t>
      </w:r>
      <w:r w:rsidRPr="00E17A99">
        <w:rPr>
          <w:rFonts w:eastAsia="Times New Roman" w:cs="Tahoma"/>
          <w:lang w:val="es-ES_tradnl" w:eastAsia="es-ES"/>
        </w:rPr>
        <w:t xml:space="preserve"> </w:t>
      </w:r>
      <w:r w:rsidRPr="00E17A99">
        <w:rPr>
          <w:rFonts w:eastAsia="Times New Roman" w:cs="Tahoma"/>
          <w:b/>
          <w:lang w:val="es-ES_tradnl" w:eastAsia="es-ES"/>
        </w:rPr>
        <w:t>Informe Justificado</w:t>
      </w:r>
      <w:r w:rsidR="00617DF0">
        <w:rPr>
          <w:rFonts w:eastAsia="Times New Roman" w:cs="Tahoma"/>
          <w:b/>
          <w:lang w:val="es-ES_tradnl" w:eastAsia="es-ES"/>
        </w:rPr>
        <w:t xml:space="preserve"> o Manifestaciones</w:t>
      </w:r>
      <w:r w:rsidRPr="00E17A99">
        <w:rPr>
          <w:rFonts w:eastAsia="Times New Roman" w:cs="Tahoma"/>
          <w:b/>
          <w:lang w:val="es-ES_tradnl" w:eastAsia="es-ES"/>
        </w:rPr>
        <w:t xml:space="preserve">. </w:t>
      </w:r>
      <w:r w:rsidR="00E87B69" w:rsidRPr="00E87B69">
        <w:rPr>
          <w:rFonts w:eastAsia="Times New Roman" w:cs="Tahoma"/>
          <w:bCs/>
          <w:lang w:val="es-ES_tradnl" w:eastAsia="es-ES"/>
        </w:rPr>
        <w:t>Las partes fueron omisas en emitir manifestaciones o alegatos.</w:t>
      </w:r>
    </w:p>
    <w:p w14:paraId="709DD92D" w14:textId="77777777" w:rsidR="00E17A99" w:rsidRPr="00A31D7A" w:rsidRDefault="00E17A99" w:rsidP="00E17A99">
      <w:pPr>
        <w:spacing w:line="360" w:lineRule="auto"/>
        <w:contextualSpacing/>
        <w:rPr>
          <w:rFonts w:eastAsia="Calibri" w:cs="Tahoma"/>
        </w:rPr>
      </w:pPr>
    </w:p>
    <w:p w14:paraId="365A8873" w14:textId="0779C82E" w:rsidR="00617DF0" w:rsidRPr="000C5DAA" w:rsidRDefault="00E87B69" w:rsidP="00617DF0">
      <w:pPr>
        <w:spacing w:after="0" w:line="360" w:lineRule="auto"/>
        <w:rPr>
          <w:rFonts w:eastAsia="Calibri" w:cs="Tahoma"/>
          <w:color w:val="000000"/>
        </w:rPr>
      </w:pPr>
      <w:r w:rsidRPr="00A31D7A">
        <w:rPr>
          <w:rFonts w:eastAsia="Times New Roman" w:cs="Tahoma"/>
          <w:b/>
          <w:iCs/>
          <w:color w:val="auto"/>
          <w:lang w:val="es-ES" w:eastAsia="es-ES"/>
        </w:rPr>
        <w:t>d) Acumulación d</w:t>
      </w:r>
      <w:r w:rsidR="00B12F4A" w:rsidRPr="00A31D7A">
        <w:rPr>
          <w:rFonts w:eastAsia="Times New Roman" w:cs="Tahoma"/>
          <w:b/>
          <w:iCs/>
          <w:color w:val="auto"/>
          <w:lang w:val="es-ES" w:eastAsia="es-ES"/>
        </w:rPr>
        <w:t>el Recurso de Revisión</w:t>
      </w:r>
      <w:r w:rsidRPr="00A31D7A">
        <w:rPr>
          <w:rFonts w:eastAsia="Times New Roman" w:cs="Tahoma"/>
          <w:b/>
          <w:iCs/>
          <w:color w:val="auto"/>
          <w:lang w:val="es-ES" w:eastAsia="es-ES"/>
        </w:rPr>
        <w:t>.</w:t>
      </w:r>
      <w:r>
        <w:rPr>
          <w:rFonts w:eastAsia="Times New Roman" w:cs="Tahoma"/>
          <w:bCs/>
          <w:iCs/>
          <w:color w:val="auto"/>
          <w:lang w:val="es-ES" w:eastAsia="es-ES"/>
        </w:rPr>
        <w:t xml:space="preserve"> El </w:t>
      </w:r>
      <w:r w:rsidR="00891B54">
        <w:rPr>
          <w:rFonts w:eastAsia="Times New Roman" w:cs="Tahoma"/>
          <w:bCs/>
          <w:iCs/>
          <w:color w:val="auto"/>
          <w:lang w:val="es-ES" w:eastAsia="es-ES"/>
        </w:rPr>
        <w:t>doce</w:t>
      </w:r>
      <w:r>
        <w:rPr>
          <w:rFonts w:eastAsia="Times New Roman" w:cs="Tahoma"/>
          <w:bCs/>
          <w:iCs/>
          <w:color w:val="auto"/>
          <w:lang w:val="es-ES" w:eastAsia="es-ES"/>
        </w:rPr>
        <w:t xml:space="preserve"> de </w:t>
      </w:r>
      <w:r w:rsidR="00891B54">
        <w:rPr>
          <w:rFonts w:eastAsia="Times New Roman" w:cs="Tahoma"/>
          <w:bCs/>
          <w:iCs/>
          <w:color w:val="auto"/>
          <w:lang w:val="es-ES" w:eastAsia="es-ES"/>
        </w:rPr>
        <w:t xml:space="preserve">enero </w:t>
      </w:r>
      <w:r>
        <w:rPr>
          <w:rFonts w:eastAsia="Times New Roman" w:cs="Tahoma"/>
          <w:bCs/>
          <w:iCs/>
          <w:color w:val="auto"/>
          <w:lang w:val="es-ES" w:eastAsia="es-ES"/>
        </w:rPr>
        <w:t>de dos mil veint</w:t>
      </w:r>
      <w:r w:rsidR="00904DE1">
        <w:rPr>
          <w:rFonts w:eastAsia="Times New Roman" w:cs="Tahoma"/>
          <w:bCs/>
          <w:iCs/>
          <w:color w:val="auto"/>
          <w:lang w:val="es-ES" w:eastAsia="es-ES"/>
        </w:rPr>
        <w:t>idós</w:t>
      </w:r>
      <w:r>
        <w:rPr>
          <w:rFonts w:eastAsia="Times New Roman" w:cs="Tahoma"/>
          <w:bCs/>
          <w:iCs/>
          <w:color w:val="auto"/>
          <w:lang w:val="es-ES" w:eastAsia="es-ES"/>
        </w:rPr>
        <w:t xml:space="preserve">, el Pleno del Instituto, acordó la acumulación de los Recursos de Revisión </w:t>
      </w:r>
      <w:r w:rsidRPr="00DB12DB">
        <w:rPr>
          <w:rFonts w:eastAsia="Batang" w:cs="Tahoma"/>
          <w:b/>
          <w:bCs/>
          <w:color w:val="000000"/>
        </w:rPr>
        <w:t>0492</w:t>
      </w:r>
      <w:r>
        <w:rPr>
          <w:rFonts w:eastAsia="Batang" w:cs="Tahoma"/>
          <w:b/>
          <w:bCs/>
          <w:color w:val="000000"/>
        </w:rPr>
        <w:t>8</w:t>
      </w:r>
      <w:r w:rsidRPr="00DB12DB">
        <w:rPr>
          <w:rFonts w:eastAsia="Batang" w:cs="Tahoma"/>
          <w:b/>
          <w:bCs/>
          <w:color w:val="000000"/>
        </w:rPr>
        <w:t>/INFOEM/IP/RR/2021</w:t>
      </w:r>
      <w:r>
        <w:rPr>
          <w:rFonts w:eastAsia="Batang" w:cs="Tahoma"/>
          <w:b/>
          <w:bCs/>
          <w:color w:val="000000"/>
        </w:rPr>
        <w:t xml:space="preserve"> al diverso </w:t>
      </w:r>
      <w:r w:rsidRPr="00DB12DB">
        <w:rPr>
          <w:rFonts w:eastAsia="Batang" w:cs="Tahoma"/>
          <w:b/>
          <w:bCs/>
          <w:color w:val="000000"/>
        </w:rPr>
        <w:t>0492</w:t>
      </w:r>
      <w:r>
        <w:rPr>
          <w:rFonts w:eastAsia="Batang" w:cs="Tahoma"/>
          <w:b/>
          <w:bCs/>
          <w:color w:val="000000"/>
        </w:rPr>
        <w:t>6</w:t>
      </w:r>
      <w:r w:rsidRPr="00DB12DB">
        <w:rPr>
          <w:rFonts w:eastAsia="Batang" w:cs="Tahoma"/>
          <w:b/>
          <w:bCs/>
          <w:color w:val="000000"/>
        </w:rPr>
        <w:t>/INFOEM/IP/RR/2021</w:t>
      </w:r>
      <w:r>
        <w:rPr>
          <w:rFonts w:eastAsia="Batang" w:cs="Tahoma"/>
          <w:b/>
          <w:bCs/>
          <w:color w:val="000000"/>
        </w:rPr>
        <w:t xml:space="preserve">, </w:t>
      </w:r>
      <w:r w:rsidR="00617DF0" w:rsidRPr="000C5DAA">
        <w:rPr>
          <w:rFonts w:eastAsia="Calibri" w:cs="Tahoma"/>
          <w:color w:val="000000"/>
        </w:rPr>
        <w:t xml:space="preserve">advirtió conexidad entre estos, al haber sido promovidos por la misma persona, en los que se señaló como dependencia o entidad recurrida al </w:t>
      </w:r>
      <w:r w:rsidR="00617DF0" w:rsidRPr="000C5DAA">
        <w:rPr>
          <w:rFonts w:eastAsia="Calibri" w:cs="Tahoma"/>
          <w:b/>
          <w:bCs/>
          <w:color w:val="000000"/>
        </w:rPr>
        <w:t xml:space="preserve">Ayuntamiento de </w:t>
      </w:r>
      <w:r w:rsidR="00617DF0">
        <w:rPr>
          <w:rFonts w:eastAsia="Calibri" w:cs="Tahoma"/>
          <w:b/>
          <w:bCs/>
          <w:color w:val="000000"/>
        </w:rPr>
        <w:t>Tezoyuca</w:t>
      </w:r>
      <w:r w:rsidR="00617DF0" w:rsidRPr="000C5DAA">
        <w:rPr>
          <w:rFonts w:eastAsia="Calibri" w:cs="Tahoma"/>
          <w:color w:val="000000"/>
        </w:rPr>
        <w:t xml:space="preserve">; por lo que,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00617DF0" w:rsidRPr="000C5DAA">
        <w:rPr>
          <w:rFonts w:eastAsia="Calibri" w:cs="Tahoma"/>
          <w:b/>
          <w:bCs/>
          <w:color w:val="000000"/>
        </w:rPr>
        <w:t xml:space="preserve">decretó </w:t>
      </w:r>
      <w:r w:rsidR="00617DF0" w:rsidRPr="000C5DAA">
        <w:rPr>
          <w:rFonts w:eastAsia="Calibri" w:cs="Tahoma"/>
          <w:color w:val="000000"/>
        </w:rPr>
        <w:t>la acumulación de dichos Recursos de Revisión</w:t>
      </w:r>
      <w:r w:rsidR="00617DF0" w:rsidRPr="000C5DAA">
        <w:rPr>
          <w:rFonts w:eastAsia="Calibri" w:cs="Tahoma"/>
          <w:b/>
          <w:bCs/>
          <w:color w:val="000000"/>
        </w:rPr>
        <w:t>.</w:t>
      </w:r>
    </w:p>
    <w:p w14:paraId="7FBEF934" w14:textId="269B7EC1" w:rsidR="00E17A99" w:rsidRPr="00E17A99" w:rsidRDefault="00E17A99" w:rsidP="00E17A99">
      <w:pPr>
        <w:spacing w:line="360" w:lineRule="auto"/>
        <w:contextualSpacing/>
        <w:rPr>
          <w:rFonts w:eastAsia="Batang" w:cs="Tahoma"/>
          <w:bCs/>
          <w:highlight w:val="yellow"/>
          <w:lang w:val="es-ES_tradnl"/>
        </w:rPr>
      </w:pPr>
    </w:p>
    <w:p w14:paraId="3F079DDB" w14:textId="112BC69A" w:rsidR="00E17A99" w:rsidRDefault="001C3B04" w:rsidP="00E17A99">
      <w:pPr>
        <w:spacing w:after="0" w:line="360" w:lineRule="auto"/>
        <w:rPr>
          <w:rFonts w:eastAsia="Times New Roman" w:cs="Tahoma"/>
          <w:color w:val="auto"/>
          <w:szCs w:val="24"/>
          <w:lang w:val="es-ES" w:eastAsia="es-ES"/>
        </w:rPr>
      </w:pPr>
      <w:r w:rsidRPr="00DA6104">
        <w:rPr>
          <w:rFonts w:eastAsia="Times New Roman" w:cs="Tahoma"/>
          <w:b/>
          <w:color w:val="auto"/>
          <w:szCs w:val="24"/>
          <w:lang w:eastAsia="es-ES"/>
        </w:rPr>
        <w:t>e</w:t>
      </w:r>
      <w:r w:rsidR="00E17A99" w:rsidRPr="00DA6104">
        <w:rPr>
          <w:rFonts w:eastAsia="Times New Roman" w:cs="Tahoma"/>
          <w:b/>
          <w:color w:val="auto"/>
          <w:szCs w:val="24"/>
          <w:lang w:eastAsia="es-ES"/>
        </w:rPr>
        <w:t>) Cierre de instrucción.</w:t>
      </w:r>
      <w:r w:rsidR="00E17A99" w:rsidRPr="00DA6104">
        <w:rPr>
          <w:rFonts w:eastAsia="Times New Roman" w:cs="Tahoma"/>
          <w:color w:val="auto"/>
          <w:szCs w:val="24"/>
          <w:lang w:eastAsia="es-ES"/>
        </w:rPr>
        <w:t xml:space="preserve"> El </w:t>
      </w:r>
      <w:r w:rsidR="00617DF0">
        <w:rPr>
          <w:rFonts w:eastAsia="Times New Roman" w:cs="Tahoma"/>
          <w:color w:val="auto"/>
          <w:szCs w:val="24"/>
          <w:lang w:eastAsia="es-ES"/>
        </w:rPr>
        <w:t>trece</w:t>
      </w:r>
      <w:r w:rsidR="00E17A99" w:rsidRPr="00DA6104">
        <w:rPr>
          <w:rFonts w:eastAsia="Times New Roman" w:cs="Tahoma"/>
          <w:color w:val="auto"/>
          <w:szCs w:val="24"/>
          <w:lang w:eastAsia="es-ES"/>
        </w:rPr>
        <w:t xml:space="preserve"> de </w:t>
      </w:r>
      <w:r w:rsidR="00904DE1" w:rsidRPr="00DA6104">
        <w:rPr>
          <w:rFonts w:eastAsia="Times New Roman" w:cs="Tahoma"/>
          <w:color w:val="auto"/>
          <w:szCs w:val="24"/>
          <w:lang w:eastAsia="es-ES"/>
        </w:rPr>
        <w:t>enero</w:t>
      </w:r>
      <w:r w:rsidR="00E17A99" w:rsidRPr="00DA6104">
        <w:rPr>
          <w:rFonts w:eastAsia="Times New Roman" w:cs="Tahoma"/>
          <w:color w:val="auto"/>
          <w:szCs w:val="24"/>
          <w:lang w:eastAsia="es-ES"/>
        </w:rPr>
        <w:t xml:space="preserve"> de dos mil veinti</w:t>
      </w:r>
      <w:r w:rsidR="00904DE1" w:rsidRPr="00DA6104">
        <w:rPr>
          <w:rFonts w:eastAsia="Times New Roman" w:cs="Tahoma"/>
          <w:color w:val="auto"/>
          <w:szCs w:val="24"/>
          <w:lang w:eastAsia="es-ES"/>
        </w:rPr>
        <w:t>dós</w:t>
      </w:r>
      <w:r w:rsidR="00E17A99" w:rsidRPr="00DA6104">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00E17A99" w:rsidRPr="00DA6104">
        <w:rPr>
          <w:rFonts w:eastAsia="Times New Roman" w:cs="Tahoma"/>
          <w:color w:val="auto"/>
          <w:szCs w:val="24"/>
          <w:lang w:eastAsia="es-ES"/>
        </w:rPr>
        <w:lastRenderedPageBreak/>
        <w:t xml:space="preserve">Pública del Estado de México y Municipios, mismo que fue notificado a las partes el mismo día, a través del </w:t>
      </w:r>
      <w:r w:rsidR="00E17A99" w:rsidRPr="00DA6104">
        <w:rPr>
          <w:rFonts w:eastAsia="Times New Roman" w:cs="Tahoma"/>
          <w:color w:val="auto"/>
          <w:szCs w:val="20"/>
          <w:lang w:val="es-ES" w:eastAsia="es-ES"/>
        </w:rPr>
        <w:t>Sistema de Acceso a la Información Mexiquense (SAIMEX)</w:t>
      </w:r>
      <w:r w:rsidR="00E17A99" w:rsidRPr="00DA6104">
        <w:rPr>
          <w:rFonts w:eastAsia="Times New Roman" w:cs="Tahoma"/>
          <w:color w:val="auto"/>
          <w:szCs w:val="24"/>
          <w:lang w:eastAsia="es-ES"/>
        </w:rPr>
        <w:t>.</w:t>
      </w:r>
    </w:p>
    <w:p w14:paraId="55938015" w14:textId="77777777" w:rsidR="00051642" w:rsidRDefault="00051642" w:rsidP="008567E8">
      <w:pPr>
        <w:spacing w:after="0" w:line="360" w:lineRule="auto"/>
        <w:rPr>
          <w:rFonts w:eastAsia="Times New Roman" w:cs="Tahoma"/>
          <w:color w:val="auto"/>
          <w:szCs w:val="24"/>
          <w:lang w:eastAsia="es-ES"/>
        </w:rPr>
      </w:pPr>
    </w:p>
    <w:p w14:paraId="6984A8D2" w14:textId="0516653D" w:rsidR="00051642" w:rsidRDefault="00051642" w:rsidP="008567E8">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576EBA24" w14:textId="77777777" w:rsidR="00617DF0" w:rsidRPr="00A31D7A" w:rsidRDefault="00617DF0" w:rsidP="008567E8">
      <w:pPr>
        <w:spacing w:after="0" w:line="360" w:lineRule="auto"/>
        <w:rPr>
          <w:rFonts w:eastAsia="Times New Roman" w:cs="Tahoma"/>
          <w:color w:val="000000"/>
          <w:szCs w:val="24"/>
          <w:lang w:eastAsia="es-ES"/>
        </w:rPr>
      </w:pPr>
    </w:p>
    <w:p w14:paraId="30D206CA" w14:textId="2D3649EB" w:rsidR="00051642" w:rsidRPr="006B4CAC" w:rsidRDefault="00051642" w:rsidP="008567E8">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52BDDA28" w14:textId="77777777" w:rsidR="00D903F5" w:rsidRDefault="00D903F5" w:rsidP="008567E8">
      <w:pPr>
        <w:autoSpaceDE w:val="0"/>
        <w:autoSpaceDN w:val="0"/>
        <w:adjustRightInd w:val="0"/>
        <w:spacing w:after="0" w:line="360" w:lineRule="auto"/>
        <w:rPr>
          <w:rFonts w:eastAsia="Calibri" w:cs="Tahoma"/>
          <w:b/>
          <w:color w:val="000000"/>
          <w:szCs w:val="24"/>
          <w:lang w:val="es-ES" w:eastAsia="es-MX"/>
        </w:rPr>
      </w:pPr>
    </w:p>
    <w:p w14:paraId="045B3F37" w14:textId="798DDF56" w:rsidR="00051642" w:rsidRPr="003D5B55" w:rsidRDefault="00051642" w:rsidP="008567E8">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3B94CD90" w14:textId="77777777" w:rsidR="00051642" w:rsidRPr="003D5B55" w:rsidRDefault="00051642" w:rsidP="008567E8">
      <w:pPr>
        <w:autoSpaceDE w:val="0"/>
        <w:autoSpaceDN w:val="0"/>
        <w:adjustRightInd w:val="0"/>
        <w:spacing w:after="0" w:line="360" w:lineRule="auto"/>
        <w:rPr>
          <w:rFonts w:eastAsia="Times New Roman" w:cs="Tahoma"/>
          <w:b/>
          <w:color w:val="auto"/>
          <w:szCs w:val="24"/>
          <w:lang w:val="es-ES" w:eastAsia="es-ES"/>
        </w:rPr>
      </w:pPr>
    </w:p>
    <w:p w14:paraId="569EEA13" w14:textId="77777777" w:rsidR="00051642" w:rsidRDefault="00051642" w:rsidP="008567E8">
      <w:pPr>
        <w:spacing w:after="0" w:line="360" w:lineRule="auto"/>
        <w:rPr>
          <w:rFonts w:eastAsia="Times New Roman" w:cs="Tahoma"/>
          <w:bCs/>
          <w:color w:val="auto"/>
          <w:lang w:eastAsia="es-ES"/>
        </w:rPr>
      </w:pPr>
      <w:bookmarkStart w:id="12"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12"/>
    </w:p>
    <w:p w14:paraId="2986AFCC" w14:textId="77777777" w:rsidR="00051642" w:rsidRPr="003D5B55" w:rsidRDefault="00051642" w:rsidP="008567E8">
      <w:pPr>
        <w:spacing w:after="0" w:line="360" w:lineRule="auto"/>
      </w:pPr>
    </w:p>
    <w:p w14:paraId="2F12F73B" w14:textId="77777777" w:rsidR="00051642" w:rsidRDefault="00051642" w:rsidP="008567E8">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05A36F46" w14:textId="77777777" w:rsidR="00051642" w:rsidRPr="003D5B55" w:rsidRDefault="00051642" w:rsidP="008567E8">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3D5B55" w:rsidRDefault="00051642" w:rsidP="008567E8">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lastRenderedPageBreak/>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B4EC976" w14:textId="77777777" w:rsidR="00051642" w:rsidRPr="003D5B55" w:rsidRDefault="00051642" w:rsidP="008567E8">
      <w:pPr>
        <w:autoSpaceDE w:val="0"/>
        <w:autoSpaceDN w:val="0"/>
        <w:adjustRightInd w:val="0"/>
        <w:spacing w:after="0" w:line="360" w:lineRule="auto"/>
        <w:rPr>
          <w:rFonts w:eastAsia="Times New Roman" w:cs="Tahoma"/>
          <w:color w:val="auto"/>
          <w:szCs w:val="24"/>
          <w:lang w:val="es-ES" w:eastAsia="es-ES"/>
        </w:rPr>
      </w:pPr>
    </w:p>
    <w:p w14:paraId="28939114" w14:textId="77777777" w:rsidR="00051642" w:rsidRDefault="00051642" w:rsidP="008567E8">
      <w:pPr>
        <w:spacing w:after="0" w:line="360" w:lineRule="auto"/>
        <w:rPr>
          <w:b/>
          <w:lang w:val="es-ES"/>
        </w:rPr>
      </w:pPr>
      <w:r w:rsidRPr="003D5B55">
        <w:rPr>
          <w:b/>
          <w:lang w:val="es-ES"/>
        </w:rPr>
        <w:t>Causales de improcedencia</w:t>
      </w:r>
    </w:p>
    <w:p w14:paraId="4031849B" w14:textId="77777777" w:rsidR="00051642" w:rsidRPr="003D5B55" w:rsidRDefault="00051642" w:rsidP="008567E8">
      <w:pPr>
        <w:spacing w:after="0" w:line="360" w:lineRule="auto"/>
      </w:pPr>
    </w:p>
    <w:p w14:paraId="46B90E11" w14:textId="77777777" w:rsidR="00051642" w:rsidRPr="003D5B55" w:rsidRDefault="00051642" w:rsidP="008567E8">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5D8143" w14:textId="77777777" w:rsidR="00051642" w:rsidRPr="003D5B55" w:rsidRDefault="00051642" w:rsidP="008567E8">
      <w:pPr>
        <w:spacing w:after="0" w:line="360" w:lineRule="auto"/>
        <w:rPr>
          <w:rFonts w:eastAsia="Times New Roman" w:cs="Tahoma"/>
          <w:color w:val="auto"/>
          <w:lang w:eastAsia="es-ES"/>
        </w:rPr>
      </w:pPr>
    </w:p>
    <w:p w14:paraId="5234AE12" w14:textId="77777777" w:rsidR="00051642" w:rsidRPr="003D5B55" w:rsidRDefault="00051642" w:rsidP="008567E8">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A06D45C" w14:textId="77777777" w:rsidR="00051642" w:rsidRPr="003D5B55" w:rsidRDefault="00051642" w:rsidP="008567E8">
      <w:pPr>
        <w:spacing w:after="0" w:line="360" w:lineRule="auto"/>
        <w:rPr>
          <w:rFonts w:eastAsia="Times New Roman" w:cs="Tahoma"/>
          <w:color w:val="auto"/>
          <w:lang w:eastAsia="es-ES"/>
        </w:rPr>
      </w:pPr>
    </w:p>
    <w:p w14:paraId="51B6D5E4" w14:textId="77777777" w:rsidR="00E77637" w:rsidRPr="005F3C22" w:rsidRDefault="00E77637" w:rsidP="00E77637">
      <w:pPr>
        <w:spacing w:after="0" w:line="360" w:lineRule="auto"/>
        <w:rPr>
          <w:rFonts w:eastAsia="Times New Roman" w:cs="Tahoma"/>
          <w:bCs/>
          <w:color w:val="000000"/>
          <w:lang w:eastAsia="es-ES"/>
        </w:rPr>
      </w:pPr>
      <w:bookmarkStart w:id="13" w:name="_Hlk52476887"/>
      <w:r w:rsidRPr="005F3C22">
        <w:rPr>
          <w:rFonts w:eastAsia="Times New Roman" w:cs="Tahoma"/>
          <w:bCs/>
          <w:color w:val="000000"/>
          <w:lang w:eastAsia="es-ES"/>
        </w:rPr>
        <w:t>Asimismo, del artículo 179, fracción VII, de la Ley de Transparencia y Acceso a la Información Pública del Estado de México y Municipios, se puede advertir que el Recurso de Revisión es procedente, entre otras cosas, cuando el Particular, se inconforme con la falta de respuesta a una solicitud de información.</w:t>
      </w:r>
    </w:p>
    <w:p w14:paraId="6E3868A9" w14:textId="77777777" w:rsidR="00E77637" w:rsidRPr="005F3C22" w:rsidRDefault="00E77637" w:rsidP="00E77637">
      <w:pPr>
        <w:spacing w:after="0" w:line="360" w:lineRule="auto"/>
        <w:rPr>
          <w:rFonts w:eastAsia="Times New Roman" w:cs="Tahoma"/>
          <w:bCs/>
          <w:color w:val="000000"/>
          <w:lang w:eastAsia="es-ES"/>
        </w:rPr>
      </w:pPr>
    </w:p>
    <w:p w14:paraId="05141DA0" w14:textId="73310204" w:rsidR="00E77637" w:rsidRPr="005F3C22" w:rsidRDefault="00E77637" w:rsidP="00E77637">
      <w:pPr>
        <w:spacing w:after="0" w:line="360" w:lineRule="auto"/>
        <w:rPr>
          <w:rFonts w:eastAsia="Times New Roman" w:cs="Tahoma"/>
          <w:bCs/>
          <w:color w:val="000000"/>
          <w:lang w:eastAsia="es-ES"/>
        </w:rPr>
      </w:pPr>
      <w:r w:rsidRPr="005F3C22">
        <w:rPr>
          <w:rFonts w:eastAsia="Times New Roman" w:cs="Tahoma"/>
          <w:bCs/>
          <w:color w:val="000000"/>
          <w:lang w:eastAsia="es-ES"/>
        </w:rPr>
        <w:lastRenderedPageBreak/>
        <w:t xml:space="preserve">Además, el último párrafo, de dicho artículo, establece que procede un Medio de Impugnación, en contra </w:t>
      </w:r>
      <w:r>
        <w:rPr>
          <w:rFonts w:eastAsia="Times New Roman" w:cs="Tahoma"/>
          <w:bCs/>
          <w:color w:val="000000"/>
          <w:lang w:eastAsia="es-ES"/>
        </w:rPr>
        <w:t>de la respuesta o falta de esta</w:t>
      </w:r>
      <w:r w:rsidRPr="005F3C22">
        <w:rPr>
          <w:rFonts w:eastAsia="Times New Roman" w:cs="Tahoma"/>
          <w:bCs/>
          <w:color w:val="000000"/>
          <w:lang w:eastAsia="es-ES"/>
        </w:rPr>
        <w:t xml:space="preserve"> por</w:t>
      </w:r>
      <w:r>
        <w:rPr>
          <w:rFonts w:eastAsia="Times New Roman" w:cs="Tahoma"/>
          <w:bCs/>
          <w:color w:val="000000"/>
          <w:lang w:eastAsia="es-ES"/>
        </w:rPr>
        <w:t xml:space="preserve"> parte de</w:t>
      </w:r>
      <w:r w:rsidRPr="005F3C22">
        <w:rPr>
          <w:rFonts w:eastAsia="Times New Roman" w:cs="Tahoma"/>
          <w:bCs/>
          <w:color w:val="000000"/>
          <w:lang w:eastAsia="es-ES"/>
        </w:rPr>
        <w:t xml:space="preserve"> los sujetos obligados, en cumplimiento a una resolución de otro diverso, en el cual, la contro</w:t>
      </w:r>
      <w:r w:rsidR="00D06800">
        <w:rPr>
          <w:rFonts w:eastAsia="Times New Roman" w:cs="Tahoma"/>
          <w:bCs/>
          <w:color w:val="000000"/>
          <w:lang w:eastAsia="es-ES"/>
        </w:rPr>
        <w:t xml:space="preserve">versia recaiga, en la falta de </w:t>
      </w:r>
      <w:proofErr w:type="spellStart"/>
      <w:r w:rsidR="00D06800">
        <w:rPr>
          <w:rFonts w:eastAsia="Times New Roman" w:cs="Tahoma"/>
          <w:bCs/>
          <w:color w:val="000000"/>
          <w:lang w:eastAsia="es-ES"/>
        </w:rPr>
        <w:t>cotestación</w:t>
      </w:r>
      <w:proofErr w:type="spellEnd"/>
      <w:r w:rsidRPr="005F3C22">
        <w:rPr>
          <w:rFonts w:eastAsia="Times New Roman" w:cs="Tahoma"/>
          <w:bCs/>
          <w:color w:val="000000"/>
          <w:lang w:eastAsia="es-ES"/>
        </w:rPr>
        <w:t xml:space="preserve"> a una solicitud de acceso a la información</w:t>
      </w:r>
      <w:r>
        <w:rPr>
          <w:rFonts w:eastAsia="Times New Roman" w:cs="Tahoma"/>
          <w:bCs/>
          <w:color w:val="000000"/>
          <w:lang w:eastAsia="es-ES"/>
        </w:rPr>
        <w:t>.</w:t>
      </w:r>
    </w:p>
    <w:p w14:paraId="6FC12AE9" w14:textId="77777777" w:rsidR="00E77637" w:rsidRPr="005F3C22" w:rsidRDefault="00E77637" w:rsidP="00E77637">
      <w:pPr>
        <w:spacing w:after="0" w:line="360" w:lineRule="auto"/>
        <w:rPr>
          <w:rFonts w:eastAsia="Times New Roman" w:cs="Tahoma"/>
          <w:bCs/>
          <w:color w:val="000000"/>
          <w:lang w:eastAsia="es-ES"/>
        </w:rPr>
      </w:pPr>
    </w:p>
    <w:p w14:paraId="609817CA" w14:textId="7601C5DF" w:rsidR="00E77637" w:rsidRPr="005F3C22" w:rsidRDefault="00E77637" w:rsidP="00E77637">
      <w:pPr>
        <w:spacing w:after="0" w:line="360" w:lineRule="auto"/>
        <w:rPr>
          <w:rFonts w:eastAsia="Times New Roman" w:cs="Tahoma"/>
          <w:bCs/>
          <w:color w:val="000000"/>
          <w:lang w:eastAsia="es-ES"/>
        </w:rPr>
      </w:pPr>
      <w:r w:rsidRPr="005F3C22">
        <w:rPr>
          <w:rFonts w:eastAsia="Times New Roman" w:cs="Tahoma"/>
          <w:bCs/>
          <w:color w:val="000000"/>
          <w:lang w:eastAsia="es-ES"/>
        </w:rPr>
        <w:t>En ese orden de ideas, cabe referir que en el expediente con número de folio 0</w:t>
      </w:r>
      <w:r w:rsidR="00D06800">
        <w:rPr>
          <w:rFonts w:eastAsia="Times New Roman" w:cs="Tahoma"/>
          <w:bCs/>
          <w:color w:val="000000"/>
          <w:lang w:eastAsia="es-ES"/>
        </w:rPr>
        <w:t>4926</w:t>
      </w:r>
      <w:r w:rsidRPr="005F3C22">
        <w:rPr>
          <w:rFonts w:eastAsia="Times New Roman" w:cs="Tahoma"/>
          <w:bCs/>
          <w:color w:val="000000"/>
          <w:lang w:eastAsia="es-ES"/>
        </w:rPr>
        <w:t>/INFOEM/IP/RR/2021</w:t>
      </w:r>
      <w:r>
        <w:rPr>
          <w:rFonts w:eastAsia="Times New Roman" w:cs="Tahoma"/>
          <w:bCs/>
          <w:color w:val="000000"/>
          <w:lang w:eastAsia="es-ES"/>
        </w:rPr>
        <w:t xml:space="preserve"> y acumulado</w:t>
      </w:r>
      <w:r w:rsidRPr="005F3C22">
        <w:rPr>
          <w:rFonts w:eastAsia="Times New Roman" w:cs="Tahoma"/>
          <w:bCs/>
          <w:color w:val="000000"/>
          <w:lang w:eastAsia="es-ES"/>
        </w:rPr>
        <w:t xml:space="preserve">, se dictó Resolución, en la cual se determinó como causal de procedencia, la fracción VII, del artículo 179 de la Ley de Transparencia y Acceso a la Información Pública del Estado de </w:t>
      </w:r>
      <w:r w:rsidR="00D06800">
        <w:rPr>
          <w:rFonts w:eastAsia="Times New Roman" w:cs="Tahoma"/>
          <w:bCs/>
          <w:color w:val="000000"/>
          <w:lang w:eastAsia="es-ES"/>
        </w:rPr>
        <w:t>México y Municipios, es decir,</w:t>
      </w:r>
      <w:r w:rsidRPr="005F3C22">
        <w:rPr>
          <w:rFonts w:eastAsia="Times New Roman" w:cs="Tahoma"/>
          <w:bCs/>
          <w:color w:val="000000"/>
          <w:lang w:eastAsia="es-ES"/>
        </w:rPr>
        <w:t xml:space="preserve"> la falta de </w:t>
      </w:r>
      <w:r>
        <w:rPr>
          <w:rFonts w:eastAsia="Times New Roman" w:cs="Tahoma"/>
          <w:bCs/>
          <w:color w:val="000000"/>
          <w:lang w:eastAsia="es-ES"/>
        </w:rPr>
        <w:t>constatación</w:t>
      </w:r>
      <w:r w:rsidRPr="005F3C22">
        <w:rPr>
          <w:rFonts w:eastAsia="Times New Roman" w:cs="Tahoma"/>
          <w:bCs/>
          <w:color w:val="000000"/>
          <w:lang w:eastAsia="es-ES"/>
        </w:rPr>
        <w:t xml:space="preserve"> </w:t>
      </w:r>
      <w:r w:rsidR="00D06800">
        <w:rPr>
          <w:rFonts w:eastAsia="Times New Roman" w:cs="Tahoma"/>
          <w:bCs/>
          <w:color w:val="000000"/>
          <w:lang w:eastAsia="es-ES"/>
        </w:rPr>
        <w:t>a un</w:t>
      </w:r>
      <w:r>
        <w:rPr>
          <w:rFonts w:eastAsia="Times New Roman" w:cs="Tahoma"/>
          <w:bCs/>
          <w:color w:val="000000"/>
          <w:lang w:eastAsia="es-ES"/>
        </w:rPr>
        <w:t xml:space="preserve"> requerimiento de información</w:t>
      </w:r>
      <w:r w:rsidRPr="005F3C22">
        <w:rPr>
          <w:rFonts w:eastAsia="Times New Roman" w:cs="Tahoma"/>
          <w:bCs/>
          <w:color w:val="000000"/>
          <w:lang w:eastAsia="es-ES"/>
        </w:rPr>
        <w:t xml:space="preserve">; además, se concluyó </w:t>
      </w:r>
      <w:r w:rsidRPr="005F3C22">
        <w:rPr>
          <w:rFonts w:eastAsia="Times New Roman" w:cs="Tahoma"/>
          <w:b/>
          <w:color w:val="000000"/>
          <w:lang w:eastAsia="es-ES"/>
        </w:rPr>
        <w:t xml:space="preserve">ORDENAR </w:t>
      </w:r>
      <w:r w:rsidRPr="005F3C22">
        <w:rPr>
          <w:rFonts w:eastAsia="Times New Roman" w:cs="Tahoma"/>
          <w:bCs/>
          <w:color w:val="000000"/>
          <w:lang w:eastAsia="es-ES"/>
        </w:rPr>
        <w:t xml:space="preserve">al Ayuntamiento de </w:t>
      </w:r>
      <w:r w:rsidR="00D06800">
        <w:rPr>
          <w:rFonts w:eastAsia="Times New Roman" w:cs="Tahoma"/>
          <w:bCs/>
          <w:color w:val="000000"/>
          <w:lang w:eastAsia="es-ES"/>
        </w:rPr>
        <w:t>Tezoyuca</w:t>
      </w:r>
      <w:r w:rsidRPr="005F3C22">
        <w:rPr>
          <w:rFonts w:eastAsia="Times New Roman" w:cs="Tahoma"/>
          <w:bCs/>
          <w:color w:val="000000"/>
          <w:lang w:eastAsia="es-ES"/>
        </w:rPr>
        <w:t>, a través del Sistema de Acceso a la Información Mexiquense (SAIMEX),</w:t>
      </w:r>
      <w:r w:rsidR="00D06800">
        <w:rPr>
          <w:rFonts w:eastAsia="Times New Roman" w:cs="Tahoma"/>
          <w:bCs/>
          <w:color w:val="000000"/>
          <w:lang w:eastAsia="es-ES"/>
        </w:rPr>
        <w:t xml:space="preserve"> a</w:t>
      </w:r>
      <w:r w:rsidRPr="005F3C22">
        <w:rPr>
          <w:rFonts w:eastAsia="Times New Roman" w:cs="Tahoma"/>
          <w:bCs/>
          <w:color w:val="000000"/>
          <w:lang w:eastAsia="es-ES"/>
        </w:rPr>
        <w:t xml:space="preserve"> dar trámite y respuesta a la</w:t>
      </w:r>
      <w:r>
        <w:rPr>
          <w:rFonts w:eastAsia="Times New Roman" w:cs="Tahoma"/>
          <w:bCs/>
          <w:color w:val="000000"/>
          <w:lang w:eastAsia="es-ES"/>
        </w:rPr>
        <w:t>s</w:t>
      </w:r>
      <w:r w:rsidRPr="005F3C22">
        <w:rPr>
          <w:rFonts w:eastAsia="Times New Roman" w:cs="Tahoma"/>
          <w:bCs/>
          <w:color w:val="000000"/>
          <w:lang w:eastAsia="es-ES"/>
        </w:rPr>
        <w:t xml:space="preserve"> solicitud</w:t>
      </w:r>
      <w:r>
        <w:rPr>
          <w:rFonts w:eastAsia="Times New Roman" w:cs="Tahoma"/>
          <w:bCs/>
          <w:color w:val="000000"/>
          <w:lang w:eastAsia="es-ES"/>
        </w:rPr>
        <w:t>es</w:t>
      </w:r>
      <w:r w:rsidRPr="005F3C22">
        <w:rPr>
          <w:rFonts w:eastAsia="Times New Roman" w:cs="Tahoma"/>
          <w:bCs/>
          <w:color w:val="000000"/>
          <w:lang w:eastAsia="es-ES"/>
        </w:rPr>
        <w:t xml:space="preserve"> de información.</w:t>
      </w:r>
    </w:p>
    <w:p w14:paraId="45D596FF" w14:textId="77777777" w:rsidR="00E77637" w:rsidRPr="005F3C22" w:rsidRDefault="00E77637" w:rsidP="00E77637">
      <w:pPr>
        <w:spacing w:after="0" w:line="360" w:lineRule="auto"/>
        <w:rPr>
          <w:rFonts w:eastAsia="Times New Roman" w:cs="Tahoma"/>
          <w:bCs/>
          <w:color w:val="000000"/>
          <w:lang w:eastAsia="es-ES"/>
        </w:rPr>
      </w:pPr>
    </w:p>
    <w:bookmarkEnd w:id="13"/>
    <w:p w14:paraId="2E0E7CB8" w14:textId="08EFA42F" w:rsidR="00E77637" w:rsidRPr="005F3C22" w:rsidRDefault="00E77637" w:rsidP="00E77637">
      <w:pPr>
        <w:spacing w:after="0" w:line="360" w:lineRule="auto"/>
        <w:rPr>
          <w:rFonts w:eastAsia="Times New Roman" w:cs="Tahoma"/>
          <w:bCs/>
          <w:color w:val="000000"/>
          <w:lang w:eastAsia="es-ES"/>
        </w:rPr>
      </w:pPr>
      <w:r w:rsidRPr="005F3C22">
        <w:rPr>
          <w:rFonts w:eastAsia="Times New Roman" w:cs="Tahoma"/>
          <w:color w:val="auto"/>
          <w:lang w:val="es-ES" w:eastAsia="es-ES"/>
        </w:rPr>
        <w:t>Ahora bien, de las constancias que obran en el expediente, se advierte que el Sujeto Obligado omitió dar cumplimiento a la Resolución del Recurso de Revisión referido en el párrafo anterior; así, el ahora Recurrente se inconformó con la falta de contestación, con lo cual, se concluye que se actualiza el último párrafo</w:t>
      </w:r>
      <w:r>
        <w:rPr>
          <w:rFonts w:eastAsia="Times New Roman" w:cs="Tahoma"/>
          <w:color w:val="auto"/>
          <w:lang w:val="es-ES" w:eastAsia="es-ES"/>
        </w:rPr>
        <w:t>,</w:t>
      </w:r>
      <w:r w:rsidRPr="005F3C22">
        <w:rPr>
          <w:rFonts w:eastAsia="Times New Roman" w:cs="Tahoma"/>
          <w:color w:val="auto"/>
          <w:lang w:val="es-ES" w:eastAsia="es-ES"/>
        </w:rPr>
        <w:t xml:space="preserve"> del artículo 179 de la Ley de Transparencia y Acceso a la Información Pública del Estado de México y Municipios, toda vez que la controversia en el Recurso de Revisión </w:t>
      </w:r>
      <w:r w:rsidRPr="005F3C22">
        <w:rPr>
          <w:rFonts w:eastAsia="Times New Roman" w:cs="Tahoma"/>
          <w:bCs/>
          <w:color w:val="000000"/>
          <w:lang w:eastAsia="es-ES"/>
        </w:rPr>
        <w:t>0</w:t>
      </w:r>
      <w:r w:rsidR="00D06800">
        <w:rPr>
          <w:rFonts w:eastAsia="Times New Roman" w:cs="Tahoma"/>
          <w:bCs/>
          <w:color w:val="000000"/>
          <w:lang w:eastAsia="es-ES"/>
        </w:rPr>
        <w:t>4926</w:t>
      </w:r>
      <w:r w:rsidRPr="005F3C22">
        <w:rPr>
          <w:rFonts w:eastAsia="Times New Roman" w:cs="Tahoma"/>
          <w:bCs/>
          <w:color w:val="000000"/>
          <w:lang w:eastAsia="es-ES"/>
        </w:rPr>
        <w:t>/INFOEM/IP/RR/2021</w:t>
      </w:r>
      <w:r w:rsidR="00D06800">
        <w:rPr>
          <w:rFonts w:eastAsia="Times New Roman" w:cs="Tahoma"/>
          <w:bCs/>
          <w:color w:val="000000"/>
          <w:lang w:eastAsia="es-ES"/>
        </w:rPr>
        <w:t xml:space="preserve"> y acumulado</w:t>
      </w:r>
      <w:r w:rsidRPr="005F3C22">
        <w:rPr>
          <w:rFonts w:eastAsia="Times New Roman" w:cs="Tahoma"/>
          <w:bCs/>
          <w:color w:val="000000"/>
          <w:lang w:eastAsia="es-ES"/>
        </w:rPr>
        <w:t xml:space="preserve">, se fijó en la falta de respuesta al requerimiento informativo. </w:t>
      </w:r>
    </w:p>
    <w:p w14:paraId="7CD36EA4" w14:textId="77777777" w:rsidR="00E77637" w:rsidRPr="005F3C22" w:rsidRDefault="00E77637" w:rsidP="00E77637">
      <w:pPr>
        <w:spacing w:after="0" w:line="360" w:lineRule="auto"/>
        <w:rPr>
          <w:rFonts w:eastAsia="Times New Roman" w:cs="Tahoma"/>
          <w:bCs/>
          <w:color w:val="000000"/>
          <w:lang w:eastAsia="es-ES"/>
        </w:rPr>
      </w:pPr>
    </w:p>
    <w:p w14:paraId="56487493" w14:textId="77777777" w:rsidR="00E77637" w:rsidRPr="005F3C22" w:rsidRDefault="00E77637" w:rsidP="00E77637">
      <w:pPr>
        <w:spacing w:after="0" w:line="360" w:lineRule="auto"/>
        <w:rPr>
          <w:rFonts w:eastAsia="Times New Roman" w:cs="Tahoma"/>
          <w:color w:val="auto"/>
          <w:lang w:val="es-ES" w:eastAsia="es-ES"/>
        </w:rPr>
      </w:pPr>
      <w:r w:rsidRPr="005F3C22">
        <w:rPr>
          <w:rFonts w:eastAsia="Times New Roman" w:cs="Tahoma"/>
          <w:color w:val="auto"/>
          <w:lang w:val="es-ES" w:eastAsia="es-ES"/>
        </w:rPr>
        <w:t>Además, en el caso concreto, resulta aplicable el supuesto previsto en la fracción VII, de dicho artículo, dado que el Particular, se inconformó con la reiterada falta de respuesta por parte del Ente Recurrido.</w:t>
      </w:r>
    </w:p>
    <w:p w14:paraId="13780674" w14:textId="77777777" w:rsidR="00051642" w:rsidRPr="003D5B55" w:rsidRDefault="00051642" w:rsidP="008567E8">
      <w:pPr>
        <w:spacing w:after="0" w:line="360" w:lineRule="auto"/>
        <w:rPr>
          <w:rFonts w:eastAsia="Times New Roman" w:cs="Tahoma"/>
          <w:bCs/>
          <w:color w:val="auto"/>
          <w:lang w:val="es-ES" w:eastAsia="es-ES"/>
        </w:rPr>
      </w:pPr>
    </w:p>
    <w:p w14:paraId="7E9C56A5" w14:textId="77777777" w:rsidR="00051642" w:rsidRPr="003D5B55" w:rsidRDefault="00051642" w:rsidP="008567E8">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53E581DC" w14:textId="77777777" w:rsidR="00F90DE8" w:rsidRPr="003D5B55" w:rsidRDefault="00F90DE8" w:rsidP="008567E8">
      <w:pPr>
        <w:spacing w:after="0" w:line="360" w:lineRule="auto"/>
        <w:rPr>
          <w:rFonts w:eastAsia="Times New Roman" w:cs="Tahoma"/>
          <w:bCs/>
          <w:color w:val="0D0D0D" w:themeColor="text1" w:themeTint="F2"/>
          <w:lang w:eastAsia="es-ES"/>
        </w:rPr>
      </w:pPr>
    </w:p>
    <w:p w14:paraId="4CFF9130" w14:textId="77777777" w:rsidR="00051642" w:rsidRPr="003D5B55" w:rsidRDefault="00051642" w:rsidP="008567E8">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lastRenderedPageBreak/>
        <w:t>Por ser de previo y especial pronunciamiento, este Instituto analiza si se actualiza alguna causal de sobreseimiento.</w:t>
      </w:r>
    </w:p>
    <w:p w14:paraId="0371C46B" w14:textId="77777777" w:rsidR="00051642" w:rsidRDefault="00051642" w:rsidP="008567E8">
      <w:pPr>
        <w:spacing w:after="0" w:line="360" w:lineRule="auto"/>
        <w:rPr>
          <w:rFonts w:eastAsia="Times New Roman" w:cs="Tahoma"/>
          <w:bCs/>
          <w:color w:val="0D0D0D" w:themeColor="text1" w:themeTint="F2"/>
          <w:lang w:eastAsia="es-ES"/>
        </w:rPr>
      </w:pPr>
    </w:p>
    <w:p w14:paraId="3E88F884" w14:textId="77777777" w:rsidR="00051642" w:rsidRDefault="00051642" w:rsidP="008567E8">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3D5B55" w:rsidRDefault="00051642" w:rsidP="008567E8">
      <w:pPr>
        <w:spacing w:after="0" w:line="360" w:lineRule="auto"/>
        <w:rPr>
          <w:rFonts w:eastAsia="Times New Roman" w:cs="Tahoma"/>
          <w:color w:val="auto"/>
          <w:szCs w:val="24"/>
          <w:lang w:eastAsia="es-ES"/>
        </w:rPr>
      </w:pPr>
    </w:p>
    <w:p w14:paraId="0C2D0DD7" w14:textId="77777777" w:rsidR="00051642" w:rsidRPr="003D5B55" w:rsidRDefault="00051642" w:rsidP="008567E8">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37789B71" w14:textId="77777777" w:rsidR="00051642" w:rsidRPr="003D5B55" w:rsidRDefault="00051642" w:rsidP="008567E8">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Pr="003D5B55" w:rsidRDefault="00051642" w:rsidP="008567E8">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1BAC5034" w14:textId="77777777" w:rsidR="00051642" w:rsidRPr="003D5B55" w:rsidRDefault="00051642" w:rsidP="008567E8">
      <w:pPr>
        <w:autoSpaceDE w:val="0"/>
        <w:autoSpaceDN w:val="0"/>
        <w:adjustRightInd w:val="0"/>
        <w:spacing w:after="0" w:line="360" w:lineRule="auto"/>
        <w:rPr>
          <w:rFonts w:eastAsia="Calibri" w:cs="Tahoma"/>
          <w:color w:val="000000"/>
          <w:szCs w:val="24"/>
          <w:lang w:val="es-ES" w:eastAsia="es-MX"/>
        </w:rPr>
      </w:pPr>
    </w:p>
    <w:p w14:paraId="73EB62A0" w14:textId="395CC1A5" w:rsidR="001C7154" w:rsidRDefault="00051642" w:rsidP="008567E8">
      <w:pPr>
        <w:widowControl w:val="0"/>
        <w:autoSpaceDE w:val="0"/>
        <w:autoSpaceDN w:val="0"/>
        <w:adjustRightInd w:val="0"/>
        <w:spacing w:after="0" w:line="360" w:lineRule="auto"/>
        <w:rPr>
          <w:rFonts w:eastAsia="Calibri" w:cs="Tahoma"/>
          <w:color w:val="000000"/>
          <w:szCs w:val="24"/>
          <w:lang w:val="es-ES" w:eastAsia="es-MX"/>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w:t>
      </w:r>
      <w:r>
        <w:rPr>
          <w:rFonts w:eastAsia="Calibri" w:cs="Tahoma"/>
          <w:color w:val="000000"/>
          <w:szCs w:val="24"/>
          <w:lang w:val="es-ES" w:eastAsia="es-MX"/>
        </w:rPr>
        <w:t>que el Particular requirió</w:t>
      </w:r>
      <w:r w:rsidR="00382A3B">
        <w:rPr>
          <w:rFonts w:eastAsia="Calibri" w:cs="Tahoma"/>
          <w:color w:val="000000"/>
          <w:szCs w:val="24"/>
          <w:lang w:val="es-ES" w:eastAsia="es-MX"/>
        </w:rPr>
        <w:t>, a través de dos solicitudes de acceso a la información,</w:t>
      </w:r>
      <w:r w:rsidR="001C7154">
        <w:rPr>
          <w:rFonts w:eastAsia="Calibri" w:cs="Tahoma"/>
          <w:color w:val="000000"/>
          <w:szCs w:val="24"/>
          <w:lang w:val="es-ES" w:eastAsia="es-MX"/>
        </w:rPr>
        <w:t xml:space="preserve"> lo siguiente:</w:t>
      </w:r>
      <w:r w:rsidRPr="006D54A5">
        <w:rPr>
          <w:rFonts w:eastAsia="Calibri" w:cs="Tahoma"/>
          <w:color w:val="000000"/>
          <w:szCs w:val="24"/>
          <w:lang w:val="es-ES" w:eastAsia="es-MX"/>
        </w:rPr>
        <w:t xml:space="preserve"> </w:t>
      </w:r>
    </w:p>
    <w:p w14:paraId="473973D8" w14:textId="77777777" w:rsidR="001C7154" w:rsidRDefault="001C7154" w:rsidP="008567E8">
      <w:pPr>
        <w:widowControl w:val="0"/>
        <w:autoSpaceDE w:val="0"/>
        <w:autoSpaceDN w:val="0"/>
        <w:adjustRightInd w:val="0"/>
        <w:spacing w:after="0" w:line="360" w:lineRule="auto"/>
        <w:rPr>
          <w:rFonts w:eastAsia="Calibri" w:cs="Tahoma"/>
          <w:color w:val="000000"/>
          <w:szCs w:val="24"/>
          <w:lang w:val="es-ES" w:eastAsia="es-MX"/>
        </w:rPr>
      </w:pPr>
    </w:p>
    <w:p w14:paraId="1073C407" w14:textId="0BD18331" w:rsidR="001C7154" w:rsidRDefault="001C7154" w:rsidP="008567E8">
      <w:pPr>
        <w:pStyle w:val="Prrafodelista"/>
        <w:widowControl w:val="0"/>
        <w:numPr>
          <w:ilvl w:val="0"/>
          <w:numId w:val="6"/>
        </w:numPr>
        <w:autoSpaceDE w:val="0"/>
        <w:autoSpaceDN w:val="0"/>
        <w:adjustRightInd w:val="0"/>
        <w:spacing w:after="0" w:line="360" w:lineRule="auto"/>
        <w:rPr>
          <w:rFonts w:eastAsia="Calibri" w:cs="Tahoma"/>
          <w:bCs/>
          <w:iCs/>
          <w:color w:val="000000"/>
          <w:szCs w:val="24"/>
          <w:lang w:eastAsia="es-MX"/>
        </w:rPr>
      </w:pPr>
      <w:bookmarkStart w:id="14" w:name="_Hlk92882466"/>
      <w:r>
        <w:rPr>
          <w:rFonts w:eastAsia="Calibri" w:cs="Tahoma"/>
          <w:color w:val="000000"/>
          <w:szCs w:val="24"/>
          <w:lang w:val="es-ES" w:eastAsia="es-MX"/>
        </w:rPr>
        <w:t>E</w:t>
      </w:r>
      <w:r w:rsidR="00DB12DB" w:rsidRPr="001C7154">
        <w:rPr>
          <w:rFonts w:eastAsia="Calibri" w:cs="Tahoma"/>
          <w:color w:val="000000"/>
          <w:szCs w:val="24"/>
          <w:lang w:val="es-ES" w:eastAsia="es-MX"/>
        </w:rPr>
        <w:t xml:space="preserve">l tabulador de sueldos y salarios </w:t>
      </w:r>
      <w:r w:rsidR="00DB12DB" w:rsidRPr="001C7154">
        <w:rPr>
          <w:rFonts w:eastAsia="Calibri" w:cs="Tahoma"/>
          <w:bCs/>
          <w:iCs/>
          <w:color w:val="000000"/>
          <w:szCs w:val="24"/>
          <w:lang w:eastAsia="es-MX"/>
        </w:rPr>
        <w:t>del</w:t>
      </w:r>
      <w:r w:rsidR="00183086" w:rsidRPr="001C7154">
        <w:rPr>
          <w:rFonts w:eastAsia="Calibri" w:cs="Tahoma"/>
          <w:bCs/>
          <w:iCs/>
          <w:color w:val="000000"/>
          <w:szCs w:val="24"/>
          <w:lang w:eastAsia="es-MX"/>
        </w:rPr>
        <w:t xml:space="preserve"> Ayuntamiento de </w:t>
      </w:r>
      <w:r w:rsidR="00DB12DB" w:rsidRPr="001C7154">
        <w:rPr>
          <w:rFonts w:eastAsia="Calibri" w:cs="Tahoma"/>
          <w:bCs/>
          <w:iCs/>
          <w:color w:val="000000"/>
          <w:szCs w:val="24"/>
          <w:lang w:eastAsia="es-MX"/>
        </w:rPr>
        <w:t>Tezoyuca</w:t>
      </w:r>
      <w:r w:rsidR="00F90DE8" w:rsidRPr="001C7154">
        <w:rPr>
          <w:rFonts w:eastAsia="Calibri" w:cs="Tahoma"/>
          <w:bCs/>
          <w:iCs/>
          <w:color w:val="000000"/>
          <w:szCs w:val="24"/>
          <w:lang w:eastAsia="es-MX"/>
        </w:rPr>
        <w:t xml:space="preserve"> de los ejercicios fiscales </w:t>
      </w:r>
      <w:r w:rsidR="00DB12DB" w:rsidRPr="001C7154">
        <w:rPr>
          <w:rFonts w:eastAsia="Calibri" w:cs="Tahoma"/>
          <w:bCs/>
          <w:iCs/>
          <w:color w:val="000000"/>
          <w:szCs w:val="24"/>
          <w:lang w:eastAsia="es-MX"/>
        </w:rPr>
        <w:t xml:space="preserve">dos mil diecinueve, dos mil veinte y dos </w:t>
      </w:r>
      <w:r w:rsidR="00380E10" w:rsidRPr="001C7154">
        <w:rPr>
          <w:rFonts w:eastAsia="Calibri" w:cs="Tahoma"/>
          <w:bCs/>
          <w:iCs/>
          <w:color w:val="000000"/>
          <w:szCs w:val="24"/>
          <w:lang w:eastAsia="es-MX"/>
        </w:rPr>
        <w:t>mil veintiuno</w:t>
      </w:r>
      <w:r>
        <w:rPr>
          <w:rFonts w:eastAsia="Calibri" w:cs="Tahoma"/>
          <w:bCs/>
          <w:iCs/>
          <w:color w:val="000000"/>
          <w:szCs w:val="24"/>
          <w:lang w:eastAsia="es-MX"/>
        </w:rPr>
        <w:t>;</w:t>
      </w:r>
      <w:r w:rsidR="0023114C" w:rsidRPr="001C7154">
        <w:rPr>
          <w:rFonts w:eastAsia="Calibri" w:cs="Tahoma"/>
          <w:bCs/>
          <w:iCs/>
          <w:color w:val="000000"/>
          <w:szCs w:val="24"/>
          <w:lang w:eastAsia="es-MX"/>
        </w:rPr>
        <w:t xml:space="preserve"> así como</w:t>
      </w:r>
    </w:p>
    <w:p w14:paraId="7FA2A2B9" w14:textId="77777777" w:rsidR="001C7154" w:rsidRPr="001C7154" w:rsidRDefault="001C7154" w:rsidP="008567E8">
      <w:pPr>
        <w:widowControl w:val="0"/>
        <w:autoSpaceDE w:val="0"/>
        <w:autoSpaceDN w:val="0"/>
        <w:adjustRightInd w:val="0"/>
        <w:spacing w:after="0" w:line="360" w:lineRule="auto"/>
        <w:ind w:left="360"/>
        <w:rPr>
          <w:rFonts w:eastAsia="Calibri" w:cs="Tahoma"/>
          <w:bCs/>
          <w:iCs/>
          <w:color w:val="000000"/>
          <w:szCs w:val="24"/>
          <w:lang w:eastAsia="es-MX"/>
        </w:rPr>
      </w:pPr>
    </w:p>
    <w:p w14:paraId="3C8DA1C6" w14:textId="7A45B8CE" w:rsidR="00051642" w:rsidRPr="001C7154" w:rsidRDefault="0023114C" w:rsidP="008567E8">
      <w:pPr>
        <w:pStyle w:val="Prrafodelista"/>
        <w:widowControl w:val="0"/>
        <w:numPr>
          <w:ilvl w:val="0"/>
          <w:numId w:val="6"/>
        </w:numPr>
        <w:autoSpaceDE w:val="0"/>
        <w:autoSpaceDN w:val="0"/>
        <w:adjustRightInd w:val="0"/>
        <w:spacing w:after="0" w:line="360" w:lineRule="auto"/>
        <w:rPr>
          <w:rFonts w:eastAsia="Calibri" w:cs="Tahoma"/>
          <w:bCs/>
          <w:iCs/>
          <w:color w:val="000000"/>
          <w:szCs w:val="24"/>
          <w:lang w:eastAsia="es-MX"/>
        </w:rPr>
      </w:pPr>
      <w:r w:rsidRPr="001C7154">
        <w:rPr>
          <w:rFonts w:eastAsia="Calibri" w:cs="Tahoma"/>
          <w:bCs/>
          <w:iCs/>
          <w:color w:val="000000"/>
          <w:szCs w:val="24"/>
          <w:lang w:eastAsia="es-MX"/>
        </w:rPr>
        <w:t xml:space="preserve"> </w:t>
      </w:r>
      <w:r w:rsidR="001C7154">
        <w:rPr>
          <w:rFonts w:eastAsia="Calibri" w:cs="Tahoma"/>
          <w:bCs/>
          <w:iCs/>
          <w:color w:val="000000"/>
          <w:szCs w:val="24"/>
          <w:lang w:eastAsia="es-MX"/>
        </w:rPr>
        <w:t>L</w:t>
      </w:r>
      <w:r w:rsidRPr="001C7154">
        <w:rPr>
          <w:rFonts w:eastAsia="Calibri" w:cs="Tahoma"/>
          <w:bCs/>
          <w:iCs/>
          <w:color w:val="000000"/>
          <w:szCs w:val="24"/>
          <w:lang w:eastAsia="es-MX"/>
        </w:rPr>
        <w:t>a nómina de</w:t>
      </w:r>
      <w:r w:rsidR="001C7154">
        <w:rPr>
          <w:rFonts w:eastAsia="Calibri" w:cs="Tahoma"/>
          <w:bCs/>
          <w:iCs/>
          <w:color w:val="000000"/>
          <w:szCs w:val="24"/>
          <w:lang w:eastAsia="es-MX"/>
        </w:rPr>
        <w:t xml:space="preserve"> todos</w:t>
      </w:r>
      <w:r w:rsidRPr="001C7154">
        <w:rPr>
          <w:rFonts w:eastAsia="Calibri" w:cs="Tahoma"/>
          <w:bCs/>
          <w:iCs/>
          <w:color w:val="000000"/>
          <w:szCs w:val="24"/>
          <w:lang w:eastAsia="es-MX"/>
        </w:rPr>
        <w:t xml:space="preserve"> los servidores públicos </w:t>
      </w:r>
      <w:r w:rsidR="00792A50">
        <w:rPr>
          <w:rFonts w:eastAsia="Calibri" w:cs="Tahoma"/>
          <w:bCs/>
          <w:iCs/>
          <w:color w:val="000000"/>
          <w:szCs w:val="24"/>
          <w:lang w:eastAsia="es-MX"/>
        </w:rPr>
        <w:t>de</w:t>
      </w:r>
      <w:r w:rsidR="00382A3B">
        <w:rPr>
          <w:rFonts w:eastAsia="Calibri" w:cs="Tahoma"/>
          <w:bCs/>
          <w:iCs/>
          <w:color w:val="000000"/>
          <w:szCs w:val="24"/>
          <w:lang w:eastAsia="es-MX"/>
        </w:rPr>
        <w:t xml:space="preserve"> enero </w:t>
      </w:r>
      <w:r w:rsidR="00792A50">
        <w:rPr>
          <w:rFonts w:eastAsia="Calibri" w:cs="Tahoma"/>
          <w:bCs/>
          <w:iCs/>
          <w:color w:val="000000"/>
          <w:szCs w:val="24"/>
          <w:lang w:eastAsia="es-MX"/>
        </w:rPr>
        <w:t>a</w:t>
      </w:r>
      <w:r w:rsidR="00382A3B">
        <w:rPr>
          <w:rFonts w:eastAsia="Calibri" w:cs="Tahoma"/>
          <w:bCs/>
          <w:iCs/>
          <w:color w:val="000000"/>
          <w:szCs w:val="24"/>
          <w:lang w:eastAsia="es-MX"/>
        </w:rPr>
        <w:t xml:space="preserve"> julio de dos mil veintiuno</w:t>
      </w:r>
      <w:r w:rsidRPr="001C7154">
        <w:rPr>
          <w:rFonts w:eastAsia="Calibri" w:cs="Tahoma"/>
          <w:bCs/>
          <w:iCs/>
          <w:color w:val="000000"/>
          <w:szCs w:val="24"/>
          <w:lang w:eastAsia="es-MX"/>
        </w:rPr>
        <w:t xml:space="preserve">. </w:t>
      </w:r>
    </w:p>
    <w:bookmarkEnd w:id="14"/>
    <w:p w14:paraId="2083FC54" w14:textId="77777777" w:rsidR="00051642" w:rsidRDefault="00051642" w:rsidP="008567E8">
      <w:pPr>
        <w:widowControl w:val="0"/>
        <w:autoSpaceDE w:val="0"/>
        <w:autoSpaceDN w:val="0"/>
        <w:adjustRightInd w:val="0"/>
        <w:spacing w:after="0" w:line="360" w:lineRule="auto"/>
        <w:rPr>
          <w:rFonts w:eastAsia="Calibri" w:cs="Tahoma"/>
          <w:color w:val="000000"/>
          <w:szCs w:val="24"/>
          <w:lang w:val="es-ES" w:eastAsia="es-MX"/>
        </w:rPr>
      </w:pPr>
    </w:p>
    <w:p w14:paraId="0273DC5D" w14:textId="012FCE1D" w:rsidR="00051642" w:rsidRDefault="00051642" w:rsidP="008567E8">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w:t>
      </w:r>
      <w:r w:rsidR="00F90DE8">
        <w:rPr>
          <w:rFonts w:ascii="Palatino Linotype" w:hAnsi="Palatino Linotype" w:cs="Tahoma"/>
          <w:bCs/>
          <w:iCs/>
          <w:sz w:val="22"/>
          <w:szCs w:val="22"/>
          <w:lang w:val="es-ES"/>
        </w:rPr>
        <w:t>rque no le dieron contestación a su</w:t>
      </w:r>
      <w:r w:rsidR="00382A3B">
        <w:rPr>
          <w:rFonts w:ascii="Palatino Linotype" w:hAnsi="Palatino Linotype" w:cs="Tahoma"/>
          <w:bCs/>
          <w:iCs/>
          <w:sz w:val="22"/>
          <w:szCs w:val="22"/>
          <w:lang w:val="es-ES"/>
        </w:rPr>
        <w:t>s</w:t>
      </w:r>
      <w:r w:rsidR="00F90DE8">
        <w:rPr>
          <w:rFonts w:ascii="Palatino Linotype" w:hAnsi="Palatino Linotype" w:cs="Tahoma"/>
          <w:bCs/>
          <w:iCs/>
          <w:sz w:val="22"/>
          <w:szCs w:val="22"/>
          <w:lang w:val="es-ES"/>
        </w:rPr>
        <w:t xml:space="preserve"> requerimiento</w:t>
      </w:r>
      <w:r w:rsidR="00382A3B">
        <w:rPr>
          <w:rFonts w:ascii="Palatino Linotype" w:hAnsi="Palatino Linotype" w:cs="Tahoma"/>
          <w:bCs/>
          <w:iCs/>
          <w:sz w:val="22"/>
          <w:szCs w:val="22"/>
          <w:lang w:val="es-ES"/>
        </w:rPr>
        <w:t>s</w:t>
      </w:r>
      <w:r>
        <w:rPr>
          <w:rFonts w:ascii="Palatino Linotype" w:hAnsi="Palatino Linotype" w:cs="Tahoma"/>
          <w:bCs/>
          <w:iCs/>
          <w:sz w:val="22"/>
          <w:szCs w:val="22"/>
          <w:lang w:val="es-ES"/>
        </w:rPr>
        <w:t>, lo cual se actualiza el supuesto previsto</w:t>
      </w:r>
      <w:r w:rsidR="00384DCB">
        <w:rPr>
          <w:rFonts w:ascii="Palatino Linotype" w:hAnsi="Palatino Linotype" w:cs="Tahoma"/>
          <w:bCs/>
          <w:iCs/>
          <w:sz w:val="22"/>
          <w:szCs w:val="22"/>
          <w:lang w:val="es-ES"/>
        </w:rPr>
        <w:t xml:space="preserve"> en el </w:t>
      </w:r>
      <w:r w:rsidR="00384DCB">
        <w:rPr>
          <w:rFonts w:ascii="Palatino Linotype" w:hAnsi="Palatino Linotype" w:cs="Tahoma"/>
          <w:bCs/>
          <w:iCs/>
          <w:sz w:val="22"/>
          <w:szCs w:val="22"/>
          <w:lang w:val="es-ES"/>
        </w:rPr>
        <w:lastRenderedPageBreak/>
        <w:t>artículo 179, fracción VI</w:t>
      </w:r>
      <w:r>
        <w:rPr>
          <w:rFonts w:ascii="Palatino Linotype" w:hAnsi="Palatino Linotype" w:cs="Tahoma"/>
          <w:bCs/>
          <w:iCs/>
          <w:sz w:val="22"/>
          <w:szCs w:val="22"/>
          <w:lang w:val="es-ES"/>
        </w:rPr>
        <w:t>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 xml:space="preserve">Así las cosas, una vez admitido y notificado </w:t>
      </w:r>
      <w:r w:rsidR="00382A3B">
        <w:rPr>
          <w:rFonts w:ascii="Palatino Linotype" w:hAnsi="Palatino Linotype" w:cs="Tahoma"/>
          <w:sz w:val="22"/>
          <w:szCs w:val="22"/>
          <w:lang w:val="es-ES"/>
        </w:rPr>
        <w:t>los Recursos</w:t>
      </w:r>
      <w:r>
        <w:rPr>
          <w:rFonts w:ascii="Palatino Linotype" w:hAnsi="Palatino Linotype" w:cs="Tahoma"/>
          <w:sz w:val="22"/>
          <w:szCs w:val="22"/>
          <w:lang w:val="es-ES"/>
        </w:rPr>
        <w:t xml:space="preserve"> de Revisión a las partes, estas</w:t>
      </w:r>
      <w:r>
        <w:rPr>
          <w:rFonts w:ascii="Palatino Linotype" w:hAnsi="Palatino Linotype" w:cs="Tahoma"/>
          <w:bCs/>
          <w:iCs/>
          <w:sz w:val="22"/>
          <w:szCs w:val="22"/>
          <w:lang w:val="es-ES" w:eastAsia="es-ES"/>
        </w:rPr>
        <w:t xml:space="preserve"> fueron omisas en realizar manifestaciones o alegatos.</w:t>
      </w:r>
    </w:p>
    <w:p w14:paraId="31D997F4" w14:textId="77777777" w:rsidR="00051642" w:rsidRDefault="00051642" w:rsidP="008567E8">
      <w:pPr>
        <w:tabs>
          <w:tab w:val="left" w:pos="4962"/>
        </w:tabs>
        <w:spacing w:after="0" w:line="360" w:lineRule="auto"/>
        <w:rPr>
          <w:rFonts w:eastAsia="Calibri" w:cs="Tahoma"/>
          <w:iCs/>
          <w:lang w:val="es-ES"/>
        </w:rPr>
      </w:pPr>
    </w:p>
    <w:p w14:paraId="0D5D4425" w14:textId="749AC0E9" w:rsidR="000C778B" w:rsidRPr="000C778B" w:rsidRDefault="000C778B" w:rsidP="000C778B">
      <w:pPr>
        <w:tabs>
          <w:tab w:val="left" w:pos="4962"/>
        </w:tabs>
        <w:spacing w:after="0" w:line="360" w:lineRule="auto"/>
        <w:rPr>
          <w:rFonts w:eastAsia="Times New Roman" w:cs="Tahoma"/>
          <w:bCs/>
          <w:color w:val="000000"/>
          <w:lang w:eastAsia="es-ES"/>
        </w:rPr>
      </w:pPr>
      <w:r w:rsidRPr="000C778B">
        <w:rPr>
          <w:rFonts w:eastAsia="Calibri" w:cs="Tahoma"/>
          <w:iCs/>
          <w:color w:val="auto"/>
          <w:lang w:val="es-ES" w:eastAsia="es-ES"/>
        </w:rPr>
        <w:t xml:space="preserve">Mediante la Resolución del Recurso de Revisión </w:t>
      </w:r>
      <w:r w:rsidRPr="000C778B">
        <w:rPr>
          <w:rFonts w:eastAsia="Times New Roman" w:cs="Tahoma"/>
          <w:bCs/>
          <w:color w:val="000000"/>
          <w:lang w:eastAsia="es-ES"/>
        </w:rPr>
        <w:t>04926/INFOEM/IP/RR/2021 y</w:t>
      </w:r>
      <w:r>
        <w:rPr>
          <w:rFonts w:eastAsia="Times New Roman" w:cs="Tahoma"/>
          <w:bCs/>
          <w:color w:val="000000"/>
          <w:lang w:eastAsia="es-ES"/>
        </w:rPr>
        <w:t xml:space="preserve"> </w:t>
      </w:r>
      <w:r w:rsidRPr="000C778B">
        <w:rPr>
          <w:rFonts w:eastAsia="Times New Roman" w:cs="Tahoma"/>
          <w:bCs/>
          <w:color w:val="000000"/>
          <w:lang w:eastAsia="es-ES"/>
        </w:rPr>
        <w:t>acumulado, del veinti</w:t>
      </w:r>
      <w:r w:rsidR="00987B84">
        <w:rPr>
          <w:rFonts w:eastAsia="Times New Roman" w:cs="Tahoma"/>
          <w:bCs/>
          <w:color w:val="000000"/>
          <w:lang w:eastAsia="es-ES"/>
        </w:rPr>
        <w:t>siete</w:t>
      </w:r>
      <w:r w:rsidRPr="000C778B">
        <w:rPr>
          <w:rFonts w:eastAsia="Times New Roman" w:cs="Tahoma"/>
          <w:bCs/>
          <w:color w:val="000000"/>
          <w:lang w:eastAsia="es-ES"/>
        </w:rPr>
        <w:t xml:space="preserve"> de </w:t>
      </w:r>
      <w:r w:rsidR="00987B84">
        <w:rPr>
          <w:rFonts w:eastAsia="Times New Roman" w:cs="Tahoma"/>
          <w:bCs/>
          <w:color w:val="000000"/>
          <w:lang w:eastAsia="es-ES"/>
        </w:rPr>
        <w:t>octubre</w:t>
      </w:r>
      <w:r w:rsidRPr="000C778B">
        <w:rPr>
          <w:rFonts w:eastAsia="Times New Roman" w:cs="Tahoma"/>
          <w:bCs/>
          <w:color w:val="000000"/>
          <w:lang w:eastAsia="es-ES"/>
        </w:rPr>
        <w:t xml:space="preserve"> de dos mil veintiuno, por </w:t>
      </w:r>
      <w:r w:rsidR="00987B84">
        <w:rPr>
          <w:rFonts w:eastAsia="Times New Roman" w:cs="Tahoma"/>
          <w:bCs/>
          <w:color w:val="000000"/>
          <w:lang w:eastAsia="es-ES"/>
        </w:rPr>
        <w:t>unanimidad</w:t>
      </w:r>
      <w:r w:rsidRPr="000C778B">
        <w:rPr>
          <w:rFonts w:eastAsia="Times New Roman" w:cs="Tahoma"/>
          <w:bCs/>
          <w:color w:val="000000"/>
          <w:lang w:eastAsia="es-ES"/>
        </w:rPr>
        <w:t xml:space="preserve"> del Pleno de este Instituto, determinó como </w:t>
      </w:r>
      <w:r w:rsidRPr="000C778B">
        <w:rPr>
          <w:rFonts w:eastAsia="Times New Roman" w:cs="Tahoma"/>
          <w:b/>
          <w:color w:val="000000"/>
          <w:lang w:eastAsia="es-ES"/>
        </w:rPr>
        <w:t xml:space="preserve">FUNDADOS, </w:t>
      </w:r>
      <w:r w:rsidRPr="000C778B">
        <w:rPr>
          <w:rFonts w:eastAsia="Times New Roman" w:cs="Tahoma"/>
          <w:bCs/>
          <w:color w:val="000000"/>
          <w:lang w:eastAsia="es-ES"/>
        </w:rPr>
        <w:t xml:space="preserve">los agravios del Particular y se determinó procedente </w:t>
      </w:r>
      <w:r w:rsidRPr="000C778B">
        <w:rPr>
          <w:rFonts w:eastAsia="Times New Roman" w:cs="Tahoma"/>
          <w:b/>
          <w:color w:val="000000"/>
          <w:lang w:eastAsia="es-ES"/>
        </w:rPr>
        <w:t xml:space="preserve">ORDENAR </w:t>
      </w:r>
      <w:r w:rsidRPr="000C778B">
        <w:rPr>
          <w:rFonts w:eastAsia="Times New Roman" w:cs="Tahoma"/>
          <w:bCs/>
          <w:color w:val="000000"/>
          <w:lang w:eastAsia="es-ES"/>
        </w:rPr>
        <w:t xml:space="preserve">al Ayuntamiento de </w:t>
      </w:r>
      <w:r w:rsidR="00987B84" w:rsidRPr="00987B84">
        <w:rPr>
          <w:rFonts w:eastAsia="Times New Roman" w:cs="Tahoma"/>
          <w:bCs/>
          <w:color w:val="000000"/>
          <w:lang w:eastAsia="es-ES"/>
        </w:rPr>
        <w:t>Tezoyuca</w:t>
      </w:r>
      <w:r w:rsidRPr="000C778B">
        <w:rPr>
          <w:rFonts w:eastAsia="Times New Roman" w:cs="Tahoma"/>
          <w:bCs/>
          <w:color w:val="000000"/>
          <w:lang w:eastAsia="es-ES"/>
        </w:rPr>
        <w:t>, a efecto de que diera respuesta a</w:t>
      </w:r>
      <w:r w:rsidR="00987B84">
        <w:rPr>
          <w:rFonts w:eastAsia="Times New Roman" w:cs="Tahoma"/>
          <w:bCs/>
          <w:color w:val="000000"/>
          <w:lang w:eastAsia="es-ES"/>
        </w:rPr>
        <w:t xml:space="preserve"> </w:t>
      </w:r>
      <w:r w:rsidRPr="000C778B">
        <w:rPr>
          <w:rFonts w:eastAsia="Times New Roman" w:cs="Tahoma"/>
          <w:bCs/>
          <w:color w:val="000000"/>
          <w:lang w:eastAsia="es-ES"/>
        </w:rPr>
        <w:t>l</w:t>
      </w:r>
      <w:r w:rsidR="00987B84">
        <w:rPr>
          <w:rFonts w:eastAsia="Times New Roman" w:cs="Tahoma"/>
          <w:bCs/>
          <w:color w:val="000000"/>
          <w:lang w:eastAsia="es-ES"/>
        </w:rPr>
        <w:t>os</w:t>
      </w:r>
      <w:r w:rsidRPr="000C778B">
        <w:rPr>
          <w:rFonts w:eastAsia="Times New Roman" w:cs="Tahoma"/>
          <w:bCs/>
          <w:color w:val="000000"/>
          <w:lang w:eastAsia="es-ES"/>
        </w:rPr>
        <w:t xml:space="preserve"> requerimiento</w:t>
      </w:r>
      <w:r w:rsidR="00987B84">
        <w:rPr>
          <w:rFonts w:eastAsia="Times New Roman" w:cs="Tahoma"/>
          <w:bCs/>
          <w:color w:val="000000"/>
          <w:lang w:eastAsia="es-ES"/>
        </w:rPr>
        <w:t>s</w:t>
      </w:r>
      <w:r w:rsidRPr="000C778B">
        <w:rPr>
          <w:rFonts w:eastAsia="Times New Roman" w:cs="Tahoma"/>
          <w:bCs/>
          <w:color w:val="000000"/>
          <w:lang w:eastAsia="es-ES"/>
        </w:rPr>
        <w:t xml:space="preserve"> de información.</w:t>
      </w:r>
    </w:p>
    <w:p w14:paraId="4E0BE5BB" w14:textId="77777777" w:rsidR="000C778B" w:rsidRPr="000C778B" w:rsidRDefault="000C778B" w:rsidP="000C778B">
      <w:pPr>
        <w:tabs>
          <w:tab w:val="left" w:pos="4962"/>
        </w:tabs>
        <w:spacing w:after="0" w:line="360" w:lineRule="auto"/>
        <w:rPr>
          <w:rFonts w:eastAsia="Times New Roman" w:cs="Tahoma"/>
          <w:bCs/>
          <w:color w:val="000000"/>
          <w:lang w:eastAsia="es-ES"/>
        </w:rPr>
      </w:pPr>
    </w:p>
    <w:p w14:paraId="397909CE" w14:textId="13F5693E" w:rsidR="000C778B" w:rsidRDefault="000C778B" w:rsidP="000C778B">
      <w:pPr>
        <w:spacing w:after="0" w:line="360" w:lineRule="auto"/>
        <w:rPr>
          <w:rFonts w:eastAsia="Times New Roman" w:cs="Tahoma"/>
          <w:bCs/>
          <w:color w:val="000000"/>
          <w:lang w:eastAsia="es-ES"/>
        </w:rPr>
      </w:pPr>
      <w:r w:rsidRPr="000C778B">
        <w:rPr>
          <w:rFonts w:eastAsia="Times New Roman" w:cs="Tahoma"/>
          <w:bCs/>
          <w:color w:val="000000"/>
          <w:lang w:eastAsia="es-ES"/>
        </w:rPr>
        <w:t xml:space="preserve">Ante la falta de cumplimiento a la determinación previamente señalada, el Solicitante, justamente se inconformó de dicha situación, al señalar </w:t>
      </w:r>
      <w:r w:rsidR="00792A50" w:rsidRPr="00792A50">
        <w:rPr>
          <w:rFonts w:eastAsia="Times New Roman" w:cs="Tahoma"/>
          <w:bCs/>
          <w:color w:val="000000"/>
          <w:lang w:eastAsia="es-ES"/>
        </w:rPr>
        <w:t>no le habían proporcionado la información peticionada</w:t>
      </w:r>
      <w:r w:rsidRPr="000C778B">
        <w:rPr>
          <w:rFonts w:eastAsia="Times New Roman" w:cs="Tahoma"/>
          <w:bCs/>
          <w:color w:val="000000"/>
          <w:lang w:eastAsia="es-ES"/>
        </w:rPr>
        <w:t>, lo cual actualiza el supuesto previsto en el artículo 179, fracción VII, de la Ley de Transparencia y Acceso a la Información Pública del Estado de México y Municipios. Así las cosas, una vez admitido y notificado el Recurso de Revisión a las partes, estas fueron omisas en realizar manifestaciones o alegatos.</w:t>
      </w:r>
    </w:p>
    <w:p w14:paraId="653C6D07" w14:textId="77777777" w:rsidR="000C778B" w:rsidRPr="000C778B" w:rsidRDefault="000C778B" w:rsidP="000C778B">
      <w:pPr>
        <w:spacing w:after="0" w:line="360" w:lineRule="auto"/>
        <w:rPr>
          <w:rFonts w:eastAsia="Times New Roman" w:cs="Tahoma"/>
          <w:bCs/>
          <w:color w:val="000000"/>
          <w:lang w:eastAsia="es-ES"/>
        </w:rPr>
      </w:pPr>
    </w:p>
    <w:p w14:paraId="03A74004" w14:textId="34B97363" w:rsidR="00051642" w:rsidRDefault="00051642" w:rsidP="008567E8">
      <w:pPr>
        <w:tabs>
          <w:tab w:val="left" w:pos="4962"/>
        </w:tabs>
        <w:spacing w:after="0" w:line="360" w:lineRule="auto"/>
        <w:rPr>
          <w:rFonts w:eastAsia="Calibri" w:cs="Tahoma"/>
          <w:bCs/>
          <w:szCs w:val="24"/>
        </w:rPr>
      </w:pPr>
      <w:r>
        <w:rPr>
          <w:rFonts w:eastAsia="Calibri" w:cs="Tahoma"/>
          <w:iCs/>
          <w:lang w:val="es-ES" w:eastAsia="es-ES_tradnl"/>
        </w:rPr>
        <w:t>Lo anterior, se desprende de las documentales que obran en el expediente de referencia, materia de la presente resolución, consistente en: la</w:t>
      </w:r>
      <w:r w:rsidR="00382A3B">
        <w:rPr>
          <w:rFonts w:eastAsia="Calibri" w:cs="Tahoma"/>
          <w:iCs/>
          <w:lang w:val="es-ES" w:eastAsia="es-ES_tradnl"/>
        </w:rPr>
        <w:t>s</w:t>
      </w:r>
      <w:r>
        <w:rPr>
          <w:rFonts w:eastAsia="Calibri" w:cs="Tahoma"/>
          <w:iCs/>
          <w:lang w:val="es-ES" w:eastAsia="es-ES_tradnl"/>
        </w:rPr>
        <w:t xml:space="preserve"> solicitud</w:t>
      </w:r>
      <w:r w:rsidR="00382A3B">
        <w:rPr>
          <w:rFonts w:eastAsia="Calibri" w:cs="Tahoma"/>
          <w:iCs/>
          <w:lang w:val="es-ES" w:eastAsia="es-ES_tradnl"/>
        </w:rPr>
        <w:t>es</w:t>
      </w:r>
      <w:r>
        <w:rPr>
          <w:rFonts w:eastAsia="Calibri" w:cs="Tahoma"/>
          <w:iCs/>
          <w:lang w:val="es-ES" w:eastAsia="es-ES_tradnl"/>
        </w:rPr>
        <w:t xml:space="preserve"> de acceso a la información</w:t>
      </w:r>
      <w:r w:rsidR="00534D86" w:rsidRPr="00534D86">
        <w:rPr>
          <w:rFonts w:eastAsia="Calibri" w:cs="Tahoma"/>
          <w:iCs/>
          <w:lang w:eastAsia="es-ES_tradnl"/>
        </w:rPr>
        <w:t xml:space="preserve">; los escritos recursales; la Resolución del Recurso de Revisión </w:t>
      </w:r>
      <w:r w:rsidR="00534D86" w:rsidRPr="00534D86">
        <w:rPr>
          <w:rFonts w:eastAsia="Calibri" w:cs="Tahoma"/>
          <w:bCs/>
          <w:iCs/>
          <w:lang w:eastAsia="es-ES_tradnl"/>
        </w:rPr>
        <w:t>0</w:t>
      </w:r>
      <w:r w:rsidR="00534D86">
        <w:rPr>
          <w:rFonts w:eastAsia="Calibri" w:cs="Tahoma"/>
          <w:bCs/>
          <w:iCs/>
          <w:lang w:eastAsia="es-ES_tradnl"/>
        </w:rPr>
        <w:t>4926</w:t>
      </w:r>
      <w:r w:rsidR="00534D86" w:rsidRPr="00534D86">
        <w:rPr>
          <w:rFonts w:eastAsia="Calibri" w:cs="Tahoma"/>
          <w:bCs/>
          <w:iCs/>
          <w:lang w:eastAsia="es-ES_tradnl"/>
        </w:rPr>
        <w:t xml:space="preserve">/INFOEM/IP/RR/2021 y acumulado, y </w:t>
      </w:r>
      <w:r w:rsidR="00534D86">
        <w:rPr>
          <w:rFonts w:eastAsia="Calibri" w:cs="Tahoma"/>
          <w:bCs/>
          <w:iCs/>
          <w:lang w:eastAsia="es-ES_tradnl"/>
        </w:rPr>
        <w:t>los escritos recursales</w:t>
      </w:r>
      <w:r w:rsidR="00534D86" w:rsidRPr="00534D86">
        <w:rPr>
          <w:rFonts w:eastAsia="Calibri" w:cs="Tahoma"/>
          <w:bCs/>
          <w:iCs/>
          <w:lang w:eastAsia="es-ES_tradnl"/>
        </w:rPr>
        <w:t xml:space="preserve"> en contra del incumplimiento a la resolución</w:t>
      </w:r>
      <w:r>
        <w:rPr>
          <w:rFonts w:eastAsia="Calibri" w:cs="Tahoma"/>
          <w:iCs/>
          <w:lang w:eastAsia="es-ES_tradnl"/>
        </w:rPr>
        <w:t xml:space="preserve">;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424F91CD" w14:textId="77777777" w:rsidR="00051642" w:rsidRPr="003D5B55" w:rsidRDefault="00051642" w:rsidP="008567E8">
      <w:pPr>
        <w:spacing w:after="0" w:line="360" w:lineRule="auto"/>
        <w:rPr>
          <w:rFonts w:eastAsia="Calibri" w:cs="Tahoma"/>
          <w:color w:val="auto"/>
          <w:lang w:eastAsia="es-ES_tradnl"/>
        </w:rPr>
      </w:pPr>
    </w:p>
    <w:p w14:paraId="6CC8CCA2" w14:textId="1E1FBDA2" w:rsidR="00051642" w:rsidRPr="004D290A" w:rsidRDefault="00051642" w:rsidP="004D290A">
      <w:pPr>
        <w:spacing w:after="0" w:line="360" w:lineRule="auto"/>
        <w:rPr>
          <w:rFonts w:eastAsia="Times New Roman" w:cs="Tahoma"/>
          <w:b/>
          <w:bCs/>
          <w:iCs/>
          <w:color w:val="auto"/>
          <w:lang w:eastAsia="es-ES"/>
        </w:rPr>
      </w:pPr>
      <w:r w:rsidRPr="004D290A">
        <w:rPr>
          <w:rFonts w:eastAsia="Times New Roman" w:cs="Tahoma"/>
          <w:b/>
          <w:bCs/>
          <w:iCs/>
          <w:color w:val="auto"/>
          <w:lang w:val="es-ES" w:eastAsia="es-ES"/>
        </w:rPr>
        <w:t xml:space="preserve">CUARTO. </w:t>
      </w:r>
      <w:r w:rsidRPr="004D290A">
        <w:rPr>
          <w:rFonts w:eastAsia="Times New Roman" w:cs="Tahoma"/>
          <w:b/>
          <w:bCs/>
          <w:iCs/>
          <w:color w:val="auto"/>
          <w:lang w:eastAsia="es-ES"/>
        </w:rPr>
        <w:t>Marco normativo aplicable en materia de transparencia y acceso a la información pública.</w:t>
      </w:r>
    </w:p>
    <w:p w14:paraId="6E5F496D" w14:textId="77777777" w:rsidR="00051642" w:rsidRPr="003D5B55" w:rsidRDefault="00051642" w:rsidP="008567E8">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90D99A" w14:textId="77777777" w:rsidR="00051642" w:rsidRPr="003D5B55" w:rsidRDefault="00051642" w:rsidP="008567E8">
      <w:pPr>
        <w:spacing w:after="0" w:line="360" w:lineRule="auto"/>
        <w:rPr>
          <w:rFonts w:eastAsia="Times New Roman" w:cs="Tahoma"/>
          <w:bCs/>
          <w:iCs/>
          <w:color w:val="auto"/>
          <w:lang w:eastAsia="es-ES"/>
        </w:rPr>
      </w:pPr>
    </w:p>
    <w:p w14:paraId="47F8BE4A" w14:textId="77777777" w:rsidR="00051642" w:rsidRPr="003D5B55" w:rsidRDefault="00051642" w:rsidP="008567E8">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3D5B55" w:rsidRDefault="00051642" w:rsidP="008567E8">
      <w:pPr>
        <w:spacing w:after="0" w:line="360" w:lineRule="auto"/>
        <w:rPr>
          <w:rFonts w:eastAsia="Times New Roman" w:cs="Tahoma"/>
          <w:bCs/>
          <w:iCs/>
          <w:color w:val="auto"/>
          <w:lang w:eastAsia="es-ES"/>
        </w:rPr>
      </w:pPr>
    </w:p>
    <w:p w14:paraId="686A1040" w14:textId="77777777" w:rsidR="00051642" w:rsidRDefault="00051642" w:rsidP="008567E8">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E455C" w14:textId="77777777" w:rsidR="00051642" w:rsidRPr="003D5B55" w:rsidRDefault="00051642" w:rsidP="008567E8">
      <w:pPr>
        <w:spacing w:after="0" w:line="360" w:lineRule="auto"/>
        <w:rPr>
          <w:rFonts w:eastAsia="Times New Roman" w:cs="Tahoma"/>
          <w:bCs/>
          <w:iCs/>
          <w:color w:val="auto"/>
          <w:lang w:eastAsia="es-ES"/>
        </w:rPr>
      </w:pPr>
    </w:p>
    <w:p w14:paraId="00B7B9A9" w14:textId="77777777" w:rsidR="00051642" w:rsidRPr="003D5B55" w:rsidRDefault="00051642" w:rsidP="008567E8">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35A36B4" w14:textId="77777777" w:rsidR="00051642" w:rsidRDefault="00051642" w:rsidP="008567E8">
      <w:pPr>
        <w:spacing w:after="0" w:line="360" w:lineRule="auto"/>
        <w:rPr>
          <w:rFonts w:eastAsia="Times New Roman" w:cs="Tahoma"/>
          <w:bCs/>
          <w:iCs/>
          <w:color w:val="auto"/>
          <w:lang w:eastAsia="es-ES"/>
        </w:rPr>
      </w:pPr>
    </w:p>
    <w:p w14:paraId="0347B303" w14:textId="77777777" w:rsidR="00051642" w:rsidRPr="003D5B55" w:rsidRDefault="00051642" w:rsidP="008567E8">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70AB3D13" w14:textId="77777777" w:rsidR="00051642" w:rsidRDefault="00051642" w:rsidP="008567E8">
      <w:pPr>
        <w:spacing w:after="0" w:line="360" w:lineRule="auto"/>
        <w:rPr>
          <w:rFonts w:eastAsia="Times New Roman" w:cs="Tahoma"/>
          <w:bCs/>
          <w:iCs/>
          <w:color w:val="auto"/>
          <w:lang w:eastAsia="es-ES"/>
        </w:rPr>
      </w:pPr>
    </w:p>
    <w:p w14:paraId="7452EA94" w14:textId="77777777" w:rsidR="00051642" w:rsidRPr="003D5B55" w:rsidRDefault="00051642" w:rsidP="008567E8">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BFE1718" w14:textId="77777777" w:rsidR="00051642" w:rsidRPr="003D5B55" w:rsidRDefault="00051642" w:rsidP="008567E8">
      <w:pPr>
        <w:spacing w:after="0" w:line="360" w:lineRule="auto"/>
        <w:rPr>
          <w:rFonts w:eastAsia="Times New Roman" w:cs="Tahoma"/>
          <w:bCs/>
          <w:iCs/>
          <w:color w:val="auto"/>
          <w:lang w:eastAsia="es-ES"/>
        </w:rPr>
      </w:pPr>
    </w:p>
    <w:p w14:paraId="4DC8B9C7" w14:textId="77777777" w:rsidR="00051642" w:rsidRPr="003D5B55" w:rsidRDefault="00051642" w:rsidP="008567E8">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El artículo 19, que, se presume que la información debe existir si se refiere a las facultades, competencias y funciones que los ordenamientos jurídicos aplicables otorgan a los sujetos </w:t>
      </w:r>
      <w:r w:rsidRPr="003D5B55">
        <w:rPr>
          <w:rFonts w:eastAsia="Times New Roman" w:cs="Tahoma"/>
          <w:bCs/>
          <w:iCs/>
          <w:color w:val="auto"/>
          <w:lang w:eastAsia="es-ES"/>
        </w:rPr>
        <w:lastRenderedPageBreak/>
        <w:t>obligados y en caso de que dichas facultades no se hayan ejercido, se deberá motivar la respuesta en función de las causas que motivaron tal circunstancia.</w:t>
      </w:r>
    </w:p>
    <w:p w14:paraId="288BDAC4" w14:textId="77777777" w:rsidR="00051642" w:rsidRDefault="00051642" w:rsidP="008567E8">
      <w:pPr>
        <w:spacing w:after="0" w:line="360" w:lineRule="auto"/>
        <w:rPr>
          <w:rFonts w:eastAsia="Times New Roman" w:cs="Tahoma"/>
          <w:b/>
          <w:bCs/>
          <w:iCs/>
          <w:color w:val="auto"/>
          <w:lang w:val="es-ES" w:eastAsia="es-ES"/>
        </w:rPr>
      </w:pPr>
    </w:p>
    <w:p w14:paraId="18545205" w14:textId="15F8FA2A" w:rsidR="00051642" w:rsidRPr="00D3040E" w:rsidRDefault="00051642" w:rsidP="008567E8">
      <w:pPr>
        <w:spacing w:after="0" w:line="360" w:lineRule="auto"/>
        <w:rPr>
          <w:rFonts w:eastAsia="Times New Roman" w:cs="Tahoma"/>
          <w:lang w:eastAsia="es-ES"/>
        </w:rPr>
      </w:pPr>
      <w:r w:rsidRPr="00D3040E">
        <w:rPr>
          <w:rFonts w:eastAsia="Times New Roman" w:cs="Tahoma"/>
          <w:lang w:eastAsia="es-ES"/>
        </w:rPr>
        <w:t xml:space="preserve">El artículo 92, enlista la información que corresponde a las Obligaciones de Transparencia Comunes de las que destaca la contenida en la fracción </w:t>
      </w:r>
      <w:r w:rsidR="00380E10">
        <w:rPr>
          <w:rFonts w:eastAsia="Times New Roman" w:cs="Tahoma"/>
          <w:lang w:eastAsia="es-ES"/>
        </w:rPr>
        <w:t>VIII</w:t>
      </w:r>
      <w:r w:rsidRPr="00D3040E">
        <w:rPr>
          <w:rFonts w:eastAsia="Times New Roman" w:cs="Tahoma"/>
          <w:lang w:eastAsia="es-ES"/>
        </w:rPr>
        <w:t xml:space="preserve">, concerniente a la información </w:t>
      </w:r>
      <w:r w:rsidR="00380E10" w:rsidRPr="00380E10">
        <w:rPr>
          <w:rFonts w:eastAsia="Times New Roman" w:cs="Tahoma"/>
          <w:lang w:eastAsia="es-ES"/>
        </w:rPr>
        <w:t>sobre las remuneraciones bruta y neta de todos los servidores públicos de base o de confianza</w:t>
      </w:r>
      <w:r w:rsidRPr="00D3040E">
        <w:rPr>
          <w:rFonts w:eastAsia="Times New Roman" w:cs="Tahoma"/>
          <w:lang w:eastAsia="es-ES"/>
        </w:rPr>
        <w:t>.</w:t>
      </w:r>
    </w:p>
    <w:p w14:paraId="77FA6992" w14:textId="77777777" w:rsidR="00382A3B" w:rsidRDefault="00382A3B" w:rsidP="008567E8">
      <w:pPr>
        <w:spacing w:after="0" w:line="360" w:lineRule="auto"/>
        <w:rPr>
          <w:rFonts w:cs="Tahoma"/>
          <w:bCs/>
          <w:iCs/>
          <w:lang w:val="es-ES"/>
        </w:rPr>
      </w:pPr>
    </w:p>
    <w:p w14:paraId="4ADF2933" w14:textId="279667D8" w:rsidR="00F90DE8" w:rsidRDefault="00051642" w:rsidP="008567E8">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501A9A04" w14:textId="77777777" w:rsidR="0023114C" w:rsidRPr="003D5B55" w:rsidRDefault="0023114C" w:rsidP="008567E8">
      <w:pPr>
        <w:spacing w:after="0" w:line="360" w:lineRule="auto"/>
        <w:rPr>
          <w:rFonts w:eastAsia="Times New Roman" w:cs="Tahoma"/>
          <w:b/>
          <w:bCs/>
          <w:iCs/>
          <w:color w:val="auto"/>
          <w:lang w:val="es-ES" w:eastAsia="es-ES"/>
        </w:rPr>
      </w:pPr>
    </w:p>
    <w:p w14:paraId="7E231D3A" w14:textId="31D0B2CD" w:rsidR="003D6371" w:rsidRPr="003D6371" w:rsidRDefault="003D6371" w:rsidP="003D6371">
      <w:pPr>
        <w:spacing w:after="0" w:line="360" w:lineRule="auto"/>
        <w:rPr>
          <w:rFonts w:eastAsia="Times New Roman" w:cs="Times New Roman"/>
          <w:bCs/>
          <w:color w:val="auto"/>
          <w:lang w:val="es-ES_tradnl" w:eastAsia="es-ES"/>
        </w:rPr>
      </w:pPr>
      <w:r w:rsidRPr="003D6371">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3D6371">
        <w:rPr>
          <w:rFonts w:eastAsia="Calibri" w:cs="Tahoma"/>
          <w:b/>
          <w:bCs/>
          <w:color w:val="000000"/>
        </w:rPr>
        <w:t>Ayuntamiento de Tezoyuca</w:t>
      </w:r>
      <w:r w:rsidRPr="003D6371">
        <w:rPr>
          <w:rFonts w:eastAsia="Times New Roman" w:cs="Tahoma"/>
          <w:iCs/>
          <w:color w:val="auto"/>
          <w:lang w:eastAsia="es-ES"/>
        </w:rPr>
        <w:t>, en cumplimiento a la Resolución del Recurso de Revisión</w:t>
      </w:r>
      <w:r w:rsidRPr="003D6371">
        <w:rPr>
          <w:rFonts w:eastAsia="Times New Roman" w:cs="Tahoma"/>
          <w:bCs/>
          <w:iCs/>
          <w:color w:val="auto"/>
          <w:lang w:eastAsia="es-ES"/>
        </w:rPr>
        <w:t xml:space="preserve"> </w:t>
      </w:r>
      <w:r w:rsidRPr="003D6371">
        <w:rPr>
          <w:rFonts w:eastAsia="Times New Roman" w:cs="Times New Roman"/>
          <w:bCs/>
          <w:color w:val="auto"/>
          <w:lang w:val="es-ES_tradnl" w:eastAsia="es-ES"/>
        </w:rPr>
        <w:t>04926/INFOEM/IP/RR/2021 y</w:t>
      </w:r>
      <w:r>
        <w:rPr>
          <w:rFonts w:eastAsia="Times New Roman" w:cs="Times New Roman"/>
          <w:bCs/>
          <w:color w:val="auto"/>
          <w:lang w:val="es-ES_tradnl" w:eastAsia="es-ES"/>
        </w:rPr>
        <w:t xml:space="preserve"> </w:t>
      </w:r>
      <w:r w:rsidR="00534D86">
        <w:rPr>
          <w:rFonts w:eastAsia="Times New Roman" w:cs="Times New Roman"/>
          <w:bCs/>
          <w:color w:val="auto"/>
          <w:lang w:val="es-ES_tradnl" w:eastAsia="es-ES"/>
        </w:rPr>
        <w:t>acumulado</w:t>
      </w:r>
      <w:r w:rsidRPr="003D6371">
        <w:rPr>
          <w:rFonts w:eastAsia="Times New Roman" w:cs="Times New Roman"/>
          <w:bCs/>
          <w:color w:val="auto"/>
          <w:lang w:val="es-ES_tradnl" w:eastAsia="es-ES"/>
        </w:rPr>
        <w:t xml:space="preserve">, la cual fue notificada a las partes, el </w:t>
      </w:r>
      <w:r w:rsidRPr="003D6371">
        <w:rPr>
          <w:rFonts w:eastAsia="Times New Roman" w:cs="Times New Roman"/>
          <w:b/>
          <w:color w:val="auto"/>
          <w:lang w:val="es-ES_tradnl" w:eastAsia="es-ES"/>
        </w:rPr>
        <w:t>veintinueve de octubre de dos mil veintiuno</w:t>
      </w:r>
      <w:r w:rsidRPr="003D6371">
        <w:rPr>
          <w:rFonts w:eastAsia="Times New Roman" w:cs="Times New Roman"/>
          <w:bCs/>
          <w:color w:val="auto"/>
          <w:lang w:val="es-ES_tradnl" w:eastAsia="es-ES"/>
        </w:rPr>
        <w:t>, en donde se le dio al Sujeto Obligado, diez días hábiles posteriores a la notificación, para dar cumplimiento a dicha determinación.</w:t>
      </w:r>
    </w:p>
    <w:p w14:paraId="67772132" w14:textId="77777777" w:rsidR="00051642" w:rsidRDefault="00051642" w:rsidP="008567E8">
      <w:pPr>
        <w:spacing w:after="0" w:line="360" w:lineRule="auto"/>
        <w:rPr>
          <w:rFonts w:eastAsia="Times New Roman" w:cs="Tahoma"/>
          <w:bCs/>
          <w:iCs/>
          <w:color w:val="auto"/>
          <w:lang w:eastAsia="es-ES"/>
        </w:rPr>
      </w:pPr>
    </w:p>
    <w:p w14:paraId="5D057A41" w14:textId="339F7A19" w:rsidR="0046689B" w:rsidRPr="0046689B" w:rsidRDefault="0046689B" w:rsidP="00B65B3A">
      <w:pPr>
        <w:spacing w:after="0" w:line="360" w:lineRule="auto"/>
        <w:rPr>
          <w:rFonts w:eastAsia="Batang" w:cs="Tahoma"/>
          <w:color w:val="auto"/>
          <w:szCs w:val="20"/>
          <w:lang w:val="es-ES" w:eastAsia="es-ES"/>
        </w:rPr>
      </w:pPr>
      <w:r w:rsidRPr="0046689B">
        <w:rPr>
          <w:rFonts w:eastAsia="Calibri" w:cs="Tahoma"/>
          <w:bCs/>
          <w:color w:val="000000"/>
          <w:szCs w:val="20"/>
          <w:lang w:eastAsia="es-ES"/>
        </w:rPr>
        <w:t xml:space="preserve">En ese orden de ideas, el plazo con el que contaba el Sujeto Obligado para emitir contestación a la solicitud y cumplimiento a la Resolución referida, </w:t>
      </w:r>
      <w:r w:rsidRPr="0046689B">
        <w:rPr>
          <w:rFonts w:eastAsia="Calibri" w:cs="Tahoma"/>
          <w:color w:val="000000"/>
          <w:szCs w:val="20"/>
          <w:lang w:eastAsia="es-ES"/>
        </w:rPr>
        <w:t xml:space="preserve">comenzó a correr el </w:t>
      </w:r>
      <w:r>
        <w:rPr>
          <w:rFonts w:eastAsia="Calibri" w:cs="Tahoma"/>
          <w:color w:val="000000"/>
          <w:szCs w:val="20"/>
          <w:lang w:eastAsia="es-ES"/>
        </w:rPr>
        <w:t>primero</w:t>
      </w:r>
      <w:r w:rsidRPr="0046689B">
        <w:rPr>
          <w:rFonts w:eastAsia="Calibri" w:cs="Tahoma"/>
          <w:color w:val="000000"/>
          <w:szCs w:val="20"/>
          <w:lang w:eastAsia="es-ES"/>
        </w:rPr>
        <w:t xml:space="preserve"> y feneció el </w:t>
      </w:r>
      <w:r w:rsidR="00FF0A10">
        <w:rPr>
          <w:rFonts w:eastAsia="Calibri" w:cs="Tahoma"/>
          <w:color w:val="000000"/>
          <w:szCs w:val="20"/>
          <w:lang w:eastAsia="es-ES"/>
        </w:rPr>
        <w:t>dieciséis</w:t>
      </w:r>
      <w:r w:rsidRPr="0046689B">
        <w:rPr>
          <w:rFonts w:eastAsia="Calibri" w:cs="Tahoma"/>
          <w:color w:val="000000"/>
          <w:szCs w:val="20"/>
          <w:lang w:eastAsia="es-ES"/>
        </w:rPr>
        <w:t xml:space="preserve"> ambos</w:t>
      </w:r>
      <w:r w:rsidR="00CC24B9">
        <w:rPr>
          <w:rFonts w:eastAsia="Calibri" w:cs="Tahoma"/>
          <w:color w:val="000000"/>
          <w:szCs w:val="20"/>
          <w:lang w:eastAsia="es-ES"/>
        </w:rPr>
        <w:t xml:space="preserve"> de noviembre</w:t>
      </w:r>
      <w:r w:rsidRPr="0046689B">
        <w:rPr>
          <w:rFonts w:eastAsia="Calibri" w:cs="Tahoma"/>
          <w:color w:val="000000"/>
          <w:szCs w:val="20"/>
          <w:lang w:eastAsia="es-ES"/>
        </w:rPr>
        <w:t xml:space="preserve"> de</w:t>
      </w:r>
      <w:r w:rsidR="00C5741E">
        <w:rPr>
          <w:rFonts w:eastAsia="Calibri" w:cs="Tahoma"/>
          <w:color w:val="000000"/>
          <w:szCs w:val="20"/>
          <w:lang w:eastAsia="es-ES"/>
        </w:rPr>
        <w:t xml:space="preserve"> dos mil veintiuno </w:t>
      </w:r>
      <w:r w:rsidRPr="0046689B">
        <w:rPr>
          <w:rFonts w:eastAsia="Calibri" w:cs="Tahoma"/>
          <w:color w:val="000000"/>
          <w:szCs w:val="20"/>
          <w:lang w:eastAsia="es-ES"/>
        </w:rPr>
        <w:t xml:space="preserve">, lo anterior, sin contar los días, </w:t>
      </w:r>
      <w:r w:rsidR="002E4A20">
        <w:rPr>
          <w:rFonts w:eastAsia="Calibri" w:cs="Tahoma"/>
          <w:color w:val="000000"/>
          <w:szCs w:val="20"/>
          <w:lang w:eastAsia="es-ES"/>
        </w:rPr>
        <w:t>treinta y</w:t>
      </w:r>
      <w:r w:rsidRPr="0046689B">
        <w:rPr>
          <w:rFonts w:eastAsia="Calibri" w:cs="Tahoma"/>
          <w:color w:val="000000"/>
          <w:szCs w:val="20"/>
          <w:lang w:eastAsia="es-ES"/>
        </w:rPr>
        <w:t xml:space="preserve"> </w:t>
      </w:r>
      <w:r w:rsidR="002E4A20">
        <w:rPr>
          <w:rFonts w:eastAsia="Calibri" w:cs="Tahoma"/>
          <w:color w:val="000000"/>
          <w:szCs w:val="20"/>
          <w:lang w:eastAsia="es-ES"/>
        </w:rPr>
        <w:t>treinta y uno de octubre, así como</w:t>
      </w:r>
      <w:r w:rsidRPr="0046689B">
        <w:rPr>
          <w:rFonts w:eastAsia="Calibri" w:cs="Tahoma"/>
          <w:color w:val="000000"/>
          <w:szCs w:val="20"/>
          <w:lang w:eastAsia="es-ES"/>
        </w:rPr>
        <w:t xml:space="preserve">, </w:t>
      </w:r>
      <w:r w:rsidR="00CC24B9">
        <w:rPr>
          <w:rFonts w:eastAsia="Calibri" w:cs="Tahoma"/>
          <w:color w:val="000000"/>
          <w:szCs w:val="20"/>
          <w:lang w:eastAsia="es-ES"/>
        </w:rPr>
        <w:t xml:space="preserve">dos, </w:t>
      </w:r>
      <w:r w:rsidR="002E4A20">
        <w:rPr>
          <w:rFonts w:eastAsia="Calibri" w:cs="Tahoma"/>
          <w:color w:val="000000"/>
          <w:szCs w:val="20"/>
          <w:lang w:eastAsia="es-ES"/>
        </w:rPr>
        <w:t>seis</w:t>
      </w:r>
      <w:r w:rsidR="00CC24B9">
        <w:rPr>
          <w:rFonts w:eastAsia="Calibri" w:cs="Tahoma"/>
          <w:color w:val="000000"/>
          <w:szCs w:val="20"/>
          <w:lang w:eastAsia="es-ES"/>
        </w:rPr>
        <w:t>,</w:t>
      </w:r>
      <w:r w:rsidRPr="0046689B">
        <w:rPr>
          <w:rFonts w:eastAsia="Calibri" w:cs="Tahoma"/>
          <w:color w:val="000000"/>
          <w:szCs w:val="20"/>
          <w:lang w:eastAsia="es-ES"/>
        </w:rPr>
        <w:t xml:space="preserve"> </w:t>
      </w:r>
      <w:r w:rsidR="002E4A20">
        <w:rPr>
          <w:rFonts w:eastAsia="Calibri" w:cs="Tahoma"/>
          <w:color w:val="000000"/>
          <w:szCs w:val="20"/>
          <w:lang w:eastAsia="es-ES"/>
        </w:rPr>
        <w:t>siet</w:t>
      </w:r>
      <w:r w:rsidRPr="0046689B">
        <w:rPr>
          <w:rFonts w:eastAsia="Calibri" w:cs="Tahoma"/>
          <w:color w:val="000000"/>
          <w:szCs w:val="20"/>
          <w:lang w:eastAsia="es-ES"/>
        </w:rPr>
        <w:t>e</w:t>
      </w:r>
      <w:r w:rsidR="00CC24B9">
        <w:rPr>
          <w:rFonts w:eastAsia="Calibri" w:cs="Tahoma"/>
          <w:color w:val="000000"/>
          <w:szCs w:val="20"/>
          <w:lang w:eastAsia="es-ES"/>
        </w:rPr>
        <w:t>, trece, catorce y quince</w:t>
      </w:r>
      <w:r w:rsidRPr="0046689B">
        <w:rPr>
          <w:rFonts w:eastAsia="Calibri" w:cs="Tahoma"/>
          <w:color w:val="000000"/>
          <w:szCs w:val="20"/>
          <w:lang w:eastAsia="es-ES"/>
        </w:rPr>
        <w:t xml:space="preserve"> de </w:t>
      </w:r>
      <w:r w:rsidR="002E4A20">
        <w:rPr>
          <w:rFonts w:eastAsia="Calibri" w:cs="Tahoma"/>
          <w:color w:val="000000"/>
          <w:szCs w:val="20"/>
          <w:lang w:eastAsia="es-ES"/>
        </w:rPr>
        <w:t>noviembre</w:t>
      </w:r>
      <w:r w:rsidRPr="0046689B">
        <w:rPr>
          <w:rFonts w:eastAsia="Calibri" w:cs="Tahoma"/>
          <w:color w:val="000000"/>
          <w:szCs w:val="20"/>
          <w:lang w:eastAsia="es-ES"/>
        </w:rPr>
        <w:t xml:space="preserve">, todos de </w:t>
      </w:r>
      <w:r w:rsidR="002E4A20">
        <w:rPr>
          <w:rFonts w:eastAsia="Calibri" w:cs="Tahoma"/>
          <w:color w:val="000000"/>
          <w:szCs w:val="20"/>
          <w:lang w:eastAsia="es-ES"/>
        </w:rPr>
        <w:t>dos mil veintiuno</w:t>
      </w:r>
      <w:r w:rsidRPr="0046689B">
        <w:rPr>
          <w:rFonts w:eastAsia="Calibri" w:cs="Tahoma"/>
          <w:color w:val="000000"/>
          <w:szCs w:val="20"/>
          <w:lang w:eastAsia="es-ES"/>
        </w:rPr>
        <w:t xml:space="preserve">, al ser inhábiles, </w:t>
      </w:r>
      <w:r w:rsidRPr="0046689B">
        <w:rPr>
          <w:rFonts w:eastAsia="Batang" w:cs="Tahoma"/>
          <w:bCs/>
          <w:color w:val="auto"/>
          <w:szCs w:val="20"/>
          <w:lang w:eastAsia="es-ES"/>
        </w:rPr>
        <w:t xml:space="preserve">de conformidad con el artículo 3°, fracción X, de la Ley de Transparencia y Acceso a la Información Pública del Estado de México y Municipios y el </w:t>
      </w:r>
      <w:r w:rsidRPr="0046689B">
        <w:rPr>
          <w:rFonts w:eastAsia="Batang" w:cs="Tahoma"/>
          <w:color w:val="auto"/>
          <w:szCs w:val="20"/>
          <w:lang w:val="es-ES" w:eastAsia="es-ES"/>
        </w:rPr>
        <w:t>Calendario Oficial en Materia de Transparencia, Acceso a la Información Pública y Protección de Datos Personales del Estado de México y Municipios, así como de laborales de este Instituto, para el año dos mil veintiuno y enero dos mil veintidós.</w:t>
      </w:r>
    </w:p>
    <w:p w14:paraId="362FE5C8" w14:textId="77777777" w:rsidR="0046689B" w:rsidRPr="0046689B" w:rsidRDefault="0046689B" w:rsidP="0046689B">
      <w:pPr>
        <w:spacing w:after="0" w:line="360" w:lineRule="auto"/>
        <w:rPr>
          <w:rFonts w:eastAsia="Times New Roman" w:cs="Tahoma"/>
          <w:color w:val="auto"/>
          <w:lang w:val="es-ES" w:eastAsia="es-ES"/>
        </w:rPr>
      </w:pPr>
    </w:p>
    <w:p w14:paraId="0696554B" w14:textId="01A29F17" w:rsidR="00370FE3" w:rsidRPr="0046689B" w:rsidRDefault="0046689B" w:rsidP="00B65B3A">
      <w:pPr>
        <w:spacing w:after="0" w:line="360" w:lineRule="auto"/>
        <w:rPr>
          <w:rFonts w:eastAsia="Times New Roman" w:cs="Tahoma"/>
          <w:color w:val="auto"/>
          <w:lang w:val="es-ES" w:eastAsia="es-ES"/>
        </w:rPr>
      </w:pPr>
      <w:r w:rsidRPr="0046689B">
        <w:rPr>
          <w:rFonts w:eastAsia="Times New Roman" w:cs="Tahoma"/>
          <w:color w:val="auto"/>
          <w:lang w:val="es-ES" w:eastAsia="es-ES"/>
        </w:rPr>
        <w:lastRenderedPageBreak/>
        <w:t>Así, este Instituto verificó que, en efecto, no se registró respuesta a la solicitud y cumplimiento a la Resolución, en el Sistema de Acceso a la Información Mexiquense (SAIMEX), tal como se observa a continuación:</w:t>
      </w:r>
    </w:p>
    <w:p w14:paraId="5E55D9D2" w14:textId="77777777" w:rsidR="00F910E8" w:rsidRDefault="00F910E8" w:rsidP="00BD6E61">
      <w:pPr>
        <w:spacing w:after="0" w:line="360" w:lineRule="auto"/>
        <w:jc w:val="center"/>
        <w:rPr>
          <w:noProof/>
        </w:rPr>
      </w:pPr>
    </w:p>
    <w:p w14:paraId="1C14C2D1" w14:textId="56054CEA" w:rsidR="00BD6E61" w:rsidRDefault="00995AD8" w:rsidP="00BD6E61">
      <w:pPr>
        <w:spacing w:after="0" w:line="360" w:lineRule="auto"/>
        <w:jc w:val="center"/>
        <w:rPr>
          <w:noProof/>
        </w:rPr>
      </w:pPr>
      <w:r>
        <w:rPr>
          <w:noProof/>
          <w:lang w:eastAsia="es-MX"/>
        </w:rPr>
        <w:drawing>
          <wp:inline distT="0" distB="0" distL="0" distR="0" wp14:anchorId="64BB653D" wp14:editId="062F0CA8">
            <wp:extent cx="3963035" cy="1176655"/>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3035" cy="1176655"/>
                    </a:xfrm>
                    <a:prstGeom prst="rect">
                      <a:avLst/>
                    </a:prstGeom>
                    <a:noFill/>
                  </pic:spPr>
                </pic:pic>
              </a:graphicData>
            </a:graphic>
          </wp:inline>
        </w:drawing>
      </w:r>
    </w:p>
    <w:p w14:paraId="7A7678C6" w14:textId="2E043513" w:rsidR="00F910E8" w:rsidRDefault="00F910E8" w:rsidP="00F910E8">
      <w:pPr>
        <w:spacing w:after="0" w:line="360" w:lineRule="auto"/>
        <w:jc w:val="center"/>
        <w:rPr>
          <w:noProof/>
        </w:rPr>
      </w:pPr>
      <w:r>
        <w:rPr>
          <w:noProof/>
        </w:rPr>
        <w:t>…</w:t>
      </w:r>
    </w:p>
    <w:p w14:paraId="135D96BE" w14:textId="43B702DC" w:rsidR="00F910E8" w:rsidRDefault="00995AD8" w:rsidP="004D290A">
      <w:pPr>
        <w:spacing w:after="0" w:line="360" w:lineRule="auto"/>
        <w:jc w:val="center"/>
        <w:rPr>
          <w:noProof/>
        </w:rPr>
      </w:pPr>
      <w:r>
        <w:rPr>
          <w:noProof/>
          <w:lang w:eastAsia="es-MX"/>
        </w:rPr>
        <w:drawing>
          <wp:inline distT="0" distB="0" distL="0" distR="0" wp14:anchorId="110E17E9" wp14:editId="241138A6">
            <wp:extent cx="3963035" cy="13049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3035" cy="1304925"/>
                    </a:xfrm>
                    <a:prstGeom prst="rect">
                      <a:avLst/>
                    </a:prstGeom>
                    <a:noFill/>
                  </pic:spPr>
                </pic:pic>
              </a:graphicData>
            </a:graphic>
          </wp:inline>
        </w:drawing>
      </w:r>
    </w:p>
    <w:p w14:paraId="53626194" w14:textId="77777777" w:rsidR="00F910E8" w:rsidRDefault="00F910E8" w:rsidP="00F910E8">
      <w:pPr>
        <w:spacing w:after="0" w:line="360" w:lineRule="auto"/>
        <w:rPr>
          <w:noProof/>
        </w:rPr>
      </w:pPr>
    </w:p>
    <w:p w14:paraId="1A9CE123" w14:textId="3FE39C6D" w:rsidR="00B744EB" w:rsidRDefault="00995AD8" w:rsidP="00F910E8">
      <w:pPr>
        <w:spacing w:after="0" w:line="360" w:lineRule="auto"/>
        <w:jc w:val="center"/>
        <w:rPr>
          <w:noProof/>
        </w:rPr>
      </w:pPr>
      <w:r>
        <w:rPr>
          <w:noProof/>
          <w:lang w:eastAsia="es-MX"/>
        </w:rPr>
        <w:drawing>
          <wp:inline distT="0" distB="0" distL="0" distR="0" wp14:anchorId="15904921" wp14:editId="48069735">
            <wp:extent cx="3963035" cy="1176655"/>
            <wp:effectExtent l="0" t="0" r="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3035" cy="1176655"/>
                    </a:xfrm>
                    <a:prstGeom prst="rect">
                      <a:avLst/>
                    </a:prstGeom>
                    <a:noFill/>
                  </pic:spPr>
                </pic:pic>
              </a:graphicData>
            </a:graphic>
          </wp:inline>
        </w:drawing>
      </w:r>
    </w:p>
    <w:p w14:paraId="4366F2E1" w14:textId="1DD553DA" w:rsidR="00F910E8" w:rsidRDefault="00F910E8" w:rsidP="00F910E8">
      <w:pPr>
        <w:spacing w:after="0" w:line="360" w:lineRule="auto"/>
        <w:jc w:val="center"/>
        <w:rPr>
          <w:noProof/>
        </w:rPr>
      </w:pPr>
      <w:r>
        <w:rPr>
          <w:noProof/>
        </w:rPr>
        <w:t>…</w:t>
      </w:r>
    </w:p>
    <w:p w14:paraId="55FB1B52" w14:textId="597AD144" w:rsidR="00B744EB" w:rsidRDefault="00995AD8" w:rsidP="00F910E8">
      <w:pPr>
        <w:spacing w:after="0" w:line="360" w:lineRule="auto"/>
        <w:jc w:val="center"/>
        <w:rPr>
          <w:noProof/>
        </w:rPr>
      </w:pPr>
      <w:r>
        <w:rPr>
          <w:noProof/>
          <w:lang w:eastAsia="es-MX"/>
        </w:rPr>
        <w:drawing>
          <wp:inline distT="0" distB="0" distL="0" distR="0" wp14:anchorId="66284F2F" wp14:editId="70110F09">
            <wp:extent cx="3963035" cy="1402080"/>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035" cy="1402080"/>
                    </a:xfrm>
                    <a:prstGeom prst="rect">
                      <a:avLst/>
                    </a:prstGeom>
                    <a:noFill/>
                  </pic:spPr>
                </pic:pic>
              </a:graphicData>
            </a:graphic>
          </wp:inline>
        </w:drawing>
      </w:r>
      <w:bookmarkStart w:id="15" w:name="_GoBack"/>
      <w:bookmarkEnd w:id="15"/>
    </w:p>
    <w:p w14:paraId="0E7A4D02" w14:textId="58545BB6" w:rsidR="0046689B" w:rsidRPr="0046689B" w:rsidRDefault="0046689B" w:rsidP="003E2ABB">
      <w:pPr>
        <w:spacing w:after="0" w:line="360" w:lineRule="auto"/>
        <w:rPr>
          <w:rFonts w:eastAsia="Times New Roman" w:cs="Tahoma"/>
          <w:color w:val="auto"/>
          <w:lang w:val="es-ES" w:eastAsia="es-ES"/>
        </w:rPr>
      </w:pPr>
    </w:p>
    <w:p w14:paraId="04E906B1" w14:textId="4EE3604F" w:rsidR="0046689B" w:rsidRPr="0046689B" w:rsidRDefault="0046689B" w:rsidP="003E2ABB">
      <w:pPr>
        <w:spacing w:after="0" w:line="360" w:lineRule="auto"/>
        <w:rPr>
          <w:rFonts w:eastAsia="Times New Roman" w:cs="Times New Roman"/>
          <w:bCs/>
          <w:color w:val="auto"/>
          <w:lang w:val="es-ES_tradnl" w:eastAsia="es-ES"/>
        </w:rPr>
      </w:pPr>
      <w:r w:rsidRPr="0046689B">
        <w:rPr>
          <w:rFonts w:ascii="Times New Roman" w:eastAsia="Times New Roman" w:hAnsi="Times New Roman" w:cs="Times New Roman"/>
          <w:noProof/>
          <w:color w:val="auto"/>
          <w:sz w:val="20"/>
          <w:szCs w:val="20"/>
          <w:lang w:val="es-ES" w:eastAsia="es-ES"/>
        </w:rPr>
        <w:t xml:space="preserve"> </w:t>
      </w:r>
      <w:r w:rsidRPr="0046689B">
        <w:rPr>
          <w:rFonts w:eastAsia="Calibri" w:cs="Tahoma"/>
          <w:bCs/>
          <w:color w:val="000000"/>
          <w:szCs w:val="20"/>
          <w:lang w:eastAsia="es-ES"/>
        </w:rPr>
        <w:t xml:space="preserve">Así, se colige que, tal como lo precisó el Recurrente, el </w:t>
      </w:r>
      <w:r w:rsidRPr="0046689B">
        <w:rPr>
          <w:rFonts w:eastAsia="Calibri" w:cs="Tahoma"/>
          <w:color w:val="auto"/>
          <w:szCs w:val="20"/>
          <w:lang w:eastAsia="es-ES"/>
        </w:rPr>
        <w:t xml:space="preserve">Ayuntamiento de </w:t>
      </w:r>
      <w:r w:rsidR="003E2ABB" w:rsidRPr="003E2ABB">
        <w:rPr>
          <w:rFonts w:eastAsia="Calibri" w:cs="Tahoma"/>
          <w:color w:val="auto"/>
          <w:szCs w:val="20"/>
          <w:lang w:eastAsia="es-ES"/>
        </w:rPr>
        <w:t>Tezoyuca</w:t>
      </w:r>
      <w:r w:rsidRPr="0046689B">
        <w:rPr>
          <w:rFonts w:eastAsia="Calibri" w:cs="Tahoma"/>
          <w:color w:val="000000"/>
          <w:szCs w:val="20"/>
          <w:lang w:eastAsia="es-ES"/>
        </w:rPr>
        <w:t>, no</w:t>
      </w:r>
      <w:r w:rsidRPr="0046689B">
        <w:rPr>
          <w:rFonts w:eastAsia="Calibri" w:cs="Tahoma"/>
          <w:bCs/>
          <w:color w:val="000000"/>
          <w:szCs w:val="20"/>
          <w:lang w:eastAsia="es-ES"/>
        </w:rPr>
        <w:t xml:space="preserve"> emitió respuesta para dar contestación a la solicitud de información, ni cumplimiento a la Resolución del Recurso de Revisión </w:t>
      </w:r>
      <w:r w:rsidR="003E2ABB" w:rsidRPr="003E2ABB">
        <w:rPr>
          <w:rFonts w:eastAsia="Times New Roman" w:cs="Times New Roman"/>
          <w:bCs/>
          <w:color w:val="auto"/>
          <w:lang w:val="es-ES_tradnl" w:eastAsia="es-ES"/>
        </w:rPr>
        <w:t>04926/INFOEM/IP/RR/2021 y</w:t>
      </w:r>
      <w:r w:rsidR="003E2ABB">
        <w:rPr>
          <w:rFonts w:eastAsia="Times New Roman" w:cs="Times New Roman"/>
          <w:bCs/>
          <w:color w:val="auto"/>
          <w:lang w:val="es-ES_tradnl" w:eastAsia="es-ES"/>
        </w:rPr>
        <w:t xml:space="preserve"> </w:t>
      </w:r>
      <w:r w:rsidR="003E2ABB" w:rsidRPr="003E2ABB">
        <w:rPr>
          <w:rFonts w:eastAsia="Times New Roman" w:cs="Times New Roman"/>
          <w:bCs/>
          <w:color w:val="auto"/>
          <w:lang w:val="es-ES_tradnl" w:eastAsia="es-ES"/>
        </w:rPr>
        <w:t>acumulado</w:t>
      </w:r>
      <w:r w:rsidRPr="0046689B">
        <w:rPr>
          <w:rFonts w:eastAsia="Calibri" w:cs="Tahoma"/>
          <w:bCs/>
          <w:color w:val="000000"/>
          <w:szCs w:val="20"/>
          <w:lang w:eastAsia="es-ES"/>
        </w:rPr>
        <w:t xml:space="preserve">, dentro del plazo determinado, pues tenía hasta el </w:t>
      </w:r>
      <w:r w:rsidR="00CC24B9">
        <w:rPr>
          <w:rFonts w:eastAsia="Calibri" w:cs="Tahoma"/>
          <w:color w:val="000000"/>
          <w:szCs w:val="20"/>
          <w:lang w:eastAsia="es-ES"/>
        </w:rPr>
        <w:t>dieciséis</w:t>
      </w:r>
      <w:r w:rsidRPr="0046689B">
        <w:rPr>
          <w:rFonts w:eastAsia="Calibri" w:cs="Tahoma"/>
          <w:color w:val="000000"/>
          <w:szCs w:val="20"/>
          <w:lang w:eastAsia="es-ES"/>
        </w:rPr>
        <w:t xml:space="preserve"> de </w:t>
      </w:r>
      <w:r w:rsidR="00B85CA5">
        <w:rPr>
          <w:rFonts w:eastAsia="Calibri" w:cs="Tahoma"/>
          <w:color w:val="000000"/>
          <w:szCs w:val="20"/>
          <w:lang w:eastAsia="es-ES"/>
        </w:rPr>
        <w:t>noviembre</w:t>
      </w:r>
      <w:r w:rsidRPr="0046689B">
        <w:rPr>
          <w:rFonts w:eastAsia="Calibri" w:cs="Tahoma"/>
          <w:color w:val="000000"/>
          <w:szCs w:val="20"/>
          <w:lang w:eastAsia="es-ES"/>
        </w:rPr>
        <w:t xml:space="preserve"> </w:t>
      </w:r>
      <w:r w:rsidRPr="0046689B">
        <w:rPr>
          <w:rFonts w:eastAsia="Calibri" w:cs="Tahoma"/>
          <w:bCs/>
          <w:color w:val="000000"/>
          <w:szCs w:val="20"/>
          <w:lang w:eastAsia="es-ES"/>
        </w:rPr>
        <w:t xml:space="preserve">de dos mil veintiuno, para realizar dicha situación, por lo que es evidente que el agravio es </w:t>
      </w:r>
      <w:r w:rsidRPr="0046689B">
        <w:rPr>
          <w:rFonts w:eastAsia="Calibri" w:cs="Tahoma"/>
          <w:b/>
          <w:color w:val="000000"/>
          <w:szCs w:val="20"/>
          <w:lang w:eastAsia="es-ES"/>
        </w:rPr>
        <w:t xml:space="preserve">FUNDADO, </w:t>
      </w:r>
      <w:r w:rsidRPr="0046689B">
        <w:rPr>
          <w:rFonts w:eastAsia="Calibri" w:cs="Tahoma"/>
          <w:color w:val="000000"/>
          <w:szCs w:val="20"/>
          <w:lang w:eastAsia="es-ES"/>
        </w:rPr>
        <w:t>inclusive a la fecha no ha emitido contestación alguna.</w:t>
      </w:r>
    </w:p>
    <w:p w14:paraId="0960BFAD" w14:textId="77777777" w:rsidR="0046689B" w:rsidRDefault="0046689B" w:rsidP="008567E8">
      <w:pPr>
        <w:spacing w:after="0" w:line="360" w:lineRule="auto"/>
        <w:rPr>
          <w:rFonts w:eastAsia="Times New Roman" w:cs="Tahoma"/>
          <w:bCs/>
          <w:iCs/>
          <w:color w:val="auto"/>
          <w:lang w:eastAsia="es-ES"/>
        </w:rPr>
      </w:pPr>
    </w:p>
    <w:p w14:paraId="197900F0" w14:textId="58CA7AA1" w:rsidR="00051642" w:rsidRDefault="00B85CA5" w:rsidP="008567E8">
      <w:pPr>
        <w:spacing w:after="0" w:line="360" w:lineRule="auto"/>
        <w:rPr>
          <w:rFonts w:eastAsia="Calibri" w:cs="Tahoma"/>
          <w:bCs/>
        </w:rPr>
      </w:pPr>
      <w:r w:rsidRPr="00B85CA5">
        <w:rPr>
          <w:rFonts w:eastAsia="Calibri" w:cs="Tahoma"/>
          <w:bCs/>
          <w:color w:val="auto"/>
          <w:lang w:eastAsia="es-ES"/>
        </w:rPr>
        <w:t xml:space="preserve">Con base en lo expuesto, es procedente </w:t>
      </w:r>
      <w:r w:rsidRPr="00B85CA5">
        <w:rPr>
          <w:rFonts w:eastAsia="Calibri" w:cs="Tahoma"/>
          <w:b/>
          <w:bCs/>
          <w:color w:val="auto"/>
          <w:lang w:eastAsia="es-ES"/>
        </w:rPr>
        <w:t>ORDENAR</w:t>
      </w:r>
      <w:r w:rsidRPr="00B85CA5">
        <w:rPr>
          <w:rFonts w:eastAsia="Calibri" w:cs="Tahoma"/>
          <w:bCs/>
          <w:color w:val="auto"/>
          <w:lang w:eastAsia="es-ES"/>
        </w:rPr>
        <w:t xml:space="preserve"> al Sujeto Obligado, que emita respuesta que a derecho corresponda, al requerimiento de información; no obstante, para tal circunstancia es necesario analizar la naturaleza de la información, </w:t>
      </w:r>
      <w:r w:rsidR="00051642">
        <w:rPr>
          <w:rFonts w:eastAsia="Calibri" w:cs="Tahoma"/>
          <w:bCs/>
        </w:rPr>
        <w:t xml:space="preserve">relacionado con </w:t>
      </w:r>
      <w:r w:rsidR="006277C5">
        <w:rPr>
          <w:rFonts w:eastAsia="Calibri" w:cs="Tahoma"/>
          <w:bCs/>
        </w:rPr>
        <w:t>el tabulador de sueldos y salarios</w:t>
      </w:r>
      <w:r w:rsidR="008E2DA1">
        <w:rPr>
          <w:rFonts w:eastAsia="Calibri" w:cs="Tahoma"/>
          <w:bCs/>
        </w:rPr>
        <w:t>, así como la nómina de todos los servidores públicos del Ayuntamiento de Tezoyuca.</w:t>
      </w:r>
    </w:p>
    <w:p w14:paraId="5225A3EB" w14:textId="34DB4331" w:rsidR="00051642" w:rsidRDefault="00051642" w:rsidP="008567E8">
      <w:pPr>
        <w:spacing w:after="0" w:line="360" w:lineRule="auto"/>
        <w:rPr>
          <w:rFonts w:eastAsia="Calibri" w:cs="Tahoma"/>
          <w:bCs/>
        </w:rPr>
      </w:pPr>
    </w:p>
    <w:p w14:paraId="5AAD8CD6" w14:textId="4DB65634" w:rsidR="008E2DA1" w:rsidRPr="008E2DA1" w:rsidRDefault="008E2DA1" w:rsidP="008567E8">
      <w:pPr>
        <w:spacing w:after="0" w:line="360" w:lineRule="auto"/>
        <w:rPr>
          <w:rFonts w:eastAsia="Calibri" w:cs="Tahoma"/>
          <w:b/>
        </w:rPr>
      </w:pPr>
      <w:r w:rsidRPr="008E2DA1">
        <w:rPr>
          <w:rFonts w:eastAsia="Calibri" w:cs="Tahoma"/>
          <w:b/>
        </w:rPr>
        <w:t>Tabulador de sueldos y salarios</w:t>
      </w:r>
    </w:p>
    <w:p w14:paraId="6715D6F7" w14:textId="77777777" w:rsidR="008E2DA1" w:rsidRDefault="008E2DA1" w:rsidP="008567E8">
      <w:pPr>
        <w:spacing w:after="0" w:line="360" w:lineRule="auto"/>
        <w:rPr>
          <w:rFonts w:eastAsia="Calibri" w:cs="Tahoma"/>
          <w:bCs/>
        </w:rPr>
      </w:pPr>
    </w:p>
    <w:p w14:paraId="764B47D1" w14:textId="1217FFC4" w:rsidR="006277C5" w:rsidRPr="006277C5" w:rsidRDefault="006277C5" w:rsidP="008567E8">
      <w:pPr>
        <w:autoSpaceDE w:val="0"/>
        <w:autoSpaceDN w:val="0"/>
        <w:adjustRightInd w:val="0"/>
        <w:spacing w:after="0" w:line="360" w:lineRule="auto"/>
        <w:rPr>
          <w:rFonts w:eastAsia="Calibri" w:cs="Tahoma"/>
          <w:bCs/>
          <w:color w:val="auto"/>
        </w:rPr>
      </w:pPr>
      <w:bookmarkStart w:id="16" w:name="_Hlk76480431"/>
      <w:r w:rsidRPr="006277C5">
        <w:rPr>
          <w:rFonts w:eastAsia="Times New Roman" w:cs="Tahoma"/>
          <w:color w:val="auto"/>
          <w:lang w:eastAsia="es-ES"/>
        </w:rPr>
        <w:t xml:space="preserve">Ahora bien, </w:t>
      </w:r>
      <w:r w:rsidR="008E2DA1">
        <w:rPr>
          <w:rFonts w:eastAsia="Times New Roman" w:cs="Tahoma"/>
          <w:color w:val="auto"/>
          <w:lang w:eastAsia="es-ES"/>
        </w:rPr>
        <w:t>por lo que hace al tabulador de sueldos y salarios</w:t>
      </w:r>
      <w:r w:rsidRPr="006277C5">
        <w:rPr>
          <w:rFonts w:eastAsia="Times New Roman" w:cs="Tahoma"/>
          <w:color w:val="auto"/>
          <w:lang w:eastAsia="es-ES"/>
        </w:rPr>
        <w:t xml:space="preserve">, </w:t>
      </w:r>
      <w:r w:rsidRPr="006277C5">
        <w:rPr>
          <w:rFonts w:eastAsia="Calibri" w:cs="Tahoma"/>
          <w:bCs/>
          <w:color w:val="auto"/>
        </w:rPr>
        <w:t xml:space="preserve">el artículo 31, fracción XIX, de la Ley Orgánica Municipal del Estado de México, relacionado con el 285 del Código Financiero del Estado de México y Municipios, establece que los </w:t>
      </w:r>
      <w:r w:rsidRPr="006277C5">
        <w:rPr>
          <w:rFonts w:eastAsia="Calibri" w:cs="Tahoma"/>
          <w:b/>
          <w:color w:val="auto"/>
        </w:rPr>
        <w:t>Ayuntamientos serán los encargados de aprobar anualmente, el Presupuesto de Egresos, en base a los ingresos presupuestados para el ejercicio que corresponda</w:t>
      </w:r>
      <w:r w:rsidRPr="006277C5">
        <w:rPr>
          <w:rFonts w:eastAsia="Calibri" w:cs="Tahoma"/>
          <w:bCs/>
          <w:color w:val="auto"/>
        </w:rPr>
        <w:t>.</w:t>
      </w:r>
    </w:p>
    <w:p w14:paraId="410F0D78" w14:textId="77777777" w:rsidR="006277C5" w:rsidRPr="006277C5" w:rsidRDefault="006277C5" w:rsidP="008567E8">
      <w:pPr>
        <w:autoSpaceDE w:val="0"/>
        <w:autoSpaceDN w:val="0"/>
        <w:adjustRightInd w:val="0"/>
        <w:spacing w:after="0" w:line="360" w:lineRule="auto"/>
        <w:rPr>
          <w:rFonts w:eastAsia="Calibri" w:cs="Tahoma"/>
          <w:bCs/>
          <w:color w:val="auto"/>
        </w:rPr>
      </w:pPr>
    </w:p>
    <w:p w14:paraId="28E5A59F" w14:textId="1223BD50" w:rsidR="00EE1EE0" w:rsidRPr="00EE1EE0" w:rsidRDefault="00EE1EE0" w:rsidP="00EE1EE0">
      <w:pPr>
        <w:autoSpaceDE w:val="0"/>
        <w:autoSpaceDN w:val="0"/>
        <w:adjustRightInd w:val="0"/>
        <w:spacing w:after="0" w:line="360" w:lineRule="auto"/>
        <w:rPr>
          <w:rFonts w:eastAsia="Times New Roman" w:cs="Tahoma"/>
          <w:bCs/>
          <w:iCs/>
          <w:color w:val="auto"/>
          <w:lang w:eastAsia="es-ES"/>
        </w:rPr>
      </w:pPr>
      <w:r w:rsidRPr="00EE1EE0">
        <w:rPr>
          <w:rFonts w:eastAsia="Times New Roman" w:cs="Tahoma"/>
          <w:bCs/>
          <w:color w:val="auto"/>
          <w:lang w:eastAsia="es-ES"/>
        </w:rPr>
        <w:t xml:space="preserve">De lo anterior, se logra desprender que anualmente en el Presupuesto de Egresos Municipal, se deben establecer las remuneraciones de todos los servidores públicos en general; </w:t>
      </w:r>
      <w:r w:rsidRPr="00EE1EE0">
        <w:rPr>
          <w:rFonts w:eastAsia="Times New Roman" w:cs="Tahoma"/>
          <w:color w:val="auto"/>
          <w:lang w:eastAsia="es-ES"/>
        </w:rPr>
        <w:t>al respecto, el anexo IV.5 Glosario de Términos, de</w:t>
      </w:r>
      <w:r w:rsidR="00437C6C">
        <w:rPr>
          <w:rFonts w:eastAsia="Times New Roman" w:cs="Tahoma"/>
          <w:color w:val="auto"/>
          <w:lang w:eastAsia="es-ES"/>
        </w:rPr>
        <w:t xml:space="preserve"> </w:t>
      </w:r>
      <w:r w:rsidRPr="00EE1EE0">
        <w:rPr>
          <w:rFonts w:eastAsia="Times New Roman" w:cs="Tahoma"/>
          <w:color w:val="auto"/>
          <w:lang w:eastAsia="es-ES"/>
        </w:rPr>
        <w:t>l</w:t>
      </w:r>
      <w:r w:rsidR="00437C6C">
        <w:rPr>
          <w:rFonts w:eastAsia="Times New Roman" w:cs="Tahoma"/>
          <w:color w:val="auto"/>
          <w:lang w:eastAsia="es-ES"/>
        </w:rPr>
        <w:t>os</w:t>
      </w:r>
      <w:r w:rsidRPr="00EE1EE0">
        <w:rPr>
          <w:rFonts w:eastAsia="Times New Roman" w:cs="Tahoma"/>
          <w:color w:val="auto"/>
          <w:lang w:eastAsia="es-ES"/>
        </w:rPr>
        <w:t xml:space="preserve"> Manual</w:t>
      </w:r>
      <w:r w:rsidR="00437C6C">
        <w:rPr>
          <w:rFonts w:eastAsia="Times New Roman" w:cs="Tahoma"/>
          <w:color w:val="auto"/>
          <w:lang w:eastAsia="es-ES"/>
        </w:rPr>
        <w:t>es</w:t>
      </w:r>
      <w:r w:rsidRPr="00EE1EE0">
        <w:rPr>
          <w:rFonts w:eastAsia="Times New Roman" w:cs="Tahoma"/>
          <w:color w:val="auto"/>
          <w:lang w:eastAsia="es-ES"/>
        </w:rPr>
        <w:t xml:space="preserve"> para la Planeación, Programación y Presupuesto de Egresos Municipal para </w:t>
      </w:r>
      <w:r w:rsidR="00437C6C">
        <w:rPr>
          <w:rFonts w:eastAsia="Times New Roman" w:cs="Tahoma"/>
          <w:color w:val="auto"/>
          <w:lang w:eastAsia="es-ES"/>
        </w:rPr>
        <w:t>los Ejercicios Fiscales dos mil diecinueve, dos mil veinte</w:t>
      </w:r>
      <w:r w:rsidRPr="00EE1EE0">
        <w:rPr>
          <w:rFonts w:eastAsia="Times New Roman" w:cs="Tahoma"/>
          <w:color w:val="auto"/>
          <w:lang w:eastAsia="es-ES"/>
        </w:rPr>
        <w:t>, dos mil veintiuno, establece</w:t>
      </w:r>
      <w:r w:rsidR="00437C6C">
        <w:rPr>
          <w:rFonts w:eastAsia="Times New Roman" w:cs="Tahoma"/>
          <w:color w:val="auto"/>
          <w:lang w:eastAsia="es-ES"/>
        </w:rPr>
        <w:t>n</w:t>
      </w:r>
      <w:r w:rsidRPr="00EE1EE0">
        <w:rPr>
          <w:rFonts w:eastAsia="Times New Roman" w:cs="Tahoma"/>
          <w:color w:val="auto"/>
          <w:lang w:eastAsia="es-ES"/>
        </w:rPr>
        <w:t xml:space="preserve"> que el </w:t>
      </w:r>
      <w:r w:rsidRPr="00EE1EE0">
        <w:rPr>
          <w:rFonts w:eastAsia="Times New Roman" w:cs="Tahoma"/>
          <w:b/>
          <w:bCs/>
          <w:color w:val="auto"/>
          <w:lang w:eastAsia="es-ES"/>
        </w:rPr>
        <w:t xml:space="preserve">Presupuesto de Egresos </w:t>
      </w:r>
      <w:r w:rsidRPr="00EE1EE0">
        <w:rPr>
          <w:rFonts w:eastAsia="Times New Roman" w:cs="Tahoma"/>
          <w:b/>
          <w:bCs/>
          <w:color w:val="auto"/>
          <w:lang w:eastAsia="es-ES"/>
        </w:rPr>
        <w:lastRenderedPageBreak/>
        <w:t xml:space="preserve">Municipal </w:t>
      </w:r>
      <w:r w:rsidRPr="00EE1EE0">
        <w:rPr>
          <w:rFonts w:eastAsia="Times New Roman" w:cs="Tahoma"/>
          <w:color w:val="auto"/>
          <w:lang w:eastAsia="es-ES"/>
        </w:rPr>
        <w:t>es el documento jurídico y de política económica aprobado por el Cabildo, en que se consigna de acuerdo con su naturaleza y cuantía, el gasto público que ejercerán las dependencias generales y auxiliares, durante un ejercicio fiscal</w:t>
      </w:r>
    </w:p>
    <w:p w14:paraId="0D0F82E2" w14:textId="77777777" w:rsidR="00EE1EE0" w:rsidRPr="00EE1EE0" w:rsidRDefault="00EE1EE0" w:rsidP="00EE1EE0">
      <w:pPr>
        <w:spacing w:after="0" w:line="360" w:lineRule="auto"/>
        <w:rPr>
          <w:rFonts w:eastAsia="Times New Roman" w:cs="Tahoma"/>
          <w:bCs/>
          <w:iCs/>
          <w:color w:val="auto"/>
          <w:lang w:eastAsia="es-ES"/>
        </w:rPr>
      </w:pPr>
    </w:p>
    <w:p w14:paraId="271CC6F9" w14:textId="42FDF096" w:rsidR="00EE1EE0" w:rsidRPr="00EE1EE0" w:rsidRDefault="00EE1EE0" w:rsidP="00EE1EE0">
      <w:pPr>
        <w:spacing w:after="0" w:line="360" w:lineRule="auto"/>
        <w:ind w:right="-28"/>
        <w:contextualSpacing/>
        <w:rPr>
          <w:rFonts w:eastAsia="Times New Roman" w:cs="Tahoma"/>
          <w:color w:val="auto"/>
          <w:lang w:eastAsia="es-ES"/>
        </w:rPr>
      </w:pPr>
      <w:r w:rsidRPr="00EE1EE0">
        <w:rPr>
          <w:rFonts w:eastAsia="Times New Roman" w:cs="Tahoma"/>
          <w:color w:val="auto"/>
          <w:lang w:eastAsia="es-ES"/>
        </w:rPr>
        <w:t xml:space="preserve">En ese orden de ideas, la Guía Técnica 7 Elaboración y Ejercicio de Presupuesto de Egresos del Instituto Nacional para el Federalismo y el Desarrollo Municipal (consultada el </w:t>
      </w:r>
      <w:r w:rsidR="00437C6C">
        <w:rPr>
          <w:rFonts w:eastAsia="Times New Roman" w:cs="Tahoma"/>
          <w:color w:val="auto"/>
          <w:lang w:eastAsia="es-ES"/>
        </w:rPr>
        <w:t>once de enero de dos mil veintiuno</w:t>
      </w:r>
      <w:r w:rsidRPr="00EE1EE0">
        <w:rPr>
          <w:rFonts w:eastAsia="Times New Roman" w:cs="Tahoma"/>
          <w:color w:val="auto"/>
          <w:lang w:eastAsia="es-ES"/>
        </w:rPr>
        <w:t xml:space="preserve">, a las doce horas con veintidós minutos, en la liga electrónica </w:t>
      </w:r>
      <w:hyperlink r:id="rId12" w:history="1">
        <w:r w:rsidR="004D290A" w:rsidRPr="00EE1EE0">
          <w:rPr>
            <w:rStyle w:val="Hipervnculo"/>
            <w:rFonts w:eastAsiaTheme="majorEastAsia" w:cs="Tahoma"/>
            <w:lang w:eastAsia="es-ES"/>
          </w:rPr>
          <w:t>http://www.inafed.gob.mx/work/models/inafed/Resource/335/1/images/guia07_elaboracion_y_ejercicio_del_presupuesto_de_egresos.pdf</w:t>
        </w:r>
      </w:hyperlink>
      <w:r w:rsidRPr="00EE1EE0">
        <w:rPr>
          <w:rFonts w:eastAsia="Times New Roman" w:cs="Tahoma"/>
          <w:color w:val="auto"/>
          <w:lang w:eastAsia="es-ES"/>
        </w:rPr>
        <w:t>), establece que el Presupuesto de Egresos constituye el programa anual de gastos del municipio, al permitir al Ayuntamiento:</w:t>
      </w:r>
    </w:p>
    <w:p w14:paraId="1609F665" w14:textId="77777777" w:rsidR="00EE1EE0" w:rsidRPr="00EE1EE0" w:rsidRDefault="00EE1EE0" w:rsidP="00EE1EE0">
      <w:pPr>
        <w:spacing w:after="0" w:line="360" w:lineRule="auto"/>
        <w:ind w:right="-28"/>
        <w:contextualSpacing/>
        <w:rPr>
          <w:rFonts w:eastAsia="Times New Roman" w:cs="Tahoma"/>
          <w:b/>
          <w:bCs/>
          <w:color w:val="auto"/>
          <w:lang w:eastAsia="es-ES"/>
        </w:rPr>
      </w:pPr>
    </w:p>
    <w:p w14:paraId="173E37CE" w14:textId="77777777" w:rsidR="00EE1EE0" w:rsidRDefault="00EE1EE0" w:rsidP="00EE1EE0">
      <w:pPr>
        <w:numPr>
          <w:ilvl w:val="0"/>
          <w:numId w:val="5"/>
        </w:numPr>
        <w:spacing w:after="0" w:line="360" w:lineRule="auto"/>
        <w:ind w:right="-28"/>
        <w:contextualSpacing/>
        <w:jc w:val="left"/>
        <w:rPr>
          <w:rFonts w:eastAsia="Times New Roman" w:cs="Tahoma"/>
          <w:color w:val="auto"/>
          <w:lang w:eastAsia="es-ES"/>
        </w:rPr>
      </w:pPr>
      <w:r w:rsidRPr="00EE1EE0">
        <w:rPr>
          <w:rFonts w:eastAsia="Times New Roman" w:cs="Tahoma"/>
          <w:color w:val="auto"/>
          <w:lang w:eastAsia="es-ES"/>
        </w:rPr>
        <w:t>Prever los recursos financieros necesarios para la administración municipal;</w:t>
      </w:r>
    </w:p>
    <w:p w14:paraId="682B15FA" w14:textId="77777777" w:rsidR="009638DE" w:rsidRPr="00EE1EE0" w:rsidRDefault="009638DE" w:rsidP="009638DE">
      <w:pPr>
        <w:spacing w:after="0" w:line="360" w:lineRule="auto"/>
        <w:ind w:left="720" w:right="-28"/>
        <w:contextualSpacing/>
        <w:jc w:val="left"/>
        <w:rPr>
          <w:rFonts w:eastAsia="Times New Roman" w:cs="Tahoma"/>
          <w:color w:val="auto"/>
          <w:lang w:eastAsia="es-ES"/>
        </w:rPr>
      </w:pPr>
    </w:p>
    <w:p w14:paraId="48EF9105" w14:textId="77777777" w:rsidR="00EE1EE0" w:rsidRDefault="00EE1EE0" w:rsidP="00EE1EE0">
      <w:pPr>
        <w:numPr>
          <w:ilvl w:val="0"/>
          <w:numId w:val="5"/>
        </w:numPr>
        <w:spacing w:after="0" w:line="360" w:lineRule="auto"/>
        <w:ind w:right="-28"/>
        <w:contextualSpacing/>
        <w:jc w:val="left"/>
        <w:rPr>
          <w:rFonts w:eastAsia="Times New Roman" w:cs="Tahoma"/>
          <w:color w:val="auto"/>
          <w:lang w:eastAsia="es-ES"/>
        </w:rPr>
      </w:pPr>
      <w:r w:rsidRPr="00EE1EE0">
        <w:rPr>
          <w:rFonts w:eastAsia="Times New Roman" w:cs="Tahoma"/>
          <w:color w:val="auto"/>
          <w:lang w:eastAsia="es-ES"/>
        </w:rPr>
        <w:t>Llevar el control estricto de los gastos de la administración municipal, y</w:t>
      </w:r>
    </w:p>
    <w:p w14:paraId="3BEEA089" w14:textId="77777777" w:rsidR="009638DE" w:rsidRDefault="009638DE" w:rsidP="009638DE">
      <w:pPr>
        <w:pStyle w:val="Prrafodelista"/>
        <w:rPr>
          <w:rFonts w:eastAsia="Times New Roman" w:cs="Tahoma"/>
          <w:color w:val="auto"/>
          <w:lang w:eastAsia="es-ES"/>
        </w:rPr>
      </w:pPr>
    </w:p>
    <w:p w14:paraId="299B5156" w14:textId="77777777" w:rsidR="00EE1EE0" w:rsidRPr="00EE1EE0" w:rsidRDefault="00EE1EE0" w:rsidP="00EE1EE0">
      <w:pPr>
        <w:numPr>
          <w:ilvl w:val="0"/>
          <w:numId w:val="5"/>
        </w:numPr>
        <w:spacing w:after="0" w:line="360" w:lineRule="auto"/>
        <w:ind w:right="-28"/>
        <w:contextualSpacing/>
        <w:jc w:val="left"/>
        <w:rPr>
          <w:rFonts w:eastAsia="Times New Roman" w:cs="Tahoma"/>
          <w:color w:val="auto"/>
          <w:lang w:eastAsia="es-ES"/>
        </w:rPr>
      </w:pPr>
      <w:r w:rsidRPr="00EE1EE0">
        <w:rPr>
          <w:rFonts w:eastAsia="Times New Roman" w:cs="Tahoma"/>
          <w:color w:val="auto"/>
          <w:lang w:eastAsia="es-ES"/>
        </w:rPr>
        <w:t>Manejar adecuada y honestamente los fondos financieros del municipio.</w:t>
      </w:r>
    </w:p>
    <w:p w14:paraId="468C0A3D" w14:textId="77777777" w:rsidR="00EE1EE0" w:rsidRPr="00EE1EE0" w:rsidRDefault="00EE1EE0" w:rsidP="0072577B">
      <w:pPr>
        <w:spacing w:after="0" w:line="360" w:lineRule="auto"/>
        <w:ind w:right="-28"/>
        <w:contextualSpacing/>
        <w:rPr>
          <w:rFonts w:eastAsia="Times New Roman" w:cs="Tahoma"/>
          <w:color w:val="auto"/>
          <w:lang w:eastAsia="es-ES"/>
        </w:rPr>
      </w:pPr>
    </w:p>
    <w:p w14:paraId="05719045" w14:textId="77777777" w:rsidR="00EE1EE0" w:rsidRPr="00EE1EE0" w:rsidRDefault="00EE1EE0" w:rsidP="00EE1EE0">
      <w:pPr>
        <w:spacing w:after="0" w:line="360" w:lineRule="auto"/>
        <w:rPr>
          <w:rFonts w:eastAsia="Times New Roman" w:cs="Times New Roman"/>
          <w:color w:val="auto"/>
          <w:lang w:val="es-ES" w:eastAsia="es-ES"/>
        </w:rPr>
      </w:pPr>
      <w:r w:rsidRPr="00EE1EE0">
        <w:rPr>
          <w:rFonts w:eastAsia="Times New Roman" w:cs="Tahoma"/>
          <w:bCs/>
          <w:iCs/>
          <w:color w:val="auto"/>
          <w:lang w:eastAsia="es-ES"/>
        </w:rPr>
        <w:t xml:space="preserve">Además, </w:t>
      </w:r>
      <w:r w:rsidRPr="00EE1EE0">
        <w:rPr>
          <w:rFonts w:eastAsia="Times New Roman" w:cs="Times New Roman"/>
          <w:bCs/>
          <w:color w:val="auto"/>
          <w:lang w:eastAsia="es-ES"/>
        </w:rPr>
        <w:t xml:space="preserve">el punto 1.2 Marco Conceptual, en el apartado “Definición del Presupuesto”, del </w:t>
      </w:r>
      <w:r w:rsidRPr="00EE1EE0">
        <w:rPr>
          <w:rFonts w:eastAsia="Times New Roman" w:cs="Tahoma"/>
          <w:color w:val="auto"/>
          <w:lang w:eastAsia="es-ES"/>
        </w:rPr>
        <w:t>Manual para la Planeación, Programación y Presupuesto de Egresos Municipal para el Ejercicio Fiscal, dos mil veintiuno</w:t>
      </w:r>
      <w:r w:rsidRPr="00EE1EE0">
        <w:rPr>
          <w:rFonts w:eastAsia="Times New Roman" w:cs="Times New Roman"/>
          <w:bCs/>
          <w:color w:val="auto"/>
          <w:lang w:eastAsia="es-ES"/>
        </w:rPr>
        <w:t>,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70B84CD4" w14:textId="77777777" w:rsidR="00EE1EE0" w:rsidRPr="00EE1EE0" w:rsidRDefault="00EE1EE0" w:rsidP="00EE1EE0">
      <w:pPr>
        <w:spacing w:after="0" w:line="360" w:lineRule="auto"/>
        <w:rPr>
          <w:rFonts w:eastAsia="Times New Roman" w:cs="Tahoma"/>
          <w:bCs/>
          <w:iCs/>
          <w:color w:val="auto"/>
          <w:lang w:eastAsia="es-ES"/>
        </w:rPr>
      </w:pPr>
    </w:p>
    <w:p w14:paraId="69684FD5" w14:textId="06A6D31F" w:rsidR="00EE1EE0" w:rsidRPr="00EE1EE0" w:rsidRDefault="00EE1EE0" w:rsidP="00EE1EE0">
      <w:pPr>
        <w:spacing w:after="0" w:line="360" w:lineRule="auto"/>
        <w:ind w:right="-93"/>
        <w:rPr>
          <w:rFonts w:eastAsia="Calibri" w:cs="Tahoma"/>
          <w:b/>
          <w:bCs/>
          <w:color w:val="auto"/>
        </w:rPr>
      </w:pPr>
      <w:r w:rsidRPr="00EE1EE0">
        <w:rPr>
          <w:rFonts w:eastAsia="Times New Roman" w:cs="Times New Roman"/>
          <w:color w:val="auto"/>
          <w:lang w:val="es-ES" w:eastAsia="es-ES"/>
        </w:rPr>
        <w:t xml:space="preserve">En ese orden e ideas, conforme a </w:t>
      </w:r>
      <w:r w:rsidRPr="00EE1EE0">
        <w:rPr>
          <w:rFonts w:eastAsia="Calibri" w:cs="Tahoma"/>
          <w:bCs/>
          <w:color w:val="auto"/>
        </w:rPr>
        <w:t xml:space="preserve">los diversos 100 y 101, fracción II, de la Ley Orgánica Municipal del Estado de México, prevén que el Presupuesto de Egresos, deberá contener las previsiones de gasto público y se conformará, entre otras cosas, por los programas en que se </w:t>
      </w:r>
      <w:r w:rsidRPr="00EE1EE0">
        <w:rPr>
          <w:rFonts w:eastAsia="Calibri" w:cs="Tahoma"/>
          <w:bCs/>
          <w:color w:val="auto"/>
        </w:rPr>
        <w:lastRenderedPageBreak/>
        <w:t>señalen objeti</w:t>
      </w:r>
      <w:r w:rsidR="00024952">
        <w:rPr>
          <w:rFonts w:eastAsia="Calibri" w:cs="Tahoma"/>
          <w:bCs/>
          <w:color w:val="auto"/>
        </w:rPr>
        <w:t>v</w:t>
      </w:r>
      <w:r w:rsidRPr="00EE1EE0">
        <w:rPr>
          <w:rFonts w:eastAsia="Calibri" w:cs="Tahoma"/>
          <w:bCs/>
          <w:color w:val="auto"/>
        </w:rPr>
        <w:t>os, metas y unidades responsables para su ejecución, así como la valuación estimada del programa.</w:t>
      </w:r>
    </w:p>
    <w:p w14:paraId="61CB9118" w14:textId="77777777" w:rsidR="00EE1EE0" w:rsidRPr="00EE1EE0" w:rsidRDefault="00EE1EE0" w:rsidP="00EE1EE0">
      <w:pPr>
        <w:autoSpaceDE w:val="0"/>
        <w:autoSpaceDN w:val="0"/>
        <w:adjustRightInd w:val="0"/>
        <w:spacing w:after="0" w:line="360" w:lineRule="auto"/>
        <w:rPr>
          <w:rFonts w:eastAsia="Times New Roman" w:cs="Tahoma"/>
          <w:bCs/>
          <w:color w:val="auto"/>
          <w:lang w:eastAsia="es-ES"/>
        </w:rPr>
      </w:pPr>
    </w:p>
    <w:p w14:paraId="598A2314" w14:textId="0351FE29" w:rsidR="00EE1EE0" w:rsidRPr="00EE1EE0" w:rsidRDefault="00EE1EE0" w:rsidP="00EE1EE0">
      <w:pPr>
        <w:autoSpaceDE w:val="0"/>
        <w:autoSpaceDN w:val="0"/>
        <w:adjustRightInd w:val="0"/>
        <w:spacing w:after="0" w:line="360" w:lineRule="auto"/>
        <w:rPr>
          <w:rFonts w:eastAsia="Times New Roman" w:cs="Times New Roman"/>
          <w:color w:val="auto"/>
          <w:lang w:val="es-ES" w:eastAsia="es-ES"/>
        </w:rPr>
      </w:pPr>
      <w:r w:rsidRPr="00EE1EE0">
        <w:rPr>
          <w:lang w:val="es-ES"/>
        </w:rPr>
        <w:t xml:space="preserve">En ese contexto, el punto III.4.1 Lineamientos generales, del apartado del Presupuesto de Egresos Municipal (Tercera etapa), </w:t>
      </w:r>
      <w:r w:rsidR="00437C6C">
        <w:rPr>
          <w:lang w:val="es-ES"/>
        </w:rPr>
        <w:t>de los</w:t>
      </w:r>
      <w:r w:rsidR="00437C6C" w:rsidRPr="00437C6C">
        <w:t xml:space="preserve"> Manuales para la Planeación, Programación y Presupuesto de Egresos Municipal para los Ejercicios Fiscales dos mil diecinueve, dos mil veinte, dos mil veintiuno</w:t>
      </w:r>
      <w:r w:rsidRPr="00EE1EE0">
        <w:rPr>
          <w:lang w:val="es-ES"/>
        </w:rPr>
        <w:t>, establece</w:t>
      </w:r>
      <w:r w:rsidR="00437C6C">
        <w:rPr>
          <w:lang w:val="es-ES"/>
        </w:rPr>
        <w:t>n</w:t>
      </w:r>
      <w:r w:rsidRPr="00EE1EE0">
        <w:rPr>
          <w:lang w:val="es-ES"/>
        </w:rPr>
        <w:t xml:space="preserve"> los Formatos que integran el Proyecto de Presupuesto de Egresos Municipal, entre los cuales se encuentra el </w:t>
      </w:r>
      <w:bookmarkStart w:id="17" w:name="_Hlk84942385"/>
      <w:r w:rsidRPr="00EE1EE0">
        <w:rPr>
          <w:lang w:val="es-ES"/>
        </w:rPr>
        <w:t xml:space="preserve">(PbRM-05) </w:t>
      </w:r>
      <w:bookmarkEnd w:id="17"/>
      <w:r w:rsidRPr="00EE1EE0">
        <w:rPr>
          <w:lang w:val="es-ES"/>
        </w:rPr>
        <w:t>Tabulador de Sueldos, que tiene como objetivo registrar</w:t>
      </w:r>
      <w:r w:rsidRPr="00EE1EE0">
        <w:rPr>
          <w:rFonts w:eastAsia="Times New Roman" w:cs="Times New Roman"/>
          <w:color w:val="auto"/>
          <w:lang w:val="es-ES" w:eastAsia="es-ES"/>
        </w:rPr>
        <w:t xml:space="preserve"> las remuneraciones que se perciben por el empleo, cargo o comisión de cualquier naturaleza por los servidores públicos, tales como las dietas, sueldo base, compensación, gratificaciones, otras percepciones, aguinaldo, prima vacacional, todos por puesto funcional, a través del siguiente formato:</w:t>
      </w:r>
    </w:p>
    <w:p w14:paraId="23709C8B" w14:textId="77777777" w:rsidR="00EE1EE0" w:rsidRPr="00EE1EE0" w:rsidRDefault="00EE1EE0" w:rsidP="00EE1EE0">
      <w:pPr>
        <w:spacing w:after="0" w:line="360" w:lineRule="auto"/>
        <w:rPr>
          <w:rFonts w:eastAsia="Times New Roman" w:cs="Times New Roman"/>
          <w:color w:val="auto"/>
          <w:lang w:val="es-ES" w:eastAsia="es-ES"/>
        </w:rPr>
      </w:pPr>
    </w:p>
    <w:p w14:paraId="32325803" w14:textId="77777777" w:rsidR="00EE1EE0" w:rsidRPr="00EE1EE0" w:rsidRDefault="00EE1EE0" w:rsidP="00EE1EE0">
      <w:pPr>
        <w:spacing w:after="0" w:line="360" w:lineRule="auto"/>
        <w:rPr>
          <w:rFonts w:eastAsia="Times New Roman" w:cs="Times New Roman"/>
          <w:color w:val="auto"/>
          <w:lang w:val="es-ES" w:eastAsia="es-ES"/>
        </w:rPr>
      </w:pPr>
      <w:r w:rsidRPr="00EE1EE0">
        <w:rPr>
          <w:rFonts w:ascii="Times New Roman" w:eastAsia="Times New Roman" w:hAnsi="Times New Roman" w:cs="Times New Roman"/>
          <w:noProof/>
          <w:color w:val="auto"/>
          <w:sz w:val="20"/>
          <w:szCs w:val="20"/>
          <w:lang w:eastAsia="es-MX"/>
        </w:rPr>
        <w:drawing>
          <wp:inline distT="0" distB="0" distL="0" distR="0" wp14:anchorId="3E6078FF" wp14:editId="160E9479">
            <wp:extent cx="5742940" cy="11506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1150620"/>
                    </a:xfrm>
                    <a:prstGeom prst="rect">
                      <a:avLst/>
                    </a:prstGeom>
                  </pic:spPr>
                </pic:pic>
              </a:graphicData>
            </a:graphic>
          </wp:inline>
        </w:drawing>
      </w:r>
    </w:p>
    <w:p w14:paraId="50674AEC" w14:textId="77777777" w:rsidR="00EE1EE0" w:rsidRDefault="00EE1EE0" w:rsidP="00EE1EE0">
      <w:pPr>
        <w:autoSpaceDE w:val="0"/>
        <w:autoSpaceDN w:val="0"/>
        <w:adjustRightInd w:val="0"/>
        <w:spacing w:after="0" w:line="360" w:lineRule="auto"/>
        <w:rPr>
          <w:rFonts w:eastAsia="Times New Roman" w:cs="Tahoma"/>
          <w:bCs/>
          <w:color w:val="auto"/>
          <w:lang w:eastAsia="es-ES"/>
        </w:rPr>
      </w:pPr>
    </w:p>
    <w:p w14:paraId="74DD26E6" w14:textId="73EBB9C9" w:rsidR="00E0193D" w:rsidRPr="00E0193D" w:rsidRDefault="00E0193D" w:rsidP="00E0193D">
      <w:pPr>
        <w:autoSpaceDE w:val="0"/>
        <w:autoSpaceDN w:val="0"/>
        <w:adjustRightInd w:val="0"/>
        <w:spacing w:after="0" w:line="360" w:lineRule="auto"/>
        <w:rPr>
          <w:rFonts w:eastAsia="Times New Roman" w:cs="Tahoma"/>
          <w:bCs/>
          <w:color w:val="auto"/>
          <w:lang w:val="es-ES_tradnl" w:eastAsia="es-ES"/>
        </w:rPr>
      </w:pPr>
      <w:r w:rsidRPr="00E0193D">
        <w:rPr>
          <w:rFonts w:eastAsia="Times New Roman" w:cs="Tahoma"/>
          <w:bCs/>
          <w:color w:val="auto"/>
          <w:lang w:val="es-ES_tradnl" w:eastAsia="es-ES"/>
        </w:rPr>
        <w:t xml:space="preserve">Conforme a lo anterior, se logra vislumbrar que, por una parte, el Ayuntamiento de Tezoyuca, es competente para conocer de la información peticionada y, por otra, que la pretensión del ahora Recurrente, es </w:t>
      </w:r>
      <w:r>
        <w:rPr>
          <w:rFonts w:eastAsia="Times New Roman" w:cs="Tahoma"/>
          <w:bCs/>
          <w:color w:val="auto"/>
          <w:lang w:val="es-ES_tradnl" w:eastAsia="es-ES"/>
        </w:rPr>
        <w:t xml:space="preserve">obtener el formato </w:t>
      </w:r>
      <w:proofErr w:type="spellStart"/>
      <w:r>
        <w:rPr>
          <w:rFonts w:eastAsia="Times New Roman" w:cs="Tahoma"/>
          <w:bCs/>
          <w:color w:val="auto"/>
          <w:lang w:val="es-ES_tradnl" w:eastAsia="es-ES"/>
        </w:rPr>
        <w:t>PbRM</w:t>
      </w:r>
      <w:proofErr w:type="spellEnd"/>
      <w:r>
        <w:rPr>
          <w:rFonts w:eastAsia="Times New Roman" w:cs="Tahoma"/>
          <w:bCs/>
          <w:color w:val="auto"/>
          <w:lang w:val="es-ES_tradnl" w:eastAsia="es-ES"/>
        </w:rPr>
        <w:t xml:space="preserve"> 05 Tabulador de Sueldos, de los ejercicios fiscales dos mil diecinueve, dos mil veinte y dos mil veintiuno</w:t>
      </w:r>
      <w:r w:rsidRPr="00E0193D">
        <w:rPr>
          <w:rFonts w:eastAsia="Times New Roman" w:cs="Tahoma"/>
          <w:bCs/>
          <w:color w:val="auto"/>
          <w:lang w:val="es-ES_tradnl" w:eastAsia="es-ES"/>
        </w:rPr>
        <w:t>.</w:t>
      </w:r>
    </w:p>
    <w:p w14:paraId="1161F4DB" w14:textId="77777777" w:rsidR="008539F8" w:rsidRDefault="008539F8" w:rsidP="00EE1EE0">
      <w:pPr>
        <w:autoSpaceDE w:val="0"/>
        <w:autoSpaceDN w:val="0"/>
        <w:adjustRightInd w:val="0"/>
        <w:spacing w:after="0" w:line="360" w:lineRule="auto"/>
        <w:rPr>
          <w:rFonts w:eastAsia="Times New Roman" w:cs="Tahoma"/>
          <w:bCs/>
          <w:color w:val="auto"/>
          <w:lang w:eastAsia="es-ES"/>
        </w:rPr>
      </w:pPr>
    </w:p>
    <w:p w14:paraId="277F4AE7" w14:textId="4D008BD5" w:rsidR="00E0193D" w:rsidRPr="00E0193D" w:rsidRDefault="00E0193D" w:rsidP="00E0193D">
      <w:pPr>
        <w:tabs>
          <w:tab w:val="left" w:pos="4962"/>
        </w:tabs>
        <w:spacing w:after="0" w:line="360" w:lineRule="auto"/>
        <w:rPr>
          <w:rFonts w:eastAsia="Times New Roman" w:cs="Tahoma"/>
          <w:bCs/>
          <w:color w:val="auto"/>
          <w:lang w:eastAsia="es-ES"/>
        </w:rPr>
      </w:pPr>
      <w:r>
        <w:rPr>
          <w:rFonts w:eastAsia="Times New Roman" w:cs="Tahoma"/>
          <w:bCs/>
          <w:color w:val="auto"/>
          <w:lang w:val="es-ES_tradnl" w:eastAsia="es-ES"/>
        </w:rPr>
        <w:t>Así</w:t>
      </w:r>
      <w:r w:rsidRPr="00E0193D">
        <w:rPr>
          <w:rFonts w:eastAsia="Times New Roman" w:cs="Tahoma"/>
          <w:bCs/>
          <w:color w:val="auto"/>
          <w:lang w:val="es-ES_tradnl" w:eastAsia="es-ES"/>
        </w:rPr>
        <w:t xml:space="preserve">, para atender el requerimiento de información, resulta procedente ordenar una búsqueda exhaustiva y razonable, </w:t>
      </w:r>
      <w:r>
        <w:rPr>
          <w:rFonts w:eastAsia="Times New Roman" w:cs="Tahoma"/>
          <w:bCs/>
          <w:color w:val="auto"/>
          <w:lang w:val="es-ES_tradnl" w:eastAsia="es-ES"/>
        </w:rPr>
        <w:t xml:space="preserve">en todas las áreas competentes; por lo que, es necesario establecer que los artículos </w:t>
      </w:r>
      <w:bookmarkStart w:id="18" w:name="_Hlk92876002"/>
      <w:bookmarkStart w:id="19" w:name="_Hlk92875272"/>
      <w:r>
        <w:rPr>
          <w:rFonts w:eastAsia="Times New Roman" w:cs="Tahoma"/>
          <w:bCs/>
          <w:color w:val="auto"/>
          <w:lang w:val="es-ES_tradnl" w:eastAsia="es-ES"/>
        </w:rPr>
        <w:t>3</w:t>
      </w:r>
      <w:r w:rsidRPr="00E0193D">
        <w:rPr>
          <w:rFonts w:eastAsia="Times New Roman" w:cs="Tahoma"/>
          <w:bCs/>
          <w:iCs/>
          <w:color w:val="auto"/>
          <w:lang w:eastAsia="es-ES"/>
        </w:rPr>
        <w:t xml:space="preserve">6, </w:t>
      </w:r>
      <w:r w:rsidR="00642669">
        <w:rPr>
          <w:rFonts w:eastAsia="Times New Roman" w:cs="Tahoma"/>
          <w:bCs/>
          <w:iCs/>
          <w:color w:val="auto"/>
          <w:lang w:eastAsia="es-ES"/>
        </w:rPr>
        <w:t xml:space="preserve"> numeral 4 y 64 </w:t>
      </w:r>
      <w:r w:rsidRPr="00E0193D">
        <w:rPr>
          <w:rFonts w:eastAsia="Times New Roman" w:cs="Tahoma"/>
          <w:bCs/>
          <w:iCs/>
          <w:color w:val="auto"/>
          <w:lang w:eastAsia="es-ES"/>
        </w:rPr>
        <w:t xml:space="preserve"> del Bando Municipal dos mil veintiuno, de Tezoyuca, </w:t>
      </w:r>
      <w:r w:rsidRPr="00E0193D">
        <w:rPr>
          <w:rFonts w:eastAsia="Times New Roman" w:cs="Tahoma"/>
          <w:bCs/>
          <w:iCs/>
          <w:color w:val="auto"/>
          <w:lang w:eastAsia="es-ES"/>
        </w:rPr>
        <w:lastRenderedPageBreak/>
        <w:t>precisa</w:t>
      </w:r>
      <w:r w:rsidR="00642669">
        <w:rPr>
          <w:rFonts w:eastAsia="Times New Roman" w:cs="Tahoma"/>
          <w:bCs/>
          <w:iCs/>
          <w:color w:val="auto"/>
          <w:lang w:eastAsia="es-ES"/>
        </w:rPr>
        <w:t>n</w:t>
      </w:r>
      <w:r w:rsidRPr="00E0193D">
        <w:rPr>
          <w:rFonts w:eastAsia="Times New Roman" w:cs="Tahoma"/>
          <w:bCs/>
          <w:iCs/>
          <w:color w:val="auto"/>
          <w:lang w:eastAsia="es-ES"/>
        </w:rPr>
        <w:t xml:space="preserve"> que </w:t>
      </w:r>
      <w:r w:rsidR="00642669">
        <w:rPr>
          <w:rFonts w:eastAsia="Times New Roman" w:cs="Tahoma"/>
          <w:bCs/>
          <w:iCs/>
          <w:color w:val="auto"/>
          <w:lang w:eastAsia="es-ES"/>
        </w:rPr>
        <w:t>e</w:t>
      </w:r>
      <w:r w:rsidRPr="00E0193D">
        <w:rPr>
          <w:rFonts w:eastAsia="Times New Roman" w:cs="Tahoma"/>
          <w:bCs/>
          <w:color w:val="auto"/>
          <w:lang w:eastAsia="es-ES"/>
        </w:rPr>
        <w:t xml:space="preserve">l Sujeto Obligado cuenta con diversas unidades administrativas para el ejercicio de sus funciones, entre las que se encuentra la Tesorería Municipal </w:t>
      </w:r>
      <w:bookmarkEnd w:id="18"/>
      <w:r w:rsidRPr="00E0193D">
        <w:rPr>
          <w:rFonts w:eastAsia="Times New Roman" w:cs="Tahoma"/>
          <w:bCs/>
          <w:color w:val="auto"/>
          <w:lang w:eastAsia="es-ES"/>
        </w:rPr>
        <w:t>encargada de la recaudación de ingresos y el responsable de realizar las erogaciones que haga el Ayuntamiento</w:t>
      </w:r>
      <w:r w:rsidR="00642669">
        <w:rPr>
          <w:rFonts w:eastAsia="Times New Roman" w:cs="Tahoma"/>
          <w:bCs/>
          <w:color w:val="auto"/>
          <w:lang w:eastAsia="es-ES"/>
        </w:rPr>
        <w:t>.</w:t>
      </w:r>
      <w:r w:rsidRPr="00E0193D">
        <w:rPr>
          <w:rFonts w:eastAsia="Times New Roman" w:cs="Tahoma"/>
          <w:bCs/>
          <w:color w:val="auto"/>
          <w:lang w:eastAsia="es-ES"/>
        </w:rPr>
        <w:t xml:space="preserve"> </w:t>
      </w:r>
    </w:p>
    <w:bookmarkEnd w:id="19"/>
    <w:p w14:paraId="43D840DF" w14:textId="77777777" w:rsidR="00E0193D" w:rsidRDefault="00E0193D" w:rsidP="00E0193D">
      <w:pPr>
        <w:tabs>
          <w:tab w:val="left" w:pos="4962"/>
        </w:tabs>
        <w:spacing w:after="0" w:line="360" w:lineRule="auto"/>
        <w:rPr>
          <w:rFonts w:eastAsia="Times New Roman" w:cs="Tahoma"/>
          <w:bCs/>
          <w:color w:val="auto"/>
          <w:lang w:val="es-ES_tradnl" w:eastAsia="es-ES"/>
        </w:rPr>
      </w:pPr>
    </w:p>
    <w:p w14:paraId="5841D888" w14:textId="03C13812" w:rsidR="00E0193D" w:rsidRPr="00E0193D" w:rsidRDefault="00642669" w:rsidP="00FE3207">
      <w:pPr>
        <w:tabs>
          <w:tab w:val="left" w:pos="4962"/>
        </w:tabs>
        <w:spacing w:after="0" w:line="360" w:lineRule="auto"/>
        <w:rPr>
          <w:rFonts w:eastAsia="Times New Roman" w:cs="Tahoma"/>
          <w:color w:val="auto"/>
          <w:lang w:eastAsia="es-ES"/>
        </w:rPr>
      </w:pPr>
      <w:r>
        <w:rPr>
          <w:rFonts w:eastAsia="Times New Roman" w:cs="Tahoma"/>
          <w:bCs/>
          <w:color w:val="auto"/>
          <w:lang w:val="es-ES_tradnl" w:eastAsia="es-ES"/>
        </w:rPr>
        <w:t>Por lo que, para atender el requerimiento de información, el Sujeto Obligado deberá realizar una búsqueda exhaust</w:t>
      </w:r>
      <w:r w:rsidR="00FE3207">
        <w:rPr>
          <w:rFonts w:eastAsia="Times New Roman" w:cs="Tahoma"/>
          <w:bCs/>
          <w:color w:val="auto"/>
          <w:lang w:val="es-ES_tradnl" w:eastAsia="es-ES"/>
        </w:rPr>
        <w:t>iva y razonable en la Tesorería Municipal, a efecto de proporcionar el Tabulador de Sueldos de los ejercicios fiscales solicitados; d</w:t>
      </w:r>
      <w:proofErr w:type="spellStart"/>
      <w:r w:rsidR="00E0193D" w:rsidRPr="00E0193D">
        <w:rPr>
          <w:rFonts w:eastAsia="Calibri" w:cs="Tahoma"/>
          <w:bCs/>
          <w:iCs/>
          <w:color w:val="auto"/>
        </w:rPr>
        <w:t>icha</w:t>
      </w:r>
      <w:proofErr w:type="spellEnd"/>
      <w:r w:rsidR="00E0193D" w:rsidRPr="00E0193D">
        <w:rPr>
          <w:rFonts w:eastAsia="Calibri" w:cs="Tahoma"/>
          <w:bCs/>
          <w:iCs/>
          <w:color w:val="auto"/>
        </w:rPr>
        <w:t xml:space="preserve"> situación, toma sustento en</w:t>
      </w:r>
      <w:r w:rsidR="00E0193D" w:rsidRPr="00E0193D">
        <w:rPr>
          <w:rFonts w:eastAsia="Calibri" w:cs="Tahoma"/>
          <w:bCs/>
          <w:color w:val="auto"/>
        </w:rPr>
        <w:t xml:space="preserve"> el</w:t>
      </w:r>
      <w:r w:rsidR="00E0193D" w:rsidRPr="00E0193D">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11CCC7E" w14:textId="77777777" w:rsidR="00E0193D" w:rsidRPr="00E0193D" w:rsidRDefault="00E0193D" w:rsidP="00E0193D">
      <w:pPr>
        <w:tabs>
          <w:tab w:val="left" w:pos="4962"/>
        </w:tabs>
        <w:spacing w:after="0" w:line="360" w:lineRule="auto"/>
        <w:rPr>
          <w:rFonts w:eastAsia="Times New Roman" w:cs="Tahoma"/>
          <w:color w:val="auto"/>
          <w:lang w:eastAsia="es-ES"/>
        </w:rPr>
      </w:pPr>
    </w:p>
    <w:p w14:paraId="78DDFDF9" w14:textId="77777777" w:rsidR="00E0193D" w:rsidRPr="00E0193D" w:rsidRDefault="00E0193D" w:rsidP="00E0193D">
      <w:pPr>
        <w:tabs>
          <w:tab w:val="left" w:pos="4962"/>
        </w:tabs>
        <w:spacing w:after="0" w:line="360" w:lineRule="auto"/>
        <w:rPr>
          <w:rFonts w:eastAsia="Calibri" w:cs="Tahoma"/>
          <w:iCs/>
          <w:color w:val="auto"/>
          <w:lang w:val="es-ES" w:eastAsia="es-ES_tradnl"/>
        </w:rPr>
      </w:pPr>
      <w:r w:rsidRPr="00E0193D">
        <w:rPr>
          <w:rFonts w:eastAsia="Times New Roman" w:cs="Tahoma"/>
          <w:color w:val="auto"/>
          <w:lang w:eastAsia="es-ES"/>
        </w:rPr>
        <w:t xml:space="preserve">De esta manera, </w:t>
      </w:r>
      <w:r w:rsidRPr="00E0193D">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E0193D">
        <w:rPr>
          <w:rFonts w:eastAsia="Times New Roman" w:cs="Tahoma"/>
          <w:i/>
          <w:color w:val="auto"/>
          <w:lang w:eastAsia="es-ES"/>
        </w:rPr>
        <w:t>ad hoc</w:t>
      </w:r>
      <w:r w:rsidRPr="00E0193D">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Además, resulta aplicable </w:t>
      </w:r>
      <w:r w:rsidRPr="00E0193D">
        <w:rPr>
          <w:rFonts w:eastAsia="Calibri" w:cs="Tahoma"/>
          <w:iCs/>
          <w:color w:val="auto"/>
          <w:lang w:val="es-ES" w:eastAsia="es-ES_tradnl"/>
        </w:rPr>
        <w:t>el Criterio 03/17 del Instituto Nacional de Transparencia, Acceso a la Información y Protección de Datos Personales que a continuación se cita:</w:t>
      </w:r>
    </w:p>
    <w:p w14:paraId="1C45CB52" w14:textId="77777777" w:rsidR="00E0193D" w:rsidRPr="00E0193D" w:rsidRDefault="00E0193D" w:rsidP="00E0193D">
      <w:pPr>
        <w:spacing w:after="0" w:line="360" w:lineRule="auto"/>
        <w:rPr>
          <w:rFonts w:eastAsia="Arial" w:cs="Arial"/>
          <w:b/>
          <w:color w:val="auto"/>
          <w:szCs w:val="20"/>
          <w:lang w:eastAsia="es-ES"/>
        </w:rPr>
      </w:pPr>
    </w:p>
    <w:p w14:paraId="3C95D7C4" w14:textId="77777777" w:rsidR="00E0193D" w:rsidRPr="00E0193D" w:rsidRDefault="00E0193D" w:rsidP="00E0193D">
      <w:pPr>
        <w:spacing w:after="0" w:line="360" w:lineRule="auto"/>
        <w:ind w:left="567" w:right="567"/>
        <w:rPr>
          <w:rFonts w:eastAsia="Arial" w:cs="Arial"/>
          <w:i/>
          <w:color w:val="auto"/>
          <w:sz w:val="20"/>
          <w:szCs w:val="20"/>
          <w:lang w:eastAsia="es-ES"/>
        </w:rPr>
      </w:pPr>
      <w:r w:rsidRPr="00E0193D">
        <w:rPr>
          <w:rFonts w:eastAsia="Arial" w:cs="Arial"/>
          <w:b/>
          <w:i/>
          <w:color w:val="auto"/>
          <w:sz w:val="20"/>
          <w:szCs w:val="20"/>
          <w:lang w:eastAsia="es-ES"/>
        </w:rPr>
        <w:t xml:space="preserve">“No existe obligación de elaborar </w:t>
      </w:r>
      <w:r w:rsidRPr="00E0193D">
        <w:rPr>
          <w:rFonts w:eastAsia="Arial" w:cs="Arial"/>
          <w:b/>
          <w:i/>
          <w:color w:val="auto"/>
          <w:spacing w:val="-3"/>
          <w:sz w:val="20"/>
          <w:szCs w:val="20"/>
          <w:lang w:eastAsia="es-ES"/>
        </w:rPr>
        <w:t>d</w:t>
      </w:r>
      <w:r w:rsidRPr="00E0193D">
        <w:rPr>
          <w:rFonts w:eastAsia="Arial" w:cs="Arial"/>
          <w:b/>
          <w:i/>
          <w:color w:val="auto"/>
          <w:sz w:val="20"/>
          <w:szCs w:val="20"/>
          <w:lang w:eastAsia="es-ES"/>
        </w:rPr>
        <w:t>ocum</w:t>
      </w:r>
      <w:r w:rsidRPr="00E0193D">
        <w:rPr>
          <w:rFonts w:eastAsia="Arial" w:cs="Arial"/>
          <w:b/>
          <w:i/>
          <w:color w:val="auto"/>
          <w:spacing w:val="1"/>
          <w:sz w:val="20"/>
          <w:szCs w:val="20"/>
          <w:lang w:eastAsia="es-ES"/>
        </w:rPr>
        <w:t>e</w:t>
      </w:r>
      <w:r w:rsidRPr="00E0193D">
        <w:rPr>
          <w:rFonts w:eastAsia="Arial" w:cs="Arial"/>
          <w:b/>
          <w:i/>
          <w:color w:val="auto"/>
          <w:sz w:val="20"/>
          <w:szCs w:val="20"/>
          <w:lang w:eastAsia="es-ES"/>
        </w:rPr>
        <w:t>n</w:t>
      </w:r>
      <w:r w:rsidRPr="00E0193D">
        <w:rPr>
          <w:rFonts w:eastAsia="Arial" w:cs="Arial"/>
          <w:b/>
          <w:i/>
          <w:color w:val="auto"/>
          <w:spacing w:val="-1"/>
          <w:sz w:val="20"/>
          <w:szCs w:val="20"/>
          <w:lang w:eastAsia="es-ES"/>
        </w:rPr>
        <w:t>t</w:t>
      </w:r>
      <w:r w:rsidRPr="00E0193D">
        <w:rPr>
          <w:rFonts w:eastAsia="Arial" w:cs="Arial"/>
          <w:b/>
          <w:i/>
          <w:color w:val="auto"/>
          <w:sz w:val="20"/>
          <w:szCs w:val="20"/>
          <w:lang w:eastAsia="es-ES"/>
        </w:rPr>
        <w:t xml:space="preserve">os </w:t>
      </w:r>
      <w:r w:rsidRPr="00E0193D">
        <w:rPr>
          <w:rFonts w:eastAsia="Arial" w:cs="Arial"/>
          <w:b/>
          <w:i/>
          <w:color w:val="auto"/>
          <w:spacing w:val="-1"/>
          <w:sz w:val="20"/>
          <w:szCs w:val="20"/>
          <w:lang w:eastAsia="es-ES"/>
        </w:rPr>
        <w:t xml:space="preserve">ad </w:t>
      </w:r>
      <w:r w:rsidRPr="00E0193D">
        <w:rPr>
          <w:rFonts w:eastAsia="Arial" w:cs="Arial"/>
          <w:b/>
          <w:i/>
          <w:color w:val="auto"/>
          <w:sz w:val="20"/>
          <w:szCs w:val="20"/>
          <w:lang w:eastAsia="es-ES"/>
        </w:rPr>
        <w:t>hoc para atender las sol</w:t>
      </w:r>
      <w:r w:rsidRPr="00E0193D">
        <w:rPr>
          <w:rFonts w:eastAsia="Arial" w:cs="Arial"/>
          <w:b/>
          <w:i/>
          <w:color w:val="auto"/>
          <w:spacing w:val="-2"/>
          <w:sz w:val="20"/>
          <w:szCs w:val="20"/>
          <w:lang w:eastAsia="es-ES"/>
        </w:rPr>
        <w:t>i</w:t>
      </w:r>
      <w:r w:rsidRPr="00E0193D">
        <w:rPr>
          <w:rFonts w:eastAsia="Arial" w:cs="Arial"/>
          <w:b/>
          <w:i/>
          <w:color w:val="auto"/>
          <w:spacing w:val="1"/>
          <w:sz w:val="20"/>
          <w:szCs w:val="20"/>
          <w:lang w:eastAsia="es-ES"/>
        </w:rPr>
        <w:t>c</w:t>
      </w:r>
      <w:r w:rsidRPr="00E0193D">
        <w:rPr>
          <w:rFonts w:eastAsia="Arial" w:cs="Arial"/>
          <w:b/>
          <w:i/>
          <w:color w:val="auto"/>
          <w:sz w:val="20"/>
          <w:szCs w:val="20"/>
          <w:lang w:eastAsia="es-ES"/>
        </w:rPr>
        <w:t xml:space="preserve">itudes de </w:t>
      </w:r>
      <w:r w:rsidRPr="00E0193D">
        <w:rPr>
          <w:rFonts w:eastAsia="Arial" w:cs="Arial"/>
          <w:b/>
          <w:i/>
          <w:color w:val="auto"/>
          <w:spacing w:val="1"/>
          <w:sz w:val="20"/>
          <w:szCs w:val="20"/>
          <w:lang w:eastAsia="es-ES"/>
        </w:rPr>
        <w:t>ac</w:t>
      </w:r>
      <w:r w:rsidRPr="00E0193D">
        <w:rPr>
          <w:rFonts w:eastAsia="Arial" w:cs="Arial"/>
          <w:b/>
          <w:i/>
          <w:color w:val="auto"/>
          <w:spacing w:val="-1"/>
          <w:sz w:val="20"/>
          <w:szCs w:val="20"/>
          <w:lang w:eastAsia="es-ES"/>
        </w:rPr>
        <w:t>c</w:t>
      </w:r>
      <w:r w:rsidRPr="00E0193D">
        <w:rPr>
          <w:rFonts w:eastAsia="Arial" w:cs="Arial"/>
          <w:b/>
          <w:i/>
          <w:color w:val="auto"/>
          <w:spacing w:val="1"/>
          <w:sz w:val="20"/>
          <w:szCs w:val="20"/>
          <w:lang w:eastAsia="es-ES"/>
        </w:rPr>
        <w:t>es</w:t>
      </w:r>
      <w:r w:rsidRPr="00E0193D">
        <w:rPr>
          <w:rFonts w:eastAsia="Arial" w:cs="Arial"/>
          <w:b/>
          <w:i/>
          <w:color w:val="auto"/>
          <w:sz w:val="20"/>
          <w:szCs w:val="20"/>
          <w:lang w:eastAsia="es-ES"/>
        </w:rPr>
        <w:t>o a la informa</w:t>
      </w:r>
      <w:r w:rsidRPr="00E0193D">
        <w:rPr>
          <w:rFonts w:eastAsia="Arial" w:cs="Arial"/>
          <w:b/>
          <w:i/>
          <w:color w:val="auto"/>
          <w:spacing w:val="1"/>
          <w:sz w:val="20"/>
          <w:szCs w:val="20"/>
          <w:lang w:eastAsia="es-ES"/>
        </w:rPr>
        <w:t>c</w:t>
      </w:r>
      <w:r w:rsidRPr="00E0193D">
        <w:rPr>
          <w:rFonts w:eastAsia="Arial" w:cs="Arial"/>
          <w:b/>
          <w:i/>
          <w:color w:val="auto"/>
          <w:sz w:val="20"/>
          <w:szCs w:val="20"/>
          <w:lang w:eastAsia="es-ES"/>
        </w:rPr>
        <w:t>ió</w:t>
      </w:r>
      <w:r w:rsidRPr="00E0193D">
        <w:rPr>
          <w:rFonts w:eastAsia="Arial" w:cs="Arial"/>
          <w:b/>
          <w:i/>
          <w:color w:val="auto"/>
          <w:spacing w:val="-2"/>
          <w:sz w:val="20"/>
          <w:szCs w:val="20"/>
          <w:lang w:eastAsia="es-ES"/>
        </w:rPr>
        <w:t>n</w:t>
      </w:r>
      <w:r w:rsidRPr="00E0193D">
        <w:rPr>
          <w:rFonts w:eastAsia="Arial" w:cs="Arial"/>
          <w:b/>
          <w:i/>
          <w:color w:val="auto"/>
          <w:sz w:val="20"/>
          <w:szCs w:val="20"/>
          <w:lang w:eastAsia="es-ES"/>
        </w:rPr>
        <w:t xml:space="preserve">. </w:t>
      </w:r>
      <w:r w:rsidRPr="00E0193D">
        <w:rPr>
          <w:rFonts w:eastAsia="Arial" w:cs="Arial"/>
          <w:i/>
          <w:color w:val="auto"/>
          <w:spacing w:val="18"/>
          <w:sz w:val="20"/>
          <w:szCs w:val="20"/>
          <w:lang w:eastAsia="es-ES"/>
        </w:rPr>
        <w:t>L</w:t>
      </w:r>
      <w:r w:rsidRPr="00E0193D">
        <w:rPr>
          <w:rFonts w:eastAsia="Arial" w:cs="Arial"/>
          <w:i/>
          <w:color w:val="auto"/>
          <w:spacing w:val="-1"/>
          <w:sz w:val="20"/>
          <w:szCs w:val="20"/>
          <w:lang w:eastAsia="es-ES"/>
        </w:rPr>
        <w:t xml:space="preserve">os </w:t>
      </w:r>
      <w:r w:rsidRPr="00E0193D">
        <w:rPr>
          <w:rFonts w:eastAsia="Arial" w:cs="Arial"/>
          <w:i/>
          <w:color w:val="auto"/>
          <w:spacing w:val="1"/>
          <w:sz w:val="20"/>
          <w:szCs w:val="20"/>
          <w:lang w:eastAsia="es-ES"/>
        </w:rPr>
        <w:t>a</w:t>
      </w:r>
      <w:r w:rsidRPr="00E0193D">
        <w:rPr>
          <w:rFonts w:eastAsia="Arial" w:cs="Arial"/>
          <w:i/>
          <w:color w:val="auto"/>
          <w:sz w:val="20"/>
          <w:szCs w:val="20"/>
          <w:lang w:eastAsia="es-ES"/>
        </w:rPr>
        <w:t>rt</w:t>
      </w:r>
      <w:r w:rsidRPr="00E0193D">
        <w:rPr>
          <w:rFonts w:eastAsia="Arial" w:cs="Arial"/>
          <w:i/>
          <w:color w:val="auto"/>
          <w:spacing w:val="-2"/>
          <w:sz w:val="20"/>
          <w:szCs w:val="20"/>
          <w:lang w:eastAsia="es-ES"/>
        </w:rPr>
        <w:t>í</w:t>
      </w:r>
      <w:r w:rsidRPr="00E0193D">
        <w:rPr>
          <w:rFonts w:eastAsia="Arial" w:cs="Arial"/>
          <w:i/>
          <w:color w:val="auto"/>
          <w:sz w:val="20"/>
          <w:szCs w:val="20"/>
          <w:lang w:eastAsia="es-ES"/>
        </w:rPr>
        <w:t>c</w:t>
      </w:r>
      <w:r w:rsidRPr="00E0193D">
        <w:rPr>
          <w:rFonts w:eastAsia="Arial" w:cs="Arial"/>
          <w:i/>
          <w:color w:val="auto"/>
          <w:spacing w:val="1"/>
          <w:sz w:val="20"/>
          <w:szCs w:val="20"/>
          <w:lang w:eastAsia="es-ES"/>
        </w:rPr>
        <w:t>u</w:t>
      </w:r>
      <w:r w:rsidRPr="00E0193D">
        <w:rPr>
          <w:rFonts w:eastAsia="Arial" w:cs="Arial"/>
          <w:i/>
          <w:color w:val="auto"/>
          <w:sz w:val="20"/>
          <w:szCs w:val="20"/>
          <w:lang w:eastAsia="es-ES"/>
        </w:rPr>
        <w:t>los</w:t>
      </w:r>
      <w:r w:rsidRPr="00E0193D">
        <w:rPr>
          <w:rFonts w:eastAsia="Arial" w:cs="Arial"/>
          <w:i/>
          <w:color w:val="auto"/>
          <w:spacing w:val="8"/>
          <w:sz w:val="20"/>
          <w:szCs w:val="20"/>
          <w:lang w:eastAsia="es-ES"/>
        </w:rPr>
        <w:t xml:space="preserve"> 129 </w:t>
      </w:r>
      <w:r w:rsidRPr="00E0193D">
        <w:rPr>
          <w:rFonts w:eastAsia="Arial" w:cs="Arial"/>
          <w:i/>
          <w:color w:val="auto"/>
          <w:spacing w:val="1"/>
          <w:sz w:val="20"/>
          <w:szCs w:val="20"/>
          <w:lang w:eastAsia="es-ES"/>
        </w:rPr>
        <w:t>d</w:t>
      </w:r>
      <w:r w:rsidRPr="00E0193D">
        <w:rPr>
          <w:rFonts w:eastAsia="Arial" w:cs="Arial"/>
          <w:i/>
          <w:color w:val="auto"/>
          <w:sz w:val="20"/>
          <w:szCs w:val="20"/>
          <w:lang w:eastAsia="es-ES"/>
        </w:rPr>
        <w:t xml:space="preserve">e la </w:t>
      </w:r>
      <w:r w:rsidRPr="00E0193D">
        <w:rPr>
          <w:rFonts w:eastAsia="Arial" w:cs="Arial"/>
          <w:i/>
          <w:color w:val="auto"/>
          <w:spacing w:val="-1"/>
          <w:sz w:val="20"/>
          <w:szCs w:val="20"/>
          <w:lang w:eastAsia="es-ES"/>
        </w:rPr>
        <w:t>L</w:t>
      </w:r>
      <w:r w:rsidRPr="00E0193D">
        <w:rPr>
          <w:rFonts w:eastAsia="Arial" w:cs="Arial"/>
          <w:i/>
          <w:color w:val="auto"/>
          <w:spacing w:val="1"/>
          <w:sz w:val="20"/>
          <w:szCs w:val="20"/>
          <w:lang w:eastAsia="es-ES"/>
        </w:rPr>
        <w:t>e</w:t>
      </w:r>
      <w:r w:rsidRPr="00E0193D">
        <w:rPr>
          <w:rFonts w:eastAsia="Arial" w:cs="Arial"/>
          <w:i/>
          <w:color w:val="auto"/>
          <w:sz w:val="20"/>
          <w:szCs w:val="20"/>
          <w:lang w:eastAsia="es-ES"/>
        </w:rPr>
        <w:t xml:space="preserve">y General </w:t>
      </w:r>
      <w:r w:rsidRPr="00E0193D">
        <w:rPr>
          <w:rFonts w:eastAsia="Arial" w:cs="Arial"/>
          <w:i/>
          <w:color w:val="auto"/>
          <w:spacing w:val="-1"/>
          <w:sz w:val="20"/>
          <w:szCs w:val="20"/>
          <w:lang w:eastAsia="es-ES"/>
        </w:rPr>
        <w:t>d</w:t>
      </w:r>
      <w:r w:rsidRPr="00E0193D">
        <w:rPr>
          <w:rFonts w:eastAsia="Arial" w:cs="Arial"/>
          <w:i/>
          <w:color w:val="auto"/>
          <w:sz w:val="20"/>
          <w:szCs w:val="20"/>
          <w:lang w:eastAsia="es-ES"/>
        </w:rPr>
        <w:t xml:space="preserve">e </w:t>
      </w:r>
      <w:r w:rsidRPr="00E0193D">
        <w:rPr>
          <w:rFonts w:eastAsia="Arial" w:cs="Arial"/>
          <w:i/>
          <w:color w:val="auto"/>
          <w:spacing w:val="2"/>
          <w:sz w:val="20"/>
          <w:szCs w:val="20"/>
          <w:lang w:eastAsia="es-ES"/>
        </w:rPr>
        <w:t>T</w:t>
      </w:r>
      <w:r w:rsidRPr="00E0193D">
        <w:rPr>
          <w:rFonts w:eastAsia="Arial" w:cs="Arial"/>
          <w:i/>
          <w:color w:val="auto"/>
          <w:sz w:val="20"/>
          <w:szCs w:val="20"/>
          <w:lang w:eastAsia="es-ES"/>
        </w:rPr>
        <w:t>r</w:t>
      </w:r>
      <w:r w:rsidRPr="00E0193D">
        <w:rPr>
          <w:rFonts w:eastAsia="Arial" w:cs="Arial"/>
          <w:i/>
          <w:color w:val="auto"/>
          <w:spacing w:val="-2"/>
          <w:sz w:val="20"/>
          <w:szCs w:val="20"/>
          <w:lang w:eastAsia="es-ES"/>
        </w:rPr>
        <w:t>a</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s</w:t>
      </w:r>
      <w:r w:rsidRPr="00E0193D">
        <w:rPr>
          <w:rFonts w:eastAsia="Arial" w:cs="Arial"/>
          <w:i/>
          <w:color w:val="auto"/>
          <w:spacing w:val="1"/>
          <w:sz w:val="20"/>
          <w:szCs w:val="20"/>
          <w:lang w:eastAsia="es-ES"/>
        </w:rPr>
        <w:t>pa</w:t>
      </w:r>
      <w:r w:rsidRPr="00E0193D">
        <w:rPr>
          <w:rFonts w:eastAsia="Arial" w:cs="Arial"/>
          <w:i/>
          <w:color w:val="auto"/>
          <w:sz w:val="20"/>
          <w:szCs w:val="20"/>
          <w:lang w:eastAsia="es-ES"/>
        </w:rPr>
        <w:t>r</w:t>
      </w:r>
      <w:r w:rsidRPr="00E0193D">
        <w:rPr>
          <w:rFonts w:eastAsia="Arial" w:cs="Arial"/>
          <w:i/>
          <w:color w:val="auto"/>
          <w:spacing w:val="-2"/>
          <w:sz w:val="20"/>
          <w:szCs w:val="20"/>
          <w:lang w:eastAsia="es-ES"/>
        </w:rPr>
        <w:t>e</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cia y Acc</w:t>
      </w:r>
      <w:r w:rsidRPr="00E0193D">
        <w:rPr>
          <w:rFonts w:eastAsia="Arial" w:cs="Arial"/>
          <w:i/>
          <w:color w:val="auto"/>
          <w:spacing w:val="1"/>
          <w:sz w:val="20"/>
          <w:szCs w:val="20"/>
          <w:lang w:eastAsia="es-ES"/>
        </w:rPr>
        <w:t>e</w:t>
      </w:r>
      <w:r w:rsidRPr="00E0193D">
        <w:rPr>
          <w:rFonts w:eastAsia="Arial" w:cs="Arial"/>
          <w:i/>
          <w:color w:val="auto"/>
          <w:sz w:val="20"/>
          <w:szCs w:val="20"/>
          <w:lang w:eastAsia="es-ES"/>
        </w:rPr>
        <w:t>so a la I</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f</w:t>
      </w:r>
      <w:r w:rsidRPr="00E0193D">
        <w:rPr>
          <w:rFonts w:eastAsia="Arial" w:cs="Arial"/>
          <w:i/>
          <w:color w:val="auto"/>
          <w:spacing w:val="1"/>
          <w:sz w:val="20"/>
          <w:szCs w:val="20"/>
          <w:lang w:eastAsia="es-ES"/>
        </w:rPr>
        <w:t>o</w:t>
      </w:r>
      <w:r w:rsidRPr="00E0193D">
        <w:rPr>
          <w:rFonts w:eastAsia="Arial" w:cs="Arial"/>
          <w:i/>
          <w:color w:val="auto"/>
          <w:spacing w:val="-3"/>
          <w:sz w:val="20"/>
          <w:szCs w:val="20"/>
          <w:lang w:eastAsia="es-ES"/>
        </w:rPr>
        <w:t>r</w:t>
      </w:r>
      <w:r w:rsidRPr="00E0193D">
        <w:rPr>
          <w:rFonts w:eastAsia="Arial" w:cs="Arial"/>
          <w:i/>
          <w:color w:val="auto"/>
          <w:spacing w:val="1"/>
          <w:sz w:val="20"/>
          <w:szCs w:val="20"/>
          <w:lang w:eastAsia="es-ES"/>
        </w:rPr>
        <w:t>ma</w:t>
      </w:r>
      <w:r w:rsidRPr="00E0193D">
        <w:rPr>
          <w:rFonts w:eastAsia="Arial" w:cs="Arial"/>
          <w:i/>
          <w:color w:val="auto"/>
          <w:sz w:val="20"/>
          <w:szCs w:val="20"/>
          <w:lang w:eastAsia="es-ES"/>
        </w:rPr>
        <w:t>ci</w:t>
      </w:r>
      <w:r w:rsidRPr="00E0193D">
        <w:rPr>
          <w:rFonts w:eastAsia="Arial" w:cs="Arial"/>
          <w:i/>
          <w:color w:val="auto"/>
          <w:spacing w:val="-2"/>
          <w:sz w:val="20"/>
          <w:szCs w:val="20"/>
          <w:lang w:eastAsia="es-ES"/>
        </w:rPr>
        <w:t>ó</w:t>
      </w:r>
      <w:r w:rsidRPr="00E0193D">
        <w:rPr>
          <w:rFonts w:eastAsia="Arial" w:cs="Arial"/>
          <w:i/>
          <w:color w:val="auto"/>
          <w:sz w:val="20"/>
          <w:szCs w:val="20"/>
          <w:lang w:eastAsia="es-ES"/>
        </w:rPr>
        <w:t xml:space="preserve">n </w:t>
      </w:r>
      <w:r w:rsidRPr="00E0193D">
        <w:rPr>
          <w:rFonts w:eastAsia="Arial" w:cs="Arial"/>
          <w:i/>
          <w:color w:val="auto"/>
          <w:spacing w:val="-2"/>
          <w:sz w:val="20"/>
          <w:szCs w:val="20"/>
          <w:lang w:eastAsia="es-ES"/>
        </w:rPr>
        <w:t>P</w:t>
      </w:r>
      <w:r w:rsidRPr="00E0193D">
        <w:rPr>
          <w:rFonts w:eastAsia="Arial" w:cs="Arial"/>
          <w:i/>
          <w:color w:val="auto"/>
          <w:spacing w:val="1"/>
          <w:sz w:val="20"/>
          <w:szCs w:val="20"/>
          <w:lang w:eastAsia="es-ES"/>
        </w:rPr>
        <w:t>úb</w:t>
      </w:r>
      <w:r w:rsidRPr="00E0193D">
        <w:rPr>
          <w:rFonts w:eastAsia="Arial" w:cs="Arial"/>
          <w:i/>
          <w:color w:val="auto"/>
          <w:sz w:val="20"/>
          <w:szCs w:val="20"/>
          <w:lang w:eastAsia="es-ES"/>
        </w:rPr>
        <w:t>l</w:t>
      </w:r>
      <w:r w:rsidRPr="00E0193D">
        <w:rPr>
          <w:rFonts w:eastAsia="Arial" w:cs="Arial"/>
          <w:i/>
          <w:color w:val="auto"/>
          <w:spacing w:val="-1"/>
          <w:sz w:val="20"/>
          <w:szCs w:val="20"/>
          <w:lang w:eastAsia="es-ES"/>
        </w:rPr>
        <w:t>i</w:t>
      </w:r>
      <w:r w:rsidRPr="00E0193D">
        <w:rPr>
          <w:rFonts w:eastAsia="Arial" w:cs="Arial"/>
          <w:i/>
          <w:color w:val="auto"/>
          <w:sz w:val="20"/>
          <w:szCs w:val="20"/>
          <w:lang w:eastAsia="es-ES"/>
        </w:rPr>
        <w:t xml:space="preserve">ca y </w:t>
      </w:r>
      <w:r w:rsidRPr="00E0193D">
        <w:rPr>
          <w:rFonts w:eastAsia="Arial" w:cs="Arial"/>
          <w:i/>
          <w:color w:val="auto"/>
          <w:spacing w:val="8"/>
          <w:sz w:val="20"/>
          <w:szCs w:val="20"/>
          <w:lang w:eastAsia="es-ES"/>
        </w:rPr>
        <w:t xml:space="preserve">130, párrafo cuarto, </w:t>
      </w:r>
      <w:r w:rsidRPr="00E0193D">
        <w:rPr>
          <w:rFonts w:eastAsia="Arial" w:cs="Arial"/>
          <w:i/>
          <w:color w:val="auto"/>
          <w:spacing w:val="1"/>
          <w:sz w:val="20"/>
          <w:szCs w:val="20"/>
          <w:lang w:eastAsia="es-ES"/>
        </w:rPr>
        <w:t>d</w:t>
      </w:r>
      <w:r w:rsidRPr="00E0193D">
        <w:rPr>
          <w:rFonts w:eastAsia="Arial" w:cs="Arial"/>
          <w:i/>
          <w:color w:val="auto"/>
          <w:sz w:val="20"/>
          <w:szCs w:val="20"/>
          <w:lang w:eastAsia="es-ES"/>
        </w:rPr>
        <w:t xml:space="preserve">e la </w:t>
      </w:r>
      <w:r w:rsidRPr="00E0193D">
        <w:rPr>
          <w:rFonts w:eastAsia="Arial" w:cs="Arial"/>
          <w:i/>
          <w:color w:val="auto"/>
          <w:spacing w:val="-1"/>
          <w:sz w:val="20"/>
          <w:szCs w:val="20"/>
          <w:lang w:eastAsia="es-ES"/>
        </w:rPr>
        <w:t>L</w:t>
      </w:r>
      <w:r w:rsidRPr="00E0193D">
        <w:rPr>
          <w:rFonts w:eastAsia="Arial" w:cs="Arial"/>
          <w:i/>
          <w:color w:val="auto"/>
          <w:spacing w:val="1"/>
          <w:sz w:val="20"/>
          <w:szCs w:val="20"/>
          <w:lang w:eastAsia="es-ES"/>
        </w:rPr>
        <w:t>e</w:t>
      </w:r>
      <w:r w:rsidRPr="00E0193D">
        <w:rPr>
          <w:rFonts w:eastAsia="Arial" w:cs="Arial"/>
          <w:i/>
          <w:color w:val="auto"/>
          <w:sz w:val="20"/>
          <w:szCs w:val="20"/>
          <w:lang w:eastAsia="es-ES"/>
        </w:rPr>
        <w:t>y Fe</w:t>
      </w:r>
      <w:r w:rsidRPr="00E0193D">
        <w:rPr>
          <w:rFonts w:eastAsia="Arial" w:cs="Arial"/>
          <w:i/>
          <w:color w:val="auto"/>
          <w:spacing w:val="1"/>
          <w:sz w:val="20"/>
          <w:szCs w:val="20"/>
          <w:lang w:eastAsia="es-ES"/>
        </w:rPr>
        <w:t>de</w:t>
      </w:r>
      <w:r w:rsidRPr="00E0193D">
        <w:rPr>
          <w:rFonts w:eastAsia="Arial" w:cs="Arial"/>
          <w:i/>
          <w:color w:val="auto"/>
          <w:sz w:val="20"/>
          <w:szCs w:val="20"/>
          <w:lang w:eastAsia="es-ES"/>
        </w:rPr>
        <w:t xml:space="preserve">ral </w:t>
      </w:r>
      <w:r w:rsidRPr="00E0193D">
        <w:rPr>
          <w:rFonts w:eastAsia="Arial" w:cs="Arial"/>
          <w:i/>
          <w:color w:val="auto"/>
          <w:spacing w:val="-1"/>
          <w:sz w:val="20"/>
          <w:szCs w:val="20"/>
          <w:lang w:eastAsia="es-ES"/>
        </w:rPr>
        <w:t>d</w:t>
      </w:r>
      <w:r w:rsidRPr="00E0193D">
        <w:rPr>
          <w:rFonts w:eastAsia="Arial" w:cs="Arial"/>
          <w:i/>
          <w:color w:val="auto"/>
          <w:sz w:val="20"/>
          <w:szCs w:val="20"/>
          <w:lang w:eastAsia="es-ES"/>
        </w:rPr>
        <w:t xml:space="preserve">e </w:t>
      </w:r>
      <w:r w:rsidRPr="00E0193D">
        <w:rPr>
          <w:rFonts w:eastAsia="Arial" w:cs="Arial"/>
          <w:i/>
          <w:color w:val="auto"/>
          <w:spacing w:val="2"/>
          <w:sz w:val="20"/>
          <w:szCs w:val="20"/>
          <w:lang w:eastAsia="es-ES"/>
        </w:rPr>
        <w:t>T</w:t>
      </w:r>
      <w:r w:rsidRPr="00E0193D">
        <w:rPr>
          <w:rFonts w:eastAsia="Arial" w:cs="Arial"/>
          <w:i/>
          <w:color w:val="auto"/>
          <w:sz w:val="20"/>
          <w:szCs w:val="20"/>
          <w:lang w:eastAsia="es-ES"/>
        </w:rPr>
        <w:t>r</w:t>
      </w:r>
      <w:r w:rsidRPr="00E0193D">
        <w:rPr>
          <w:rFonts w:eastAsia="Arial" w:cs="Arial"/>
          <w:i/>
          <w:color w:val="auto"/>
          <w:spacing w:val="-2"/>
          <w:sz w:val="20"/>
          <w:szCs w:val="20"/>
          <w:lang w:eastAsia="es-ES"/>
        </w:rPr>
        <w:t>a</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s</w:t>
      </w:r>
      <w:r w:rsidRPr="00E0193D">
        <w:rPr>
          <w:rFonts w:eastAsia="Arial" w:cs="Arial"/>
          <w:i/>
          <w:color w:val="auto"/>
          <w:spacing w:val="1"/>
          <w:sz w:val="20"/>
          <w:szCs w:val="20"/>
          <w:lang w:eastAsia="es-ES"/>
        </w:rPr>
        <w:t>pa</w:t>
      </w:r>
      <w:r w:rsidRPr="00E0193D">
        <w:rPr>
          <w:rFonts w:eastAsia="Arial" w:cs="Arial"/>
          <w:i/>
          <w:color w:val="auto"/>
          <w:sz w:val="20"/>
          <w:szCs w:val="20"/>
          <w:lang w:eastAsia="es-ES"/>
        </w:rPr>
        <w:t>r</w:t>
      </w:r>
      <w:r w:rsidRPr="00E0193D">
        <w:rPr>
          <w:rFonts w:eastAsia="Arial" w:cs="Arial"/>
          <w:i/>
          <w:color w:val="auto"/>
          <w:spacing w:val="-2"/>
          <w:sz w:val="20"/>
          <w:szCs w:val="20"/>
          <w:lang w:eastAsia="es-ES"/>
        </w:rPr>
        <w:t>e</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cia y Acc</w:t>
      </w:r>
      <w:r w:rsidRPr="00E0193D">
        <w:rPr>
          <w:rFonts w:eastAsia="Arial" w:cs="Arial"/>
          <w:i/>
          <w:color w:val="auto"/>
          <w:spacing w:val="1"/>
          <w:sz w:val="20"/>
          <w:szCs w:val="20"/>
          <w:lang w:eastAsia="es-ES"/>
        </w:rPr>
        <w:t>e</w:t>
      </w:r>
      <w:r w:rsidRPr="00E0193D">
        <w:rPr>
          <w:rFonts w:eastAsia="Arial" w:cs="Arial"/>
          <w:i/>
          <w:color w:val="auto"/>
          <w:sz w:val="20"/>
          <w:szCs w:val="20"/>
          <w:lang w:eastAsia="es-ES"/>
        </w:rPr>
        <w:t>so a la I</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f</w:t>
      </w:r>
      <w:r w:rsidRPr="00E0193D">
        <w:rPr>
          <w:rFonts w:eastAsia="Arial" w:cs="Arial"/>
          <w:i/>
          <w:color w:val="auto"/>
          <w:spacing w:val="1"/>
          <w:sz w:val="20"/>
          <w:szCs w:val="20"/>
          <w:lang w:eastAsia="es-ES"/>
        </w:rPr>
        <w:t>o</w:t>
      </w:r>
      <w:r w:rsidRPr="00E0193D">
        <w:rPr>
          <w:rFonts w:eastAsia="Arial" w:cs="Arial"/>
          <w:i/>
          <w:color w:val="auto"/>
          <w:spacing w:val="-3"/>
          <w:sz w:val="20"/>
          <w:szCs w:val="20"/>
          <w:lang w:eastAsia="es-ES"/>
        </w:rPr>
        <w:t>r</w:t>
      </w:r>
      <w:r w:rsidRPr="00E0193D">
        <w:rPr>
          <w:rFonts w:eastAsia="Arial" w:cs="Arial"/>
          <w:i/>
          <w:color w:val="auto"/>
          <w:spacing w:val="1"/>
          <w:sz w:val="20"/>
          <w:szCs w:val="20"/>
          <w:lang w:eastAsia="es-ES"/>
        </w:rPr>
        <w:t>ma</w:t>
      </w:r>
      <w:r w:rsidRPr="00E0193D">
        <w:rPr>
          <w:rFonts w:eastAsia="Arial" w:cs="Arial"/>
          <w:i/>
          <w:color w:val="auto"/>
          <w:sz w:val="20"/>
          <w:szCs w:val="20"/>
          <w:lang w:eastAsia="es-ES"/>
        </w:rPr>
        <w:t>ci</w:t>
      </w:r>
      <w:r w:rsidRPr="00E0193D">
        <w:rPr>
          <w:rFonts w:eastAsia="Arial" w:cs="Arial"/>
          <w:i/>
          <w:color w:val="auto"/>
          <w:spacing w:val="-2"/>
          <w:sz w:val="20"/>
          <w:szCs w:val="20"/>
          <w:lang w:eastAsia="es-ES"/>
        </w:rPr>
        <w:t>ó</w:t>
      </w:r>
      <w:r w:rsidRPr="00E0193D">
        <w:rPr>
          <w:rFonts w:eastAsia="Arial" w:cs="Arial"/>
          <w:i/>
          <w:color w:val="auto"/>
          <w:sz w:val="20"/>
          <w:szCs w:val="20"/>
          <w:lang w:eastAsia="es-ES"/>
        </w:rPr>
        <w:t xml:space="preserve">n </w:t>
      </w:r>
      <w:r w:rsidRPr="00E0193D">
        <w:rPr>
          <w:rFonts w:eastAsia="Arial" w:cs="Arial"/>
          <w:i/>
          <w:color w:val="auto"/>
          <w:spacing w:val="-2"/>
          <w:sz w:val="20"/>
          <w:szCs w:val="20"/>
          <w:lang w:eastAsia="es-ES"/>
        </w:rPr>
        <w:t>P</w:t>
      </w:r>
      <w:r w:rsidRPr="00E0193D">
        <w:rPr>
          <w:rFonts w:eastAsia="Arial" w:cs="Arial"/>
          <w:i/>
          <w:color w:val="auto"/>
          <w:spacing w:val="1"/>
          <w:sz w:val="20"/>
          <w:szCs w:val="20"/>
          <w:lang w:eastAsia="es-ES"/>
        </w:rPr>
        <w:t>úb</w:t>
      </w:r>
      <w:r w:rsidRPr="00E0193D">
        <w:rPr>
          <w:rFonts w:eastAsia="Arial" w:cs="Arial"/>
          <w:i/>
          <w:color w:val="auto"/>
          <w:sz w:val="20"/>
          <w:szCs w:val="20"/>
          <w:lang w:eastAsia="es-ES"/>
        </w:rPr>
        <w:t>l</w:t>
      </w:r>
      <w:r w:rsidRPr="00E0193D">
        <w:rPr>
          <w:rFonts w:eastAsia="Arial" w:cs="Arial"/>
          <w:i/>
          <w:color w:val="auto"/>
          <w:spacing w:val="-1"/>
          <w:sz w:val="20"/>
          <w:szCs w:val="20"/>
          <w:lang w:eastAsia="es-ES"/>
        </w:rPr>
        <w:t>i</w:t>
      </w:r>
      <w:r w:rsidRPr="00E0193D">
        <w:rPr>
          <w:rFonts w:eastAsia="Arial" w:cs="Arial"/>
          <w:i/>
          <w:color w:val="auto"/>
          <w:sz w:val="20"/>
          <w:szCs w:val="20"/>
          <w:lang w:eastAsia="es-ES"/>
        </w:rPr>
        <w:t xml:space="preserve">ca, </w:t>
      </w:r>
      <w:r w:rsidRPr="00E0193D">
        <w:rPr>
          <w:rFonts w:eastAsia="Arial" w:cs="Arial"/>
          <w:i/>
          <w:color w:val="auto"/>
          <w:spacing w:val="-1"/>
          <w:sz w:val="20"/>
          <w:szCs w:val="20"/>
          <w:lang w:eastAsia="es-ES"/>
        </w:rPr>
        <w:t>señalan q</w:t>
      </w:r>
      <w:r w:rsidRPr="00E0193D">
        <w:rPr>
          <w:rFonts w:eastAsia="Arial" w:cs="Arial"/>
          <w:i/>
          <w:color w:val="auto"/>
          <w:spacing w:val="1"/>
          <w:sz w:val="20"/>
          <w:szCs w:val="20"/>
          <w:lang w:eastAsia="es-ES"/>
        </w:rPr>
        <w:t>u</w:t>
      </w:r>
      <w:r w:rsidRPr="00E0193D">
        <w:rPr>
          <w:rFonts w:eastAsia="Arial" w:cs="Arial"/>
          <w:i/>
          <w:color w:val="auto"/>
          <w:sz w:val="20"/>
          <w:szCs w:val="20"/>
          <w:lang w:eastAsia="es-ES"/>
        </w:rPr>
        <w:t xml:space="preserve">e los sujetos obligados deberán otorgar acceso a los documentos </w:t>
      </w:r>
      <w:r w:rsidRPr="00E0193D">
        <w:rPr>
          <w:rFonts w:eastAsia="Arial" w:cs="Arial"/>
          <w:i/>
          <w:color w:val="auto"/>
          <w:sz w:val="20"/>
          <w:szCs w:val="20"/>
          <w:lang w:eastAsia="es-ES"/>
        </w:rPr>
        <w:lastRenderedPageBreak/>
        <w:t>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E0193D">
        <w:rPr>
          <w:rFonts w:eastAsia="Arial" w:cs="Arial"/>
          <w:i/>
          <w:color w:val="auto"/>
          <w:spacing w:val="-1"/>
          <w:sz w:val="20"/>
          <w:szCs w:val="20"/>
          <w:lang w:eastAsia="es-ES"/>
        </w:rPr>
        <w:t xml:space="preserve"> sin necesidad de</w:t>
      </w:r>
      <w:r w:rsidRPr="00E0193D">
        <w:rPr>
          <w:rFonts w:eastAsia="Arial" w:cs="Arial"/>
          <w:i/>
          <w:color w:val="auto"/>
          <w:spacing w:val="1"/>
          <w:sz w:val="20"/>
          <w:szCs w:val="20"/>
          <w:lang w:eastAsia="es-ES"/>
        </w:rPr>
        <w:t xml:space="preserve"> e</w:t>
      </w:r>
      <w:r w:rsidRPr="00E0193D">
        <w:rPr>
          <w:rFonts w:eastAsia="Arial" w:cs="Arial"/>
          <w:i/>
          <w:color w:val="auto"/>
          <w:sz w:val="20"/>
          <w:szCs w:val="20"/>
          <w:lang w:eastAsia="es-ES"/>
        </w:rPr>
        <w:t>la</w:t>
      </w:r>
      <w:r w:rsidRPr="00E0193D">
        <w:rPr>
          <w:rFonts w:eastAsia="Arial" w:cs="Arial"/>
          <w:i/>
          <w:color w:val="auto"/>
          <w:spacing w:val="1"/>
          <w:sz w:val="20"/>
          <w:szCs w:val="20"/>
          <w:lang w:eastAsia="es-ES"/>
        </w:rPr>
        <w:t>bo</w:t>
      </w:r>
      <w:r w:rsidRPr="00E0193D">
        <w:rPr>
          <w:rFonts w:eastAsia="Arial" w:cs="Arial"/>
          <w:i/>
          <w:color w:val="auto"/>
          <w:sz w:val="20"/>
          <w:szCs w:val="20"/>
          <w:lang w:eastAsia="es-ES"/>
        </w:rPr>
        <w:t xml:space="preserve">rar </w:t>
      </w:r>
      <w:r w:rsidRPr="00E0193D">
        <w:rPr>
          <w:rFonts w:eastAsia="Arial" w:cs="Arial"/>
          <w:i/>
          <w:color w:val="auto"/>
          <w:spacing w:val="1"/>
          <w:sz w:val="20"/>
          <w:szCs w:val="20"/>
          <w:lang w:eastAsia="es-ES"/>
        </w:rPr>
        <w:t>do</w:t>
      </w:r>
      <w:r w:rsidRPr="00E0193D">
        <w:rPr>
          <w:rFonts w:eastAsia="Arial" w:cs="Arial"/>
          <w:i/>
          <w:color w:val="auto"/>
          <w:spacing w:val="-2"/>
          <w:sz w:val="20"/>
          <w:szCs w:val="20"/>
          <w:lang w:eastAsia="es-ES"/>
        </w:rPr>
        <w:t>c</w:t>
      </w:r>
      <w:r w:rsidRPr="00E0193D">
        <w:rPr>
          <w:rFonts w:eastAsia="Arial" w:cs="Arial"/>
          <w:i/>
          <w:color w:val="auto"/>
          <w:spacing w:val="1"/>
          <w:sz w:val="20"/>
          <w:szCs w:val="20"/>
          <w:lang w:eastAsia="es-ES"/>
        </w:rPr>
        <w:t>u</w:t>
      </w:r>
      <w:r w:rsidRPr="00E0193D">
        <w:rPr>
          <w:rFonts w:eastAsia="Arial" w:cs="Arial"/>
          <w:i/>
          <w:color w:val="auto"/>
          <w:spacing w:val="-1"/>
          <w:sz w:val="20"/>
          <w:szCs w:val="20"/>
          <w:lang w:eastAsia="es-ES"/>
        </w:rPr>
        <w:t>m</w:t>
      </w:r>
      <w:r w:rsidRPr="00E0193D">
        <w:rPr>
          <w:rFonts w:eastAsia="Arial" w:cs="Arial"/>
          <w:i/>
          <w:color w:val="auto"/>
          <w:spacing w:val="1"/>
          <w:sz w:val="20"/>
          <w:szCs w:val="20"/>
          <w:lang w:eastAsia="es-ES"/>
        </w:rPr>
        <w:t>en</w:t>
      </w:r>
      <w:r w:rsidRPr="00E0193D">
        <w:rPr>
          <w:rFonts w:eastAsia="Arial" w:cs="Arial"/>
          <w:i/>
          <w:color w:val="auto"/>
          <w:spacing w:val="-2"/>
          <w:sz w:val="20"/>
          <w:szCs w:val="20"/>
          <w:lang w:eastAsia="es-ES"/>
        </w:rPr>
        <w:t>t</w:t>
      </w:r>
      <w:r w:rsidRPr="00E0193D">
        <w:rPr>
          <w:rFonts w:eastAsia="Arial" w:cs="Arial"/>
          <w:i/>
          <w:color w:val="auto"/>
          <w:spacing w:val="1"/>
          <w:sz w:val="20"/>
          <w:szCs w:val="20"/>
          <w:lang w:eastAsia="es-ES"/>
        </w:rPr>
        <w:t>o</w:t>
      </w:r>
      <w:r w:rsidRPr="00E0193D">
        <w:rPr>
          <w:rFonts w:eastAsia="Arial" w:cs="Arial"/>
          <w:i/>
          <w:color w:val="auto"/>
          <w:sz w:val="20"/>
          <w:szCs w:val="20"/>
          <w:lang w:eastAsia="es-ES"/>
        </w:rPr>
        <w:t xml:space="preserve">s </w:t>
      </w:r>
      <w:r w:rsidRPr="00E0193D">
        <w:rPr>
          <w:rFonts w:eastAsia="Arial" w:cs="Arial"/>
          <w:i/>
          <w:color w:val="auto"/>
          <w:spacing w:val="1"/>
          <w:sz w:val="20"/>
          <w:szCs w:val="20"/>
          <w:lang w:eastAsia="es-ES"/>
        </w:rPr>
        <w:t>a</w:t>
      </w:r>
      <w:r w:rsidRPr="00E0193D">
        <w:rPr>
          <w:rFonts w:eastAsia="Arial" w:cs="Arial"/>
          <w:i/>
          <w:color w:val="auto"/>
          <w:sz w:val="20"/>
          <w:szCs w:val="20"/>
          <w:lang w:eastAsia="es-ES"/>
        </w:rPr>
        <w:t>d</w:t>
      </w:r>
      <w:r w:rsidRPr="00E0193D">
        <w:rPr>
          <w:rFonts w:eastAsia="Arial" w:cs="Arial"/>
          <w:i/>
          <w:color w:val="auto"/>
          <w:spacing w:val="1"/>
          <w:sz w:val="20"/>
          <w:szCs w:val="20"/>
          <w:lang w:eastAsia="es-ES"/>
        </w:rPr>
        <w:t xml:space="preserve"> ho</w:t>
      </w:r>
      <w:r w:rsidRPr="00E0193D">
        <w:rPr>
          <w:rFonts w:eastAsia="Arial" w:cs="Arial"/>
          <w:i/>
          <w:color w:val="auto"/>
          <w:sz w:val="20"/>
          <w:szCs w:val="20"/>
          <w:lang w:eastAsia="es-ES"/>
        </w:rPr>
        <w:t xml:space="preserve">c </w:t>
      </w:r>
      <w:r w:rsidRPr="00E0193D">
        <w:rPr>
          <w:rFonts w:eastAsia="Arial" w:cs="Arial"/>
          <w:i/>
          <w:color w:val="auto"/>
          <w:spacing w:val="1"/>
          <w:sz w:val="20"/>
          <w:szCs w:val="20"/>
          <w:lang w:eastAsia="es-ES"/>
        </w:rPr>
        <w:t>pa</w:t>
      </w:r>
      <w:r w:rsidRPr="00E0193D">
        <w:rPr>
          <w:rFonts w:eastAsia="Arial" w:cs="Arial"/>
          <w:i/>
          <w:color w:val="auto"/>
          <w:sz w:val="20"/>
          <w:szCs w:val="20"/>
          <w:lang w:eastAsia="es-ES"/>
        </w:rPr>
        <w:t xml:space="preserve">ra </w:t>
      </w:r>
      <w:r w:rsidRPr="00E0193D">
        <w:rPr>
          <w:rFonts w:eastAsia="Arial" w:cs="Arial"/>
          <w:i/>
          <w:color w:val="auto"/>
          <w:spacing w:val="1"/>
          <w:sz w:val="20"/>
          <w:szCs w:val="20"/>
          <w:lang w:eastAsia="es-ES"/>
        </w:rPr>
        <w:t>a</w:t>
      </w:r>
      <w:r w:rsidRPr="00E0193D">
        <w:rPr>
          <w:rFonts w:eastAsia="Arial" w:cs="Arial"/>
          <w:i/>
          <w:color w:val="auto"/>
          <w:sz w:val="20"/>
          <w:szCs w:val="20"/>
          <w:lang w:eastAsia="es-ES"/>
        </w:rPr>
        <w:t>t</w:t>
      </w:r>
      <w:r w:rsidRPr="00E0193D">
        <w:rPr>
          <w:rFonts w:eastAsia="Arial" w:cs="Arial"/>
          <w:i/>
          <w:color w:val="auto"/>
          <w:spacing w:val="-1"/>
          <w:sz w:val="20"/>
          <w:szCs w:val="20"/>
          <w:lang w:eastAsia="es-ES"/>
        </w:rPr>
        <w:t>e</w:t>
      </w:r>
      <w:r w:rsidRPr="00E0193D">
        <w:rPr>
          <w:rFonts w:eastAsia="Arial" w:cs="Arial"/>
          <w:i/>
          <w:color w:val="auto"/>
          <w:spacing w:val="1"/>
          <w:sz w:val="20"/>
          <w:szCs w:val="20"/>
          <w:lang w:eastAsia="es-ES"/>
        </w:rPr>
        <w:t>n</w:t>
      </w:r>
      <w:r w:rsidRPr="00E0193D">
        <w:rPr>
          <w:rFonts w:eastAsia="Arial" w:cs="Arial"/>
          <w:i/>
          <w:color w:val="auto"/>
          <w:spacing w:val="-1"/>
          <w:sz w:val="20"/>
          <w:szCs w:val="20"/>
          <w:lang w:eastAsia="es-ES"/>
        </w:rPr>
        <w:t>d</w:t>
      </w:r>
      <w:r w:rsidRPr="00E0193D">
        <w:rPr>
          <w:rFonts w:eastAsia="Arial" w:cs="Arial"/>
          <w:i/>
          <w:color w:val="auto"/>
          <w:spacing w:val="1"/>
          <w:sz w:val="20"/>
          <w:szCs w:val="20"/>
          <w:lang w:eastAsia="es-ES"/>
        </w:rPr>
        <w:t>e</w:t>
      </w:r>
      <w:r w:rsidRPr="00E0193D">
        <w:rPr>
          <w:rFonts w:eastAsia="Arial" w:cs="Arial"/>
          <w:i/>
          <w:color w:val="auto"/>
          <w:sz w:val="20"/>
          <w:szCs w:val="20"/>
          <w:lang w:eastAsia="es-ES"/>
        </w:rPr>
        <w:t>r l</w:t>
      </w:r>
      <w:r w:rsidRPr="00E0193D">
        <w:rPr>
          <w:rFonts w:eastAsia="Arial" w:cs="Arial"/>
          <w:i/>
          <w:color w:val="auto"/>
          <w:spacing w:val="-2"/>
          <w:sz w:val="20"/>
          <w:szCs w:val="20"/>
          <w:lang w:eastAsia="es-ES"/>
        </w:rPr>
        <w:t>a</w:t>
      </w:r>
      <w:r w:rsidRPr="00E0193D">
        <w:rPr>
          <w:rFonts w:eastAsia="Arial" w:cs="Arial"/>
          <w:i/>
          <w:color w:val="auto"/>
          <w:sz w:val="20"/>
          <w:szCs w:val="20"/>
          <w:lang w:eastAsia="es-ES"/>
        </w:rPr>
        <w:t>s s</w:t>
      </w:r>
      <w:r w:rsidRPr="00E0193D">
        <w:rPr>
          <w:rFonts w:eastAsia="Arial" w:cs="Arial"/>
          <w:i/>
          <w:color w:val="auto"/>
          <w:spacing w:val="1"/>
          <w:sz w:val="20"/>
          <w:szCs w:val="20"/>
          <w:lang w:eastAsia="es-ES"/>
        </w:rPr>
        <w:t>o</w:t>
      </w:r>
      <w:r w:rsidRPr="00E0193D">
        <w:rPr>
          <w:rFonts w:eastAsia="Arial" w:cs="Arial"/>
          <w:i/>
          <w:color w:val="auto"/>
          <w:sz w:val="20"/>
          <w:szCs w:val="20"/>
          <w:lang w:eastAsia="es-ES"/>
        </w:rPr>
        <w:t>l</w:t>
      </w:r>
      <w:r w:rsidRPr="00E0193D">
        <w:rPr>
          <w:rFonts w:eastAsia="Arial" w:cs="Arial"/>
          <w:i/>
          <w:color w:val="auto"/>
          <w:spacing w:val="-1"/>
          <w:sz w:val="20"/>
          <w:szCs w:val="20"/>
          <w:lang w:eastAsia="es-ES"/>
        </w:rPr>
        <w:t>i</w:t>
      </w:r>
      <w:r w:rsidRPr="00E0193D">
        <w:rPr>
          <w:rFonts w:eastAsia="Arial" w:cs="Arial"/>
          <w:i/>
          <w:color w:val="auto"/>
          <w:sz w:val="20"/>
          <w:szCs w:val="20"/>
          <w:lang w:eastAsia="es-ES"/>
        </w:rPr>
        <w:t>cit</w:t>
      </w:r>
      <w:r w:rsidRPr="00E0193D">
        <w:rPr>
          <w:rFonts w:eastAsia="Arial" w:cs="Arial"/>
          <w:i/>
          <w:color w:val="auto"/>
          <w:spacing w:val="1"/>
          <w:sz w:val="20"/>
          <w:szCs w:val="20"/>
          <w:lang w:eastAsia="es-ES"/>
        </w:rPr>
        <w:t>ude</w:t>
      </w:r>
      <w:r w:rsidRPr="00E0193D">
        <w:rPr>
          <w:rFonts w:eastAsia="Arial" w:cs="Arial"/>
          <w:i/>
          <w:color w:val="auto"/>
          <w:sz w:val="20"/>
          <w:szCs w:val="20"/>
          <w:lang w:eastAsia="es-ES"/>
        </w:rPr>
        <w:t xml:space="preserve">s </w:t>
      </w:r>
      <w:r w:rsidRPr="00E0193D">
        <w:rPr>
          <w:rFonts w:eastAsia="Arial" w:cs="Arial"/>
          <w:i/>
          <w:color w:val="auto"/>
          <w:spacing w:val="-1"/>
          <w:sz w:val="20"/>
          <w:szCs w:val="20"/>
          <w:lang w:eastAsia="es-ES"/>
        </w:rPr>
        <w:t>d</w:t>
      </w:r>
      <w:r w:rsidRPr="00E0193D">
        <w:rPr>
          <w:rFonts w:eastAsia="Arial" w:cs="Arial"/>
          <w:i/>
          <w:color w:val="auto"/>
          <w:sz w:val="20"/>
          <w:szCs w:val="20"/>
          <w:lang w:eastAsia="es-ES"/>
        </w:rPr>
        <w:t>e i</w:t>
      </w:r>
      <w:r w:rsidRPr="00E0193D">
        <w:rPr>
          <w:rFonts w:eastAsia="Arial" w:cs="Arial"/>
          <w:i/>
          <w:color w:val="auto"/>
          <w:spacing w:val="-2"/>
          <w:sz w:val="20"/>
          <w:szCs w:val="20"/>
          <w:lang w:eastAsia="es-ES"/>
        </w:rPr>
        <w:t>n</w:t>
      </w:r>
      <w:r w:rsidRPr="00E0193D">
        <w:rPr>
          <w:rFonts w:eastAsia="Arial" w:cs="Arial"/>
          <w:i/>
          <w:color w:val="auto"/>
          <w:sz w:val="20"/>
          <w:szCs w:val="20"/>
          <w:lang w:eastAsia="es-ES"/>
        </w:rPr>
        <w:t>f</w:t>
      </w:r>
      <w:r w:rsidRPr="00E0193D">
        <w:rPr>
          <w:rFonts w:eastAsia="Arial" w:cs="Arial"/>
          <w:i/>
          <w:color w:val="auto"/>
          <w:spacing w:val="1"/>
          <w:sz w:val="20"/>
          <w:szCs w:val="20"/>
          <w:lang w:eastAsia="es-ES"/>
        </w:rPr>
        <w:t>o</w:t>
      </w:r>
      <w:r w:rsidRPr="00E0193D">
        <w:rPr>
          <w:rFonts w:eastAsia="Arial" w:cs="Arial"/>
          <w:i/>
          <w:color w:val="auto"/>
          <w:sz w:val="20"/>
          <w:szCs w:val="20"/>
          <w:lang w:eastAsia="es-ES"/>
        </w:rPr>
        <w:t>r</w:t>
      </w:r>
      <w:r w:rsidRPr="00E0193D">
        <w:rPr>
          <w:rFonts w:eastAsia="Arial" w:cs="Arial"/>
          <w:i/>
          <w:color w:val="auto"/>
          <w:spacing w:val="-1"/>
          <w:sz w:val="20"/>
          <w:szCs w:val="20"/>
          <w:lang w:eastAsia="es-ES"/>
        </w:rPr>
        <w:t>m</w:t>
      </w:r>
      <w:r w:rsidRPr="00E0193D">
        <w:rPr>
          <w:rFonts w:eastAsia="Arial" w:cs="Arial"/>
          <w:i/>
          <w:color w:val="auto"/>
          <w:spacing w:val="1"/>
          <w:sz w:val="20"/>
          <w:szCs w:val="20"/>
          <w:lang w:eastAsia="es-ES"/>
        </w:rPr>
        <w:t>a</w:t>
      </w:r>
      <w:r w:rsidRPr="00E0193D">
        <w:rPr>
          <w:rFonts w:eastAsia="Arial" w:cs="Arial"/>
          <w:i/>
          <w:color w:val="auto"/>
          <w:sz w:val="20"/>
          <w:szCs w:val="20"/>
          <w:lang w:eastAsia="es-ES"/>
        </w:rPr>
        <w:t>ció</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w:t>
      </w:r>
    </w:p>
    <w:p w14:paraId="5B834D4C" w14:textId="77777777" w:rsidR="00E0193D" w:rsidRPr="00E0193D" w:rsidRDefault="00E0193D" w:rsidP="00E0193D">
      <w:pPr>
        <w:spacing w:after="0" w:line="360" w:lineRule="auto"/>
        <w:rPr>
          <w:rFonts w:eastAsia="Times New Roman" w:cs="Tahoma"/>
          <w:color w:val="auto"/>
          <w:szCs w:val="24"/>
          <w:lang w:val="es-ES" w:eastAsia="es-ES"/>
        </w:rPr>
      </w:pPr>
    </w:p>
    <w:p w14:paraId="5739474E" w14:textId="04AEE3F9" w:rsidR="00E0193D" w:rsidRPr="00E0193D" w:rsidRDefault="00E0193D" w:rsidP="00E0193D">
      <w:pPr>
        <w:spacing w:after="0" w:line="360" w:lineRule="auto"/>
        <w:rPr>
          <w:rFonts w:eastAsia="Times New Roman" w:cs="Tahoma"/>
          <w:bCs/>
          <w:iCs/>
          <w:color w:val="0D0D0D"/>
          <w:lang w:val="es-ES" w:eastAsia="es-ES"/>
        </w:rPr>
      </w:pPr>
      <w:r w:rsidRPr="00E0193D">
        <w:rPr>
          <w:rFonts w:eastAsia="Times New Roman" w:cs="Tahoma"/>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w:t>
      </w:r>
      <w:r w:rsidR="0084225B">
        <w:rPr>
          <w:rFonts w:eastAsia="Times New Roman" w:cs="Tahoma"/>
          <w:color w:val="auto"/>
          <w:lang w:val="es-ES" w:eastAsia="es-ES"/>
        </w:rPr>
        <w:t xml:space="preserve">los formatos </w:t>
      </w:r>
      <w:proofErr w:type="spellStart"/>
      <w:r w:rsidR="0084225B" w:rsidRPr="0084225B">
        <w:rPr>
          <w:rFonts w:eastAsia="Times New Roman" w:cs="Tahoma"/>
          <w:bCs/>
          <w:color w:val="auto"/>
          <w:lang w:val="es-ES_tradnl" w:eastAsia="es-ES"/>
        </w:rPr>
        <w:t>PbRM</w:t>
      </w:r>
      <w:proofErr w:type="spellEnd"/>
      <w:r w:rsidR="0084225B" w:rsidRPr="0084225B">
        <w:rPr>
          <w:rFonts w:eastAsia="Times New Roman" w:cs="Tahoma"/>
          <w:bCs/>
          <w:color w:val="auto"/>
          <w:lang w:val="es-ES_tradnl" w:eastAsia="es-ES"/>
        </w:rPr>
        <w:t xml:space="preserve"> 05 Tabulador de Sueldos</w:t>
      </w:r>
      <w:r w:rsidR="0084225B">
        <w:rPr>
          <w:rFonts w:eastAsia="Times New Roman" w:cs="Tahoma"/>
          <w:bCs/>
          <w:color w:val="auto"/>
          <w:lang w:val="es-ES_tradnl" w:eastAsia="es-ES"/>
        </w:rPr>
        <w:t>, de los tres ejercicios fiscales peticionados.</w:t>
      </w:r>
    </w:p>
    <w:p w14:paraId="75FB3DF0" w14:textId="77777777" w:rsidR="008539F8" w:rsidRDefault="008539F8" w:rsidP="00EE1EE0">
      <w:pPr>
        <w:autoSpaceDE w:val="0"/>
        <w:autoSpaceDN w:val="0"/>
        <w:adjustRightInd w:val="0"/>
        <w:spacing w:after="0" w:line="360" w:lineRule="auto"/>
        <w:rPr>
          <w:rFonts w:eastAsia="Times New Roman" w:cs="Tahoma"/>
          <w:bCs/>
          <w:color w:val="auto"/>
          <w:lang w:eastAsia="es-ES"/>
        </w:rPr>
      </w:pPr>
    </w:p>
    <w:p w14:paraId="7336BF4F" w14:textId="75511FFE" w:rsidR="008E2DA1" w:rsidRDefault="008E2DA1" w:rsidP="008567E8">
      <w:pPr>
        <w:spacing w:after="0" w:line="360" w:lineRule="auto"/>
        <w:rPr>
          <w:rFonts w:eastAsia="Times New Roman" w:cs="Tahoma"/>
          <w:b/>
          <w:color w:val="auto"/>
          <w:lang w:val="es-ES_tradnl" w:eastAsia="es-ES"/>
        </w:rPr>
      </w:pPr>
      <w:r w:rsidRPr="008E2DA1">
        <w:rPr>
          <w:rFonts w:eastAsia="Times New Roman" w:cs="Tahoma"/>
          <w:b/>
          <w:color w:val="auto"/>
          <w:lang w:val="es-ES_tradnl" w:eastAsia="es-ES"/>
        </w:rPr>
        <w:t>Nómin</w:t>
      </w:r>
      <w:r w:rsidR="009270EA">
        <w:rPr>
          <w:rFonts w:eastAsia="Times New Roman" w:cs="Tahoma"/>
          <w:b/>
          <w:color w:val="auto"/>
          <w:lang w:val="es-ES_tradnl" w:eastAsia="es-ES"/>
        </w:rPr>
        <w:t>a de servidores públicos.</w:t>
      </w:r>
    </w:p>
    <w:p w14:paraId="44453D12" w14:textId="77777777" w:rsidR="00FF0BA8" w:rsidRPr="008E2DA1" w:rsidRDefault="00FF0BA8" w:rsidP="008567E8">
      <w:pPr>
        <w:spacing w:after="0" w:line="360" w:lineRule="auto"/>
        <w:rPr>
          <w:rFonts w:eastAsia="Times New Roman" w:cs="Tahoma"/>
          <w:b/>
          <w:color w:val="auto"/>
          <w:lang w:val="es-ES_tradnl" w:eastAsia="es-ES"/>
        </w:rPr>
      </w:pPr>
    </w:p>
    <w:p w14:paraId="46621C0A" w14:textId="1261D7F0" w:rsidR="00667094" w:rsidRPr="00667094" w:rsidRDefault="00667094" w:rsidP="00667094">
      <w:pPr>
        <w:spacing w:after="0" w:line="360" w:lineRule="auto"/>
        <w:ind w:right="-93"/>
        <w:rPr>
          <w:rFonts w:eastAsia="Calibri" w:cs="Tahoma"/>
          <w:b/>
          <w:bCs/>
          <w:color w:val="auto"/>
        </w:rPr>
      </w:pPr>
      <w:r w:rsidRPr="00667094">
        <w:rPr>
          <w:rFonts w:eastAsia="Calibri" w:cs="Times New Roman"/>
          <w:bCs/>
          <w:color w:val="000000"/>
          <w:lang w:val="es-ES_tradnl"/>
        </w:rPr>
        <w:t xml:space="preserve">Ahora bien, respecto al documento peticionado, </w:t>
      </w:r>
      <w:r w:rsidRPr="00667094">
        <w:rPr>
          <w:rFonts w:eastAsia="Calibri" w:cs="Tahoma"/>
          <w:bCs/>
          <w:color w:val="auto"/>
        </w:rPr>
        <w:t>el Glosario localizado en la página de Transparencia Presupuestaria de la Secretaría de Hacienda y Crédito Público (</w:t>
      </w:r>
      <w:hyperlink r:id="rId14" w:history="1">
        <w:r w:rsidRPr="00667094">
          <w:rPr>
            <w:rFonts w:eastAsia="Calibri" w:cs="Tahoma"/>
            <w:bCs/>
            <w:color w:val="0563C1"/>
            <w:u w:val="single"/>
          </w:rPr>
          <w:t>http://www.transparenciapresupuestaria.gob.mx/es/PTP/Glosario</w:t>
        </w:r>
      </w:hyperlink>
      <w:r w:rsidRPr="00667094">
        <w:rPr>
          <w:rFonts w:eastAsia="Calibri" w:cs="Tahoma"/>
          <w:bCs/>
          <w:color w:val="auto"/>
        </w:rPr>
        <w:t xml:space="preserve">, consultada el </w:t>
      </w:r>
      <w:r w:rsidR="004D290A" w:rsidRPr="004D290A">
        <w:rPr>
          <w:rFonts w:eastAsia="Calibri" w:cs="Tahoma"/>
          <w:bCs/>
          <w:color w:val="auto"/>
        </w:rPr>
        <w:t xml:space="preserve">veinte </w:t>
      </w:r>
      <w:r w:rsidRPr="00667094">
        <w:rPr>
          <w:rFonts w:eastAsia="Calibri" w:cs="Tahoma"/>
          <w:bCs/>
          <w:color w:val="auto"/>
        </w:rPr>
        <w:t xml:space="preserve">de </w:t>
      </w:r>
      <w:r w:rsidR="004D290A" w:rsidRPr="004D290A">
        <w:rPr>
          <w:rFonts w:eastAsia="Calibri" w:cs="Tahoma"/>
          <w:bCs/>
          <w:color w:val="auto"/>
        </w:rPr>
        <w:t>dic</w:t>
      </w:r>
      <w:r w:rsidRPr="00667094">
        <w:rPr>
          <w:rFonts w:eastAsia="Calibri" w:cs="Tahoma"/>
          <w:bCs/>
          <w:color w:val="auto"/>
        </w:rPr>
        <w:t xml:space="preserve">iembre de dos mil veintiuno, a las </w:t>
      </w:r>
      <w:r w:rsidR="004D290A">
        <w:rPr>
          <w:rFonts w:eastAsia="Calibri" w:cs="Tahoma"/>
          <w:bCs/>
          <w:color w:val="auto"/>
        </w:rPr>
        <w:t>quince</w:t>
      </w:r>
      <w:r w:rsidRPr="00667094">
        <w:rPr>
          <w:rFonts w:eastAsia="Calibri" w:cs="Tahoma"/>
          <w:bCs/>
          <w:color w:val="auto"/>
        </w:rPr>
        <w:t xml:space="preserve"> horas), establece que la </w:t>
      </w:r>
      <w:r w:rsidRPr="00667094">
        <w:rPr>
          <w:rFonts w:eastAsia="Calibri" w:cs="Tahoma"/>
          <w:b/>
          <w:bCs/>
          <w:color w:val="auto"/>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3CDA87CC" w14:textId="77777777" w:rsidR="00667094" w:rsidRPr="00667094" w:rsidRDefault="00667094" w:rsidP="00667094">
      <w:pPr>
        <w:spacing w:after="0" w:line="360" w:lineRule="auto"/>
        <w:ind w:right="-93"/>
        <w:rPr>
          <w:rFonts w:eastAsia="Calibri" w:cs="Tahoma"/>
          <w:b/>
          <w:bCs/>
          <w:color w:val="auto"/>
        </w:rPr>
      </w:pPr>
    </w:p>
    <w:p w14:paraId="2698609F" w14:textId="0CA7D107" w:rsidR="00667094" w:rsidRPr="00667094" w:rsidRDefault="00667094" w:rsidP="00667094">
      <w:pPr>
        <w:spacing w:after="0" w:line="360" w:lineRule="auto"/>
        <w:rPr>
          <w:rFonts w:eastAsia="Calibri" w:cs="Times New Roman"/>
          <w:b/>
          <w:color w:val="auto"/>
          <w:lang w:eastAsia="es-ES"/>
        </w:rPr>
      </w:pPr>
      <w:r w:rsidRPr="00667094">
        <w:rPr>
          <w:rFonts w:eastAsia="Calibri" w:cs="Times New Roman"/>
          <w:color w:val="auto"/>
        </w:rPr>
        <w:t>De la misma manera, el Glosario de términos más usuales en la Administración Pública Federal, emitido por la Secretaría de Hacienda y Crédito Público (</w:t>
      </w:r>
      <w:hyperlink r:id="rId15" w:history="1">
        <w:r w:rsidRPr="00667094">
          <w:rPr>
            <w:rFonts w:eastAsia="Calibri" w:cs="Times New Roman"/>
            <w:color w:val="0563C1"/>
            <w:u w:val="single"/>
          </w:rPr>
          <w:t>http://www.apartados.hacienda.gob.mx/contabilidad/documentos/informe_cuenta/1998/cuenta_publica/Glosario/n.htm</w:t>
        </w:r>
      </w:hyperlink>
      <w:r w:rsidRPr="00667094">
        <w:rPr>
          <w:rFonts w:eastAsia="Calibri" w:cs="Times New Roman"/>
          <w:color w:val="auto"/>
        </w:rPr>
        <w:t xml:space="preserve">, consultado el </w:t>
      </w:r>
      <w:r w:rsidR="00225657" w:rsidRPr="00225657">
        <w:rPr>
          <w:rFonts w:eastAsia="Calibri" w:cs="Times New Roman"/>
          <w:color w:val="auto"/>
        </w:rPr>
        <w:t>veinte</w:t>
      </w:r>
      <w:r w:rsidRPr="00667094">
        <w:rPr>
          <w:rFonts w:eastAsia="Calibri" w:cs="Times New Roman"/>
          <w:color w:val="auto"/>
        </w:rPr>
        <w:t xml:space="preserve"> de </w:t>
      </w:r>
      <w:r w:rsidR="00225657" w:rsidRPr="00225657">
        <w:rPr>
          <w:rFonts w:eastAsia="Calibri" w:cs="Times New Roman"/>
          <w:color w:val="auto"/>
        </w:rPr>
        <w:t>diciem</w:t>
      </w:r>
      <w:r w:rsidRPr="00667094">
        <w:rPr>
          <w:rFonts w:eastAsia="Calibri" w:cs="Times New Roman"/>
          <w:color w:val="auto"/>
        </w:rPr>
        <w:t xml:space="preserve">bre de </w:t>
      </w:r>
      <w:r w:rsidR="00225657">
        <w:rPr>
          <w:rFonts w:eastAsia="Calibri" w:cs="Times New Roman"/>
          <w:color w:val="auto"/>
        </w:rPr>
        <w:t>dos mil veintiuno</w:t>
      </w:r>
      <w:r w:rsidRPr="00667094">
        <w:rPr>
          <w:rFonts w:eastAsia="Calibri" w:cs="Times New Roman"/>
          <w:color w:val="auto"/>
        </w:rPr>
        <w:t xml:space="preserve">, a las </w:t>
      </w:r>
      <w:r w:rsidRPr="00667094">
        <w:rPr>
          <w:rFonts w:eastAsia="Calibri" w:cs="Times New Roman"/>
          <w:color w:val="auto"/>
        </w:rPr>
        <w:lastRenderedPageBreak/>
        <w:t xml:space="preserve">diecisiete horas con treinta minutos), establece que la </w:t>
      </w:r>
      <w:r w:rsidRPr="00667094">
        <w:rPr>
          <w:rFonts w:eastAsia="Calibri" w:cs="Times New Roman"/>
          <w:b/>
          <w:color w:val="auto"/>
        </w:rPr>
        <w:t xml:space="preserve">nómina es un listado general de los </w:t>
      </w:r>
      <w:r w:rsidRPr="00667094">
        <w:rPr>
          <w:rFonts w:eastAsia="Calibri" w:cs="Times New Roman"/>
          <w:b/>
          <w:color w:val="auto"/>
          <w:lang w:eastAsia="es-ES"/>
        </w:rPr>
        <w:t>trabajadores de una institución, en el cual se asientan las percepciones brutas, deducciones y alcance neto de las mismas.</w:t>
      </w:r>
    </w:p>
    <w:p w14:paraId="3EBF807D" w14:textId="77777777" w:rsidR="00667094" w:rsidRPr="00667094" w:rsidRDefault="00667094" w:rsidP="00667094">
      <w:pPr>
        <w:spacing w:after="0" w:line="360" w:lineRule="auto"/>
        <w:rPr>
          <w:rFonts w:eastAsia="Calibri" w:cs="Times New Roman"/>
          <w:color w:val="auto"/>
          <w:szCs w:val="20"/>
          <w:lang w:eastAsia="es-ES"/>
        </w:rPr>
      </w:pPr>
    </w:p>
    <w:p w14:paraId="53B11540" w14:textId="77777777" w:rsidR="00667094" w:rsidRPr="00667094" w:rsidRDefault="00667094" w:rsidP="00667094">
      <w:pPr>
        <w:spacing w:after="0" w:line="360" w:lineRule="auto"/>
        <w:rPr>
          <w:rFonts w:eastAsia="Calibri" w:cs="Times New Roman"/>
          <w:color w:val="auto"/>
          <w:szCs w:val="20"/>
          <w:lang w:eastAsia="es-ES"/>
        </w:rPr>
      </w:pPr>
      <w:r w:rsidRPr="00667094">
        <w:rPr>
          <w:rFonts w:eastAsia="Calibri" w:cs="Times New Roman"/>
          <w:color w:val="auto"/>
          <w:szCs w:val="20"/>
          <w:lang w:eastAsia="es-ES"/>
        </w:rPr>
        <w:t>Conforme a lo anterior, se puede advertir que la nómina se puede referir a lo siguiente:</w:t>
      </w:r>
    </w:p>
    <w:p w14:paraId="4B8909EC" w14:textId="77777777" w:rsidR="00667094" w:rsidRPr="00667094" w:rsidRDefault="00667094" w:rsidP="00667094">
      <w:pPr>
        <w:spacing w:after="0" w:line="360" w:lineRule="auto"/>
        <w:rPr>
          <w:rFonts w:eastAsia="Calibri" w:cs="Times New Roman"/>
          <w:color w:val="auto"/>
          <w:szCs w:val="20"/>
          <w:lang w:eastAsia="es-ES"/>
        </w:rPr>
      </w:pPr>
    </w:p>
    <w:p w14:paraId="634E7C1F" w14:textId="77777777" w:rsidR="00667094" w:rsidRPr="00667094" w:rsidRDefault="00667094" w:rsidP="00667094">
      <w:pPr>
        <w:numPr>
          <w:ilvl w:val="0"/>
          <w:numId w:val="8"/>
        </w:numPr>
        <w:spacing w:after="0" w:line="360" w:lineRule="auto"/>
        <w:contextualSpacing/>
        <w:jc w:val="left"/>
        <w:rPr>
          <w:rFonts w:eastAsia="Calibri" w:cs="Times New Roman"/>
          <w:color w:val="auto"/>
          <w:szCs w:val="24"/>
          <w:lang w:eastAsia="es-ES"/>
        </w:rPr>
      </w:pPr>
      <w:r w:rsidRPr="00667094">
        <w:rPr>
          <w:rFonts w:eastAsia="Calibri" w:cs="Times New Roman"/>
          <w:color w:val="auto"/>
          <w:szCs w:val="24"/>
          <w:lang w:eastAsia="es-ES"/>
        </w:rPr>
        <w:t>Relación de trabajadores con las percepciones monetarias de cada uno.</w:t>
      </w:r>
    </w:p>
    <w:p w14:paraId="54FCA5D9" w14:textId="77777777" w:rsidR="00667094" w:rsidRPr="00667094" w:rsidRDefault="00667094" w:rsidP="00667094">
      <w:pPr>
        <w:spacing w:after="0" w:line="360" w:lineRule="auto"/>
        <w:rPr>
          <w:rFonts w:eastAsia="Calibri" w:cs="Times New Roman"/>
          <w:color w:val="auto"/>
          <w:szCs w:val="20"/>
          <w:lang w:eastAsia="es-ES"/>
        </w:rPr>
      </w:pPr>
    </w:p>
    <w:p w14:paraId="7B7367F2" w14:textId="77777777" w:rsidR="00667094" w:rsidRPr="00667094" w:rsidRDefault="00667094" w:rsidP="00667094">
      <w:pPr>
        <w:numPr>
          <w:ilvl w:val="0"/>
          <w:numId w:val="8"/>
        </w:numPr>
        <w:spacing w:after="0" w:line="360" w:lineRule="auto"/>
        <w:contextualSpacing/>
        <w:jc w:val="left"/>
        <w:rPr>
          <w:rFonts w:eastAsia="Calibri" w:cs="Times New Roman"/>
          <w:color w:val="auto"/>
          <w:szCs w:val="24"/>
          <w:lang w:eastAsia="es-ES"/>
        </w:rPr>
      </w:pPr>
      <w:r w:rsidRPr="00667094">
        <w:rPr>
          <w:rFonts w:eastAsia="Calibri" w:cs="Times New Roman"/>
          <w:color w:val="auto"/>
          <w:szCs w:val="24"/>
          <w:lang w:eastAsia="es-ES"/>
        </w:rPr>
        <w:t>Recibo individual que contiene las prestaciones y deducciones de un trabajador.</w:t>
      </w:r>
    </w:p>
    <w:p w14:paraId="1567A142" w14:textId="77777777" w:rsidR="00667094" w:rsidRPr="00667094" w:rsidRDefault="00667094" w:rsidP="00667094">
      <w:pPr>
        <w:spacing w:after="0" w:line="360" w:lineRule="auto"/>
        <w:rPr>
          <w:rFonts w:eastAsia="Calibri" w:cs="Times New Roman"/>
          <w:color w:val="auto"/>
          <w:szCs w:val="20"/>
          <w:lang w:eastAsia="es-ES"/>
        </w:rPr>
      </w:pPr>
    </w:p>
    <w:p w14:paraId="43A21BA5" w14:textId="77777777" w:rsidR="00667094" w:rsidRPr="00667094" w:rsidRDefault="00667094" w:rsidP="00667094">
      <w:pPr>
        <w:numPr>
          <w:ilvl w:val="0"/>
          <w:numId w:val="8"/>
        </w:numPr>
        <w:spacing w:after="0" w:line="360" w:lineRule="auto"/>
        <w:contextualSpacing/>
        <w:jc w:val="left"/>
        <w:rPr>
          <w:rFonts w:eastAsia="Calibri" w:cs="Times New Roman"/>
          <w:b/>
          <w:color w:val="auto"/>
          <w:szCs w:val="24"/>
          <w:lang w:eastAsia="es-ES"/>
        </w:rPr>
      </w:pPr>
      <w:r w:rsidRPr="00667094">
        <w:rPr>
          <w:rFonts w:eastAsia="Calibri" w:cs="Times New Roman"/>
          <w:b/>
          <w:color w:val="auto"/>
          <w:szCs w:val="24"/>
          <w:lang w:eastAsia="es-ES"/>
        </w:rPr>
        <w:t>Listado general de los servidores públicos de una institución o dependencia, en el cual se asientan las percepciones brutas, deducciones y alcance neto de las mismas.</w:t>
      </w:r>
    </w:p>
    <w:p w14:paraId="3D0B6B66" w14:textId="77777777" w:rsidR="00667094" w:rsidRPr="00667094" w:rsidRDefault="00667094" w:rsidP="00667094">
      <w:pPr>
        <w:spacing w:after="0" w:line="360" w:lineRule="auto"/>
        <w:rPr>
          <w:rFonts w:eastAsia="Times New Roman" w:cs="Times New Roman"/>
          <w:color w:val="auto"/>
          <w:szCs w:val="20"/>
          <w:lang w:eastAsia="es-ES"/>
        </w:rPr>
      </w:pPr>
    </w:p>
    <w:p w14:paraId="7A23F574" w14:textId="47E89D10" w:rsidR="00667094" w:rsidRPr="00667094" w:rsidRDefault="00667094" w:rsidP="00667094">
      <w:pPr>
        <w:spacing w:after="0" w:line="360" w:lineRule="auto"/>
        <w:rPr>
          <w:rFonts w:eastAsia="Times New Roman" w:cs="Times New Roman"/>
          <w:b/>
          <w:color w:val="auto"/>
          <w:szCs w:val="20"/>
          <w:lang w:eastAsia="es-ES"/>
        </w:rPr>
      </w:pPr>
      <w:r w:rsidRPr="00667094">
        <w:rPr>
          <w:rFonts w:eastAsia="Times New Roman" w:cs="Times New Roman"/>
          <w:color w:val="auto"/>
          <w:szCs w:val="20"/>
          <w:lang w:eastAsia="es-ES"/>
        </w:rPr>
        <w:t xml:space="preserve">Así, se logra advertir que la parte Recurrente quiere tener acceso al documento que contenga el </w:t>
      </w:r>
      <w:r w:rsidRPr="00667094">
        <w:rPr>
          <w:rFonts w:eastAsia="Times New Roman" w:cs="Times New Roman"/>
          <w:b/>
          <w:color w:val="auto"/>
          <w:szCs w:val="20"/>
          <w:lang w:eastAsia="es-ES"/>
        </w:rPr>
        <w:t xml:space="preserve">listado con las remuneraciones, percepciones y deducciones de todo el personal adscrito al Ayuntamiento de </w:t>
      </w:r>
      <w:r w:rsidR="003E514A">
        <w:rPr>
          <w:rFonts w:eastAsia="Times New Roman" w:cs="Times New Roman"/>
          <w:b/>
          <w:color w:val="auto"/>
          <w:szCs w:val="20"/>
          <w:lang w:eastAsia="es-ES"/>
        </w:rPr>
        <w:t>Tezoyuca</w:t>
      </w:r>
      <w:r w:rsidRPr="00667094">
        <w:rPr>
          <w:rFonts w:eastAsia="Times New Roman" w:cs="Times New Roman"/>
          <w:b/>
          <w:color w:val="auto"/>
          <w:szCs w:val="20"/>
          <w:lang w:eastAsia="es-ES"/>
        </w:rPr>
        <w:t>, de</w:t>
      </w:r>
      <w:r w:rsidR="00EC56EA" w:rsidRPr="00EC56EA">
        <w:rPr>
          <w:rFonts w:eastAsia="Times New Roman" w:cs="Times New Roman"/>
          <w:b/>
          <w:color w:val="auto"/>
          <w:szCs w:val="20"/>
          <w:lang w:eastAsia="es-ES"/>
        </w:rPr>
        <w:t xml:space="preserve"> la primera quincena de enero a la segunda de julio de dos mil veintiuno</w:t>
      </w:r>
      <w:r w:rsidRPr="00667094">
        <w:rPr>
          <w:rFonts w:eastAsia="Times New Roman" w:cs="Times New Roman"/>
          <w:b/>
          <w:color w:val="auto"/>
          <w:szCs w:val="20"/>
          <w:lang w:eastAsia="es-ES"/>
        </w:rPr>
        <w:t xml:space="preserve">. </w:t>
      </w:r>
    </w:p>
    <w:p w14:paraId="508C5555" w14:textId="77777777" w:rsidR="00667094" w:rsidRPr="00667094" w:rsidRDefault="00667094" w:rsidP="00667094">
      <w:pPr>
        <w:spacing w:after="0" w:line="360" w:lineRule="auto"/>
        <w:rPr>
          <w:rFonts w:eastAsia="Times New Roman" w:cs="Times New Roman"/>
          <w:color w:val="auto"/>
          <w:szCs w:val="20"/>
          <w:lang w:eastAsia="es-ES"/>
        </w:rPr>
      </w:pPr>
    </w:p>
    <w:p w14:paraId="32B270D3" w14:textId="08B527D3" w:rsidR="00667094" w:rsidRDefault="00667094" w:rsidP="00667094">
      <w:pPr>
        <w:spacing w:after="0" w:line="360" w:lineRule="auto"/>
        <w:rPr>
          <w:rFonts w:eastAsia="Times New Roman" w:cs="Times New Roman"/>
          <w:color w:val="auto"/>
          <w:lang w:eastAsia="es-MX"/>
        </w:rPr>
      </w:pPr>
      <w:r w:rsidRPr="00667094">
        <w:rPr>
          <w:rFonts w:eastAsia="Calibri" w:cs="Times New Roman"/>
          <w:color w:val="auto"/>
          <w:lang w:eastAsia="es-ES"/>
        </w:rPr>
        <w:t xml:space="preserve">Respecto al tema, </w:t>
      </w:r>
      <w:r w:rsidRPr="00667094">
        <w:rPr>
          <w:rFonts w:eastAsia="Times New Roman" w:cs="Times New Roman"/>
          <w:color w:val="auto"/>
          <w:lang w:eastAsia="es-ES"/>
        </w:rPr>
        <w:t>el artículo 32, párrafo segundo, de la Ley de Fiscalización</w:t>
      </w:r>
      <w:r w:rsidRPr="00667094">
        <w:rPr>
          <w:rFonts w:eastAsia="Times New Roman" w:cs="Times New Roman"/>
          <w:color w:val="auto"/>
          <w:lang w:eastAsia="es-MX"/>
        </w:rPr>
        <w:t xml:space="preserve"> Superior del Estado de México, establece que los Presidentes Municipales, presentarán a la Legislatura los informes mensuales, dentro de los veinte días posteriores al término del mes correspondiente.</w:t>
      </w:r>
    </w:p>
    <w:p w14:paraId="28C57CFB" w14:textId="77777777" w:rsidR="003E514A" w:rsidRPr="00667094" w:rsidRDefault="003E514A" w:rsidP="00667094">
      <w:pPr>
        <w:spacing w:after="0" w:line="360" w:lineRule="auto"/>
        <w:rPr>
          <w:rFonts w:eastAsia="Times New Roman" w:cs="Times New Roman"/>
          <w:color w:val="auto"/>
          <w:lang w:eastAsia="es-MX"/>
        </w:rPr>
      </w:pPr>
    </w:p>
    <w:p w14:paraId="029F2B6B" w14:textId="77777777" w:rsidR="00667094" w:rsidRPr="00667094" w:rsidRDefault="00667094" w:rsidP="00667094">
      <w:pPr>
        <w:spacing w:after="0" w:line="360" w:lineRule="auto"/>
        <w:rPr>
          <w:rFonts w:eastAsia="Times New Roman" w:cs="Tahoma"/>
          <w:bCs/>
          <w:color w:val="auto"/>
          <w:lang w:eastAsia="es-MX"/>
        </w:rPr>
      </w:pPr>
      <w:r w:rsidRPr="00667094">
        <w:rPr>
          <w:rFonts w:eastAsia="Times New Roman" w:cs="Tahoma"/>
          <w:bCs/>
          <w:color w:val="auto"/>
          <w:lang w:eastAsia="es-MX"/>
        </w:rPr>
        <w:t xml:space="preserve">En ese orden de ideas, el diverso 8°, fracciones XI y XIV, de dicho ordenamiento jurídico, establece que el Órgano Superior de Fiscalización del Estado de México, será el encargado de establecer los lineamientos necesarios para la elaboración de los informes mensuales; </w:t>
      </w:r>
      <w:r w:rsidRPr="00667094">
        <w:rPr>
          <w:rFonts w:eastAsia="Times New Roman" w:cs="Tahoma"/>
          <w:bCs/>
          <w:color w:val="auto"/>
          <w:lang w:eastAsia="es-MX"/>
        </w:rPr>
        <w:lastRenderedPageBreak/>
        <w:t>además que verificará que dichos informes hayan sido presentados conforme a la normatividad aplicable.</w:t>
      </w:r>
    </w:p>
    <w:p w14:paraId="2F515667" w14:textId="77777777" w:rsidR="00667094" w:rsidRPr="00667094" w:rsidRDefault="00667094" w:rsidP="00667094">
      <w:pPr>
        <w:spacing w:after="0" w:line="360" w:lineRule="auto"/>
        <w:rPr>
          <w:rFonts w:eastAsia="Times New Roman" w:cs="Tahoma"/>
          <w:bCs/>
          <w:color w:val="auto"/>
          <w:lang w:eastAsia="es-MX"/>
        </w:rPr>
      </w:pPr>
    </w:p>
    <w:p w14:paraId="5E6C7F8A" w14:textId="77777777" w:rsidR="00667094" w:rsidRPr="00667094" w:rsidRDefault="00667094" w:rsidP="00667094">
      <w:pPr>
        <w:spacing w:after="0" w:line="360" w:lineRule="auto"/>
        <w:rPr>
          <w:rFonts w:eastAsia="Times New Roman" w:cs="Tahoma"/>
          <w:bCs/>
          <w:color w:val="auto"/>
          <w:lang w:eastAsia="es-MX"/>
        </w:rPr>
      </w:pPr>
      <w:r w:rsidRPr="00667094">
        <w:rPr>
          <w:rFonts w:eastAsia="Times New Roman" w:cs="Tahoma"/>
          <w:bCs/>
          <w:color w:val="auto"/>
          <w:lang w:eastAsia="es-MX"/>
        </w:rPr>
        <w:t>Además, el artículo 350 del Código Financiero del Estado de México y Municipios, establece que, dentro de los primeros veinte días hábiles, las Tesorerías Municipales, enviarán para su análisis y evaluación al Órgano Superior de Fiscalización del Estado de México, la información Patrimonial, Presupuestal, de la Obra Pública y de Nómina.</w:t>
      </w:r>
    </w:p>
    <w:p w14:paraId="0365C4FA" w14:textId="77777777" w:rsidR="00667094" w:rsidRPr="00667094" w:rsidRDefault="00667094" w:rsidP="00667094">
      <w:pPr>
        <w:spacing w:after="0" w:line="360" w:lineRule="auto"/>
        <w:rPr>
          <w:rFonts w:eastAsia="Calibri" w:cs="Tahoma"/>
          <w:iCs/>
          <w:color w:val="auto"/>
          <w:lang w:val="es-ES" w:eastAsia="es-ES_tradnl"/>
        </w:rPr>
      </w:pPr>
    </w:p>
    <w:p w14:paraId="72425740" w14:textId="560CE17A" w:rsidR="00667094" w:rsidRPr="00667094" w:rsidRDefault="00667094" w:rsidP="00667094">
      <w:pPr>
        <w:spacing w:after="0" w:line="360" w:lineRule="auto"/>
        <w:rPr>
          <w:rFonts w:eastAsia="Calibri" w:cs="Tahoma"/>
          <w:bCs/>
          <w:iCs/>
          <w:color w:val="auto"/>
          <w:lang w:eastAsia="es-ES_tradnl"/>
        </w:rPr>
      </w:pPr>
      <w:r w:rsidRPr="00667094">
        <w:rPr>
          <w:rFonts w:eastAsia="Calibri" w:cs="Tahoma"/>
          <w:bCs/>
          <w:iCs/>
          <w:color w:val="auto"/>
          <w:lang w:eastAsia="es-ES_tradnl"/>
        </w:rPr>
        <w:t xml:space="preserve">En ese sentido, en las Políticas para la Integración del Informe Trimestral de los Sujetos de Fiscalización </w:t>
      </w:r>
      <w:r w:rsidR="0084225B">
        <w:rPr>
          <w:rFonts w:eastAsia="Calibri" w:cs="Tahoma"/>
          <w:bCs/>
          <w:iCs/>
          <w:color w:val="auto"/>
          <w:lang w:eastAsia="es-ES_tradnl"/>
        </w:rPr>
        <w:t>Municipales</w:t>
      </w:r>
      <w:r w:rsidRPr="00667094">
        <w:rPr>
          <w:rFonts w:eastAsia="Calibri" w:cs="Tahoma"/>
          <w:bCs/>
          <w:iCs/>
          <w:color w:val="auto"/>
          <w:lang w:eastAsia="es-ES_tradnl"/>
        </w:rPr>
        <w:t xml:space="preserve">, para el ejercicio fiscal dos mil veintiuno, se advierte que el </w:t>
      </w:r>
      <w:r w:rsidRPr="00667094">
        <w:rPr>
          <w:rFonts w:eastAsia="Calibri" w:cs="Tahoma"/>
          <w:b/>
          <w:bCs/>
          <w:iCs/>
          <w:color w:val="auto"/>
          <w:lang w:eastAsia="es-ES_tradnl"/>
        </w:rPr>
        <w:t>Módulo 4</w:t>
      </w:r>
      <w:r w:rsidRPr="00667094">
        <w:rPr>
          <w:rFonts w:eastAsia="Calibri" w:cs="Tahoma"/>
          <w:bCs/>
          <w:iCs/>
          <w:color w:val="auto"/>
          <w:lang w:eastAsia="es-ES_tradnl"/>
        </w:rPr>
        <w:t xml:space="preserve">, </w:t>
      </w:r>
      <w:r w:rsidRPr="00667094">
        <w:rPr>
          <w:rFonts w:eastAsia="Calibri" w:cs="Tahoma"/>
          <w:bCs/>
          <w:iCs/>
          <w:color w:val="auto"/>
          <w:lang w:val="es-ES_tradnl" w:eastAsia="es-ES_tradnl"/>
        </w:rPr>
        <w:t xml:space="preserve">se integra por diversos documentos, entre los que se encuentra </w:t>
      </w:r>
      <w:r w:rsidRPr="00667094">
        <w:rPr>
          <w:rFonts w:eastAsia="Calibri" w:cs="Tahoma"/>
          <w:b/>
          <w:bCs/>
          <w:iCs/>
          <w:color w:val="auto"/>
          <w:lang w:eastAsia="es-ES_tradnl"/>
        </w:rPr>
        <w:t>la Conciliación de la Nómina Mensual</w:t>
      </w:r>
      <w:r w:rsidRPr="00667094">
        <w:rPr>
          <w:rFonts w:eastAsia="Calibri" w:cs="Tahoma"/>
          <w:bCs/>
          <w:iCs/>
          <w:color w:val="auto"/>
          <w:lang w:eastAsia="es-ES_tradnl"/>
        </w:rPr>
        <w:t>, mismo que será entregado al Órgano Superior de Fiscalización del Estado de México, tal como se muestra a continuación:</w:t>
      </w:r>
    </w:p>
    <w:p w14:paraId="6467D0D2" w14:textId="77777777" w:rsidR="00667094" w:rsidRPr="00667094" w:rsidRDefault="00667094" w:rsidP="00667094">
      <w:pPr>
        <w:spacing w:after="0" w:line="360" w:lineRule="auto"/>
        <w:rPr>
          <w:rFonts w:eastAsia="Calibri" w:cs="Tahoma"/>
          <w:bCs/>
          <w:iCs/>
          <w:color w:val="auto"/>
          <w:lang w:eastAsia="es-ES_tradnl"/>
        </w:rPr>
      </w:pPr>
    </w:p>
    <w:p w14:paraId="7DC30019" w14:textId="77777777" w:rsidR="00667094" w:rsidRPr="00667094" w:rsidRDefault="00667094" w:rsidP="00667094">
      <w:pPr>
        <w:spacing w:after="0" w:line="360" w:lineRule="auto"/>
        <w:rPr>
          <w:rFonts w:eastAsia="Times New Roman" w:cs="Tahoma"/>
          <w:bCs/>
          <w:color w:val="auto"/>
          <w:sz w:val="20"/>
          <w:szCs w:val="20"/>
          <w:lang w:eastAsia="es-ES"/>
        </w:rPr>
      </w:pPr>
      <w:r w:rsidRPr="00667094">
        <w:rPr>
          <w:rFonts w:ascii="Times New Roman" w:eastAsia="Times New Roman" w:hAnsi="Times New Roman" w:cs="Times New Roman"/>
          <w:noProof/>
          <w:color w:val="auto"/>
          <w:sz w:val="20"/>
          <w:szCs w:val="20"/>
          <w:lang w:eastAsia="es-MX"/>
        </w:rPr>
        <w:drawing>
          <wp:inline distT="0" distB="0" distL="0" distR="0" wp14:anchorId="201B7F18" wp14:editId="59E78A04">
            <wp:extent cx="5742940" cy="723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723900"/>
                    </a:xfrm>
                    <a:prstGeom prst="rect">
                      <a:avLst/>
                    </a:prstGeom>
                  </pic:spPr>
                </pic:pic>
              </a:graphicData>
            </a:graphic>
          </wp:inline>
        </w:drawing>
      </w:r>
    </w:p>
    <w:p w14:paraId="3CE7A9EE" w14:textId="77777777" w:rsidR="00667094" w:rsidRPr="00667094" w:rsidRDefault="00667094" w:rsidP="00667094">
      <w:pPr>
        <w:spacing w:after="0" w:line="360" w:lineRule="auto"/>
        <w:rPr>
          <w:rFonts w:eastAsia="Times New Roman" w:cs="Tahoma"/>
          <w:bCs/>
          <w:color w:val="auto"/>
          <w:lang w:val="es-ES_tradnl" w:eastAsia="es-ES"/>
        </w:rPr>
      </w:pPr>
    </w:p>
    <w:p w14:paraId="3F0939AB" w14:textId="7C9B8352" w:rsidR="008E2DA1" w:rsidRPr="003E514A" w:rsidRDefault="00667094" w:rsidP="008567E8">
      <w:pPr>
        <w:spacing w:after="0" w:line="360" w:lineRule="auto"/>
        <w:rPr>
          <w:rFonts w:eastAsia="Times New Roman" w:cs="Tahoma"/>
          <w:bCs/>
          <w:color w:val="auto"/>
          <w:lang w:val="es-ES_tradnl" w:eastAsia="es-ES"/>
        </w:rPr>
      </w:pPr>
      <w:r w:rsidRPr="00667094">
        <w:rPr>
          <w:rFonts w:eastAsia="Times New Roman" w:cs="Tahoma"/>
          <w:bCs/>
          <w:color w:val="auto"/>
          <w:lang w:val="es-ES_tradnl" w:eastAsia="es-ES"/>
        </w:rPr>
        <w:t>Conforme a lo a</w:t>
      </w:r>
      <w:r w:rsidR="002108A6">
        <w:rPr>
          <w:rFonts w:eastAsia="Times New Roman" w:cs="Tahoma"/>
          <w:bCs/>
          <w:color w:val="auto"/>
          <w:lang w:val="es-ES_tradnl" w:eastAsia="es-ES"/>
        </w:rPr>
        <w:t xml:space="preserve">nterior, se logra vislumbrar, por una parte, </w:t>
      </w:r>
      <w:r w:rsidRPr="00667094">
        <w:rPr>
          <w:rFonts w:eastAsia="Times New Roman" w:cs="Tahoma"/>
          <w:bCs/>
          <w:color w:val="auto"/>
          <w:lang w:val="es-ES_tradnl" w:eastAsia="es-ES"/>
        </w:rPr>
        <w:t xml:space="preserve">que la pretensión del ahora Recurrente, es obtener la Conciliación de Nómina Mensual del Ayuntamiento, </w:t>
      </w:r>
      <w:r w:rsidR="002108A6">
        <w:rPr>
          <w:rFonts w:eastAsia="Times New Roman" w:cs="Tahoma"/>
          <w:bCs/>
          <w:color w:val="auto"/>
          <w:lang w:val="es-ES_tradnl" w:eastAsia="es-ES"/>
        </w:rPr>
        <w:t>de</w:t>
      </w:r>
      <w:r w:rsidR="00EC56EA" w:rsidRPr="00EC56EA">
        <w:rPr>
          <w:rFonts w:eastAsia="Times New Roman" w:cs="Tahoma"/>
          <w:bCs/>
          <w:color w:val="auto"/>
          <w:lang w:val="es-ES_tradnl" w:eastAsia="es-ES"/>
        </w:rPr>
        <w:t xml:space="preserve"> enero </w:t>
      </w:r>
      <w:r w:rsidR="002108A6">
        <w:rPr>
          <w:rFonts w:eastAsia="Times New Roman" w:cs="Tahoma"/>
          <w:bCs/>
          <w:color w:val="auto"/>
          <w:lang w:val="es-ES_tradnl" w:eastAsia="es-ES"/>
        </w:rPr>
        <w:t>a</w:t>
      </w:r>
      <w:r w:rsidR="00EC56EA" w:rsidRPr="00EC56EA">
        <w:rPr>
          <w:rFonts w:eastAsia="Times New Roman" w:cs="Tahoma"/>
          <w:bCs/>
          <w:color w:val="auto"/>
          <w:lang w:val="es-ES_tradnl" w:eastAsia="es-ES"/>
        </w:rPr>
        <w:t xml:space="preserve"> julio de dos mil veintiuno</w:t>
      </w:r>
      <w:r w:rsidR="002108A6">
        <w:rPr>
          <w:rFonts w:eastAsia="Times New Roman" w:cs="Tahoma"/>
          <w:bCs/>
          <w:color w:val="auto"/>
          <w:lang w:val="es-ES_tradnl" w:eastAsia="es-ES"/>
        </w:rPr>
        <w:t xml:space="preserve"> y, por otra, que el Sujeto Obligado </w:t>
      </w:r>
      <w:r w:rsidR="0015070B">
        <w:rPr>
          <w:rFonts w:eastAsia="Times New Roman" w:cs="Tahoma"/>
          <w:bCs/>
          <w:color w:val="auto"/>
          <w:lang w:val="es-ES_tradnl" w:eastAsia="es-ES"/>
        </w:rPr>
        <w:t>tiene la obligación de generar la documentación referida.</w:t>
      </w:r>
    </w:p>
    <w:p w14:paraId="1F4E33B3" w14:textId="77777777" w:rsidR="0015070B" w:rsidRDefault="0015070B" w:rsidP="008567E8">
      <w:pPr>
        <w:spacing w:after="0" w:line="360" w:lineRule="auto"/>
        <w:rPr>
          <w:rFonts w:eastAsia="Times New Roman" w:cs="Tahoma"/>
          <w:bCs/>
          <w:iCs/>
          <w:color w:val="auto"/>
          <w:lang w:eastAsia="es-ES"/>
        </w:rPr>
      </w:pPr>
    </w:p>
    <w:p w14:paraId="03CCEF4A" w14:textId="60991F3E" w:rsidR="0015070B" w:rsidRPr="0015070B" w:rsidRDefault="0015070B" w:rsidP="0015070B">
      <w:pPr>
        <w:spacing w:after="0" w:line="360" w:lineRule="auto"/>
        <w:rPr>
          <w:rFonts w:eastAsia="Times New Roman" w:cs="Tahoma"/>
          <w:bCs/>
          <w:color w:val="auto"/>
          <w:lang w:val="es-ES_tradnl" w:eastAsia="es-ES"/>
        </w:rPr>
      </w:pPr>
      <w:r>
        <w:rPr>
          <w:rFonts w:eastAsia="Times New Roman" w:cs="Tahoma"/>
          <w:bCs/>
          <w:color w:val="auto"/>
          <w:lang w:val="es-ES_tradnl" w:eastAsia="es-ES"/>
        </w:rPr>
        <w:t>En ese contexto</w:t>
      </w:r>
      <w:r w:rsidRPr="0015070B">
        <w:rPr>
          <w:rFonts w:eastAsia="Times New Roman" w:cs="Tahoma"/>
          <w:bCs/>
          <w:color w:val="auto"/>
          <w:lang w:val="es-ES_tradnl" w:eastAsia="es-ES"/>
        </w:rPr>
        <w:t xml:space="preserve">, resulta necesario precisar que conforme al artículo 2°, fracción XI, de la Ley de Fiscalización Superior del Estado de México, las Tesorerías Municipales serán las encargas de enviar mensualmente al Órgano Superior de Fiscalización los Informes Mensuales. De tales circunstancias, se considera que, para atender al requerimiento en análisis, el Sujeto </w:t>
      </w:r>
      <w:r w:rsidRPr="0015070B">
        <w:rPr>
          <w:rFonts w:eastAsia="Times New Roman" w:cs="Tahoma"/>
          <w:bCs/>
          <w:color w:val="auto"/>
          <w:lang w:val="es-ES_tradnl" w:eastAsia="es-ES"/>
        </w:rPr>
        <w:lastRenderedPageBreak/>
        <w:t xml:space="preserve">Obligado, deberá realizar una búsqueda exhaustiva y razonable en </w:t>
      </w:r>
      <w:r>
        <w:rPr>
          <w:rFonts w:eastAsia="Times New Roman" w:cs="Tahoma"/>
          <w:bCs/>
          <w:color w:val="auto"/>
          <w:lang w:val="es-ES_tradnl" w:eastAsia="es-ES"/>
        </w:rPr>
        <w:t xml:space="preserve">la </w:t>
      </w:r>
      <w:r w:rsidRPr="0015070B">
        <w:rPr>
          <w:rFonts w:eastAsia="Times New Roman" w:cs="Tahoma"/>
          <w:bCs/>
          <w:color w:val="auto"/>
          <w:lang w:val="es-ES_tradnl" w:eastAsia="es-ES"/>
        </w:rPr>
        <w:t>Tesorería Municipal</w:t>
      </w:r>
      <w:r>
        <w:rPr>
          <w:rFonts w:eastAsia="Times New Roman" w:cs="Tahoma"/>
          <w:bCs/>
          <w:color w:val="auto"/>
          <w:lang w:val="es-ES_tradnl" w:eastAsia="es-ES"/>
        </w:rPr>
        <w:t>, a efecto de proporcionar la Conciliación de Nómina Mensual, de enero a julio de dos mil veintiuno, para dar cumplimiento a los artículos 12, 160 y 162 de la Ley de Transparencia y Acceso a la Información Pública del Estado de México y Municipios.</w:t>
      </w:r>
    </w:p>
    <w:p w14:paraId="35F3A270" w14:textId="77777777" w:rsidR="0015070B" w:rsidRDefault="0015070B" w:rsidP="008567E8">
      <w:pPr>
        <w:spacing w:after="0" w:line="360" w:lineRule="auto"/>
        <w:rPr>
          <w:rFonts w:eastAsia="Times New Roman" w:cs="Tahoma"/>
          <w:bCs/>
          <w:iCs/>
          <w:color w:val="auto"/>
          <w:lang w:eastAsia="es-ES"/>
        </w:rPr>
      </w:pPr>
    </w:p>
    <w:p w14:paraId="5DC74013" w14:textId="42BCAA34" w:rsidR="007D3D1F" w:rsidRDefault="007D3D1F" w:rsidP="008567E8">
      <w:pPr>
        <w:spacing w:after="0" w:line="360" w:lineRule="auto"/>
        <w:ind w:right="-93"/>
        <w:rPr>
          <w:rFonts w:cs="Tahoma"/>
          <w:bCs/>
          <w:lang w:val="es-ES_tradnl"/>
        </w:rPr>
      </w:pPr>
      <w:r w:rsidRPr="007D3D1F">
        <w:rPr>
          <w:rFonts w:cs="Tahoma"/>
          <w:bCs/>
          <w:lang w:val="es-ES_tradnl"/>
        </w:rPr>
        <w:t xml:space="preserve">Ahora bien, no pasa desapercibido, que conforme </w:t>
      </w:r>
      <w:r w:rsidR="00544F7D">
        <w:rPr>
          <w:rFonts w:cs="Tahoma"/>
          <w:bCs/>
          <w:lang w:val="es-ES_tradnl"/>
        </w:rPr>
        <w:t xml:space="preserve"> a los</w:t>
      </w:r>
      <w:r w:rsidRPr="007D3D1F">
        <w:rPr>
          <w:rFonts w:cs="Tahoma"/>
          <w:bCs/>
          <w:lang w:val="es-ES_tradnl"/>
        </w:rPr>
        <w:t xml:space="preserve"> artículos </w:t>
      </w:r>
      <w:r w:rsidR="00544F7D">
        <w:rPr>
          <w:rFonts w:cs="Tahoma"/>
          <w:bCs/>
          <w:lang w:val="es-ES_tradnl"/>
        </w:rPr>
        <w:t>36, numeral 11</w:t>
      </w:r>
      <w:r w:rsidRPr="007D3D1F">
        <w:rPr>
          <w:rFonts w:cs="Tahoma"/>
          <w:bCs/>
          <w:lang w:val="es-ES_tradnl"/>
        </w:rPr>
        <w:t xml:space="preserve"> y 1</w:t>
      </w:r>
      <w:r w:rsidR="00544F7D">
        <w:rPr>
          <w:rFonts w:cs="Tahoma"/>
          <w:bCs/>
          <w:lang w:val="es-ES_tradnl"/>
        </w:rPr>
        <w:t>85</w:t>
      </w:r>
      <w:r w:rsidRPr="007D3D1F">
        <w:rPr>
          <w:rFonts w:cs="Tahoma"/>
          <w:bCs/>
          <w:lang w:val="es-ES_tradnl"/>
        </w:rPr>
        <w:t xml:space="preserve">  del Bando Municipal de dos mil veintiuno, del Ayuntamiento de </w:t>
      </w:r>
      <w:r w:rsidR="00544F7D">
        <w:rPr>
          <w:rFonts w:cs="Tahoma"/>
          <w:bCs/>
          <w:lang w:val="es-ES_tradnl"/>
        </w:rPr>
        <w:t>Tezoyuca</w:t>
      </w:r>
      <w:r w:rsidRPr="007D3D1F">
        <w:rPr>
          <w:rFonts w:cs="Tahoma"/>
          <w:bCs/>
          <w:lang w:val="es-ES_tradnl"/>
        </w:rPr>
        <w:t>, el Sujeto Obligado cuenta con una Dirección de Seguridad Pública, encargada de la prevención de la comisión de cualquier delito y proteger a las personas, sus propiedades, posesiones y derechos; por lo que, este Instituto considera que en dicha área existen servidores públicos que realizan funciones operativas en materia de seguridad pública.</w:t>
      </w:r>
    </w:p>
    <w:p w14:paraId="5ADA6A7A" w14:textId="77777777" w:rsidR="002C0D93" w:rsidRPr="002C0D93" w:rsidRDefault="002C0D93" w:rsidP="008567E8">
      <w:pPr>
        <w:spacing w:after="0" w:line="360" w:lineRule="auto"/>
        <w:ind w:right="-93"/>
        <w:rPr>
          <w:rFonts w:cs="Tahoma"/>
          <w:bCs/>
          <w:lang w:val="es-ES_tradnl"/>
        </w:rPr>
      </w:pPr>
    </w:p>
    <w:p w14:paraId="13995A6F" w14:textId="77777777" w:rsidR="002C0D93" w:rsidRPr="002C0D93" w:rsidRDefault="002C0D93" w:rsidP="002C0D93">
      <w:pPr>
        <w:spacing w:after="0" w:line="360" w:lineRule="auto"/>
        <w:rPr>
          <w:rFonts w:eastAsia="Calibri" w:cs="Times New Roman"/>
          <w:color w:val="auto"/>
          <w:szCs w:val="20"/>
          <w:lang w:eastAsia="es-ES"/>
        </w:rPr>
      </w:pPr>
      <w:r w:rsidRPr="002C0D93">
        <w:rPr>
          <w:rFonts w:eastAsia="Calibri" w:cs="Times New Roman"/>
          <w:color w:val="auto"/>
          <w:szCs w:val="20"/>
          <w:lang w:eastAsia="es-ES"/>
        </w:rPr>
        <w:t>Así resulta necesario analizar si el nombre de dichos trabajadores actualiza alguna causal de clasificación;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21973A45" w14:textId="77777777" w:rsidR="002C0D93" w:rsidRPr="002C0D93" w:rsidRDefault="002C0D93" w:rsidP="002C0D93">
      <w:pPr>
        <w:spacing w:after="0" w:line="360" w:lineRule="auto"/>
        <w:rPr>
          <w:rFonts w:eastAsia="Times New Roman" w:cs="Tahoma"/>
          <w:color w:val="auto"/>
          <w:lang w:eastAsia="es-ES"/>
        </w:rPr>
      </w:pPr>
    </w:p>
    <w:p w14:paraId="41A31D84" w14:textId="77777777" w:rsidR="002C0D93" w:rsidRPr="002C0D93" w:rsidRDefault="002C0D93" w:rsidP="002C0D93">
      <w:pPr>
        <w:tabs>
          <w:tab w:val="left" w:pos="4962"/>
        </w:tabs>
        <w:spacing w:after="0" w:line="360" w:lineRule="auto"/>
        <w:ind w:left="567" w:right="567"/>
        <w:rPr>
          <w:rFonts w:eastAsia="Calibri" w:cs="Tahoma"/>
          <w:i/>
          <w:iCs/>
          <w:color w:val="auto"/>
          <w:sz w:val="20"/>
          <w:szCs w:val="20"/>
          <w:lang w:val="es-ES" w:eastAsia="es-ES_tradnl"/>
        </w:rPr>
      </w:pPr>
      <w:r w:rsidRPr="002C0D93">
        <w:rPr>
          <w:rFonts w:eastAsia="Calibri" w:cs="Tahoma"/>
          <w:i/>
          <w:iCs/>
          <w:color w:val="auto"/>
          <w:sz w:val="20"/>
          <w:szCs w:val="20"/>
          <w:lang w:val="es-ES" w:eastAsia="es-ES_tradnl"/>
        </w:rPr>
        <w:t>“</w:t>
      </w:r>
      <w:r w:rsidRPr="002C0D93">
        <w:rPr>
          <w:rFonts w:eastAsia="Calibri" w:cs="Tahoma"/>
          <w:b/>
          <w:i/>
          <w:iCs/>
          <w:color w:val="auto"/>
          <w:sz w:val="20"/>
          <w:szCs w:val="20"/>
          <w:lang w:val="es-ES" w:eastAsia="es-ES_tradnl"/>
        </w:rPr>
        <w:t>Artículo 140.</w:t>
      </w:r>
      <w:r w:rsidRPr="002C0D93">
        <w:rPr>
          <w:rFonts w:eastAsia="Calibri" w:cs="Tahoma"/>
          <w:i/>
          <w:iCs/>
          <w:color w:val="auto"/>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14:paraId="29B0307D" w14:textId="77777777" w:rsidR="002C0D93" w:rsidRPr="002C0D93" w:rsidRDefault="002C0D93" w:rsidP="002C0D93">
      <w:pPr>
        <w:tabs>
          <w:tab w:val="left" w:pos="4962"/>
        </w:tabs>
        <w:spacing w:after="0" w:line="360" w:lineRule="auto"/>
        <w:ind w:left="567" w:right="567"/>
        <w:rPr>
          <w:rFonts w:eastAsia="Calibri" w:cs="Tahoma"/>
          <w:i/>
          <w:iCs/>
          <w:color w:val="auto"/>
          <w:sz w:val="20"/>
          <w:szCs w:val="20"/>
          <w:lang w:val="es-ES" w:eastAsia="es-ES_tradnl"/>
        </w:rPr>
      </w:pPr>
      <w:r w:rsidRPr="002C0D93">
        <w:rPr>
          <w:rFonts w:eastAsia="Calibri" w:cs="Tahoma"/>
          <w:i/>
          <w:iCs/>
          <w:color w:val="auto"/>
          <w:sz w:val="20"/>
          <w:szCs w:val="20"/>
          <w:lang w:val="es-ES" w:eastAsia="es-ES_tradnl"/>
        </w:rPr>
        <w:t>…</w:t>
      </w:r>
    </w:p>
    <w:p w14:paraId="6740F596" w14:textId="77777777" w:rsidR="002C0D93" w:rsidRPr="002C0D93" w:rsidRDefault="002C0D93" w:rsidP="002C0D93">
      <w:pPr>
        <w:tabs>
          <w:tab w:val="left" w:pos="4962"/>
        </w:tabs>
        <w:spacing w:after="0" w:line="360" w:lineRule="auto"/>
        <w:ind w:left="567" w:right="567"/>
        <w:rPr>
          <w:rFonts w:eastAsia="Calibri" w:cs="Tahoma"/>
          <w:i/>
          <w:iCs/>
          <w:color w:val="auto"/>
          <w:sz w:val="20"/>
          <w:szCs w:val="20"/>
          <w:lang w:eastAsia="es-ES_tradnl"/>
        </w:rPr>
      </w:pPr>
      <w:r w:rsidRPr="002C0D93">
        <w:rPr>
          <w:rFonts w:eastAsia="Calibri" w:cs="Tahoma"/>
          <w:i/>
          <w:iCs/>
          <w:color w:val="auto"/>
          <w:sz w:val="20"/>
          <w:szCs w:val="20"/>
          <w:lang w:eastAsia="es-ES_tradnl"/>
        </w:rPr>
        <w:t>IV. Ponga en riesgo la vida, la seguridad o la salud de una persona física;</w:t>
      </w:r>
    </w:p>
    <w:p w14:paraId="421A74F3" w14:textId="77777777" w:rsidR="002C0D93" w:rsidRPr="002C0D93" w:rsidRDefault="002C0D93" w:rsidP="002C0D93">
      <w:pPr>
        <w:tabs>
          <w:tab w:val="left" w:pos="4962"/>
        </w:tabs>
        <w:spacing w:after="0" w:line="360" w:lineRule="auto"/>
        <w:ind w:left="567" w:right="567"/>
        <w:rPr>
          <w:rFonts w:eastAsia="Calibri" w:cs="Tahoma"/>
          <w:i/>
          <w:iCs/>
          <w:color w:val="auto"/>
          <w:sz w:val="20"/>
          <w:szCs w:val="20"/>
          <w:lang w:val="es-ES" w:eastAsia="es-ES_tradnl"/>
        </w:rPr>
      </w:pPr>
      <w:r w:rsidRPr="002C0D93">
        <w:rPr>
          <w:rFonts w:eastAsia="Calibri" w:cs="Tahoma"/>
          <w:i/>
          <w:iCs/>
          <w:color w:val="auto"/>
          <w:sz w:val="20"/>
          <w:szCs w:val="20"/>
          <w:lang w:val="es-ES" w:eastAsia="es-ES_tradnl"/>
        </w:rPr>
        <w:t xml:space="preserve">…” </w:t>
      </w:r>
    </w:p>
    <w:p w14:paraId="0C0578FB" w14:textId="77777777" w:rsidR="002C0D93" w:rsidRPr="002C0D93" w:rsidRDefault="002C0D93" w:rsidP="002C0D93">
      <w:pPr>
        <w:spacing w:after="0" w:line="360" w:lineRule="auto"/>
        <w:rPr>
          <w:rFonts w:eastAsia="Calibri" w:cs="Tahoma"/>
          <w:bCs/>
          <w:color w:val="auto"/>
        </w:rPr>
      </w:pPr>
    </w:p>
    <w:p w14:paraId="48FEDB79"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 xml:space="preserve">Del precepto legal anteriormente citado se desprende que como información reservada podrá clasificarse aquella cuya publicación pueda poner en riesgo la vida, seguridad o salud de una persona física; para acreditar lo anterior, los </w:t>
      </w:r>
      <w:r w:rsidRPr="002C0D93">
        <w:rPr>
          <w:rFonts w:eastAsia="Calibri" w:cs="Tahoma"/>
          <w:bCs/>
          <w:color w:val="auto"/>
          <w:lang w:val="es-ES"/>
        </w:rPr>
        <w:t>Lineamientos Generales,</w:t>
      </w:r>
      <w:r w:rsidRPr="002C0D93">
        <w:rPr>
          <w:rFonts w:eastAsia="Calibri" w:cs="Tahoma"/>
          <w:bCs/>
          <w:color w:val="auto"/>
        </w:rPr>
        <w:t xml:space="preserve"> establecen lo siguiente:</w:t>
      </w:r>
    </w:p>
    <w:p w14:paraId="743683D3" w14:textId="77777777" w:rsidR="002C0D93" w:rsidRPr="002C0D93" w:rsidRDefault="002C0D93" w:rsidP="002C0D93">
      <w:pPr>
        <w:spacing w:after="0" w:line="360" w:lineRule="auto"/>
        <w:rPr>
          <w:rFonts w:eastAsia="Calibri" w:cs="Tahoma"/>
          <w:bCs/>
          <w:color w:val="auto"/>
        </w:rPr>
      </w:pPr>
    </w:p>
    <w:p w14:paraId="6A6C31CE" w14:textId="77777777" w:rsidR="002C0D93" w:rsidRPr="002C0D93" w:rsidRDefault="002C0D93" w:rsidP="002C0D93">
      <w:pPr>
        <w:spacing w:after="0" w:line="360" w:lineRule="auto"/>
        <w:ind w:left="567" w:right="567"/>
        <w:rPr>
          <w:rFonts w:eastAsia="Calibri" w:cs="Tahoma"/>
          <w:bCs/>
          <w:i/>
          <w:color w:val="auto"/>
          <w:sz w:val="20"/>
          <w:szCs w:val="20"/>
        </w:rPr>
      </w:pPr>
      <w:r w:rsidRPr="002C0D93">
        <w:rPr>
          <w:rFonts w:eastAsia="Calibri" w:cs="Tahoma"/>
          <w:b/>
          <w:bCs/>
          <w:i/>
          <w:color w:val="auto"/>
          <w:sz w:val="20"/>
          <w:szCs w:val="20"/>
        </w:rPr>
        <w:t xml:space="preserve">“Vigésimo tercero. </w:t>
      </w:r>
      <w:r w:rsidRPr="002C0D93">
        <w:rPr>
          <w:rFonts w:eastAsia="Calibri" w:cs="Tahoma"/>
          <w:bCs/>
          <w:i/>
          <w:color w:val="auto"/>
          <w:sz w:val="20"/>
          <w:szCs w:val="20"/>
        </w:rPr>
        <w:t>Para clasificar la información como reservada, de conformidad con el artículo 113, fracción V de la Ley General, será necesario acreditar un vínculo, entre la persona física y la información que pueda poner en riesgo su vida, seguridad o salud.”</w:t>
      </w:r>
    </w:p>
    <w:p w14:paraId="53BFAB4A" w14:textId="77777777" w:rsidR="002C0D93" w:rsidRPr="002C0D93" w:rsidRDefault="002C0D93" w:rsidP="002C0D93">
      <w:pPr>
        <w:spacing w:after="0" w:line="360" w:lineRule="auto"/>
        <w:ind w:left="567" w:right="567"/>
        <w:rPr>
          <w:rFonts w:eastAsia="Calibri" w:cs="Tahoma"/>
          <w:bCs/>
          <w:i/>
          <w:color w:val="auto"/>
          <w:sz w:val="20"/>
          <w:szCs w:val="20"/>
        </w:rPr>
      </w:pPr>
    </w:p>
    <w:p w14:paraId="7B1B0E98"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 xml:space="preserve">Del Lineamiento referido, se desprende que para clasificar la información como reservada, será necesario </w:t>
      </w:r>
      <w:r w:rsidRPr="002C0D93">
        <w:rPr>
          <w:rFonts w:eastAsia="Calibri" w:cs="Tahoma"/>
          <w:b/>
          <w:bCs/>
          <w:color w:val="auto"/>
        </w:rPr>
        <w:t>acreditar un vínculo, entre la persona física y la información que pueda poner en riesgo su vida, seguridad o salud</w:t>
      </w:r>
      <w:r w:rsidRPr="002C0D93">
        <w:rPr>
          <w:rFonts w:eastAsia="Calibri" w:cs="Tahoma"/>
          <w:bCs/>
          <w:color w:val="auto"/>
        </w:rPr>
        <w:t>.</w:t>
      </w:r>
    </w:p>
    <w:p w14:paraId="580BDFD1" w14:textId="77777777" w:rsidR="002C0D93" w:rsidRPr="002C0D93" w:rsidRDefault="002C0D93" w:rsidP="002C0D93">
      <w:pPr>
        <w:spacing w:after="0" w:line="360" w:lineRule="auto"/>
        <w:rPr>
          <w:rFonts w:eastAsia="Calibri" w:cs="Tahoma"/>
          <w:bCs/>
          <w:color w:val="auto"/>
          <w:highlight w:val="green"/>
        </w:rPr>
      </w:pPr>
    </w:p>
    <w:p w14:paraId="5A9645D7"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Además, el artículo 81, fracción III, de la Ley de Seguridad del Estado de México, establece lo siguiente:</w:t>
      </w:r>
    </w:p>
    <w:p w14:paraId="52023F0B" w14:textId="77777777" w:rsidR="002C0D93" w:rsidRPr="002C0D93" w:rsidRDefault="002C0D93" w:rsidP="002C0D93">
      <w:pPr>
        <w:spacing w:after="0" w:line="360" w:lineRule="auto"/>
        <w:rPr>
          <w:rFonts w:eastAsia="Calibri" w:cs="Tahoma"/>
          <w:bCs/>
          <w:color w:val="auto"/>
        </w:rPr>
      </w:pPr>
    </w:p>
    <w:p w14:paraId="3B395F17" w14:textId="77777777" w:rsidR="002C0D93" w:rsidRPr="002C0D93" w:rsidRDefault="002C0D93" w:rsidP="002C0D93">
      <w:pPr>
        <w:spacing w:after="0" w:line="360" w:lineRule="auto"/>
        <w:ind w:left="567" w:right="567"/>
        <w:rPr>
          <w:rFonts w:eastAsia="Calibri" w:cs="Tahoma"/>
          <w:bCs/>
          <w:i/>
          <w:color w:val="auto"/>
          <w:sz w:val="20"/>
          <w:szCs w:val="20"/>
        </w:rPr>
      </w:pPr>
      <w:r w:rsidRPr="002C0D93">
        <w:rPr>
          <w:rFonts w:eastAsia="Calibri" w:cs="Tahoma"/>
          <w:b/>
          <w:bCs/>
          <w:i/>
          <w:color w:val="auto"/>
          <w:sz w:val="20"/>
          <w:szCs w:val="20"/>
        </w:rPr>
        <w:t>“Artículo 81.-</w:t>
      </w:r>
      <w:r w:rsidRPr="002C0D93">
        <w:rPr>
          <w:rFonts w:eastAsia="Calibri" w:cs="Tahoma"/>
          <w:bCs/>
          <w:i/>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2301C3E2" w14:textId="77777777" w:rsidR="002C0D93" w:rsidRPr="002C0D93" w:rsidRDefault="002C0D93" w:rsidP="002C0D93">
      <w:pPr>
        <w:spacing w:after="0" w:line="360" w:lineRule="auto"/>
        <w:ind w:left="567" w:right="567"/>
        <w:rPr>
          <w:rFonts w:eastAsia="Calibri" w:cs="Tahoma"/>
          <w:bCs/>
          <w:i/>
          <w:color w:val="auto"/>
          <w:sz w:val="20"/>
          <w:szCs w:val="20"/>
        </w:rPr>
      </w:pPr>
      <w:r w:rsidRPr="002C0D93">
        <w:rPr>
          <w:rFonts w:eastAsia="Calibri" w:cs="Tahoma"/>
          <w:bCs/>
          <w:i/>
          <w:color w:val="auto"/>
          <w:sz w:val="20"/>
          <w:szCs w:val="20"/>
        </w:rPr>
        <w:t>…</w:t>
      </w:r>
    </w:p>
    <w:p w14:paraId="15C4765E" w14:textId="77777777" w:rsidR="002C0D93" w:rsidRPr="002C0D93" w:rsidRDefault="002C0D93" w:rsidP="002C0D93">
      <w:pPr>
        <w:spacing w:after="0" w:line="360" w:lineRule="auto"/>
        <w:ind w:left="567" w:right="567"/>
        <w:rPr>
          <w:rFonts w:eastAsia="Calibri" w:cs="Tahoma"/>
          <w:bCs/>
          <w:i/>
          <w:color w:val="auto"/>
          <w:sz w:val="20"/>
          <w:szCs w:val="20"/>
        </w:rPr>
      </w:pPr>
      <w:r w:rsidRPr="002C0D93">
        <w:rPr>
          <w:rFonts w:eastAsia="Calibri" w:cs="Tahoma"/>
          <w:bCs/>
          <w:i/>
          <w:color w:val="auto"/>
          <w:sz w:val="20"/>
          <w:szCs w:val="20"/>
        </w:rPr>
        <w:t>III. La relativa a los servidores públicos integrantes de las instituciones de seguridad pública, cuya revelación pueda poner en riesgo su vida e integridad física con motivo de sus funciones;</w:t>
      </w:r>
    </w:p>
    <w:p w14:paraId="2CFDAFA5" w14:textId="77777777" w:rsidR="002C0D93" w:rsidRPr="002C0D93" w:rsidRDefault="002C0D93" w:rsidP="002C0D93">
      <w:pPr>
        <w:spacing w:after="0" w:line="360" w:lineRule="auto"/>
        <w:ind w:left="567" w:right="567"/>
        <w:rPr>
          <w:rFonts w:eastAsia="Calibri" w:cs="Tahoma"/>
          <w:bCs/>
          <w:i/>
          <w:color w:val="auto"/>
          <w:sz w:val="20"/>
          <w:szCs w:val="20"/>
        </w:rPr>
      </w:pPr>
      <w:r w:rsidRPr="002C0D93">
        <w:rPr>
          <w:rFonts w:eastAsia="Calibri" w:cs="Tahoma"/>
          <w:bCs/>
          <w:i/>
          <w:color w:val="auto"/>
          <w:sz w:val="20"/>
          <w:szCs w:val="20"/>
        </w:rPr>
        <w:t>…”</w:t>
      </w:r>
    </w:p>
    <w:p w14:paraId="1B4808F6" w14:textId="77777777" w:rsidR="002C0D93" w:rsidRPr="002C0D93" w:rsidRDefault="002C0D93" w:rsidP="002C0D93">
      <w:pPr>
        <w:spacing w:after="0" w:line="360" w:lineRule="auto"/>
        <w:rPr>
          <w:rFonts w:eastAsia="Calibri" w:cs="Tahoma"/>
          <w:bCs/>
          <w:color w:val="auto"/>
          <w:sz w:val="20"/>
          <w:szCs w:val="20"/>
        </w:rPr>
      </w:pPr>
    </w:p>
    <w:p w14:paraId="358C8BCD" w14:textId="77777777" w:rsidR="002C0D93" w:rsidRPr="002C0D93" w:rsidRDefault="002C0D93" w:rsidP="002C0D93">
      <w:pPr>
        <w:spacing w:after="0" w:line="360" w:lineRule="auto"/>
        <w:rPr>
          <w:rFonts w:eastAsia="Times New Roman" w:cs="Tahoma"/>
          <w:color w:val="auto"/>
          <w:lang w:eastAsia="es-ES"/>
        </w:rPr>
      </w:pPr>
      <w:r w:rsidRPr="002C0D93">
        <w:rPr>
          <w:rFonts w:eastAsia="Times New Roman" w:cs="Tahoma"/>
          <w:color w:val="auto"/>
          <w:lang w:eastAsia="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6BDC076B" w14:textId="77777777" w:rsidR="002C0D93" w:rsidRPr="002C0D93" w:rsidRDefault="002C0D93" w:rsidP="002C0D93">
      <w:pPr>
        <w:spacing w:after="0" w:line="360" w:lineRule="auto"/>
        <w:rPr>
          <w:rFonts w:eastAsia="Calibri" w:cs="Tahoma"/>
          <w:bCs/>
          <w:color w:val="auto"/>
        </w:rPr>
      </w:pPr>
    </w:p>
    <w:p w14:paraId="73158CCD"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 xml:space="preserve">En ese contexto, es de señalar que los datos de servidores públicos, entre los que se encuentran el nombre de los trabajadores, por regla general, son de naturaleza pública, de conformidad con el artículo 70, fracción VII de la Ley General de Transparencia y Acceso a </w:t>
      </w:r>
      <w:r w:rsidRPr="002C0D93">
        <w:rPr>
          <w:rFonts w:eastAsia="Calibri" w:cs="Tahoma"/>
          <w:bCs/>
          <w:color w:val="auto"/>
        </w:rPr>
        <w:lastRenderedPageBreak/>
        <w:t>la Información Pública del Estado de México, y 92, fracción VII, de la Ley de Transparencia y Acceso a la Información Pública del Estado de México y Municipios.</w:t>
      </w:r>
    </w:p>
    <w:p w14:paraId="1CC79B45" w14:textId="77777777" w:rsidR="002C0D93" w:rsidRPr="002C0D93" w:rsidRDefault="002C0D93" w:rsidP="002C0D93">
      <w:pPr>
        <w:spacing w:after="0" w:line="360" w:lineRule="auto"/>
        <w:rPr>
          <w:rFonts w:eastAsia="Calibri" w:cs="Tahoma"/>
          <w:bCs/>
          <w:color w:val="auto"/>
        </w:rPr>
      </w:pPr>
    </w:p>
    <w:p w14:paraId="309C7737" w14:textId="77777777" w:rsidR="002C0D93" w:rsidRPr="002C0D93" w:rsidRDefault="002C0D93" w:rsidP="002C0D93">
      <w:pPr>
        <w:spacing w:after="0" w:line="360" w:lineRule="auto"/>
        <w:rPr>
          <w:rFonts w:eastAsia="Times New Roman" w:cs="Tahoma"/>
          <w:color w:val="auto"/>
          <w:lang w:eastAsia="es-ES"/>
        </w:rPr>
      </w:pPr>
      <w:r w:rsidRPr="002C0D93">
        <w:rPr>
          <w:rFonts w:eastAsia="Calibri" w:cs="Tahoma"/>
          <w:bCs/>
          <w:color w:val="auto"/>
        </w:rPr>
        <w:t xml:space="preserve">No obstante, resulta necesario traer a colación por analogía, el Criterio 06/09, emitido por </w:t>
      </w:r>
      <w:r w:rsidRPr="002C0D93">
        <w:rPr>
          <w:rFonts w:eastAsia="Times New Roman" w:cs="Tahoma"/>
          <w:color w:val="auto"/>
          <w:lang w:eastAsia="es-ES"/>
        </w:rPr>
        <w:t>el entonces Instituto Federal de Acceso a la Información y Protección de Datos ahora Instituto Nacional de Transparencia, Acceso a la Información y Protección de Datos Personales, que establece lo siguiente:</w:t>
      </w:r>
    </w:p>
    <w:p w14:paraId="7D9647F4" w14:textId="77777777" w:rsidR="002C0D93" w:rsidRPr="002C0D93" w:rsidRDefault="002C0D93" w:rsidP="002C0D93">
      <w:pPr>
        <w:spacing w:after="0" w:line="360" w:lineRule="auto"/>
        <w:rPr>
          <w:rFonts w:eastAsia="Times New Roman" w:cs="Tahoma"/>
          <w:i/>
          <w:color w:val="auto"/>
          <w:lang w:eastAsia="es-ES"/>
        </w:rPr>
      </w:pPr>
    </w:p>
    <w:p w14:paraId="5ACCA3AF" w14:textId="0442F990" w:rsidR="002C0D93" w:rsidRPr="009638DE" w:rsidRDefault="002C0D93" w:rsidP="009638DE">
      <w:pPr>
        <w:tabs>
          <w:tab w:val="left" w:pos="4962"/>
        </w:tabs>
        <w:spacing w:after="0" w:line="360" w:lineRule="auto"/>
        <w:ind w:left="567" w:right="567"/>
        <w:rPr>
          <w:rFonts w:eastAsia="Times New Roman" w:cs="Tahoma"/>
          <w:i/>
          <w:color w:val="auto"/>
          <w:sz w:val="20"/>
          <w:lang w:eastAsia="es-ES"/>
        </w:rPr>
      </w:pPr>
      <w:r w:rsidRPr="002C0D93">
        <w:rPr>
          <w:rFonts w:eastAsia="Times New Roman" w:cs="Tahoma"/>
          <w:b/>
          <w:i/>
          <w:color w:val="auto"/>
          <w:sz w:val="20"/>
          <w:lang w:eastAsia="es-ES"/>
        </w:rPr>
        <w:t>“Nombres de servidores públicos dedicados a actividades en materia de seguridad, por excepción pueden considerarse información reservada.</w:t>
      </w:r>
      <w:r w:rsidRPr="002C0D93">
        <w:rPr>
          <w:rFonts w:eastAsia="Times New Roman" w:cs="Tahoma"/>
          <w:i/>
          <w:color w:val="auto"/>
          <w:sz w:val="20"/>
          <w:lang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w:t>
      </w:r>
      <w:r w:rsidR="009638DE">
        <w:rPr>
          <w:rFonts w:eastAsia="Times New Roman" w:cs="Tahoma"/>
          <w:i/>
          <w:color w:val="auto"/>
          <w:sz w:val="20"/>
          <w:lang w:eastAsia="es-ES"/>
        </w:rPr>
        <w:t xml:space="preserve"> en sus diferentes vertientes.”</w:t>
      </w:r>
    </w:p>
    <w:p w14:paraId="186CCF00" w14:textId="77777777" w:rsidR="009638DE" w:rsidRDefault="009638DE" w:rsidP="002C0D93">
      <w:pPr>
        <w:spacing w:after="0" w:line="360" w:lineRule="auto"/>
        <w:rPr>
          <w:rFonts w:eastAsia="Calibri" w:cs="Tahoma"/>
          <w:bCs/>
          <w:color w:val="auto"/>
        </w:rPr>
      </w:pPr>
    </w:p>
    <w:p w14:paraId="214DE3A1" w14:textId="77777777" w:rsidR="009638DE" w:rsidRDefault="009638DE" w:rsidP="002C0D93">
      <w:pPr>
        <w:spacing w:after="0" w:line="360" w:lineRule="auto"/>
        <w:rPr>
          <w:rFonts w:eastAsia="Calibri" w:cs="Tahoma"/>
          <w:bCs/>
          <w:color w:val="auto"/>
        </w:rPr>
      </w:pPr>
    </w:p>
    <w:p w14:paraId="77B05C2B"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43CCD788" w14:textId="77777777" w:rsidR="002C0D93" w:rsidRPr="002C0D93" w:rsidRDefault="002C0D93" w:rsidP="002C0D93">
      <w:pPr>
        <w:spacing w:after="0" w:line="360" w:lineRule="auto"/>
        <w:rPr>
          <w:rFonts w:eastAsia="Calibri" w:cs="Tahoma"/>
          <w:bCs/>
          <w:color w:val="auto"/>
        </w:rPr>
      </w:pPr>
    </w:p>
    <w:p w14:paraId="24754444"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 xml:space="preserve">En ese orden de ideas, si bien por regla general los nombres de los trabajadores gubernamentales son información pública de oficio, existe una excepción relativa a </w:t>
      </w:r>
      <w:r w:rsidRPr="002C0D93">
        <w:rPr>
          <w:rFonts w:eastAsia="Calibri" w:cs="Tahoma"/>
          <w:b/>
          <w:bCs/>
          <w:color w:val="auto"/>
        </w:rPr>
        <w:t>aquellos que realicen actividades operativas en materia de seguridad,</w:t>
      </w:r>
      <w:r w:rsidRPr="002C0D93">
        <w:rPr>
          <w:rFonts w:eastAsia="Calibri" w:cs="Tahoma"/>
          <w:bCs/>
          <w:color w:val="auto"/>
        </w:rPr>
        <w:t xml:space="preserve"> como es el caso de los elementos operativos y la policía municipal.</w:t>
      </w:r>
    </w:p>
    <w:p w14:paraId="41C89F99" w14:textId="77777777" w:rsidR="002C0D93" w:rsidRPr="002C0D93" w:rsidRDefault="002C0D93" w:rsidP="002C0D93">
      <w:pPr>
        <w:spacing w:after="0" w:line="360" w:lineRule="auto"/>
        <w:rPr>
          <w:rFonts w:eastAsia="Calibri" w:cs="Tahoma"/>
          <w:bCs/>
          <w:color w:val="auto"/>
        </w:rPr>
      </w:pPr>
    </w:p>
    <w:p w14:paraId="489F8194"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2A3AF22B" w14:textId="77777777" w:rsidR="002C0D93" w:rsidRPr="002C0D93" w:rsidRDefault="002C0D93" w:rsidP="002C0D93">
      <w:pPr>
        <w:spacing w:after="0" w:line="360" w:lineRule="auto"/>
        <w:rPr>
          <w:rFonts w:eastAsia="Calibri" w:cs="Tahoma"/>
          <w:bCs/>
          <w:color w:val="auto"/>
        </w:rPr>
      </w:pPr>
    </w:p>
    <w:p w14:paraId="32692893"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En ese contexto, el artículo 6, fracciones XI y XII de dicho ordenamiento jurídico, establece los siguientes conceptos:</w:t>
      </w:r>
    </w:p>
    <w:p w14:paraId="074657C9" w14:textId="77777777" w:rsidR="002C0D93" w:rsidRPr="002C0D93" w:rsidRDefault="002C0D93" w:rsidP="002C0D93">
      <w:pPr>
        <w:spacing w:after="0" w:line="360" w:lineRule="auto"/>
        <w:rPr>
          <w:rFonts w:eastAsia="Calibri" w:cs="Tahoma"/>
          <w:bCs/>
          <w:color w:val="auto"/>
        </w:rPr>
      </w:pPr>
    </w:p>
    <w:p w14:paraId="30A27F54" w14:textId="77777777" w:rsidR="002C0D93" w:rsidRPr="002C0D93" w:rsidRDefault="002C0D93" w:rsidP="002C0D93">
      <w:pPr>
        <w:numPr>
          <w:ilvl w:val="0"/>
          <w:numId w:val="9"/>
        </w:numPr>
        <w:spacing w:after="0" w:line="360" w:lineRule="auto"/>
        <w:contextualSpacing/>
        <w:jc w:val="left"/>
        <w:rPr>
          <w:rFonts w:eastAsia="Calibri" w:cs="Tahoma"/>
          <w:b/>
          <w:bCs/>
          <w:color w:val="auto"/>
        </w:rPr>
      </w:pPr>
      <w:r w:rsidRPr="002C0D93">
        <w:rPr>
          <w:rFonts w:eastAsia="Calibri" w:cs="Tahoma"/>
          <w:b/>
          <w:bCs/>
          <w:color w:val="auto"/>
        </w:rPr>
        <w:t xml:space="preserve">Instituciones Policiales: </w:t>
      </w:r>
      <w:r w:rsidRPr="002C0D93">
        <w:rPr>
          <w:rFonts w:eastAsia="Calibri" w:cs="Tahoma"/>
          <w:bCs/>
          <w:color w:val="auto"/>
        </w:rPr>
        <w:t xml:space="preserve">Son los cuerpos de policía, de vigilancia y custodia de los establecimientos penitenciarios, detención preventiva, centros de arraigo y en </w:t>
      </w:r>
      <w:r w:rsidRPr="002C0D93">
        <w:rPr>
          <w:rFonts w:eastAsia="Calibri" w:cs="Tahoma"/>
          <w:bCs/>
          <w:color w:val="auto"/>
        </w:rPr>
        <w:lastRenderedPageBreak/>
        <w:t xml:space="preserve">general, </w:t>
      </w:r>
      <w:r w:rsidRPr="002C0D93">
        <w:rPr>
          <w:rFonts w:eastAsia="Calibri" w:cs="Tahoma"/>
          <w:b/>
          <w:bCs/>
          <w:color w:val="auto"/>
        </w:rPr>
        <w:t>todas las dependencias encargadas de la seguridad pública a nivel</w:t>
      </w:r>
      <w:r w:rsidRPr="002C0D93">
        <w:rPr>
          <w:rFonts w:eastAsia="Calibri" w:cs="Tahoma"/>
          <w:bCs/>
          <w:color w:val="auto"/>
        </w:rPr>
        <w:t xml:space="preserve"> estatal y </w:t>
      </w:r>
      <w:r w:rsidRPr="002C0D93">
        <w:rPr>
          <w:rFonts w:eastAsia="Calibri" w:cs="Tahoma"/>
          <w:b/>
          <w:bCs/>
          <w:color w:val="auto"/>
        </w:rPr>
        <w:t>municipal.</w:t>
      </w:r>
    </w:p>
    <w:p w14:paraId="64FB9407" w14:textId="77777777" w:rsidR="002C0D93" w:rsidRPr="002C0D93" w:rsidRDefault="002C0D93" w:rsidP="002C0D93">
      <w:pPr>
        <w:spacing w:after="0" w:line="360" w:lineRule="auto"/>
        <w:ind w:left="720"/>
        <w:contextualSpacing/>
        <w:rPr>
          <w:rFonts w:eastAsia="Calibri" w:cs="Tahoma"/>
          <w:bCs/>
          <w:color w:val="auto"/>
        </w:rPr>
      </w:pPr>
    </w:p>
    <w:p w14:paraId="226ABA92" w14:textId="77777777" w:rsidR="002C0D93" w:rsidRPr="002C0D93" w:rsidRDefault="002C0D93" w:rsidP="002C0D93">
      <w:pPr>
        <w:numPr>
          <w:ilvl w:val="0"/>
          <w:numId w:val="9"/>
        </w:numPr>
        <w:spacing w:after="0" w:line="360" w:lineRule="auto"/>
        <w:contextualSpacing/>
        <w:jc w:val="left"/>
        <w:rPr>
          <w:rFonts w:eastAsia="Calibri" w:cs="Tahoma"/>
          <w:b/>
          <w:bCs/>
          <w:color w:val="auto"/>
        </w:rPr>
      </w:pPr>
      <w:r w:rsidRPr="002C0D93">
        <w:rPr>
          <w:rFonts w:eastAsia="Calibri" w:cs="Tahoma"/>
          <w:b/>
          <w:bCs/>
          <w:color w:val="auto"/>
        </w:rPr>
        <w:t xml:space="preserve">Instituciones de Seguridad Pública: </w:t>
      </w:r>
      <w:r w:rsidRPr="002C0D93">
        <w:rPr>
          <w:rFonts w:eastAsia="Calibri" w:cs="Tahoma"/>
          <w:bCs/>
          <w:color w:val="auto"/>
        </w:rPr>
        <w:t xml:space="preserve">Instituciones Policiales, Procuración de Justicia, Sistema Penitenciario y </w:t>
      </w:r>
      <w:r w:rsidRPr="002C0D93">
        <w:rPr>
          <w:rFonts w:eastAsia="Calibri" w:cs="Tahoma"/>
          <w:b/>
          <w:bCs/>
          <w:color w:val="auto"/>
        </w:rPr>
        <w:t xml:space="preserve">dependencias encargadas de la seguridad pública a nivel </w:t>
      </w:r>
      <w:r w:rsidRPr="002C0D93">
        <w:rPr>
          <w:rFonts w:eastAsia="Calibri" w:cs="Tahoma"/>
          <w:bCs/>
          <w:color w:val="auto"/>
        </w:rPr>
        <w:t xml:space="preserve"> estatal y </w:t>
      </w:r>
      <w:r w:rsidRPr="002C0D93">
        <w:rPr>
          <w:rFonts w:eastAsia="Calibri" w:cs="Tahoma"/>
          <w:b/>
          <w:bCs/>
          <w:color w:val="auto"/>
        </w:rPr>
        <w:t>municipal.</w:t>
      </w:r>
    </w:p>
    <w:p w14:paraId="73842756" w14:textId="77777777" w:rsidR="002C0D93" w:rsidRPr="002C0D93" w:rsidRDefault="002C0D93" w:rsidP="002C0D93">
      <w:pPr>
        <w:spacing w:after="0" w:line="360" w:lineRule="auto"/>
        <w:contextualSpacing/>
        <w:rPr>
          <w:rFonts w:eastAsia="Calibri" w:cs="Tahoma"/>
          <w:b/>
          <w:bCs/>
          <w:color w:val="auto"/>
        </w:rPr>
      </w:pPr>
    </w:p>
    <w:p w14:paraId="2FE60634" w14:textId="763B0A11" w:rsidR="002C0D93" w:rsidRPr="002C0D93" w:rsidRDefault="002C0D93" w:rsidP="002C0D93">
      <w:pPr>
        <w:spacing w:after="0" w:line="360" w:lineRule="auto"/>
        <w:rPr>
          <w:rFonts w:eastAsia="Calibri" w:cs="Tahoma"/>
          <w:bCs/>
          <w:color w:val="auto"/>
        </w:rPr>
      </w:pPr>
      <w:r w:rsidRPr="002C0D93">
        <w:rPr>
          <w:rFonts w:eastAsia="Calibri" w:cs="Tahoma"/>
          <w:iCs/>
          <w:color w:val="auto"/>
          <w:szCs w:val="20"/>
          <w:lang w:val="es-ES" w:eastAsia="es-ES_tradnl"/>
        </w:rPr>
        <w:t>Conforme a lo anterior</w:t>
      </w:r>
      <w:r w:rsidRPr="002C0D93">
        <w:rPr>
          <w:rFonts w:eastAsia="Calibri" w:cs="Tahoma"/>
          <w:bCs/>
          <w:color w:val="auto"/>
        </w:rPr>
        <w:t xml:space="preserve">, se puede deducir que la Dirección de Seguridad Pública, es una institución de seguridad pública, pues tiene como atribución principal, la prevención de delitos </w:t>
      </w:r>
      <w:r w:rsidRPr="002C0D93">
        <w:rPr>
          <w:rFonts w:eastAsia="Calibri" w:cs="Times New Roman"/>
          <w:color w:val="auto"/>
          <w:szCs w:val="20"/>
          <w:lang w:eastAsia="es-ES"/>
        </w:rPr>
        <w:t>y proteger a las personas, sus propiedades, posesiones y derechos</w:t>
      </w:r>
    </w:p>
    <w:p w14:paraId="2688CB63" w14:textId="77777777" w:rsidR="002C0D93" w:rsidRPr="002C0D93" w:rsidRDefault="002C0D93" w:rsidP="002C0D93">
      <w:pPr>
        <w:spacing w:after="0" w:line="360" w:lineRule="auto"/>
        <w:rPr>
          <w:rFonts w:eastAsia="Calibri" w:cs="Tahoma"/>
          <w:bCs/>
          <w:color w:val="auto"/>
        </w:rPr>
      </w:pPr>
    </w:p>
    <w:p w14:paraId="68EF6E47" w14:textId="249B47CF" w:rsidR="002C0D93" w:rsidRPr="002C0D93" w:rsidRDefault="002C0D93" w:rsidP="002C0D93">
      <w:pPr>
        <w:tabs>
          <w:tab w:val="left" w:pos="4962"/>
        </w:tabs>
        <w:spacing w:after="0" w:line="360" w:lineRule="auto"/>
        <w:ind w:right="-28"/>
        <w:rPr>
          <w:rFonts w:eastAsia="Calibri" w:cs="Tahoma"/>
          <w:bCs/>
          <w:color w:val="auto"/>
        </w:rPr>
      </w:pPr>
      <w:r w:rsidRPr="002C0D93">
        <w:rPr>
          <w:rFonts w:eastAsia="Calibri" w:cs="Tahoma"/>
          <w:bCs/>
          <w:color w:val="auto"/>
          <w:lang w:val="es-ES"/>
        </w:rPr>
        <w:t xml:space="preserve">Además, </w:t>
      </w:r>
      <w:r w:rsidRPr="002C0D93">
        <w:rPr>
          <w:rFonts w:eastAsia="Calibri" w:cs="Tahoma"/>
          <w:bCs/>
          <w:color w:val="auto"/>
        </w:rPr>
        <w:t xml:space="preserve">el Instructivo de llenado del Formato “Personal de Seguridad Pública”, del Secretariado Ejecutivo del Sistema Nacional de Seguridad Pública (consultado el </w:t>
      </w:r>
      <w:r w:rsidR="00225657" w:rsidRPr="00225657">
        <w:rPr>
          <w:rFonts w:eastAsia="Calibri" w:cs="Tahoma"/>
          <w:bCs/>
          <w:color w:val="auto"/>
        </w:rPr>
        <w:t>veintidós</w:t>
      </w:r>
      <w:r w:rsidRPr="002C0D93">
        <w:rPr>
          <w:rFonts w:eastAsia="Calibri" w:cs="Tahoma"/>
          <w:bCs/>
          <w:color w:val="auto"/>
        </w:rPr>
        <w:t xml:space="preserve"> de </w:t>
      </w:r>
      <w:r w:rsidR="00225657" w:rsidRPr="00225657">
        <w:rPr>
          <w:rFonts w:eastAsia="Calibri" w:cs="Tahoma"/>
          <w:bCs/>
          <w:color w:val="auto"/>
        </w:rPr>
        <w:t>diciem</w:t>
      </w:r>
      <w:r w:rsidRPr="002C0D93">
        <w:rPr>
          <w:rFonts w:eastAsia="Calibri" w:cs="Tahoma"/>
          <w:bCs/>
          <w:color w:val="auto"/>
        </w:rPr>
        <w:t xml:space="preserve">bre de dos mil veintiuno, a las </w:t>
      </w:r>
      <w:r w:rsidR="00225657">
        <w:rPr>
          <w:rFonts w:eastAsia="Calibri" w:cs="Tahoma"/>
          <w:bCs/>
          <w:color w:val="auto"/>
        </w:rPr>
        <w:t>catorce</w:t>
      </w:r>
      <w:r w:rsidRPr="002C0D93">
        <w:rPr>
          <w:rFonts w:eastAsia="Calibri" w:cs="Tahoma"/>
          <w:bCs/>
          <w:color w:val="auto"/>
        </w:rPr>
        <w:t xml:space="preserve"> horas, en la liga electrónica </w:t>
      </w:r>
      <w:hyperlink r:id="rId17" w:history="1">
        <w:r w:rsidRPr="002C0D93">
          <w:rPr>
            <w:rFonts w:eastAsia="Calibri" w:cs="Tahoma"/>
            <w:bCs/>
            <w:color w:val="0563C1"/>
            <w:u w:val="single"/>
          </w:rPr>
          <w:t>http://secretariadoejecutivo.gob.mx/work/models/SecretariadoEjecutivo/Resource/328/1/images/instructivo_final_edo_fuerza(1).pdf</w:t>
        </w:r>
      </w:hyperlink>
      <w:r w:rsidRPr="002C0D93">
        <w:rPr>
          <w:rFonts w:eastAsia="Calibri" w:cs="Tahoma"/>
          <w:bCs/>
          <w:color w:val="auto"/>
        </w:rPr>
        <w:t xml:space="preserve">), establece que los elementos operativos de seguridad pública, son aquellos que desempeñan funciones de campo (policiacas, especializadas o equivalentes y que no </w:t>
      </w:r>
      <w:r w:rsidRPr="002C0D93">
        <w:rPr>
          <w:rFonts w:eastAsia="Calibri" w:cs="Tahoma"/>
          <w:b/>
          <w:bCs/>
          <w:color w:val="auto"/>
        </w:rPr>
        <w:t>desempeña funciones de mando</w:t>
      </w:r>
      <w:r w:rsidRPr="002C0D93">
        <w:rPr>
          <w:rFonts w:eastAsia="Calibri" w:cs="Tahoma"/>
          <w:bCs/>
          <w:color w:val="auto"/>
        </w:rPr>
        <w:t xml:space="preserve">), entre los cuales, se encuentra </w:t>
      </w:r>
      <w:r w:rsidRPr="002C0D93">
        <w:rPr>
          <w:rFonts w:eastAsia="Calibri" w:cs="Tahoma"/>
          <w:b/>
          <w:bCs/>
          <w:color w:val="auto"/>
        </w:rPr>
        <w:t>la Policía Municipal</w:t>
      </w:r>
      <w:r w:rsidRPr="002C0D93">
        <w:rPr>
          <w:rFonts w:eastAsia="Calibri" w:cs="Tahoma"/>
          <w:bCs/>
          <w:color w:val="auto"/>
        </w:rPr>
        <w:t>.</w:t>
      </w:r>
    </w:p>
    <w:p w14:paraId="4466876A" w14:textId="77777777" w:rsidR="002C0D93" w:rsidRPr="002C0D93" w:rsidRDefault="002C0D93" w:rsidP="002C0D93">
      <w:pPr>
        <w:tabs>
          <w:tab w:val="left" w:pos="4962"/>
        </w:tabs>
        <w:spacing w:after="0" w:line="360" w:lineRule="auto"/>
        <w:ind w:right="-28"/>
        <w:rPr>
          <w:rFonts w:eastAsia="Calibri" w:cs="Tahoma"/>
          <w:bCs/>
          <w:color w:val="auto"/>
        </w:rPr>
      </w:pPr>
    </w:p>
    <w:p w14:paraId="2C65BD62" w14:textId="77777777" w:rsidR="002C0D93" w:rsidRPr="002C0D93" w:rsidRDefault="002C0D93" w:rsidP="002C0D93">
      <w:pPr>
        <w:tabs>
          <w:tab w:val="left" w:pos="4962"/>
        </w:tabs>
        <w:spacing w:after="0" w:line="360" w:lineRule="auto"/>
        <w:ind w:right="-28"/>
        <w:rPr>
          <w:rFonts w:eastAsia="Calibri" w:cs="Tahoma"/>
          <w:bCs/>
          <w:color w:val="auto"/>
        </w:rPr>
      </w:pPr>
      <w:r w:rsidRPr="002C0D93">
        <w:rPr>
          <w:rFonts w:eastAsia="Calibri" w:cs="Tahoma"/>
          <w:bCs/>
          <w:color w:val="auto"/>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497FBD3F" w14:textId="77777777" w:rsidR="009638DE" w:rsidRDefault="009638DE" w:rsidP="002C0D93">
      <w:pPr>
        <w:spacing w:after="0" w:line="360" w:lineRule="auto"/>
        <w:rPr>
          <w:rFonts w:eastAsia="Calibri" w:cs="Tahoma"/>
          <w:bCs/>
          <w:color w:val="auto"/>
        </w:rPr>
      </w:pPr>
    </w:p>
    <w:p w14:paraId="448BF812" w14:textId="77777777" w:rsidR="009638DE" w:rsidRDefault="009638DE" w:rsidP="002C0D93">
      <w:pPr>
        <w:spacing w:after="0" w:line="360" w:lineRule="auto"/>
        <w:rPr>
          <w:rFonts w:eastAsia="Calibri" w:cs="Tahoma"/>
          <w:bCs/>
          <w:color w:val="auto"/>
        </w:rPr>
      </w:pPr>
    </w:p>
    <w:p w14:paraId="48B8B0BE" w14:textId="77777777" w:rsidR="009638DE" w:rsidRDefault="009638DE" w:rsidP="002C0D93">
      <w:pPr>
        <w:spacing w:after="0" w:line="360" w:lineRule="auto"/>
        <w:rPr>
          <w:rFonts w:eastAsia="Calibri" w:cs="Tahoma"/>
          <w:bCs/>
          <w:color w:val="auto"/>
        </w:rPr>
      </w:pPr>
    </w:p>
    <w:p w14:paraId="03BCC34C" w14:textId="056CB71A" w:rsidR="002C0D93" w:rsidRPr="002C0D93" w:rsidRDefault="002C0D93" w:rsidP="002C0D93">
      <w:pPr>
        <w:spacing w:after="0" w:line="360" w:lineRule="auto"/>
        <w:rPr>
          <w:rFonts w:eastAsia="Calibri" w:cs="Tahoma"/>
          <w:bCs/>
          <w:color w:val="auto"/>
        </w:rPr>
      </w:pPr>
      <w:r w:rsidRPr="002C0D93">
        <w:rPr>
          <w:rFonts w:eastAsia="Calibri" w:cs="Tahoma"/>
          <w:bCs/>
          <w:color w:val="auto"/>
        </w:rPr>
        <w:t>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7B9CFD5E" w14:textId="77777777" w:rsidR="002C0D93" w:rsidRPr="002C0D93" w:rsidRDefault="002C0D93" w:rsidP="002C0D93">
      <w:pPr>
        <w:spacing w:after="0" w:line="360" w:lineRule="auto"/>
        <w:rPr>
          <w:rFonts w:eastAsia="Calibri" w:cs="Tahoma"/>
          <w:bCs/>
          <w:color w:val="auto"/>
        </w:rPr>
      </w:pPr>
    </w:p>
    <w:p w14:paraId="30581BFE" w14:textId="36B900BE" w:rsidR="002C0D93" w:rsidRDefault="002C0D93" w:rsidP="002C0D93">
      <w:pPr>
        <w:spacing w:after="0" w:line="360" w:lineRule="auto"/>
        <w:rPr>
          <w:rFonts w:eastAsia="Calibri" w:cs="Tahoma"/>
          <w:bCs/>
          <w:color w:val="auto"/>
        </w:rPr>
      </w:pPr>
      <w:r w:rsidRPr="002C0D93">
        <w:rPr>
          <w:rFonts w:eastAsia="Calibri" w:cs="Tahoma"/>
          <w:bCs/>
          <w:color w:val="auto"/>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0BD00741" w14:textId="77777777" w:rsidR="00245041" w:rsidRPr="002C0D93" w:rsidRDefault="00245041" w:rsidP="002C0D93">
      <w:pPr>
        <w:spacing w:after="0" w:line="360" w:lineRule="auto"/>
        <w:rPr>
          <w:rFonts w:eastAsia="Calibri" w:cs="Tahoma"/>
          <w:bCs/>
          <w:color w:val="auto"/>
        </w:rPr>
      </w:pPr>
    </w:p>
    <w:p w14:paraId="3F36BB23" w14:textId="2365C2F2" w:rsidR="002C0D93" w:rsidRPr="002C0D93" w:rsidRDefault="002C0D93" w:rsidP="002C0D93">
      <w:pPr>
        <w:spacing w:after="0" w:line="360" w:lineRule="auto"/>
        <w:rPr>
          <w:rFonts w:eastAsia="Calibri" w:cs="Tahoma"/>
          <w:bCs/>
          <w:color w:val="auto"/>
        </w:rPr>
      </w:pPr>
      <w:r w:rsidRPr="002C0D93">
        <w:rPr>
          <w:rFonts w:eastAsia="Calibri" w:cs="Tahoma"/>
          <w:bCs/>
          <w:color w:val="auto"/>
        </w:rPr>
        <w:t xml:space="preserve">Lo anterior, se robustece con las Cifras de Incidencia Delictiva Municipal 2015-2021, publicado por el Secretariado Ejecutivo del Sistema Nacional de Seguridad Pública, en la página </w:t>
      </w:r>
      <w:hyperlink r:id="rId18" w:history="1">
        <w:r w:rsidRPr="002C0D93">
          <w:rPr>
            <w:rFonts w:eastAsia="Times New Roman" w:cs="Times New Roman"/>
            <w:color w:val="0563C1"/>
            <w:u w:val="single"/>
            <w:lang w:eastAsia="es-ES"/>
          </w:rPr>
          <w:t>https://www.gob.mx/sesnsp/acciones-y-programas/incidencia-delictiva-del-fuero-comun-nueva-metodologia?state=published</w:t>
        </w:r>
      </w:hyperlink>
      <w:r w:rsidRPr="002C0D93">
        <w:rPr>
          <w:rFonts w:eastAsia="Calibri" w:cs="Tahoma"/>
          <w:bCs/>
          <w:color w:val="auto"/>
        </w:rPr>
        <w:t xml:space="preserve"> (consultado el </w:t>
      </w:r>
      <w:r w:rsidR="00245041">
        <w:rPr>
          <w:rFonts w:eastAsia="Calibri" w:cs="Tahoma"/>
          <w:bCs/>
          <w:color w:val="auto"/>
        </w:rPr>
        <w:t>once de enero de dos mil veintidós,</w:t>
      </w:r>
      <w:r w:rsidRPr="002C0D93">
        <w:rPr>
          <w:rFonts w:eastAsia="Calibri" w:cs="Tahoma"/>
          <w:bCs/>
          <w:color w:val="auto"/>
        </w:rPr>
        <w:t xml:space="preserve"> a las die</w:t>
      </w:r>
      <w:r w:rsidR="00225657">
        <w:rPr>
          <w:rFonts w:eastAsia="Calibri" w:cs="Tahoma"/>
          <w:bCs/>
          <w:color w:val="auto"/>
        </w:rPr>
        <w:t>ciséis</w:t>
      </w:r>
      <w:r w:rsidRPr="002C0D93">
        <w:rPr>
          <w:rFonts w:eastAsia="Calibri" w:cs="Tahoma"/>
          <w:bCs/>
          <w:color w:val="auto"/>
        </w:rPr>
        <w:t xml:space="preserve"> horas con tres minutos) de cual se desprenden algunos delitos que se han cometido en el Municipio de </w:t>
      </w:r>
      <w:r w:rsidR="00106BD2">
        <w:rPr>
          <w:rFonts w:eastAsia="Calibri" w:cs="Tahoma"/>
          <w:bCs/>
          <w:color w:val="auto"/>
        </w:rPr>
        <w:t>Tezoyuca</w:t>
      </w:r>
      <w:r w:rsidRPr="002C0D93">
        <w:rPr>
          <w:rFonts w:eastAsia="Calibri" w:cs="Tahoma"/>
          <w:bCs/>
          <w:color w:val="auto"/>
        </w:rPr>
        <w:t>, tal como se observa a continuación:</w:t>
      </w:r>
    </w:p>
    <w:p w14:paraId="57E9C18C" w14:textId="77777777" w:rsidR="00305FBD" w:rsidRDefault="00305FBD" w:rsidP="00305FBD">
      <w:pPr>
        <w:spacing w:after="0" w:line="360" w:lineRule="auto"/>
        <w:ind w:right="-93"/>
        <w:rPr>
          <w:noProof/>
        </w:rPr>
      </w:pPr>
    </w:p>
    <w:p w14:paraId="6C44A7E5" w14:textId="63861883" w:rsidR="00305FBD" w:rsidRDefault="00305FBD" w:rsidP="009638DE">
      <w:pPr>
        <w:spacing w:after="0" w:line="360" w:lineRule="auto"/>
        <w:ind w:right="-93"/>
        <w:jc w:val="center"/>
        <w:rPr>
          <w:rFonts w:eastAsia="Calibri" w:cs="Tahoma"/>
          <w:bCs/>
          <w:color w:val="auto"/>
        </w:rPr>
      </w:pPr>
      <w:r>
        <w:rPr>
          <w:noProof/>
          <w:lang w:eastAsia="es-MX"/>
        </w:rPr>
        <w:drawing>
          <wp:inline distT="0" distB="0" distL="0" distR="0" wp14:anchorId="1C7CDB9A" wp14:editId="059F011A">
            <wp:extent cx="4970780" cy="3238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679" t="21509" r="25092" b="70005"/>
                    <a:stretch/>
                  </pic:blipFill>
                  <pic:spPr bwMode="auto">
                    <a:xfrm>
                      <a:off x="0" y="0"/>
                      <a:ext cx="4996099" cy="325500"/>
                    </a:xfrm>
                    <a:prstGeom prst="rect">
                      <a:avLst/>
                    </a:prstGeom>
                    <a:ln>
                      <a:noFill/>
                    </a:ln>
                    <a:extLst>
                      <a:ext uri="{53640926-AAD7-44D8-BBD7-CCE9431645EC}">
                        <a14:shadowObscured xmlns:a14="http://schemas.microsoft.com/office/drawing/2010/main"/>
                      </a:ext>
                    </a:extLst>
                  </pic:spPr>
                </pic:pic>
              </a:graphicData>
            </a:graphic>
          </wp:inline>
        </w:drawing>
      </w:r>
    </w:p>
    <w:p w14:paraId="6E17C21E" w14:textId="77777777" w:rsidR="009638DE" w:rsidRDefault="009638DE" w:rsidP="009638DE">
      <w:pPr>
        <w:spacing w:after="0" w:line="360" w:lineRule="auto"/>
        <w:ind w:right="-93"/>
        <w:jc w:val="center"/>
        <w:rPr>
          <w:rFonts w:eastAsia="Calibri" w:cs="Tahoma"/>
          <w:bCs/>
          <w:color w:val="auto"/>
        </w:rPr>
      </w:pPr>
    </w:p>
    <w:p w14:paraId="207ED9EF" w14:textId="77777777" w:rsidR="009638DE" w:rsidRDefault="009638DE" w:rsidP="009638DE">
      <w:pPr>
        <w:spacing w:after="0" w:line="360" w:lineRule="auto"/>
        <w:ind w:right="-93"/>
        <w:jc w:val="center"/>
        <w:rPr>
          <w:rFonts w:eastAsia="Calibri" w:cs="Tahoma"/>
          <w:bCs/>
          <w:color w:val="auto"/>
        </w:rPr>
      </w:pPr>
    </w:p>
    <w:p w14:paraId="2A675227" w14:textId="73ABBB69" w:rsidR="009638DE" w:rsidRDefault="009638DE" w:rsidP="009638DE">
      <w:pPr>
        <w:spacing w:after="0" w:line="360" w:lineRule="auto"/>
        <w:ind w:right="-93"/>
        <w:jc w:val="center"/>
        <w:rPr>
          <w:rFonts w:eastAsia="Calibri" w:cs="Tahoma"/>
          <w:bCs/>
          <w:color w:val="auto"/>
        </w:rPr>
      </w:pPr>
      <w:r>
        <w:rPr>
          <w:noProof/>
          <w:lang w:eastAsia="es-MX"/>
        </w:rPr>
        <w:drawing>
          <wp:inline distT="0" distB="0" distL="0" distR="0" wp14:anchorId="1E419FE3" wp14:editId="719EA473">
            <wp:extent cx="4970780" cy="1609681"/>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679" t="29496" r="25092" b="28324"/>
                    <a:stretch/>
                  </pic:blipFill>
                  <pic:spPr bwMode="auto">
                    <a:xfrm>
                      <a:off x="0" y="0"/>
                      <a:ext cx="4996099" cy="1617880"/>
                    </a:xfrm>
                    <a:prstGeom prst="rect">
                      <a:avLst/>
                    </a:prstGeom>
                    <a:ln>
                      <a:noFill/>
                    </a:ln>
                    <a:extLst>
                      <a:ext uri="{53640926-AAD7-44D8-BBD7-CCE9431645EC}">
                        <a14:shadowObscured xmlns:a14="http://schemas.microsoft.com/office/drawing/2010/main"/>
                      </a:ext>
                    </a:extLst>
                  </pic:spPr>
                </pic:pic>
              </a:graphicData>
            </a:graphic>
          </wp:inline>
        </w:drawing>
      </w:r>
    </w:p>
    <w:p w14:paraId="58C75F9C" w14:textId="77777777" w:rsidR="009638DE" w:rsidRDefault="009638DE" w:rsidP="009638DE">
      <w:pPr>
        <w:spacing w:after="0" w:line="360" w:lineRule="auto"/>
        <w:ind w:right="-93"/>
        <w:jc w:val="center"/>
        <w:rPr>
          <w:rFonts w:eastAsia="Calibri" w:cs="Tahoma"/>
          <w:bCs/>
          <w:color w:val="auto"/>
        </w:rPr>
      </w:pPr>
    </w:p>
    <w:p w14:paraId="5D92D156" w14:textId="71C2D1DD" w:rsidR="002C0D93" w:rsidRPr="002C0D93" w:rsidRDefault="002C0D93" w:rsidP="002C0D93">
      <w:pPr>
        <w:spacing w:after="0" w:line="360" w:lineRule="auto"/>
        <w:rPr>
          <w:rFonts w:eastAsia="Calibri" w:cs="Tahoma"/>
          <w:bCs/>
          <w:color w:val="auto"/>
        </w:rPr>
      </w:pPr>
      <w:r w:rsidRPr="002C0D93">
        <w:rPr>
          <w:rFonts w:eastAsia="Calibri" w:cs="Tahoma"/>
          <w:bCs/>
          <w:color w:val="auto"/>
        </w:rPr>
        <w:t xml:space="preserve">Como se logra observar, en el Municipio de </w:t>
      </w:r>
      <w:r w:rsidR="00305FBD">
        <w:rPr>
          <w:rFonts w:eastAsia="Calibri" w:cs="Tahoma"/>
          <w:bCs/>
          <w:color w:val="auto"/>
        </w:rPr>
        <w:t>Tezoyuca</w:t>
      </w:r>
      <w:r w:rsidRPr="002C0D93">
        <w:rPr>
          <w:rFonts w:eastAsia="Calibri" w:cs="Tahoma"/>
          <w:bCs/>
          <w:color w:val="auto"/>
        </w:rPr>
        <w:t xml:space="preserve"> durante el dos mil veintiuno, se han realizado diversos actos ilícitos, entre los más resaltantes encontramos las lesiones, fraude, homicidio, </w:t>
      </w:r>
      <w:r w:rsidR="00245041">
        <w:rPr>
          <w:rFonts w:eastAsia="Calibri" w:cs="Tahoma"/>
          <w:bCs/>
          <w:color w:val="auto"/>
        </w:rPr>
        <w:t>lesiones</w:t>
      </w:r>
      <w:r w:rsidRPr="002C0D93">
        <w:rPr>
          <w:rFonts w:eastAsia="Calibri" w:cs="Tahoma"/>
          <w:bCs/>
          <w:color w:val="auto"/>
        </w:rPr>
        <w:t xml:space="preserve">, </w:t>
      </w:r>
      <w:r w:rsidR="00305FBD">
        <w:rPr>
          <w:rFonts w:eastAsia="Calibri" w:cs="Tahoma"/>
          <w:b/>
          <w:bCs/>
          <w:color w:val="auto"/>
        </w:rPr>
        <w:t>robo</w:t>
      </w:r>
      <w:r w:rsidR="00245041">
        <w:rPr>
          <w:rFonts w:eastAsia="Calibri" w:cs="Tahoma"/>
          <w:b/>
          <w:bCs/>
          <w:color w:val="auto"/>
        </w:rPr>
        <w:t>, daño a propiedad, fraude y extorsiones</w:t>
      </w:r>
      <w:r w:rsidRPr="002C0D93">
        <w:rPr>
          <w:rFonts w:eastAsia="Calibri" w:cs="Tahoma"/>
          <w:b/>
          <w:bCs/>
          <w:color w:val="auto"/>
        </w:rPr>
        <w:t>,</w:t>
      </w:r>
      <w:r w:rsidRPr="002C0D93">
        <w:rPr>
          <w:rFonts w:eastAsia="Calibri" w:cs="Tahoma"/>
          <w:bCs/>
          <w:color w:val="auto"/>
        </w:rPr>
        <w:t xml:space="preserve"> hechos que pueden llegar a ser atendidos directamente por este personal operativo en apoyo de los afectados o incluso de las autoridades encargadas de la procuración de justicia. </w:t>
      </w:r>
    </w:p>
    <w:p w14:paraId="6475AF53" w14:textId="77777777" w:rsidR="002C0D93" w:rsidRPr="002C0D93" w:rsidRDefault="002C0D93" w:rsidP="002C0D93">
      <w:pPr>
        <w:spacing w:after="0" w:line="360" w:lineRule="auto"/>
        <w:rPr>
          <w:rFonts w:eastAsia="Calibri" w:cs="Tahoma"/>
          <w:bCs/>
          <w:color w:val="auto"/>
          <w:highlight w:val="green"/>
        </w:rPr>
      </w:pPr>
    </w:p>
    <w:p w14:paraId="11D3F040"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0AB48CB6" w14:textId="77777777" w:rsidR="002C0D93" w:rsidRPr="002C0D93" w:rsidRDefault="002C0D93" w:rsidP="002C0D93">
      <w:pPr>
        <w:spacing w:after="0" w:line="360" w:lineRule="auto"/>
        <w:rPr>
          <w:rFonts w:eastAsia="Calibri" w:cs="Tahoma"/>
          <w:bCs/>
          <w:color w:val="auto"/>
        </w:rPr>
      </w:pPr>
    </w:p>
    <w:p w14:paraId="4B86E434" w14:textId="77777777" w:rsidR="002C0D93" w:rsidRPr="002C0D93" w:rsidRDefault="002C0D93" w:rsidP="002C0D93">
      <w:pPr>
        <w:tabs>
          <w:tab w:val="left" w:pos="4962"/>
        </w:tabs>
        <w:spacing w:after="0" w:line="360" w:lineRule="auto"/>
        <w:rPr>
          <w:rFonts w:eastAsia="Calibri" w:cs="Tahoma"/>
          <w:iCs/>
          <w:color w:val="auto"/>
          <w:lang w:val="es-ES" w:eastAsia="es-ES_tradnl"/>
        </w:rPr>
      </w:pPr>
      <w:r w:rsidRPr="002C0D93">
        <w:rPr>
          <w:rFonts w:eastAsia="Calibri" w:cs="Tahoma"/>
          <w:iCs/>
          <w:color w:val="auto"/>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10ED80AD" w14:textId="77777777" w:rsidR="002C0D93" w:rsidRDefault="002C0D93" w:rsidP="002C0D93">
      <w:pPr>
        <w:tabs>
          <w:tab w:val="left" w:pos="4962"/>
        </w:tabs>
        <w:spacing w:after="0" w:line="360" w:lineRule="auto"/>
        <w:rPr>
          <w:rFonts w:eastAsia="Calibri" w:cs="Tahoma"/>
          <w:iCs/>
          <w:color w:val="auto"/>
          <w:lang w:val="es-ES" w:eastAsia="es-ES_tradnl"/>
        </w:rPr>
      </w:pPr>
    </w:p>
    <w:p w14:paraId="3D7B61FE" w14:textId="77777777" w:rsidR="009638DE" w:rsidRPr="002C0D93" w:rsidRDefault="009638DE" w:rsidP="002C0D93">
      <w:pPr>
        <w:tabs>
          <w:tab w:val="left" w:pos="4962"/>
        </w:tabs>
        <w:spacing w:after="0" w:line="360" w:lineRule="auto"/>
        <w:rPr>
          <w:rFonts w:eastAsia="Calibri" w:cs="Tahoma"/>
          <w:iCs/>
          <w:color w:val="auto"/>
          <w:lang w:val="es-ES" w:eastAsia="es-ES_tradnl"/>
        </w:rPr>
      </w:pPr>
    </w:p>
    <w:p w14:paraId="026E21E7" w14:textId="77777777" w:rsidR="002C0D93" w:rsidRPr="002C0D93" w:rsidRDefault="002C0D93" w:rsidP="00245041">
      <w:pPr>
        <w:numPr>
          <w:ilvl w:val="0"/>
          <w:numId w:val="11"/>
        </w:numPr>
        <w:tabs>
          <w:tab w:val="left" w:pos="4962"/>
        </w:tabs>
        <w:spacing w:after="0" w:line="360" w:lineRule="auto"/>
        <w:rPr>
          <w:rFonts w:eastAsia="Calibri" w:cs="Tahoma"/>
          <w:iCs/>
          <w:color w:val="auto"/>
          <w:lang w:val="es-ES_tradnl" w:eastAsia="es-ES_tradnl"/>
        </w:rPr>
      </w:pPr>
      <w:r w:rsidRPr="002C0D93">
        <w:rPr>
          <w:rFonts w:eastAsia="Calibri" w:cs="Tahoma"/>
          <w:iCs/>
          <w:color w:val="auto"/>
          <w:lang w:val="es-ES_tradnl" w:eastAsia="es-ES_tradnl"/>
        </w:rPr>
        <w:t>La divulgación de la información representa un riesgo real, demostrable e identificable de perjuicio significativo al interés público o a la seguridad nacional.</w:t>
      </w:r>
    </w:p>
    <w:p w14:paraId="56173F1B" w14:textId="77777777" w:rsidR="002C0D93" w:rsidRPr="002C0D93" w:rsidRDefault="002C0D93" w:rsidP="00245041">
      <w:pPr>
        <w:tabs>
          <w:tab w:val="left" w:pos="4962"/>
        </w:tabs>
        <w:spacing w:after="0" w:line="360" w:lineRule="auto"/>
        <w:rPr>
          <w:rFonts w:eastAsia="Calibri" w:cs="Tahoma"/>
          <w:iCs/>
          <w:color w:val="auto"/>
          <w:lang w:val="es-ES_tradnl" w:eastAsia="es-ES_tradnl"/>
        </w:rPr>
      </w:pPr>
    </w:p>
    <w:p w14:paraId="54DCE4BF" w14:textId="77777777" w:rsidR="002C0D93" w:rsidRPr="002C0D93" w:rsidRDefault="002C0D93" w:rsidP="00245041">
      <w:pPr>
        <w:numPr>
          <w:ilvl w:val="0"/>
          <w:numId w:val="11"/>
        </w:numPr>
        <w:tabs>
          <w:tab w:val="left" w:pos="4962"/>
        </w:tabs>
        <w:spacing w:after="0" w:line="360" w:lineRule="auto"/>
        <w:rPr>
          <w:rFonts w:eastAsia="Calibri" w:cs="Tahoma"/>
          <w:iCs/>
          <w:color w:val="auto"/>
          <w:lang w:val="es-ES_tradnl" w:eastAsia="es-ES_tradnl"/>
        </w:rPr>
      </w:pPr>
      <w:r w:rsidRPr="002C0D93">
        <w:rPr>
          <w:rFonts w:eastAsia="Calibri" w:cs="Tahoma"/>
          <w:iCs/>
          <w:color w:val="auto"/>
          <w:lang w:val="es-ES_tradnl" w:eastAsia="es-ES_tradnl"/>
        </w:rPr>
        <w:t>El riesgo de perjuicio supera el interés público general de que se difunda.</w:t>
      </w:r>
    </w:p>
    <w:p w14:paraId="3940607C" w14:textId="77777777" w:rsidR="002C0D93" w:rsidRPr="002C0D93" w:rsidRDefault="002C0D93" w:rsidP="00245041">
      <w:pPr>
        <w:tabs>
          <w:tab w:val="left" w:pos="4962"/>
        </w:tabs>
        <w:spacing w:after="0" w:line="360" w:lineRule="auto"/>
        <w:rPr>
          <w:rFonts w:eastAsia="Calibri" w:cs="Tahoma"/>
          <w:iCs/>
          <w:color w:val="auto"/>
          <w:lang w:val="es-ES_tradnl" w:eastAsia="es-ES_tradnl"/>
        </w:rPr>
      </w:pPr>
    </w:p>
    <w:p w14:paraId="75C23A81" w14:textId="77777777" w:rsidR="002C0D93" w:rsidRPr="002C0D93" w:rsidRDefault="002C0D93" w:rsidP="00245041">
      <w:pPr>
        <w:numPr>
          <w:ilvl w:val="0"/>
          <w:numId w:val="11"/>
        </w:numPr>
        <w:tabs>
          <w:tab w:val="left" w:pos="4962"/>
        </w:tabs>
        <w:spacing w:after="0" w:line="360" w:lineRule="auto"/>
        <w:rPr>
          <w:rFonts w:eastAsia="Calibri" w:cs="Tahoma"/>
          <w:iCs/>
          <w:color w:val="auto"/>
          <w:lang w:val="es-ES_tradnl" w:eastAsia="es-ES_tradnl"/>
        </w:rPr>
      </w:pPr>
      <w:r w:rsidRPr="002C0D93">
        <w:rPr>
          <w:rFonts w:eastAsia="Calibri" w:cs="Tahoma"/>
          <w:iCs/>
          <w:color w:val="auto"/>
          <w:lang w:val="es-ES_tradnl" w:eastAsia="es-ES_tradnl"/>
        </w:rPr>
        <w:t>Que la limitación se adecua al principio de proporcionalidad y representa el medio menos restrictivo disponible para evitar el perjuicio.</w:t>
      </w:r>
    </w:p>
    <w:p w14:paraId="374B4F50" w14:textId="77777777" w:rsidR="002C0D93" w:rsidRPr="002C0D93" w:rsidRDefault="002C0D93" w:rsidP="002C0D93">
      <w:pPr>
        <w:spacing w:after="0" w:line="360" w:lineRule="auto"/>
        <w:rPr>
          <w:rFonts w:eastAsia="Calibri" w:cs="Tahoma"/>
          <w:iCs/>
          <w:color w:val="auto"/>
          <w:lang w:eastAsia="es-ES_tradnl"/>
        </w:rPr>
      </w:pPr>
    </w:p>
    <w:p w14:paraId="5F2E91FE" w14:textId="77777777" w:rsidR="002C0D93" w:rsidRPr="002C0D93" w:rsidRDefault="002C0D93" w:rsidP="002C0D93">
      <w:pPr>
        <w:spacing w:after="0" w:line="360" w:lineRule="auto"/>
        <w:rPr>
          <w:rFonts w:eastAsia="Calibri" w:cs="Tahoma"/>
          <w:iCs/>
          <w:color w:val="auto"/>
          <w:lang w:eastAsia="es-ES_tradnl"/>
        </w:rPr>
      </w:pPr>
      <w:r w:rsidRPr="002C0D93">
        <w:rPr>
          <w:rFonts w:eastAsia="Calibri" w:cs="Tahoma"/>
          <w:iCs/>
          <w:color w:val="auto"/>
          <w:lang w:eastAsia="es-ES_tradnl"/>
        </w:rPr>
        <w:t>Al respecto, este Instituto advierte lo siguiente:</w:t>
      </w:r>
    </w:p>
    <w:p w14:paraId="18A3A6A0" w14:textId="77777777" w:rsidR="002C0D93" w:rsidRPr="002C0D93" w:rsidRDefault="002C0D93" w:rsidP="002C0D93">
      <w:pPr>
        <w:spacing w:after="0" w:line="360" w:lineRule="auto"/>
        <w:rPr>
          <w:rFonts w:eastAsia="Calibri" w:cs="Tahoma"/>
          <w:iCs/>
          <w:color w:val="auto"/>
          <w:lang w:eastAsia="es-ES_tradnl"/>
        </w:rPr>
      </w:pPr>
    </w:p>
    <w:p w14:paraId="593C0A6F" w14:textId="0FE4110A" w:rsidR="002C0D93" w:rsidRPr="002C0D93" w:rsidRDefault="002C0D93" w:rsidP="00245041">
      <w:pPr>
        <w:numPr>
          <w:ilvl w:val="0"/>
          <w:numId w:val="12"/>
        </w:numPr>
        <w:spacing w:after="0" w:line="360" w:lineRule="auto"/>
        <w:contextualSpacing/>
        <w:rPr>
          <w:rFonts w:eastAsia="Calibri" w:cs="Tahoma"/>
          <w:bCs/>
          <w:color w:val="auto"/>
        </w:rPr>
      </w:pPr>
      <w:r w:rsidRPr="002C0D93">
        <w:rPr>
          <w:rFonts w:eastAsia="Calibri" w:cs="Tahoma"/>
          <w:bCs/>
          <w:color w:val="auto"/>
        </w:rPr>
        <w:t xml:space="preserve">Que existe un </w:t>
      </w:r>
      <w:r w:rsidRPr="002C0D93">
        <w:rPr>
          <w:rFonts w:eastAsia="Calibri" w:cs="Tahoma"/>
          <w:b/>
          <w:bCs/>
          <w:color w:val="auto"/>
        </w:rPr>
        <w:t xml:space="preserve">riesgo real, demostrable e identificable, </w:t>
      </w:r>
      <w:r w:rsidRPr="002C0D93">
        <w:rPr>
          <w:rFonts w:eastAsia="Calibri" w:cs="Tahoma"/>
          <w:bCs/>
          <w:color w:val="auto"/>
        </w:rPr>
        <w:t>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Dirección de Seguridad Pública.</w:t>
      </w:r>
    </w:p>
    <w:p w14:paraId="6F693B02" w14:textId="77777777" w:rsidR="002C0D93" w:rsidRPr="002C0D93" w:rsidRDefault="002C0D93" w:rsidP="002C0D93">
      <w:pPr>
        <w:spacing w:after="0" w:line="360" w:lineRule="auto"/>
        <w:ind w:left="720"/>
        <w:contextualSpacing/>
        <w:rPr>
          <w:rFonts w:eastAsia="Calibri" w:cs="Tahoma"/>
          <w:bCs/>
          <w:color w:val="auto"/>
          <w:highlight w:val="green"/>
        </w:rPr>
      </w:pPr>
    </w:p>
    <w:p w14:paraId="3309B124" w14:textId="77777777" w:rsidR="002C0D93" w:rsidRPr="002C0D93" w:rsidRDefault="002C0D93" w:rsidP="00245041">
      <w:pPr>
        <w:numPr>
          <w:ilvl w:val="0"/>
          <w:numId w:val="12"/>
        </w:numPr>
        <w:spacing w:after="0" w:line="360" w:lineRule="auto"/>
        <w:contextualSpacing/>
        <w:rPr>
          <w:rFonts w:eastAsia="Calibri" w:cs="Tahoma"/>
          <w:b/>
          <w:bCs/>
          <w:color w:val="auto"/>
        </w:rPr>
      </w:pPr>
      <w:r w:rsidRPr="002C0D93">
        <w:rPr>
          <w:rFonts w:eastAsia="Calibri" w:cs="Tahoma"/>
          <w:b/>
          <w:bCs/>
          <w:color w:val="auto"/>
        </w:rPr>
        <w:t>Que el riesgo de perjuicio que supone la divulgación de la información supera el interés público general</w:t>
      </w:r>
      <w:r w:rsidRPr="002C0D93">
        <w:rPr>
          <w:rFonts w:eastAsia="Calibri" w:cs="Tahoma"/>
          <w:bCs/>
          <w:color w:val="auto"/>
        </w:rPr>
        <w:t xml:space="preserve">, ya 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w:t>
      </w:r>
      <w:r w:rsidRPr="002C0D93">
        <w:rPr>
          <w:rFonts w:eastAsia="Calibri" w:cs="Tahoma"/>
          <w:bCs/>
          <w:color w:val="auto"/>
        </w:rPr>
        <w:lastRenderedPageBreak/>
        <w:t xml:space="preserve">un detrimento al combate a la delincuencia y un perjuicio a la seguridad pública, </w:t>
      </w:r>
      <w:r w:rsidRPr="002C0D93">
        <w:rPr>
          <w:rFonts w:eastAsia="Calibri" w:cs="Tahoma"/>
          <w:b/>
          <w:bCs/>
          <w:color w:val="auto"/>
        </w:rPr>
        <w:t>vulnerando así, el interés general.</w:t>
      </w:r>
    </w:p>
    <w:p w14:paraId="15DD7DD5" w14:textId="77777777" w:rsidR="002C0D93" w:rsidRPr="002C0D93" w:rsidRDefault="002C0D93" w:rsidP="002C0D93">
      <w:pPr>
        <w:spacing w:after="0" w:line="360" w:lineRule="auto"/>
        <w:ind w:left="720"/>
        <w:contextualSpacing/>
        <w:rPr>
          <w:rFonts w:eastAsia="Calibri" w:cs="Tahoma"/>
          <w:bCs/>
          <w:color w:val="auto"/>
        </w:rPr>
      </w:pPr>
    </w:p>
    <w:p w14:paraId="6D31205B" w14:textId="77777777" w:rsidR="002C0D93" w:rsidRPr="002C0D93" w:rsidRDefault="002C0D93" w:rsidP="00245041">
      <w:pPr>
        <w:numPr>
          <w:ilvl w:val="0"/>
          <w:numId w:val="12"/>
        </w:numPr>
        <w:spacing w:after="0" w:line="360" w:lineRule="auto"/>
        <w:contextualSpacing/>
        <w:rPr>
          <w:rFonts w:eastAsia="Calibri" w:cs="Tahoma"/>
          <w:bCs/>
          <w:color w:val="auto"/>
        </w:rPr>
      </w:pPr>
      <w:r w:rsidRPr="002C0D93">
        <w:rPr>
          <w:rFonts w:eastAsia="Calibri" w:cs="Tahoma"/>
          <w:b/>
          <w:bCs/>
          <w:color w:val="auto"/>
        </w:rPr>
        <w:t xml:space="preserve">Que la reserva no se traduzca en un medio restrictivo al derecho de acceso a la información, </w:t>
      </w:r>
      <w:r w:rsidRPr="002C0D93">
        <w:rPr>
          <w:rFonts w:eastAsia="Calibri" w:cs="Tahoma"/>
          <w:bCs/>
          <w:color w:val="auto"/>
        </w:rPr>
        <w:t xml:space="preserve">en virtud de que la misma prevalece al proteger alguno de los derechos más importantes, como lo son la vida, la salud y la seguridad de </w:t>
      </w:r>
      <w:r w:rsidRPr="002C0D93">
        <w:rPr>
          <w:rFonts w:eastAsia="Calibri" w:cs="Tahoma"/>
          <w:b/>
          <w:bCs/>
          <w:color w:val="auto"/>
        </w:rPr>
        <w:t>los servidores públicos,</w:t>
      </w:r>
      <w:r w:rsidRPr="002C0D93">
        <w:rPr>
          <w:rFonts w:eastAsia="Calibri" w:cs="Tahoma"/>
          <w:bCs/>
          <w:color w:val="auto"/>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14:paraId="10B323F2" w14:textId="77777777" w:rsidR="002C0D93" w:rsidRDefault="002C0D93" w:rsidP="002C0D93">
      <w:pPr>
        <w:spacing w:after="0" w:line="360" w:lineRule="auto"/>
        <w:rPr>
          <w:rFonts w:eastAsia="Calibri" w:cs="Tahoma"/>
          <w:bCs/>
          <w:color w:val="auto"/>
        </w:rPr>
      </w:pPr>
    </w:p>
    <w:p w14:paraId="12CD91E5" w14:textId="77777777" w:rsidR="009638DE" w:rsidRPr="002C0D93" w:rsidRDefault="009638DE" w:rsidP="002C0D93">
      <w:pPr>
        <w:spacing w:after="0" w:line="360" w:lineRule="auto"/>
        <w:rPr>
          <w:rFonts w:eastAsia="Calibri" w:cs="Tahoma"/>
          <w:bCs/>
          <w:color w:val="auto"/>
        </w:rPr>
      </w:pPr>
    </w:p>
    <w:p w14:paraId="4376A925" w14:textId="4F5BCF97" w:rsidR="002C0D93" w:rsidRPr="002C0D93" w:rsidRDefault="002C0D93" w:rsidP="002C0D93">
      <w:pPr>
        <w:spacing w:after="0" w:line="360" w:lineRule="auto"/>
        <w:rPr>
          <w:rFonts w:eastAsia="Calibri" w:cs="Tahoma"/>
          <w:b/>
          <w:iCs/>
          <w:color w:val="auto"/>
          <w:lang w:val="es-ES" w:eastAsia="es-ES_tradnl"/>
        </w:rPr>
      </w:pPr>
      <w:r w:rsidRPr="002C0D93">
        <w:rPr>
          <w:rFonts w:eastAsia="Calibri" w:cs="Tahoma"/>
          <w:bCs/>
          <w:color w:val="auto"/>
        </w:rPr>
        <w:t xml:space="preserve">Por tales consideraciones, </w:t>
      </w:r>
      <w:r w:rsidRPr="002C0D93">
        <w:rPr>
          <w:rFonts w:eastAsia="Calibri" w:cs="Tahoma"/>
          <w:b/>
          <w:bCs/>
          <w:color w:val="auto"/>
        </w:rPr>
        <w:t>resulta procedente la reserva del nombre de los elementos operativos de la Dirección</w:t>
      </w:r>
      <w:r w:rsidR="00103013">
        <w:rPr>
          <w:rFonts w:eastAsia="Calibri" w:cs="Tahoma"/>
          <w:b/>
          <w:bCs/>
          <w:color w:val="auto"/>
        </w:rPr>
        <w:t xml:space="preserve"> </w:t>
      </w:r>
      <w:r w:rsidRPr="002C0D93">
        <w:rPr>
          <w:rFonts w:eastAsia="Calibri" w:cs="Tahoma"/>
          <w:b/>
          <w:bCs/>
          <w:color w:val="auto"/>
        </w:rPr>
        <w:t xml:space="preserve">de Seguridad Pública, en términos del artículo 140, fracción IV, de </w:t>
      </w:r>
      <w:r w:rsidRPr="002C0D93">
        <w:rPr>
          <w:rFonts w:eastAsia="Calibri" w:cs="Tahoma"/>
          <w:b/>
          <w:iCs/>
          <w:color w:val="auto"/>
          <w:lang w:val="es-ES" w:eastAsia="es-ES_tradnl"/>
        </w:rPr>
        <w:t>de la Ley de Transparencia y Acceso a la Información Pública del Estado de México y Municipios.</w:t>
      </w:r>
    </w:p>
    <w:p w14:paraId="3A43CD0E" w14:textId="77777777" w:rsidR="002C0D93" w:rsidRPr="002C0D93" w:rsidRDefault="002C0D93" w:rsidP="002C0D93">
      <w:pPr>
        <w:spacing w:after="0" w:line="360" w:lineRule="auto"/>
        <w:rPr>
          <w:rFonts w:eastAsia="Times New Roman" w:cs="Times New Roman"/>
          <w:bCs/>
          <w:iCs/>
          <w:color w:val="auto"/>
          <w:szCs w:val="20"/>
          <w:highlight w:val="green"/>
          <w:lang w:val="es-ES" w:eastAsia="es-ES"/>
        </w:rPr>
      </w:pPr>
    </w:p>
    <w:p w14:paraId="561E590B" w14:textId="77777777" w:rsidR="002C0D93" w:rsidRPr="002C0D93" w:rsidRDefault="002C0D93" w:rsidP="002C0D93">
      <w:pPr>
        <w:autoSpaceDE w:val="0"/>
        <w:autoSpaceDN w:val="0"/>
        <w:spacing w:after="0" w:line="360" w:lineRule="auto"/>
        <w:rPr>
          <w:rFonts w:eastAsia="Times New Roman" w:cs="Tahoma"/>
          <w:color w:val="auto"/>
          <w:lang w:eastAsia="es-ES"/>
        </w:rPr>
      </w:pPr>
      <w:r w:rsidRPr="002C0D93">
        <w:rPr>
          <w:rFonts w:eastAsia="Calibri" w:cs="Tahoma"/>
          <w:iCs/>
          <w:color w:val="auto"/>
          <w:lang w:val="es-ES" w:eastAsia="es-ES_tradnl"/>
        </w:rPr>
        <w:t>Finalmente,</w:t>
      </w:r>
      <w:r w:rsidRPr="002C0D93">
        <w:rPr>
          <w:rFonts w:eastAsia="Calibri" w:cs="Tahoma"/>
          <w:b/>
          <w:iCs/>
          <w:color w:val="auto"/>
          <w:lang w:val="es-ES" w:eastAsia="es-ES_tradnl"/>
        </w:rPr>
        <w:t xml:space="preserve"> </w:t>
      </w:r>
      <w:r w:rsidRPr="002C0D93">
        <w:rPr>
          <w:rFonts w:eastAsia="Calibri" w:cs="Tahoma"/>
          <w:bCs/>
          <w:color w:val="auto"/>
        </w:rPr>
        <w:t xml:space="preserve">respecto al plazo de reserva, el artículo 125 de la Ley de la materia, establece </w:t>
      </w:r>
      <w:r w:rsidRPr="002C0D93">
        <w:rPr>
          <w:rFonts w:eastAsia="Times New Roman" w:cs="Tahoma"/>
          <w:bCs/>
          <w:color w:val="auto"/>
          <w:lang w:eastAsia="es-ES"/>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2C0D93">
        <w:rPr>
          <w:rFonts w:eastAsia="Times New Roman" w:cs="Tahoma"/>
          <w:color w:val="auto"/>
          <w:lang w:eastAsia="es-ES"/>
        </w:rPr>
        <w:t xml:space="preserve">versiones públicas, deberá clasificar el nombre </w:t>
      </w:r>
      <w:r w:rsidRPr="002C0D93">
        <w:rPr>
          <w:rFonts w:eastAsia="Times New Roman" w:cs="Tahoma"/>
          <w:color w:val="auto"/>
          <w:lang w:eastAsia="es-ES"/>
        </w:rPr>
        <w:lastRenderedPageBreak/>
        <w:t>de los elementos operativos en materia de seguridad, y proporcionar, su respectivo acuerdo de Clasificación.</w:t>
      </w:r>
    </w:p>
    <w:p w14:paraId="654AD55C" w14:textId="77777777" w:rsidR="002C0D93" w:rsidRPr="002C0D93" w:rsidRDefault="002C0D93" w:rsidP="002C0D93">
      <w:pPr>
        <w:autoSpaceDE w:val="0"/>
        <w:autoSpaceDN w:val="0"/>
        <w:spacing w:after="0" w:line="360" w:lineRule="auto"/>
        <w:rPr>
          <w:rFonts w:eastAsia="Times New Roman" w:cs="Tahoma"/>
          <w:bCs/>
          <w:color w:val="auto"/>
          <w:lang w:eastAsia="es-ES"/>
        </w:rPr>
      </w:pPr>
    </w:p>
    <w:p w14:paraId="02E80683" w14:textId="4EA41343" w:rsidR="002C0D93" w:rsidRPr="002C0D93" w:rsidRDefault="002C0D93" w:rsidP="002C0D93">
      <w:pPr>
        <w:spacing w:after="0" w:line="360" w:lineRule="auto"/>
        <w:rPr>
          <w:rFonts w:eastAsia="Times New Roman" w:cs="Tahoma"/>
          <w:color w:val="auto"/>
          <w:lang w:eastAsia="es-ES"/>
        </w:rPr>
      </w:pPr>
      <w:r w:rsidRPr="002C0D93">
        <w:rPr>
          <w:rFonts w:eastAsia="Times New Roman" w:cs="Tahoma"/>
          <w:color w:val="auto"/>
          <w:lang w:val="es-ES" w:eastAsia="es-ES"/>
        </w:rPr>
        <w:t xml:space="preserve">Finalmente, es de señalar que la </w:t>
      </w:r>
      <w:r w:rsidRPr="002C0D93">
        <w:rPr>
          <w:rFonts w:eastAsia="Times New Roman" w:cs="Tahoma"/>
          <w:bCs/>
          <w:iCs/>
          <w:color w:val="auto"/>
          <w:lang w:val="es-ES_tradnl" w:eastAsia="es-ES"/>
        </w:rPr>
        <w:t xml:space="preserve">Conciliación de Nómina Mensual del Ayuntamiento de </w:t>
      </w:r>
      <w:r w:rsidR="00103013">
        <w:rPr>
          <w:rFonts w:eastAsia="Times New Roman" w:cs="Tahoma"/>
          <w:bCs/>
          <w:iCs/>
          <w:color w:val="auto"/>
          <w:lang w:val="es-ES_tradnl" w:eastAsia="es-ES"/>
        </w:rPr>
        <w:t>Tezoyuca</w:t>
      </w:r>
      <w:r w:rsidRPr="002C0D93">
        <w:rPr>
          <w:rFonts w:eastAsia="Times New Roman" w:cs="Tahoma"/>
          <w:color w:val="auto"/>
          <w:lang w:eastAsia="es-ES"/>
        </w:rPr>
        <w:t>, contiene diversos datos que pudieran ser considerados confidenciales, en términos del artículo 143, fracción I, de la Ley de Transparencia y Acceso a la Información Pública del Estado de México y Municipios, a saber, los siguientes:</w:t>
      </w:r>
    </w:p>
    <w:p w14:paraId="1A4E8C22" w14:textId="77777777" w:rsidR="002C0D93" w:rsidRPr="002C0D93" w:rsidRDefault="002C0D93" w:rsidP="002C0D93">
      <w:pPr>
        <w:spacing w:after="0" w:line="360" w:lineRule="auto"/>
        <w:rPr>
          <w:rFonts w:eastAsia="Times New Roman" w:cs="Tahoma"/>
          <w:color w:val="auto"/>
          <w:lang w:eastAsia="es-ES"/>
        </w:rPr>
      </w:pPr>
    </w:p>
    <w:p w14:paraId="5262C533" w14:textId="77777777" w:rsidR="002C0D93" w:rsidRDefault="002C0D93" w:rsidP="002C0D93">
      <w:pPr>
        <w:numPr>
          <w:ilvl w:val="0"/>
          <w:numId w:val="10"/>
        </w:numPr>
        <w:spacing w:after="0" w:line="360" w:lineRule="auto"/>
        <w:contextualSpacing/>
        <w:jc w:val="left"/>
        <w:rPr>
          <w:rFonts w:eastAsia="Times New Roman" w:cs="Tahoma"/>
          <w:color w:val="auto"/>
          <w:lang w:val="es-ES" w:eastAsia="es-ES"/>
        </w:rPr>
      </w:pPr>
      <w:r w:rsidRPr="002C0D93">
        <w:rPr>
          <w:rFonts w:eastAsia="Times New Roman" w:cs="Tahoma"/>
          <w:color w:val="auto"/>
          <w:lang w:val="es-ES" w:eastAsia="es-ES"/>
        </w:rPr>
        <w:t>Registro Federal de Contribuyentes;</w:t>
      </w:r>
    </w:p>
    <w:p w14:paraId="59A10F1C" w14:textId="77777777" w:rsidR="009638DE" w:rsidRPr="002C0D93" w:rsidRDefault="009638DE" w:rsidP="009638DE">
      <w:pPr>
        <w:spacing w:after="0" w:line="360" w:lineRule="auto"/>
        <w:ind w:left="720"/>
        <w:contextualSpacing/>
        <w:jc w:val="left"/>
        <w:rPr>
          <w:rFonts w:eastAsia="Times New Roman" w:cs="Tahoma"/>
          <w:color w:val="auto"/>
          <w:lang w:val="es-ES" w:eastAsia="es-ES"/>
        </w:rPr>
      </w:pPr>
    </w:p>
    <w:p w14:paraId="323425FF" w14:textId="77777777" w:rsidR="002C0D93" w:rsidRDefault="002C0D93" w:rsidP="002C0D93">
      <w:pPr>
        <w:numPr>
          <w:ilvl w:val="0"/>
          <w:numId w:val="10"/>
        </w:numPr>
        <w:spacing w:after="0" w:line="360" w:lineRule="auto"/>
        <w:contextualSpacing/>
        <w:jc w:val="left"/>
        <w:rPr>
          <w:rFonts w:eastAsia="Times New Roman" w:cs="Tahoma"/>
          <w:color w:val="auto"/>
          <w:lang w:val="es-ES" w:eastAsia="es-ES"/>
        </w:rPr>
      </w:pPr>
      <w:r w:rsidRPr="002C0D93">
        <w:rPr>
          <w:rFonts w:eastAsia="Times New Roman" w:cs="Tahoma"/>
          <w:color w:val="auto"/>
          <w:lang w:val="es-ES" w:eastAsia="es-ES"/>
        </w:rPr>
        <w:t>Deducciones personales, y</w:t>
      </w:r>
    </w:p>
    <w:p w14:paraId="2F7FB9AE" w14:textId="77777777" w:rsidR="009638DE" w:rsidRDefault="009638DE" w:rsidP="009638DE">
      <w:pPr>
        <w:pStyle w:val="Prrafodelista"/>
        <w:rPr>
          <w:rFonts w:eastAsia="Times New Roman" w:cs="Tahoma"/>
          <w:color w:val="auto"/>
          <w:lang w:val="es-ES" w:eastAsia="es-ES"/>
        </w:rPr>
      </w:pPr>
    </w:p>
    <w:p w14:paraId="15A273C4" w14:textId="77777777" w:rsidR="002C0D93" w:rsidRPr="002C0D93" w:rsidRDefault="002C0D93" w:rsidP="002C0D93">
      <w:pPr>
        <w:numPr>
          <w:ilvl w:val="0"/>
          <w:numId w:val="10"/>
        </w:numPr>
        <w:spacing w:after="0" w:line="360" w:lineRule="auto"/>
        <w:contextualSpacing/>
        <w:jc w:val="left"/>
        <w:rPr>
          <w:rFonts w:eastAsia="Times New Roman" w:cs="Tahoma"/>
          <w:color w:val="auto"/>
          <w:lang w:val="es-ES" w:eastAsia="es-ES"/>
        </w:rPr>
      </w:pPr>
      <w:r w:rsidRPr="002C0D93">
        <w:rPr>
          <w:rFonts w:eastAsia="Times New Roman" w:cs="Tahoma"/>
          <w:color w:val="auto"/>
          <w:lang w:val="es-ES" w:eastAsia="es-ES"/>
        </w:rPr>
        <w:t>Número de cuenta bancaria.</w:t>
      </w:r>
    </w:p>
    <w:p w14:paraId="143FEEA9" w14:textId="77777777" w:rsidR="002C0D93" w:rsidRPr="002C0D93" w:rsidRDefault="002C0D93" w:rsidP="002C0D93">
      <w:pPr>
        <w:spacing w:after="0" w:line="360" w:lineRule="auto"/>
        <w:rPr>
          <w:rFonts w:eastAsia="Times New Roman" w:cs="Tahoma"/>
          <w:color w:val="auto"/>
          <w:lang w:eastAsia="es-ES"/>
        </w:rPr>
      </w:pPr>
    </w:p>
    <w:p w14:paraId="4B81BDE0" w14:textId="2F4EAEA9" w:rsidR="002C0D93" w:rsidRDefault="002C0D93" w:rsidP="002C0D93">
      <w:pPr>
        <w:spacing w:after="0" w:line="360" w:lineRule="auto"/>
        <w:rPr>
          <w:rFonts w:eastAsia="Calibri" w:cs="Tahoma"/>
          <w:bCs/>
          <w:color w:val="auto"/>
        </w:rPr>
      </w:pPr>
      <w:r w:rsidRPr="002C0D93">
        <w:rPr>
          <w:rFonts w:eastAsia="Times New Roman" w:cs="Tahoma"/>
          <w:color w:val="auto"/>
          <w:lang w:eastAsia="es-MX"/>
        </w:rPr>
        <w:t>Con base a lo anterior, resulta necesario verificar, si dichos datos, son datos naturaleza pública o confidencial, con el fin de ordenar la información faltante en versión pública o íntegra; sobre dicha situación</w:t>
      </w:r>
      <w:r w:rsidRPr="002C0D93">
        <w:rPr>
          <w:rFonts w:eastAsia="Calibri" w:cs="Tahoma"/>
          <w:bCs/>
          <w:color w:val="auto"/>
        </w:rPr>
        <w:t>,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88F44F6" w14:textId="77777777" w:rsidR="00225657" w:rsidRPr="002C0D93" w:rsidRDefault="00225657" w:rsidP="002C0D93">
      <w:pPr>
        <w:spacing w:after="0" w:line="360" w:lineRule="auto"/>
        <w:rPr>
          <w:rFonts w:eastAsia="Calibri" w:cs="Tahoma"/>
          <w:bCs/>
          <w:color w:val="auto"/>
        </w:rPr>
      </w:pPr>
    </w:p>
    <w:p w14:paraId="4B5E24D9"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lastRenderedPageBreak/>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75B876F0" w14:textId="77777777" w:rsidR="002C0D93" w:rsidRPr="002C0D93" w:rsidRDefault="002C0D93" w:rsidP="002C0D93">
      <w:pPr>
        <w:spacing w:after="0" w:line="360" w:lineRule="auto"/>
        <w:rPr>
          <w:rFonts w:eastAsia="Calibri" w:cs="Tahoma"/>
          <w:bCs/>
          <w:color w:val="auto"/>
        </w:rPr>
      </w:pPr>
    </w:p>
    <w:p w14:paraId="40B7DAC9"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85125C3" w14:textId="77777777" w:rsidR="002C0D93" w:rsidRPr="002C0D93" w:rsidRDefault="002C0D93" w:rsidP="002C0D93">
      <w:pPr>
        <w:spacing w:after="0" w:line="360" w:lineRule="auto"/>
        <w:rPr>
          <w:rFonts w:eastAsia="Calibri" w:cs="Tahoma"/>
          <w:bCs/>
          <w:color w:val="auto"/>
        </w:rPr>
      </w:pPr>
    </w:p>
    <w:p w14:paraId="0C229464"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5A37F0C" w14:textId="77777777" w:rsidR="002C0D93" w:rsidRPr="002C0D93" w:rsidRDefault="002C0D93" w:rsidP="002C0D93">
      <w:pPr>
        <w:spacing w:after="0" w:line="360" w:lineRule="auto"/>
        <w:rPr>
          <w:rFonts w:eastAsia="Calibri" w:cs="Tahoma"/>
          <w:bCs/>
          <w:color w:val="auto"/>
        </w:rPr>
      </w:pPr>
    </w:p>
    <w:p w14:paraId="0C4DA41D"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99D9B38" w14:textId="77777777" w:rsidR="002C0D93" w:rsidRPr="002C0D93" w:rsidRDefault="002C0D93" w:rsidP="002C0D93">
      <w:pPr>
        <w:spacing w:after="0" w:line="360" w:lineRule="auto"/>
        <w:rPr>
          <w:rFonts w:eastAsia="Calibri" w:cs="Tahoma"/>
          <w:bCs/>
          <w:color w:val="auto"/>
        </w:rPr>
      </w:pPr>
    </w:p>
    <w:p w14:paraId="315BED3A" w14:textId="2B557AB8" w:rsidR="002C0D93" w:rsidRDefault="002C0D93" w:rsidP="002C0D93">
      <w:pPr>
        <w:spacing w:after="0" w:line="360" w:lineRule="auto"/>
        <w:rPr>
          <w:rFonts w:eastAsia="Calibri" w:cs="Tahoma"/>
          <w:bCs/>
          <w:color w:val="auto"/>
        </w:rPr>
      </w:pPr>
      <w:r w:rsidRPr="002C0D93">
        <w:rPr>
          <w:rFonts w:eastAsia="Calibri" w:cs="Tahoma"/>
          <w:bCs/>
          <w:color w:val="auto"/>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16B21A5" w14:textId="77777777" w:rsidR="009638DE" w:rsidRPr="002C0D93" w:rsidRDefault="009638DE" w:rsidP="002C0D93">
      <w:pPr>
        <w:spacing w:after="0" w:line="360" w:lineRule="auto"/>
        <w:rPr>
          <w:rFonts w:eastAsia="Calibri" w:cs="Tahoma"/>
          <w:bCs/>
          <w:color w:val="auto"/>
        </w:rPr>
      </w:pPr>
    </w:p>
    <w:p w14:paraId="2EA8A6AF"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En términos de lo expuesto, la documentación y aquellos datos que se consideren confidenciales, serán una limitante del derecho de acceso a la información, siempre y cuando:</w:t>
      </w:r>
    </w:p>
    <w:p w14:paraId="170F4E89" w14:textId="77777777" w:rsidR="002C0D93" w:rsidRPr="002C0D93" w:rsidRDefault="002C0D93" w:rsidP="002C0D93">
      <w:pPr>
        <w:spacing w:after="0" w:line="360" w:lineRule="auto"/>
        <w:rPr>
          <w:rFonts w:eastAsia="Calibri" w:cs="Tahoma"/>
          <w:bCs/>
          <w:color w:val="auto"/>
        </w:rPr>
      </w:pPr>
    </w:p>
    <w:p w14:paraId="414491C5" w14:textId="77777777" w:rsidR="002C0D93" w:rsidRPr="002C0D93" w:rsidRDefault="002C0D93" w:rsidP="002C0D93">
      <w:pPr>
        <w:numPr>
          <w:ilvl w:val="0"/>
          <w:numId w:val="14"/>
        </w:numPr>
        <w:spacing w:after="0" w:line="360" w:lineRule="auto"/>
        <w:contextualSpacing/>
        <w:jc w:val="left"/>
        <w:rPr>
          <w:rFonts w:eastAsia="Calibri" w:cs="Tahoma"/>
          <w:bCs/>
          <w:color w:val="auto"/>
        </w:rPr>
      </w:pPr>
      <w:r w:rsidRPr="002C0D93">
        <w:rPr>
          <w:rFonts w:eastAsia="Calibri" w:cs="Tahoma"/>
          <w:bCs/>
          <w:color w:val="auto"/>
        </w:rPr>
        <w:t xml:space="preserve">Se trate de datos personales o información privada; esto es, información concerniente a una persona física o jurídico colectiva y que esta sea identificada o identificable. </w:t>
      </w:r>
    </w:p>
    <w:p w14:paraId="7E990EA6" w14:textId="77777777" w:rsidR="002C0D93" w:rsidRPr="002C0D93" w:rsidRDefault="002C0D93" w:rsidP="002C0D93">
      <w:pPr>
        <w:spacing w:after="0" w:line="360" w:lineRule="auto"/>
        <w:ind w:left="720"/>
        <w:contextualSpacing/>
        <w:rPr>
          <w:rFonts w:eastAsia="Calibri" w:cs="Tahoma"/>
          <w:bCs/>
          <w:color w:val="auto"/>
        </w:rPr>
      </w:pPr>
    </w:p>
    <w:p w14:paraId="50D3FF93" w14:textId="77777777" w:rsidR="002C0D93" w:rsidRPr="002C0D93" w:rsidRDefault="002C0D93" w:rsidP="002C0D93">
      <w:pPr>
        <w:numPr>
          <w:ilvl w:val="0"/>
          <w:numId w:val="14"/>
        </w:numPr>
        <w:spacing w:after="0" w:line="360" w:lineRule="auto"/>
        <w:contextualSpacing/>
        <w:jc w:val="left"/>
        <w:rPr>
          <w:rFonts w:eastAsia="Calibri" w:cs="Tahoma"/>
          <w:bCs/>
          <w:color w:val="auto"/>
        </w:rPr>
      </w:pPr>
      <w:r w:rsidRPr="002C0D93">
        <w:rPr>
          <w:rFonts w:eastAsia="Calibri" w:cs="Tahoma"/>
          <w:bCs/>
          <w:color w:val="auto"/>
        </w:rPr>
        <w:t xml:space="preserve">Para la difusión de los datos, se requiera el consentimiento del titular. </w:t>
      </w:r>
    </w:p>
    <w:p w14:paraId="70007B3F" w14:textId="77777777" w:rsidR="002C0D93" w:rsidRPr="002C0D93" w:rsidRDefault="002C0D93" w:rsidP="002C0D93">
      <w:pPr>
        <w:spacing w:after="0" w:line="360" w:lineRule="auto"/>
        <w:rPr>
          <w:rFonts w:eastAsia="Calibri" w:cs="Tahoma"/>
          <w:bCs/>
          <w:color w:val="auto"/>
        </w:rPr>
      </w:pPr>
    </w:p>
    <w:p w14:paraId="5D851FB7"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571E84D3" w14:textId="77777777" w:rsidR="002C0D93" w:rsidRPr="002C0D93" w:rsidRDefault="002C0D93" w:rsidP="002C0D93">
      <w:pPr>
        <w:spacing w:after="0" w:line="360" w:lineRule="auto"/>
        <w:rPr>
          <w:rFonts w:eastAsia="Calibri" w:cs="Tahoma"/>
          <w:bCs/>
          <w:color w:val="auto"/>
        </w:rPr>
      </w:pPr>
    </w:p>
    <w:p w14:paraId="48DA6838"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Además, en el artículo 5° de dicho ordenamiento jurídico, establece que es la Ley aplicable para todo tratamiento de datos personales.</w:t>
      </w:r>
    </w:p>
    <w:p w14:paraId="7DDD16D0" w14:textId="77777777" w:rsidR="002C0D93" w:rsidRPr="002C0D93" w:rsidRDefault="002C0D93" w:rsidP="002C0D93">
      <w:pPr>
        <w:spacing w:after="0" w:line="360" w:lineRule="auto"/>
        <w:rPr>
          <w:rFonts w:eastAsia="Calibri" w:cs="Tahoma"/>
          <w:bCs/>
          <w:color w:val="auto"/>
        </w:rPr>
      </w:pPr>
    </w:p>
    <w:p w14:paraId="25C12E0A"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w:t>
      </w:r>
      <w:r w:rsidRPr="002C0D93">
        <w:rPr>
          <w:rFonts w:eastAsia="Calibri" w:cs="Tahoma"/>
          <w:bCs/>
          <w:color w:val="auto"/>
        </w:rPr>
        <w:lastRenderedPageBreak/>
        <w:t>atribuciones legales y con el consentimiento de su titular, además de que debe estar justificado en ley (principio de finalidad).</w:t>
      </w:r>
    </w:p>
    <w:p w14:paraId="7F0FEE80" w14:textId="77777777" w:rsidR="002C0D93" w:rsidRPr="002C0D93" w:rsidRDefault="002C0D93" w:rsidP="002C0D93">
      <w:pPr>
        <w:spacing w:after="0" w:line="360" w:lineRule="auto"/>
        <w:rPr>
          <w:rFonts w:eastAsia="Calibri" w:cs="Tahoma"/>
          <w:bCs/>
          <w:color w:val="auto"/>
        </w:rPr>
      </w:pPr>
    </w:p>
    <w:p w14:paraId="213D9F89"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41E0823" w14:textId="77777777" w:rsidR="002C0D93" w:rsidRPr="002C0D93" w:rsidRDefault="002C0D93" w:rsidP="002C0D93">
      <w:pPr>
        <w:spacing w:after="0" w:line="360" w:lineRule="auto"/>
        <w:rPr>
          <w:rFonts w:eastAsia="Calibri" w:cs="Tahoma"/>
          <w:bCs/>
          <w:color w:val="auto"/>
        </w:rPr>
      </w:pPr>
    </w:p>
    <w:p w14:paraId="1F2AF77D" w14:textId="77777777" w:rsidR="002C0D93" w:rsidRPr="002C0D93" w:rsidRDefault="002C0D93" w:rsidP="000E2D3C">
      <w:pPr>
        <w:spacing w:after="0" w:line="360" w:lineRule="auto"/>
        <w:rPr>
          <w:rFonts w:eastAsia="Calibri" w:cs="Tahoma"/>
          <w:bCs/>
          <w:color w:val="auto"/>
        </w:rPr>
      </w:pPr>
      <w:r w:rsidRPr="002C0D93">
        <w:rPr>
          <w:rFonts w:eastAsia="Calibri" w:cs="Tahoma"/>
          <w:bCs/>
          <w:color w:val="auto"/>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E6548E8" w14:textId="77777777" w:rsidR="002C0D93" w:rsidRPr="002C0D93" w:rsidRDefault="002C0D93" w:rsidP="002C0D93">
      <w:pPr>
        <w:spacing w:after="0" w:line="360" w:lineRule="auto"/>
        <w:rPr>
          <w:rFonts w:eastAsia="Calibri" w:cs="Tahoma"/>
          <w:bCs/>
          <w:color w:val="auto"/>
        </w:rPr>
      </w:pPr>
    </w:p>
    <w:p w14:paraId="1EAAC599"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De tal suerte, las instituciones públicas tienen la doble responsabilidad, por un lado, de proteger los datos personales y por otro, darles publicidad cuando la relevancia de esos datos sea de interés público.</w:t>
      </w:r>
    </w:p>
    <w:p w14:paraId="186B45D7" w14:textId="77777777" w:rsidR="002C0D93" w:rsidRPr="002C0D93" w:rsidRDefault="002C0D93" w:rsidP="002C0D93">
      <w:pPr>
        <w:spacing w:after="0" w:line="360" w:lineRule="auto"/>
        <w:rPr>
          <w:rFonts w:eastAsia="Calibri" w:cs="Tahoma"/>
          <w:bCs/>
          <w:color w:val="auto"/>
        </w:rPr>
      </w:pPr>
    </w:p>
    <w:p w14:paraId="666318FA"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w:t>
      </w:r>
      <w:r w:rsidRPr="002C0D93">
        <w:rPr>
          <w:rFonts w:eastAsia="Calibri" w:cs="Tahoma"/>
          <w:bCs/>
          <w:color w:val="auto"/>
        </w:rPr>
        <w:lastRenderedPageBreak/>
        <w:t>vinculada con datos personales, que pierden la protección en beneficio del interés público (no por eso dejan de ser datos personales, sólo que no están protegidos en la confidencialidad).</w:t>
      </w:r>
    </w:p>
    <w:p w14:paraId="02C220CA" w14:textId="77777777" w:rsidR="002C0D93" w:rsidRPr="002C0D93" w:rsidRDefault="002C0D93" w:rsidP="002C0D93">
      <w:pPr>
        <w:spacing w:after="0" w:line="360" w:lineRule="auto"/>
        <w:rPr>
          <w:rFonts w:eastAsia="Calibri" w:cs="Tahoma"/>
          <w:bCs/>
          <w:color w:val="auto"/>
        </w:rPr>
      </w:pPr>
    </w:p>
    <w:p w14:paraId="6C70A36C"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83A4F5D" w14:textId="77777777" w:rsidR="002C0D93" w:rsidRPr="002C0D93" w:rsidRDefault="002C0D93" w:rsidP="002C0D93">
      <w:pPr>
        <w:spacing w:after="0" w:line="360" w:lineRule="auto"/>
        <w:rPr>
          <w:rFonts w:eastAsia="Calibri" w:cs="Tahoma"/>
          <w:bCs/>
          <w:color w:val="auto"/>
        </w:rPr>
      </w:pPr>
    </w:p>
    <w:p w14:paraId="30036732"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procede analizar si los datos señalados previamente son confidenciales o públicos.</w:t>
      </w:r>
    </w:p>
    <w:p w14:paraId="0D9ABCCA" w14:textId="77777777" w:rsidR="002C0D93" w:rsidRPr="002C0D93" w:rsidRDefault="002C0D93" w:rsidP="002C0D93">
      <w:pPr>
        <w:spacing w:after="0" w:line="360" w:lineRule="auto"/>
        <w:rPr>
          <w:rFonts w:eastAsia="Calibri" w:cs="Tahoma"/>
          <w:bCs/>
          <w:color w:val="auto"/>
        </w:rPr>
      </w:pPr>
    </w:p>
    <w:p w14:paraId="044939C6" w14:textId="77777777" w:rsidR="002C0D93" w:rsidRPr="002C0D93" w:rsidRDefault="002C0D93" w:rsidP="002C0D93">
      <w:pPr>
        <w:numPr>
          <w:ilvl w:val="0"/>
          <w:numId w:val="13"/>
        </w:numPr>
        <w:spacing w:after="0" w:line="360" w:lineRule="auto"/>
        <w:contextualSpacing/>
        <w:jc w:val="left"/>
        <w:rPr>
          <w:rFonts w:eastAsia="Times New Roman" w:cs="Tahoma"/>
          <w:b/>
          <w:color w:val="auto"/>
          <w:lang w:eastAsia="es-ES"/>
        </w:rPr>
      </w:pPr>
      <w:r w:rsidRPr="002C0D93">
        <w:rPr>
          <w:rFonts w:eastAsia="Times New Roman" w:cs="Tahoma"/>
          <w:b/>
          <w:color w:val="auto"/>
          <w:lang w:eastAsia="es-ES"/>
        </w:rPr>
        <w:t>Registro Federal de Contribuyentes (RFC)</w:t>
      </w:r>
    </w:p>
    <w:p w14:paraId="083A10BD" w14:textId="77777777" w:rsidR="002C0D93" w:rsidRDefault="002C0D93" w:rsidP="002C0D93">
      <w:pPr>
        <w:spacing w:after="0" w:line="360" w:lineRule="auto"/>
        <w:rPr>
          <w:rFonts w:eastAsia="Times New Roman" w:cs="Tahoma"/>
          <w:color w:val="auto"/>
          <w:sz w:val="20"/>
          <w:lang w:eastAsia="es-ES"/>
        </w:rPr>
      </w:pPr>
    </w:p>
    <w:p w14:paraId="45F67EA6" w14:textId="77777777" w:rsidR="009638DE" w:rsidRDefault="009638DE" w:rsidP="002C0D93">
      <w:pPr>
        <w:spacing w:after="0" w:line="360" w:lineRule="auto"/>
        <w:rPr>
          <w:rFonts w:eastAsia="Times New Roman" w:cs="Tahoma"/>
          <w:color w:val="auto"/>
          <w:sz w:val="20"/>
          <w:lang w:eastAsia="es-ES"/>
        </w:rPr>
      </w:pPr>
    </w:p>
    <w:p w14:paraId="1C6579A1" w14:textId="77777777" w:rsidR="009638DE" w:rsidRPr="002C0D93" w:rsidRDefault="009638DE" w:rsidP="002C0D93">
      <w:pPr>
        <w:spacing w:after="0" w:line="360" w:lineRule="auto"/>
        <w:rPr>
          <w:rFonts w:eastAsia="Times New Roman" w:cs="Tahoma"/>
          <w:color w:val="auto"/>
          <w:sz w:val="20"/>
          <w:lang w:eastAsia="es-ES"/>
        </w:rPr>
      </w:pPr>
    </w:p>
    <w:p w14:paraId="36A0D1CA" w14:textId="77777777" w:rsidR="002C0D93" w:rsidRPr="002C0D93" w:rsidRDefault="002C0D93" w:rsidP="002C0D93">
      <w:pPr>
        <w:spacing w:after="0" w:line="360" w:lineRule="auto"/>
        <w:rPr>
          <w:rFonts w:eastAsia="Times New Roman" w:cs="Tahoma"/>
          <w:bCs/>
          <w:iCs/>
          <w:color w:val="auto"/>
          <w:lang w:eastAsia="es-MX"/>
        </w:rPr>
      </w:pPr>
      <w:r w:rsidRPr="002C0D93">
        <w:rPr>
          <w:rFonts w:eastAsia="Times New Roman" w:cs="Tahoma"/>
          <w:bCs/>
          <w:iCs/>
          <w:color w:val="auto"/>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29D15E3" w14:textId="77777777" w:rsidR="002C0D93" w:rsidRPr="002C0D93" w:rsidRDefault="002C0D93" w:rsidP="002C0D93">
      <w:pPr>
        <w:spacing w:after="0" w:line="360" w:lineRule="auto"/>
        <w:rPr>
          <w:rFonts w:eastAsia="Times New Roman" w:cs="Tahoma"/>
          <w:bCs/>
          <w:iCs/>
          <w:color w:val="auto"/>
          <w:lang w:eastAsia="es-MX"/>
        </w:rPr>
      </w:pPr>
    </w:p>
    <w:p w14:paraId="6F5D87B1" w14:textId="77777777" w:rsidR="002C0D93" w:rsidRPr="002C0D93" w:rsidRDefault="002C0D93" w:rsidP="002C0D93">
      <w:pPr>
        <w:spacing w:after="0" w:line="360" w:lineRule="auto"/>
        <w:rPr>
          <w:rFonts w:eastAsia="Times New Roman" w:cs="Tahoma"/>
          <w:bCs/>
          <w:iCs/>
          <w:color w:val="auto"/>
          <w:lang w:eastAsia="es-MX"/>
        </w:rPr>
      </w:pPr>
      <w:r w:rsidRPr="002C0D93">
        <w:rPr>
          <w:rFonts w:eastAsia="Times New Roman" w:cs="Tahoma"/>
          <w:bCs/>
          <w:iCs/>
          <w:color w:val="auto"/>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3F0E284D" w14:textId="77777777" w:rsidR="009638DE" w:rsidRPr="002C0D93" w:rsidRDefault="009638DE" w:rsidP="002C0D93">
      <w:pPr>
        <w:spacing w:after="0" w:line="360" w:lineRule="auto"/>
        <w:rPr>
          <w:rFonts w:eastAsia="Times New Roman" w:cs="Tahoma"/>
          <w:bCs/>
          <w:iCs/>
          <w:color w:val="auto"/>
          <w:lang w:eastAsia="es-MX"/>
        </w:rPr>
      </w:pPr>
    </w:p>
    <w:p w14:paraId="0D3A6B06" w14:textId="77777777" w:rsidR="002C0D93" w:rsidRPr="002C0D93" w:rsidRDefault="002C0D93" w:rsidP="002C0D93">
      <w:pPr>
        <w:spacing w:after="0" w:line="360" w:lineRule="auto"/>
        <w:rPr>
          <w:rFonts w:eastAsia="Times New Roman" w:cs="Tahoma"/>
          <w:bCs/>
          <w:iCs/>
          <w:color w:val="auto"/>
          <w:lang w:eastAsia="es-MX"/>
        </w:rPr>
      </w:pPr>
      <w:r w:rsidRPr="002C0D93">
        <w:rPr>
          <w:rFonts w:eastAsia="Times New Roman" w:cs="Tahoma"/>
          <w:bCs/>
          <w:iCs/>
          <w:color w:val="auto"/>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5287EA7" w14:textId="77777777" w:rsidR="002C0D93" w:rsidRPr="002C0D93" w:rsidRDefault="002C0D93" w:rsidP="002C0D93">
      <w:pPr>
        <w:spacing w:after="0" w:line="360" w:lineRule="auto"/>
        <w:rPr>
          <w:rFonts w:eastAsia="Times New Roman" w:cs="Tahoma"/>
          <w:bCs/>
          <w:iCs/>
          <w:color w:val="auto"/>
          <w:lang w:eastAsia="es-MX"/>
        </w:rPr>
      </w:pPr>
    </w:p>
    <w:p w14:paraId="4D8F8C5B" w14:textId="77777777" w:rsidR="002C0D93" w:rsidRPr="002C0D93" w:rsidRDefault="002C0D93" w:rsidP="002C0D93">
      <w:pPr>
        <w:spacing w:after="0" w:line="360" w:lineRule="auto"/>
        <w:rPr>
          <w:rFonts w:eastAsia="Times New Roman" w:cs="Tahoma"/>
          <w:bCs/>
          <w:iCs/>
          <w:color w:val="auto"/>
          <w:lang w:eastAsia="es-MX"/>
        </w:rPr>
      </w:pPr>
      <w:r w:rsidRPr="002C0D93">
        <w:rPr>
          <w:rFonts w:eastAsia="Times New Roman" w:cs="Tahoma"/>
          <w:bCs/>
          <w:iCs/>
          <w:color w:val="auto"/>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17086809" w14:textId="77777777" w:rsidR="002C0D93" w:rsidRDefault="002C0D93" w:rsidP="002C0D93">
      <w:pPr>
        <w:spacing w:after="0" w:line="360" w:lineRule="auto"/>
        <w:rPr>
          <w:rFonts w:eastAsia="Times New Roman" w:cs="Tahoma"/>
          <w:bCs/>
          <w:iCs/>
          <w:color w:val="auto"/>
          <w:lang w:eastAsia="es-MX"/>
        </w:rPr>
      </w:pPr>
    </w:p>
    <w:p w14:paraId="7BF7C85C" w14:textId="77777777" w:rsidR="009638DE" w:rsidRDefault="009638DE" w:rsidP="002C0D93">
      <w:pPr>
        <w:spacing w:after="0" w:line="360" w:lineRule="auto"/>
        <w:rPr>
          <w:rFonts w:eastAsia="Times New Roman" w:cs="Tahoma"/>
          <w:bCs/>
          <w:iCs/>
          <w:color w:val="auto"/>
          <w:lang w:eastAsia="es-MX"/>
        </w:rPr>
      </w:pPr>
    </w:p>
    <w:p w14:paraId="6BCE7E6F" w14:textId="77777777" w:rsidR="009638DE" w:rsidRPr="002C0D93" w:rsidRDefault="009638DE" w:rsidP="002C0D93">
      <w:pPr>
        <w:spacing w:after="0" w:line="360" w:lineRule="auto"/>
        <w:rPr>
          <w:rFonts w:eastAsia="Times New Roman" w:cs="Tahoma"/>
          <w:bCs/>
          <w:iCs/>
          <w:color w:val="auto"/>
          <w:lang w:eastAsia="es-MX"/>
        </w:rPr>
      </w:pPr>
    </w:p>
    <w:p w14:paraId="388BE71A" w14:textId="77777777" w:rsidR="002C0D93" w:rsidRPr="002C0D93" w:rsidRDefault="002C0D93" w:rsidP="002C0D93">
      <w:pPr>
        <w:spacing w:after="0" w:line="360" w:lineRule="auto"/>
        <w:rPr>
          <w:rFonts w:eastAsia="Times New Roman" w:cs="Tahoma"/>
          <w:bCs/>
          <w:iCs/>
          <w:color w:val="auto"/>
          <w:lang w:eastAsia="es-MX"/>
        </w:rPr>
      </w:pPr>
      <w:r w:rsidRPr="002C0D93">
        <w:rPr>
          <w:rFonts w:eastAsia="Times New Roman" w:cs="Tahoma"/>
          <w:bCs/>
          <w:iCs/>
          <w:color w:val="auto"/>
          <w:lang w:eastAsia="es-MX"/>
        </w:rPr>
        <w:t>Lo anterior, resulta congruente con el Criterio 19/17 emitido por el Instituto Nacional de Transparencia, Acceso a la Información y Protección de Datos Personales, en el cual se señala lo siguiente:</w:t>
      </w:r>
    </w:p>
    <w:p w14:paraId="6A2DB55F" w14:textId="77777777" w:rsidR="002C0D93" w:rsidRPr="002C0D93" w:rsidRDefault="002C0D93" w:rsidP="002C0D93">
      <w:pPr>
        <w:spacing w:after="0" w:line="360" w:lineRule="auto"/>
        <w:rPr>
          <w:rFonts w:eastAsia="Times New Roman" w:cs="Tahoma"/>
          <w:bCs/>
          <w:iCs/>
          <w:color w:val="auto"/>
          <w:lang w:eastAsia="es-MX"/>
        </w:rPr>
      </w:pPr>
    </w:p>
    <w:p w14:paraId="7693F10C" w14:textId="77777777" w:rsidR="002C0D93" w:rsidRPr="002C0D93" w:rsidRDefault="002C0D93" w:rsidP="002C0D93">
      <w:pPr>
        <w:spacing w:after="0" w:line="360" w:lineRule="auto"/>
        <w:ind w:left="567" w:right="567"/>
        <w:rPr>
          <w:rFonts w:eastAsia="Times New Roman" w:cs="Tahoma"/>
          <w:bCs/>
          <w:i/>
          <w:iCs/>
          <w:color w:val="auto"/>
          <w:sz w:val="20"/>
          <w:szCs w:val="20"/>
          <w:lang w:eastAsia="es-MX"/>
        </w:rPr>
      </w:pPr>
      <w:r w:rsidRPr="002C0D93">
        <w:rPr>
          <w:rFonts w:eastAsia="Times New Roman" w:cs="Tahoma"/>
          <w:b/>
          <w:bCs/>
          <w:i/>
          <w:iCs/>
          <w:color w:val="auto"/>
          <w:sz w:val="20"/>
          <w:szCs w:val="20"/>
          <w:lang w:eastAsia="es-MX"/>
        </w:rPr>
        <w:t>“Registro Federal de Contribuyentes (RFC) de personas físicas.</w:t>
      </w:r>
      <w:r w:rsidRPr="002C0D93">
        <w:rPr>
          <w:rFonts w:eastAsia="Times New Roman" w:cs="Tahoma"/>
          <w:bCs/>
          <w:i/>
          <w:iCs/>
          <w:color w:val="auto"/>
          <w:sz w:val="20"/>
          <w:szCs w:val="20"/>
          <w:lang w:eastAsia="es-MX"/>
        </w:rPr>
        <w:t xml:space="preserve"> El RFC es una clave de carácter fiscal, única e irrepetible, que permite identificar al titular, su edad y fecha de nacimiento, por lo que es un dato personal de carácter confidencial.”</w:t>
      </w:r>
    </w:p>
    <w:p w14:paraId="24935D03" w14:textId="77777777" w:rsidR="002C0D93" w:rsidRPr="002C0D93" w:rsidRDefault="002C0D93" w:rsidP="002C0D93">
      <w:pPr>
        <w:spacing w:after="0" w:line="360" w:lineRule="auto"/>
        <w:rPr>
          <w:rFonts w:eastAsia="Times New Roman" w:cs="Tahoma"/>
          <w:bCs/>
          <w:iCs/>
          <w:color w:val="auto"/>
          <w:lang w:eastAsia="es-MX"/>
        </w:rPr>
      </w:pPr>
    </w:p>
    <w:p w14:paraId="4463F51C" w14:textId="77777777" w:rsidR="002C0D93" w:rsidRDefault="002C0D93" w:rsidP="002C0D93">
      <w:pPr>
        <w:spacing w:after="0" w:line="360" w:lineRule="auto"/>
        <w:rPr>
          <w:rFonts w:eastAsia="Times New Roman" w:cs="Tahoma"/>
          <w:bCs/>
          <w:iCs/>
          <w:color w:val="auto"/>
          <w:lang w:eastAsia="es-MX"/>
        </w:rPr>
      </w:pPr>
      <w:r w:rsidRPr="002C0D93">
        <w:rPr>
          <w:rFonts w:eastAsia="Times New Roman" w:cs="Tahoma"/>
          <w:bCs/>
          <w:iCs/>
          <w:color w:val="auto"/>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49BF15C7" w14:textId="77777777" w:rsidR="002C0D93" w:rsidRPr="002C0D93" w:rsidRDefault="002C0D93" w:rsidP="002C0D93">
      <w:pPr>
        <w:spacing w:after="0" w:line="360" w:lineRule="auto"/>
        <w:rPr>
          <w:rFonts w:eastAsia="Times New Roman" w:cs="Tahoma"/>
          <w:bCs/>
          <w:iCs/>
          <w:color w:val="auto"/>
          <w:lang w:eastAsia="es-MX"/>
        </w:rPr>
      </w:pPr>
    </w:p>
    <w:p w14:paraId="42B34EA1" w14:textId="77777777" w:rsidR="002C0D93" w:rsidRPr="002C0D93" w:rsidRDefault="002C0D93" w:rsidP="002C0D93">
      <w:pPr>
        <w:numPr>
          <w:ilvl w:val="0"/>
          <w:numId w:val="13"/>
        </w:numPr>
        <w:spacing w:after="0" w:line="360" w:lineRule="auto"/>
        <w:contextualSpacing/>
        <w:jc w:val="left"/>
        <w:rPr>
          <w:rFonts w:eastAsia="Times New Roman" w:cs="Tahoma"/>
          <w:b/>
          <w:bCs/>
          <w:iCs/>
          <w:color w:val="auto"/>
          <w:lang w:eastAsia="es-MX"/>
        </w:rPr>
      </w:pPr>
      <w:r w:rsidRPr="002C0D93">
        <w:rPr>
          <w:rFonts w:eastAsia="Times New Roman" w:cs="Tahoma"/>
          <w:b/>
          <w:bCs/>
          <w:iCs/>
          <w:color w:val="auto"/>
          <w:lang w:eastAsia="es-MX"/>
        </w:rPr>
        <w:t>Deducciones personales</w:t>
      </w:r>
    </w:p>
    <w:p w14:paraId="73DC606F" w14:textId="77777777" w:rsidR="002C0D93" w:rsidRPr="002C0D93" w:rsidRDefault="002C0D93" w:rsidP="002C0D93">
      <w:pPr>
        <w:spacing w:after="0" w:line="360" w:lineRule="auto"/>
        <w:rPr>
          <w:rFonts w:eastAsia="Times New Roman" w:cs="Tahoma"/>
          <w:color w:val="auto"/>
          <w:sz w:val="20"/>
          <w:lang w:eastAsia="es-ES"/>
        </w:rPr>
      </w:pPr>
    </w:p>
    <w:p w14:paraId="686C7C61"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 xml:space="preserve">Es necesario precisar que existen deducciones que se generan con motivo de una decisión libre, voluntaria incluso por vía jurisdiccional a los servidores públicos, como son: créditos personales, cuotas sindicales y fondo de resistencia del Sindicato Único de Trabajadores de los Poderes, Municipios e Institución Descentralizadas del Estado de México, seguro de vida, accidentes y enfermedades. </w:t>
      </w:r>
    </w:p>
    <w:p w14:paraId="24EC9165" w14:textId="77777777" w:rsidR="002C0D93" w:rsidRPr="002C0D93" w:rsidRDefault="002C0D93" w:rsidP="002C0D93">
      <w:pPr>
        <w:spacing w:after="0" w:line="360" w:lineRule="auto"/>
        <w:rPr>
          <w:rFonts w:eastAsia="Calibri" w:cs="Tahoma"/>
          <w:bCs/>
          <w:color w:val="auto"/>
        </w:rPr>
      </w:pPr>
    </w:p>
    <w:p w14:paraId="2292A8B5"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 xml:space="preserve">Asimismo, hay otras que se generan con motivo de una sentencia judicial, como es la pensión alimenticia que periódicamente se retira de la cuenta de un empleado, a efecto de que sea entregado a un tercero. </w:t>
      </w:r>
    </w:p>
    <w:p w14:paraId="6F5EF980" w14:textId="77777777" w:rsidR="002C0D93" w:rsidRPr="002C0D93" w:rsidRDefault="002C0D93" w:rsidP="002C0D93">
      <w:pPr>
        <w:spacing w:after="0" w:line="360" w:lineRule="auto"/>
        <w:rPr>
          <w:rFonts w:eastAsia="Calibri" w:cs="Tahoma"/>
          <w:bCs/>
          <w:color w:val="auto"/>
        </w:rPr>
      </w:pPr>
    </w:p>
    <w:p w14:paraId="299683DC"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lastRenderedPageBreak/>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0E4D592E" w14:textId="77777777" w:rsidR="002C0D93" w:rsidRPr="002C0D93" w:rsidRDefault="002C0D93" w:rsidP="002C0D93">
      <w:pPr>
        <w:spacing w:after="0" w:line="360" w:lineRule="auto"/>
        <w:rPr>
          <w:rFonts w:eastAsia="Calibri" w:cs="Tahoma"/>
          <w:bCs/>
          <w:color w:val="auto"/>
        </w:rPr>
      </w:pPr>
    </w:p>
    <w:p w14:paraId="4862ED69"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163ABBB9" w14:textId="77777777" w:rsidR="002C0D93" w:rsidRDefault="002C0D93" w:rsidP="002C0D93">
      <w:pPr>
        <w:spacing w:after="0" w:line="360" w:lineRule="auto"/>
        <w:rPr>
          <w:rFonts w:eastAsia="Times New Roman" w:cs="Tahoma"/>
          <w:color w:val="auto"/>
          <w:lang w:eastAsia="es-MX"/>
        </w:rPr>
      </w:pPr>
    </w:p>
    <w:p w14:paraId="6640753B" w14:textId="77777777" w:rsidR="002C0D93" w:rsidRPr="002C0D93" w:rsidRDefault="002C0D93" w:rsidP="002C0D93">
      <w:pPr>
        <w:numPr>
          <w:ilvl w:val="0"/>
          <w:numId w:val="13"/>
        </w:numPr>
        <w:spacing w:after="0" w:line="360" w:lineRule="auto"/>
        <w:contextualSpacing/>
        <w:jc w:val="left"/>
        <w:rPr>
          <w:rFonts w:eastAsia="Times New Roman" w:cs="Tahoma"/>
          <w:b/>
          <w:color w:val="auto"/>
          <w:lang w:eastAsia="es-MX"/>
        </w:rPr>
      </w:pPr>
      <w:r w:rsidRPr="002C0D93">
        <w:rPr>
          <w:rFonts w:eastAsia="Times New Roman" w:cs="Tahoma"/>
          <w:b/>
          <w:color w:val="auto"/>
          <w:lang w:eastAsia="es-MX"/>
        </w:rPr>
        <w:t>Cuenta bancaria de servidores públicos</w:t>
      </w:r>
    </w:p>
    <w:p w14:paraId="51DE4E25" w14:textId="77777777" w:rsidR="002C0D93" w:rsidRPr="002C0D93" w:rsidRDefault="002C0D93" w:rsidP="002C0D93">
      <w:pPr>
        <w:spacing w:after="0" w:line="360" w:lineRule="auto"/>
        <w:rPr>
          <w:rFonts w:eastAsia="Times New Roman" w:cs="Tahoma"/>
          <w:color w:val="auto"/>
          <w:lang w:eastAsia="es-ES"/>
        </w:rPr>
      </w:pPr>
    </w:p>
    <w:p w14:paraId="5868C8FE"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46F39329"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 </w:t>
      </w:r>
    </w:p>
    <w:p w14:paraId="09617266"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A mayor abundamiento, resulta necesario traer a colación el Criterio 10/17 emitido por el Instituto Nacional de Transparencia, Acceso a la Información y Protección de Datos Personales, mismo que establece lo siguiente:</w:t>
      </w:r>
    </w:p>
    <w:p w14:paraId="7A6E791C" w14:textId="77777777" w:rsidR="002C0D93" w:rsidRDefault="002C0D93" w:rsidP="002C0D93">
      <w:pPr>
        <w:spacing w:after="0" w:line="360" w:lineRule="auto"/>
        <w:rPr>
          <w:rFonts w:eastAsia="Calibri" w:cs="Tahoma"/>
          <w:bCs/>
          <w:color w:val="auto"/>
        </w:rPr>
      </w:pPr>
      <w:r w:rsidRPr="002C0D93">
        <w:rPr>
          <w:rFonts w:eastAsia="Calibri" w:cs="Tahoma"/>
          <w:bCs/>
          <w:color w:val="auto"/>
        </w:rPr>
        <w:t> </w:t>
      </w:r>
    </w:p>
    <w:p w14:paraId="6BD562D4" w14:textId="77777777" w:rsidR="009638DE" w:rsidRPr="002C0D93" w:rsidRDefault="009638DE" w:rsidP="002C0D93">
      <w:pPr>
        <w:spacing w:after="0" w:line="360" w:lineRule="auto"/>
        <w:rPr>
          <w:rFonts w:eastAsia="Calibri" w:cs="Tahoma"/>
          <w:bCs/>
          <w:color w:val="auto"/>
        </w:rPr>
      </w:pPr>
    </w:p>
    <w:p w14:paraId="7B292101" w14:textId="77777777" w:rsidR="002C0D93" w:rsidRPr="002C0D93" w:rsidRDefault="002C0D93" w:rsidP="002C0D93">
      <w:pPr>
        <w:spacing w:after="0" w:line="360" w:lineRule="auto"/>
        <w:ind w:left="567" w:right="567"/>
        <w:rPr>
          <w:rFonts w:eastAsia="Calibri" w:cs="Tahoma"/>
          <w:bCs/>
          <w:i/>
          <w:color w:val="auto"/>
          <w:sz w:val="20"/>
          <w:szCs w:val="20"/>
        </w:rPr>
      </w:pPr>
      <w:r w:rsidRPr="002C0D93">
        <w:rPr>
          <w:rFonts w:eastAsia="Calibri" w:cs="Tahoma"/>
          <w:bCs/>
          <w:i/>
          <w:color w:val="auto"/>
          <w:sz w:val="20"/>
          <w:szCs w:val="20"/>
        </w:rPr>
        <w:t>“</w:t>
      </w:r>
      <w:r w:rsidRPr="002C0D93">
        <w:rPr>
          <w:rFonts w:eastAsia="Calibri" w:cs="Tahoma"/>
          <w:b/>
          <w:bCs/>
          <w:i/>
          <w:color w:val="auto"/>
          <w:sz w:val="20"/>
          <w:szCs w:val="20"/>
        </w:rPr>
        <w:t>Cuentas bancarias y/o CLABE interbancaria de personas físicas y morales privadas.</w:t>
      </w:r>
      <w:r w:rsidRPr="002C0D93">
        <w:rPr>
          <w:rFonts w:eastAsia="Calibri" w:cs="Tahoma"/>
          <w:bCs/>
          <w:i/>
          <w:color w:val="auto"/>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3E40AB0"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 </w:t>
      </w:r>
    </w:p>
    <w:p w14:paraId="0E7AEE5D" w14:textId="77777777" w:rsidR="002C0D93" w:rsidRPr="002C0D93" w:rsidRDefault="002C0D93" w:rsidP="002C0D93">
      <w:pPr>
        <w:spacing w:after="0" w:line="360" w:lineRule="auto"/>
        <w:rPr>
          <w:rFonts w:eastAsia="Calibri" w:cs="Tahoma"/>
          <w:bCs/>
          <w:color w:val="auto"/>
        </w:rPr>
      </w:pPr>
      <w:r w:rsidRPr="002C0D93">
        <w:rPr>
          <w:rFonts w:eastAsia="Calibri" w:cs="Tahoma"/>
          <w:bCs/>
          <w:color w:val="auto"/>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1D1712F8" w14:textId="77777777" w:rsidR="002C0D93" w:rsidRPr="002C0D93" w:rsidRDefault="002C0D93" w:rsidP="002C0D93">
      <w:pPr>
        <w:spacing w:after="0" w:line="360" w:lineRule="auto"/>
        <w:ind w:left="708" w:hanging="708"/>
        <w:rPr>
          <w:rFonts w:eastAsia="Times New Roman" w:cs="Tahoma"/>
          <w:color w:val="auto"/>
          <w:lang w:eastAsia="es-ES"/>
        </w:rPr>
      </w:pPr>
    </w:p>
    <w:p w14:paraId="193F7BE1" w14:textId="6F48BF65" w:rsidR="002C0D93" w:rsidRPr="002C0D93" w:rsidRDefault="002C0D93" w:rsidP="002C0D93">
      <w:pPr>
        <w:spacing w:after="0" w:line="360" w:lineRule="auto"/>
        <w:rPr>
          <w:rFonts w:eastAsia="Times New Roman" w:cs="Tahoma"/>
          <w:color w:val="auto"/>
          <w:lang w:eastAsia="es-ES"/>
        </w:rPr>
      </w:pPr>
      <w:r w:rsidRPr="002C0D93">
        <w:rPr>
          <w:rFonts w:eastAsia="Times New Roman" w:cs="Tahoma"/>
          <w:color w:val="auto"/>
          <w:lang w:eastAsia="es-ES"/>
        </w:rPr>
        <w:t>Conforme a lo anterior, se logra vislumbrar que el Sujeto Obligado deberá entregar la Conciliación</w:t>
      </w:r>
      <w:r w:rsidRPr="002C0D93">
        <w:rPr>
          <w:rFonts w:eastAsia="Times New Roman" w:cs="Tahoma"/>
          <w:bCs/>
          <w:iCs/>
          <w:color w:val="auto"/>
          <w:lang w:val="es-ES_tradnl" w:eastAsia="es-ES"/>
        </w:rPr>
        <w:t xml:space="preserve"> de Nómina Mensual del Ayuntamiento de </w:t>
      </w:r>
      <w:r w:rsidR="00103013">
        <w:rPr>
          <w:rFonts w:eastAsia="Times New Roman" w:cs="Tahoma"/>
          <w:bCs/>
          <w:iCs/>
          <w:color w:val="auto"/>
          <w:lang w:val="es-ES_tradnl" w:eastAsia="es-ES"/>
        </w:rPr>
        <w:t>Tezoyuca</w:t>
      </w:r>
      <w:r w:rsidRPr="002C0D93">
        <w:rPr>
          <w:rFonts w:eastAsia="Times New Roman" w:cs="Tahoma"/>
          <w:color w:val="auto"/>
          <w:lang w:eastAsia="es-ES"/>
        </w:rPr>
        <w:t>, en donde tendrá que clasificar como confidencial los datos confidenciales, entre los cuales se encuentra el Registro Federal de Contribuyentes, las deducciones personales y el número de cuenta bancaria de servidores públicos, en términos del artículo 143, fracción I del ordenamiento referido en el párrafo anterior; así como, reservada el nombre del personal operativo de la Dirección de Seguridad Pública, en términos del artículo 140, fracción IV de la Ley referida.</w:t>
      </w:r>
    </w:p>
    <w:p w14:paraId="33801AAA" w14:textId="77777777" w:rsidR="002C0D93" w:rsidRPr="002C0D93" w:rsidRDefault="002C0D93" w:rsidP="002C0D93">
      <w:pPr>
        <w:spacing w:after="0" w:line="360" w:lineRule="auto"/>
        <w:ind w:left="708" w:hanging="708"/>
        <w:rPr>
          <w:rFonts w:eastAsia="Times New Roman" w:cs="Tahoma"/>
          <w:color w:val="auto"/>
          <w:lang w:eastAsia="es-ES"/>
        </w:rPr>
      </w:pPr>
    </w:p>
    <w:p w14:paraId="10733868" w14:textId="42FF9462" w:rsidR="002C0D93" w:rsidRPr="002C0D93" w:rsidRDefault="002C0D93" w:rsidP="002C0D93">
      <w:pPr>
        <w:spacing w:after="0" w:line="360" w:lineRule="auto"/>
        <w:rPr>
          <w:rFonts w:eastAsia="Times New Roman" w:cs="Tahoma"/>
          <w:color w:val="auto"/>
          <w:lang w:eastAsia="es-ES"/>
        </w:rPr>
      </w:pPr>
      <w:r w:rsidRPr="002C0D93">
        <w:rPr>
          <w:rFonts w:eastAsia="Times New Roman" w:cs="Tahoma"/>
          <w:color w:val="auto"/>
          <w:lang w:eastAsia="es-ES"/>
        </w:rPr>
        <w:t xml:space="preserve">Así se considera que el Sujeto Obligado deberá entregar el documento señalado en versión pública; sobre el tema, el artículo 3°, fracción XLV, relacionado con el 137, ambos de la Ley de Transparencia y Acceso a la Información Pública del Estado de México y Municipios, </w:t>
      </w:r>
      <w:r w:rsidRPr="002C0D93">
        <w:rPr>
          <w:rFonts w:eastAsia="Times New Roman" w:cs="Tahoma"/>
          <w:color w:val="auto"/>
          <w:lang w:eastAsia="es-ES"/>
        </w:rPr>
        <w:lastRenderedPageBreak/>
        <w:t>establece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F4797E4" w14:textId="77777777" w:rsidR="002C0D93" w:rsidRPr="002C0D93" w:rsidRDefault="002C0D93" w:rsidP="002C0D93">
      <w:pPr>
        <w:spacing w:after="0" w:line="360" w:lineRule="auto"/>
        <w:ind w:left="708" w:hanging="708"/>
        <w:rPr>
          <w:rFonts w:eastAsia="Times New Roman" w:cs="Tahoma"/>
          <w:color w:val="auto"/>
          <w:lang w:eastAsia="es-ES"/>
        </w:rPr>
      </w:pPr>
    </w:p>
    <w:p w14:paraId="689AE2D0" w14:textId="77777777" w:rsidR="002C0D93" w:rsidRPr="002C0D93" w:rsidRDefault="002C0D93" w:rsidP="002C0D93">
      <w:pPr>
        <w:spacing w:after="0" w:line="360" w:lineRule="auto"/>
        <w:rPr>
          <w:rFonts w:eastAsia="Times New Roman" w:cs="Times New Roman"/>
          <w:color w:val="auto"/>
          <w:lang w:eastAsia="es-ES"/>
        </w:rPr>
      </w:pPr>
      <w:r w:rsidRPr="002C0D93">
        <w:rPr>
          <w:rFonts w:eastAsia="Times New Roman" w:cs="Times New Roman"/>
          <w:color w:val="auto"/>
          <w:lang w:eastAsia="es-ES"/>
        </w:rPr>
        <w:t>En ese sentido,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fundando y motivando dicha situación.</w:t>
      </w:r>
    </w:p>
    <w:p w14:paraId="28A313EC" w14:textId="77777777" w:rsidR="00547EDB" w:rsidRDefault="00547EDB" w:rsidP="008567E8">
      <w:pPr>
        <w:spacing w:after="0" w:line="360" w:lineRule="auto"/>
        <w:rPr>
          <w:rFonts w:eastAsia="Times New Roman" w:cs="Tahoma"/>
          <w:bCs/>
          <w:color w:val="auto"/>
          <w:lang w:val="es-ES_tradnl" w:eastAsia="es-ES"/>
        </w:rPr>
      </w:pPr>
    </w:p>
    <w:bookmarkEnd w:id="16"/>
    <w:p w14:paraId="66FCC587" w14:textId="77777777" w:rsidR="00051642" w:rsidRPr="003D5B55" w:rsidRDefault="00051642" w:rsidP="008567E8">
      <w:pPr>
        <w:spacing w:after="0" w:line="360" w:lineRule="auto"/>
        <w:contextualSpacing/>
        <w:rPr>
          <w:rFonts w:eastAsia="Calibri" w:cs="Tahoma"/>
          <w:b/>
          <w:color w:val="000000"/>
        </w:rPr>
      </w:pPr>
      <w:r w:rsidRPr="003D5B55">
        <w:rPr>
          <w:rFonts w:eastAsia="Calibri" w:cs="Tahoma"/>
          <w:b/>
          <w:color w:val="000000"/>
        </w:rPr>
        <w:t xml:space="preserve">SEXTO. Decisión. </w:t>
      </w:r>
    </w:p>
    <w:p w14:paraId="0A32C9DA" w14:textId="77777777" w:rsidR="00051642" w:rsidRPr="003D5B55" w:rsidRDefault="00051642" w:rsidP="008567E8">
      <w:pPr>
        <w:spacing w:after="0" w:line="360" w:lineRule="auto"/>
        <w:contextualSpacing/>
        <w:rPr>
          <w:rFonts w:eastAsia="Calibri" w:cs="Tahoma"/>
          <w:b/>
          <w:color w:val="000000"/>
          <w:highlight w:val="yellow"/>
        </w:rPr>
      </w:pPr>
    </w:p>
    <w:p w14:paraId="597662B2" w14:textId="2340A39D" w:rsidR="00051642" w:rsidRDefault="00051642" w:rsidP="008567E8">
      <w:pPr>
        <w:spacing w:after="0" w:line="360" w:lineRule="auto"/>
        <w:rPr>
          <w:rFonts w:eastAsia="Times New Roman" w:cs="Tahoma"/>
          <w:iCs/>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w:t>
      </w:r>
      <w:r w:rsidRPr="00D80CD4">
        <w:rPr>
          <w:rFonts w:eastAsia="Times New Roman" w:cs="Tahoma"/>
          <w:color w:val="auto"/>
          <w:lang w:eastAsia="es-ES"/>
        </w:rPr>
        <w:t>a</w:t>
      </w:r>
      <w:r>
        <w:rPr>
          <w:rFonts w:eastAsia="Times New Roman" w:cs="Tahoma"/>
          <w:color w:val="auto"/>
          <w:lang w:eastAsia="es-ES"/>
        </w:rPr>
        <w:t xml:space="preserve"> la</w:t>
      </w:r>
      <w:r w:rsidR="008E2DA1">
        <w:rPr>
          <w:rFonts w:eastAsia="Times New Roman" w:cs="Tahoma"/>
          <w:color w:val="auto"/>
          <w:lang w:eastAsia="es-ES"/>
        </w:rPr>
        <w:t>s</w:t>
      </w:r>
      <w:r>
        <w:rPr>
          <w:rFonts w:eastAsia="Times New Roman" w:cs="Tahoma"/>
          <w:color w:val="auto"/>
          <w:lang w:eastAsia="es-ES"/>
        </w:rPr>
        <w:t xml:space="preserve"> solicitud</w:t>
      </w:r>
      <w:r w:rsidR="008E2DA1">
        <w:rPr>
          <w:rFonts w:eastAsia="Times New Roman" w:cs="Tahoma"/>
          <w:color w:val="auto"/>
          <w:lang w:eastAsia="es-ES"/>
        </w:rPr>
        <w:t>es</w:t>
      </w:r>
      <w:r>
        <w:rPr>
          <w:rFonts w:eastAsia="Times New Roman" w:cs="Tahoma"/>
          <w:color w:val="auto"/>
          <w:lang w:eastAsia="es-ES"/>
        </w:rPr>
        <w:t xml:space="preserve"> de información pública con número</w:t>
      </w:r>
      <w:r w:rsidR="008E2DA1">
        <w:rPr>
          <w:rFonts w:eastAsia="Times New Roman" w:cs="Tahoma"/>
          <w:color w:val="auto"/>
          <w:lang w:eastAsia="es-ES"/>
        </w:rPr>
        <w:t xml:space="preserve"> </w:t>
      </w:r>
      <w:r w:rsidR="008E2DA1" w:rsidRPr="008E2DA1">
        <w:rPr>
          <w:rFonts w:eastAsia="Times New Roman" w:cs="Tahoma"/>
          <w:color w:val="auto"/>
          <w:lang w:eastAsia="es-ES"/>
        </w:rPr>
        <w:t>0008</w:t>
      </w:r>
      <w:r w:rsidR="008E2DA1">
        <w:rPr>
          <w:rFonts w:eastAsia="Times New Roman" w:cs="Tahoma"/>
          <w:color w:val="auto"/>
          <w:lang w:eastAsia="es-ES"/>
        </w:rPr>
        <w:t>0</w:t>
      </w:r>
      <w:r w:rsidR="008E2DA1" w:rsidRPr="008E2DA1">
        <w:rPr>
          <w:rFonts w:eastAsia="Times New Roman" w:cs="Tahoma"/>
          <w:color w:val="auto"/>
          <w:lang w:eastAsia="es-ES"/>
        </w:rPr>
        <w:t>/TEZOYUCA/IP/2021</w:t>
      </w:r>
      <w:r>
        <w:rPr>
          <w:rFonts w:eastAsia="Times New Roman" w:cs="Tahoma"/>
          <w:color w:val="auto"/>
          <w:lang w:eastAsia="es-ES"/>
        </w:rPr>
        <w:t xml:space="preserve"> </w:t>
      </w:r>
      <w:r w:rsidR="008E2DA1">
        <w:rPr>
          <w:rFonts w:eastAsia="Times New Roman" w:cs="Tahoma"/>
          <w:color w:val="auto"/>
          <w:lang w:eastAsia="es-ES"/>
        </w:rPr>
        <w:t xml:space="preserve">y </w:t>
      </w:r>
      <w:r w:rsidR="004270E2" w:rsidRPr="004270E2">
        <w:rPr>
          <w:rFonts w:eastAsia="Times New Roman" w:cs="Tahoma"/>
          <w:iCs/>
          <w:color w:val="auto"/>
          <w:lang w:eastAsia="es-ES"/>
        </w:rPr>
        <w:t>00082/TEZOYUCA/IP/202</w:t>
      </w:r>
      <w:r w:rsidR="005412B9">
        <w:rPr>
          <w:rFonts w:eastAsia="Times New Roman" w:cs="Tahoma"/>
          <w:iCs/>
          <w:color w:val="auto"/>
          <w:lang w:eastAsia="es-ES"/>
        </w:rPr>
        <w:t xml:space="preserve">1, a efecto de que previa búsqueda exhaustiva y razonable en los archivos de las unidades administrativas competentes, entre las cuales, no podrá omitir a la Tesorería Municipal y la Dirección de Administración, entregue, a través del Sistema de Acceso a la Información Mexiquense (SAIMEX), en su caso, en versión pública, lo siguiente: </w:t>
      </w:r>
    </w:p>
    <w:p w14:paraId="01D18765" w14:textId="77777777" w:rsidR="005412B9" w:rsidRPr="00695E2F" w:rsidRDefault="005412B9" w:rsidP="008567E8">
      <w:pPr>
        <w:spacing w:after="0" w:line="360" w:lineRule="auto"/>
        <w:rPr>
          <w:rFonts w:eastAsia="Times New Roman" w:cs="Tahoma"/>
          <w:color w:val="auto"/>
          <w:lang w:eastAsia="es-ES"/>
        </w:rPr>
      </w:pPr>
    </w:p>
    <w:p w14:paraId="37CF2314" w14:textId="27DD44B8" w:rsidR="005412B9" w:rsidRDefault="006F63FA" w:rsidP="005412B9">
      <w:pPr>
        <w:pStyle w:val="Prrafodelista"/>
        <w:widowControl w:val="0"/>
        <w:numPr>
          <w:ilvl w:val="0"/>
          <w:numId w:val="6"/>
        </w:numPr>
        <w:autoSpaceDE w:val="0"/>
        <w:autoSpaceDN w:val="0"/>
        <w:adjustRightInd w:val="0"/>
        <w:spacing w:after="0" w:line="360" w:lineRule="auto"/>
        <w:rPr>
          <w:rFonts w:eastAsia="Calibri" w:cs="Tahoma"/>
          <w:bCs/>
          <w:iCs/>
          <w:color w:val="000000"/>
          <w:szCs w:val="24"/>
          <w:lang w:eastAsia="es-MX"/>
        </w:rPr>
      </w:pPr>
      <w:r>
        <w:rPr>
          <w:rFonts w:eastAsia="Calibri" w:cs="Tahoma"/>
          <w:color w:val="000000"/>
          <w:szCs w:val="24"/>
          <w:lang w:val="es-ES" w:eastAsia="es-MX"/>
        </w:rPr>
        <w:t xml:space="preserve">El formato </w:t>
      </w:r>
      <w:proofErr w:type="spellStart"/>
      <w:r w:rsidRPr="006F63FA">
        <w:rPr>
          <w:rFonts w:eastAsia="Calibri" w:cs="Tahoma"/>
          <w:bCs/>
          <w:color w:val="000000"/>
          <w:szCs w:val="24"/>
          <w:lang w:val="es-ES_tradnl" w:eastAsia="es-MX"/>
        </w:rPr>
        <w:t>PbRM</w:t>
      </w:r>
      <w:proofErr w:type="spellEnd"/>
      <w:r w:rsidRPr="006F63FA">
        <w:rPr>
          <w:rFonts w:eastAsia="Calibri" w:cs="Tahoma"/>
          <w:bCs/>
          <w:color w:val="000000"/>
          <w:szCs w:val="24"/>
          <w:lang w:val="es-ES_tradnl" w:eastAsia="es-MX"/>
        </w:rPr>
        <w:t xml:space="preserve"> 05 Tabulador de Sueldos</w:t>
      </w:r>
      <w:r w:rsidR="005412B9" w:rsidRPr="001C7154">
        <w:rPr>
          <w:rFonts w:eastAsia="Calibri" w:cs="Tahoma"/>
          <w:color w:val="000000"/>
          <w:szCs w:val="24"/>
          <w:lang w:val="es-ES" w:eastAsia="es-MX"/>
        </w:rPr>
        <w:t xml:space="preserve"> </w:t>
      </w:r>
      <w:r w:rsidR="005412B9" w:rsidRPr="001C7154">
        <w:rPr>
          <w:rFonts w:eastAsia="Calibri" w:cs="Tahoma"/>
          <w:bCs/>
          <w:iCs/>
          <w:color w:val="000000"/>
          <w:szCs w:val="24"/>
          <w:lang w:eastAsia="es-MX"/>
        </w:rPr>
        <w:t>del Ayuntamiento de Tezoyuca</w:t>
      </w:r>
      <w:r>
        <w:rPr>
          <w:rFonts w:eastAsia="Calibri" w:cs="Tahoma"/>
          <w:bCs/>
          <w:iCs/>
          <w:color w:val="000000"/>
          <w:szCs w:val="24"/>
          <w:lang w:eastAsia="es-MX"/>
        </w:rPr>
        <w:t>,</w:t>
      </w:r>
      <w:r w:rsidR="005412B9" w:rsidRPr="001C7154">
        <w:rPr>
          <w:rFonts w:eastAsia="Calibri" w:cs="Tahoma"/>
          <w:bCs/>
          <w:iCs/>
          <w:color w:val="000000"/>
          <w:szCs w:val="24"/>
          <w:lang w:eastAsia="es-MX"/>
        </w:rPr>
        <w:t xml:space="preserve"> de los ejercicios fiscales dos mil diecinueve, dos mil veinte y dos mil veintiuno</w:t>
      </w:r>
      <w:r w:rsidR="005412B9">
        <w:rPr>
          <w:rFonts w:eastAsia="Calibri" w:cs="Tahoma"/>
          <w:bCs/>
          <w:iCs/>
          <w:color w:val="000000"/>
          <w:szCs w:val="24"/>
          <w:lang w:eastAsia="es-MX"/>
        </w:rPr>
        <w:t>;</w:t>
      </w:r>
      <w:r w:rsidR="005412B9" w:rsidRPr="001C7154">
        <w:rPr>
          <w:rFonts w:eastAsia="Calibri" w:cs="Tahoma"/>
          <w:bCs/>
          <w:iCs/>
          <w:color w:val="000000"/>
          <w:szCs w:val="24"/>
          <w:lang w:eastAsia="es-MX"/>
        </w:rPr>
        <w:t xml:space="preserve"> </w:t>
      </w:r>
    </w:p>
    <w:p w14:paraId="20817668" w14:textId="77777777" w:rsidR="005412B9" w:rsidRPr="001C7154" w:rsidRDefault="005412B9" w:rsidP="005412B9">
      <w:pPr>
        <w:widowControl w:val="0"/>
        <w:autoSpaceDE w:val="0"/>
        <w:autoSpaceDN w:val="0"/>
        <w:adjustRightInd w:val="0"/>
        <w:spacing w:after="0" w:line="360" w:lineRule="auto"/>
        <w:ind w:left="360"/>
        <w:rPr>
          <w:rFonts w:eastAsia="Calibri" w:cs="Tahoma"/>
          <w:bCs/>
          <w:iCs/>
          <w:color w:val="000000"/>
          <w:szCs w:val="24"/>
          <w:lang w:eastAsia="es-MX"/>
        </w:rPr>
      </w:pPr>
    </w:p>
    <w:p w14:paraId="21A839D7" w14:textId="48708EA8" w:rsidR="005412B9" w:rsidRPr="000A127A" w:rsidRDefault="005412B9" w:rsidP="000A127A">
      <w:pPr>
        <w:pStyle w:val="Prrafodelista"/>
        <w:widowControl w:val="0"/>
        <w:numPr>
          <w:ilvl w:val="0"/>
          <w:numId w:val="6"/>
        </w:numPr>
        <w:autoSpaceDE w:val="0"/>
        <w:autoSpaceDN w:val="0"/>
        <w:adjustRightInd w:val="0"/>
        <w:spacing w:after="0" w:line="360" w:lineRule="auto"/>
        <w:rPr>
          <w:rFonts w:eastAsia="Calibri" w:cs="Tahoma"/>
          <w:bCs/>
          <w:iCs/>
          <w:color w:val="000000"/>
          <w:szCs w:val="24"/>
          <w:lang w:eastAsia="es-MX"/>
        </w:rPr>
      </w:pPr>
      <w:r w:rsidRPr="001C7154">
        <w:rPr>
          <w:rFonts w:eastAsia="Calibri" w:cs="Tahoma"/>
          <w:bCs/>
          <w:iCs/>
          <w:color w:val="000000"/>
          <w:szCs w:val="24"/>
          <w:lang w:eastAsia="es-MX"/>
        </w:rPr>
        <w:t xml:space="preserve"> </w:t>
      </w:r>
      <w:r w:rsidR="000A127A" w:rsidRPr="000A127A">
        <w:rPr>
          <w:rFonts w:eastAsia="Calibri" w:cs="Tahoma"/>
          <w:bCs/>
          <w:iCs/>
          <w:color w:val="000000"/>
          <w:szCs w:val="24"/>
          <w:lang w:eastAsia="es-MX"/>
        </w:rPr>
        <w:t xml:space="preserve">La </w:t>
      </w:r>
      <w:r w:rsidR="000A127A" w:rsidRPr="000A127A">
        <w:rPr>
          <w:rFonts w:eastAsia="Calibri" w:cs="Tahoma"/>
          <w:bCs/>
          <w:iCs/>
          <w:color w:val="000000"/>
          <w:szCs w:val="24"/>
          <w:lang w:val="es-ES_tradnl" w:eastAsia="es-MX"/>
        </w:rPr>
        <w:t>Conciliación de Nómina Mensual</w:t>
      </w:r>
      <w:r w:rsidR="00E079D0">
        <w:rPr>
          <w:rFonts w:eastAsia="Calibri" w:cs="Tahoma"/>
          <w:bCs/>
          <w:iCs/>
          <w:color w:val="000000"/>
          <w:szCs w:val="24"/>
          <w:lang w:val="es-ES_tradnl" w:eastAsia="es-MX"/>
        </w:rPr>
        <w:t xml:space="preserve"> del </w:t>
      </w:r>
      <w:r w:rsidR="000A127A">
        <w:rPr>
          <w:rFonts w:eastAsia="Calibri" w:cs="Tahoma"/>
          <w:bCs/>
          <w:iCs/>
          <w:color w:val="000000"/>
          <w:szCs w:val="24"/>
          <w:lang w:val="es-ES_tradnl" w:eastAsia="es-MX"/>
        </w:rPr>
        <w:t>Sujeto Obligado, de enero a julio de dos mil veintiuno</w:t>
      </w:r>
      <w:r w:rsidR="000A127A" w:rsidRPr="000A127A">
        <w:rPr>
          <w:rFonts w:eastAsia="Calibri" w:cs="Tahoma"/>
          <w:bCs/>
          <w:iCs/>
          <w:color w:val="000000"/>
          <w:szCs w:val="24"/>
          <w:lang w:eastAsia="es-MX"/>
        </w:rPr>
        <w:t xml:space="preserve">. </w:t>
      </w:r>
    </w:p>
    <w:p w14:paraId="09972CED" w14:textId="77777777" w:rsidR="00C94E88" w:rsidRDefault="00C94E88" w:rsidP="008567E8">
      <w:pPr>
        <w:spacing w:after="0" w:line="360" w:lineRule="auto"/>
        <w:rPr>
          <w:rFonts w:eastAsia="Times New Roman" w:cs="Tahoma"/>
          <w:iCs/>
          <w:color w:val="auto"/>
          <w:lang w:eastAsia="es-ES"/>
        </w:rPr>
      </w:pPr>
    </w:p>
    <w:p w14:paraId="42B304F1" w14:textId="211D9887" w:rsidR="00104C84" w:rsidRPr="00C94E88" w:rsidRDefault="00C94E88" w:rsidP="008567E8">
      <w:pPr>
        <w:spacing w:after="0" w:line="360" w:lineRule="auto"/>
        <w:rPr>
          <w:rFonts w:eastAsia="Times New Roman" w:cs="Tahoma"/>
          <w:iCs/>
          <w:color w:val="auto"/>
          <w:lang w:eastAsia="es-ES"/>
        </w:rPr>
      </w:pPr>
      <w:bookmarkStart w:id="20" w:name="_Hlk92883348"/>
      <w:r w:rsidRPr="00C94E88">
        <w:rPr>
          <w:rFonts w:eastAsia="Times New Roman" w:cs="Tahoma"/>
          <w:iCs/>
          <w:color w:val="auto"/>
          <w:lang w:eastAsia="es-ES"/>
        </w:rPr>
        <w:t>Adem</w:t>
      </w:r>
      <w:r>
        <w:rPr>
          <w:rFonts w:eastAsia="Times New Roman" w:cs="Tahoma"/>
          <w:iCs/>
          <w:color w:val="auto"/>
          <w:lang w:eastAsia="es-ES"/>
        </w:rPr>
        <w:t>ás,</w:t>
      </w:r>
      <w:r w:rsidR="00E079D0">
        <w:rPr>
          <w:rFonts w:eastAsia="Times New Roman" w:cs="Tahoma"/>
          <w:iCs/>
          <w:color w:val="auto"/>
          <w:lang w:eastAsia="es-ES"/>
        </w:rPr>
        <w:t xml:space="preserve"> de ser necesario,</w:t>
      </w:r>
      <w:r>
        <w:rPr>
          <w:rFonts w:eastAsia="Times New Roman" w:cs="Tahoma"/>
          <w:iCs/>
          <w:color w:val="auto"/>
          <w:lang w:eastAsia="es-ES"/>
        </w:rPr>
        <w:t xml:space="preserve"> deberá proporcionar </w:t>
      </w:r>
      <w:r w:rsidRPr="005F6096">
        <w:rPr>
          <w:rFonts w:eastAsia="Calibri" w:cs="Tahoma"/>
          <w:bCs/>
          <w:iCs/>
          <w:color w:val="000000"/>
        </w:rPr>
        <w:t>el Acuerdo de Clasificación donde el Comité de Transparencia, confirme la eliminación de los datos o información clasificada, en la versión pública, de conformidad con los artículos 49, fracciones II y VIII</w:t>
      </w:r>
      <w:r w:rsidR="00DD6DA6">
        <w:rPr>
          <w:rFonts w:eastAsia="Calibri" w:cs="Tahoma"/>
          <w:bCs/>
          <w:iCs/>
          <w:color w:val="000000"/>
        </w:rPr>
        <w:t>,</w:t>
      </w:r>
      <w:r w:rsidRPr="005F6096">
        <w:rPr>
          <w:rFonts w:eastAsia="Calibri" w:cs="Tahoma"/>
          <w:bCs/>
          <w:iCs/>
          <w:color w:val="000000"/>
        </w:rPr>
        <w:t xml:space="preserve"> y 132, fracción II</w:t>
      </w:r>
      <w:r w:rsidR="00DD6DA6">
        <w:rPr>
          <w:rFonts w:eastAsia="Calibri" w:cs="Tahoma"/>
          <w:bCs/>
          <w:iCs/>
          <w:color w:val="000000"/>
        </w:rPr>
        <w:t>,</w:t>
      </w:r>
      <w:r w:rsidRPr="005F6096">
        <w:rPr>
          <w:rFonts w:eastAsia="Calibri" w:cs="Tahoma"/>
          <w:bCs/>
          <w:iCs/>
          <w:color w:val="000000"/>
        </w:rPr>
        <w:t xml:space="preserve"> de la Ley de Transparencia y Acceso a la Información Pública del Estado de México y Municipios.</w:t>
      </w:r>
    </w:p>
    <w:bookmarkEnd w:id="20"/>
    <w:p w14:paraId="2379341A" w14:textId="77777777" w:rsidR="00C94E88" w:rsidRDefault="00C94E88" w:rsidP="008567E8">
      <w:pPr>
        <w:autoSpaceDE w:val="0"/>
        <w:autoSpaceDN w:val="0"/>
        <w:adjustRightInd w:val="0"/>
        <w:spacing w:after="0" w:line="360" w:lineRule="auto"/>
        <w:rPr>
          <w:rFonts w:eastAsia="Calibri" w:cs="Tahoma"/>
          <w:b/>
          <w:bCs/>
          <w:iCs/>
          <w:color w:val="auto"/>
          <w:lang w:val="es-ES"/>
        </w:rPr>
      </w:pPr>
    </w:p>
    <w:p w14:paraId="1B1F6A58" w14:textId="2ED45979" w:rsidR="00051642" w:rsidRDefault="00051642" w:rsidP="008567E8">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7C661C05" w14:textId="77777777" w:rsidR="009638DE" w:rsidRPr="00695E2F" w:rsidRDefault="009638DE" w:rsidP="008567E8">
      <w:pPr>
        <w:autoSpaceDE w:val="0"/>
        <w:autoSpaceDN w:val="0"/>
        <w:adjustRightInd w:val="0"/>
        <w:spacing w:after="0" w:line="360" w:lineRule="auto"/>
        <w:rPr>
          <w:rFonts w:eastAsia="Calibri" w:cs="Tahoma"/>
          <w:b/>
          <w:bCs/>
          <w:iCs/>
          <w:color w:val="auto"/>
          <w:lang w:val="es-ES"/>
        </w:rPr>
      </w:pPr>
    </w:p>
    <w:p w14:paraId="5546FAD3" w14:textId="146DF9B9" w:rsidR="006F63FA" w:rsidRDefault="006F63FA" w:rsidP="006F63FA">
      <w:pPr>
        <w:spacing w:after="0" w:line="360" w:lineRule="auto"/>
        <w:contextualSpacing/>
      </w:pPr>
      <w:r w:rsidRPr="00A911CE">
        <w:t xml:space="preserve">Se le hace del conocimiento al ahora Recurrente que, en el presente asunto, se le da la razón, dado que el Sujeto Obligado no </w:t>
      </w:r>
      <w:r>
        <w:t>dio trámite, ni respuesta</w:t>
      </w:r>
      <w:r w:rsidRPr="00A911CE">
        <w:t xml:space="preserve"> a lo ordenado en la resolución de</w:t>
      </w:r>
      <w:r>
        <w:t>l</w:t>
      </w:r>
      <w:r w:rsidRPr="00A911CE">
        <w:t xml:space="preserve"> Recursos de Revisión </w:t>
      </w:r>
      <w:r w:rsidRPr="00A911CE">
        <w:rPr>
          <w:rFonts w:cs="Tahoma"/>
        </w:rPr>
        <w:t>0</w:t>
      </w:r>
      <w:r>
        <w:rPr>
          <w:rFonts w:cs="Tahoma"/>
        </w:rPr>
        <w:t>4926</w:t>
      </w:r>
      <w:r w:rsidRPr="00A911CE">
        <w:rPr>
          <w:rFonts w:cs="Tahoma"/>
        </w:rPr>
        <w:t>/INFOEM/IP/RR/2021</w:t>
      </w:r>
      <w:r>
        <w:rPr>
          <w:rFonts w:cs="Tahoma"/>
        </w:rPr>
        <w:t xml:space="preserve"> y acumulado</w:t>
      </w:r>
      <w:r w:rsidRPr="00A911CE">
        <w:rPr>
          <w:rFonts w:cs="Tahoma"/>
        </w:rPr>
        <w:t xml:space="preserve">; </w:t>
      </w:r>
      <w:r w:rsidRPr="00A911CE">
        <w:t xml:space="preserve">por lo que, al </w:t>
      </w:r>
      <w:r>
        <w:t>ser omiso en atender los dispuesto en la resolución</w:t>
      </w:r>
      <w:r w:rsidRPr="00A911CE">
        <w:t xml:space="preserve">, deberá otorgársela, </w:t>
      </w:r>
      <w:r w:rsidRPr="00AC536D">
        <w:t>a través del Sistema de Acceso a la Información Mexiquense (SAIMEX)</w:t>
      </w:r>
      <w:r>
        <w:t>, en su caso, en versión pública, en donde teste los datos información clasificada.</w:t>
      </w:r>
    </w:p>
    <w:p w14:paraId="25D791CC" w14:textId="77777777" w:rsidR="009270EA" w:rsidRPr="00695E2F" w:rsidRDefault="009270EA" w:rsidP="008567E8">
      <w:pPr>
        <w:widowControl w:val="0"/>
        <w:autoSpaceDE w:val="0"/>
        <w:autoSpaceDN w:val="0"/>
        <w:adjustRightInd w:val="0"/>
        <w:spacing w:after="0" w:line="360" w:lineRule="auto"/>
        <w:rPr>
          <w:rFonts w:eastAsia="Calibri" w:cs="Tahoma"/>
          <w:bCs/>
          <w:iCs/>
          <w:color w:val="auto"/>
          <w:lang w:val="es-ES"/>
        </w:rPr>
      </w:pPr>
    </w:p>
    <w:p w14:paraId="6A09C972" w14:textId="716D6D7A" w:rsidR="009270EA" w:rsidRDefault="00051642" w:rsidP="008567E8">
      <w:pPr>
        <w:spacing w:after="0" w:line="360" w:lineRule="auto"/>
        <w:rPr>
          <w:rFonts w:eastAsia="Calibri" w:cs="Tahoma"/>
          <w:bCs/>
          <w:iCs/>
          <w:color w:val="auto"/>
          <w:lang w:val="es-ES" w:eastAsia="es-ES_tradnl"/>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DC77CC">
        <w:rPr>
          <w:rFonts w:eastAsia="Calibri" w:cs="Tahoma"/>
          <w:bCs/>
          <w:iCs/>
          <w:color w:val="auto"/>
          <w:lang w:val="es-ES" w:eastAsia="es-ES_tradnl"/>
        </w:rPr>
        <w:t xml:space="preserve"> </w:t>
      </w:r>
    </w:p>
    <w:p w14:paraId="5E58102A" w14:textId="77777777" w:rsidR="009270EA" w:rsidRDefault="009270EA" w:rsidP="008567E8">
      <w:pPr>
        <w:spacing w:after="0" w:line="360" w:lineRule="auto"/>
        <w:rPr>
          <w:rFonts w:eastAsia="Calibri" w:cs="Tahoma"/>
          <w:bCs/>
          <w:iCs/>
          <w:color w:val="auto"/>
          <w:lang w:val="es-ES" w:eastAsia="es-ES_tradnl"/>
        </w:rPr>
      </w:pPr>
    </w:p>
    <w:p w14:paraId="53ACE839" w14:textId="14821B25" w:rsidR="00051642" w:rsidRPr="00695E2F" w:rsidRDefault="00051642" w:rsidP="008567E8">
      <w:pPr>
        <w:spacing w:after="0" w:line="360" w:lineRule="auto"/>
        <w:rPr>
          <w:rFonts w:eastAsia="Calibri" w:cs="Tahoma"/>
          <w:bCs/>
          <w:iCs/>
          <w:color w:val="auto"/>
        </w:rPr>
      </w:pPr>
      <w:r w:rsidRPr="00695E2F">
        <w:rPr>
          <w:rFonts w:eastAsia="Calibri" w:cs="Tahoma"/>
          <w:bCs/>
          <w:iCs/>
          <w:color w:val="auto"/>
        </w:rPr>
        <w:t>La labor de este Instituto, es apoyar a la población a acceder a la información pública y garantizar la protección de sus datos personales.</w:t>
      </w:r>
    </w:p>
    <w:p w14:paraId="2B55BD7B" w14:textId="77777777" w:rsidR="00051642" w:rsidRPr="003D5B55" w:rsidRDefault="00051642" w:rsidP="008567E8">
      <w:pPr>
        <w:spacing w:after="0" w:line="360" w:lineRule="auto"/>
        <w:rPr>
          <w:rFonts w:eastAsia="Times New Roman" w:cs="Tahoma"/>
          <w:bCs/>
          <w:iCs/>
          <w:color w:val="auto"/>
          <w:lang w:val="es-ES" w:eastAsia="es-ES"/>
        </w:rPr>
      </w:pPr>
    </w:p>
    <w:p w14:paraId="16F9CAF4" w14:textId="1B0E86BC" w:rsidR="00051642" w:rsidRDefault="00051642" w:rsidP="008567E8">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175395DE" w14:textId="77777777" w:rsidR="00DC77CC" w:rsidRDefault="00DC77CC" w:rsidP="008567E8">
      <w:pPr>
        <w:spacing w:after="0" w:line="360" w:lineRule="auto"/>
        <w:rPr>
          <w:rFonts w:eastAsia="Times New Roman" w:cs="Tahoma"/>
          <w:bCs/>
          <w:color w:val="auto"/>
          <w:lang w:eastAsia="es-ES"/>
        </w:rPr>
      </w:pPr>
    </w:p>
    <w:p w14:paraId="743D5E9E" w14:textId="77777777" w:rsidR="009638DE" w:rsidRDefault="009638DE" w:rsidP="008567E8">
      <w:pPr>
        <w:spacing w:after="0" w:line="360" w:lineRule="auto"/>
        <w:rPr>
          <w:rFonts w:eastAsia="Times New Roman" w:cs="Tahoma"/>
          <w:bCs/>
          <w:color w:val="auto"/>
          <w:lang w:eastAsia="es-ES"/>
        </w:rPr>
      </w:pPr>
    </w:p>
    <w:p w14:paraId="7163BA1F" w14:textId="77777777" w:rsidR="009638DE" w:rsidRDefault="009638DE" w:rsidP="008567E8">
      <w:pPr>
        <w:spacing w:after="0" w:line="360" w:lineRule="auto"/>
        <w:rPr>
          <w:rFonts w:eastAsia="Times New Roman" w:cs="Tahoma"/>
          <w:bCs/>
          <w:color w:val="auto"/>
          <w:lang w:eastAsia="es-ES"/>
        </w:rPr>
      </w:pPr>
    </w:p>
    <w:p w14:paraId="77BDAE25" w14:textId="77777777" w:rsidR="00051642" w:rsidRPr="003D5B55" w:rsidRDefault="00051642" w:rsidP="008567E8">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42CEA88B" w14:textId="77777777" w:rsidR="00051642" w:rsidRDefault="00051642" w:rsidP="008567E8">
      <w:pPr>
        <w:spacing w:after="0" w:line="360" w:lineRule="auto"/>
        <w:ind w:right="113"/>
        <w:rPr>
          <w:rFonts w:eastAsia="Times New Roman" w:cs="Arial"/>
          <w:b/>
          <w:color w:val="auto"/>
          <w:lang w:eastAsia="es-ES"/>
        </w:rPr>
      </w:pPr>
    </w:p>
    <w:p w14:paraId="0D24B3F1" w14:textId="09D11078" w:rsidR="00051642" w:rsidRPr="00D13FCC" w:rsidRDefault="00051642" w:rsidP="008567E8">
      <w:pPr>
        <w:widowControl w:val="0"/>
        <w:spacing w:after="0" w:line="360" w:lineRule="auto"/>
        <w:rPr>
          <w:rFonts w:eastAsia="Calibri" w:cs="Tahoma"/>
          <w:bCs/>
          <w:color w:val="auto"/>
        </w:rPr>
      </w:pPr>
      <w:bookmarkStart w:id="21" w:name="_Hlk92790075"/>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sidR="008E2DA1">
        <w:rPr>
          <w:rFonts w:eastAsia="Calibri" w:cs="Tahoma"/>
          <w:bCs/>
          <w:color w:val="auto"/>
        </w:rPr>
        <w:t>los</w:t>
      </w:r>
      <w:r>
        <w:rPr>
          <w:rFonts w:eastAsia="Calibri" w:cs="Tahoma"/>
          <w:bCs/>
          <w:color w:val="auto"/>
        </w:rPr>
        <w:t xml:space="preserve"> Recurso</w:t>
      </w:r>
      <w:r w:rsidR="008E2DA1">
        <w:rPr>
          <w:rFonts w:eastAsia="Calibri" w:cs="Tahoma"/>
          <w:bCs/>
          <w:color w:val="auto"/>
        </w:rPr>
        <w:t>s</w:t>
      </w:r>
      <w:r>
        <w:rPr>
          <w:rFonts w:eastAsia="Calibri" w:cs="Tahoma"/>
          <w:bCs/>
          <w:color w:val="auto"/>
        </w:rPr>
        <w:t xml:space="preserve"> de Revisión </w:t>
      </w:r>
      <w:r w:rsidR="00CF0BAE" w:rsidRPr="00CF0BAE">
        <w:rPr>
          <w:rFonts w:eastAsia="Calibri" w:cs="Tahoma"/>
          <w:bCs/>
          <w:color w:val="auto"/>
        </w:rPr>
        <w:t>04926/INFOEM/ICR-62/IP/RR/2021 y 04928/INFOEM/ICR-60/IP/RR/2021</w:t>
      </w:r>
      <w:r w:rsidRPr="00B773DC">
        <w:rPr>
          <w:rFonts w:eastAsia="Times New Roman" w:cs="Tahoma"/>
          <w:bCs/>
          <w:color w:val="0D0D0D"/>
          <w:lang w:eastAsia="es-ES"/>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5417D70D" w14:textId="77777777" w:rsidR="00051642" w:rsidRPr="00D13FCC" w:rsidRDefault="00051642" w:rsidP="008567E8">
      <w:pPr>
        <w:spacing w:after="0" w:line="360" w:lineRule="auto"/>
        <w:rPr>
          <w:rFonts w:eastAsia="Times New Roman" w:cs="Tahoma"/>
          <w:b/>
          <w:bCs/>
          <w:color w:val="auto"/>
          <w:lang w:eastAsia="es-ES"/>
        </w:rPr>
      </w:pPr>
    </w:p>
    <w:p w14:paraId="31A1F7E6" w14:textId="479FA105" w:rsidR="00051642" w:rsidRDefault="00051642" w:rsidP="008567E8">
      <w:pPr>
        <w:spacing w:after="0" w:line="360" w:lineRule="auto"/>
        <w:ind w:right="-93"/>
        <w:rPr>
          <w:rFonts w:eastAsia="Times New Roman" w:cs="Tahoma"/>
          <w:color w:val="auto"/>
          <w:szCs w:val="20"/>
          <w:lang w:val="es-ES" w:eastAsia="es-ES"/>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a la</w:t>
      </w:r>
      <w:r w:rsidR="008E2DA1">
        <w:rPr>
          <w:rFonts w:eastAsia="Calibri" w:cs="Tahoma"/>
          <w:bCs/>
          <w:color w:val="auto"/>
        </w:rPr>
        <w:t>s</w:t>
      </w:r>
      <w:r>
        <w:rPr>
          <w:rFonts w:eastAsia="Calibri" w:cs="Tahoma"/>
          <w:bCs/>
          <w:color w:val="auto"/>
        </w:rPr>
        <w:t xml:space="preserve"> solicitud</w:t>
      </w:r>
      <w:r w:rsidR="008E2DA1">
        <w:rPr>
          <w:rFonts w:eastAsia="Calibri" w:cs="Tahoma"/>
          <w:bCs/>
          <w:color w:val="auto"/>
        </w:rPr>
        <w:t>es</w:t>
      </w:r>
      <w:r>
        <w:rPr>
          <w:rFonts w:eastAsia="Calibri" w:cs="Tahoma"/>
          <w:bCs/>
          <w:color w:val="auto"/>
        </w:rPr>
        <w:t xml:space="preserve"> de acceso a la información </w:t>
      </w:r>
      <w:r w:rsidR="008E2DA1" w:rsidRPr="004270E2">
        <w:rPr>
          <w:rFonts w:cs="Tahoma"/>
          <w:iCs/>
          <w:color w:val="0D0D0D" w:themeColor="text1" w:themeTint="F2"/>
        </w:rPr>
        <w:t>0008</w:t>
      </w:r>
      <w:r w:rsidR="008E2DA1">
        <w:rPr>
          <w:rFonts w:cs="Tahoma"/>
          <w:iCs/>
          <w:color w:val="0D0D0D" w:themeColor="text1" w:themeTint="F2"/>
        </w:rPr>
        <w:t>0</w:t>
      </w:r>
      <w:r w:rsidR="008E2DA1" w:rsidRPr="004270E2">
        <w:rPr>
          <w:rFonts w:cs="Tahoma"/>
          <w:iCs/>
          <w:color w:val="0D0D0D" w:themeColor="text1" w:themeTint="F2"/>
        </w:rPr>
        <w:t>/TEZOYUCA/IP/2021</w:t>
      </w:r>
      <w:r w:rsidR="008E2DA1">
        <w:rPr>
          <w:rFonts w:cs="Tahoma"/>
          <w:iCs/>
          <w:color w:val="0D0D0D" w:themeColor="text1" w:themeTint="F2"/>
        </w:rPr>
        <w:t xml:space="preserve"> y </w:t>
      </w:r>
      <w:r w:rsidR="004270E2" w:rsidRPr="004270E2">
        <w:rPr>
          <w:rFonts w:cs="Tahoma"/>
          <w:iCs/>
          <w:color w:val="0D0D0D" w:themeColor="text1" w:themeTint="F2"/>
        </w:rPr>
        <w:t>00082/TEZOYUCA/IP/2021</w:t>
      </w:r>
      <w:r w:rsidRPr="00695E2F">
        <w:rPr>
          <w:rFonts w:eastAsia="Times New Roman" w:cs="Tahoma"/>
          <w:color w:val="auto"/>
          <w:szCs w:val="20"/>
          <w:lang w:eastAsia="es-ES"/>
        </w:rPr>
        <w:t>,</w:t>
      </w:r>
      <w:r>
        <w:rPr>
          <w:rFonts w:eastAsia="Times New Roman" w:cs="Tahoma"/>
          <w:color w:val="auto"/>
          <w:szCs w:val="20"/>
          <w:lang w:eastAsia="es-ES"/>
        </w:rPr>
        <w:t xml:space="preserve"> </w:t>
      </w:r>
      <w:r w:rsidR="00CF0BAE">
        <w:rPr>
          <w:rFonts w:eastAsia="Times New Roman" w:cs="Tahoma"/>
          <w:color w:val="auto"/>
          <w:szCs w:val="20"/>
          <w:lang w:eastAsia="es-ES"/>
        </w:rPr>
        <w:t>y previa búsqueda exhaustiva y razonable en las unidades administrativas competentes, entregue, a través</w:t>
      </w:r>
      <w:r w:rsidRPr="00D13FCC">
        <w:rPr>
          <w:rFonts w:eastAsia="Times New Roman" w:cs="Tahoma"/>
          <w:color w:val="auto"/>
          <w:szCs w:val="20"/>
          <w:lang w:eastAsia="es-ES"/>
        </w:rPr>
        <w:t xml:space="preserve"> del </w:t>
      </w:r>
      <w:r w:rsidRPr="00D13FCC">
        <w:rPr>
          <w:rFonts w:eastAsia="Times New Roman" w:cs="Tahoma"/>
          <w:color w:val="auto"/>
          <w:szCs w:val="20"/>
          <w:lang w:val="es-ES" w:eastAsia="es-ES"/>
        </w:rPr>
        <w:t xml:space="preserve">Sistema de Acceso a la Información Mexiquense (SAIMEX), </w:t>
      </w:r>
      <w:r w:rsidR="00CF0BAE">
        <w:rPr>
          <w:rFonts w:eastAsia="Times New Roman" w:cs="Tahoma"/>
          <w:color w:val="auto"/>
          <w:szCs w:val="20"/>
          <w:lang w:val="es-ES" w:eastAsia="es-ES"/>
        </w:rPr>
        <w:t xml:space="preserve">en su caso, en versión pública, lo siguiente: </w:t>
      </w:r>
    </w:p>
    <w:p w14:paraId="51F1171B" w14:textId="77777777" w:rsidR="00CF0BAE" w:rsidRPr="00FA7B52" w:rsidRDefault="00CF0BAE" w:rsidP="008567E8">
      <w:pPr>
        <w:spacing w:after="0" w:line="360" w:lineRule="auto"/>
        <w:ind w:right="-93"/>
        <w:rPr>
          <w:rFonts w:eastAsia="Calibri" w:cs="Tahoma"/>
          <w:bCs/>
          <w:color w:val="auto"/>
        </w:rPr>
      </w:pPr>
    </w:p>
    <w:p w14:paraId="0474302F" w14:textId="77777777" w:rsidR="00E079D0" w:rsidRPr="00E079D0" w:rsidRDefault="00E079D0" w:rsidP="00E079D0">
      <w:pPr>
        <w:widowControl w:val="0"/>
        <w:numPr>
          <w:ilvl w:val="0"/>
          <w:numId w:val="6"/>
        </w:numPr>
        <w:autoSpaceDE w:val="0"/>
        <w:autoSpaceDN w:val="0"/>
        <w:adjustRightInd w:val="0"/>
        <w:spacing w:after="0" w:line="360" w:lineRule="auto"/>
        <w:rPr>
          <w:rFonts w:eastAsia="Calibri" w:cs="Tahoma"/>
          <w:bCs/>
          <w:iCs/>
          <w:color w:val="000000"/>
          <w:szCs w:val="24"/>
          <w:lang w:eastAsia="es-MX"/>
        </w:rPr>
      </w:pPr>
      <w:r w:rsidRPr="00E079D0">
        <w:rPr>
          <w:rFonts w:eastAsia="Calibri" w:cs="Tahoma"/>
          <w:color w:val="000000"/>
          <w:szCs w:val="24"/>
          <w:lang w:val="es-ES" w:eastAsia="es-MX"/>
        </w:rPr>
        <w:t xml:space="preserve">El formato </w:t>
      </w:r>
      <w:proofErr w:type="spellStart"/>
      <w:r w:rsidRPr="00E079D0">
        <w:rPr>
          <w:rFonts w:eastAsia="Calibri" w:cs="Tahoma"/>
          <w:bCs/>
          <w:color w:val="000000"/>
          <w:szCs w:val="24"/>
          <w:lang w:val="es-ES_tradnl" w:eastAsia="es-MX"/>
        </w:rPr>
        <w:t>PbRM</w:t>
      </w:r>
      <w:proofErr w:type="spellEnd"/>
      <w:r w:rsidRPr="00E079D0">
        <w:rPr>
          <w:rFonts w:eastAsia="Calibri" w:cs="Tahoma"/>
          <w:bCs/>
          <w:color w:val="000000"/>
          <w:szCs w:val="24"/>
          <w:lang w:val="es-ES_tradnl" w:eastAsia="es-MX"/>
        </w:rPr>
        <w:t xml:space="preserve"> 05 Tabulador de Sueldos</w:t>
      </w:r>
      <w:r w:rsidRPr="00E079D0">
        <w:rPr>
          <w:rFonts w:eastAsia="Calibri" w:cs="Tahoma"/>
          <w:color w:val="000000"/>
          <w:szCs w:val="24"/>
          <w:lang w:val="es-ES" w:eastAsia="es-MX"/>
        </w:rPr>
        <w:t xml:space="preserve"> </w:t>
      </w:r>
      <w:r w:rsidRPr="00E079D0">
        <w:rPr>
          <w:rFonts w:eastAsia="Calibri" w:cs="Tahoma"/>
          <w:bCs/>
          <w:iCs/>
          <w:color w:val="000000"/>
          <w:szCs w:val="24"/>
          <w:lang w:eastAsia="es-MX"/>
        </w:rPr>
        <w:t xml:space="preserve">del Ayuntamiento de Tezoyuca, de los ejercicios fiscales dos mil diecinueve, dos mil veinte y dos mil veintiuno; </w:t>
      </w:r>
    </w:p>
    <w:p w14:paraId="78692D7F" w14:textId="77777777" w:rsidR="00E079D0" w:rsidRPr="00E079D0" w:rsidRDefault="00E079D0" w:rsidP="00E079D0">
      <w:pPr>
        <w:widowControl w:val="0"/>
        <w:autoSpaceDE w:val="0"/>
        <w:autoSpaceDN w:val="0"/>
        <w:adjustRightInd w:val="0"/>
        <w:spacing w:after="0" w:line="360" w:lineRule="auto"/>
        <w:rPr>
          <w:rFonts w:eastAsia="Calibri" w:cs="Tahoma"/>
          <w:bCs/>
          <w:iCs/>
          <w:color w:val="000000"/>
          <w:szCs w:val="24"/>
          <w:lang w:eastAsia="es-MX"/>
        </w:rPr>
      </w:pPr>
    </w:p>
    <w:p w14:paraId="76036AB4" w14:textId="77777777" w:rsidR="005412B9" w:rsidRPr="00E079D0" w:rsidRDefault="00E079D0" w:rsidP="00E079D0">
      <w:pPr>
        <w:widowControl w:val="0"/>
        <w:numPr>
          <w:ilvl w:val="0"/>
          <w:numId w:val="6"/>
        </w:numPr>
        <w:autoSpaceDE w:val="0"/>
        <w:autoSpaceDN w:val="0"/>
        <w:adjustRightInd w:val="0"/>
        <w:spacing w:after="0" w:line="360" w:lineRule="auto"/>
        <w:rPr>
          <w:rFonts w:eastAsia="Calibri" w:cs="Tahoma"/>
          <w:bCs/>
          <w:iCs/>
          <w:color w:val="000000"/>
          <w:szCs w:val="24"/>
          <w:lang w:eastAsia="es-MX"/>
        </w:rPr>
      </w:pPr>
      <w:r w:rsidRPr="00E079D0">
        <w:rPr>
          <w:rFonts w:eastAsia="Calibri" w:cs="Tahoma"/>
          <w:bCs/>
          <w:iCs/>
          <w:color w:val="000000"/>
          <w:szCs w:val="24"/>
          <w:lang w:eastAsia="es-MX"/>
        </w:rPr>
        <w:t xml:space="preserve"> La </w:t>
      </w:r>
      <w:r w:rsidRPr="00E079D0">
        <w:rPr>
          <w:rFonts w:eastAsia="Calibri" w:cs="Tahoma"/>
          <w:bCs/>
          <w:iCs/>
          <w:color w:val="000000"/>
          <w:szCs w:val="24"/>
          <w:lang w:val="es-ES_tradnl" w:eastAsia="es-MX"/>
        </w:rPr>
        <w:t>Conciliación de Nómina Mensual del Sujeto Obligado, de enero a julio de dos mil veintiuno</w:t>
      </w:r>
      <w:r w:rsidRPr="00E079D0">
        <w:rPr>
          <w:rFonts w:eastAsia="Calibri" w:cs="Tahoma"/>
          <w:bCs/>
          <w:iCs/>
          <w:color w:val="000000"/>
          <w:szCs w:val="24"/>
          <w:lang w:eastAsia="es-MX"/>
        </w:rPr>
        <w:t xml:space="preserve">. </w:t>
      </w:r>
    </w:p>
    <w:p w14:paraId="744DE306" w14:textId="77777777" w:rsidR="009638DE" w:rsidRDefault="009638DE" w:rsidP="00CF0BAE">
      <w:pPr>
        <w:spacing w:after="0" w:line="360" w:lineRule="auto"/>
        <w:rPr>
          <w:rFonts w:eastAsia="Times New Roman" w:cs="Tahoma"/>
          <w:iCs/>
          <w:color w:val="auto"/>
          <w:lang w:eastAsia="es-ES"/>
        </w:rPr>
      </w:pPr>
    </w:p>
    <w:p w14:paraId="0CFE3D47" w14:textId="6A5E72D5" w:rsidR="00CF0BAE" w:rsidRPr="00C94E88" w:rsidRDefault="00CF0BAE" w:rsidP="00CF0BAE">
      <w:pPr>
        <w:spacing w:after="0" w:line="360" w:lineRule="auto"/>
        <w:rPr>
          <w:rFonts w:eastAsia="Times New Roman" w:cs="Tahoma"/>
          <w:iCs/>
          <w:color w:val="auto"/>
          <w:lang w:eastAsia="es-ES"/>
        </w:rPr>
      </w:pPr>
      <w:r w:rsidRPr="00C94E88">
        <w:rPr>
          <w:rFonts w:eastAsia="Times New Roman" w:cs="Tahoma"/>
          <w:iCs/>
          <w:color w:val="auto"/>
          <w:lang w:eastAsia="es-ES"/>
        </w:rPr>
        <w:t>Adem</w:t>
      </w:r>
      <w:r>
        <w:rPr>
          <w:rFonts w:eastAsia="Times New Roman" w:cs="Tahoma"/>
          <w:iCs/>
          <w:color w:val="auto"/>
          <w:lang w:eastAsia="es-ES"/>
        </w:rPr>
        <w:t xml:space="preserve">ás, </w:t>
      </w:r>
      <w:r w:rsidR="009638DE">
        <w:rPr>
          <w:rFonts w:eastAsia="Times New Roman" w:cs="Tahoma"/>
          <w:iCs/>
          <w:color w:val="auto"/>
          <w:lang w:eastAsia="es-ES"/>
        </w:rPr>
        <w:t xml:space="preserve">de ser necesario, </w:t>
      </w:r>
      <w:r>
        <w:rPr>
          <w:rFonts w:eastAsia="Times New Roman" w:cs="Tahoma"/>
          <w:iCs/>
          <w:color w:val="auto"/>
          <w:lang w:eastAsia="es-ES"/>
        </w:rPr>
        <w:t xml:space="preserve">deberá proporcionar </w:t>
      </w:r>
      <w:r w:rsidRPr="005F6096">
        <w:rPr>
          <w:rFonts w:eastAsia="Calibri" w:cs="Tahoma"/>
          <w:bCs/>
          <w:iCs/>
          <w:color w:val="000000"/>
        </w:rPr>
        <w:t>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DAFF4CB" w14:textId="77777777" w:rsidR="00051642" w:rsidRDefault="00051642" w:rsidP="008567E8">
      <w:pPr>
        <w:spacing w:after="0" w:line="360" w:lineRule="auto"/>
        <w:ind w:right="-93"/>
        <w:rPr>
          <w:rFonts w:eastAsia="Calibri" w:cs="Tahoma"/>
          <w:bCs/>
          <w:color w:val="auto"/>
        </w:rPr>
      </w:pPr>
    </w:p>
    <w:p w14:paraId="19E838AA" w14:textId="77777777" w:rsidR="009638DE" w:rsidRDefault="009638DE" w:rsidP="008567E8">
      <w:pPr>
        <w:spacing w:after="0" w:line="360" w:lineRule="auto"/>
        <w:ind w:right="-93"/>
        <w:rPr>
          <w:rFonts w:eastAsia="Calibri" w:cs="Tahoma"/>
          <w:bCs/>
          <w:color w:val="auto"/>
        </w:rPr>
      </w:pPr>
    </w:p>
    <w:p w14:paraId="312BB636" w14:textId="77777777" w:rsidR="009638DE" w:rsidRPr="00D13FCC" w:rsidRDefault="009638DE" w:rsidP="008567E8">
      <w:pPr>
        <w:spacing w:after="0" w:line="360" w:lineRule="auto"/>
        <w:ind w:right="-93"/>
        <w:rPr>
          <w:rFonts w:eastAsia="Calibri" w:cs="Tahoma"/>
          <w:bCs/>
          <w:color w:val="auto"/>
        </w:rPr>
      </w:pPr>
    </w:p>
    <w:bookmarkEnd w:id="21"/>
    <w:p w14:paraId="28A4B1B4" w14:textId="38997A0D" w:rsidR="00051642" w:rsidRDefault="009638DE" w:rsidP="008567E8">
      <w:pPr>
        <w:spacing w:after="0" w:line="360" w:lineRule="auto"/>
        <w:rPr>
          <w:rFonts w:eastAsia="Times New Roman" w:cs="Tahoma"/>
          <w:color w:val="auto"/>
          <w:lang w:eastAsia="es-ES"/>
        </w:rPr>
      </w:pPr>
      <w:r>
        <w:rPr>
          <w:rFonts w:eastAsia="Calibri" w:cs="Tahoma"/>
          <w:b/>
          <w:color w:val="auto"/>
          <w:lang w:eastAsia="es-MX"/>
        </w:rPr>
        <w:t>TERCERO</w:t>
      </w:r>
      <w:r w:rsidR="00051642" w:rsidRPr="00D13FCC">
        <w:rPr>
          <w:rFonts w:eastAsia="Calibri" w:cs="Tahoma"/>
          <w:b/>
          <w:bCs/>
          <w:color w:val="auto"/>
        </w:rPr>
        <w:t xml:space="preserve">. </w:t>
      </w:r>
      <w:r w:rsidR="00051642" w:rsidRPr="00D13FCC">
        <w:rPr>
          <w:rFonts w:eastAsia="Times New Roman" w:cs="Tahoma"/>
          <w:b/>
          <w:color w:val="auto"/>
          <w:lang w:eastAsia="es-ES"/>
        </w:rPr>
        <w:t xml:space="preserve">NOTIFÍQUESE </w:t>
      </w:r>
      <w:r w:rsidR="00051642"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F079C98" w14:textId="77777777" w:rsidR="002302CE" w:rsidRPr="00D13FCC" w:rsidRDefault="002302CE" w:rsidP="008567E8">
      <w:pPr>
        <w:spacing w:after="0" w:line="360" w:lineRule="auto"/>
        <w:rPr>
          <w:rFonts w:eastAsia="Times New Roman" w:cs="Tahoma"/>
          <w:i/>
          <w:color w:val="auto"/>
          <w:lang w:eastAsia="es-ES"/>
        </w:rPr>
      </w:pPr>
    </w:p>
    <w:p w14:paraId="2663DCA3" w14:textId="37A2C0E9" w:rsidR="00051642" w:rsidRDefault="009638DE" w:rsidP="008567E8">
      <w:pPr>
        <w:spacing w:after="0" w:line="360" w:lineRule="auto"/>
        <w:rPr>
          <w:rFonts w:eastAsia="Times New Roman" w:cs="Tahoma"/>
          <w:color w:val="auto"/>
          <w:lang w:eastAsia="es-ES"/>
        </w:rPr>
      </w:pPr>
      <w:r>
        <w:rPr>
          <w:rFonts w:eastAsia="Calibri" w:cs="Tahoma"/>
          <w:b/>
          <w:bCs/>
          <w:iCs/>
          <w:color w:val="auto"/>
          <w:lang w:val="es-ES" w:eastAsia="es-ES"/>
        </w:rPr>
        <w:t>CUARTO</w:t>
      </w:r>
      <w:r w:rsidR="00051642" w:rsidRPr="00D13FCC">
        <w:rPr>
          <w:rFonts w:eastAsia="Calibri" w:cs="Tahoma"/>
          <w:bCs/>
          <w:iCs/>
          <w:color w:val="auto"/>
          <w:lang w:val="es-ES" w:eastAsia="es-ES"/>
        </w:rPr>
        <w:t>.</w:t>
      </w:r>
      <w:r>
        <w:rPr>
          <w:rFonts w:eastAsia="Calibri" w:cs="Tahoma"/>
          <w:bCs/>
          <w:iCs/>
          <w:color w:val="auto"/>
          <w:lang w:val="es-ES" w:eastAsia="es-ES"/>
        </w:rPr>
        <w:t xml:space="preserve"> </w:t>
      </w:r>
      <w:r w:rsidR="00051642" w:rsidRPr="00D13FCC">
        <w:rPr>
          <w:rFonts w:eastAsia="Times New Roman" w:cs="Tahoma"/>
          <w:b/>
          <w:color w:val="auto"/>
          <w:lang w:eastAsia="es-ES"/>
        </w:rPr>
        <w:t>NOTIFÍQUESE</w:t>
      </w:r>
      <w:r w:rsidR="00051642" w:rsidRPr="00D13FCC">
        <w:rPr>
          <w:rFonts w:eastAsia="Times New Roman" w:cs="Tahoma"/>
          <w:color w:val="auto"/>
          <w:lang w:eastAsia="es-ES"/>
        </w:rPr>
        <w:t xml:space="preserve"> </w:t>
      </w:r>
      <w:r w:rsidR="00051642">
        <w:rPr>
          <w:rFonts w:eastAsia="Times New Roman" w:cs="Tahoma"/>
          <w:color w:val="auto"/>
          <w:lang w:eastAsia="es-ES"/>
        </w:rPr>
        <w:t>a</w:t>
      </w:r>
      <w:r w:rsidR="00051642" w:rsidRPr="00D13FCC">
        <w:rPr>
          <w:rFonts w:eastAsia="Times New Roman" w:cs="Tahoma"/>
          <w:color w:val="auto"/>
          <w:lang w:eastAsia="es-ES"/>
        </w:rPr>
        <w:t>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4C23565" w14:textId="77777777" w:rsidR="00104C84" w:rsidRPr="00D13FCC" w:rsidRDefault="00104C84" w:rsidP="008567E8">
      <w:pPr>
        <w:spacing w:after="0" w:line="360" w:lineRule="auto"/>
        <w:rPr>
          <w:rFonts w:eastAsia="Times New Roman" w:cs="Tahoma"/>
          <w:color w:val="auto"/>
          <w:lang w:eastAsia="es-ES"/>
        </w:rPr>
      </w:pPr>
    </w:p>
    <w:p w14:paraId="2606DD75" w14:textId="79735C18" w:rsidR="00051642" w:rsidRPr="00546DEA" w:rsidRDefault="009638DE" w:rsidP="008567E8">
      <w:pPr>
        <w:spacing w:after="0" w:line="360" w:lineRule="auto"/>
      </w:pPr>
      <w:r>
        <w:rPr>
          <w:b/>
          <w:bCs/>
        </w:rPr>
        <w:t>QUINTO</w:t>
      </w:r>
      <w:r w:rsidR="00051642" w:rsidRPr="00546DEA">
        <w:rPr>
          <w:b/>
          <w:bCs/>
        </w:rPr>
        <w:t>.</w:t>
      </w:r>
      <w:r w:rsidR="00051642"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706A9610" w14:textId="77777777" w:rsidR="00051642" w:rsidRPr="00D13FCC" w:rsidRDefault="00051642" w:rsidP="008567E8">
      <w:pPr>
        <w:spacing w:after="0" w:line="360" w:lineRule="auto"/>
        <w:ind w:right="-93"/>
        <w:rPr>
          <w:rFonts w:eastAsia="Times New Roman" w:cs="Times New Roman"/>
          <w:color w:val="000000"/>
          <w:shd w:val="clear" w:color="auto" w:fill="FFFFFF"/>
          <w:lang w:eastAsia="es-ES"/>
        </w:rPr>
      </w:pPr>
    </w:p>
    <w:p w14:paraId="2C209EB6" w14:textId="06B0ED2D" w:rsidR="004737A1" w:rsidRDefault="007F2C33" w:rsidP="008567E8">
      <w:pPr>
        <w:spacing w:after="0" w:line="360" w:lineRule="auto"/>
      </w:pPr>
      <w:r w:rsidRPr="00445101">
        <w:rPr>
          <w:rFonts w:eastAsia="Calibri" w:cs="Tahoma"/>
          <w:lang w:val="es-ES" w:eastAsia="es-ES_tradnl"/>
        </w:rPr>
        <w:t xml:space="preserve">ASÍ LO RESUELVE, POR </w:t>
      </w:r>
      <w:r w:rsidRPr="00BE5EDA">
        <w:rPr>
          <w:rFonts w:eastAsia="Calibri" w:cs="Tahoma"/>
          <w:b/>
          <w:bCs/>
          <w:lang w:val="es-ES" w:eastAsia="es-ES_tradnl"/>
        </w:rPr>
        <w:t>UNANIMIDAD</w:t>
      </w:r>
      <w:r w:rsidRPr="00445101">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w:t>
      </w:r>
      <w:r w:rsidR="001C1C0D" w:rsidRPr="00445101">
        <w:rPr>
          <w:rFonts w:eastAsia="Calibri" w:cs="Tahoma"/>
          <w:lang w:val="es-ES" w:eastAsia="es-ES_tradnl"/>
        </w:rPr>
        <w:t>VILCHIS, MARÍA DEL ROSARIO MEJÍA AYALA, SHARON CRISTINA MORALES MARTÍNEZ</w:t>
      </w:r>
      <w:r w:rsidR="001C1C0D">
        <w:rPr>
          <w:rFonts w:eastAsia="Calibri" w:cs="Tahoma"/>
          <w:lang w:val="es-ES" w:eastAsia="es-ES_tradnl"/>
        </w:rPr>
        <w:t xml:space="preserve"> (CON AUSENCIA JUSTIFICADA)</w:t>
      </w:r>
      <w:r w:rsidR="001C1C0D" w:rsidRPr="00445101">
        <w:rPr>
          <w:rFonts w:eastAsia="Calibri" w:cs="Tahoma"/>
          <w:lang w:val="es-ES" w:eastAsia="es-ES_tradnl"/>
        </w:rPr>
        <w:t xml:space="preserve">, LUIS GUSTAVO PARRA NORIEGA Y GUADALUPE RAMÍREZ PEÑA, EN LA </w:t>
      </w:r>
      <w:r w:rsidR="001C1C0D">
        <w:rPr>
          <w:rFonts w:eastAsia="Calibri" w:cs="Tahoma"/>
          <w:lang w:val="es-ES" w:eastAsia="es-ES_tradnl"/>
        </w:rPr>
        <w:t>SEGUNDA</w:t>
      </w:r>
      <w:r w:rsidR="001C1C0D" w:rsidRPr="00445101">
        <w:rPr>
          <w:rFonts w:eastAsia="Calibri" w:cs="Tahoma"/>
          <w:lang w:val="es-ES" w:eastAsia="es-ES_tradnl"/>
        </w:rPr>
        <w:t xml:space="preserve"> SESIÓN ORDINARIA, CELEBRADA EL </w:t>
      </w:r>
      <w:r w:rsidR="001C1C0D">
        <w:rPr>
          <w:rFonts w:eastAsia="Calibri" w:cs="Tahoma"/>
          <w:lang w:val="es-ES" w:eastAsia="es-ES_tradnl"/>
        </w:rPr>
        <w:t>DIECINUEVE</w:t>
      </w:r>
      <w:r w:rsidR="001C1C0D" w:rsidRPr="00445101">
        <w:rPr>
          <w:rFonts w:eastAsia="Calibri" w:cs="Tahoma"/>
          <w:lang w:val="es-ES" w:eastAsia="es-ES_tradnl"/>
        </w:rPr>
        <w:t xml:space="preserve"> DE </w:t>
      </w:r>
      <w:r w:rsidR="001C1C0D">
        <w:rPr>
          <w:rFonts w:eastAsia="Calibri" w:cs="Tahoma"/>
          <w:lang w:val="es-ES" w:eastAsia="es-ES_tradnl"/>
        </w:rPr>
        <w:t xml:space="preserve">ENERO </w:t>
      </w:r>
      <w:r w:rsidR="001C1C0D" w:rsidRPr="00445101">
        <w:rPr>
          <w:rFonts w:eastAsia="Calibri" w:cs="Tahoma"/>
          <w:lang w:val="es-ES" w:eastAsia="es-ES_tradnl"/>
        </w:rPr>
        <w:t>DE DOS MIL VEINTI</w:t>
      </w:r>
      <w:r w:rsidR="001C1C0D">
        <w:rPr>
          <w:rFonts w:eastAsia="Calibri" w:cs="Tahoma"/>
          <w:lang w:val="es-ES" w:eastAsia="es-ES_tradnl"/>
        </w:rPr>
        <w:t>DÓS</w:t>
      </w:r>
      <w:r w:rsidR="001C1C0D" w:rsidRPr="00445101">
        <w:rPr>
          <w:rFonts w:eastAsia="Calibri" w:cs="Tahoma"/>
          <w:lang w:val="es-ES" w:eastAsia="es-ES_tradnl"/>
        </w:rPr>
        <w:t>, ANTE EL SECRETARIO TÉCNICO DEL PLENO, ALEXIS TAPIA RAMÍREZ</w:t>
      </w:r>
      <w:r w:rsidR="004737A1">
        <w:t xml:space="preserve">. </w:t>
      </w:r>
    </w:p>
    <w:p w14:paraId="4C877CE3" w14:textId="77777777" w:rsidR="004737A1" w:rsidRDefault="004737A1">
      <w:pPr>
        <w:jc w:val="left"/>
      </w:pPr>
      <w:r>
        <w:br w:type="page"/>
      </w:r>
    </w:p>
    <w:p w14:paraId="21CE6978" w14:textId="77777777" w:rsidR="00966CA6" w:rsidRDefault="00966CA6" w:rsidP="008567E8">
      <w:pPr>
        <w:spacing w:after="0" w:line="360" w:lineRule="auto"/>
      </w:pPr>
    </w:p>
    <w:sectPr w:rsidR="00966CA6" w:rsidSect="00D06800">
      <w:headerReference w:type="even" r:id="rId20"/>
      <w:headerReference w:type="default" r:id="rId21"/>
      <w:footerReference w:type="even" r:id="rId22"/>
      <w:footerReference w:type="default" r:id="rId23"/>
      <w:headerReference w:type="first" r:id="rId24"/>
      <w:footerReference w:type="first" r:id="rId25"/>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C5919" w14:textId="77777777" w:rsidR="00A36365" w:rsidRDefault="00A36365" w:rsidP="00051642">
      <w:pPr>
        <w:spacing w:after="0" w:line="240" w:lineRule="auto"/>
      </w:pPr>
      <w:r>
        <w:separator/>
      </w:r>
    </w:p>
  </w:endnote>
  <w:endnote w:type="continuationSeparator" w:id="0">
    <w:p w14:paraId="1863666A" w14:textId="77777777" w:rsidR="00A36365" w:rsidRDefault="00A36365"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D06800" w:rsidRDefault="00D0680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D06800" w:rsidRDefault="00D0680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D06800" w:rsidRDefault="00D0680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95AD8">
              <w:rPr>
                <w:b/>
                <w:bCs/>
                <w:noProof/>
              </w:rPr>
              <w:t>44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95AD8">
              <w:rPr>
                <w:b/>
                <w:bCs/>
                <w:noProof/>
              </w:rPr>
              <w:t>46</w:t>
            </w:r>
            <w:r>
              <w:rPr>
                <w:b/>
                <w:bCs/>
                <w:sz w:val="24"/>
                <w:szCs w:val="24"/>
              </w:rPr>
              <w:fldChar w:fldCharType="end"/>
            </w:r>
          </w:p>
        </w:sdtContent>
      </w:sdt>
    </w:sdtContent>
  </w:sdt>
  <w:p w14:paraId="148ABC98" w14:textId="77777777" w:rsidR="00D06800" w:rsidRDefault="00D0680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D06800" w:rsidRDefault="00D0680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95AD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95AD8">
              <w:rPr>
                <w:b/>
                <w:bCs/>
                <w:noProof/>
              </w:rPr>
              <w:t>46</w:t>
            </w:r>
            <w:r>
              <w:rPr>
                <w:b/>
                <w:bCs/>
                <w:sz w:val="24"/>
                <w:szCs w:val="24"/>
              </w:rPr>
              <w:fldChar w:fldCharType="end"/>
            </w:r>
          </w:p>
        </w:sdtContent>
      </w:sdt>
    </w:sdtContent>
  </w:sdt>
  <w:p w14:paraId="0054A614" w14:textId="77777777" w:rsidR="00D06800" w:rsidRDefault="00D0680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C4590" w14:textId="77777777" w:rsidR="00A36365" w:rsidRDefault="00A36365" w:rsidP="00051642">
      <w:pPr>
        <w:spacing w:after="0" w:line="240" w:lineRule="auto"/>
      </w:pPr>
      <w:r>
        <w:separator/>
      </w:r>
    </w:p>
  </w:footnote>
  <w:footnote w:type="continuationSeparator" w:id="0">
    <w:p w14:paraId="6CBF07FB" w14:textId="77777777" w:rsidR="00A36365" w:rsidRDefault="00A36365" w:rsidP="00051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D06800" w:rsidRPr="00E152D8" w14:paraId="7B534606" w14:textId="77777777" w:rsidTr="00D06800">
      <w:trPr>
        <w:trHeight w:val="132"/>
      </w:trPr>
      <w:tc>
        <w:tcPr>
          <w:tcW w:w="2691" w:type="dxa"/>
        </w:tcPr>
        <w:p w14:paraId="7A9AA251" w14:textId="77777777" w:rsidR="00D06800" w:rsidRPr="00E152D8" w:rsidRDefault="00D06800" w:rsidP="00D06800">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D06800" w:rsidRPr="00EE1572" w:rsidRDefault="00D06800" w:rsidP="00D06800">
          <w:pPr>
            <w:tabs>
              <w:tab w:val="right" w:pos="8838"/>
            </w:tabs>
            <w:ind w:left="-28" w:right="-32"/>
            <w:rPr>
              <w:rFonts w:eastAsia="Calibri" w:cs="Tahoma"/>
            </w:rPr>
          </w:pPr>
          <w:r w:rsidRPr="00EE1572">
            <w:rPr>
              <w:rFonts w:eastAsia="Calibri" w:cs="Tahoma"/>
            </w:rPr>
            <w:t>03846/INFOEM/IP/RR/2020</w:t>
          </w:r>
        </w:p>
      </w:tc>
    </w:tr>
    <w:tr w:rsidR="00D06800" w:rsidRPr="00E152D8" w14:paraId="284C2E9A" w14:textId="77777777" w:rsidTr="00D06800">
      <w:trPr>
        <w:trHeight w:val="261"/>
      </w:trPr>
      <w:tc>
        <w:tcPr>
          <w:tcW w:w="2691" w:type="dxa"/>
        </w:tcPr>
        <w:p w14:paraId="44B24339" w14:textId="77777777" w:rsidR="00D06800" w:rsidRPr="00E152D8" w:rsidRDefault="00D06800" w:rsidP="00D06800">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D06800" w:rsidRPr="00EE1572" w:rsidRDefault="00D06800" w:rsidP="00D06800">
          <w:pPr>
            <w:tabs>
              <w:tab w:val="right" w:pos="8838"/>
            </w:tabs>
            <w:ind w:right="-32"/>
            <w:rPr>
              <w:rFonts w:eastAsia="Calibri" w:cs="Tahoma"/>
              <w:lang w:val="es-MX"/>
            </w:rPr>
          </w:pPr>
          <w:r w:rsidRPr="00EE1572">
            <w:rPr>
              <w:rFonts w:eastAsia="Calibri" w:cs="Tahoma"/>
              <w:lang w:val="es-MX"/>
            </w:rPr>
            <w:t>Ayuntamiento de Temascalcingo</w:t>
          </w:r>
        </w:p>
      </w:tc>
    </w:tr>
    <w:tr w:rsidR="00D06800" w:rsidRPr="00E152D8" w14:paraId="72CFE0E4" w14:textId="77777777" w:rsidTr="00D06800">
      <w:trPr>
        <w:trHeight w:val="261"/>
      </w:trPr>
      <w:tc>
        <w:tcPr>
          <w:tcW w:w="2691" w:type="dxa"/>
        </w:tcPr>
        <w:p w14:paraId="0DA486DE" w14:textId="77777777" w:rsidR="00D06800" w:rsidRPr="00E152D8" w:rsidRDefault="00D06800" w:rsidP="00D06800">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D06800" w:rsidRPr="00E152D8" w:rsidRDefault="00D06800" w:rsidP="00D06800">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D06800" w:rsidRDefault="00A36365">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5"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685"/>
    </w:tblGrid>
    <w:tr w:rsidR="00D06800" w:rsidRPr="00E152D8" w14:paraId="38C70F26" w14:textId="77777777" w:rsidTr="00A01507">
      <w:trPr>
        <w:trHeight w:val="138"/>
      </w:trPr>
      <w:tc>
        <w:tcPr>
          <w:tcW w:w="2410" w:type="dxa"/>
        </w:tcPr>
        <w:p w14:paraId="06C599F7" w14:textId="77777777" w:rsidR="00D06800" w:rsidRPr="00E152D8" w:rsidRDefault="00D06800" w:rsidP="00D06800">
          <w:pPr>
            <w:tabs>
              <w:tab w:val="right" w:pos="8838"/>
            </w:tabs>
            <w:ind w:right="-105"/>
            <w:jc w:val="left"/>
            <w:rPr>
              <w:rFonts w:eastAsia="Calibri" w:cs="Tahoma"/>
              <w:b/>
              <w:lang w:val="es-MX"/>
            </w:rPr>
          </w:pPr>
          <w:r w:rsidRPr="00E152D8">
            <w:rPr>
              <w:rFonts w:eastAsia="Calibri" w:cs="Tahoma"/>
              <w:b/>
              <w:lang w:val="es-MX"/>
            </w:rPr>
            <w:t>Recurso de Revisión:</w:t>
          </w:r>
        </w:p>
      </w:tc>
      <w:tc>
        <w:tcPr>
          <w:tcW w:w="3685" w:type="dxa"/>
        </w:tcPr>
        <w:p w14:paraId="65B05558" w14:textId="40D22A92" w:rsidR="00D06800" w:rsidRPr="00051642" w:rsidRDefault="00D06800" w:rsidP="00D06800">
          <w:pPr>
            <w:tabs>
              <w:tab w:val="right" w:pos="8838"/>
            </w:tabs>
            <w:ind w:right="-32"/>
            <w:rPr>
              <w:rFonts w:eastAsia="Calibri" w:cs="Tahoma"/>
            </w:rPr>
          </w:pPr>
          <w:r w:rsidRPr="00E42370">
            <w:rPr>
              <w:rFonts w:eastAsia="Calibri" w:cs="Tahoma"/>
              <w:lang w:val="es-MX"/>
            </w:rPr>
            <w:t>04926/INFOEM/ICR-62/IP/RR/2021 y acumulado</w:t>
          </w:r>
        </w:p>
      </w:tc>
    </w:tr>
    <w:tr w:rsidR="00D06800" w:rsidRPr="00E152D8" w14:paraId="55B27BFC" w14:textId="77777777" w:rsidTr="00A01507">
      <w:trPr>
        <w:trHeight w:val="273"/>
      </w:trPr>
      <w:tc>
        <w:tcPr>
          <w:tcW w:w="2410" w:type="dxa"/>
        </w:tcPr>
        <w:p w14:paraId="479CFA26" w14:textId="77777777" w:rsidR="00D06800" w:rsidRPr="00E152D8" w:rsidRDefault="00D06800" w:rsidP="00D06800">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85" w:type="dxa"/>
        </w:tcPr>
        <w:p w14:paraId="6C35595F" w14:textId="2ED7F841" w:rsidR="00D06800" w:rsidRPr="00051642" w:rsidRDefault="00D06800" w:rsidP="00D06800">
          <w:pPr>
            <w:tabs>
              <w:tab w:val="right" w:pos="8838"/>
            </w:tabs>
            <w:ind w:left="-28" w:right="-32"/>
            <w:rPr>
              <w:rFonts w:eastAsia="Calibri" w:cs="Tahoma"/>
              <w:lang w:val="es-MX"/>
            </w:rPr>
          </w:pPr>
          <w:r w:rsidRPr="00D679B6">
            <w:rPr>
              <w:rFonts w:eastAsia="Calibri" w:cs="Tahoma"/>
              <w:lang w:val="es-MX"/>
            </w:rPr>
            <w:t xml:space="preserve">Ayuntamiento de </w:t>
          </w:r>
          <w:bookmarkStart w:id="22" w:name="_Hlk92803788"/>
          <w:r w:rsidRPr="00D679B6">
            <w:rPr>
              <w:rFonts w:eastAsia="Calibri" w:cs="Tahoma"/>
              <w:lang w:val="es-MX"/>
            </w:rPr>
            <w:t>Tezoyuca</w:t>
          </w:r>
          <w:bookmarkEnd w:id="22"/>
        </w:p>
      </w:tc>
    </w:tr>
    <w:tr w:rsidR="00D06800" w:rsidRPr="00E152D8" w14:paraId="64299B43" w14:textId="77777777" w:rsidTr="00A01507">
      <w:trPr>
        <w:trHeight w:val="273"/>
      </w:trPr>
      <w:tc>
        <w:tcPr>
          <w:tcW w:w="2410" w:type="dxa"/>
        </w:tcPr>
        <w:p w14:paraId="3B4B50BB" w14:textId="77777777" w:rsidR="00D06800" w:rsidRPr="00E152D8" w:rsidRDefault="00D06800" w:rsidP="00D06800">
          <w:pPr>
            <w:tabs>
              <w:tab w:val="right" w:pos="8838"/>
            </w:tabs>
            <w:ind w:right="-105"/>
            <w:rPr>
              <w:rFonts w:eastAsia="Calibri" w:cs="Tahoma"/>
              <w:b/>
              <w:lang w:val="es-MX"/>
            </w:rPr>
          </w:pPr>
          <w:r w:rsidRPr="00E152D8">
            <w:rPr>
              <w:rFonts w:eastAsia="Calibri" w:cs="Tahoma"/>
              <w:b/>
              <w:lang w:val="es-MX"/>
            </w:rPr>
            <w:t>Comisionado Ponente:</w:t>
          </w:r>
        </w:p>
      </w:tc>
      <w:tc>
        <w:tcPr>
          <w:tcW w:w="3685" w:type="dxa"/>
        </w:tcPr>
        <w:p w14:paraId="5364FC23" w14:textId="77777777" w:rsidR="00D06800" w:rsidRPr="00E152D8" w:rsidRDefault="00D06800" w:rsidP="00D06800">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77777777" w:rsidR="00D06800" w:rsidRDefault="00A36365" w:rsidP="00D06800">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style="position:absolute;left:0;text-align:left;margin-left:-108.6pt;margin-top:-123.7pt;width:663.5pt;height:12in;z-index:-25165619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237"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546"/>
    </w:tblGrid>
    <w:tr w:rsidR="00D06800" w:rsidRPr="00E152D8" w14:paraId="6E5B10C8" w14:textId="77777777" w:rsidTr="00EA6556">
      <w:trPr>
        <w:trHeight w:val="132"/>
      </w:trPr>
      <w:tc>
        <w:tcPr>
          <w:tcW w:w="2691" w:type="dxa"/>
        </w:tcPr>
        <w:p w14:paraId="0FBD6B5C" w14:textId="77777777" w:rsidR="00D06800" w:rsidRPr="00E152D8" w:rsidRDefault="00D06800" w:rsidP="00D06800">
          <w:pPr>
            <w:tabs>
              <w:tab w:val="right" w:pos="8838"/>
            </w:tabs>
            <w:ind w:right="-105"/>
            <w:rPr>
              <w:rFonts w:eastAsia="Calibri" w:cs="Tahoma"/>
              <w:b/>
              <w:lang w:val="es-MX"/>
            </w:rPr>
          </w:pPr>
          <w:r w:rsidRPr="00E152D8">
            <w:rPr>
              <w:rFonts w:eastAsia="Calibri" w:cs="Tahoma"/>
              <w:b/>
              <w:lang w:val="es-MX"/>
            </w:rPr>
            <w:t>Recurso de Revisión:</w:t>
          </w:r>
        </w:p>
      </w:tc>
      <w:tc>
        <w:tcPr>
          <w:tcW w:w="3546" w:type="dxa"/>
        </w:tcPr>
        <w:p w14:paraId="70CC72C0" w14:textId="7634A861" w:rsidR="00D06800" w:rsidRPr="00051642" w:rsidRDefault="00D06800" w:rsidP="00D06800">
          <w:pPr>
            <w:tabs>
              <w:tab w:val="right" w:pos="8838"/>
            </w:tabs>
            <w:ind w:left="-111" w:right="-32"/>
            <w:rPr>
              <w:rFonts w:eastAsia="Calibri" w:cs="Tahoma"/>
            </w:rPr>
          </w:pPr>
          <w:r w:rsidRPr="00E42370">
            <w:rPr>
              <w:rFonts w:eastAsia="Calibri" w:cs="Tahoma"/>
              <w:lang w:val="es-MX"/>
            </w:rPr>
            <w:t>04926/INFOEM/ICR-62/IP/RR/2021</w:t>
          </w:r>
          <w:r>
            <w:rPr>
              <w:rFonts w:eastAsia="Calibri" w:cs="Tahoma"/>
              <w:lang w:val="es-MX"/>
            </w:rPr>
            <w:t xml:space="preserve"> y acumulado</w:t>
          </w:r>
        </w:p>
      </w:tc>
    </w:tr>
    <w:tr w:rsidR="00D06800" w:rsidRPr="00E152D8" w14:paraId="43CEC0C7" w14:textId="77777777" w:rsidTr="00EA6556">
      <w:trPr>
        <w:trHeight w:val="132"/>
      </w:trPr>
      <w:tc>
        <w:tcPr>
          <w:tcW w:w="2691" w:type="dxa"/>
        </w:tcPr>
        <w:p w14:paraId="369FAB30" w14:textId="77777777" w:rsidR="00D06800" w:rsidRPr="00E152D8" w:rsidRDefault="00D06800" w:rsidP="00D06800">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546" w:type="dxa"/>
        </w:tcPr>
        <w:p w14:paraId="267724E2" w14:textId="294017E2" w:rsidR="00D06800" w:rsidRPr="00E152D8" w:rsidRDefault="00D06800" w:rsidP="00D06800">
          <w:pPr>
            <w:tabs>
              <w:tab w:val="right" w:pos="8838"/>
            </w:tabs>
            <w:ind w:left="-111" w:right="-109"/>
            <w:rPr>
              <w:rFonts w:eastAsia="Calibri" w:cs="Tahoma"/>
              <w:lang w:val="es-MX"/>
            </w:rPr>
          </w:pPr>
        </w:p>
      </w:tc>
    </w:tr>
    <w:tr w:rsidR="00D06800" w:rsidRPr="00E152D8" w14:paraId="30C3D119" w14:textId="77777777" w:rsidTr="00EA6556">
      <w:trPr>
        <w:trHeight w:val="261"/>
      </w:trPr>
      <w:tc>
        <w:tcPr>
          <w:tcW w:w="2691" w:type="dxa"/>
        </w:tcPr>
        <w:p w14:paraId="6DC6617D" w14:textId="77777777" w:rsidR="00D06800" w:rsidRPr="00E152D8" w:rsidRDefault="00D06800" w:rsidP="00D06800">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6" w:type="dxa"/>
        </w:tcPr>
        <w:p w14:paraId="6E96F863" w14:textId="33BE2050" w:rsidR="00D06800" w:rsidRPr="00051642" w:rsidRDefault="00D06800" w:rsidP="00D06800">
          <w:pPr>
            <w:tabs>
              <w:tab w:val="right" w:pos="8838"/>
            </w:tabs>
            <w:ind w:left="-111" w:right="-32"/>
            <w:rPr>
              <w:rFonts w:eastAsia="Calibri" w:cs="Tahoma"/>
              <w:lang w:val="es-MX"/>
            </w:rPr>
          </w:pPr>
          <w:r w:rsidRPr="00D679B6">
            <w:rPr>
              <w:rFonts w:eastAsia="Calibri" w:cs="Tahoma"/>
              <w:lang w:val="es-MX"/>
            </w:rPr>
            <w:t>Ayuntamiento de Tezoyuca</w:t>
          </w:r>
        </w:p>
      </w:tc>
    </w:tr>
    <w:tr w:rsidR="00D06800" w:rsidRPr="00E152D8" w14:paraId="1C2055A9" w14:textId="77777777" w:rsidTr="00EA6556">
      <w:trPr>
        <w:trHeight w:val="261"/>
      </w:trPr>
      <w:tc>
        <w:tcPr>
          <w:tcW w:w="2691" w:type="dxa"/>
        </w:tcPr>
        <w:p w14:paraId="63396B8B" w14:textId="77777777" w:rsidR="00D06800" w:rsidRPr="00E152D8" w:rsidRDefault="00D06800" w:rsidP="00D06800">
          <w:pPr>
            <w:tabs>
              <w:tab w:val="right" w:pos="8838"/>
            </w:tabs>
            <w:ind w:right="-105"/>
            <w:rPr>
              <w:rFonts w:eastAsia="Calibri" w:cs="Tahoma"/>
              <w:b/>
              <w:lang w:val="es-MX"/>
            </w:rPr>
          </w:pPr>
          <w:r w:rsidRPr="00E152D8">
            <w:rPr>
              <w:rFonts w:eastAsia="Calibri" w:cs="Tahoma"/>
              <w:b/>
              <w:lang w:val="es-MX"/>
            </w:rPr>
            <w:t>Comisionado Ponente:</w:t>
          </w:r>
        </w:p>
      </w:tc>
      <w:tc>
        <w:tcPr>
          <w:tcW w:w="3546" w:type="dxa"/>
        </w:tcPr>
        <w:p w14:paraId="2CDFADEE" w14:textId="77777777" w:rsidR="00D06800" w:rsidRPr="00E152D8" w:rsidRDefault="00D06800" w:rsidP="00D06800">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7777777" w:rsidR="00D06800" w:rsidRDefault="00A36365" w:rsidP="00D06800">
    <w:pPr>
      <w:pStyle w:val="Encabezado"/>
      <w:tabs>
        <w:tab w:val="left" w:pos="5812"/>
      </w:tabs>
    </w:pPr>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style="position:absolute;left:0;text-align:left;margin-left:-108.6pt;margin-top:-124.75pt;width:663.5pt;height:12in;z-index:-25165516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B61C1"/>
    <w:multiLevelType w:val="hybridMultilevel"/>
    <w:tmpl w:val="36A6EA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8335A32"/>
    <w:multiLevelType w:val="hybridMultilevel"/>
    <w:tmpl w:val="0678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4278C5"/>
    <w:multiLevelType w:val="hybridMultilevel"/>
    <w:tmpl w:val="019401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0F80100"/>
    <w:multiLevelType w:val="hybridMultilevel"/>
    <w:tmpl w:val="3244D3E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52BF2D71"/>
    <w:multiLevelType w:val="hybridMultilevel"/>
    <w:tmpl w:val="2B48E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4"/>
  </w:num>
  <w:num w:numId="4">
    <w:abstractNumId w:val="5"/>
  </w:num>
  <w:num w:numId="5">
    <w:abstractNumId w:val="1"/>
  </w:num>
  <w:num w:numId="6">
    <w:abstractNumId w:val="2"/>
  </w:num>
  <w:num w:numId="7">
    <w:abstractNumId w:val="7"/>
  </w:num>
  <w:num w:numId="8">
    <w:abstractNumId w:val="0"/>
  </w:num>
  <w:num w:numId="9">
    <w:abstractNumId w:val="13"/>
  </w:num>
  <w:num w:numId="10">
    <w:abstractNumId w:val="9"/>
  </w:num>
  <w:num w:numId="11">
    <w:abstractNumId w:val="8"/>
  </w:num>
  <w:num w:numId="12">
    <w:abstractNumId w:val="6"/>
  </w:num>
  <w:num w:numId="13">
    <w:abstractNumId w:val="1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42"/>
    <w:rsid w:val="00024952"/>
    <w:rsid w:val="00050179"/>
    <w:rsid w:val="00051642"/>
    <w:rsid w:val="00077FFA"/>
    <w:rsid w:val="000A127A"/>
    <w:rsid w:val="000A341D"/>
    <w:rsid w:val="000C778B"/>
    <w:rsid w:val="000E2D3C"/>
    <w:rsid w:val="00103013"/>
    <w:rsid w:val="00104C84"/>
    <w:rsid w:val="00105647"/>
    <w:rsid w:val="00106BD2"/>
    <w:rsid w:val="0015070B"/>
    <w:rsid w:val="00154C55"/>
    <w:rsid w:val="00183086"/>
    <w:rsid w:val="001B742E"/>
    <w:rsid w:val="001C1C0D"/>
    <w:rsid w:val="001C3821"/>
    <w:rsid w:val="001C3B04"/>
    <w:rsid w:val="001C7154"/>
    <w:rsid w:val="001E651A"/>
    <w:rsid w:val="002108A6"/>
    <w:rsid w:val="00211E2C"/>
    <w:rsid w:val="00225657"/>
    <w:rsid w:val="002302CE"/>
    <w:rsid w:val="0023114C"/>
    <w:rsid w:val="00245041"/>
    <w:rsid w:val="0027365E"/>
    <w:rsid w:val="002A2C08"/>
    <w:rsid w:val="002B2F7C"/>
    <w:rsid w:val="002C0D93"/>
    <w:rsid w:val="002E4A20"/>
    <w:rsid w:val="002F3441"/>
    <w:rsid w:val="002F50C6"/>
    <w:rsid w:val="00302555"/>
    <w:rsid w:val="00305FBD"/>
    <w:rsid w:val="00317F5B"/>
    <w:rsid w:val="0032417C"/>
    <w:rsid w:val="0035133F"/>
    <w:rsid w:val="00357735"/>
    <w:rsid w:val="00370FE3"/>
    <w:rsid w:val="00380E10"/>
    <w:rsid w:val="0038194F"/>
    <w:rsid w:val="00382A3B"/>
    <w:rsid w:val="00384DCB"/>
    <w:rsid w:val="003A5172"/>
    <w:rsid w:val="003A6482"/>
    <w:rsid w:val="003D6371"/>
    <w:rsid w:val="003E2ABB"/>
    <w:rsid w:val="003E514A"/>
    <w:rsid w:val="003F0840"/>
    <w:rsid w:val="003F5BF7"/>
    <w:rsid w:val="004270E2"/>
    <w:rsid w:val="0043588F"/>
    <w:rsid w:val="00437C6C"/>
    <w:rsid w:val="004640F3"/>
    <w:rsid w:val="0046689B"/>
    <w:rsid w:val="004737A1"/>
    <w:rsid w:val="004956B6"/>
    <w:rsid w:val="004A0F18"/>
    <w:rsid w:val="004A140A"/>
    <w:rsid w:val="004D290A"/>
    <w:rsid w:val="004F3D07"/>
    <w:rsid w:val="00504AF0"/>
    <w:rsid w:val="0051175E"/>
    <w:rsid w:val="00526494"/>
    <w:rsid w:val="00534D86"/>
    <w:rsid w:val="005369D0"/>
    <w:rsid w:val="005412B9"/>
    <w:rsid w:val="005441C8"/>
    <w:rsid w:val="00544F7D"/>
    <w:rsid w:val="00547EDB"/>
    <w:rsid w:val="005924C4"/>
    <w:rsid w:val="00617DF0"/>
    <w:rsid w:val="00626704"/>
    <w:rsid w:val="006277C5"/>
    <w:rsid w:val="00642669"/>
    <w:rsid w:val="0065553D"/>
    <w:rsid w:val="00667094"/>
    <w:rsid w:val="00676C01"/>
    <w:rsid w:val="006B4CAC"/>
    <w:rsid w:val="006F63FA"/>
    <w:rsid w:val="0072577B"/>
    <w:rsid w:val="00777312"/>
    <w:rsid w:val="00792A50"/>
    <w:rsid w:val="007A1B3A"/>
    <w:rsid w:val="007B2749"/>
    <w:rsid w:val="007D3D1F"/>
    <w:rsid w:val="007F2440"/>
    <w:rsid w:val="007F2C33"/>
    <w:rsid w:val="0080061B"/>
    <w:rsid w:val="00814577"/>
    <w:rsid w:val="00833D09"/>
    <w:rsid w:val="0084225B"/>
    <w:rsid w:val="008539F8"/>
    <w:rsid w:val="008567E8"/>
    <w:rsid w:val="00865114"/>
    <w:rsid w:val="00891B54"/>
    <w:rsid w:val="00894D31"/>
    <w:rsid w:val="008E2DA1"/>
    <w:rsid w:val="0090301F"/>
    <w:rsid w:val="00904DE1"/>
    <w:rsid w:val="00916A20"/>
    <w:rsid w:val="009270EA"/>
    <w:rsid w:val="009638DE"/>
    <w:rsid w:val="00966CA6"/>
    <w:rsid w:val="00967B25"/>
    <w:rsid w:val="00985B53"/>
    <w:rsid w:val="00987B84"/>
    <w:rsid w:val="00995AD8"/>
    <w:rsid w:val="009C40E0"/>
    <w:rsid w:val="009D0818"/>
    <w:rsid w:val="009F03F8"/>
    <w:rsid w:val="00A01507"/>
    <w:rsid w:val="00A077F2"/>
    <w:rsid w:val="00A31D7A"/>
    <w:rsid w:val="00A36365"/>
    <w:rsid w:val="00A97A26"/>
    <w:rsid w:val="00AA2348"/>
    <w:rsid w:val="00AA7FF8"/>
    <w:rsid w:val="00AC2906"/>
    <w:rsid w:val="00AC54B3"/>
    <w:rsid w:val="00AF429B"/>
    <w:rsid w:val="00B07524"/>
    <w:rsid w:val="00B12F4A"/>
    <w:rsid w:val="00B65B3A"/>
    <w:rsid w:val="00B744EB"/>
    <w:rsid w:val="00B821D5"/>
    <w:rsid w:val="00B85CA5"/>
    <w:rsid w:val="00B865EF"/>
    <w:rsid w:val="00B87AC5"/>
    <w:rsid w:val="00BA48B3"/>
    <w:rsid w:val="00BD49BB"/>
    <w:rsid w:val="00BD6E61"/>
    <w:rsid w:val="00BE3552"/>
    <w:rsid w:val="00BE5EDA"/>
    <w:rsid w:val="00BF54F9"/>
    <w:rsid w:val="00C5741E"/>
    <w:rsid w:val="00C94E88"/>
    <w:rsid w:val="00CB3102"/>
    <w:rsid w:val="00CC24B9"/>
    <w:rsid w:val="00CF0BAE"/>
    <w:rsid w:val="00D06800"/>
    <w:rsid w:val="00D10169"/>
    <w:rsid w:val="00D31D02"/>
    <w:rsid w:val="00D34076"/>
    <w:rsid w:val="00D4465F"/>
    <w:rsid w:val="00D534BB"/>
    <w:rsid w:val="00D679B6"/>
    <w:rsid w:val="00D903F5"/>
    <w:rsid w:val="00DA6104"/>
    <w:rsid w:val="00DB12DB"/>
    <w:rsid w:val="00DB5D3F"/>
    <w:rsid w:val="00DC1818"/>
    <w:rsid w:val="00DC77CC"/>
    <w:rsid w:val="00DD3B9A"/>
    <w:rsid w:val="00DD6DA6"/>
    <w:rsid w:val="00E0193D"/>
    <w:rsid w:val="00E079D0"/>
    <w:rsid w:val="00E168B0"/>
    <w:rsid w:val="00E17A99"/>
    <w:rsid w:val="00E36332"/>
    <w:rsid w:val="00E42370"/>
    <w:rsid w:val="00E7170C"/>
    <w:rsid w:val="00E77637"/>
    <w:rsid w:val="00E843DC"/>
    <w:rsid w:val="00E87B69"/>
    <w:rsid w:val="00EA6556"/>
    <w:rsid w:val="00EB68E1"/>
    <w:rsid w:val="00EC56EA"/>
    <w:rsid w:val="00EE0368"/>
    <w:rsid w:val="00EE086D"/>
    <w:rsid w:val="00EE1EE0"/>
    <w:rsid w:val="00EF5DBE"/>
    <w:rsid w:val="00F046B3"/>
    <w:rsid w:val="00F13ED5"/>
    <w:rsid w:val="00F5419D"/>
    <w:rsid w:val="00F60478"/>
    <w:rsid w:val="00F83617"/>
    <w:rsid w:val="00F857FD"/>
    <w:rsid w:val="00F90DE8"/>
    <w:rsid w:val="00F910E8"/>
    <w:rsid w:val="00FA1130"/>
    <w:rsid w:val="00FA2734"/>
    <w:rsid w:val="00FB2ACB"/>
    <w:rsid w:val="00FD65E3"/>
    <w:rsid w:val="00FE3207"/>
    <w:rsid w:val="00FF0A10"/>
    <w:rsid w:val="00FF0B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5EF"/>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 w:type="character" w:styleId="Hipervnculo">
    <w:name w:val="Hyperlink"/>
    <w:basedOn w:val="Fuentedeprrafopredeter"/>
    <w:uiPriority w:val="99"/>
    <w:unhideWhenUsed/>
    <w:rsid w:val="004D290A"/>
    <w:rPr>
      <w:color w:val="0563C1" w:themeColor="hyperlink"/>
      <w:u w:val="single"/>
    </w:rPr>
  </w:style>
  <w:style w:type="character" w:customStyle="1" w:styleId="Mencinsinresolver1">
    <w:name w:val="Mención sin resolver1"/>
    <w:basedOn w:val="Fuentedeprrafopredeter"/>
    <w:uiPriority w:val="99"/>
    <w:semiHidden/>
    <w:unhideWhenUsed/>
    <w:rsid w:val="004D2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13671882">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gob.mx/sesnsp/acciones-y-programas/incidencia-delictiva-del-fuero-comun-nueva-metodologia?state=publishe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nafed.gob.mx/work/models/inafed/Resource/335/1/images/guia07_elaboracion_y_ejercicio_del_presupuesto_de_egresos.pdf" TargetMode="External"/><Relationship Id="rId17" Type="http://schemas.openxmlformats.org/officeDocument/2006/relationships/hyperlink" Target="http://secretariadoejecutivo.gob.mx/work/models/SecretariadoEjecutivo/Resource/328/1/images/instructivo_final_edo_fuerza(1).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apartados.hacienda.gob.mx/contabilidad/documentos/informe_cuenta/1998/cuenta_publica/Glosario/n.htm"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ransparenciapresupuestaria.gob.mx/es/PTP/Glosario"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4D5E2-814D-4D51-B2DE-D800D5AC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11492</Words>
  <Characters>63209</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USUARIO</cp:lastModifiedBy>
  <cp:revision>7</cp:revision>
  <dcterms:created xsi:type="dcterms:W3CDTF">2022-01-13T01:52:00Z</dcterms:created>
  <dcterms:modified xsi:type="dcterms:W3CDTF">2022-05-06T18:07:00Z</dcterms:modified>
</cp:coreProperties>
</file>