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12568" w14:textId="6E2C1ED7" w:rsidR="005F2D09" w:rsidRPr="00971432" w:rsidRDefault="005F2D09" w:rsidP="00971432">
      <w:pPr>
        <w:spacing w:line="360" w:lineRule="auto"/>
        <w:contextualSpacing/>
        <w:jc w:val="both"/>
        <w:rPr>
          <w:rFonts w:ascii="Palatino Linotype" w:hAnsi="Palatino Linotype" w:cs="Tahoma"/>
          <w:sz w:val="22"/>
          <w:szCs w:val="22"/>
          <w:lang w:val="es-ES"/>
        </w:rPr>
      </w:pPr>
      <w:bookmarkStart w:id="0" w:name="_GoBack"/>
      <w:bookmarkEnd w:id="0"/>
      <w:r w:rsidRPr="0097143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971432">
        <w:rPr>
          <w:rFonts w:ascii="Palatino Linotype" w:hAnsi="Palatino Linotype" w:cs="Tahoma"/>
          <w:sz w:val="22"/>
          <w:szCs w:val="22"/>
          <w:lang w:val="es-ES"/>
        </w:rPr>
        <w:t xml:space="preserve">Estado de México, de fecha de </w:t>
      </w:r>
      <w:r w:rsidR="00082023" w:rsidRPr="00971432">
        <w:rPr>
          <w:rFonts w:ascii="Palatino Linotype" w:hAnsi="Palatino Linotype" w:cs="Tahoma"/>
          <w:sz w:val="22"/>
          <w:szCs w:val="22"/>
          <w:lang w:val="es-ES"/>
        </w:rPr>
        <w:t>dieciséis</w:t>
      </w:r>
      <w:r w:rsidR="00BF35DC" w:rsidRPr="00971432">
        <w:rPr>
          <w:rFonts w:ascii="Palatino Linotype" w:hAnsi="Palatino Linotype" w:cs="Tahoma"/>
          <w:sz w:val="22"/>
          <w:szCs w:val="22"/>
          <w:lang w:val="es-ES"/>
        </w:rPr>
        <w:t xml:space="preserve"> de marzo</w:t>
      </w:r>
      <w:r w:rsidRPr="00971432">
        <w:rPr>
          <w:rFonts w:ascii="Palatino Linotype" w:hAnsi="Palatino Linotype" w:cs="Tahoma"/>
          <w:sz w:val="22"/>
          <w:szCs w:val="22"/>
          <w:lang w:val="es-ES"/>
        </w:rPr>
        <w:t xml:space="preserve"> de dos mil veintidós. </w:t>
      </w:r>
    </w:p>
    <w:p w14:paraId="4EC4C9D7" w14:textId="77777777" w:rsidR="005F2D09" w:rsidRPr="00971432" w:rsidRDefault="005F2D09" w:rsidP="00971432">
      <w:pPr>
        <w:spacing w:line="360" w:lineRule="auto"/>
        <w:contextualSpacing/>
        <w:jc w:val="both"/>
        <w:rPr>
          <w:rFonts w:ascii="Palatino Linotype" w:hAnsi="Palatino Linotype" w:cs="Tahoma"/>
          <w:b/>
          <w:bCs/>
          <w:sz w:val="22"/>
          <w:szCs w:val="22"/>
          <w:lang w:val="es-ES"/>
        </w:rPr>
      </w:pPr>
    </w:p>
    <w:p w14:paraId="6E802CBF" w14:textId="6EB490DC" w:rsidR="005F2D09" w:rsidRPr="00971432" w:rsidRDefault="28A491FE" w:rsidP="28A491FE">
      <w:pPr>
        <w:spacing w:line="360" w:lineRule="auto"/>
        <w:contextualSpacing/>
        <w:jc w:val="both"/>
        <w:rPr>
          <w:rFonts w:ascii="Palatino Linotype" w:hAnsi="Palatino Linotype" w:cs="Tahoma"/>
          <w:sz w:val="22"/>
          <w:szCs w:val="22"/>
        </w:rPr>
      </w:pPr>
      <w:r w:rsidRPr="28A491FE">
        <w:rPr>
          <w:rFonts w:ascii="Palatino Linotype" w:hAnsi="Palatino Linotype" w:cs="Tahoma"/>
          <w:b/>
          <w:bCs/>
          <w:sz w:val="22"/>
          <w:szCs w:val="22"/>
        </w:rPr>
        <w:t xml:space="preserve">VISTO </w:t>
      </w:r>
      <w:r w:rsidRPr="28A491FE">
        <w:rPr>
          <w:rFonts w:ascii="Palatino Linotype" w:hAnsi="Palatino Linotype" w:cs="Tahoma"/>
          <w:sz w:val="22"/>
          <w:szCs w:val="22"/>
        </w:rPr>
        <w:t xml:space="preserve">el expediente conformado con motivo del Recurso de Revisión </w:t>
      </w:r>
      <w:r w:rsidRPr="28A491FE">
        <w:rPr>
          <w:rFonts w:ascii="Palatino Linotype" w:eastAsia="Calibri" w:hAnsi="Palatino Linotype" w:cs="Tahoma"/>
          <w:b/>
          <w:bCs/>
          <w:sz w:val="22"/>
          <w:szCs w:val="22"/>
          <w:lang w:eastAsia="en-US"/>
        </w:rPr>
        <w:t>00201/INFOEM/IP/RR/2022</w:t>
      </w:r>
      <w:r w:rsidRPr="28A491FE">
        <w:rPr>
          <w:rFonts w:ascii="Palatino Linotype" w:hAnsi="Palatino Linotype" w:cs="Tahoma"/>
          <w:b/>
          <w:bCs/>
          <w:sz w:val="22"/>
          <w:szCs w:val="22"/>
        </w:rPr>
        <w:t>,</w:t>
      </w:r>
      <w:r w:rsidRPr="28A491FE">
        <w:rPr>
          <w:rFonts w:ascii="Palatino Linotype" w:hAnsi="Palatino Linotype" w:cs="Tahoma"/>
          <w:sz w:val="22"/>
          <w:szCs w:val="22"/>
        </w:rPr>
        <w:t xml:space="preserve"> interpuesto por </w:t>
      </w:r>
      <w:r w:rsidRPr="28A491FE">
        <w:rPr>
          <w:rFonts w:ascii="Palatino Linotype" w:hAnsi="Palatino Linotype" w:cs="Tahoma"/>
          <w:b/>
          <w:bCs/>
          <w:sz w:val="22"/>
          <w:szCs w:val="22"/>
          <w:highlight w:val="black"/>
        </w:rPr>
        <w:t>XXXXX</w:t>
      </w:r>
      <w:r w:rsidRPr="28A491FE">
        <w:rPr>
          <w:rFonts w:ascii="Palatino Linotype" w:hAnsi="Palatino Linotype" w:cs="Tahoma"/>
          <w:sz w:val="22"/>
          <w:szCs w:val="22"/>
        </w:rPr>
        <w:t xml:space="preserve">, en lo sucesivo el Recurrente o Particular, en contra de la respuesta del Sujeto Obligado, el </w:t>
      </w:r>
      <w:r w:rsidRPr="28A491FE">
        <w:rPr>
          <w:rFonts w:ascii="Palatino Linotype" w:hAnsi="Palatino Linotype" w:cs="Tahoma"/>
          <w:b/>
          <w:bCs/>
          <w:sz w:val="22"/>
          <w:szCs w:val="22"/>
        </w:rPr>
        <w:t xml:space="preserve">Ayuntamiento de Jaltenco, </w:t>
      </w:r>
      <w:r w:rsidRPr="28A491FE">
        <w:rPr>
          <w:rFonts w:ascii="Palatino Linotype" w:hAnsi="Palatino Linotype" w:cs="Tahoma"/>
          <w:sz w:val="22"/>
          <w:szCs w:val="22"/>
        </w:rPr>
        <w:t>se emite la presente Resolución, con base en los Antecedentes y Considerandos que a continuación se exponen:</w:t>
      </w:r>
    </w:p>
    <w:p w14:paraId="46418DF4" w14:textId="77777777" w:rsidR="005F2D09" w:rsidRPr="00971432" w:rsidRDefault="005F2D09" w:rsidP="00971432">
      <w:pPr>
        <w:spacing w:line="360" w:lineRule="auto"/>
        <w:contextualSpacing/>
        <w:jc w:val="both"/>
        <w:rPr>
          <w:rFonts w:ascii="Palatino Linotype" w:hAnsi="Palatino Linotype" w:cs="Tahoma"/>
          <w:b/>
          <w:bCs/>
          <w:sz w:val="22"/>
          <w:szCs w:val="22"/>
          <w:lang w:val="es-ES"/>
        </w:rPr>
      </w:pPr>
    </w:p>
    <w:p w14:paraId="5BEF9923" w14:textId="77777777" w:rsidR="005F2D09" w:rsidRPr="00971432" w:rsidRDefault="005F2D09" w:rsidP="00971432">
      <w:pPr>
        <w:spacing w:line="360" w:lineRule="auto"/>
        <w:contextualSpacing/>
        <w:jc w:val="center"/>
        <w:rPr>
          <w:rFonts w:ascii="Palatino Linotype" w:hAnsi="Palatino Linotype" w:cs="Tahoma"/>
          <w:b/>
          <w:bCs/>
          <w:sz w:val="22"/>
          <w:szCs w:val="22"/>
          <w:lang w:val="es-ES"/>
        </w:rPr>
      </w:pPr>
      <w:r w:rsidRPr="00971432">
        <w:rPr>
          <w:rFonts w:ascii="Palatino Linotype" w:hAnsi="Palatino Linotype" w:cs="Tahoma"/>
          <w:b/>
          <w:bCs/>
          <w:sz w:val="22"/>
          <w:szCs w:val="22"/>
          <w:lang w:val="es-ES"/>
        </w:rPr>
        <w:t>A N T E C E D E N T E S:</w:t>
      </w:r>
    </w:p>
    <w:p w14:paraId="11D2C935" w14:textId="77777777" w:rsidR="005F2D09" w:rsidRPr="00971432" w:rsidRDefault="005F2D09" w:rsidP="00971432">
      <w:pPr>
        <w:spacing w:line="360" w:lineRule="auto"/>
        <w:contextualSpacing/>
        <w:jc w:val="both"/>
        <w:rPr>
          <w:rFonts w:ascii="Palatino Linotype" w:hAnsi="Palatino Linotype" w:cs="Tahoma"/>
          <w:sz w:val="22"/>
          <w:szCs w:val="22"/>
          <w:lang w:val="es-ES"/>
        </w:rPr>
      </w:pPr>
    </w:p>
    <w:p w14:paraId="5E7DA289" w14:textId="77777777" w:rsidR="005F2D09" w:rsidRPr="00971432" w:rsidRDefault="005F2D09" w:rsidP="00971432">
      <w:pPr>
        <w:spacing w:line="360" w:lineRule="auto"/>
        <w:contextualSpacing/>
        <w:jc w:val="both"/>
        <w:rPr>
          <w:rFonts w:ascii="Palatino Linotype" w:hAnsi="Palatino Linotype" w:cs="Tahoma"/>
          <w:b/>
          <w:bCs/>
          <w:sz w:val="22"/>
          <w:szCs w:val="22"/>
          <w:lang w:val="es-ES"/>
        </w:rPr>
      </w:pPr>
      <w:r w:rsidRPr="00971432">
        <w:rPr>
          <w:rFonts w:ascii="Palatino Linotype" w:hAnsi="Palatino Linotype" w:cs="Tahoma"/>
          <w:b/>
          <w:bCs/>
          <w:sz w:val="22"/>
          <w:szCs w:val="22"/>
          <w:lang w:val="es-ES"/>
        </w:rPr>
        <w:t>I. Presentación de la solicitud de información.</w:t>
      </w:r>
    </w:p>
    <w:p w14:paraId="14D14906" w14:textId="77777777" w:rsidR="005F2D09" w:rsidRPr="00971432" w:rsidRDefault="005F2D09" w:rsidP="00971432">
      <w:pPr>
        <w:spacing w:line="360" w:lineRule="auto"/>
        <w:contextualSpacing/>
        <w:jc w:val="both"/>
        <w:rPr>
          <w:rFonts w:ascii="Palatino Linotype" w:hAnsi="Palatino Linotype" w:cs="Tahoma"/>
          <w:b/>
          <w:bCs/>
          <w:sz w:val="22"/>
          <w:szCs w:val="22"/>
          <w:lang w:val="es-ES"/>
        </w:rPr>
      </w:pPr>
    </w:p>
    <w:p w14:paraId="18007544" w14:textId="3588FBA9" w:rsidR="00971432" w:rsidRPr="00EF14F1" w:rsidRDefault="005F2D09" w:rsidP="00971432">
      <w:pPr>
        <w:tabs>
          <w:tab w:val="left" w:pos="567"/>
        </w:tabs>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lang w:val="es-ES"/>
        </w:rPr>
        <w:t>El</w:t>
      </w:r>
      <w:r w:rsidR="004327F8" w:rsidRPr="00971432">
        <w:rPr>
          <w:rFonts w:ascii="Palatino Linotype" w:hAnsi="Palatino Linotype" w:cs="Tahoma"/>
          <w:sz w:val="22"/>
          <w:szCs w:val="22"/>
          <w:lang w:val="es-ES"/>
        </w:rPr>
        <w:t xml:space="preserve"> </w:t>
      </w:r>
      <w:r w:rsidR="00971432">
        <w:rPr>
          <w:rFonts w:ascii="Palatino Linotype" w:hAnsi="Palatino Linotype" w:cs="Tahoma"/>
          <w:sz w:val="22"/>
          <w:szCs w:val="22"/>
          <w:lang w:val="es-ES"/>
        </w:rPr>
        <w:t>dieciocho</w:t>
      </w:r>
      <w:r w:rsidR="00BF35DC" w:rsidRPr="00971432">
        <w:rPr>
          <w:rFonts w:ascii="Palatino Linotype" w:hAnsi="Palatino Linotype" w:cs="Tahoma"/>
          <w:sz w:val="22"/>
          <w:szCs w:val="22"/>
          <w:lang w:val="es-ES"/>
        </w:rPr>
        <w:t xml:space="preserve"> de </w:t>
      </w:r>
      <w:r w:rsidR="004327F8" w:rsidRPr="00971432">
        <w:rPr>
          <w:rFonts w:ascii="Palatino Linotype" w:hAnsi="Palatino Linotype" w:cs="Tahoma"/>
          <w:sz w:val="22"/>
          <w:szCs w:val="22"/>
          <w:lang w:val="es-ES"/>
        </w:rPr>
        <w:t>diciembre</w:t>
      </w:r>
      <w:r w:rsidRPr="00971432">
        <w:rPr>
          <w:rFonts w:ascii="Palatino Linotype" w:hAnsi="Palatino Linotype" w:cs="Tahoma"/>
          <w:sz w:val="22"/>
          <w:szCs w:val="22"/>
          <w:lang w:val="es-ES"/>
        </w:rPr>
        <w:t xml:space="preserve"> de dos mil veinti</w:t>
      </w:r>
      <w:r w:rsidR="004327F8" w:rsidRPr="00971432">
        <w:rPr>
          <w:rFonts w:ascii="Palatino Linotype" w:hAnsi="Palatino Linotype" w:cs="Tahoma"/>
          <w:sz w:val="22"/>
          <w:szCs w:val="22"/>
          <w:lang w:val="es-ES"/>
        </w:rPr>
        <w:t>uno</w:t>
      </w:r>
      <w:r w:rsidRPr="00971432">
        <w:rPr>
          <w:rFonts w:ascii="Palatino Linotype" w:hAnsi="Palatino Linotype" w:cs="Tahoma"/>
          <w:sz w:val="22"/>
          <w:szCs w:val="22"/>
          <w:lang w:val="es-ES"/>
        </w:rPr>
        <w:t xml:space="preserve">, el Particular presentó una solicitud de acceso a la información pública, a través del Sistema de Acceso a la </w:t>
      </w:r>
      <w:r w:rsidR="00971432">
        <w:rPr>
          <w:rFonts w:ascii="Palatino Linotype" w:hAnsi="Palatino Linotype" w:cs="Tahoma"/>
          <w:sz w:val="22"/>
          <w:szCs w:val="22"/>
          <w:lang w:val="es-ES"/>
        </w:rPr>
        <w:t>Información Mexiquense (SAIMEX); sin embargo, en atención a que fue día inhábil; ello en atención a lo dispuesto en el calendario que para tales efectos emite este Organismo Garante; se radicó al siguiente día hábil; es decir, el veinte de diciembre del mismo año;</w:t>
      </w:r>
      <w:r w:rsidR="00971432">
        <w:rPr>
          <w:rFonts w:ascii="Palatino Linotype" w:hAnsi="Palatino Linotype" w:cs="Tahoma"/>
          <w:sz w:val="22"/>
          <w:szCs w:val="22"/>
        </w:rPr>
        <w:t xml:space="preserve"> la cual, que fue presentada </w:t>
      </w:r>
      <w:r w:rsidR="00971432" w:rsidRPr="00EF14F1">
        <w:rPr>
          <w:rFonts w:ascii="Palatino Linotype" w:hAnsi="Palatino Linotype" w:cs="Tahoma"/>
          <w:sz w:val="22"/>
          <w:szCs w:val="22"/>
        </w:rPr>
        <w:t>ante e</w:t>
      </w:r>
      <w:r w:rsidR="00971432">
        <w:rPr>
          <w:rFonts w:ascii="Palatino Linotype" w:hAnsi="Palatino Linotype" w:cs="Tahoma"/>
          <w:bCs/>
          <w:sz w:val="22"/>
          <w:szCs w:val="22"/>
        </w:rPr>
        <w:t>l</w:t>
      </w:r>
      <w:r w:rsidR="00971432" w:rsidRPr="00971432">
        <w:rPr>
          <w:rFonts w:ascii="Palatino Linotype" w:hAnsi="Palatino Linotype" w:cs="Tahoma"/>
          <w:sz w:val="22"/>
          <w:szCs w:val="22"/>
        </w:rPr>
        <w:t xml:space="preserve"> </w:t>
      </w:r>
      <w:r w:rsidR="00971432" w:rsidRPr="00971432">
        <w:rPr>
          <w:rFonts w:ascii="Palatino Linotype" w:hAnsi="Palatino Linotype" w:cs="Tahoma"/>
          <w:b/>
          <w:bCs/>
          <w:sz w:val="22"/>
          <w:szCs w:val="22"/>
        </w:rPr>
        <w:t>Ayuntamiento de Jaltenco</w:t>
      </w:r>
      <w:r w:rsidR="00971432" w:rsidRPr="00EF14F1">
        <w:rPr>
          <w:rFonts w:ascii="Palatino Linotype" w:hAnsi="Palatino Linotype" w:cs="Tahoma"/>
          <w:sz w:val="22"/>
          <w:szCs w:val="22"/>
        </w:rPr>
        <w:t xml:space="preserve">, mediante el cual requirió lo siguiente: </w:t>
      </w:r>
    </w:p>
    <w:p w14:paraId="47BE90C9" w14:textId="1916BA94" w:rsidR="005F2D09" w:rsidRPr="00971432" w:rsidRDefault="005F2D09" w:rsidP="00971432">
      <w:pPr>
        <w:spacing w:line="360" w:lineRule="auto"/>
        <w:contextualSpacing/>
        <w:jc w:val="both"/>
        <w:rPr>
          <w:rFonts w:ascii="Palatino Linotype" w:hAnsi="Palatino Linotype" w:cs="Tahoma"/>
          <w:sz w:val="22"/>
          <w:szCs w:val="22"/>
        </w:rPr>
      </w:pPr>
    </w:p>
    <w:p w14:paraId="4B380DAE" w14:textId="28E21011" w:rsidR="00A9475C" w:rsidRPr="00117DCC" w:rsidRDefault="005F2D09" w:rsidP="00117DCC">
      <w:pPr>
        <w:tabs>
          <w:tab w:val="left" w:pos="8505"/>
        </w:tabs>
        <w:spacing w:line="360" w:lineRule="auto"/>
        <w:ind w:left="567" w:right="539"/>
        <w:contextualSpacing/>
        <w:jc w:val="both"/>
        <w:rPr>
          <w:rFonts w:ascii="Palatino Linotype" w:hAnsi="Palatino Linotype" w:cs="Tahoma"/>
          <w:b/>
          <w:bCs/>
        </w:rPr>
      </w:pPr>
      <w:bookmarkStart w:id="1" w:name="_Hlk90547484"/>
      <w:bookmarkStart w:id="2" w:name="_Hlk90547640"/>
      <w:r w:rsidRPr="00117DCC">
        <w:rPr>
          <w:rFonts w:ascii="Palatino Linotype" w:hAnsi="Palatino Linotype" w:cs="Tahoma"/>
          <w:b/>
          <w:bCs/>
        </w:rPr>
        <w:t>Solicitud de folio:</w:t>
      </w:r>
      <w:r w:rsidRPr="00117DCC">
        <w:rPr>
          <w:rFonts w:ascii="Palatino Linotype" w:hAnsi="Palatino Linotype" w:cs="Tahoma"/>
        </w:rPr>
        <w:t xml:space="preserve"> </w:t>
      </w:r>
      <w:r w:rsidR="004327F8" w:rsidRPr="00117DCC">
        <w:rPr>
          <w:rFonts w:ascii="Palatino Linotype" w:hAnsi="Palatino Linotype" w:cs="Tahoma"/>
          <w:b/>
          <w:bCs/>
        </w:rPr>
        <w:t>00166/JALTENCO/IP/2021</w:t>
      </w:r>
    </w:p>
    <w:p w14:paraId="5218541B" w14:textId="4071AEBE" w:rsidR="005F2D09" w:rsidRPr="00117DCC" w:rsidRDefault="005F2D09" w:rsidP="00117DCC">
      <w:pPr>
        <w:tabs>
          <w:tab w:val="left" w:pos="8505"/>
        </w:tabs>
        <w:spacing w:line="360" w:lineRule="auto"/>
        <w:ind w:left="567" w:right="539"/>
        <w:contextualSpacing/>
        <w:jc w:val="both"/>
        <w:rPr>
          <w:rFonts w:ascii="Palatino Linotype" w:hAnsi="Palatino Linotype" w:cs="Tahoma"/>
          <w:b/>
          <w:bCs/>
        </w:rPr>
      </w:pPr>
      <w:r w:rsidRPr="00117DCC">
        <w:rPr>
          <w:rFonts w:ascii="Palatino Linotype" w:hAnsi="Palatino Linotype" w:cs="Tahoma"/>
          <w:b/>
          <w:bCs/>
        </w:rPr>
        <w:t>DESCRIPCIÓN CLARA Y PRECISA DE LA INFORMACIÓN SOLICITADA:</w:t>
      </w:r>
    </w:p>
    <w:bookmarkEnd w:id="1"/>
    <w:bookmarkEnd w:id="2"/>
    <w:p w14:paraId="648B9FF0" w14:textId="55C78456" w:rsidR="00F0521F" w:rsidRDefault="00117DCC" w:rsidP="00117DCC">
      <w:pPr>
        <w:tabs>
          <w:tab w:val="left" w:pos="8505"/>
        </w:tabs>
        <w:spacing w:line="360" w:lineRule="auto"/>
        <w:ind w:left="567" w:right="539"/>
        <w:contextualSpacing/>
        <w:jc w:val="both"/>
        <w:rPr>
          <w:rFonts w:ascii="Palatino Linotype" w:hAnsi="Palatino Linotype" w:cs="Tahoma"/>
          <w:bCs/>
          <w:i/>
        </w:rPr>
      </w:pPr>
      <w:r w:rsidRPr="00117DCC">
        <w:rPr>
          <w:rFonts w:ascii="Palatino Linotype" w:hAnsi="Palatino Linotype" w:cs="Tahoma"/>
          <w:bCs/>
          <w:i/>
        </w:rPr>
        <w:t xml:space="preserve">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w:t>
      </w:r>
      <w:r w:rsidRPr="00117DCC">
        <w:rPr>
          <w:rFonts w:ascii="Palatino Linotype" w:hAnsi="Palatino Linotype" w:cs="Tahoma"/>
          <w:bCs/>
          <w:i/>
        </w:rPr>
        <w:lastRenderedPageBreak/>
        <w:t>Aclaro que la información solicitada es meramente estadística en ningún momento se pide información o datos personal.</w:t>
      </w:r>
    </w:p>
    <w:p w14:paraId="4C230F09" w14:textId="77777777" w:rsidR="00117DCC" w:rsidRPr="00117DCC" w:rsidRDefault="00117DCC" w:rsidP="00117DCC">
      <w:pPr>
        <w:tabs>
          <w:tab w:val="left" w:pos="8505"/>
        </w:tabs>
        <w:spacing w:line="360" w:lineRule="auto"/>
        <w:ind w:left="567" w:right="539"/>
        <w:contextualSpacing/>
        <w:jc w:val="both"/>
        <w:rPr>
          <w:rFonts w:ascii="Palatino Linotype" w:hAnsi="Palatino Linotype" w:cs="Tahoma"/>
          <w:bCs/>
          <w:i/>
        </w:rPr>
      </w:pPr>
    </w:p>
    <w:p w14:paraId="4301F238" w14:textId="77777777" w:rsidR="005F2D09" w:rsidRPr="00117DCC" w:rsidRDefault="005F2D09" w:rsidP="00117DCC">
      <w:pPr>
        <w:tabs>
          <w:tab w:val="left" w:pos="8505"/>
        </w:tabs>
        <w:spacing w:line="360" w:lineRule="auto"/>
        <w:ind w:left="567" w:right="539"/>
        <w:contextualSpacing/>
        <w:jc w:val="both"/>
        <w:rPr>
          <w:rFonts w:ascii="Palatino Linotype" w:hAnsi="Palatino Linotype" w:cs="Tahoma"/>
          <w:b/>
          <w:bCs/>
          <w:iCs/>
        </w:rPr>
      </w:pPr>
      <w:r w:rsidRPr="00117DCC">
        <w:rPr>
          <w:rFonts w:ascii="Palatino Linotype" w:hAnsi="Palatino Linotype" w:cs="Tahoma"/>
          <w:b/>
          <w:bCs/>
          <w:iCs/>
        </w:rPr>
        <w:t>MODALIDAD DE ENTREGA</w:t>
      </w:r>
    </w:p>
    <w:p w14:paraId="3CB62FC0" w14:textId="77777777" w:rsidR="005F2D09" w:rsidRPr="00117DCC" w:rsidRDefault="005F2D09" w:rsidP="00117DCC">
      <w:pPr>
        <w:tabs>
          <w:tab w:val="left" w:pos="8505"/>
        </w:tabs>
        <w:spacing w:line="360" w:lineRule="auto"/>
        <w:ind w:left="567" w:right="539"/>
        <w:contextualSpacing/>
        <w:jc w:val="both"/>
        <w:rPr>
          <w:rFonts w:ascii="Palatino Linotype" w:hAnsi="Palatino Linotype" w:cs="Tahoma"/>
          <w:bCs/>
          <w:i/>
          <w:iCs/>
        </w:rPr>
      </w:pPr>
      <w:r w:rsidRPr="00117DCC">
        <w:rPr>
          <w:rFonts w:ascii="Palatino Linotype" w:hAnsi="Palatino Linotype" w:cs="Tahoma"/>
          <w:bCs/>
          <w:i/>
          <w:iCs/>
        </w:rPr>
        <w:t>A través del SAIMEX.</w:t>
      </w:r>
    </w:p>
    <w:p w14:paraId="4D111A34" w14:textId="77777777" w:rsidR="00B62EED" w:rsidRPr="00971432" w:rsidRDefault="00B62EED" w:rsidP="00971432">
      <w:pPr>
        <w:spacing w:line="360" w:lineRule="auto"/>
        <w:contextualSpacing/>
        <w:jc w:val="both"/>
        <w:rPr>
          <w:rFonts w:ascii="Palatino Linotype" w:hAnsi="Palatino Linotype" w:cs="Tahoma"/>
          <w:b/>
          <w:sz w:val="22"/>
          <w:szCs w:val="22"/>
        </w:rPr>
      </w:pPr>
    </w:p>
    <w:p w14:paraId="645D93BB" w14:textId="57E741FD" w:rsidR="005F2D09" w:rsidRPr="00971432" w:rsidRDefault="00535C63" w:rsidP="00971432">
      <w:pPr>
        <w:spacing w:line="360" w:lineRule="auto"/>
        <w:contextualSpacing/>
        <w:jc w:val="both"/>
        <w:rPr>
          <w:rFonts w:ascii="Palatino Linotype" w:hAnsi="Palatino Linotype" w:cs="Tahoma"/>
          <w:b/>
          <w:bCs/>
          <w:sz w:val="22"/>
          <w:szCs w:val="22"/>
        </w:rPr>
      </w:pPr>
      <w:r w:rsidRPr="00971432">
        <w:rPr>
          <w:rFonts w:ascii="Palatino Linotype" w:hAnsi="Palatino Linotype" w:cs="Tahoma"/>
          <w:b/>
          <w:sz w:val="22"/>
          <w:szCs w:val="22"/>
        </w:rPr>
        <w:t>II</w:t>
      </w:r>
      <w:r w:rsidR="00B62EED" w:rsidRPr="00971432">
        <w:rPr>
          <w:rFonts w:ascii="Palatino Linotype" w:hAnsi="Palatino Linotype" w:cs="Tahoma"/>
          <w:b/>
          <w:sz w:val="22"/>
          <w:szCs w:val="22"/>
        </w:rPr>
        <w:t xml:space="preserve">. </w:t>
      </w:r>
      <w:r w:rsidR="005F2D09" w:rsidRPr="00971432">
        <w:rPr>
          <w:rFonts w:ascii="Palatino Linotype" w:hAnsi="Palatino Linotype" w:cs="Tahoma"/>
          <w:b/>
          <w:sz w:val="22"/>
          <w:szCs w:val="22"/>
        </w:rPr>
        <w:t>Respuesta</w:t>
      </w:r>
      <w:r w:rsidR="005F2D09" w:rsidRPr="00971432">
        <w:rPr>
          <w:rFonts w:ascii="Palatino Linotype" w:hAnsi="Palatino Linotype" w:cs="Tahoma"/>
          <w:b/>
          <w:bCs/>
          <w:sz w:val="22"/>
          <w:szCs w:val="22"/>
        </w:rPr>
        <w:t xml:space="preserve"> del Sujeto Obligado.</w:t>
      </w:r>
    </w:p>
    <w:p w14:paraId="74F960FF" w14:textId="77777777" w:rsidR="005F2D09" w:rsidRPr="00971432" w:rsidRDefault="005F2D09" w:rsidP="00971432">
      <w:pPr>
        <w:spacing w:line="360" w:lineRule="auto"/>
        <w:contextualSpacing/>
        <w:jc w:val="both"/>
        <w:rPr>
          <w:rFonts w:ascii="Palatino Linotype" w:hAnsi="Palatino Linotype" w:cs="Tahoma"/>
          <w:b/>
          <w:bCs/>
          <w:sz w:val="22"/>
          <w:szCs w:val="22"/>
        </w:rPr>
      </w:pPr>
    </w:p>
    <w:p w14:paraId="1E0AFE57" w14:textId="33A1B60F"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 xml:space="preserve">En fecha </w:t>
      </w:r>
      <w:r w:rsidR="004327F8" w:rsidRPr="00971432">
        <w:rPr>
          <w:rFonts w:ascii="Palatino Linotype" w:hAnsi="Palatino Linotype" w:cs="Tahoma"/>
          <w:sz w:val="22"/>
          <w:szCs w:val="22"/>
        </w:rPr>
        <w:t>veintidós</w:t>
      </w:r>
      <w:r w:rsidR="00535C63" w:rsidRPr="00971432">
        <w:rPr>
          <w:rFonts w:ascii="Palatino Linotype" w:hAnsi="Palatino Linotype" w:cs="Tahoma"/>
          <w:sz w:val="22"/>
          <w:szCs w:val="22"/>
        </w:rPr>
        <w:t xml:space="preserve"> de </w:t>
      </w:r>
      <w:r w:rsidR="004327F8" w:rsidRPr="00971432">
        <w:rPr>
          <w:rFonts w:ascii="Palatino Linotype" w:hAnsi="Palatino Linotype" w:cs="Tahoma"/>
          <w:sz w:val="22"/>
          <w:szCs w:val="22"/>
        </w:rPr>
        <w:t>diciembre</w:t>
      </w:r>
      <w:r w:rsidRPr="00971432">
        <w:rPr>
          <w:rFonts w:ascii="Palatino Linotype" w:hAnsi="Palatino Linotype" w:cs="Tahoma"/>
          <w:sz w:val="22"/>
          <w:szCs w:val="22"/>
        </w:rPr>
        <w:t xml:space="preserve"> de dos mil veinti</w:t>
      </w:r>
      <w:r w:rsidR="004327F8" w:rsidRPr="00971432">
        <w:rPr>
          <w:rFonts w:ascii="Palatino Linotype" w:hAnsi="Palatino Linotype" w:cs="Tahoma"/>
          <w:sz w:val="22"/>
          <w:szCs w:val="22"/>
        </w:rPr>
        <w:t>uno</w:t>
      </w:r>
      <w:r w:rsidRPr="00971432">
        <w:rPr>
          <w:rFonts w:ascii="Palatino Linotype" w:hAnsi="Palatino Linotype" w:cs="Tahoma"/>
          <w:sz w:val="22"/>
          <w:szCs w:val="22"/>
        </w:rPr>
        <w:t>, mediante el Sistema de Acceso a la Información Mexiquense (SAIMEX), el Sujeto Obligado dio respuesta en los siguientes términos:</w:t>
      </w:r>
    </w:p>
    <w:p w14:paraId="371C5134" w14:textId="77777777" w:rsidR="00117DCC" w:rsidRDefault="00117DCC" w:rsidP="00971432">
      <w:pPr>
        <w:spacing w:line="360" w:lineRule="auto"/>
        <w:ind w:left="567"/>
        <w:contextualSpacing/>
        <w:jc w:val="both"/>
        <w:rPr>
          <w:rFonts w:ascii="Palatino Linotype" w:hAnsi="Palatino Linotype" w:cs="Tahoma"/>
          <w:bCs/>
          <w:i/>
          <w:sz w:val="22"/>
          <w:szCs w:val="22"/>
        </w:rPr>
      </w:pPr>
    </w:p>
    <w:p w14:paraId="44C31619" w14:textId="77777777" w:rsidR="00B62EED" w:rsidRPr="00117DCC" w:rsidRDefault="0060308A" w:rsidP="00117DCC">
      <w:pPr>
        <w:spacing w:line="360" w:lineRule="auto"/>
        <w:ind w:left="567" w:right="539"/>
        <w:contextualSpacing/>
        <w:jc w:val="both"/>
        <w:rPr>
          <w:rFonts w:ascii="Palatino Linotype" w:hAnsi="Palatino Linotype" w:cs="Tahoma"/>
          <w:bCs/>
          <w:i/>
        </w:rPr>
      </w:pPr>
      <w:r w:rsidRPr="00117DCC">
        <w:rPr>
          <w:rFonts w:ascii="Palatino Linotype" w:hAnsi="Palatino Linotype" w:cs="Tahoma"/>
          <w:bCs/>
          <w:i/>
        </w:rPr>
        <w:t>…</w:t>
      </w:r>
    </w:p>
    <w:p w14:paraId="7B2E67EE" w14:textId="31982B6D" w:rsidR="00780772" w:rsidRPr="00117DCC" w:rsidRDefault="004327F8" w:rsidP="00117DCC">
      <w:pPr>
        <w:spacing w:line="360" w:lineRule="auto"/>
        <w:ind w:left="567" w:right="539"/>
        <w:contextualSpacing/>
        <w:jc w:val="both"/>
        <w:rPr>
          <w:rFonts w:ascii="Palatino Linotype" w:hAnsi="Palatino Linotype" w:cs="Tahoma"/>
          <w:bCs/>
          <w:i/>
        </w:rPr>
      </w:pPr>
      <w:r w:rsidRPr="00117DCC">
        <w:rPr>
          <w:rFonts w:ascii="Palatino Linotype" w:hAnsi="Palatino Linotype" w:cs="Tahoma"/>
          <w:bCs/>
          <w:i/>
        </w:rPr>
        <w:t>En respuesta a la solicitud con folio 00166/JALTENCO/IP/2021; con fundamento en los Artículos 140 fracciones I, IV, VI, VIII, IX y X de la Ley de Transparencia y Acceso a la Información Pública del Estado de México y Municipios. R</w:t>
      </w:r>
      <w:r w:rsidRPr="00117DCC">
        <w:rPr>
          <w:rFonts w:ascii="Palatino Linotype" w:hAnsi="Palatino Linotype" w:cs="Tahoma"/>
          <w:b/>
          <w:bCs/>
          <w:i/>
        </w:rPr>
        <w:t>eiterándole que derivado de los hechos acontecidos en fecha veintisiete de octubre de 2021 en las instalaciones de la Comisaria Municipal de Jaltenco (en donde ciudadanos del Municipio realizaron la quema de diversas moto-patrullas y patrullas del Municipio); toda la información generada en la Comisaria Municipal se Catalogó como Información Reservada en el número de Acta ACTA-047/JALTENCO/ORD/2021 de fecha dieciséis de noviembre del año dos mil veintiuno, aprobada por unanimidad de votos por el Comité de Transparencia del Ayuntamiento de Jaltenco</w:t>
      </w:r>
      <w:r w:rsidRPr="00117DCC">
        <w:rPr>
          <w:rFonts w:ascii="Palatino Linotype" w:hAnsi="Palatino Linotype" w:cs="Tahoma"/>
          <w:bCs/>
          <w:i/>
        </w:rPr>
        <w:t>. Lo anteriormente expuesto porque la Comisaria Municipal se encuentra en un proceso de investigación judicial y al dar acceso a información podría obstruir la persecución de los delitos antes mencionados, por lo que nos encontramos imposibilitados para transparentar la información.</w:t>
      </w:r>
    </w:p>
    <w:p w14:paraId="53EFBBE4" w14:textId="7357F367" w:rsidR="00B62EED" w:rsidRDefault="00B62EED" w:rsidP="00117DCC">
      <w:pPr>
        <w:spacing w:line="360" w:lineRule="auto"/>
        <w:ind w:left="567" w:right="539"/>
        <w:contextualSpacing/>
        <w:jc w:val="both"/>
        <w:rPr>
          <w:rFonts w:ascii="Palatino Linotype" w:hAnsi="Palatino Linotype" w:cs="Tahoma"/>
          <w:bCs/>
          <w:i/>
        </w:rPr>
      </w:pPr>
      <w:r w:rsidRPr="00117DCC">
        <w:rPr>
          <w:rFonts w:ascii="Palatino Linotype" w:hAnsi="Palatino Linotype" w:cs="Tahoma"/>
          <w:bCs/>
          <w:i/>
        </w:rPr>
        <w:t>…</w:t>
      </w:r>
    </w:p>
    <w:p w14:paraId="3C3B2FEB" w14:textId="6A6D0849" w:rsidR="00117DCC" w:rsidRPr="00117DCC" w:rsidRDefault="00117DCC" w:rsidP="00117DCC">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75385FA1" w14:textId="77777777" w:rsidR="00B62EED" w:rsidRPr="00971432" w:rsidRDefault="00B62EED" w:rsidP="00971432">
      <w:pPr>
        <w:spacing w:line="360" w:lineRule="auto"/>
        <w:contextualSpacing/>
        <w:jc w:val="both"/>
        <w:rPr>
          <w:rFonts w:ascii="Palatino Linotype" w:hAnsi="Palatino Linotype" w:cs="Tahoma"/>
          <w:bCs/>
          <w:iCs/>
          <w:sz w:val="22"/>
          <w:szCs w:val="22"/>
        </w:rPr>
      </w:pPr>
    </w:p>
    <w:p w14:paraId="00E848BC" w14:textId="7BD94706" w:rsidR="005F2D09" w:rsidRPr="00971432" w:rsidRDefault="007E0453"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I</w:t>
      </w:r>
      <w:r w:rsidR="00221A05" w:rsidRPr="00971432">
        <w:rPr>
          <w:rFonts w:ascii="Palatino Linotype" w:hAnsi="Palatino Linotype" w:cs="Tahoma"/>
          <w:b/>
          <w:sz w:val="22"/>
          <w:szCs w:val="22"/>
        </w:rPr>
        <w:t>II</w:t>
      </w:r>
      <w:r w:rsidR="005F2D09" w:rsidRPr="00971432">
        <w:rPr>
          <w:rFonts w:ascii="Palatino Linotype" w:hAnsi="Palatino Linotype" w:cs="Tahoma"/>
          <w:b/>
          <w:sz w:val="22"/>
          <w:szCs w:val="22"/>
        </w:rPr>
        <w:t xml:space="preserve">. Interposición del Recurso de Revisión. </w:t>
      </w:r>
    </w:p>
    <w:p w14:paraId="6A3B0320"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74F3D09E" w14:textId="16E74A86" w:rsidR="005F2D09" w:rsidRPr="00971432" w:rsidRDefault="005F2D09" w:rsidP="00971432">
      <w:pPr>
        <w:spacing w:line="360" w:lineRule="auto"/>
        <w:contextualSpacing/>
        <w:jc w:val="both"/>
        <w:rPr>
          <w:rFonts w:ascii="Palatino Linotype" w:hAnsi="Palatino Linotype" w:cs="Tahoma"/>
          <w:bCs/>
          <w:sz w:val="22"/>
          <w:szCs w:val="22"/>
          <w:lang w:val="es-ES"/>
        </w:rPr>
      </w:pPr>
      <w:r w:rsidRPr="00971432">
        <w:rPr>
          <w:rFonts w:ascii="Palatino Linotype" w:hAnsi="Palatino Linotype" w:cs="Tahoma"/>
          <w:bCs/>
          <w:sz w:val="22"/>
          <w:szCs w:val="22"/>
          <w:lang w:val="es-ES"/>
        </w:rPr>
        <w:t xml:space="preserve">Con fecha </w:t>
      </w:r>
      <w:r w:rsidR="004327F8" w:rsidRPr="00971432">
        <w:rPr>
          <w:rFonts w:ascii="Palatino Linotype" w:hAnsi="Palatino Linotype" w:cs="Tahoma"/>
          <w:bCs/>
          <w:sz w:val="22"/>
          <w:szCs w:val="22"/>
          <w:lang w:val="es-ES"/>
        </w:rPr>
        <w:t>veinte</w:t>
      </w:r>
      <w:r w:rsidR="007E0453" w:rsidRPr="00971432">
        <w:rPr>
          <w:rFonts w:ascii="Palatino Linotype" w:hAnsi="Palatino Linotype" w:cs="Tahoma"/>
          <w:bCs/>
          <w:sz w:val="22"/>
          <w:szCs w:val="22"/>
          <w:lang w:val="es-ES"/>
        </w:rPr>
        <w:t xml:space="preserve"> de enero de dos mil veintidós</w:t>
      </w:r>
      <w:r w:rsidRPr="00971432">
        <w:rPr>
          <w:rFonts w:ascii="Palatino Linotype" w:hAnsi="Palatino Linotype" w:cs="Tahoma"/>
          <w:bCs/>
          <w:sz w:val="22"/>
          <w:szCs w:val="22"/>
          <w:lang w:val="es-ES"/>
        </w:rPr>
        <w:t xml:space="preserve">, </w:t>
      </w:r>
      <w:r w:rsidRPr="00971432">
        <w:rPr>
          <w:rFonts w:ascii="Palatino Linotype" w:hAnsi="Palatino Linotype" w:cs="Tahoma"/>
          <w:bCs/>
          <w:sz w:val="22"/>
          <w:szCs w:val="22"/>
        </w:rPr>
        <w:t xml:space="preserve">a través del </w:t>
      </w:r>
      <w:r w:rsidRPr="00971432">
        <w:rPr>
          <w:rFonts w:ascii="Palatino Linotype" w:hAnsi="Palatino Linotype" w:cs="Tahoma"/>
          <w:bCs/>
          <w:sz w:val="22"/>
          <w:szCs w:val="22"/>
          <w:lang w:val="es-ES"/>
        </w:rPr>
        <w:t>Sistema de Acceso a la Información Mexiquense (SAIMEX)</w:t>
      </w:r>
      <w:r w:rsidRPr="00971432">
        <w:rPr>
          <w:rFonts w:ascii="Palatino Linotype" w:hAnsi="Palatino Linotype" w:cs="Tahoma"/>
          <w:bCs/>
          <w:sz w:val="22"/>
          <w:szCs w:val="22"/>
        </w:rPr>
        <w:t xml:space="preserve"> se interpuso el presente Recurso de Revisión por el Recurrente en contra de la respuesta del Sujeto Obligado, en los siguientes términos:</w:t>
      </w:r>
    </w:p>
    <w:p w14:paraId="48973B94"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6CD5721B" w14:textId="77777777" w:rsidR="005F2D09" w:rsidRPr="00117DCC" w:rsidRDefault="005F2D09" w:rsidP="00117DCC">
      <w:pPr>
        <w:spacing w:line="360" w:lineRule="auto"/>
        <w:ind w:left="567" w:right="539"/>
        <w:contextualSpacing/>
        <w:jc w:val="both"/>
        <w:rPr>
          <w:rFonts w:ascii="Palatino Linotype" w:hAnsi="Palatino Linotype" w:cs="Tahoma"/>
          <w:b/>
          <w:bCs/>
        </w:rPr>
      </w:pPr>
      <w:r w:rsidRPr="00117DCC">
        <w:rPr>
          <w:rFonts w:ascii="Palatino Linotype" w:hAnsi="Palatino Linotype" w:cs="Tahoma"/>
          <w:b/>
          <w:bCs/>
        </w:rPr>
        <w:t>ACTO IMPUGNADO</w:t>
      </w:r>
    </w:p>
    <w:p w14:paraId="0055648E" w14:textId="324A067A" w:rsidR="00186804" w:rsidRPr="00117DCC" w:rsidRDefault="004327F8" w:rsidP="00117DCC">
      <w:pPr>
        <w:spacing w:line="360" w:lineRule="auto"/>
        <w:ind w:left="567" w:right="539"/>
        <w:contextualSpacing/>
        <w:jc w:val="both"/>
        <w:rPr>
          <w:rFonts w:ascii="Palatino Linotype" w:hAnsi="Palatino Linotype" w:cs="Tahoma"/>
          <w:i/>
        </w:rPr>
      </w:pPr>
      <w:r w:rsidRPr="00117DCC">
        <w:rPr>
          <w:rFonts w:ascii="Palatino Linotype" w:hAnsi="Palatino Linotype" w:cs="Tahoma"/>
          <w:i/>
        </w:rPr>
        <w:t>Reserva información pública</w:t>
      </w:r>
    </w:p>
    <w:p w14:paraId="318DA725" w14:textId="77777777" w:rsidR="007E0453" w:rsidRPr="00117DCC" w:rsidRDefault="007E0453" w:rsidP="00117DCC">
      <w:pPr>
        <w:spacing w:line="360" w:lineRule="auto"/>
        <w:ind w:left="567" w:right="539"/>
        <w:contextualSpacing/>
        <w:jc w:val="both"/>
        <w:rPr>
          <w:rFonts w:ascii="Palatino Linotype" w:hAnsi="Palatino Linotype" w:cs="Tahoma"/>
          <w:b/>
          <w:bCs/>
        </w:rPr>
      </w:pPr>
    </w:p>
    <w:p w14:paraId="7AE59833" w14:textId="77777777" w:rsidR="005F2D09" w:rsidRPr="00117DCC" w:rsidRDefault="005F2D09" w:rsidP="00117DCC">
      <w:pPr>
        <w:spacing w:line="360" w:lineRule="auto"/>
        <w:ind w:left="567" w:right="539"/>
        <w:contextualSpacing/>
        <w:jc w:val="both"/>
        <w:rPr>
          <w:rFonts w:ascii="Palatino Linotype" w:hAnsi="Palatino Linotype" w:cs="Tahoma"/>
          <w:b/>
          <w:bCs/>
        </w:rPr>
      </w:pPr>
      <w:r w:rsidRPr="00117DCC">
        <w:rPr>
          <w:rFonts w:ascii="Palatino Linotype" w:hAnsi="Palatino Linotype" w:cs="Tahoma"/>
          <w:b/>
          <w:bCs/>
        </w:rPr>
        <w:t>RAZONES O MOTIVOS DE LA INCONFORMIDAD</w:t>
      </w:r>
    </w:p>
    <w:p w14:paraId="3784094A" w14:textId="554F7A01" w:rsidR="0060308A" w:rsidRPr="00D26DB0" w:rsidRDefault="004327F8" w:rsidP="00117DCC">
      <w:pPr>
        <w:spacing w:line="360" w:lineRule="auto"/>
        <w:ind w:left="567" w:right="539"/>
        <w:contextualSpacing/>
        <w:jc w:val="both"/>
        <w:rPr>
          <w:rFonts w:ascii="Palatino Linotype" w:hAnsi="Palatino Linotype" w:cs="Tahoma"/>
          <w:i/>
        </w:rPr>
      </w:pPr>
      <w:r w:rsidRPr="00117DCC">
        <w:rPr>
          <w:rFonts w:ascii="Palatino Linotype" w:hAnsi="Palatino Linotype" w:cs="Tahoma"/>
          <w:i/>
        </w:rPr>
        <w:t>Considero que la información no debe ser reservada por diversos motivos: 1.- El Sujeto hace mención a un evento que desconoce este solicitante 2.- La información que se pide es anterior al evento que menciona, de acuerdo a la fecha proporcionada por el mismo Sujeto, por lo que la información solicitada ya se había generado incluso antes de ese evento que menciona, por lo que no debe considerarse como parte de esa investigación en proceso, al menos no temas de transparencia. 3.- El Sujeto hace mención a un Acta con número ACTA-047/JALTENCO/ORD/2021, de la cual no proporciona copia por lo que no es posible entender cómo se llego al acuerdo de reservar información a partir de un hecho independiente a los solicitado. Solicito que por favor se reviste esta respuesta, y se exhorte al Sujeto a entregar la información, y también, independ</w:t>
      </w:r>
      <w:r w:rsidR="00117DCC">
        <w:rPr>
          <w:rFonts w:ascii="Palatino Linotype" w:hAnsi="Palatino Linotype" w:cs="Tahoma"/>
          <w:i/>
        </w:rPr>
        <w:t>ientemente, ofrece una copia de</w:t>
      </w:r>
      <w:r w:rsidR="00D26DB0">
        <w:rPr>
          <w:rFonts w:ascii="Palatino Linotype" w:hAnsi="Palatino Linotype" w:cs="Tahoma"/>
          <w:i/>
        </w:rPr>
        <w:t xml:space="preserve"> </w:t>
      </w:r>
      <w:r w:rsidRPr="00117DCC">
        <w:rPr>
          <w:rFonts w:ascii="Palatino Linotype" w:hAnsi="Palatino Linotype" w:cs="Tahoma"/>
          <w:i/>
        </w:rPr>
        <w:t xml:space="preserve">la acta mencionada. </w:t>
      </w:r>
      <w:r w:rsidR="007E0453" w:rsidRPr="00117DCC">
        <w:rPr>
          <w:rFonts w:ascii="Palatino Linotype" w:hAnsi="Palatino Linotype" w:cs="Tahoma"/>
        </w:rPr>
        <w:t>(Sic.)</w:t>
      </w:r>
    </w:p>
    <w:p w14:paraId="28F22342" w14:textId="241BAC59" w:rsidR="007E0453" w:rsidRPr="00971432" w:rsidRDefault="007E0453" w:rsidP="00971432">
      <w:pPr>
        <w:spacing w:line="360" w:lineRule="auto"/>
        <w:contextualSpacing/>
        <w:jc w:val="both"/>
        <w:rPr>
          <w:rFonts w:ascii="Palatino Linotype" w:hAnsi="Palatino Linotype" w:cs="Tahoma"/>
          <w:sz w:val="22"/>
          <w:szCs w:val="22"/>
        </w:rPr>
      </w:pPr>
    </w:p>
    <w:p w14:paraId="13F812BA" w14:textId="202484C8" w:rsidR="005F2D09" w:rsidRPr="00971432" w:rsidRDefault="007E0453" w:rsidP="00971432">
      <w:pPr>
        <w:spacing w:line="360" w:lineRule="auto"/>
        <w:contextualSpacing/>
        <w:jc w:val="both"/>
        <w:rPr>
          <w:rFonts w:ascii="Palatino Linotype" w:hAnsi="Palatino Linotype" w:cs="Tahoma"/>
          <w:b/>
          <w:bCs/>
          <w:sz w:val="22"/>
          <w:szCs w:val="22"/>
        </w:rPr>
      </w:pPr>
      <w:r w:rsidRPr="00971432">
        <w:rPr>
          <w:rFonts w:ascii="Palatino Linotype" w:hAnsi="Palatino Linotype" w:cs="Tahoma"/>
          <w:b/>
          <w:sz w:val="22"/>
          <w:szCs w:val="22"/>
        </w:rPr>
        <w:t>I</w:t>
      </w:r>
      <w:r w:rsidR="00221A05" w:rsidRPr="00971432">
        <w:rPr>
          <w:rFonts w:ascii="Palatino Linotype" w:hAnsi="Palatino Linotype" w:cs="Tahoma"/>
          <w:b/>
          <w:sz w:val="22"/>
          <w:szCs w:val="22"/>
        </w:rPr>
        <w:t>V</w:t>
      </w:r>
      <w:r w:rsidR="005F2D09" w:rsidRPr="00971432">
        <w:rPr>
          <w:rFonts w:ascii="Palatino Linotype" w:hAnsi="Palatino Linotype" w:cs="Tahoma"/>
          <w:b/>
          <w:sz w:val="22"/>
          <w:szCs w:val="22"/>
        </w:rPr>
        <w:t xml:space="preserve">. </w:t>
      </w:r>
      <w:r w:rsidR="005F2D09" w:rsidRPr="00971432">
        <w:rPr>
          <w:rFonts w:ascii="Palatino Linotype" w:hAnsi="Palatino Linotype" w:cs="Tahoma"/>
          <w:b/>
          <w:bCs/>
          <w:sz w:val="22"/>
          <w:szCs w:val="22"/>
        </w:rPr>
        <w:t>Trámite del Recurso de Revisión</w:t>
      </w:r>
      <w:r w:rsidR="005F2D09" w:rsidRPr="00971432">
        <w:rPr>
          <w:rFonts w:ascii="Palatino Linotype" w:hAnsi="Palatino Linotype" w:cs="Tahoma"/>
          <w:b/>
          <w:sz w:val="22"/>
          <w:szCs w:val="22"/>
        </w:rPr>
        <w:t xml:space="preserve"> </w:t>
      </w:r>
      <w:r w:rsidR="005F2D09" w:rsidRPr="00971432">
        <w:rPr>
          <w:rFonts w:ascii="Palatino Linotype" w:hAnsi="Palatino Linotype" w:cs="Tahoma"/>
          <w:b/>
          <w:bCs/>
          <w:sz w:val="22"/>
          <w:szCs w:val="22"/>
        </w:rPr>
        <w:t>ante este Instituto.</w:t>
      </w:r>
    </w:p>
    <w:p w14:paraId="2EF32570"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40F0188C" w14:textId="77777777" w:rsidR="005F2D09" w:rsidRPr="00971432" w:rsidRDefault="005F2D09" w:rsidP="00971432">
      <w:pPr>
        <w:spacing w:line="360" w:lineRule="auto"/>
        <w:contextualSpacing/>
        <w:jc w:val="both"/>
        <w:rPr>
          <w:rFonts w:ascii="Palatino Linotype" w:hAnsi="Palatino Linotype" w:cs="Tahoma"/>
          <w:b/>
          <w:bCs/>
          <w:sz w:val="22"/>
          <w:szCs w:val="22"/>
        </w:rPr>
      </w:pPr>
      <w:r w:rsidRPr="00971432">
        <w:rPr>
          <w:rFonts w:ascii="Palatino Linotype" w:hAnsi="Palatino Linotype" w:cs="Tahoma"/>
          <w:b/>
          <w:bCs/>
          <w:sz w:val="22"/>
          <w:szCs w:val="22"/>
        </w:rPr>
        <w:t xml:space="preserve">a) Turno del </w:t>
      </w:r>
      <w:r w:rsidRPr="00971432">
        <w:rPr>
          <w:rFonts w:ascii="Palatino Linotype" w:hAnsi="Palatino Linotype" w:cs="Tahoma"/>
          <w:b/>
          <w:sz w:val="22"/>
          <w:szCs w:val="22"/>
        </w:rPr>
        <w:t>Recurso de Revisión</w:t>
      </w:r>
      <w:r w:rsidRPr="00971432">
        <w:rPr>
          <w:rFonts w:ascii="Palatino Linotype" w:hAnsi="Palatino Linotype" w:cs="Tahoma"/>
          <w:b/>
          <w:bCs/>
          <w:sz w:val="22"/>
          <w:szCs w:val="22"/>
        </w:rPr>
        <w:t>.</w:t>
      </w:r>
    </w:p>
    <w:p w14:paraId="55EA8B0D"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21E5438C" w14:textId="52FBF124" w:rsidR="005F2D09" w:rsidRPr="00971432" w:rsidRDefault="005F2D09" w:rsidP="00971432">
      <w:pPr>
        <w:spacing w:line="360" w:lineRule="auto"/>
        <w:contextualSpacing/>
        <w:jc w:val="both"/>
        <w:rPr>
          <w:rFonts w:ascii="Palatino Linotype" w:hAnsi="Palatino Linotype" w:cs="Tahoma"/>
          <w:b/>
          <w:bCs/>
          <w:sz w:val="22"/>
          <w:szCs w:val="22"/>
        </w:rPr>
      </w:pPr>
      <w:r w:rsidRPr="00971432">
        <w:rPr>
          <w:rFonts w:ascii="Palatino Linotype" w:hAnsi="Palatino Linotype" w:cs="Tahoma"/>
          <w:bCs/>
          <w:sz w:val="22"/>
          <w:szCs w:val="22"/>
        </w:rPr>
        <w:t xml:space="preserve">El </w:t>
      </w:r>
      <w:r w:rsidR="004327F8" w:rsidRPr="00971432">
        <w:rPr>
          <w:rFonts w:ascii="Palatino Linotype" w:hAnsi="Palatino Linotype" w:cs="Tahoma"/>
          <w:bCs/>
          <w:sz w:val="22"/>
          <w:szCs w:val="22"/>
          <w:lang w:val="es-ES"/>
        </w:rPr>
        <w:t>veinte</w:t>
      </w:r>
      <w:r w:rsidR="007E0453" w:rsidRPr="00971432">
        <w:rPr>
          <w:rFonts w:ascii="Palatino Linotype" w:hAnsi="Palatino Linotype" w:cs="Tahoma"/>
          <w:bCs/>
          <w:sz w:val="22"/>
          <w:szCs w:val="22"/>
          <w:lang w:val="es-ES"/>
        </w:rPr>
        <w:t xml:space="preserve"> de enero de dos mil veintidós</w:t>
      </w:r>
      <w:r w:rsidRPr="00971432">
        <w:rPr>
          <w:rFonts w:ascii="Palatino Linotype" w:hAnsi="Palatino Linotype" w:cs="Tahoma"/>
          <w:bCs/>
          <w:sz w:val="22"/>
          <w:szCs w:val="22"/>
        </w:rPr>
        <w:t xml:space="preserve">, el </w:t>
      </w:r>
      <w:r w:rsidRPr="00971432">
        <w:rPr>
          <w:rFonts w:ascii="Palatino Linotype" w:hAnsi="Palatino Linotype" w:cs="Tahoma"/>
          <w:sz w:val="22"/>
          <w:szCs w:val="22"/>
          <w:lang w:val="es-ES"/>
        </w:rPr>
        <w:t>Sistema de Acceso a la Información Mexiquense (SAIMEX),</w:t>
      </w:r>
      <w:r w:rsidRPr="00971432">
        <w:rPr>
          <w:rFonts w:ascii="Palatino Linotype" w:hAnsi="Palatino Linotype" w:cs="Tahoma"/>
          <w:bCs/>
          <w:sz w:val="22"/>
          <w:szCs w:val="22"/>
        </w:rPr>
        <w:t xml:space="preserve"> asignó el número de expediente </w:t>
      </w:r>
      <w:r w:rsidR="004327F8" w:rsidRPr="00971432">
        <w:rPr>
          <w:rFonts w:ascii="Palatino Linotype" w:eastAsia="Calibri" w:hAnsi="Palatino Linotype" w:cs="Tahoma"/>
          <w:b/>
          <w:bCs/>
          <w:sz w:val="22"/>
          <w:szCs w:val="22"/>
          <w:lang w:eastAsia="en-US"/>
        </w:rPr>
        <w:t>00201/INFOEM/IP/RR/2022</w:t>
      </w:r>
      <w:r w:rsidRPr="00971432">
        <w:rPr>
          <w:rFonts w:ascii="Palatino Linotype"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971432">
        <w:rPr>
          <w:rFonts w:ascii="Palatino Linotype" w:hAnsi="Palatino Linotype" w:cs="Tahoma"/>
          <w:bCs/>
          <w:sz w:val="22"/>
          <w:szCs w:val="22"/>
        </w:rPr>
        <w:lastRenderedPageBreak/>
        <w:t>artículo 185, fracción I de la Ley de Transparencia y Acceso a la Información Pública del Estado de México y Municipios.</w:t>
      </w:r>
    </w:p>
    <w:p w14:paraId="735D12D2"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54A7EEA2" w14:textId="77777777" w:rsidR="005F2D09" w:rsidRPr="00971432" w:rsidRDefault="005F2D09" w:rsidP="00971432">
      <w:pPr>
        <w:spacing w:line="360" w:lineRule="auto"/>
        <w:contextualSpacing/>
        <w:jc w:val="both"/>
        <w:rPr>
          <w:rFonts w:ascii="Palatino Linotype" w:hAnsi="Palatino Linotype" w:cs="Tahoma"/>
          <w:b/>
          <w:bCs/>
          <w:sz w:val="22"/>
          <w:szCs w:val="22"/>
          <w:lang w:val="es-ES_tradnl"/>
        </w:rPr>
      </w:pPr>
      <w:r w:rsidRPr="00971432">
        <w:rPr>
          <w:rFonts w:ascii="Palatino Linotype" w:hAnsi="Palatino Linotype" w:cs="Tahoma"/>
          <w:b/>
          <w:bCs/>
          <w:sz w:val="22"/>
          <w:szCs w:val="22"/>
        </w:rPr>
        <w:t>b) Admisión del Recurso de Revisión</w:t>
      </w:r>
      <w:r w:rsidRPr="00971432">
        <w:rPr>
          <w:rFonts w:ascii="Palatino Linotype" w:hAnsi="Palatino Linotype" w:cs="Tahoma"/>
          <w:b/>
          <w:bCs/>
          <w:sz w:val="22"/>
          <w:szCs w:val="22"/>
          <w:lang w:val="es-ES_tradnl"/>
        </w:rPr>
        <w:t xml:space="preserve">. </w:t>
      </w:r>
    </w:p>
    <w:p w14:paraId="497AAFDE" w14:textId="77777777" w:rsidR="005F2D09" w:rsidRPr="00971432" w:rsidRDefault="005F2D09" w:rsidP="00971432">
      <w:pPr>
        <w:spacing w:line="360" w:lineRule="auto"/>
        <w:contextualSpacing/>
        <w:jc w:val="both"/>
        <w:rPr>
          <w:rFonts w:ascii="Palatino Linotype" w:hAnsi="Palatino Linotype" w:cs="Tahoma"/>
          <w:b/>
          <w:bCs/>
          <w:sz w:val="22"/>
          <w:szCs w:val="22"/>
          <w:lang w:val="es-ES_tradnl"/>
        </w:rPr>
      </w:pPr>
    </w:p>
    <w:p w14:paraId="02B9AA86" w14:textId="112B5DB8" w:rsidR="005F2D09" w:rsidRPr="00971432" w:rsidRDefault="005F2D09" w:rsidP="00971432">
      <w:pPr>
        <w:spacing w:line="360" w:lineRule="auto"/>
        <w:contextualSpacing/>
        <w:jc w:val="both"/>
        <w:rPr>
          <w:rFonts w:ascii="Palatino Linotype" w:hAnsi="Palatino Linotype" w:cs="Tahoma"/>
          <w:bCs/>
          <w:sz w:val="22"/>
          <w:szCs w:val="22"/>
          <w:lang w:val="es-ES_tradnl"/>
        </w:rPr>
      </w:pPr>
      <w:r w:rsidRPr="00971432">
        <w:rPr>
          <w:rFonts w:ascii="Palatino Linotype" w:hAnsi="Palatino Linotype" w:cs="Tahoma"/>
          <w:bCs/>
          <w:sz w:val="22"/>
          <w:szCs w:val="22"/>
        </w:rPr>
        <w:t xml:space="preserve">El </w:t>
      </w:r>
      <w:r w:rsidR="0047072A" w:rsidRPr="00971432">
        <w:rPr>
          <w:rFonts w:ascii="Palatino Linotype" w:hAnsi="Palatino Linotype" w:cs="Tahoma"/>
          <w:bCs/>
          <w:sz w:val="22"/>
          <w:szCs w:val="22"/>
        </w:rPr>
        <w:t>veinti</w:t>
      </w:r>
      <w:r w:rsidR="004327F8" w:rsidRPr="00971432">
        <w:rPr>
          <w:rFonts w:ascii="Palatino Linotype" w:hAnsi="Palatino Linotype" w:cs="Tahoma"/>
          <w:bCs/>
          <w:sz w:val="22"/>
          <w:szCs w:val="22"/>
        </w:rPr>
        <w:t>cinco</w:t>
      </w:r>
      <w:r w:rsidR="007E0453" w:rsidRPr="00971432">
        <w:rPr>
          <w:rFonts w:ascii="Palatino Linotype" w:hAnsi="Palatino Linotype" w:cs="Tahoma"/>
          <w:bCs/>
          <w:sz w:val="22"/>
          <w:szCs w:val="22"/>
        </w:rPr>
        <w:t xml:space="preserve"> de enero de dos mil veintidós</w:t>
      </w:r>
      <w:r w:rsidRPr="00971432">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7E0453" w:rsidRPr="00971432">
        <w:rPr>
          <w:rFonts w:ascii="Palatino Linotype" w:hAnsi="Palatino Linotype" w:cs="Tahoma"/>
          <w:bCs/>
          <w:sz w:val="22"/>
          <w:szCs w:val="22"/>
          <w:lang w:val="es-ES_tradnl"/>
        </w:rPr>
        <w:t xml:space="preserve">el </w:t>
      </w:r>
      <w:r w:rsidR="004327F8" w:rsidRPr="00971432">
        <w:rPr>
          <w:rFonts w:ascii="Palatino Linotype" w:hAnsi="Palatino Linotype" w:cs="Tahoma"/>
          <w:bCs/>
          <w:sz w:val="22"/>
          <w:szCs w:val="22"/>
          <w:lang w:val="es-ES_tradnl"/>
        </w:rPr>
        <w:t>mismo día</w:t>
      </w:r>
      <w:r w:rsidRPr="00971432">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14:paraId="668F4A40" w14:textId="77777777" w:rsidR="00746F9D" w:rsidRPr="00971432" w:rsidRDefault="00746F9D" w:rsidP="00971432">
      <w:pPr>
        <w:spacing w:line="360" w:lineRule="auto"/>
        <w:contextualSpacing/>
        <w:jc w:val="both"/>
        <w:rPr>
          <w:rFonts w:ascii="Palatino Linotype" w:hAnsi="Palatino Linotype" w:cs="Tahoma"/>
          <w:b/>
          <w:bCs/>
          <w:sz w:val="22"/>
          <w:szCs w:val="22"/>
        </w:rPr>
      </w:pPr>
    </w:p>
    <w:p w14:paraId="509AD2FE" w14:textId="0FEEF03D" w:rsidR="00AE2055" w:rsidRPr="00971432" w:rsidRDefault="005F2D09" w:rsidP="00971432">
      <w:pPr>
        <w:spacing w:line="360" w:lineRule="auto"/>
        <w:contextualSpacing/>
        <w:jc w:val="both"/>
        <w:rPr>
          <w:rFonts w:ascii="Palatino Linotype" w:hAnsi="Palatino Linotype" w:cs="Tahoma"/>
          <w:sz w:val="22"/>
          <w:szCs w:val="22"/>
          <w:lang w:val="es-ES_tradnl"/>
        </w:rPr>
      </w:pPr>
      <w:r w:rsidRPr="00971432">
        <w:rPr>
          <w:rFonts w:ascii="Palatino Linotype" w:hAnsi="Palatino Linotype" w:cs="Tahoma"/>
          <w:b/>
          <w:bCs/>
          <w:sz w:val="22"/>
          <w:szCs w:val="22"/>
        </w:rPr>
        <w:t xml:space="preserve">c) </w:t>
      </w:r>
      <w:r w:rsidRPr="00971432">
        <w:rPr>
          <w:rFonts w:ascii="Palatino Linotype" w:hAnsi="Palatino Linotype" w:cs="Tahoma"/>
          <w:b/>
          <w:sz w:val="22"/>
          <w:szCs w:val="22"/>
          <w:lang w:val="es-ES_tradnl"/>
        </w:rPr>
        <w:t>Informe Justificado</w:t>
      </w:r>
      <w:r w:rsidR="0047072A" w:rsidRPr="00971432">
        <w:rPr>
          <w:rFonts w:ascii="Palatino Linotype" w:hAnsi="Palatino Linotype" w:cs="Tahoma"/>
          <w:b/>
          <w:sz w:val="22"/>
          <w:szCs w:val="22"/>
          <w:lang w:val="es-ES_tradnl"/>
        </w:rPr>
        <w:t xml:space="preserve"> y </w:t>
      </w:r>
      <w:r w:rsidR="0047072A" w:rsidRPr="00971432">
        <w:rPr>
          <w:rFonts w:ascii="Palatino Linotype" w:hAnsi="Palatino Linotype" w:cs="Tahoma"/>
          <w:b/>
          <w:sz w:val="22"/>
          <w:szCs w:val="22"/>
        </w:rPr>
        <w:t>m</w:t>
      </w:r>
      <w:r w:rsidR="00AE2055" w:rsidRPr="00971432">
        <w:rPr>
          <w:rFonts w:ascii="Palatino Linotype" w:hAnsi="Palatino Linotype" w:cs="Tahoma"/>
          <w:b/>
          <w:sz w:val="22"/>
          <w:szCs w:val="22"/>
        </w:rPr>
        <w:t>anifestaciones del Recurrente.</w:t>
      </w:r>
    </w:p>
    <w:p w14:paraId="7F05C807" w14:textId="77777777" w:rsidR="00AE2055" w:rsidRPr="00971432" w:rsidRDefault="00AE2055" w:rsidP="00971432">
      <w:pPr>
        <w:spacing w:line="360" w:lineRule="auto"/>
        <w:contextualSpacing/>
        <w:jc w:val="both"/>
        <w:rPr>
          <w:rFonts w:ascii="Palatino Linotype" w:hAnsi="Palatino Linotype" w:cs="Tahoma"/>
          <w:sz w:val="22"/>
          <w:szCs w:val="22"/>
        </w:rPr>
      </w:pPr>
    </w:p>
    <w:p w14:paraId="74DCDF09" w14:textId="1A2DEAC6" w:rsidR="0047072A" w:rsidRPr="00971432" w:rsidRDefault="0047072A" w:rsidP="00971432">
      <w:pPr>
        <w:widowControl w:val="0"/>
        <w:spacing w:line="360" w:lineRule="auto"/>
        <w:contextualSpacing/>
        <w:jc w:val="both"/>
        <w:rPr>
          <w:rFonts w:ascii="Palatino Linotype" w:hAnsi="Palatino Linotype" w:cs="Tahoma"/>
          <w:b/>
          <w:bCs/>
          <w:sz w:val="22"/>
          <w:szCs w:val="22"/>
          <w:lang w:val="es-ES"/>
        </w:rPr>
      </w:pPr>
      <w:r w:rsidRPr="00971432">
        <w:rPr>
          <w:rFonts w:ascii="Palatino Linotype" w:hAnsi="Palatino Linotype" w:cs="Tahoma"/>
          <w:bCs/>
          <w:sz w:val="22"/>
          <w:szCs w:val="22"/>
          <w:lang w:val="es-ES"/>
        </w:rPr>
        <w:t xml:space="preserve">De las constancias que integran el expediente digital que obra en el </w:t>
      </w:r>
      <w:r w:rsidRPr="00971432">
        <w:rPr>
          <w:rFonts w:ascii="Palatino Linotype" w:eastAsia="Batang" w:hAnsi="Palatino Linotype" w:cs="Tahoma"/>
          <w:bCs/>
          <w:sz w:val="22"/>
          <w:szCs w:val="22"/>
          <w:lang w:val="es-ES_tradnl"/>
        </w:rPr>
        <w:t>Sistema de Acceso a la Información Mexiquense (SAIMEX), se advierte que el Sujeto Obligado</w:t>
      </w:r>
      <w:r w:rsidR="00117DCC">
        <w:rPr>
          <w:rFonts w:ascii="Palatino Linotype" w:eastAsia="Batang" w:hAnsi="Palatino Linotype" w:cs="Tahoma"/>
          <w:bCs/>
          <w:sz w:val="22"/>
          <w:szCs w:val="22"/>
          <w:lang w:val="es-ES_tradnl"/>
        </w:rPr>
        <w:t xml:space="preserve"> omitió rendir informe justificado y </w:t>
      </w:r>
      <w:r w:rsidRPr="00971432">
        <w:rPr>
          <w:rFonts w:ascii="Palatino Linotype" w:eastAsia="Batang" w:hAnsi="Palatino Linotype" w:cs="Tahoma"/>
          <w:bCs/>
          <w:sz w:val="22"/>
          <w:szCs w:val="22"/>
          <w:lang w:val="es-ES_tradnl"/>
        </w:rPr>
        <w:t xml:space="preserve">el Recurrente no </w:t>
      </w:r>
      <w:r w:rsidR="00117DCC">
        <w:rPr>
          <w:rFonts w:ascii="Palatino Linotype" w:eastAsia="Batang" w:hAnsi="Palatino Linotype" w:cs="Tahoma"/>
          <w:bCs/>
          <w:sz w:val="22"/>
          <w:szCs w:val="22"/>
          <w:lang w:val="es-ES_tradnl"/>
        </w:rPr>
        <w:t>realizó</w:t>
      </w:r>
      <w:r w:rsidRPr="00971432">
        <w:rPr>
          <w:rFonts w:ascii="Palatino Linotype" w:eastAsia="Batang" w:hAnsi="Palatino Linotype" w:cs="Tahoma"/>
          <w:bCs/>
          <w:sz w:val="22"/>
          <w:szCs w:val="22"/>
          <w:lang w:val="es-ES_tradnl"/>
        </w:rPr>
        <w:t xml:space="preserve"> manifestac</w:t>
      </w:r>
      <w:r w:rsidR="00117DCC">
        <w:rPr>
          <w:rFonts w:ascii="Palatino Linotype" w:eastAsia="Batang" w:hAnsi="Palatino Linotype" w:cs="Tahoma"/>
          <w:bCs/>
          <w:sz w:val="22"/>
          <w:szCs w:val="22"/>
          <w:lang w:val="es-ES_tradnl"/>
        </w:rPr>
        <w:t>iones</w:t>
      </w:r>
      <w:r w:rsidRPr="00971432">
        <w:rPr>
          <w:rFonts w:ascii="Palatino Linotype" w:eastAsia="Batang" w:hAnsi="Palatino Linotype" w:cs="Tahoma"/>
          <w:bCs/>
          <w:sz w:val="22"/>
          <w:szCs w:val="22"/>
          <w:lang w:val="es-ES_tradnl"/>
        </w:rPr>
        <w:t xml:space="preserve"> adicional</w:t>
      </w:r>
      <w:r w:rsidR="00117DCC">
        <w:rPr>
          <w:rFonts w:ascii="Palatino Linotype" w:eastAsia="Batang" w:hAnsi="Palatino Linotype" w:cs="Tahoma"/>
          <w:bCs/>
          <w:sz w:val="22"/>
          <w:szCs w:val="22"/>
          <w:lang w:val="es-ES_tradnl"/>
        </w:rPr>
        <w:t>es</w:t>
      </w:r>
      <w:r w:rsidRPr="00971432">
        <w:rPr>
          <w:rFonts w:ascii="Palatino Linotype" w:eastAsia="Batang" w:hAnsi="Palatino Linotype" w:cs="Tahoma"/>
          <w:bCs/>
          <w:sz w:val="22"/>
          <w:szCs w:val="22"/>
          <w:lang w:val="es-ES_tradnl"/>
        </w:rPr>
        <w:t xml:space="preserve">. </w:t>
      </w:r>
    </w:p>
    <w:p w14:paraId="143624DA" w14:textId="77777777" w:rsidR="00AE2055" w:rsidRPr="00971432" w:rsidRDefault="00AE2055" w:rsidP="00971432">
      <w:pPr>
        <w:tabs>
          <w:tab w:val="center" w:pos="4522"/>
        </w:tabs>
        <w:spacing w:line="360" w:lineRule="auto"/>
        <w:contextualSpacing/>
        <w:jc w:val="both"/>
        <w:rPr>
          <w:rFonts w:ascii="Palatino Linotype" w:eastAsia="Batang" w:hAnsi="Palatino Linotype" w:cs="Tahoma"/>
          <w:b/>
          <w:bCs/>
          <w:sz w:val="22"/>
          <w:szCs w:val="22"/>
        </w:rPr>
      </w:pPr>
    </w:p>
    <w:p w14:paraId="6A50A9DA" w14:textId="29728DC5" w:rsidR="00AE2055" w:rsidRPr="00971432" w:rsidRDefault="0047072A" w:rsidP="00971432">
      <w:pPr>
        <w:tabs>
          <w:tab w:val="center" w:pos="4522"/>
        </w:tabs>
        <w:spacing w:line="360" w:lineRule="auto"/>
        <w:contextualSpacing/>
        <w:jc w:val="both"/>
        <w:rPr>
          <w:rFonts w:ascii="Palatino Linotype" w:hAnsi="Palatino Linotype" w:cs="Tahoma"/>
          <w:b/>
          <w:bCs/>
          <w:iCs/>
          <w:sz w:val="22"/>
          <w:szCs w:val="22"/>
        </w:rPr>
      </w:pPr>
      <w:r w:rsidRPr="00971432">
        <w:rPr>
          <w:rFonts w:ascii="Palatino Linotype" w:eastAsia="Batang" w:hAnsi="Palatino Linotype" w:cs="Tahoma"/>
          <w:b/>
          <w:bCs/>
          <w:sz w:val="22"/>
          <w:szCs w:val="22"/>
        </w:rPr>
        <w:t>d</w:t>
      </w:r>
      <w:r w:rsidR="00AE2055" w:rsidRPr="00971432">
        <w:rPr>
          <w:rFonts w:ascii="Palatino Linotype" w:hAnsi="Palatino Linotype" w:cs="Tahoma"/>
          <w:b/>
          <w:bCs/>
          <w:iCs/>
          <w:sz w:val="22"/>
          <w:szCs w:val="22"/>
        </w:rPr>
        <w:t>) Ampliación del plazo.</w:t>
      </w:r>
    </w:p>
    <w:p w14:paraId="33911079" w14:textId="77777777" w:rsidR="00AE2055" w:rsidRPr="00971432" w:rsidRDefault="00AE2055" w:rsidP="00971432">
      <w:pPr>
        <w:tabs>
          <w:tab w:val="center" w:pos="4522"/>
        </w:tabs>
        <w:spacing w:line="360" w:lineRule="auto"/>
        <w:contextualSpacing/>
        <w:jc w:val="both"/>
        <w:rPr>
          <w:rFonts w:ascii="Palatino Linotype" w:eastAsia="Batang" w:hAnsi="Palatino Linotype" w:cs="Tahoma"/>
          <w:bCs/>
          <w:sz w:val="22"/>
          <w:szCs w:val="22"/>
        </w:rPr>
      </w:pPr>
    </w:p>
    <w:p w14:paraId="5F31CA98" w14:textId="02894D5F" w:rsidR="00AE2055" w:rsidRPr="00971432" w:rsidRDefault="00AE2055"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E</w:t>
      </w:r>
      <w:r w:rsidRPr="00117DCC">
        <w:rPr>
          <w:rFonts w:ascii="Palatino Linotype" w:hAnsi="Palatino Linotype" w:cs="Tahoma"/>
          <w:sz w:val="22"/>
          <w:szCs w:val="22"/>
        </w:rPr>
        <w:t xml:space="preserve">l </w:t>
      </w:r>
      <w:r w:rsidR="00117DCC" w:rsidRPr="00117DCC">
        <w:rPr>
          <w:rFonts w:ascii="Palatino Linotype" w:hAnsi="Palatino Linotype" w:cs="Tahoma"/>
          <w:sz w:val="22"/>
          <w:szCs w:val="22"/>
        </w:rPr>
        <w:t xml:space="preserve">nueve de marzo </w:t>
      </w:r>
      <w:r w:rsidRPr="00117DCC">
        <w:rPr>
          <w:rFonts w:ascii="Palatino Linotype" w:hAnsi="Palatino Linotype" w:cs="Tahoma"/>
          <w:sz w:val="22"/>
          <w:szCs w:val="22"/>
        </w:rPr>
        <w:t>de dos mil veintidós,</w:t>
      </w:r>
      <w:r w:rsidRPr="00971432">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w:t>
      </w:r>
      <w:r w:rsidRPr="00971432">
        <w:rPr>
          <w:rFonts w:ascii="Palatino Linotype" w:hAnsi="Palatino Linotype" w:cs="Tahoma"/>
          <w:bCs/>
          <w:sz w:val="22"/>
          <w:szCs w:val="22"/>
        </w:rPr>
        <w:t>por un periodo quince días</w:t>
      </w:r>
      <w:r w:rsidRPr="00971432">
        <w:rPr>
          <w:rFonts w:ascii="Palatino Linotype" w:hAnsi="Palatino Linotype" w:cs="Tahoma"/>
          <w:sz w:val="22"/>
          <w:szCs w:val="22"/>
        </w:rPr>
        <w:t>, el plazo para resolver los Recursos de Revisión que nos ocupan; acto que fue notificado a las partes el mismo día, mediante el Sistema de Acceso a la Información Mexiquense (SAIMEX).</w:t>
      </w:r>
    </w:p>
    <w:p w14:paraId="58AA602D" w14:textId="0F1B53B4" w:rsidR="005F2D09" w:rsidRPr="00971432" w:rsidRDefault="0047072A"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b/>
          <w:sz w:val="22"/>
          <w:szCs w:val="22"/>
        </w:rPr>
        <w:lastRenderedPageBreak/>
        <w:t>e</w:t>
      </w:r>
      <w:r w:rsidR="005F2D09" w:rsidRPr="00971432">
        <w:rPr>
          <w:rFonts w:ascii="Palatino Linotype" w:hAnsi="Palatino Linotype" w:cs="Tahoma"/>
          <w:b/>
          <w:sz w:val="22"/>
          <w:szCs w:val="22"/>
        </w:rPr>
        <w:t>) Cierre de instrucción.</w:t>
      </w:r>
      <w:r w:rsidR="005F2D09" w:rsidRPr="00971432">
        <w:rPr>
          <w:rFonts w:ascii="Palatino Linotype" w:hAnsi="Palatino Linotype" w:cs="Tahoma"/>
          <w:sz w:val="22"/>
          <w:szCs w:val="22"/>
        </w:rPr>
        <w:t xml:space="preserve"> </w:t>
      </w:r>
    </w:p>
    <w:p w14:paraId="1B388AB2" w14:textId="77777777" w:rsidR="005F2D09" w:rsidRPr="00971432" w:rsidRDefault="005F2D09" w:rsidP="00971432">
      <w:pPr>
        <w:spacing w:line="360" w:lineRule="auto"/>
        <w:contextualSpacing/>
        <w:jc w:val="both"/>
        <w:rPr>
          <w:rFonts w:ascii="Palatino Linotype" w:hAnsi="Palatino Linotype" w:cs="Tahoma"/>
          <w:sz w:val="22"/>
          <w:szCs w:val="22"/>
        </w:rPr>
      </w:pPr>
    </w:p>
    <w:p w14:paraId="632D9B2A" w14:textId="6C3BBBDC" w:rsidR="005F2D09" w:rsidRPr="00971432" w:rsidRDefault="005F2D09" w:rsidP="00971432">
      <w:pPr>
        <w:spacing w:line="360" w:lineRule="auto"/>
        <w:contextualSpacing/>
        <w:jc w:val="both"/>
        <w:rPr>
          <w:rFonts w:ascii="Palatino Linotype" w:hAnsi="Palatino Linotype" w:cs="Tahoma"/>
          <w:sz w:val="22"/>
          <w:szCs w:val="22"/>
          <w:lang w:val="es-ES"/>
        </w:rPr>
      </w:pPr>
      <w:r w:rsidRPr="00117DCC">
        <w:rPr>
          <w:rFonts w:ascii="Palatino Linotype" w:hAnsi="Palatino Linotype" w:cs="Tahoma"/>
          <w:sz w:val="22"/>
          <w:szCs w:val="22"/>
        </w:rPr>
        <w:t xml:space="preserve">El </w:t>
      </w:r>
      <w:r w:rsidR="00117DCC" w:rsidRPr="00117DCC">
        <w:rPr>
          <w:rFonts w:ascii="Palatino Linotype" w:hAnsi="Palatino Linotype" w:cs="Tahoma"/>
          <w:sz w:val="22"/>
          <w:szCs w:val="22"/>
          <w:lang w:val="es-ES"/>
        </w:rPr>
        <w:t xml:space="preserve">ocho de marzo </w:t>
      </w:r>
      <w:r w:rsidR="00C636A6" w:rsidRPr="00117DCC">
        <w:rPr>
          <w:rFonts w:ascii="Palatino Linotype" w:hAnsi="Palatino Linotype" w:cs="Tahoma"/>
          <w:sz w:val="22"/>
          <w:szCs w:val="22"/>
          <w:lang w:val="es-ES"/>
        </w:rPr>
        <w:t>de dos mil veintidós</w:t>
      </w:r>
      <w:r w:rsidRPr="00117DCC">
        <w:rPr>
          <w:rFonts w:ascii="Palatino Linotype" w:hAnsi="Palatino Linotype" w:cs="Tahoma"/>
          <w:sz w:val="22"/>
          <w:szCs w:val="22"/>
        </w:rPr>
        <w:t>,</w:t>
      </w:r>
      <w:r w:rsidRPr="00971432">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971432">
        <w:rPr>
          <w:rFonts w:ascii="Palatino Linotype" w:hAnsi="Palatino Linotype" w:cs="Tahoma"/>
          <w:sz w:val="22"/>
          <w:szCs w:val="22"/>
          <w:lang w:val="es-ES"/>
        </w:rPr>
        <w:t>Sistema de Acceso a la Información Mexiquense (SAIMEX)</w:t>
      </w:r>
      <w:r w:rsidRPr="00971432">
        <w:rPr>
          <w:rFonts w:ascii="Palatino Linotype" w:hAnsi="Palatino Linotype" w:cs="Tahoma"/>
          <w:sz w:val="22"/>
          <w:szCs w:val="22"/>
        </w:rPr>
        <w:t xml:space="preserve">. </w:t>
      </w:r>
    </w:p>
    <w:p w14:paraId="46E06404" w14:textId="77777777" w:rsidR="00AE2055" w:rsidRPr="00971432" w:rsidRDefault="00AE2055" w:rsidP="00971432">
      <w:pPr>
        <w:spacing w:line="360" w:lineRule="auto"/>
        <w:contextualSpacing/>
        <w:jc w:val="both"/>
        <w:rPr>
          <w:rFonts w:ascii="Palatino Linotype" w:hAnsi="Palatino Linotype" w:cs="Tahoma"/>
          <w:sz w:val="22"/>
          <w:szCs w:val="22"/>
        </w:rPr>
      </w:pPr>
    </w:p>
    <w:p w14:paraId="7A5E769E" w14:textId="611A3A79"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En razón de que fue debidamente sustanciado e integrado el exp</w:t>
      </w:r>
      <w:r w:rsidR="00E61B74" w:rsidRPr="00971432">
        <w:rPr>
          <w:rFonts w:ascii="Palatino Linotype" w:hAnsi="Palatino Linotype" w:cs="Tahoma"/>
          <w:sz w:val="22"/>
          <w:szCs w:val="22"/>
        </w:rPr>
        <w:t xml:space="preserve">ediente electrónico y no existe </w:t>
      </w:r>
      <w:r w:rsidRPr="00971432">
        <w:rPr>
          <w:rFonts w:ascii="Palatino Linotype" w:hAnsi="Palatino Linotype" w:cs="Tahoma"/>
          <w:sz w:val="22"/>
          <w:szCs w:val="22"/>
        </w:rPr>
        <w:t>diligencia pendiente de desahogo, se emite la resolución que conforme a Derecho proceda, de acuerdo a los siguientes:</w:t>
      </w:r>
    </w:p>
    <w:p w14:paraId="14F98A08" w14:textId="77777777" w:rsidR="005F2D09" w:rsidRPr="00971432" w:rsidRDefault="005F2D09" w:rsidP="00971432">
      <w:pPr>
        <w:spacing w:line="360" w:lineRule="auto"/>
        <w:contextualSpacing/>
        <w:jc w:val="both"/>
        <w:rPr>
          <w:rFonts w:ascii="Palatino Linotype" w:hAnsi="Palatino Linotype" w:cs="Tahoma"/>
          <w:sz w:val="22"/>
          <w:szCs w:val="22"/>
        </w:rPr>
      </w:pPr>
    </w:p>
    <w:p w14:paraId="4431077C" w14:textId="77777777" w:rsidR="005F2D09" w:rsidRPr="00971432" w:rsidRDefault="005F2D09" w:rsidP="00971432">
      <w:pPr>
        <w:spacing w:line="360" w:lineRule="auto"/>
        <w:contextualSpacing/>
        <w:jc w:val="center"/>
        <w:rPr>
          <w:rFonts w:ascii="Palatino Linotype" w:hAnsi="Palatino Linotype" w:cs="Tahoma"/>
          <w:b/>
          <w:sz w:val="22"/>
          <w:szCs w:val="22"/>
        </w:rPr>
      </w:pPr>
      <w:r w:rsidRPr="00971432">
        <w:rPr>
          <w:rFonts w:ascii="Palatino Linotype" w:hAnsi="Palatino Linotype" w:cs="Tahoma"/>
          <w:b/>
          <w:sz w:val="22"/>
          <w:szCs w:val="22"/>
        </w:rPr>
        <w:t>C O N S I D E R A N D O S</w:t>
      </w:r>
    </w:p>
    <w:p w14:paraId="6EF179A1" w14:textId="77777777" w:rsidR="00C636A6" w:rsidRPr="00971432" w:rsidRDefault="00C636A6" w:rsidP="00971432">
      <w:pPr>
        <w:spacing w:line="360" w:lineRule="auto"/>
        <w:contextualSpacing/>
        <w:jc w:val="both"/>
        <w:rPr>
          <w:rFonts w:ascii="Palatino Linotype" w:hAnsi="Palatino Linotype" w:cs="Tahoma"/>
          <w:b/>
          <w:sz w:val="22"/>
          <w:szCs w:val="22"/>
        </w:rPr>
      </w:pPr>
    </w:p>
    <w:p w14:paraId="27F8EAD4" w14:textId="77777777" w:rsidR="005F2D09" w:rsidRPr="00971432" w:rsidRDefault="005F2D09"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PRIMERO</w:t>
      </w:r>
      <w:r w:rsidRPr="00971432">
        <w:rPr>
          <w:rFonts w:ascii="Palatino Linotype" w:hAnsi="Palatino Linotype" w:cs="Tahoma"/>
          <w:sz w:val="22"/>
          <w:szCs w:val="22"/>
        </w:rPr>
        <w:t xml:space="preserve">. </w:t>
      </w:r>
      <w:r w:rsidRPr="00971432">
        <w:rPr>
          <w:rFonts w:ascii="Palatino Linotype" w:hAnsi="Palatino Linotype" w:cs="Tahoma"/>
          <w:b/>
          <w:sz w:val="22"/>
          <w:szCs w:val="22"/>
        </w:rPr>
        <w:t>Competencia.</w:t>
      </w:r>
    </w:p>
    <w:p w14:paraId="13558522" w14:textId="77777777" w:rsidR="005F2D09" w:rsidRPr="00971432" w:rsidRDefault="005F2D09" w:rsidP="00971432">
      <w:pPr>
        <w:spacing w:line="360" w:lineRule="auto"/>
        <w:contextualSpacing/>
        <w:jc w:val="both"/>
        <w:rPr>
          <w:rFonts w:ascii="Palatino Linotype" w:hAnsi="Palatino Linotype" w:cs="Tahoma"/>
          <w:b/>
          <w:sz w:val="22"/>
          <w:szCs w:val="22"/>
        </w:rPr>
      </w:pPr>
    </w:p>
    <w:p w14:paraId="52E13315"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971432">
        <w:rPr>
          <w:rFonts w:ascii="Palatino Linotype" w:hAnsi="Palatino Linotype" w:cs="Tahoma"/>
          <w:sz w:val="22"/>
          <w:szCs w:val="22"/>
        </w:rPr>
        <w:lastRenderedPageBreak/>
        <w:t>Transparencia, Acceso a la Información Pública y Protección de Datos Personales del Estado de México y Municipios.</w:t>
      </w:r>
    </w:p>
    <w:p w14:paraId="24717C48" w14:textId="77777777" w:rsidR="005F2D09" w:rsidRPr="00971432" w:rsidRDefault="005F2D09" w:rsidP="00971432">
      <w:pPr>
        <w:spacing w:line="360" w:lineRule="auto"/>
        <w:contextualSpacing/>
        <w:jc w:val="both"/>
        <w:rPr>
          <w:rFonts w:ascii="Palatino Linotype" w:hAnsi="Palatino Linotype" w:cs="Tahoma"/>
          <w:sz w:val="22"/>
          <w:szCs w:val="22"/>
        </w:rPr>
      </w:pPr>
    </w:p>
    <w:p w14:paraId="30B98CDB" w14:textId="77777777" w:rsidR="005F2D09" w:rsidRPr="00971432" w:rsidRDefault="005F2D09"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SEGUNDO. Causales de improcedencia y sobreseimiento.</w:t>
      </w:r>
    </w:p>
    <w:p w14:paraId="595D77F6" w14:textId="77777777" w:rsidR="005F2D09" w:rsidRPr="00971432" w:rsidRDefault="005F2D09" w:rsidP="00971432">
      <w:pPr>
        <w:spacing w:line="360" w:lineRule="auto"/>
        <w:contextualSpacing/>
        <w:jc w:val="both"/>
        <w:rPr>
          <w:rFonts w:ascii="Palatino Linotype" w:hAnsi="Palatino Linotype" w:cs="Tahoma"/>
          <w:b/>
          <w:sz w:val="22"/>
          <w:szCs w:val="22"/>
        </w:rPr>
      </w:pPr>
    </w:p>
    <w:p w14:paraId="71D0005D" w14:textId="77777777" w:rsidR="005F2D09" w:rsidRPr="00971432" w:rsidRDefault="005F2D09"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Causales de improcedencia.</w:t>
      </w:r>
    </w:p>
    <w:p w14:paraId="53AAF47B" w14:textId="77777777" w:rsidR="005F2D09" w:rsidRPr="00971432" w:rsidRDefault="005F2D09" w:rsidP="00971432">
      <w:pPr>
        <w:spacing w:line="360" w:lineRule="auto"/>
        <w:contextualSpacing/>
        <w:jc w:val="both"/>
        <w:rPr>
          <w:rFonts w:ascii="Palatino Linotype" w:hAnsi="Palatino Linotype" w:cs="Tahoma"/>
          <w:b/>
          <w:sz w:val="22"/>
          <w:szCs w:val="22"/>
        </w:rPr>
      </w:pPr>
    </w:p>
    <w:p w14:paraId="607206E5"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7F74D5" w14:textId="77777777" w:rsidR="005F2D09" w:rsidRPr="00971432" w:rsidRDefault="005F2D09" w:rsidP="00971432">
      <w:pPr>
        <w:spacing w:line="360" w:lineRule="auto"/>
        <w:contextualSpacing/>
        <w:jc w:val="both"/>
        <w:rPr>
          <w:rFonts w:ascii="Palatino Linotype" w:hAnsi="Palatino Linotype" w:cs="Tahoma"/>
          <w:sz w:val="22"/>
          <w:szCs w:val="22"/>
        </w:rPr>
      </w:pPr>
    </w:p>
    <w:p w14:paraId="61B1C999"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 xml:space="preserve">En el presente caso, </w:t>
      </w:r>
      <w:r w:rsidRPr="00971432">
        <w:rPr>
          <w:rFonts w:ascii="Palatino Linotype" w:hAnsi="Palatino Linotype" w:cs="Tahoma"/>
          <w:b/>
          <w:sz w:val="22"/>
          <w:szCs w:val="22"/>
        </w:rPr>
        <w:t>no se actualiza ninguna de las causales de improcedencia</w:t>
      </w:r>
      <w:r w:rsidRPr="00971432">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C8FD196" w14:textId="77777777" w:rsidR="005F2D09" w:rsidRPr="00971432" w:rsidRDefault="005F2D09" w:rsidP="00971432">
      <w:pPr>
        <w:spacing w:line="360" w:lineRule="auto"/>
        <w:contextualSpacing/>
        <w:jc w:val="both"/>
        <w:rPr>
          <w:rFonts w:ascii="Palatino Linotype" w:hAnsi="Palatino Linotype" w:cs="Tahoma"/>
          <w:b/>
          <w:sz w:val="22"/>
          <w:szCs w:val="22"/>
        </w:rPr>
      </w:pPr>
    </w:p>
    <w:p w14:paraId="346873FC" w14:textId="77777777" w:rsidR="005F2D09" w:rsidRPr="00971432" w:rsidRDefault="005F2D09"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Causales de sobreseimiento.</w:t>
      </w:r>
    </w:p>
    <w:p w14:paraId="26365434" w14:textId="77777777" w:rsidR="005F2D09" w:rsidRPr="00971432" w:rsidRDefault="005F2D09" w:rsidP="00971432">
      <w:pPr>
        <w:spacing w:line="360" w:lineRule="auto"/>
        <w:contextualSpacing/>
        <w:jc w:val="both"/>
        <w:rPr>
          <w:rFonts w:ascii="Palatino Linotype" w:hAnsi="Palatino Linotype" w:cs="Tahoma"/>
          <w:sz w:val="22"/>
          <w:szCs w:val="22"/>
        </w:rPr>
      </w:pPr>
    </w:p>
    <w:p w14:paraId="0D491793"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Por lo que hace a las causales de sobreseimiento, del análisis realizado por este Instituto, se advierte que</w:t>
      </w:r>
      <w:r w:rsidRPr="00971432">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971432">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481A1D39" w14:textId="77777777" w:rsidR="005F2D09" w:rsidRPr="00971432" w:rsidRDefault="005F2D09" w:rsidP="00971432">
      <w:pPr>
        <w:spacing w:line="360" w:lineRule="auto"/>
        <w:contextualSpacing/>
        <w:jc w:val="both"/>
        <w:rPr>
          <w:rFonts w:ascii="Palatino Linotype" w:hAnsi="Palatino Linotype" w:cs="Tahoma"/>
          <w:sz w:val="22"/>
          <w:szCs w:val="22"/>
        </w:rPr>
      </w:pPr>
    </w:p>
    <w:p w14:paraId="2CDFDDBD"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bCs/>
          <w:sz w:val="22"/>
          <w:szCs w:val="22"/>
        </w:rPr>
        <w:t xml:space="preserve">Por tales motivos, </w:t>
      </w:r>
      <w:r w:rsidRPr="00971432">
        <w:rPr>
          <w:rFonts w:ascii="Palatino Linotype" w:hAnsi="Palatino Linotype" w:cs="Tahoma"/>
          <w:sz w:val="22"/>
          <w:szCs w:val="22"/>
        </w:rPr>
        <w:t xml:space="preserve">se considera procedente entrar al fondo del presente asunto. </w:t>
      </w:r>
    </w:p>
    <w:p w14:paraId="234A60D2" w14:textId="77777777" w:rsidR="005F2D09" w:rsidRPr="00971432" w:rsidRDefault="005F2D09" w:rsidP="00971432">
      <w:pPr>
        <w:spacing w:line="360" w:lineRule="auto"/>
        <w:contextualSpacing/>
        <w:jc w:val="both"/>
        <w:rPr>
          <w:rFonts w:ascii="Palatino Linotype" w:hAnsi="Palatino Linotype" w:cs="Tahoma"/>
          <w:bCs/>
          <w:iCs/>
          <w:sz w:val="22"/>
          <w:szCs w:val="22"/>
          <w:lang w:val="es-ES"/>
        </w:rPr>
      </w:pPr>
    </w:p>
    <w:p w14:paraId="777124DD" w14:textId="77777777" w:rsidR="005F2D09" w:rsidRPr="00971432" w:rsidRDefault="005F2D09" w:rsidP="00971432">
      <w:pPr>
        <w:spacing w:line="360" w:lineRule="auto"/>
        <w:contextualSpacing/>
        <w:jc w:val="both"/>
        <w:rPr>
          <w:rFonts w:ascii="Palatino Linotype" w:hAnsi="Palatino Linotype" w:cs="Tahoma"/>
          <w:b/>
          <w:bCs/>
          <w:iCs/>
          <w:sz w:val="22"/>
          <w:szCs w:val="22"/>
          <w:lang w:val="es-ES"/>
        </w:rPr>
      </w:pPr>
      <w:r w:rsidRPr="00971432">
        <w:rPr>
          <w:rFonts w:ascii="Palatino Linotype" w:hAnsi="Palatino Linotype" w:cs="Tahoma"/>
          <w:b/>
          <w:bCs/>
          <w:iCs/>
          <w:sz w:val="22"/>
          <w:szCs w:val="22"/>
          <w:lang w:val="es-ES"/>
        </w:rPr>
        <w:t xml:space="preserve">TERCERO. Determinación de la Controversia. </w:t>
      </w:r>
    </w:p>
    <w:p w14:paraId="4AA0248D" w14:textId="77777777" w:rsidR="005F2D09" w:rsidRPr="00971432" w:rsidRDefault="005F2D09" w:rsidP="00971432">
      <w:pPr>
        <w:spacing w:line="360" w:lineRule="auto"/>
        <w:contextualSpacing/>
        <w:jc w:val="both"/>
        <w:rPr>
          <w:rFonts w:ascii="Palatino Linotype" w:hAnsi="Palatino Linotype" w:cs="Tahoma"/>
          <w:sz w:val="22"/>
          <w:szCs w:val="22"/>
          <w:lang w:val="es-ES"/>
        </w:rPr>
      </w:pPr>
    </w:p>
    <w:p w14:paraId="2D68BDEE" w14:textId="264B201D" w:rsidR="00117DCC" w:rsidRDefault="00756C38" w:rsidP="00117DCC">
      <w:pPr>
        <w:spacing w:line="360" w:lineRule="auto"/>
        <w:contextualSpacing/>
        <w:jc w:val="both"/>
        <w:rPr>
          <w:rFonts w:ascii="Palatino Linotype" w:hAnsi="Palatino Linotype" w:cs="Tahoma"/>
          <w:sz w:val="22"/>
          <w:szCs w:val="22"/>
          <w:lang w:val="es-ES"/>
        </w:rPr>
      </w:pPr>
      <w:r w:rsidRPr="00971432">
        <w:rPr>
          <w:rFonts w:ascii="Palatino Linotype" w:hAnsi="Palatino Linotype" w:cs="Tahoma"/>
          <w:sz w:val="22"/>
          <w:szCs w:val="22"/>
          <w:lang w:val="es-ES"/>
        </w:rPr>
        <w:t xml:space="preserve">El Particular solicitó </w:t>
      </w:r>
      <w:r w:rsidR="00117DCC">
        <w:rPr>
          <w:rFonts w:ascii="Palatino Linotype" w:hAnsi="Palatino Linotype" w:cs="Tahoma"/>
          <w:sz w:val="22"/>
          <w:szCs w:val="22"/>
          <w:lang w:val="es-ES"/>
        </w:rPr>
        <w:t>al Sujeto Obligado lo siguiente:</w:t>
      </w:r>
    </w:p>
    <w:p w14:paraId="10AE4763" w14:textId="77777777" w:rsidR="003909B2" w:rsidRDefault="003909B2" w:rsidP="00117DCC">
      <w:pPr>
        <w:spacing w:line="360" w:lineRule="auto"/>
        <w:contextualSpacing/>
        <w:jc w:val="both"/>
        <w:rPr>
          <w:rFonts w:ascii="Palatino Linotype" w:hAnsi="Palatino Linotype" w:cs="Tahoma"/>
          <w:sz w:val="22"/>
          <w:szCs w:val="22"/>
          <w:lang w:val="es-ES"/>
        </w:rPr>
      </w:pPr>
    </w:p>
    <w:p w14:paraId="64572A92" w14:textId="3C1E5CBE" w:rsidR="00117DCC" w:rsidRPr="00117DCC" w:rsidRDefault="003909B2" w:rsidP="00117DCC">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Del periodo que va del primero de enero de dos mil dieciséis a la fecha de la solicitud, lo siguiente:</w:t>
      </w:r>
    </w:p>
    <w:p w14:paraId="7BCC9FD4" w14:textId="230547EE" w:rsidR="00117DCC" w:rsidRDefault="00117DCC"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El número </w:t>
      </w:r>
      <w:r w:rsidRPr="00117DCC">
        <w:rPr>
          <w:rFonts w:ascii="Palatino Linotype" w:hAnsi="Palatino Linotype" w:cs="Tahoma"/>
          <w:sz w:val="22"/>
          <w:szCs w:val="22"/>
        </w:rPr>
        <w:t>total de policías municip</w:t>
      </w:r>
      <w:r w:rsidR="003909B2">
        <w:rPr>
          <w:rFonts w:ascii="Palatino Linotype" w:hAnsi="Palatino Linotype" w:cs="Tahoma"/>
          <w:sz w:val="22"/>
          <w:szCs w:val="22"/>
        </w:rPr>
        <w:t>ales que han sido dados de baja.</w:t>
      </w:r>
    </w:p>
    <w:p w14:paraId="04DC5E05" w14:textId="080C0642" w:rsidR="00117DCC" w:rsidRDefault="00117DCC" w:rsidP="00117DCC">
      <w:pPr>
        <w:numPr>
          <w:ilvl w:val="0"/>
          <w:numId w:val="27"/>
        </w:numPr>
        <w:spacing w:line="360" w:lineRule="auto"/>
        <w:contextualSpacing/>
        <w:jc w:val="both"/>
        <w:rPr>
          <w:rFonts w:ascii="Palatino Linotype" w:hAnsi="Palatino Linotype" w:cs="Tahoma"/>
          <w:sz w:val="22"/>
          <w:szCs w:val="22"/>
        </w:rPr>
      </w:pPr>
      <w:r w:rsidRPr="00117DCC">
        <w:rPr>
          <w:rFonts w:ascii="Palatino Linotype" w:hAnsi="Palatino Linotype" w:cs="Tahoma"/>
          <w:sz w:val="22"/>
          <w:szCs w:val="22"/>
        </w:rPr>
        <w:t>Desglosa</w:t>
      </w:r>
      <w:r w:rsidR="003909B2">
        <w:rPr>
          <w:rFonts w:ascii="Palatino Linotype" w:hAnsi="Palatino Linotype" w:cs="Tahoma"/>
          <w:sz w:val="22"/>
          <w:szCs w:val="22"/>
        </w:rPr>
        <w:t>r las cantidades por mes y año.</w:t>
      </w:r>
    </w:p>
    <w:p w14:paraId="171E9629" w14:textId="1A8F7439"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F</w:t>
      </w:r>
      <w:r w:rsidR="00117DCC">
        <w:rPr>
          <w:rFonts w:ascii="Palatino Linotype" w:hAnsi="Palatino Linotype" w:cs="Tahoma"/>
          <w:sz w:val="22"/>
          <w:szCs w:val="22"/>
        </w:rPr>
        <w:t>echa de baja</w:t>
      </w:r>
      <w:r>
        <w:rPr>
          <w:rFonts w:ascii="Palatino Linotype" w:hAnsi="Palatino Linotype" w:cs="Tahoma"/>
          <w:sz w:val="22"/>
          <w:szCs w:val="22"/>
        </w:rPr>
        <w:t>.</w:t>
      </w:r>
    </w:p>
    <w:p w14:paraId="647478C8" w14:textId="08E707DB"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P</w:t>
      </w:r>
      <w:r w:rsidR="00117DCC">
        <w:rPr>
          <w:rFonts w:ascii="Palatino Linotype" w:hAnsi="Palatino Linotype" w:cs="Tahoma"/>
          <w:sz w:val="22"/>
          <w:szCs w:val="22"/>
        </w:rPr>
        <w:t>uesto o grado del policía</w:t>
      </w:r>
      <w:r>
        <w:rPr>
          <w:rFonts w:ascii="Palatino Linotype" w:hAnsi="Palatino Linotype" w:cs="Tahoma"/>
          <w:sz w:val="22"/>
          <w:szCs w:val="22"/>
        </w:rPr>
        <w:t>.</w:t>
      </w:r>
    </w:p>
    <w:p w14:paraId="3DEC21DF" w14:textId="1795AAB0"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M</w:t>
      </w:r>
      <w:r w:rsidR="00117DCC">
        <w:rPr>
          <w:rFonts w:ascii="Palatino Linotype" w:hAnsi="Palatino Linotype" w:cs="Tahoma"/>
          <w:sz w:val="22"/>
          <w:szCs w:val="22"/>
        </w:rPr>
        <w:t>otivo</w:t>
      </w:r>
      <w:r>
        <w:rPr>
          <w:rFonts w:ascii="Palatino Linotype" w:hAnsi="Palatino Linotype" w:cs="Tahoma"/>
          <w:sz w:val="22"/>
          <w:szCs w:val="22"/>
        </w:rPr>
        <w:t>.</w:t>
      </w:r>
    </w:p>
    <w:p w14:paraId="6A0DE2EB" w14:textId="2144D81B"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S</w:t>
      </w:r>
      <w:r w:rsidR="00117DCC" w:rsidRPr="00117DCC">
        <w:rPr>
          <w:rFonts w:ascii="Palatino Linotype" w:hAnsi="Palatino Linotype" w:cs="Tahoma"/>
          <w:sz w:val="22"/>
          <w:szCs w:val="22"/>
        </w:rPr>
        <w:t xml:space="preserve">ección </w:t>
      </w:r>
      <w:r w:rsidR="00117DCC">
        <w:rPr>
          <w:rFonts w:ascii="Palatino Linotype" w:hAnsi="Palatino Linotype" w:cs="Tahoma"/>
          <w:sz w:val="22"/>
          <w:szCs w:val="22"/>
        </w:rPr>
        <w:t>o división a la que pertenecía</w:t>
      </w:r>
      <w:r>
        <w:rPr>
          <w:rFonts w:ascii="Palatino Linotype" w:hAnsi="Palatino Linotype" w:cs="Tahoma"/>
          <w:sz w:val="22"/>
          <w:szCs w:val="22"/>
        </w:rPr>
        <w:t>.</w:t>
      </w:r>
    </w:p>
    <w:p w14:paraId="43BCE6AA" w14:textId="4C9DA02E"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N</w:t>
      </w:r>
      <w:r w:rsidR="00117DCC">
        <w:rPr>
          <w:rFonts w:ascii="Palatino Linotype" w:hAnsi="Palatino Linotype" w:cs="Tahoma"/>
          <w:sz w:val="22"/>
          <w:szCs w:val="22"/>
        </w:rPr>
        <w:t>úmero de expediente</w:t>
      </w:r>
      <w:r>
        <w:rPr>
          <w:rFonts w:ascii="Palatino Linotype" w:hAnsi="Palatino Linotype" w:cs="Tahoma"/>
          <w:sz w:val="22"/>
          <w:szCs w:val="22"/>
        </w:rPr>
        <w:t>.</w:t>
      </w:r>
    </w:p>
    <w:p w14:paraId="67D6B85F" w14:textId="701479BA"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La instancia a la que le fue turnado el asunto.</w:t>
      </w:r>
    </w:p>
    <w:p w14:paraId="530A91AC" w14:textId="5C8ED645" w:rsidR="00117DCC"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E</w:t>
      </w:r>
      <w:r w:rsidR="00117DCC">
        <w:rPr>
          <w:rFonts w:ascii="Palatino Linotype" w:hAnsi="Palatino Linotype" w:cs="Tahoma"/>
          <w:sz w:val="22"/>
          <w:szCs w:val="22"/>
        </w:rPr>
        <w:t>status</w:t>
      </w:r>
      <w:r>
        <w:rPr>
          <w:rFonts w:ascii="Palatino Linotype" w:hAnsi="Palatino Linotype" w:cs="Tahoma"/>
          <w:sz w:val="22"/>
          <w:szCs w:val="22"/>
        </w:rPr>
        <w:t>.</w:t>
      </w:r>
    </w:p>
    <w:p w14:paraId="647D4DB8" w14:textId="099731B9" w:rsidR="00117DCC" w:rsidRPr="00971432" w:rsidRDefault="003909B2" w:rsidP="00117DCC">
      <w:pPr>
        <w:numPr>
          <w:ilvl w:val="0"/>
          <w:numId w:val="27"/>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S</w:t>
      </w:r>
      <w:r w:rsidR="00117DCC" w:rsidRPr="00117DCC">
        <w:rPr>
          <w:rFonts w:ascii="Palatino Linotype" w:hAnsi="Palatino Linotype" w:cs="Tahoma"/>
          <w:sz w:val="22"/>
          <w:szCs w:val="22"/>
        </w:rPr>
        <w:t>i el elemento fue reubicado en su puesto</w:t>
      </w:r>
      <w:r>
        <w:rPr>
          <w:rFonts w:ascii="Palatino Linotype" w:hAnsi="Palatino Linotype" w:cs="Tahoma"/>
          <w:sz w:val="22"/>
          <w:szCs w:val="22"/>
        </w:rPr>
        <w:t>.</w:t>
      </w:r>
    </w:p>
    <w:p w14:paraId="0B2B4FE9" w14:textId="77777777" w:rsidR="000F0284" w:rsidRDefault="000F0284" w:rsidP="00971432">
      <w:pPr>
        <w:spacing w:line="360" w:lineRule="auto"/>
        <w:contextualSpacing/>
        <w:jc w:val="both"/>
        <w:rPr>
          <w:rFonts w:ascii="Palatino Linotype" w:hAnsi="Palatino Linotype" w:cs="Tahoma"/>
          <w:sz w:val="22"/>
          <w:szCs w:val="22"/>
        </w:rPr>
      </w:pPr>
    </w:p>
    <w:p w14:paraId="3229FA19" w14:textId="50F54FEF" w:rsidR="003909B2" w:rsidRDefault="003909B2" w:rsidP="00971432">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En respuesta, el Sujeto Obligado señaló que</w:t>
      </w:r>
      <w:r w:rsidR="00EF3A04">
        <w:rPr>
          <w:rFonts w:ascii="Palatino Linotype" w:hAnsi="Palatino Linotype" w:cs="Tahoma"/>
          <w:sz w:val="22"/>
          <w:szCs w:val="22"/>
        </w:rPr>
        <w:t xml:space="preserve"> con fundamento en el artículo 140 fracciones I, IV, VI, VIII, IX y X de la </w:t>
      </w:r>
      <w:r w:rsidR="00EF3A04" w:rsidRPr="00EF3A04">
        <w:rPr>
          <w:rFonts w:ascii="Palatino Linotype" w:eastAsia="Calibri" w:hAnsi="Palatino Linotype" w:cs="Tahoma"/>
          <w:bCs/>
          <w:sz w:val="22"/>
          <w:szCs w:val="22"/>
          <w:lang w:eastAsia="en-US"/>
        </w:rPr>
        <w:t>Ley de Transparencia y Acceso a la Información Pública del Estado de México y Municipios</w:t>
      </w:r>
      <w:r w:rsidR="00EF3A04">
        <w:rPr>
          <w:rFonts w:ascii="Palatino Linotype" w:hAnsi="Palatino Linotype" w:cs="Tahoma"/>
          <w:sz w:val="22"/>
          <w:szCs w:val="22"/>
        </w:rPr>
        <w:t>,</w:t>
      </w:r>
      <w:r>
        <w:rPr>
          <w:rFonts w:ascii="Palatino Linotype" w:hAnsi="Palatino Linotype" w:cs="Tahoma"/>
          <w:sz w:val="22"/>
          <w:szCs w:val="22"/>
        </w:rPr>
        <w:t xml:space="preserve"> toda la información generada en la Comisaría Municipal se catalogó como información reservada, de conformidad con el acta ACTA-047/JALTENCO/ORD/2021, de fecha dieciséis de noviembre del año veintiuno, emitida por el Comité de Transparencia; ello en atención a que en octubre del mismo año, la Comisaria Municipal sufrió la quema de moto patrullas</w:t>
      </w:r>
      <w:r w:rsidR="00742CF2">
        <w:rPr>
          <w:rFonts w:ascii="Palatino Linotype" w:hAnsi="Palatino Linotype" w:cs="Tahoma"/>
          <w:sz w:val="22"/>
          <w:szCs w:val="22"/>
        </w:rPr>
        <w:t xml:space="preserve"> y patrullas municipales.</w:t>
      </w:r>
    </w:p>
    <w:p w14:paraId="479C7CB7" w14:textId="77777777" w:rsidR="00742CF2" w:rsidRDefault="00742CF2" w:rsidP="00971432">
      <w:pPr>
        <w:spacing w:line="360" w:lineRule="auto"/>
        <w:contextualSpacing/>
        <w:jc w:val="both"/>
        <w:rPr>
          <w:rFonts w:ascii="Palatino Linotype" w:hAnsi="Palatino Linotype" w:cs="Tahoma"/>
          <w:sz w:val="22"/>
          <w:szCs w:val="22"/>
        </w:rPr>
      </w:pPr>
    </w:p>
    <w:p w14:paraId="35DEA41D" w14:textId="6E4053FB" w:rsidR="00742CF2" w:rsidRDefault="00742CF2" w:rsidP="00971432">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Derivado de la respuesta, el Particular interpuso el Recurso de Revisión que nos ocupa, en el que expreso su inconformidad en contra de la reserva de la información, por considerar que tiene el carácter de pública; y precisó que desconoce el hecho al que hace alusión el Sujeto Obligado; que la información debió generarse antes del mismo; y que no se le entregó el acta del Comité de Transparencia en el que se clasificó la información. </w:t>
      </w:r>
    </w:p>
    <w:p w14:paraId="34E2B447" w14:textId="77777777" w:rsidR="00742CF2" w:rsidRDefault="00742CF2" w:rsidP="00971432">
      <w:pPr>
        <w:spacing w:line="360" w:lineRule="auto"/>
        <w:contextualSpacing/>
        <w:jc w:val="both"/>
        <w:rPr>
          <w:rFonts w:ascii="Palatino Linotype" w:hAnsi="Palatino Linotype" w:cs="Tahoma"/>
          <w:sz w:val="22"/>
          <w:szCs w:val="22"/>
        </w:rPr>
      </w:pPr>
    </w:p>
    <w:p w14:paraId="782AD770" w14:textId="54AFF564" w:rsidR="00742CF2" w:rsidRDefault="00742CF2" w:rsidP="00971432">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Así, durante la sustanciación del Recurso de Revisión ambas partes no realizaron manifestaciones adicionales</w:t>
      </w:r>
      <w:r w:rsidR="00EF3A04">
        <w:rPr>
          <w:rFonts w:ascii="Palatino Linotype" w:hAnsi="Palatino Linotype" w:cs="Tahoma"/>
          <w:sz w:val="22"/>
          <w:szCs w:val="22"/>
        </w:rPr>
        <w:t>.</w:t>
      </w:r>
    </w:p>
    <w:p w14:paraId="0AEC35DA" w14:textId="77777777" w:rsidR="00742CF2" w:rsidRDefault="00742CF2" w:rsidP="00971432">
      <w:pPr>
        <w:spacing w:line="360" w:lineRule="auto"/>
        <w:contextualSpacing/>
        <w:jc w:val="both"/>
        <w:rPr>
          <w:rFonts w:ascii="Palatino Linotype" w:hAnsi="Palatino Linotype" w:cs="Tahoma"/>
          <w:sz w:val="22"/>
          <w:szCs w:val="22"/>
        </w:rPr>
      </w:pPr>
    </w:p>
    <w:p w14:paraId="7A69B4C4" w14:textId="2CB63828" w:rsidR="005F2D09" w:rsidRPr="00971432" w:rsidRDefault="005F2D09" w:rsidP="00971432">
      <w:pPr>
        <w:spacing w:line="360" w:lineRule="auto"/>
        <w:contextualSpacing/>
        <w:jc w:val="both"/>
        <w:rPr>
          <w:rFonts w:ascii="Palatino Linotype" w:hAnsi="Palatino Linotype" w:cs="Tahoma"/>
          <w:b/>
          <w:bCs/>
          <w:sz w:val="22"/>
          <w:szCs w:val="22"/>
        </w:rPr>
      </w:pPr>
      <w:r w:rsidRPr="00971432">
        <w:rPr>
          <w:rFonts w:ascii="Palatino Linotype" w:hAnsi="Palatino Linotype" w:cs="Tahoma"/>
          <w:sz w:val="22"/>
          <w:szCs w:val="22"/>
        </w:rPr>
        <w:t xml:space="preserve">Finalmente, en el asunto que nos ocupa se actualiza la causal de procedencia señalada en el </w:t>
      </w:r>
      <w:r w:rsidRPr="00971432">
        <w:rPr>
          <w:rFonts w:ascii="Palatino Linotype" w:hAnsi="Palatino Linotype" w:cs="Tahoma"/>
          <w:b/>
          <w:sz w:val="22"/>
          <w:szCs w:val="22"/>
        </w:rPr>
        <w:t xml:space="preserve">artículo 179, fracción </w:t>
      </w:r>
      <w:r w:rsidR="00742CF2">
        <w:rPr>
          <w:rFonts w:ascii="Palatino Linotype" w:hAnsi="Palatino Linotype" w:cs="Tahoma"/>
          <w:b/>
          <w:sz w:val="22"/>
          <w:szCs w:val="22"/>
        </w:rPr>
        <w:t>II</w:t>
      </w:r>
      <w:r w:rsidRPr="00971432">
        <w:rPr>
          <w:rFonts w:ascii="Palatino Linotype" w:hAnsi="Palatino Linotype" w:cs="Tahoma"/>
          <w:b/>
          <w:sz w:val="22"/>
          <w:szCs w:val="22"/>
        </w:rPr>
        <w:t xml:space="preserve"> de la Ley de la materia</w:t>
      </w:r>
      <w:r w:rsidRPr="00971432">
        <w:rPr>
          <w:rFonts w:ascii="Palatino Linotype" w:hAnsi="Palatino Linotype" w:cs="Tahoma"/>
          <w:b/>
          <w:bCs/>
          <w:sz w:val="22"/>
          <w:szCs w:val="22"/>
        </w:rPr>
        <w:t xml:space="preserve">, pues el Particular se inconformó por la </w:t>
      </w:r>
      <w:r w:rsidR="00742CF2">
        <w:rPr>
          <w:rFonts w:ascii="Palatino Linotype" w:hAnsi="Palatino Linotype" w:cs="Tahoma"/>
          <w:b/>
          <w:bCs/>
          <w:sz w:val="22"/>
          <w:szCs w:val="22"/>
        </w:rPr>
        <w:t>clasificación de la información</w:t>
      </w:r>
      <w:r w:rsidRPr="00971432">
        <w:rPr>
          <w:rFonts w:ascii="Palatino Linotype" w:hAnsi="Palatino Linotype" w:cs="Tahoma"/>
          <w:b/>
          <w:bCs/>
          <w:sz w:val="22"/>
          <w:szCs w:val="22"/>
        </w:rPr>
        <w:t xml:space="preserve">. </w:t>
      </w:r>
    </w:p>
    <w:p w14:paraId="4448BDDC"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35A88819" w14:textId="77777777" w:rsidR="005F2D09" w:rsidRPr="00971432" w:rsidRDefault="005F2D09"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CUARTO. Marco normativo aplicable en materia de transparencia y acceso a la información pública.</w:t>
      </w:r>
    </w:p>
    <w:p w14:paraId="1D7A057E" w14:textId="77777777" w:rsidR="005F2D09" w:rsidRPr="00971432" w:rsidRDefault="005F2D09" w:rsidP="00971432">
      <w:pPr>
        <w:spacing w:line="360" w:lineRule="auto"/>
        <w:contextualSpacing/>
        <w:jc w:val="both"/>
        <w:rPr>
          <w:rFonts w:ascii="Palatino Linotype" w:hAnsi="Palatino Linotype" w:cs="Tahoma"/>
          <w:b/>
          <w:sz w:val="22"/>
          <w:szCs w:val="22"/>
        </w:rPr>
      </w:pPr>
    </w:p>
    <w:p w14:paraId="6D318784"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028BD81" w14:textId="77777777" w:rsidR="005F2D09" w:rsidRPr="00971432" w:rsidRDefault="005F2D09" w:rsidP="00971432">
      <w:pPr>
        <w:spacing w:line="360" w:lineRule="auto"/>
        <w:contextualSpacing/>
        <w:jc w:val="both"/>
        <w:rPr>
          <w:rFonts w:ascii="Palatino Linotype" w:hAnsi="Palatino Linotype" w:cs="Tahoma"/>
          <w:sz w:val="22"/>
          <w:szCs w:val="22"/>
        </w:rPr>
      </w:pPr>
    </w:p>
    <w:p w14:paraId="55FABCBA"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F2714A0" w14:textId="77777777" w:rsidR="005F2D09" w:rsidRPr="00971432" w:rsidRDefault="005F2D09" w:rsidP="00971432">
      <w:pPr>
        <w:spacing w:line="360" w:lineRule="auto"/>
        <w:contextualSpacing/>
        <w:jc w:val="both"/>
        <w:rPr>
          <w:rFonts w:ascii="Palatino Linotype" w:hAnsi="Palatino Linotype" w:cs="Tahoma"/>
          <w:sz w:val="22"/>
          <w:szCs w:val="22"/>
        </w:rPr>
      </w:pPr>
    </w:p>
    <w:p w14:paraId="694EE490"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A3491F" w14:textId="77777777" w:rsidR="005F2D09" w:rsidRPr="00971432" w:rsidRDefault="005F2D09" w:rsidP="00971432">
      <w:pPr>
        <w:spacing w:line="360" w:lineRule="auto"/>
        <w:contextualSpacing/>
        <w:jc w:val="both"/>
        <w:rPr>
          <w:rFonts w:ascii="Palatino Linotype" w:hAnsi="Palatino Linotype" w:cs="Tahoma"/>
          <w:sz w:val="22"/>
          <w:szCs w:val="22"/>
        </w:rPr>
      </w:pPr>
    </w:p>
    <w:p w14:paraId="1D38F7D1"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D87C054" w14:textId="77777777" w:rsidR="005F2D09" w:rsidRPr="00971432" w:rsidRDefault="005F2D09" w:rsidP="00971432">
      <w:pPr>
        <w:spacing w:line="360" w:lineRule="auto"/>
        <w:contextualSpacing/>
        <w:jc w:val="both"/>
        <w:rPr>
          <w:rFonts w:ascii="Palatino Linotype" w:hAnsi="Palatino Linotype" w:cs="Tahoma"/>
          <w:sz w:val="22"/>
          <w:szCs w:val="22"/>
        </w:rPr>
      </w:pPr>
    </w:p>
    <w:p w14:paraId="4BEA2138"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El artículo 12, que, quienes generen, recopilen, administren, manejen, procesen, archiven o conserven información pública serán responsables de la misma.</w:t>
      </w:r>
    </w:p>
    <w:p w14:paraId="70093EDA"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DBD2569" w14:textId="77777777" w:rsidR="005F2D09" w:rsidRPr="00971432" w:rsidRDefault="005F2D09" w:rsidP="00971432">
      <w:pPr>
        <w:spacing w:line="360" w:lineRule="auto"/>
        <w:contextualSpacing/>
        <w:jc w:val="both"/>
        <w:rPr>
          <w:rFonts w:ascii="Palatino Linotype" w:hAnsi="Palatino Linotype" w:cs="Tahoma"/>
          <w:sz w:val="22"/>
          <w:szCs w:val="22"/>
        </w:rPr>
      </w:pPr>
    </w:p>
    <w:p w14:paraId="4C50FC7E" w14:textId="77777777" w:rsidR="005F2D09" w:rsidRPr="00971432" w:rsidRDefault="005F2D09"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F35553" w14:textId="77777777" w:rsidR="005F2D09" w:rsidRPr="00971432" w:rsidRDefault="005F2D09" w:rsidP="00971432">
      <w:pPr>
        <w:spacing w:line="360" w:lineRule="auto"/>
        <w:contextualSpacing/>
        <w:jc w:val="both"/>
        <w:rPr>
          <w:rFonts w:ascii="Palatino Linotype" w:hAnsi="Palatino Linotype" w:cs="Tahoma"/>
          <w:sz w:val="22"/>
          <w:szCs w:val="22"/>
        </w:rPr>
      </w:pPr>
    </w:p>
    <w:p w14:paraId="671D2C0A" w14:textId="77777777" w:rsidR="005F2D09" w:rsidRPr="00971432" w:rsidRDefault="005F2D09"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QUINTO. Estudio de Fondo.</w:t>
      </w:r>
    </w:p>
    <w:p w14:paraId="65D49EC5" w14:textId="77777777" w:rsidR="005F2D09" w:rsidRPr="00971432" w:rsidRDefault="005F2D09" w:rsidP="00971432">
      <w:p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8DBE567"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16FC613C" w14:textId="77777777" w:rsidR="005F2D09" w:rsidRPr="00971432" w:rsidRDefault="005F2D09" w:rsidP="00971432">
      <w:pPr>
        <w:numPr>
          <w:ilvl w:val="0"/>
          <w:numId w:val="3"/>
        </w:num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14:paraId="6B2AF2D7"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69B31D36" w14:textId="77777777" w:rsidR="005F2D09" w:rsidRPr="00971432" w:rsidRDefault="005F2D09" w:rsidP="00971432">
      <w:pPr>
        <w:numPr>
          <w:ilvl w:val="0"/>
          <w:numId w:val="3"/>
        </w:num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Transparentar la gestión pública, mediante la difusión de la información generada por los Sujetos Obligados, y</w:t>
      </w:r>
    </w:p>
    <w:p w14:paraId="17748B3E"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6D0E8F34" w14:textId="77777777" w:rsidR="005F2D09" w:rsidRPr="00971432" w:rsidRDefault="005F2D09" w:rsidP="00971432">
      <w:pPr>
        <w:numPr>
          <w:ilvl w:val="0"/>
          <w:numId w:val="3"/>
        </w:num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6298BB3E"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18543562" w14:textId="77777777" w:rsidR="005F2D09" w:rsidRPr="00971432" w:rsidRDefault="005F2D09" w:rsidP="00971432">
      <w:p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 xml:space="preserve">Conforme a lo anterior, se deprende que </w:t>
      </w:r>
      <w:r w:rsidRPr="00971432">
        <w:rPr>
          <w:rFonts w:ascii="Palatino Linotype" w:hAnsi="Palatino Linotype" w:cs="Tahoma"/>
          <w:b/>
          <w:bCs/>
          <w:sz w:val="22"/>
          <w:szCs w:val="22"/>
        </w:rPr>
        <w:t>los objetivos de la Ley de la materia,</w:t>
      </w:r>
      <w:r w:rsidRPr="00971432">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190ADBE"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56663441" w14:textId="77777777" w:rsidR="005F2D09" w:rsidRPr="00971432" w:rsidRDefault="005F2D09" w:rsidP="00971432">
      <w:p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 xml:space="preserve">En ese orden de ideas, para la atención de las solicitudes de acceso a la información, debe privilegiarse el </w:t>
      </w:r>
      <w:r w:rsidRPr="00971432">
        <w:rPr>
          <w:rFonts w:ascii="Palatino Linotype" w:hAnsi="Palatino Linotype" w:cs="Tahoma"/>
          <w:b/>
          <w:bCs/>
          <w:sz w:val="22"/>
          <w:szCs w:val="22"/>
        </w:rPr>
        <w:t>principio de máxima publicidad</w:t>
      </w:r>
      <w:r w:rsidRPr="00971432">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9EF808D"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64235A04" w14:textId="77777777" w:rsidR="005F2D09" w:rsidRPr="00971432" w:rsidRDefault="005F2D09" w:rsidP="00971432">
      <w:p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413F85"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512E92A7" w14:textId="77777777" w:rsidR="005F2D09" w:rsidRPr="00971432" w:rsidRDefault="005F2D09" w:rsidP="00971432">
      <w:pPr>
        <w:numPr>
          <w:ilvl w:val="0"/>
          <w:numId w:val="4"/>
        </w:num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2BCF97F"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26BC3509" w14:textId="77777777" w:rsidR="005F2D09" w:rsidRPr="00971432" w:rsidRDefault="005F2D09" w:rsidP="00971432">
      <w:pPr>
        <w:numPr>
          <w:ilvl w:val="0"/>
          <w:numId w:val="4"/>
        </w:num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 xml:space="preserve">La respuesta a los requerimientos informativos, deberán notificarse al interesado en el menor tiempo posible, que no podrá exceder de </w:t>
      </w:r>
      <w:r w:rsidRPr="00971432">
        <w:rPr>
          <w:rFonts w:ascii="Palatino Linotype" w:hAnsi="Palatino Linotype" w:cs="Tahoma"/>
          <w:b/>
          <w:bCs/>
          <w:sz w:val="22"/>
          <w:szCs w:val="22"/>
        </w:rPr>
        <w:t>quince días hábiles, contados a partir del día siguiente a la presentación de esta.</w:t>
      </w:r>
      <w:r w:rsidRPr="00971432">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14:paraId="1D4B6115" w14:textId="77777777" w:rsidR="005F2D09" w:rsidRPr="00971432" w:rsidRDefault="005F2D09" w:rsidP="00971432">
      <w:pPr>
        <w:spacing w:line="360" w:lineRule="auto"/>
        <w:contextualSpacing/>
        <w:jc w:val="both"/>
        <w:rPr>
          <w:rFonts w:ascii="Palatino Linotype" w:hAnsi="Palatino Linotype" w:cs="Tahoma"/>
          <w:bCs/>
          <w:sz w:val="22"/>
          <w:szCs w:val="22"/>
        </w:rPr>
      </w:pPr>
    </w:p>
    <w:p w14:paraId="6FD81FB1" w14:textId="77777777" w:rsidR="005F2D09" w:rsidRPr="00971432" w:rsidRDefault="005F2D09" w:rsidP="00971432">
      <w:pPr>
        <w:numPr>
          <w:ilvl w:val="0"/>
          <w:numId w:val="4"/>
        </w:numPr>
        <w:spacing w:line="360" w:lineRule="auto"/>
        <w:contextualSpacing/>
        <w:jc w:val="both"/>
        <w:rPr>
          <w:rFonts w:ascii="Palatino Linotype" w:hAnsi="Palatino Linotype" w:cs="Tahoma"/>
          <w:b/>
          <w:bCs/>
          <w:sz w:val="22"/>
          <w:szCs w:val="22"/>
        </w:rPr>
      </w:pPr>
      <w:r w:rsidRPr="00971432">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71432">
        <w:rPr>
          <w:rFonts w:ascii="Palatino Linotype" w:hAnsi="Palatino Linotype" w:cs="Tahoma"/>
          <w:b/>
          <w:bCs/>
          <w:sz w:val="22"/>
          <w:szCs w:val="22"/>
        </w:rPr>
        <w:t>que se encuentren en sus archivos o que estén constreñidos a elaborar;</w:t>
      </w:r>
    </w:p>
    <w:p w14:paraId="5144CAED" w14:textId="77777777" w:rsidR="005F2D09" w:rsidRPr="00971432" w:rsidRDefault="005F2D09" w:rsidP="00971432">
      <w:pPr>
        <w:spacing w:line="360" w:lineRule="auto"/>
        <w:contextualSpacing/>
        <w:jc w:val="both"/>
        <w:rPr>
          <w:rFonts w:ascii="Palatino Linotype" w:hAnsi="Palatino Linotype" w:cs="Tahoma"/>
          <w:b/>
          <w:bCs/>
          <w:sz w:val="22"/>
          <w:szCs w:val="22"/>
        </w:rPr>
      </w:pPr>
    </w:p>
    <w:p w14:paraId="5729C93A" w14:textId="77777777" w:rsidR="005F2D09" w:rsidRPr="00971432" w:rsidRDefault="005F2D09" w:rsidP="00971432">
      <w:pPr>
        <w:numPr>
          <w:ilvl w:val="0"/>
          <w:numId w:val="4"/>
        </w:numPr>
        <w:spacing w:line="360" w:lineRule="auto"/>
        <w:contextualSpacing/>
        <w:jc w:val="both"/>
        <w:rPr>
          <w:rFonts w:ascii="Palatino Linotype" w:hAnsi="Palatino Linotype" w:cs="Tahoma"/>
          <w:b/>
          <w:bCs/>
          <w:sz w:val="22"/>
          <w:szCs w:val="22"/>
        </w:rPr>
      </w:pPr>
      <w:r w:rsidRPr="00971432">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9199BD2" w14:textId="77777777" w:rsidR="005F2D09" w:rsidRPr="00971432" w:rsidRDefault="005F2D09" w:rsidP="00971432">
      <w:pPr>
        <w:spacing w:line="360" w:lineRule="auto"/>
        <w:contextualSpacing/>
        <w:jc w:val="both"/>
        <w:rPr>
          <w:rFonts w:ascii="Palatino Linotype" w:hAnsi="Palatino Linotype" w:cs="Tahoma"/>
          <w:b/>
          <w:bCs/>
          <w:sz w:val="22"/>
          <w:szCs w:val="22"/>
        </w:rPr>
      </w:pPr>
    </w:p>
    <w:p w14:paraId="667BBAC0" w14:textId="77777777" w:rsidR="005F2D09" w:rsidRPr="00971432" w:rsidRDefault="005F2D09" w:rsidP="00971432">
      <w:pPr>
        <w:numPr>
          <w:ilvl w:val="0"/>
          <w:numId w:val="4"/>
        </w:numPr>
        <w:spacing w:line="360" w:lineRule="auto"/>
        <w:contextualSpacing/>
        <w:jc w:val="both"/>
        <w:rPr>
          <w:rFonts w:ascii="Palatino Linotype" w:hAnsi="Palatino Linotype" w:cs="Tahoma"/>
          <w:b/>
          <w:iCs/>
          <w:sz w:val="22"/>
          <w:szCs w:val="22"/>
        </w:rPr>
      </w:pPr>
      <w:r w:rsidRPr="00971432">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971432">
        <w:rPr>
          <w:rFonts w:ascii="Palatino Linotype" w:hAnsi="Palatino Linotype" w:cs="Tahoma"/>
          <w:b/>
          <w:iCs/>
          <w:sz w:val="22"/>
          <w:szCs w:val="22"/>
        </w:rPr>
        <w:t xml:space="preserve"> </w:t>
      </w:r>
    </w:p>
    <w:p w14:paraId="33B85482" w14:textId="66E4F22D" w:rsidR="005F2D09" w:rsidRDefault="005F2D09" w:rsidP="00971432">
      <w:pPr>
        <w:spacing w:line="360" w:lineRule="auto"/>
        <w:contextualSpacing/>
        <w:jc w:val="both"/>
        <w:rPr>
          <w:rFonts w:ascii="Palatino Linotype" w:hAnsi="Palatino Linotype" w:cs="Tahoma"/>
          <w:b/>
          <w:sz w:val="22"/>
          <w:szCs w:val="22"/>
          <w:u w:val="single"/>
        </w:rPr>
      </w:pPr>
    </w:p>
    <w:p w14:paraId="782B83D5" w14:textId="70B9F95F" w:rsidR="00A05174" w:rsidRDefault="006B045A" w:rsidP="00971432">
      <w:pPr>
        <w:spacing w:line="360" w:lineRule="auto"/>
        <w:contextualSpacing/>
        <w:jc w:val="both"/>
        <w:rPr>
          <w:rFonts w:ascii="Palatino Linotype" w:hAnsi="Palatino Linotype" w:cs="Tahoma"/>
          <w:b/>
          <w:sz w:val="22"/>
          <w:szCs w:val="22"/>
          <w:u w:val="single"/>
        </w:rPr>
      </w:pPr>
      <w:r>
        <w:rPr>
          <w:rFonts w:ascii="Palatino Linotype" w:hAnsi="Palatino Linotype" w:cs="Tahoma"/>
          <w:b/>
          <w:sz w:val="22"/>
          <w:szCs w:val="22"/>
          <w:u w:val="single"/>
        </w:rPr>
        <w:t>De la solicitud de información.</w:t>
      </w:r>
      <w:r w:rsidR="00A05174">
        <w:rPr>
          <w:rFonts w:ascii="Palatino Linotype" w:hAnsi="Palatino Linotype" w:cs="Tahoma"/>
          <w:b/>
          <w:sz w:val="22"/>
          <w:szCs w:val="22"/>
          <w:u w:val="single"/>
        </w:rPr>
        <w:t xml:space="preserve"> </w:t>
      </w:r>
    </w:p>
    <w:p w14:paraId="25E77F04" w14:textId="77777777" w:rsidR="009D30F1" w:rsidRDefault="009D30F1" w:rsidP="00971432">
      <w:pPr>
        <w:spacing w:line="360" w:lineRule="auto"/>
        <w:contextualSpacing/>
        <w:jc w:val="both"/>
        <w:rPr>
          <w:rFonts w:ascii="Palatino Linotype" w:hAnsi="Palatino Linotype" w:cs="Tahoma"/>
          <w:b/>
          <w:sz w:val="22"/>
          <w:szCs w:val="22"/>
          <w:u w:val="single"/>
        </w:rPr>
      </w:pPr>
    </w:p>
    <w:p w14:paraId="5845476E" w14:textId="04A97E1E" w:rsidR="009D30F1" w:rsidRDefault="00A05174" w:rsidP="00971432">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Una vez expuesto lo anterior, es procedente analizar el fondo del asunto; así pues, cabe recordar que el Particular solicitó lo siguiente:</w:t>
      </w:r>
    </w:p>
    <w:p w14:paraId="7C044E8A" w14:textId="77777777" w:rsidR="00A05174" w:rsidRDefault="00A05174" w:rsidP="00971432">
      <w:pPr>
        <w:spacing w:line="360" w:lineRule="auto"/>
        <w:contextualSpacing/>
        <w:jc w:val="both"/>
        <w:rPr>
          <w:rFonts w:ascii="Palatino Linotype" w:hAnsi="Palatino Linotype" w:cs="Tahoma"/>
          <w:sz w:val="22"/>
          <w:szCs w:val="22"/>
        </w:rPr>
      </w:pPr>
    </w:p>
    <w:p w14:paraId="34E7AB94" w14:textId="77777777" w:rsidR="00A05174" w:rsidRPr="00117DCC" w:rsidRDefault="00A05174" w:rsidP="00A05174">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Del periodo que va del primero de enero de dos mil dieciséis a la fecha de la solicitud, lo siguiente:</w:t>
      </w:r>
    </w:p>
    <w:p w14:paraId="36AE0C75"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El número </w:t>
      </w:r>
      <w:r w:rsidRPr="00117DCC">
        <w:rPr>
          <w:rFonts w:ascii="Palatino Linotype" w:hAnsi="Palatino Linotype" w:cs="Tahoma"/>
          <w:sz w:val="22"/>
          <w:szCs w:val="22"/>
        </w:rPr>
        <w:t>total de policías municip</w:t>
      </w:r>
      <w:r>
        <w:rPr>
          <w:rFonts w:ascii="Palatino Linotype" w:hAnsi="Palatino Linotype" w:cs="Tahoma"/>
          <w:sz w:val="22"/>
          <w:szCs w:val="22"/>
        </w:rPr>
        <w:t>ales que han sido dados de baja.</w:t>
      </w:r>
    </w:p>
    <w:p w14:paraId="4E20A71D"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sidRPr="00117DCC">
        <w:rPr>
          <w:rFonts w:ascii="Palatino Linotype" w:hAnsi="Palatino Linotype" w:cs="Tahoma"/>
          <w:sz w:val="22"/>
          <w:szCs w:val="22"/>
        </w:rPr>
        <w:t>Desglosa</w:t>
      </w:r>
      <w:r>
        <w:rPr>
          <w:rFonts w:ascii="Palatino Linotype" w:hAnsi="Palatino Linotype" w:cs="Tahoma"/>
          <w:sz w:val="22"/>
          <w:szCs w:val="22"/>
        </w:rPr>
        <w:t>r las cantidades por mes y año.</w:t>
      </w:r>
    </w:p>
    <w:p w14:paraId="55B7EFBB"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Fecha de baja.</w:t>
      </w:r>
    </w:p>
    <w:p w14:paraId="0C74BDDE"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Puesto o grado del policía.</w:t>
      </w:r>
    </w:p>
    <w:p w14:paraId="75A49475"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Motivo.</w:t>
      </w:r>
    </w:p>
    <w:p w14:paraId="45E05027"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S</w:t>
      </w:r>
      <w:r w:rsidRPr="00117DCC">
        <w:rPr>
          <w:rFonts w:ascii="Palatino Linotype" w:hAnsi="Palatino Linotype" w:cs="Tahoma"/>
          <w:sz w:val="22"/>
          <w:szCs w:val="22"/>
        </w:rPr>
        <w:t xml:space="preserve">ección </w:t>
      </w:r>
      <w:r>
        <w:rPr>
          <w:rFonts w:ascii="Palatino Linotype" w:hAnsi="Palatino Linotype" w:cs="Tahoma"/>
          <w:sz w:val="22"/>
          <w:szCs w:val="22"/>
        </w:rPr>
        <w:t>o división a la que pertenecía.</w:t>
      </w:r>
    </w:p>
    <w:p w14:paraId="496FC78D"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Número de expediente.</w:t>
      </w:r>
    </w:p>
    <w:p w14:paraId="60474ED4"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La instancia a la que le fue turnado el asunto.</w:t>
      </w:r>
    </w:p>
    <w:p w14:paraId="2AA7F65B" w14:textId="77777777" w:rsidR="00A05174"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Estatus.</w:t>
      </w:r>
    </w:p>
    <w:p w14:paraId="08A2C4A6" w14:textId="77777777" w:rsidR="00A05174" w:rsidRPr="00971432" w:rsidRDefault="00A05174" w:rsidP="00A05174">
      <w:pPr>
        <w:numPr>
          <w:ilvl w:val="0"/>
          <w:numId w:val="35"/>
        </w:numPr>
        <w:spacing w:line="360" w:lineRule="auto"/>
        <w:contextualSpacing/>
        <w:jc w:val="both"/>
        <w:rPr>
          <w:rFonts w:ascii="Palatino Linotype" w:hAnsi="Palatino Linotype" w:cs="Tahoma"/>
          <w:sz w:val="22"/>
          <w:szCs w:val="22"/>
        </w:rPr>
      </w:pPr>
      <w:r>
        <w:rPr>
          <w:rFonts w:ascii="Palatino Linotype" w:hAnsi="Palatino Linotype" w:cs="Tahoma"/>
          <w:sz w:val="22"/>
          <w:szCs w:val="22"/>
        </w:rPr>
        <w:t>S</w:t>
      </w:r>
      <w:r w:rsidRPr="00117DCC">
        <w:rPr>
          <w:rFonts w:ascii="Palatino Linotype" w:hAnsi="Palatino Linotype" w:cs="Tahoma"/>
          <w:sz w:val="22"/>
          <w:szCs w:val="22"/>
        </w:rPr>
        <w:t>i el elemento fue reubicado en su puesto</w:t>
      </w:r>
      <w:r>
        <w:rPr>
          <w:rFonts w:ascii="Palatino Linotype" w:hAnsi="Palatino Linotype" w:cs="Tahoma"/>
          <w:sz w:val="22"/>
          <w:szCs w:val="22"/>
        </w:rPr>
        <w:t>.</w:t>
      </w:r>
    </w:p>
    <w:p w14:paraId="4C4602D6" w14:textId="77777777" w:rsidR="00A05174" w:rsidRDefault="00A05174" w:rsidP="00971432">
      <w:pPr>
        <w:spacing w:line="360" w:lineRule="auto"/>
        <w:contextualSpacing/>
        <w:jc w:val="both"/>
        <w:rPr>
          <w:rFonts w:ascii="Palatino Linotype" w:hAnsi="Palatino Linotype" w:cs="Tahoma"/>
          <w:sz w:val="22"/>
          <w:szCs w:val="22"/>
        </w:rPr>
      </w:pPr>
    </w:p>
    <w:p w14:paraId="26439A31" w14:textId="77777777" w:rsidR="00A05174" w:rsidRDefault="00A05174" w:rsidP="00A05174">
      <w:pPr>
        <w:spacing w:line="360" w:lineRule="auto"/>
        <w:contextualSpacing/>
        <w:jc w:val="both"/>
        <w:rPr>
          <w:rFonts w:ascii="Palatino Linotype" w:eastAsia="Calibri" w:hAnsi="Palatino Linotype" w:cs="Tahoma"/>
          <w:color w:val="000000"/>
          <w:sz w:val="22"/>
          <w:szCs w:val="22"/>
        </w:rPr>
      </w:pPr>
      <w:r>
        <w:rPr>
          <w:rFonts w:ascii="Palatino Linotype" w:hAnsi="Palatino Linotype" w:cs="Tahoma"/>
          <w:sz w:val="22"/>
          <w:szCs w:val="22"/>
        </w:rPr>
        <w:t xml:space="preserve">En atención a lo solicitado por el Particular, es menester hacer de conocimiento al hoy Recurrente, que la solicitud de información se encuentra redactada de forma tal que su respuesta implique la elaboración de documentos que den respuesta a sus requerimientos; ante lo cual, es preciso señalar que </w:t>
      </w:r>
      <w:r>
        <w:rPr>
          <w:rFonts w:ascii="Palatino Linotype" w:eastAsia="Calibri" w:hAnsi="Palatino Linotype" w:cs="Tahoma"/>
          <w:color w:val="000000"/>
          <w:sz w:val="22"/>
          <w:szCs w:val="22"/>
        </w:rPr>
        <w:t>el Sujeto Obligado no se encuentra forzado normativamente a procesar la información.</w:t>
      </w:r>
    </w:p>
    <w:p w14:paraId="454B9884" w14:textId="77777777" w:rsidR="00A05174" w:rsidRDefault="00A05174" w:rsidP="00A05174">
      <w:pPr>
        <w:spacing w:line="360" w:lineRule="auto"/>
        <w:contextualSpacing/>
        <w:jc w:val="both"/>
        <w:rPr>
          <w:rFonts w:ascii="Palatino Linotype" w:eastAsia="Calibri" w:hAnsi="Palatino Linotype" w:cs="Tahoma"/>
          <w:color w:val="000000"/>
          <w:sz w:val="22"/>
          <w:szCs w:val="22"/>
        </w:rPr>
      </w:pPr>
    </w:p>
    <w:p w14:paraId="0A21D7E4" w14:textId="226598FE" w:rsidR="00A05174" w:rsidRPr="00A05174" w:rsidRDefault="00544985" w:rsidP="00A05174">
      <w:pPr>
        <w:spacing w:line="360" w:lineRule="auto"/>
        <w:contextualSpacing/>
        <w:jc w:val="both"/>
        <w:rPr>
          <w:rFonts w:ascii="Palatino Linotype" w:hAnsi="Palatino Linotype" w:cs="Tahoma"/>
          <w:sz w:val="22"/>
          <w:szCs w:val="22"/>
        </w:rPr>
      </w:pPr>
      <w:r>
        <w:rPr>
          <w:rFonts w:ascii="Palatino Linotype" w:eastAsia="Calibri" w:hAnsi="Palatino Linotype" w:cs="Tahoma"/>
          <w:color w:val="000000"/>
          <w:sz w:val="22"/>
          <w:szCs w:val="22"/>
        </w:rPr>
        <w:t>Ello</w:t>
      </w:r>
      <w:r w:rsidR="00A05174">
        <w:rPr>
          <w:rFonts w:ascii="Palatino Linotype" w:eastAsia="Calibri" w:hAnsi="Palatino Linotype" w:cs="Tahoma"/>
          <w:color w:val="000000"/>
          <w:sz w:val="22"/>
          <w:szCs w:val="22"/>
        </w:rPr>
        <w:t xml:space="preserve">, </w:t>
      </w:r>
      <w:r w:rsidR="00A05174" w:rsidRPr="00FB64F9">
        <w:rPr>
          <w:rFonts w:ascii="Palatino Linotype" w:hAnsi="Palatino Linotype" w:cs="Tahoma"/>
          <w:sz w:val="22"/>
          <w:szCs w:val="22"/>
        </w:rPr>
        <w:t xml:space="preserve">conforme al artículo 12 de la Ley de Transparencia y Acceso a la Información Pública del Estado de México y Municipios, </w:t>
      </w:r>
      <w:r w:rsidR="00A05174">
        <w:rPr>
          <w:rFonts w:ascii="Palatino Linotype" w:hAnsi="Palatino Linotype" w:cs="Tahoma"/>
          <w:sz w:val="22"/>
          <w:szCs w:val="22"/>
        </w:rPr>
        <w:t xml:space="preserve">que prevé que los </w:t>
      </w:r>
      <w:r w:rsidR="00A05174" w:rsidRPr="00FB64F9">
        <w:rPr>
          <w:rFonts w:ascii="Palatino Linotype" w:hAnsi="Palatino Linotype" w:cs="Tahoma"/>
          <w:sz w:val="22"/>
          <w:szCs w:val="22"/>
        </w:rPr>
        <w:t>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F63EBD1" w14:textId="77777777" w:rsidR="00A05174" w:rsidRPr="00FB64F9" w:rsidRDefault="00A05174" w:rsidP="006B045A">
      <w:pPr>
        <w:tabs>
          <w:tab w:val="left" w:pos="4962"/>
        </w:tabs>
        <w:spacing w:line="360" w:lineRule="auto"/>
        <w:jc w:val="both"/>
        <w:rPr>
          <w:rFonts w:ascii="Palatino Linotype" w:hAnsi="Palatino Linotype" w:cs="Tahoma"/>
          <w:sz w:val="22"/>
          <w:szCs w:val="22"/>
        </w:rPr>
      </w:pPr>
    </w:p>
    <w:p w14:paraId="475A8E49" w14:textId="77777777" w:rsidR="00A05174" w:rsidRPr="00FB64F9" w:rsidRDefault="00A05174" w:rsidP="006B045A">
      <w:pPr>
        <w:tabs>
          <w:tab w:val="left" w:pos="4962"/>
        </w:tabs>
        <w:spacing w:line="360" w:lineRule="auto"/>
        <w:jc w:val="both"/>
        <w:rPr>
          <w:rFonts w:ascii="Palatino Linotype" w:eastAsia="Calibri" w:hAnsi="Palatino Linotype" w:cs="Tahoma"/>
          <w:iCs/>
          <w:sz w:val="22"/>
          <w:szCs w:val="22"/>
          <w:lang w:val="es-ES" w:eastAsia="es-ES_tradnl"/>
        </w:rPr>
      </w:pPr>
      <w:r w:rsidRPr="00FB64F9">
        <w:rPr>
          <w:rFonts w:ascii="Palatino Linotype" w:hAnsi="Palatino Linotype" w:cs="Tahoma"/>
          <w:sz w:val="22"/>
          <w:szCs w:val="22"/>
        </w:rPr>
        <w:t xml:space="preserve">De esta manera, </w:t>
      </w:r>
      <w:r w:rsidRPr="00FB64F9">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FB64F9">
        <w:rPr>
          <w:rFonts w:ascii="Palatino Linotype" w:hAnsi="Palatino Linotype" w:cs="Tahoma"/>
          <w:i/>
          <w:sz w:val="22"/>
          <w:szCs w:val="22"/>
        </w:rPr>
        <w:t>ad hoc</w:t>
      </w:r>
      <w:r w:rsidRPr="00FB64F9">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FB64F9">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78116CCB" w14:textId="77777777" w:rsidR="00A05174" w:rsidRPr="00FB64F9" w:rsidRDefault="00A05174" w:rsidP="006B045A">
      <w:pPr>
        <w:spacing w:before="73" w:line="360" w:lineRule="auto"/>
        <w:ind w:left="567"/>
        <w:jc w:val="both"/>
        <w:rPr>
          <w:rFonts w:ascii="Palatino Linotype" w:eastAsia="Arial" w:hAnsi="Palatino Linotype" w:cs="Arial"/>
          <w:b/>
          <w:sz w:val="22"/>
        </w:rPr>
      </w:pPr>
    </w:p>
    <w:p w14:paraId="4F87A5A0" w14:textId="77777777" w:rsidR="00A05174" w:rsidRPr="00FB64F9" w:rsidRDefault="00A05174" w:rsidP="00A05174">
      <w:pPr>
        <w:spacing w:before="73" w:line="360" w:lineRule="auto"/>
        <w:ind w:left="567" w:right="539"/>
        <w:jc w:val="both"/>
        <w:rPr>
          <w:rFonts w:ascii="Palatino Linotype" w:eastAsia="Arial" w:hAnsi="Palatino Linotype" w:cs="Arial"/>
          <w:i/>
        </w:rPr>
      </w:pPr>
      <w:r w:rsidRPr="00FB64F9">
        <w:rPr>
          <w:rFonts w:ascii="Palatino Linotype" w:eastAsia="Arial" w:hAnsi="Palatino Linotype" w:cs="Arial"/>
          <w:b/>
          <w:i/>
        </w:rPr>
        <w:t xml:space="preserve">No existe obligación de elaborar </w:t>
      </w:r>
      <w:r w:rsidRPr="00FB64F9">
        <w:rPr>
          <w:rFonts w:ascii="Palatino Linotype" w:eastAsia="Arial" w:hAnsi="Palatino Linotype" w:cs="Arial"/>
          <w:b/>
          <w:i/>
          <w:spacing w:val="-3"/>
        </w:rPr>
        <w:t>d</w:t>
      </w:r>
      <w:r w:rsidRPr="00FB64F9">
        <w:rPr>
          <w:rFonts w:ascii="Palatino Linotype" w:eastAsia="Arial" w:hAnsi="Palatino Linotype" w:cs="Arial"/>
          <w:b/>
          <w:i/>
        </w:rPr>
        <w:t>ocum</w:t>
      </w:r>
      <w:r w:rsidRPr="00FB64F9">
        <w:rPr>
          <w:rFonts w:ascii="Palatino Linotype" w:eastAsia="Arial" w:hAnsi="Palatino Linotype" w:cs="Arial"/>
          <w:b/>
          <w:i/>
          <w:spacing w:val="1"/>
        </w:rPr>
        <w:t>e</w:t>
      </w:r>
      <w:r w:rsidRPr="00FB64F9">
        <w:rPr>
          <w:rFonts w:ascii="Palatino Linotype" w:eastAsia="Arial" w:hAnsi="Palatino Linotype" w:cs="Arial"/>
          <w:b/>
          <w:i/>
        </w:rPr>
        <w:t>n</w:t>
      </w:r>
      <w:r w:rsidRPr="00FB64F9">
        <w:rPr>
          <w:rFonts w:ascii="Palatino Linotype" w:eastAsia="Arial" w:hAnsi="Palatino Linotype" w:cs="Arial"/>
          <w:b/>
          <w:i/>
          <w:spacing w:val="-1"/>
        </w:rPr>
        <w:t>t</w:t>
      </w:r>
      <w:r w:rsidRPr="00FB64F9">
        <w:rPr>
          <w:rFonts w:ascii="Palatino Linotype" w:eastAsia="Arial" w:hAnsi="Palatino Linotype" w:cs="Arial"/>
          <w:b/>
          <w:i/>
        </w:rPr>
        <w:t xml:space="preserve">os </w:t>
      </w:r>
      <w:r w:rsidRPr="00FB64F9">
        <w:rPr>
          <w:rFonts w:ascii="Palatino Linotype" w:eastAsia="Arial" w:hAnsi="Palatino Linotype" w:cs="Arial"/>
          <w:b/>
          <w:i/>
          <w:spacing w:val="-1"/>
        </w:rPr>
        <w:t xml:space="preserve">ad </w:t>
      </w:r>
      <w:r w:rsidRPr="00FB64F9">
        <w:rPr>
          <w:rFonts w:ascii="Palatino Linotype" w:eastAsia="Arial" w:hAnsi="Palatino Linotype" w:cs="Arial"/>
          <w:b/>
          <w:i/>
        </w:rPr>
        <w:t>hoc para atender las sol</w:t>
      </w:r>
      <w:r w:rsidRPr="00FB64F9">
        <w:rPr>
          <w:rFonts w:ascii="Palatino Linotype" w:eastAsia="Arial" w:hAnsi="Palatino Linotype" w:cs="Arial"/>
          <w:b/>
          <w:i/>
          <w:spacing w:val="-2"/>
        </w:rPr>
        <w:t>i</w:t>
      </w:r>
      <w:r w:rsidRPr="00FB64F9">
        <w:rPr>
          <w:rFonts w:ascii="Palatino Linotype" w:eastAsia="Arial" w:hAnsi="Palatino Linotype" w:cs="Arial"/>
          <w:b/>
          <w:i/>
          <w:spacing w:val="1"/>
        </w:rPr>
        <w:t>c</w:t>
      </w:r>
      <w:r w:rsidRPr="00FB64F9">
        <w:rPr>
          <w:rFonts w:ascii="Palatino Linotype" w:eastAsia="Arial" w:hAnsi="Palatino Linotype" w:cs="Arial"/>
          <w:b/>
          <w:i/>
        </w:rPr>
        <w:t xml:space="preserve">itudes de </w:t>
      </w:r>
      <w:r w:rsidRPr="00FB64F9">
        <w:rPr>
          <w:rFonts w:ascii="Palatino Linotype" w:eastAsia="Arial" w:hAnsi="Palatino Linotype" w:cs="Arial"/>
          <w:b/>
          <w:i/>
          <w:spacing w:val="1"/>
        </w:rPr>
        <w:t>ac</w:t>
      </w:r>
      <w:r w:rsidRPr="00FB64F9">
        <w:rPr>
          <w:rFonts w:ascii="Palatino Linotype" w:eastAsia="Arial" w:hAnsi="Palatino Linotype" w:cs="Arial"/>
          <w:b/>
          <w:i/>
          <w:spacing w:val="-1"/>
        </w:rPr>
        <w:t>c</w:t>
      </w:r>
      <w:r w:rsidRPr="00FB64F9">
        <w:rPr>
          <w:rFonts w:ascii="Palatino Linotype" w:eastAsia="Arial" w:hAnsi="Palatino Linotype" w:cs="Arial"/>
          <w:b/>
          <w:i/>
          <w:spacing w:val="1"/>
        </w:rPr>
        <w:t>es</w:t>
      </w:r>
      <w:r w:rsidRPr="00FB64F9">
        <w:rPr>
          <w:rFonts w:ascii="Palatino Linotype" w:eastAsia="Arial" w:hAnsi="Palatino Linotype" w:cs="Arial"/>
          <w:b/>
          <w:i/>
        </w:rPr>
        <w:t>o a la informa</w:t>
      </w:r>
      <w:r w:rsidRPr="00FB64F9">
        <w:rPr>
          <w:rFonts w:ascii="Palatino Linotype" w:eastAsia="Arial" w:hAnsi="Palatino Linotype" w:cs="Arial"/>
          <w:b/>
          <w:i/>
          <w:spacing w:val="1"/>
        </w:rPr>
        <w:t>c</w:t>
      </w:r>
      <w:r w:rsidRPr="00FB64F9">
        <w:rPr>
          <w:rFonts w:ascii="Palatino Linotype" w:eastAsia="Arial" w:hAnsi="Palatino Linotype" w:cs="Arial"/>
          <w:b/>
          <w:i/>
        </w:rPr>
        <w:t>ió</w:t>
      </w:r>
      <w:r w:rsidRPr="00FB64F9">
        <w:rPr>
          <w:rFonts w:ascii="Palatino Linotype" w:eastAsia="Arial" w:hAnsi="Palatino Linotype" w:cs="Arial"/>
          <w:b/>
          <w:i/>
          <w:spacing w:val="-2"/>
        </w:rPr>
        <w:t>n</w:t>
      </w:r>
      <w:r w:rsidRPr="00FB64F9">
        <w:rPr>
          <w:rFonts w:ascii="Palatino Linotype" w:eastAsia="Arial" w:hAnsi="Palatino Linotype" w:cs="Arial"/>
          <w:b/>
          <w:i/>
        </w:rPr>
        <w:t xml:space="preserve">. </w:t>
      </w:r>
      <w:r w:rsidRPr="00FB64F9">
        <w:rPr>
          <w:rFonts w:ascii="Palatino Linotype" w:eastAsia="Arial" w:hAnsi="Palatino Linotype" w:cs="Arial"/>
          <w:i/>
          <w:spacing w:val="18"/>
        </w:rPr>
        <w:t>L</w:t>
      </w:r>
      <w:r w:rsidRPr="00FB64F9">
        <w:rPr>
          <w:rFonts w:ascii="Palatino Linotype" w:eastAsia="Arial" w:hAnsi="Palatino Linotype" w:cs="Arial"/>
          <w:i/>
          <w:spacing w:val="-1"/>
        </w:rPr>
        <w:t xml:space="preserve">os </w:t>
      </w:r>
      <w:r w:rsidRPr="00FB64F9">
        <w:rPr>
          <w:rFonts w:ascii="Palatino Linotype" w:eastAsia="Arial" w:hAnsi="Palatino Linotype" w:cs="Arial"/>
          <w:i/>
          <w:spacing w:val="1"/>
        </w:rPr>
        <w:t>a</w:t>
      </w:r>
      <w:r w:rsidRPr="00FB64F9">
        <w:rPr>
          <w:rFonts w:ascii="Palatino Linotype" w:eastAsia="Arial" w:hAnsi="Palatino Linotype" w:cs="Arial"/>
          <w:i/>
        </w:rPr>
        <w:t>rt</w:t>
      </w:r>
      <w:r w:rsidRPr="00FB64F9">
        <w:rPr>
          <w:rFonts w:ascii="Palatino Linotype" w:eastAsia="Arial" w:hAnsi="Palatino Linotype" w:cs="Arial"/>
          <w:i/>
          <w:spacing w:val="-2"/>
        </w:rPr>
        <w:t>í</w:t>
      </w:r>
      <w:r w:rsidRPr="00FB64F9">
        <w:rPr>
          <w:rFonts w:ascii="Palatino Linotype" w:eastAsia="Arial" w:hAnsi="Palatino Linotype" w:cs="Arial"/>
          <w:i/>
        </w:rPr>
        <w:t>c</w:t>
      </w:r>
      <w:r w:rsidRPr="00FB64F9">
        <w:rPr>
          <w:rFonts w:ascii="Palatino Linotype" w:eastAsia="Arial" w:hAnsi="Palatino Linotype" w:cs="Arial"/>
          <w:i/>
          <w:spacing w:val="1"/>
        </w:rPr>
        <w:t>u</w:t>
      </w:r>
      <w:r w:rsidRPr="00FB64F9">
        <w:rPr>
          <w:rFonts w:ascii="Palatino Linotype" w:eastAsia="Arial" w:hAnsi="Palatino Linotype" w:cs="Arial"/>
          <w:i/>
        </w:rPr>
        <w:t>los</w:t>
      </w:r>
      <w:r w:rsidRPr="00FB64F9">
        <w:rPr>
          <w:rFonts w:ascii="Palatino Linotype" w:eastAsia="Arial" w:hAnsi="Palatino Linotype" w:cs="Arial"/>
          <w:i/>
          <w:spacing w:val="8"/>
        </w:rPr>
        <w:t xml:space="preserve"> 129 </w:t>
      </w:r>
      <w:r w:rsidRPr="00FB64F9">
        <w:rPr>
          <w:rFonts w:ascii="Palatino Linotype" w:eastAsia="Arial" w:hAnsi="Palatino Linotype" w:cs="Arial"/>
          <w:i/>
          <w:spacing w:val="1"/>
        </w:rPr>
        <w:t>d</w:t>
      </w:r>
      <w:r w:rsidRPr="00FB64F9">
        <w:rPr>
          <w:rFonts w:ascii="Palatino Linotype" w:eastAsia="Arial" w:hAnsi="Palatino Linotype" w:cs="Arial"/>
          <w:i/>
        </w:rPr>
        <w:t xml:space="preserve">e la </w:t>
      </w:r>
      <w:r w:rsidRPr="00FB64F9">
        <w:rPr>
          <w:rFonts w:ascii="Palatino Linotype" w:eastAsia="Arial" w:hAnsi="Palatino Linotype" w:cs="Arial"/>
          <w:i/>
          <w:spacing w:val="-1"/>
        </w:rPr>
        <w:t>L</w:t>
      </w:r>
      <w:r w:rsidRPr="00FB64F9">
        <w:rPr>
          <w:rFonts w:ascii="Palatino Linotype" w:eastAsia="Arial" w:hAnsi="Palatino Linotype" w:cs="Arial"/>
          <w:i/>
          <w:spacing w:val="1"/>
        </w:rPr>
        <w:t>e</w:t>
      </w:r>
      <w:r w:rsidRPr="00FB64F9">
        <w:rPr>
          <w:rFonts w:ascii="Palatino Linotype" w:eastAsia="Arial" w:hAnsi="Palatino Linotype" w:cs="Arial"/>
          <w:i/>
        </w:rPr>
        <w:t xml:space="preserve">y General </w:t>
      </w:r>
      <w:r w:rsidRPr="00FB64F9">
        <w:rPr>
          <w:rFonts w:ascii="Palatino Linotype" w:eastAsia="Arial" w:hAnsi="Palatino Linotype" w:cs="Arial"/>
          <w:i/>
          <w:spacing w:val="-1"/>
        </w:rPr>
        <w:t>d</w:t>
      </w:r>
      <w:r w:rsidRPr="00FB64F9">
        <w:rPr>
          <w:rFonts w:ascii="Palatino Linotype" w:eastAsia="Arial" w:hAnsi="Palatino Linotype" w:cs="Arial"/>
          <w:i/>
        </w:rPr>
        <w:t xml:space="preserve">e </w:t>
      </w:r>
      <w:r w:rsidRPr="00FB64F9">
        <w:rPr>
          <w:rFonts w:ascii="Palatino Linotype" w:eastAsia="Arial" w:hAnsi="Palatino Linotype" w:cs="Arial"/>
          <w:i/>
          <w:spacing w:val="2"/>
        </w:rPr>
        <w:t>T</w:t>
      </w:r>
      <w:r w:rsidRPr="00FB64F9">
        <w:rPr>
          <w:rFonts w:ascii="Palatino Linotype" w:eastAsia="Arial" w:hAnsi="Palatino Linotype" w:cs="Arial"/>
          <w:i/>
        </w:rPr>
        <w:t>r</w:t>
      </w:r>
      <w:r w:rsidRPr="00FB64F9">
        <w:rPr>
          <w:rFonts w:ascii="Palatino Linotype" w:eastAsia="Arial" w:hAnsi="Palatino Linotype" w:cs="Arial"/>
          <w:i/>
          <w:spacing w:val="-2"/>
        </w:rPr>
        <w:t>a</w:t>
      </w:r>
      <w:r w:rsidRPr="00FB64F9">
        <w:rPr>
          <w:rFonts w:ascii="Palatino Linotype" w:eastAsia="Arial" w:hAnsi="Palatino Linotype" w:cs="Arial"/>
          <w:i/>
          <w:spacing w:val="1"/>
        </w:rPr>
        <w:t>n</w:t>
      </w:r>
      <w:r w:rsidRPr="00FB64F9">
        <w:rPr>
          <w:rFonts w:ascii="Palatino Linotype" w:eastAsia="Arial" w:hAnsi="Palatino Linotype" w:cs="Arial"/>
          <w:i/>
        </w:rPr>
        <w:t>s</w:t>
      </w:r>
      <w:r w:rsidRPr="00FB64F9">
        <w:rPr>
          <w:rFonts w:ascii="Palatino Linotype" w:eastAsia="Arial" w:hAnsi="Palatino Linotype" w:cs="Arial"/>
          <w:i/>
          <w:spacing w:val="1"/>
        </w:rPr>
        <w:t>pa</w:t>
      </w:r>
      <w:r w:rsidRPr="00FB64F9">
        <w:rPr>
          <w:rFonts w:ascii="Palatino Linotype" w:eastAsia="Arial" w:hAnsi="Palatino Linotype" w:cs="Arial"/>
          <w:i/>
        </w:rPr>
        <w:t>r</w:t>
      </w:r>
      <w:r w:rsidRPr="00FB64F9">
        <w:rPr>
          <w:rFonts w:ascii="Palatino Linotype" w:eastAsia="Arial" w:hAnsi="Palatino Linotype" w:cs="Arial"/>
          <w:i/>
          <w:spacing w:val="-2"/>
        </w:rPr>
        <w:t>e</w:t>
      </w:r>
      <w:r w:rsidRPr="00FB64F9">
        <w:rPr>
          <w:rFonts w:ascii="Palatino Linotype" w:eastAsia="Arial" w:hAnsi="Palatino Linotype" w:cs="Arial"/>
          <w:i/>
          <w:spacing w:val="1"/>
        </w:rPr>
        <w:t>n</w:t>
      </w:r>
      <w:r w:rsidRPr="00FB64F9">
        <w:rPr>
          <w:rFonts w:ascii="Palatino Linotype" w:eastAsia="Arial" w:hAnsi="Palatino Linotype" w:cs="Arial"/>
          <w:i/>
        </w:rPr>
        <w:t>cia y Acc</w:t>
      </w:r>
      <w:r w:rsidRPr="00FB64F9">
        <w:rPr>
          <w:rFonts w:ascii="Palatino Linotype" w:eastAsia="Arial" w:hAnsi="Palatino Linotype" w:cs="Arial"/>
          <w:i/>
          <w:spacing w:val="1"/>
        </w:rPr>
        <w:t>e</w:t>
      </w:r>
      <w:r w:rsidRPr="00FB64F9">
        <w:rPr>
          <w:rFonts w:ascii="Palatino Linotype" w:eastAsia="Arial" w:hAnsi="Palatino Linotype" w:cs="Arial"/>
          <w:i/>
        </w:rPr>
        <w:t>so a la I</w:t>
      </w:r>
      <w:r w:rsidRPr="00FB64F9">
        <w:rPr>
          <w:rFonts w:ascii="Palatino Linotype" w:eastAsia="Arial" w:hAnsi="Palatino Linotype" w:cs="Arial"/>
          <w:i/>
          <w:spacing w:val="-1"/>
        </w:rPr>
        <w:t>n</w:t>
      </w:r>
      <w:r w:rsidRPr="00FB64F9">
        <w:rPr>
          <w:rFonts w:ascii="Palatino Linotype" w:eastAsia="Arial" w:hAnsi="Palatino Linotype" w:cs="Arial"/>
          <w:i/>
        </w:rPr>
        <w:t>f</w:t>
      </w:r>
      <w:r w:rsidRPr="00FB64F9">
        <w:rPr>
          <w:rFonts w:ascii="Palatino Linotype" w:eastAsia="Arial" w:hAnsi="Palatino Linotype" w:cs="Arial"/>
          <w:i/>
          <w:spacing w:val="1"/>
        </w:rPr>
        <w:t>o</w:t>
      </w:r>
      <w:r w:rsidRPr="00FB64F9">
        <w:rPr>
          <w:rFonts w:ascii="Palatino Linotype" w:eastAsia="Arial" w:hAnsi="Palatino Linotype" w:cs="Arial"/>
          <w:i/>
          <w:spacing w:val="-3"/>
        </w:rPr>
        <w:t>r</w:t>
      </w:r>
      <w:r w:rsidRPr="00FB64F9">
        <w:rPr>
          <w:rFonts w:ascii="Palatino Linotype" w:eastAsia="Arial" w:hAnsi="Palatino Linotype" w:cs="Arial"/>
          <w:i/>
          <w:spacing w:val="1"/>
        </w:rPr>
        <w:t>ma</w:t>
      </w:r>
      <w:r w:rsidRPr="00FB64F9">
        <w:rPr>
          <w:rFonts w:ascii="Palatino Linotype" w:eastAsia="Arial" w:hAnsi="Palatino Linotype" w:cs="Arial"/>
          <w:i/>
        </w:rPr>
        <w:t>ci</w:t>
      </w:r>
      <w:r w:rsidRPr="00FB64F9">
        <w:rPr>
          <w:rFonts w:ascii="Palatino Linotype" w:eastAsia="Arial" w:hAnsi="Palatino Linotype" w:cs="Arial"/>
          <w:i/>
          <w:spacing w:val="-2"/>
        </w:rPr>
        <w:t>ó</w:t>
      </w:r>
      <w:r w:rsidRPr="00FB64F9">
        <w:rPr>
          <w:rFonts w:ascii="Palatino Linotype" w:eastAsia="Arial" w:hAnsi="Palatino Linotype" w:cs="Arial"/>
          <w:i/>
        </w:rPr>
        <w:t xml:space="preserve">n </w:t>
      </w:r>
      <w:r w:rsidRPr="00FB64F9">
        <w:rPr>
          <w:rFonts w:ascii="Palatino Linotype" w:eastAsia="Arial" w:hAnsi="Palatino Linotype" w:cs="Arial"/>
          <w:i/>
          <w:spacing w:val="-2"/>
        </w:rPr>
        <w:t>P</w:t>
      </w:r>
      <w:r w:rsidRPr="00FB64F9">
        <w:rPr>
          <w:rFonts w:ascii="Palatino Linotype" w:eastAsia="Arial" w:hAnsi="Palatino Linotype" w:cs="Arial"/>
          <w:i/>
          <w:spacing w:val="1"/>
        </w:rPr>
        <w:t>úb</w:t>
      </w:r>
      <w:r w:rsidRPr="00FB64F9">
        <w:rPr>
          <w:rFonts w:ascii="Palatino Linotype" w:eastAsia="Arial" w:hAnsi="Palatino Linotype" w:cs="Arial"/>
          <w:i/>
        </w:rPr>
        <w:t>l</w:t>
      </w:r>
      <w:r w:rsidRPr="00FB64F9">
        <w:rPr>
          <w:rFonts w:ascii="Palatino Linotype" w:eastAsia="Arial" w:hAnsi="Palatino Linotype" w:cs="Arial"/>
          <w:i/>
          <w:spacing w:val="-1"/>
        </w:rPr>
        <w:t>i</w:t>
      </w:r>
      <w:r w:rsidRPr="00FB64F9">
        <w:rPr>
          <w:rFonts w:ascii="Palatino Linotype" w:eastAsia="Arial" w:hAnsi="Palatino Linotype" w:cs="Arial"/>
          <w:i/>
        </w:rPr>
        <w:t xml:space="preserve">ca y </w:t>
      </w:r>
      <w:r w:rsidRPr="00FB64F9">
        <w:rPr>
          <w:rFonts w:ascii="Palatino Linotype" w:eastAsia="Arial" w:hAnsi="Palatino Linotype" w:cs="Arial"/>
          <w:i/>
          <w:spacing w:val="8"/>
        </w:rPr>
        <w:t xml:space="preserve">130, párrafo cuarto, </w:t>
      </w:r>
      <w:r w:rsidRPr="00FB64F9">
        <w:rPr>
          <w:rFonts w:ascii="Palatino Linotype" w:eastAsia="Arial" w:hAnsi="Palatino Linotype" w:cs="Arial"/>
          <w:i/>
          <w:spacing w:val="1"/>
        </w:rPr>
        <w:t>d</w:t>
      </w:r>
      <w:r w:rsidRPr="00FB64F9">
        <w:rPr>
          <w:rFonts w:ascii="Palatino Linotype" w:eastAsia="Arial" w:hAnsi="Palatino Linotype" w:cs="Arial"/>
          <w:i/>
        </w:rPr>
        <w:t xml:space="preserve">e la </w:t>
      </w:r>
      <w:r w:rsidRPr="00FB64F9">
        <w:rPr>
          <w:rFonts w:ascii="Palatino Linotype" w:eastAsia="Arial" w:hAnsi="Palatino Linotype" w:cs="Arial"/>
          <w:i/>
          <w:spacing w:val="-1"/>
        </w:rPr>
        <w:t>L</w:t>
      </w:r>
      <w:r w:rsidRPr="00FB64F9">
        <w:rPr>
          <w:rFonts w:ascii="Palatino Linotype" w:eastAsia="Arial" w:hAnsi="Palatino Linotype" w:cs="Arial"/>
          <w:i/>
          <w:spacing w:val="1"/>
        </w:rPr>
        <w:t>e</w:t>
      </w:r>
      <w:r w:rsidRPr="00FB64F9">
        <w:rPr>
          <w:rFonts w:ascii="Palatino Linotype" w:eastAsia="Arial" w:hAnsi="Palatino Linotype" w:cs="Arial"/>
          <w:i/>
        </w:rPr>
        <w:t>y Fe</w:t>
      </w:r>
      <w:r w:rsidRPr="00FB64F9">
        <w:rPr>
          <w:rFonts w:ascii="Palatino Linotype" w:eastAsia="Arial" w:hAnsi="Palatino Linotype" w:cs="Arial"/>
          <w:i/>
          <w:spacing w:val="1"/>
        </w:rPr>
        <w:t>de</w:t>
      </w:r>
      <w:r w:rsidRPr="00FB64F9">
        <w:rPr>
          <w:rFonts w:ascii="Palatino Linotype" w:eastAsia="Arial" w:hAnsi="Palatino Linotype" w:cs="Arial"/>
          <w:i/>
        </w:rPr>
        <w:t xml:space="preserve">ral </w:t>
      </w:r>
      <w:r w:rsidRPr="00FB64F9">
        <w:rPr>
          <w:rFonts w:ascii="Palatino Linotype" w:eastAsia="Arial" w:hAnsi="Palatino Linotype" w:cs="Arial"/>
          <w:i/>
          <w:spacing w:val="-1"/>
        </w:rPr>
        <w:t>d</w:t>
      </w:r>
      <w:r w:rsidRPr="00FB64F9">
        <w:rPr>
          <w:rFonts w:ascii="Palatino Linotype" w:eastAsia="Arial" w:hAnsi="Palatino Linotype" w:cs="Arial"/>
          <w:i/>
        </w:rPr>
        <w:t xml:space="preserve">e </w:t>
      </w:r>
      <w:r w:rsidRPr="00FB64F9">
        <w:rPr>
          <w:rFonts w:ascii="Palatino Linotype" w:eastAsia="Arial" w:hAnsi="Palatino Linotype" w:cs="Arial"/>
          <w:i/>
          <w:spacing w:val="2"/>
        </w:rPr>
        <w:t>T</w:t>
      </w:r>
      <w:r w:rsidRPr="00FB64F9">
        <w:rPr>
          <w:rFonts w:ascii="Palatino Linotype" w:eastAsia="Arial" w:hAnsi="Palatino Linotype" w:cs="Arial"/>
          <w:i/>
        </w:rPr>
        <w:t>r</w:t>
      </w:r>
      <w:r w:rsidRPr="00FB64F9">
        <w:rPr>
          <w:rFonts w:ascii="Palatino Linotype" w:eastAsia="Arial" w:hAnsi="Palatino Linotype" w:cs="Arial"/>
          <w:i/>
          <w:spacing w:val="-2"/>
        </w:rPr>
        <w:t>a</w:t>
      </w:r>
      <w:r w:rsidRPr="00FB64F9">
        <w:rPr>
          <w:rFonts w:ascii="Palatino Linotype" w:eastAsia="Arial" w:hAnsi="Palatino Linotype" w:cs="Arial"/>
          <w:i/>
          <w:spacing w:val="1"/>
        </w:rPr>
        <w:t>n</w:t>
      </w:r>
      <w:r w:rsidRPr="00FB64F9">
        <w:rPr>
          <w:rFonts w:ascii="Palatino Linotype" w:eastAsia="Arial" w:hAnsi="Palatino Linotype" w:cs="Arial"/>
          <w:i/>
        </w:rPr>
        <w:t>s</w:t>
      </w:r>
      <w:r w:rsidRPr="00FB64F9">
        <w:rPr>
          <w:rFonts w:ascii="Palatino Linotype" w:eastAsia="Arial" w:hAnsi="Palatino Linotype" w:cs="Arial"/>
          <w:i/>
          <w:spacing w:val="1"/>
        </w:rPr>
        <w:t>pa</w:t>
      </w:r>
      <w:r w:rsidRPr="00FB64F9">
        <w:rPr>
          <w:rFonts w:ascii="Palatino Linotype" w:eastAsia="Arial" w:hAnsi="Palatino Linotype" w:cs="Arial"/>
          <w:i/>
        </w:rPr>
        <w:t>r</w:t>
      </w:r>
      <w:r w:rsidRPr="00FB64F9">
        <w:rPr>
          <w:rFonts w:ascii="Palatino Linotype" w:eastAsia="Arial" w:hAnsi="Palatino Linotype" w:cs="Arial"/>
          <w:i/>
          <w:spacing w:val="-2"/>
        </w:rPr>
        <w:t>e</w:t>
      </w:r>
      <w:r w:rsidRPr="00FB64F9">
        <w:rPr>
          <w:rFonts w:ascii="Palatino Linotype" w:eastAsia="Arial" w:hAnsi="Palatino Linotype" w:cs="Arial"/>
          <w:i/>
          <w:spacing w:val="1"/>
        </w:rPr>
        <w:t>n</w:t>
      </w:r>
      <w:r w:rsidRPr="00FB64F9">
        <w:rPr>
          <w:rFonts w:ascii="Palatino Linotype" w:eastAsia="Arial" w:hAnsi="Palatino Linotype" w:cs="Arial"/>
          <w:i/>
        </w:rPr>
        <w:t>cia y Acc</w:t>
      </w:r>
      <w:r w:rsidRPr="00FB64F9">
        <w:rPr>
          <w:rFonts w:ascii="Palatino Linotype" w:eastAsia="Arial" w:hAnsi="Palatino Linotype" w:cs="Arial"/>
          <w:i/>
          <w:spacing w:val="1"/>
        </w:rPr>
        <w:t>e</w:t>
      </w:r>
      <w:r w:rsidRPr="00FB64F9">
        <w:rPr>
          <w:rFonts w:ascii="Palatino Linotype" w:eastAsia="Arial" w:hAnsi="Palatino Linotype" w:cs="Arial"/>
          <w:i/>
        </w:rPr>
        <w:t>so a la I</w:t>
      </w:r>
      <w:r w:rsidRPr="00FB64F9">
        <w:rPr>
          <w:rFonts w:ascii="Palatino Linotype" w:eastAsia="Arial" w:hAnsi="Palatino Linotype" w:cs="Arial"/>
          <w:i/>
          <w:spacing w:val="-1"/>
        </w:rPr>
        <w:t>n</w:t>
      </w:r>
      <w:r w:rsidRPr="00FB64F9">
        <w:rPr>
          <w:rFonts w:ascii="Palatino Linotype" w:eastAsia="Arial" w:hAnsi="Palatino Linotype" w:cs="Arial"/>
          <w:i/>
        </w:rPr>
        <w:t>f</w:t>
      </w:r>
      <w:r w:rsidRPr="00FB64F9">
        <w:rPr>
          <w:rFonts w:ascii="Palatino Linotype" w:eastAsia="Arial" w:hAnsi="Palatino Linotype" w:cs="Arial"/>
          <w:i/>
          <w:spacing w:val="1"/>
        </w:rPr>
        <w:t>o</w:t>
      </w:r>
      <w:r w:rsidRPr="00FB64F9">
        <w:rPr>
          <w:rFonts w:ascii="Palatino Linotype" w:eastAsia="Arial" w:hAnsi="Palatino Linotype" w:cs="Arial"/>
          <w:i/>
          <w:spacing w:val="-3"/>
        </w:rPr>
        <w:t>r</w:t>
      </w:r>
      <w:r w:rsidRPr="00FB64F9">
        <w:rPr>
          <w:rFonts w:ascii="Palatino Linotype" w:eastAsia="Arial" w:hAnsi="Palatino Linotype" w:cs="Arial"/>
          <w:i/>
          <w:spacing w:val="1"/>
        </w:rPr>
        <w:t>ma</w:t>
      </w:r>
      <w:r w:rsidRPr="00FB64F9">
        <w:rPr>
          <w:rFonts w:ascii="Palatino Linotype" w:eastAsia="Arial" w:hAnsi="Palatino Linotype" w:cs="Arial"/>
          <w:i/>
        </w:rPr>
        <w:t>ci</w:t>
      </w:r>
      <w:r w:rsidRPr="00FB64F9">
        <w:rPr>
          <w:rFonts w:ascii="Palatino Linotype" w:eastAsia="Arial" w:hAnsi="Palatino Linotype" w:cs="Arial"/>
          <w:i/>
          <w:spacing w:val="-2"/>
        </w:rPr>
        <w:t>ó</w:t>
      </w:r>
      <w:r w:rsidRPr="00FB64F9">
        <w:rPr>
          <w:rFonts w:ascii="Palatino Linotype" w:eastAsia="Arial" w:hAnsi="Palatino Linotype" w:cs="Arial"/>
          <w:i/>
        </w:rPr>
        <w:t xml:space="preserve">n </w:t>
      </w:r>
      <w:r w:rsidRPr="00FB64F9">
        <w:rPr>
          <w:rFonts w:ascii="Palatino Linotype" w:eastAsia="Arial" w:hAnsi="Palatino Linotype" w:cs="Arial"/>
          <w:i/>
          <w:spacing w:val="-2"/>
        </w:rPr>
        <w:t>P</w:t>
      </w:r>
      <w:r w:rsidRPr="00FB64F9">
        <w:rPr>
          <w:rFonts w:ascii="Palatino Linotype" w:eastAsia="Arial" w:hAnsi="Palatino Linotype" w:cs="Arial"/>
          <w:i/>
          <w:spacing w:val="1"/>
        </w:rPr>
        <w:t>úb</w:t>
      </w:r>
      <w:r w:rsidRPr="00FB64F9">
        <w:rPr>
          <w:rFonts w:ascii="Palatino Linotype" w:eastAsia="Arial" w:hAnsi="Palatino Linotype" w:cs="Arial"/>
          <w:i/>
        </w:rPr>
        <w:t>l</w:t>
      </w:r>
      <w:r w:rsidRPr="00FB64F9">
        <w:rPr>
          <w:rFonts w:ascii="Palatino Linotype" w:eastAsia="Arial" w:hAnsi="Palatino Linotype" w:cs="Arial"/>
          <w:i/>
          <w:spacing w:val="-1"/>
        </w:rPr>
        <w:t>i</w:t>
      </w:r>
      <w:r w:rsidRPr="00FB64F9">
        <w:rPr>
          <w:rFonts w:ascii="Palatino Linotype" w:eastAsia="Arial" w:hAnsi="Palatino Linotype" w:cs="Arial"/>
          <w:i/>
        </w:rPr>
        <w:t xml:space="preserve">ca, </w:t>
      </w:r>
      <w:r w:rsidRPr="00FB64F9">
        <w:rPr>
          <w:rFonts w:ascii="Palatino Linotype" w:eastAsia="Arial" w:hAnsi="Palatino Linotype" w:cs="Arial"/>
          <w:i/>
          <w:spacing w:val="-1"/>
        </w:rPr>
        <w:t>señalan q</w:t>
      </w:r>
      <w:r w:rsidRPr="00FB64F9">
        <w:rPr>
          <w:rFonts w:ascii="Palatino Linotype" w:eastAsia="Arial" w:hAnsi="Palatino Linotype" w:cs="Arial"/>
          <w:i/>
          <w:spacing w:val="1"/>
        </w:rPr>
        <w:t>u</w:t>
      </w:r>
      <w:r w:rsidRPr="00FB64F9">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B64F9">
        <w:rPr>
          <w:rFonts w:ascii="Palatino Linotype" w:eastAsia="Arial" w:hAnsi="Palatino Linotype" w:cs="Arial"/>
          <w:i/>
          <w:spacing w:val="-1"/>
        </w:rPr>
        <w:t xml:space="preserve"> sin necesidad de</w:t>
      </w:r>
      <w:r w:rsidRPr="00FB64F9">
        <w:rPr>
          <w:rFonts w:ascii="Palatino Linotype" w:eastAsia="Arial" w:hAnsi="Palatino Linotype" w:cs="Arial"/>
          <w:i/>
          <w:spacing w:val="1"/>
        </w:rPr>
        <w:t xml:space="preserve"> e</w:t>
      </w:r>
      <w:r w:rsidRPr="00FB64F9">
        <w:rPr>
          <w:rFonts w:ascii="Palatino Linotype" w:eastAsia="Arial" w:hAnsi="Palatino Linotype" w:cs="Arial"/>
          <w:i/>
        </w:rPr>
        <w:t>la</w:t>
      </w:r>
      <w:r w:rsidRPr="00FB64F9">
        <w:rPr>
          <w:rFonts w:ascii="Palatino Linotype" w:eastAsia="Arial" w:hAnsi="Palatino Linotype" w:cs="Arial"/>
          <w:i/>
          <w:spacing w:val="1"/>
        </w:rPr>
        <w:t>bo</w:t>
      </w:r>
      <w:r w:rsidRPr="00FB64F9">
        <w:rPr>
          <w:rFonts w:ascii="Palatino Linotype" w:eastAsia="Arial" w:hAnsi="Palatino Linotype" w:cs="Arial"/>
          <w:i/>
        </w:rPr>
        <w:t xml:space="preserve">rar </w:t>
      </w:r>
      <w:r w:rsidRPr="00FB64F9">
        <w:rPr>
          <w:rFonts w:ascii="Palatino Linotype" w:eastAsia="Arial" w:hAnsi="Palatino Linotype" w:cs="Arial"/>
          <w:i/>
          <w:spacing w:val="1"/>
        </w:rPr>
        <w:t>do</w:t>
      </w:r>
      <w:r w:rsidRPr="00FB64F9">
        <w:rPr>
          <w:rFonts w:ascii="Palatino Linotype" w:eastAsia="Arial" w:hAnsi="Palatino Linotype" w:cs="Arial"/>
          <w:i/>
          <w:spacing w:val="-2"/>
        </w:rPr>
        <w:t>c</w:t>
      </w:r>
      <w:r w:rsidRPr="00FB64F9">
        <w:rPr>
          <w:rFonts w:ascii="Palatino Linotype" w:eastAsia="Arial" w:hAnsi="Palatino Linotype" w:cs="Arial"/>
          <w:i/>
          <w:spacing w:val="1"/>
        </w:rPr>
        <w:t>u</w:t>
      </w:r>
      <w:r w:rsidRPr="00FB64F9">
        <w:rPr>
          <w:rFonts w:ascii="Palatino Linotype" w:eastAsia="Arial" w:hAnsi="Palatino Linotype" w:cs="Arial"/>
          <w:i/>
          <w:spacing w:val="-1"/>
        </w:rPr>
        <w:t>m</w:t>
      </w:r>
      <w:r w:rsidRPr="00FB64F9">
        <w:rPr>
          <w:rFonts w:ascii="Palatino Linotype" w:eastAsia="Arial" w:hAnsi="Palatino Linotype" w:cs="Arial"/>
          <w:i/>
          <w:spacing w:val="1"/>
        </w:rPr>
        <w:t>en</w:t>
      </w:r>
      <w:r w:rsidRPr="00FB64F9">
        <w:rPr>
          <w:rFonts w:ascii="Palatino Linotype" w:eastAsia="Arial" w:hAnsi="Palatino Linotype" w:cs="Arial"/>
          <w:i/>
          <w:spacing w:val="-2"/>
        </w:rPr>
        <w:t>t</w:t>
      </w:r>
      <w:r w:rsidRPr="00FB64F9">
        <w:rPr>
          <w:rFonts w:ascii="Palatino Linotype" w:eastAsia="Arial" w:hAnsi="Palatino Linotype" w:cs="Arial"/>
          <w:i/>
          <w:spacing w:val="1"/>
        </w:rPr>
        <w:t>o</w:t>
      </w:r>
      <w:r w:rsidRPr="00FB64F9">
        <w:rPr>
          <w:rFonts w:ascii="Palatino Linotype" w:eastAsia="Arial" w:hAnsi="Palatino Linotype" w:cs="Arial"/>
          <w:i/>
        </w:rPr>
        <w:t xml:space="preserve">s </w:t>
      </w:r>
      <w:r w:rsidRPr="00FB64F9">
        <w:rPr>
          <w:rFonts w:ascii="Palatino Linotype" w:eastAsia="Arial" w:hAnsi="Palatino Linotype" w:cs="Arial"/>
          <w:i/>
          <w:spacing w:val="1"/>
        </w:rPr>
        <w:t>a</w:t>
      </w:r>
      <w:r w:rsidRPr="00FB64F9">
        <w:rPr>
          <w:rFonts w:ascii="Palatino Linotype" w:eastAsia="Arial" w:hAnsi="Palatino Linotype" w:cs="Arial"/>
          <w:i/>
        </w:rPr>
        <w:t>d</w:t>
      </w:r>
      <w:r w:rsidRPr="00FB64F9">
        <w:rPr>
          <w:rFonts w:ascii="Palatino Linotype" w:eastAsia="Arial" w:hAnsi="Palatino Linotype" w:cs="Arial"/>
          <w:i/>
          <w:spacing w:val="1"/>
        </w:rPr>
        <w:t xml:space="preserve"> ho</w:t>
      </w:r>
      <w:r w:rsidRPr="00FB64F9">
        <w:rPr>
          <w:rFonts w:ascii="Palatino Linotype" w:eastAsia="Arial" w:hAnsi="Palatino Linotype" w:cs="Arial"/>
          <w:i/>
        </w:rPr>
        <w:t xml:space="preserve">c </w:t>
      </w:r>
      <w:r w:rsidRPr="00FB64F9">
        <w:rPr>
          <w:rFonts w:ascii="Palatino Linotype" w:eastAsia="Arial" w:hAnsi="Palatino Linotype" w:cs="Arial"/>
          <w:i/>
          <w:spacing w:val="1"/>
        </w:rPr>
        <w:t>pa</w:t>
      </w:r>
      <w:r w:rsidRPr="00FB64F9">
        <w:rPr>
          <w:rFonts w:ascii="Palatino Linotype" w:eastAsia="Arial" w:hAnsi="Palatino Linotype" w:cs="Arial"/>
          <w:i/>
        </w:rPr>
        <w:t xml:space="preserve">ra </w:t>
      </w:r>
      <w:r w:rsidRPr="00FB64F9">
        <w:rPr>
          <w:rFonts w:ascii="Palatino Linotype" w:eastAsia="Arial" w:hAnsi="Palatino Linotype" w:cs="Arial"/>
          <w:i/>
          <w:spacing w:val="1"/>
        </w:rPr>
        <w:t>a</w:t>
      </w:r>
      <w:r w:rsidRPr="00FB64F9">
        <w:rPr>
          <w:rFonts w:ascii="Palatino Linotype" w:eastAsia="Arial" w:hAnsi="Palatino Linotype" w:cs="Arial"/>
          <w:i/>
        </w:rPr>
        <w:t>t</w:t>
      </w:r>
      <w:r w:rsidRPr="00FB64F9">
        <w:rPr>
          <w:rFonts w:ascii="Palatino Linotype" w:eastAsia="Arial" w:hAnsi="Palatino Linotype" w:cs="Arial"/>
          <w:i/>
          <w:spacing w:val="-1"/>
        </w:rPr>
        <w:t>e</w:t>
      </w:r>
      <w:r w:rsidRPr="00FB64F9">
        <w:rPr>
          <w:rFonts w:ascii="Palatino Linotype" w:eastAsia="Arial" w:hAnsi="Palatino Linotype" w:cs="Arial"/>
          <w:i/>
          <w:spacing w:val="1"/>
        </w:rPr>
        <w:t>n</w:t>
      </w:r>
      <w:r w:rsidRPr="00FB64F9">
        <w:rPr>
          <w:rFonts w:ascii="Palatino Linotype" w:eastAsia="Arial" w:hAnsi="Palatino Linotype" w:cs="Arial"/>
          <w:i/>
          <w:spacing w:val="-1"/>
        </w:rPr>
        <w:t>d</w:t>
      </w:r>
      <w:r w:rsidRPr="00FB64F9">
        <w:rPr>
          <w:rFonts w:ascii="Palatino Linotype" w:eastAsia="Arial" w:hAnsi="Palatino Linotype" w:cs="Arial"/>
          <w:i/>
          <w:spacing w:val="1"/>
        </w:rPr>
        <w:t>e</w:t>
      </w:r>
      <w:r w:rsidRPr="00FB64F9">
        <w:rPr>
          <w:rFonts w:ascii="Palatino Linotype" w:eastAsia="Arial" w:hAnsi="Palatino Linotype" w:cs="Arial"/>
          <w:i/>
        </w:rPr>
        <w:t>r l</w:t>
      </w:r>
      <w:r w:rsidRPr="00FB64F9">
        <w:rPr>
          <w:rFonts w:ascii="Palatino Linotype" w:eastAsia="Arial" w:hAnsi="Palatino Linotype" w:cs="Arial"/>
          <w:i/>
          <w:spacing w:val="-2"/>
        </w:rPr>
        <w:t>a</w:t>
      </w:r>
      <w:r w:rsidRPr="00FB64F9">
        <w:rPr>
          <w:rFonts w:ascii="Palatino Linotype" w:eastAsia="Arial" w:hAnsi="Palatino Linotype" w:cs="Arial"/>
          <w:i/>
        </w:rPr>
        <w:t>s s</w:t>
      </w:r>
      <w:r w:rsidRPr="00FB64F9">
        <w:rPr>
          <w:rFonts w:ascii="Palatino Linotype" w:eastAsia="Arial" w:hAnsi="Palatino Linotype" w:cs="Arial"/>
          <w:i/>
          <w:spacing w:val="1"/>
        </w:rPr>
        <w:t>o</w:t>
      </w:r>
      <w:r w:rsidRPr="00FB64F9">
        <w:rPr>
          <w:rFonts w:ascii="Palatino Linotype" w:eastAsia="Arial" w:hAnsi="Palatino Linotype" w:cs="Arial"/>
          <w:i/>
        </w:rPr>
        <w:t>l</w:t>
      </w:r>
      <w:r w:rsidRPr="00FB64F9">
        <w:rPr>
          <w:rFonts w:ascii="Palatino Linotype" w:eastAsia="Arial" w:hAnsi="Palatino Linotype" w:cs="Arial"/>
          <w:i/>
          <w:spacing w:val="-1"/>
        </w:rPr>
        <w:t>i</w:t>
      </w:r>
      <w:r w:rsidRPr="00FB64F9">
        <w:rPr>
          <w:rFonts w:ascii="Palatino Linotype" w:eastAsia="Arial" w:hAnsi="Palatino Linotype" w:cs="Arial"/>
          <w:i/>
        </w:rPr>
        <w:t>cit</w:t>
      </w:r>
      <w:r w:rsidRPr="00FB64F9">
        <w:rPr>
          <w:rFonts w:ascii="Palatino Linotype" w:eastAsia="Arial" w:hAnsi="Palatino Linotype" w:cs="Arial"/>
          <w:i/>
          <w:spacing w:val="1"/>
        </w:rPr>
        <w:t>ude</w:t>
      </w:r>
      <w:r w:rsidRPr="00FB64F9">
        <w:rPr>
          <w:rFonts w:ascii="Palatino Linotype" w:eastAsia="Arial" w:hAnsi="Palatino Linotype" w:cs="Arial"/>
          <w:i/>
        </w:rPr>
        <w:t xml:space="preserve">s </w:t>
      </w:r>
      <w:r w:rsidRPr="00FB64F9">
        <w:rPr>
          <w:rFonts w:ascii="Palatino Linotype" w:eastAsia="Arial" w:hAnsi="Palatino Linotype" w:cs="Arial"/>
          <w:i/>
          <w:spacing w:val="-1"/>
        </w:rPr>
        <w:t>d</w:t>
      </w:r>
      <w:r w:rsidRPr="00FB64F9">
        <w:rPr>
          <w:rFonts w:ascii="Palatino Linotype" w:eastAsia="Arial" w:hAnsi="Palatino Linotype" w:cs="Arial"/>
          <w:i/>
        </w:rPr>
        <w:t>e i</w:t>
      </w:r>
      <w:r w:rsidRPr="00FB64F9">
        <w:rPr>
          <w:rFonts w:ascii="Palatino Linotype" w:eastAsia="Arial" w:hAnsi="Palatino Linotype" w:cs="Arial"/>
          <w:i/>
          <w:spacing w:val="-2"/>
        </w:rPr>
        <w:t>n</w:t>
      </w:r>
      <w:r w:rsidRPr="00FB64F9">
        <w:rPr>
          <w:rFonts w:ascii="Palatino Linotype" w:eastAsia="Arial" w:hAnsi="Palatino Linotype" w:cs="Arial"/>
          <w:i/>
        </w:rPr>
        <w:t>f</w:t>
      </w:r>
      <w:r w:rsidRPr="00FB64F9">
        <w:rPr>
          <w:rFonts w:ascii="Palatino Linotype" w:eastAsia="Arial" w:hAnsi="Palatino Linotype" w:cs="Arial"/>
          <w:i/>
          <w:spacing w:val="1"/>
        </w:rPr>
        <w:t>o</w:t>
      </w:r>
      <w:r w:rsidRPr="00FB64F9">
        <w:rPr>
          <w:rFonts w:ascii="Palatino Linotype" w:eastAsia="Arial" w:hAnsi="Palatino Linotype" w:cs="Arial"/>
          <w:i/>
        </w:rPr>
        <w:t>r</w:t>
      </w:r>
      <w:r w:rsidRPr="00FB64F9">
        <w:rPr>
          <w:rFonts w:ascii="Palatino Linotype" w:eastAsia="Arial" w:hAnsi="Palatino Linotype" w:cs="Arial"/>
          <w:i/>
          <w:spacing w:val="-1"/>
        </w:rPr>
        <w:t>m</w:t>
      </w:r>
      <w:r w:rsidRPr="00FB64F9">
        <w:rPr>
          <w:rFonts w:ascii="Palatino Linotype" w:eastAsia="Arial" w:hAnsi="Palatino Linotype" w:cs="Arial"/>
          <w:i/>
          <w:spacing w:val="1"/>
        </w:rPr>
        <w:t>a</w:t>
      </w:r>
      <w:r w:rsidRPr="00FB64F9">
        <w:rPr>
          <w:rFonts w:ascii="Palatino Linotype" w:eastAsia="Arial" w:hAnsi="Palatino Linotype" w:cs="Arial"/>
          <w:i/>
        </w:rPr>
        <w:t>ció</w:t>
      </w:r>
      <w:r w:rsidRPr="00FB64F9">
        <w:rPr>
          <w:rFonts w:ascii="Palatino Linotype" w:eastAsia="Arial" w:hAnsi="Palatino Linotype" w:cs="Arial"/>
          <w:i/>
          <w:spacing w:val="1"/>
        </w:rPr>
        <w:t>n</w:t>
      </w:r>
      <w:r>
        <w:rPr>
          <w:rFonts w:ascii="Palatino Linotype" w:eastAsia="Arial" w:hAnsi="Palatino Linotype" w:cs="Arial"/>
          <w:i/>
        </w:rPr>
        <w:t>.</w:t>
      </w:r>
    </w:p>
    <w:p w14:paraId="21E9CAF6" w14:textId="77777777" w:rsidR="00A05174" w:rsidRPr="00FB64F9" w:rsidRDefault="00A05174" w:rsidP="006B045A">
      <w:pPr>
        <w:spacing w:line="360" w:lineRule="auto"/>
        <w:jc w:val="both"/>
        <w:rPr>
          <w:rFonts w:ascii="Palatino Linotype" w:hAnsi="Palatino Linotype" w:cs="Tahoma"/>
          <w:sz w:val="22"/>
          <w:szCs w:val="22"/>
        </w:rPr>
      </w:pPr>
    </w:p>
    <w:p w14:paraId="211BFF0F" w14:textId="77777777" w:rsidR="00A05174" w:rsidRDefault="00A05174" w:rsidP="006B045A">
      <w:pPr>
        <w:spacing w:line="360" w:lineRule="auto"/>
        <w:jc w:val="both"/>
        <w:rPr>
          <w:rFonts w:ascii="Palatino Linotype" w:hAnsi="Palatino Linotype" w:cs="Tahoma"/>
          <w:sz w:val="22"/>
          <w:szCs w:val="24"/>
          <w:lang w:val="es-ES"/>
        </w:rPr>
      </w:pPr>
      <w:r w:rsidRPr="00FB64F9">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691F159B" w14:textId="77777777" w:rsidR="003E357A" w:rsidRDefault="003E357A" w:rsidP="006B045A">
      <w:pPr>
        <w:spacing w:line="360" w:lineRule="auto"/>
        <w:jc w:val="both"/>
        <w:rPr>
          <w:rFonts w:ascii="Palatino Linotype" w:hAnsi="Palatino Linotype" w:cs="Tahoma"/>
          <w:b/>
          <w:sz w:val="22"/>
          <w:szCs w:val="24"/>
          <w:u w:val="single"/>
          <w:lang w:val="es-ES"/>
        </w:rPr>
      </w:pPr>
    </w:p>
    <w:p w14:paraId="72AAF78F" w14:textId="189361E4" w:rsidR="00A05174" w:rsidRPr="003E357A" w:rsidRDefault="003E357A" w:rsidP="006B045A">
      <w:pPr>
        <w:spacing w:line="360" w:lineRule="auto"/>
        <w:jc w:val="both"/>
        <w:rPr>
          <w:rFonts w:ascii="Palatino Linotype" w:hAnsi="Palatino Linotype" w:cs="Tahoma"/>
          <w:b/>
          <w:sz w:val="22"/>
          <w:szCs w:val="24"/>
          <w:u w:val="single"/>
          <w:lang w:val="es-ES"/>
        </w:rPr>
      </w:pPr>
      <w:r w:rsidRPr="003E357A">
        <w:rPr>
          <w:rFonts w:ascii="Palatino Linotype" w:hAnsi="Palatino Linotype" w:cs="Tahoma"/>
          <w:b/>
          <w:sz w:val="22"/>
          <w:szCs w:val="24"/>
          <w:u w:val="single"/>
          <w:lang w:val="es-ES"/>
        </w:rPr>
        <w:t>De la respuesta del Sujeto Obligado.</w:t>
      </w:r>
    </w:p>
    <w:p w14:paraId="77AC9F4D" w14:textId="77777777" w:rsidR="003E357A" w:rsidRDefault="003E357A" w:rsidP="006B045A">
      <w:pPr>
        <w:spacing w:line="360" w:lineRule="auto"/>
        <w:jc w:val="both"/>
        <w:rPr>
          <w:rFonts w:ascii="Palatino Linotype" w:hAnsi="Palatino Linotype" w:cs="Tahoma"/>
          <w:sz w:val="22"/>
          <w:szCs w:val="24"/>
          <w:lang w:val="es-ES"/>
        </w:rPr>
      </w:pPr>
    </w:p>
    <w:p w14:paraId="7B09D545" w14:textId="77777777" w:rsidR="003E357A" w:rsidRDefault="003E357A" w:rsidP="00F84CAE">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4"/>
          <w:lang w:val="es-ES"/>
        </w:rPr>
        <w:t xml:space="preserve">Una vez expuesto lo anterior, procede el estudio de la respuesta del Sujeto Obligado; al respecto, el Ayuntamiento de Jaltenco, </w:t>
      </w:r>
      <w:r>
        <w:rPr>
          <w:rFonts w:ascii="Palatino Linotype" w:hAnsi="Palatino Linotype" w:cs="Tahoma"/>
          <w:sz w:val="22"/>
          <w:szCs w:val="22"/>
          <w:lang w:val="es-ES"/>
        </w:rPr>
        <w:t xml:space="preserve">precisó que toda la información generada en la Comisaria Municipal fue clasificada como reservada, por el Comité de Transparencia y que consta en el </w:t>
      </w:r>
      <w:r>
        <w:rPr>
          <w:rFonts w:ascii="Palatino Linotype" w:hAnsi="Palatino Linotype" w:cs="Tahoma"/>
          <w:sz w:val="22"/>
          <w:szCs w:val="22"/>
        </w:rPr>
        <w:t>acta ACTA-047/JALTENCO/ORD/2021 de fecha dieciséis de noviembre del año veintiuno; ello en atención a</w:t>
      </w:r>
      <w:r>
        <w:rPr>
          <w:rFonts w:ascii="Palatino Linotype" w:hAnsi="Palatino Linotype" w:cs="Tahoma"/>
          <w:sz w:val="22"/>
          <w:szCs w:val="22"/>
          <w:lang w:val="es-ES"/>
        </w:rPr>
        <w:t xml:space="preserve">l artículo </w:t>
      </w:r>
      <w:r>
        <w:rPr>
          <w:rFonts w:ascii="Palatino Linotype" w:hAnsi="Palatino Linotype" w:cs="Tahoma"/>
          <w:sz w:val="22"/>
          <w:szCs w:val="22"/>
        </w:rPr>
        <w:t xml:space="preserve">40 fracciones I, IV, VI, VIII, IX y X de la </w:t>
      </w:r>
      <w:r w:rsidRPr="00EF3A04">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w:t>
      </w:r>
    </w:p>
    <w:p w14:paraId="4347B486" w14:textId="77777777" w:rsidR="003E357A" w:rsidRDefault="003E357A" w:rsidP="00F84CAE">
      <w:pPr>
        <w:spacing w:line="360" w:lineRule="auto"/>
        <w:jc w:val="both"/>
        <w:rPr>
          <w:rFonts w:ascii="Palatino Linotype" w:eastAsia="Calibri" w:hAnsi="Palatino Linotype" w:cs="Tahoma"/>
          <w:bCs/>
          <w:sz w:val="22"/>
          <w:szCs w:val="22"/>
          <w:lang w:eastAsia="en-US"/>
        </w:rPr>
      </w:pPr>
    </w:p>
    <w:p w14:paraId="30E54748" w14:textId="02349012" w:rsidR="003E357A" w:rsidRDefault="003E357A" w:rsidP="00F84CA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indicó que la clasificación de la información, se debió a que, el veintisiete de octubre del año dos mil veintiuno, ciudadanos del Municipio quemaron diversas moto patrullas y patrullas en las instalaciones de la Comisaria Municipal y por lo tanto, se encuentra en un proceso de investigación judicial, y que por ello, dar a conocer la información podría obstruir la persecución de delitos.</w:t>
      </w:r>
    </w:p>
    <w:p w14:paraId="66EC5D63" w14:textId="77777777" w:rsidR="003E357A" w:rsidRDefault="003E357A" w:rsidP="00F84CAE">
      <w:pPr>
        <w:spacing w:line="360" w:lineRule="auto"/>
        <w:jc w:val="both"/>
        <w:rPr>
          <w:rFonts w:ascii="Palatino Linotype" w:eastAsia="Calibri" w:hAnsi="Palatino Linotype" w:cs="Tahoma"/>
          <w:bCs/>
          <w:sz w:val="22"/>
          <w:szCs w:val="22"/>
          <w:lang w:eastAsia="en-US"/>
        </w:rPr>
      </w:pPr>
    </w:p>
    <w:p w14:paraId="122A890D" w14:textId="103A8D16" w:rsidR="003E357A" w:rsidRDefault="003E357A" w:rsidP="00F84CA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respuesta proporcionada por el Sujeto Obligado, destaca que refirió una clasificación total de la información sin la debida fundamentación</w:t>
      </w:r>
      <w:r w:rsidR="00F84CAE">
        <w:rPr>
          <w:rFonts w:ascii="Palatino Linotype" w:eastAsia="Calibri" w:hAnsi="Palatino Linotype" w:cs="Tahoma"/>
          <w:bCs/>
          <w:sz w:val="22"/>
          <w:szCs w:val="22"/>
          <w:lang w:eastAsia="en-US"/>
        </w:rPr>
        <w:t xml:space="preserve"> y motivación; pues únicamente refirió un acontecimiento que se relaciona con la quema de vehículos; sin que entregara el acuerdo emitido por el Comité de Transparencia, en el que se dé cuenta de los razonamientos jurídicos necesarios e indispensables para que tenga lugar la clasificación de a información.</w:t>
      </w:r>
    </w:p>
    <w:p w14:paraId="388D79D2" w14:textId="77777777" w:rsidR="00F84CAE" w:rsidRDefault="00F84CAE" w:rsidP="00F84CAE">
      <w:pPr>
        <w:spacing w:line="360" w:lineRule="auto"/>
        <w:jc w:val="both"/>
        <w:rPr>
          <w:rFonts w:ascii="Palatino Linotype" w:eastAsia="Calibri" w:hAnsi="Palatino Linotype" w:cs="Tahoma"/>
          <w:bCs/>
          <w:sz w:val="22"/>
          <w:szCs w:val="22"/>
          <w:lang w:eastAsia="en-US"/>
        </w:rPr>
      </w:pPr>
    </w:p>
    <w:p w14:paraId="25EE8E33" w14:textId="0E4724F8" w:rsidR="00F84CAE" w:rsidRPr="004A24D4" w:rsidRDefault="006312FD" w:rsidP="00F84CAE">
      <w:pPr>
        <w:spacing w:line="360" w:lineRule="auto"/>
        <w:jc w:val="both"/>
        <w:rPr>
          <w:rFonts w:ascii="Palatino Linotype" w:hAnsi="Palatino Linotype" w:cs="Tahoma"/>
          <w:b/>
          <w:color w:val="0D0D0D" w:themeColor="text1" w:themeTint="F2"/>
          <w:sz w:val="22"/>
          <w:szCs w:val="22"/>
        </w:rPr>
      </w:pPr>
      <w:r>
        <w:rPr>
          <w:rFonts w:ascii="Palatino Linotype" w:hAnsi="Palatino Linotype" w:cs="Tahoma"/>
          <w:color w:val="0D0D0D" w:themeColor="text1" w:themeTint="F2"/>
          <w:sz w:val="22"/>
          <w:szCs w:val="22"/>
        </w:rPr>
        <w:t>A</w:t>
      </w:r>
      <w:r w:rsidR="00F84CAE" w:rsidRPr="004A24D4">
        <w:rPr>
          <w:rFonts w:ascii="Palatino Linotype" w:hAnsi="Palatino Linotype" w:cs="Tahoma"/>
          <w:color w:val="0D0D0D" w:themeColor="text1" w:themeTint="F2"/>
          <w:sz w:val="22"/>
          <w:szCs w:val="22"/>
        </w:rPr>
        <w:t>l</w:t>
      </w:r>
      <w:r>
        <w:rPr>
          <w:rFonts w:ascii="Palatino Linotype" w:hAnsi="Palatino Linotype" w:cs="Tahoma"/>
          <w:color w:val="0D0D0D" w:themeColor="text1" w:themeTint="F2"/>
          <w:sz w:val="22"/>
          <w:szCs w:val="22"/>
        </w:rPr>
        <w:t xml:space="preserve"> respecto,</w:t>
      </w:r>
      <w:r w:rsidR="00F84CAE" w:rsidRPr="004A24D4">
        <w:rPr>
          <w:rFonts w:ascii="Palatino Linotype" w:hAnsi="Palatino Linotype" w:cs="Tahoma"/>
          <w:color w:val="0D0D0D" w:themeColor="text1" w:themeTint="F2"/>
          <w:sz w:val="22"/>
          <w:szCs w:val="22"/>
        </w:rPr>
        <w:t xml:space="preserve">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00F84CAE" w:rsidRPr="004A24D4">
        <w:rPr>
          <w:rFonts w:ascii="Palatino Linotype" w:hAnsi="Palatino Linotype" w:cs="Tahoma"/>
          <w:b/>
          <w:color w:val="0D0D0D" w:themeColor="text1" w:themeTint="F2"/>
          <w:sz w:val="22"/>
          <w:szCs w:val="22"/>
        </w:rPr>
        <w:t>análisis caso por caso.</w:t>
      </w:r>
    </w:p>
    <w:p w14:paraId="4BD20288" w14:textId="77777777" w:rsidR="00F84CAE" w:rsidRPr="004A24D4" w:rsidRDefault="00F84CAE" w:rsidP="00F84CAE">
      <w:pPr>
        <w:spacing w:line="360" w:lineRule="auto"/>
        <w:jc w:val="both"/>
        <w:rPr>
          <w:rFonts w:ascii="Palatino Linotype" w:hAnsi="Palatino Linotype" w:cs="Tahoma"/>
          <w:b/>
          <w:color w:val="0D0D0D" w:themeColor="text1" w:themeTint="F2"/>
          <w:sz w:val="22"/>
          <w:szCs w:val="22"/>
        </w:rPr>
      </w:pPr>
    </w:p>
    <w:p w14:paraId="52B80A99"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rPr>
      </w:pPr>
      <w:r w:rsidRPr="004A24D4">
        <w:rPr>
          <w:rFonts w:ascii="Palatino Linotype" w:hAnsi="Palatino Linotype" w:cs="Tahoma"/>
          <w:color w:val="0D0D0D" w:themeColor="text1" w:themeTint="F2"/>
          <w:sz w:val="22"/>
          <w:szCs w:val="22"/>
        </w:rPr>
        <w:t xml:space="preserve">Además, el artículo 131 de la Ley referida, así como el Quinto de los Lineamientos Generales, establecen que los sujetos obligados </w:t>
      </w:r>
      <w:r w:rsidRPr="004A24D4">
        <w:rPr>
          <w:rFonts w:ascii="Palatino Linotype" w:hAnsi="Palatino Linotype" w:cs="Tahoma"/>
          <w:b/>
          <w:color w:val="0D0D0D" w:themeColor="text1" w:themeTint="F2"/>
          <w:sz w:val="22"/>
          <w:szCs w:val="22"/>
        </w:rPr>
        <w:t>deberán fundar y motivar</w:t>
      </w:r>
      <w:r w:rsidRPr="004A24D4">
        <w:rPr>
          <w:rFonts w:ascii="Palatino Linotype" w:hAnsi="Palatino Linotype" w:cs="Tahoma"/>
          <w:color w:val="0D0D0D" w:themeColor="text1" w:themeTint="F2"/>
          <w:sz w:val="22"/>
          <w:szCs w:val="22"/>
        </w:rPr>
        <w:t xml:space="preserve"> debidamente la clasificación de la información.</w:t>
      </w:r>
    </w:p>
    <w:p w14:paraId="797B7EB3" w14:textId="77777777" w:rsidR="00F84CAE" w:rsidRPr="004A24D4" w:rsidRDefault="00F84CAE" w:rsidP="00F84CAE">
      <w:pPr>
        <w:spacing w:line="360" w:lineRule="auto"/>
        <w:jc w:val="both"/>
        <w:rPr>
          <w:rFonts w:ascii="Palatino Linotype" w:hAnsi="Palatino Linotype" w:cs="Tahoma"/>
          <w:b/>
          <w:color w:val="0D0D0D" w:themeColor="text1" w:themeTint="F2"/>
          <w:sz w:val="22"/>
          <w:szCs w:val="22"/>
        </w:rPr>
      </w:pPr>
    </w:p>
    <w:p w14:paraId="11B8812E" w14:textId="05A5B53E" w:rsidR="00F84CAE" w:rsidRPr="004A24D4" w:rsidRDefault="00544985" w:rsidP="00F84CAE">
      <w:pPr>
        <w:spacing w:line="360" w:lineRule="auto"/>
        <w:jc w:val="both"/>
        <w:rPr>
          <w:rFonts w:ascii="Palatino Linotype" w:hAnsi="Palatino Linotype" w:cs="Tahoma"/>
          <w:bCs/>
          <w:iCs/>
          <w:color w:val="0D0D0D" w:themeColor="text1" w:themeTint="F2"/>
          <w:sz w:val="22"/>
          <w:szCs w:val="22"/>
        </w:rPr>
      </w:pPr>
      <w:r>
        <w:rPr>
          <w:rFonts w:ascii="Palatino Linotype" w:hAnsi="Palatino Linotype" w:cs="Tahoma"/>
          <w:color w:val="0D0D0D" w:themeColor="text1" w:themeTint="F2"/>
          <w:sz w:val="22"/>
          <w:szCs w:val="22"/>
        </w:rPr>
        <w:t>En este tenor</w:t>
      </w:r>
      <w:r w:rsidR="00F84CAE" w:rsidRPr="004A24D4">
        <w:rPr>
          <w:rFonts w:ascii="Palatino Linotype" w:hAnsi="Palatino Linotype" w:cs="Tahoma"/>
          <w:color w:val="0D0D0D" w:themeColor="text1" w:themeTint="F2"/>
          <w:sz w:val="22"/>
          <w:szCs w:val="22"/>
        </w:rPr>
        <w:t>, e</w:t>
      </w:r>
      <w:r w:rsidR="00F84CAE" w:rsidRPr="004A24D4">
        <w:rPr>
          <w:rFonts w:ascii="Palatino Linotype" w:hAnsi="Palatino Linotype" w:cs="Tahoma"/>
          <w:bCs/>
          <w:iCs/>
          <w:color w:val="0D0D0D" w:themeColor="text1" w:themeTint="F2"/>
          <w:sz w:val="22"/>
          <w:szCs w:val="22"/>
        </w:rPr>
        <w:t>l Octavo de los Lineamientos Generales, precisa lo siguiente:</w:t>
      </w:r>
    </w:p>
    <w:p w14:paraId="6E4087C4" w14:textId="77777777" w:rsidR="00F84CAE" w:rsidRPr="004A24D4" w:rsidRDefault="00F84CAE" w:rsidP="00F84CAE">
      <w:pPr>
        <w:spacing w:line="360" w:lineRule="auto"/>
        <w:jc w:val="both"/>
        <w:rPr>
          <w:rFonts w:ascii="Palatino Linotype" w:hAnsi="Palatino Linotype" w:cs="Tahoma"/>
          <w:bCs/>
          <w:iCs/>
          <w:color w:val="0D0D0D" w:themeColor="text1" w:themeTint="F2"/>
          <w:sz w:val="22"/>
          <w:szCs w:val="22"/>
        </w:rPr>
      </w:pPr>
    </w:p>
    <w:p w14:paraId="3CA56409" w14:textId="77777777" w:rsidR="00F84CAE" w:rsidRPr="004A24D4" w:rsidRDefault="00F84CAE" w:rsidP="00F84CAE">
      <w:pPr>
        <w:numPr>
          <w:ilvl w:val="0"/>
          <w:numId w:val="31"/>
        </w:numPr>
        <w:spacing w:line="360" w:lineRule="auto"/>
        <w:jc w:val="both"/>
        <w:rPr>
          <w:rFonts w:ascii="Palatino Linotype" w:hAnsi="Palatino Linotype" w:cs="Tahoma"/>
          <w:bCs/>
          <w:color w:val="0D0D0D" w:themeColor="text1" w:themeTint="F2"/>
          <w:sz w:val="22"/>
          <w:szCs w:val="22"/>
        </w:rPr>
      </w:pPr>
      <w:r w:rsidRPr="004A24D4">
        <w:rPr>
          <w:rFonts w:ascii="Palatino Linotype" w:hAnsi="Palatino Linotype" w:cs="Tahoma"/>
          <w:b/>
          <w:bCs/>
          <w:color w:val="0D0D0D" w:themeColor="text1" w:themeTint="F2"/>
          <w:sz w:val="22"/>
          <w:szCs w:val="22"/>
        </w:rPr>
        <w:t>Para fundar la clasificación</w:t>
      </w:r>
      <w:r w:rsidRPr="004A24D4">
        <w:rPr>
          <w:rFonts w:ascii="Palatino Linotype" w:hAnsi="Palatino Linotype" w:cs="Tahoma"/>
          <w:bCs/>
          <w:color w:val="0D0D0D" w:themeColor="text1" w:themeTint="F2"/>
          <w:sz w:val="22"/>
          <w:szCs w:val="22"/>
        </w:rPr>
        <w:t xml:space="preserve"> de la información se deberán señalar el artículo, fracción, inciso, párrafo o numeral de la Ley aplicable;</w:t>
      </w:r>
    </w:p>
    <w:p w14:paraId="2FFB9499" w14:textId="77777777" w:rsidR="00F84CAE" w:rsidRPr="004A24D4" w:rsidRDefault="00F84CAE" w:rsidP="00F84CAE">
      <w:pPr>
        <w:spacing w:line="360" w:lineRule="auto"/>
        <w:jc w:val="both"/>
        <w:rPr>
          <w:rFonts w:ascii="Palatino Linotype" w:hAnsi="Palatino Linotype" w:cs="Tahoma"/>
          <w:bCs/>
          <w:color w:val="0D0D0D" w:themeColor="text1" w:themeTint="F2"/>
          <w:sz w:val="22"/>
          <w:szCs w:val="22"/>
        </w:rPr>
      </w:pPr>
    </w:p>
    <w:p w14:paraId="61807790" w14:textId="77777777" w:rsidR="00F84CAE" w:rsidRPr="004A24D4" w:rsidRDefault="00F84CAE" w:rsidP="00F84CAE">
      <w:pPr>
        <w:numPr>
          <w:ilvl w:val="0"/>
          <w:numId w:val="31"/>
        </w:numPr>
        <w:spacing w:line="360" w:lineRule="auto"/>
        <w:jc w:val="both"/>
        <w:rPr>
          <w:rFonts w:ascii="Palatino Linotype" w:hAnsi="Palatino Linotype" w:cs="Tahoma"/>
          <w:bCs/>
          <w:color w:val="0D0D0D" w:themeColor="text1" w:themeTint="F2"/>
          <w:sz w:val="22"/>
          <w:szCs w:val="22"/>
        </w:rPr>
      </w:pPr>
      <w:r w:rsidRPr="004A24D4">
        <w:rPr>
          <w:rFonts w:ascii="Palatino Linotype" w:hAnsi="Palatino Linotype" w:cs="Tahoma"/>
          <w:b/>
          <w:bCs/>
          <w:color w:val="0D0D0D" w:themeColor="text1" w:themeTint="F2"/>
          <w:sz w:val="22"/>
          <w:szCs w:val="22"/>
        </w:rPr>
        <w:t>Para motivar la clasificación</w:t>
      </w:r>
      <w:r w:rsidRPr="004A24D4">
        <w:rPr>
          <w:rFonts w:ascii="Palatino Linotype" w:hAnsi="Palatino Linotype" w:cs="Tahoma"/>
          <w:bCs/>
          <w:color w:val="0D0D0D" w:themeColor="text1" w:themeTint="F2"/>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877C22E" w14:textId="77777777" w:rsidR="00F84CAE" w:rsidRPr="004A24D4" w:rsidRDefault="00F84CAE" w:rsidP="00F84CAE">
      <w:pPr>
        <w:pStyle w:val="Prrafodelista"/>
        <w:spacing w:line="360" w:lineRule="auto"/>
        <w:rPr>
          <w:rFonts w:ascii="Palatino Linotype" w:hAnsi="Palatino Linotype" w:cs="Tahoma"/>
          <w:bCs/>
          <w:color w:val="0D0D0D" w:themeColor="text1" w:themeTint="F2"/>
          <w:szCs w:val="22"/>
        </w:rPr>
      </w:pPr>
    </w:p>
    <w:p w14:paraId="456123A5" w14:textId="4012F0C5" w:rsidR="00F84CAE" w:rsidRPr="004A24D4" w:rsidRDefault="00F84CAE" w:rsidP="00F84CAE">
      <w:pPr>
        <w:spacing w:line="360" w:lineRule="auto"/>
        <w:jc w:val="both"/>
        <w:rPr>
          <w:rFonts w:ascii="Palatino Linotype" w:hAnsi="Palatino Linotype" w:cs="Tahoma"/>
          <w:color w:val="0D0D0D" w:themeColor="text1" w:themeTint="F2"/>
          <w:sz w:val="22"/>
          <w:szCs w:val="22"/>
        </w:rPr>
      </w:pPr>
      <w:r w:rsidRPr="004A24D4">
        <w:rPr>
          <w:rFonts w:ascii="Palatino Linotype" w:hAnsi="Palatino Linotype" w:cs="Tahoma"/>
          <w:color w:val="0D0D0D" w:themeColor="text1" w:themeTint="F2"/>
          <w:sz w:val="22"/>
          <w:szCs w:val="22"/>
        </w:rPr>
        <w:t xml:space="preserve">Lo </w:t>
      </w:r>
      <w:r w:rsidR="00544985">
        <w:rPr>
          <w:rFonts w:ascii="Palatino Linotype" w:hAnsi="Palatino Linotype" w:cs="Tahoma"/>
          <w:color w:val="0D0D0D" w:themeColor="text1" w:themeTint="F2"/>
          <w:sz w:val="22"/>
          <w:szCs w:val="22"/>
        </w:rPr>
        <w:t>expuesto,</w:t>
      </w:r>
      <w:r w:rsidRPr="004A24D4">
        <w:rPr>
          <w:rFonts w:ascii="Palatino Linotype" w:hAnsi="Palatino Linotype" w:cs="Tahoma"/>
          <w:color w:val="0D0D0D" w:themeColor="text1" w:themeTint="F2"/>
          <w:sz w:val="22"/>
          <w:szCs w:val="22"/>
        </w:rPr>
        <w:t xml:space="preserve">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3AA14EFA"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rPr>
      </w:pPr>
    </w:p>
    <w:p w14:paraId="595FA516" w14:textId="68B85193" w:rsidR="00F84CAE" w:rsidRPr="004A24D4" w:rsidRDefault="00F84CAE" w:rsidP="006312FD">
      <w:pPr>
        <w:spacing w:line="360" w:lineRule="auto"/>
        <w:ind w:left="567" w:right="539"/>
        <w:jc w:val="both"/>
        <w:rPr>
          <w:rFonts w:ascii="Palatino Linotype" w:hAnsi="Palatino Linotype" w:cs="Tahoma"/>
          <w:i/>
          <w:color w:val="0D0D0D" w:themeColor="text1" w:themeTint="F2"/>
        </w:rPr>
      </w:pPr>
      <w:r w:rsidRPr="004A24D4">
        <w:rPr>
          <w:rFonts w:ascii="Palatino Linotype" w:hAnsi="Palatino Linotype" w:cs="Tahoma"/>
          <w:b/>
          <w:i/>
          <w:color w:val="0D0D0D" w:themeColor="text1" w:themeTint="F2"/>
        </w:rPr>
        <w:t xml:space="preserve">FUNDAMENTACION Y MOTIVACION, CONCEPTO DE. </w:t>
      </w:r>
      <w:r w:rsidRPr="004A24D4">
        <w:rPr>
          <w:rFonts w:ascii="Palatino Linotype" w:hAnsi="Palatino Linotype" w:cs="Tahoma"/>
          <w:i/>
          <w:color w:val="0D0D0D" w:themeColor="text1" w:themeTint="F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w:t>
      </w:r>
      <w:r w:rsidR="006312FD">
        <w:rPr>
          <w:rFonts w:ascii="Palatino Linotype" w:hAnsi="Palatino Linotype" w:cs="Tahoma"/>
          <w:i/>
          <w:color w:val="0D0D0D" w:themeColor="text1" w:themeTint="F2"/>
        </w:rPr>
        <w:t>usta a la hipótesis normativa.</w:t>
      </w:r>
    </w:p>
    <w:p w14:paraId="454D15C8"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rPr>
      </w:pPr>
    </w:p>
    <w:p w14:paraId="39497CDD"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rPr>
      </w:pPr>
      <w:r w:rsidRPr="004A24D4">
        <w:rPr>
          <w:rFonts w:ascii="Palatino Linotype" w:hAnsi="Palatino Linotype" w:cs="Tahoma"/>
          <w:color w:val="0D0D0D" w:themeColor="text1" w:themeTint="F2"/>
          <w:sz w:val="22"/>
          <w:szCs w:val="22"/>
        </w:rPr>
        <w:t>Conforme a lo anterior, se advierte lo siguiente:</w:t>
      </w:r>
    </w:p>
    <w:p w14:paraId="5347F0A4"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rPr>
      </w:pPr>
    </w:p>
    <w:p w14:paraId="09E7B2ED" w14:textId="77777777" w:rsidR="00F84CAE" w:rsidRPr="004A24D4" w:rsidRDefault="00F84CAE" w:rsidP="00F84CAE">
      <w:pPr>
        <w:numPr>
          <w:ilvl w:val="0"/>
          <w:numId w:val="32"/>
        </w:numPr>
        <w:spacing w:line="360" w:lineRule="auto"/>
        <w:jc w:val="both"/>
        <w:rPr>
          <w:rFonts w:ascii="Palatino Linotype" w:hAnsi="Palatino Linotype" w:cs="Tahoma"/>
          <w:b/>
          <w:color w:val="0D0D0D" w:themeColor="text1" w:themeTint="F2"/>
          <w:sz w:val="22"/>
          <w:szCs w:val="22"/>
        </w:rPr>
      </w:pPr>
      <w:r w:rsidRPr="004A24D4">
        <w:rPr>
          <w:rFonts w:ascii="Palatino Linotype" w:hAnsi="Palatino Linotype" w:cs="Tahoma"/>
          <w:b/>
          <w:color w:val="0D0D0D" w:themeColor="text1" w:themeTint="F2"/>
          <w:sz w:val="22"/>
          <w:szCs w:val="22"/>
        </w:rPr>
        <w:t xml:space="preserve">Fundamentación: </w:t>
      </w:r>
      <w:r w:rsidRPr="004A24D4">
        <w:rPr>
          <w:rFonts w:ascii="Palatino Linotype" w:hAnsi="Palatino Linotype" w:cs="Tahoma"/>
          <w:color w:val="0D0D0D" w:themeColor="text1" w:themeTint="F2"/>
          <w:sz w:val="22"/>
          <w:szCs w:val="22"/>
        </w:rPr>
        <w:t>Obligación de la autoridad que emite un acto, para citar los preceptos legales, sustantivos y adjetivos, en que se apoye para la determinación tomada.</w:t>
      </w:r>
    </w:p>
    <w:p w14:paraId="18C7DE6E" w14:textId="77777777" w:rsidR="00F84CAE" w:rsidRPr="004A24D4" w:rsidRDefault="00F84CAE" w:rsidP="00F84CAE">
      <w:pPr>
        <w:spacing w:line="360" w:lineRule="auto"/>
        <w:ind w:left="720"/>
        <w:contextualSpacing/>
        <w:jc w:val="both"/>
        <w:rPr>
          <w:rFonts w:ascii="Palatino Linotype" w:hAnsi="Palatino Linotype" w:cs="Tahoma"/>
          <w:b/>
          <w:color w:val="0D0D0D" w:themeColor="text1" w:themeTint="F2"/>
          <w:sz w:val="22"/>
          <w:szCs w:val="22"/>
        </w:rPr>
      </w:pPr>
    </w:p>
    <w:p w14:paraId="46ACDB81" w14:textId="77777777" w:rsidR="00F84CAE" w:rsidRPr="004A24D4" w:rsidRDefault="00F84CAE" w:rsidP="00F84CAE">
      <w:pPr>
        <w:numPr>
          <w:ilvl w:val="0"/>
          <w:numId w:val="32"/>
        </w:numPr>
        <w:spacing w:line="360" w:lineRule="auto"/>
        <w:jc w:val="both"/>
        <w:rPr>
          <w:rFonts w:ascii="Palatino Linotype" w:hAnsi="Palatino Linotype" w:cs="Tahoma"/>
          <w:b/>
          <w:color w:val="0D0D0D" w:themeColor="text1" w:themeTint="F2"/>
          <w:sz w:val="22"/>
          <w:szCs w:val="22"/>
        </w:rPr>
      </w:pPr>
      <w:r w:rsidRPr="004A24D4">
        <w:rPr>
          <w:rFonts w:ascii="Palatino Linotype" w:hAnsi="Palatino Linotype" w:cs="Tahoma"/>
          <w:b/>
          <w:color w:val="0D0D0D" w:themeColor="text1" w:themeTint="F2"/>
          <w:sz w:val="22"/>
          <w:szCs w:val="22"/>
        </w:rPr>
        <w:t xml:space="preserve">Motivación: </w:t>
      </w:r>
      <w:r w:rsidRPr="004A24D4">
        <w:rPr>
          <w:rFonts w:ascii="Palatino Linotype" w:hAnsi="Palatino Linotype" w:cs="Tahoma"/>
          <w:color w:val="0D0D0D" w:themeColor="text1" w:themeTint="F2"/>
          <w:sz w:val="22"/>
          <w:szCs w:val="22"/>
        </w:rPr>
        <w:t>Razonamientos lógico-jurídicos sobre porque se consideró en el caso en concreto, que se ajusta a la hipótesis normativa.</w:t>
      </w:r>
    </w:p>
    <w:p w14:paraId="706DD0E2"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rPr>
      </w:pPr>
    </w:p>
    <w:p w14:paraId="3FF352F5" w14:textId="77777777" w:rsidR="00F84CAE" w:rsidRPr="004A24D4" w:rsidRDefault="00F84CAE" w:rsidP="00F84CAE">
      <w:pPr>
        <w:spacing w:line="360" w:lineRule="auto"/>
        <w:jc w:val="both"/>
        <w:rPr>
          <w:rFonts w:ascii="Palatino Linotype" w:hAnsi="Palatino Linotype" w:cs="Tahoma"/>
          <w:color w:val="0D0D0D" w:themeColor="text1" w:themeTint="F2"/>
          <w:sz w:val="22"/>
          <w:szCs w:val="22"/>
          <w:lang w:val="es-ES"/>
        </w:rPr>
      </w:pPr>
      <w:r w:rsidRPr="004A24D4">
        <w:rPr>
          <w:rFonts w:ascii="Palatino Linotype" w:hAnsi="Palatino Linotype" w:cs="Tahoma"/>
          <w:color w:val="0D0D0D" w:themeColor="text1" w:themeTint="F2"/>
          <w:sz w:val="22"/>
          <w:szCs w:val="22"/>
          <w:lang w:val="es-ES"/>
        </w:rPr>
        <w:t>En ese orden de ideas, el Trigésimo tercero de los Lineamientos Generales establece la forma en que se debe fundamentar y motivar la reserva de la información, es decir, a través de los siguientes pasos:</w:t>
      </w:r>
    </w:p>
    <w:p w14:paraId="74C2475C" w14:textId="77777777" w:rsidR="00F84CAE" w:rsidRPr="004A24D4" w:rsidRDefault="00F84CAE" w:rsidP="00F84CAE">
      <w:pPr>
        <w:spacing w:line="360" w:lineRule="auto"/>
        <w:jc w:val="both"/>
        <w:rPr>
          <w:rFonts w:ascii="Palatino Linotype" w:hAnsi="Palatino Linotype" w:cs="Tahoma"/>
          <w:color w:val="0D0D0D" w:themeColor="text1" w:themeTint="F2"/>
          <w:szCs w:val="22"/>
        </w:rPr>
      </w:pPr>
    </w:p>
    <w:p w14:paraId="5C3883C4" w14:textId="77777777" w:rsidR="00F84CAE" w:rsidRPr="00AD61EF" w:rsidRDefault="00F84CAE" w:rsidP="00F84CAE">
      <w:pPr>
        <w:pStyle w:val="Prrafodelista"/>
        <w:numPr>
          <w:ilvl w:val="0"/>
          <w:numId w:val="33"/>
        </w:numPr>
        <w:spacing w:line="360" w:lineRule="auto"/>
        <w:jc w:val="both"/>
        <w:rPr>
          <w:rFonts w:ascii="Palatino Linotype" w:hAnsi="Palatino Linotype" w:cs="Tahoma"/>
          <w:color w:val="0D0D0D" w:themeColor="text1" w:themeTint="F2"/>
          <w:szCs w:val="20"/>
        </w:rPr>
      </w:pPr>
      <w:r w:rsidRPr="00AD61EF">
        <w:rPr>
          <w:rFonts w:ascii="Palatino Linotype" w:hAnsi="Palatino Linotype" w:cs="Tahoma"/>
          <w:color w:val="0D0D0D" w:themeColor="text1" w:themeTint="F2"/>
          <w:szCs w:val="20"/>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F23CD0B" w14:textId="77777777" w:rsidR="00F84CAE" w:rsidRPr="00AD61EF" w:rsidRDefault="00F84CAE" w:rsidP="00F84CAE">
      <w:pPr>
        <w:pStyle w:val="Prrafodelista"/>
        <w:spacing w:line="360" w:lineRule="auto"/>
        <w:jc w:val="both"/>
        <w:rPr>
          <w:rFonts w:ascii="Palatino Linotype" w:hAnsi="Palatino Linotype" w:cs="Tahoma"/>
          <w:color w:val="0D0D0D" w:themeColor="text1" w:themeTint="F2"/>
          <w:szCs w:val="20"/>
        </w:rPr>
      </w:pPr>
    </w:p>
    <w:p w14:paraId="1B7E0CD8" w14:textId="77777777" w:rsidR="00F84CAE" w:rsidRDefault="00F84CAE" w:rsidP="00F84CAE">
      <w:pPr>
        <w:pStyle w:val="Prrafodelista"/>
        <w:numPr>
          <w:ilvl w:val="0"/>
          <w:numId w:val="33"/>
        </w:numPr>
        <w:spacing w:line="360" w:lineRule="auto"/>
        <w:jc w:val="both"/>
        <w:rPr>
          <w:rFonts w:ascii="Palatino Linotype" w:hAnsi="Palatino Linotype" w:cs="Tahoma"/>
          <w:color w:val="0D0D0D" w:themeColor="text1" w:themeTint="F2"/>
          <w:szCs w:val="20"/>
          <w:lang w:val="es-ES"/>
        </w:rPr>
      </w:pPr>
      <w:r w:rsidRPr="00AD61EF">
        <w:rPr>
          <w:rFonts w:ascii="Palatino Linotype" w:hAnsi="Palatino Linotype" w:cs="Tahoma"/>
          <w:color w:val="0D0D0D" w:themeColor="text1" w:themeTint="F2"/>
          <w:szCs w:val="20"/>
          <w:lang w:val="es-ES"/>
        </w:rPr>
        <w:t>Se deberá demostrar que la publicidad de la información generaría un riesgo de perjuicio, que rebasa el interés público;</w:t>
      </w:r>
    </w:p>
    <w:p w14:paraId="7685BB92" w14:textId="77777777" w:rsidR="006312FD" w:rsidRPr="00AD61EF" w:rsidRDefault="006312FD" w:rsidP="006312FD">
      <w:pPr>
        <w:pStyle w:val="Prrafodelista"/>
        <w:spacing w:line="360" w:lineRule="auto"/>
        <w:jc w:val="both"/>
        <w:rPr>
          <w:rFonts w:ascii="Palatino Linotype" w:hAnsi="Palatino Linotype" w:cs="Tahoma"/>
          <w:color w:val="0D0D0D" w:themeColor="text1" w:themeTint="F2"/>
          <w:szCs w:val="20"/>
          <w:lang w:val="es-ES"/>
        </w:rPr>
      </w:pPr>
    </w:p>
    <w:p w14:paraId="4DBF7909" w14:textId="77777777" w:rsidR="00F84CAE" w:rsidRPr="00AD61EF" w:rsidRDefault="00F84CAE" w:rsidP="00F84CAE">
      <w:pPr>
        <w:pStyle w:val="Prrafodelista"/>
        <w:numPr>
          <w:ilvl w:val="0"/>
          <w:numId w:val="33"/>
        </w:numPr>
        <w:spacing w:line="360" w:lineRule="auto"/>
        <w:jc w:val="both"/>
        <w:rPr>
          <w:rFonts w:ascii="Palatino Linotype" w:hAnsi="Palatino Linotype" w:cs="Tahoma"/>
          <w:color w:val="0D0D0D" w:themeColor="text1" w:themeTint="F2"/>
          <w:szCs w:val="20"/>
          <w:lang w:val="es-ES"/>
        </w:rPr>
      </w:pPr>
      <w:r w:rsidRPr="00AD61EF">
        <w:rPr>
          <w:rFonts w:ascii="Palatino Linotype" w:hAnsi="Palatino Linotype" w:cs="Tahoma"/>
          <w:color w:val="0D0D0D" w:themeColor="text1" w:themeTint="F2"/>
          <w:szCs w:val="20"/>
          <w:lang w:val="es-ES"/>
        </w:rPr>
        <w:t>Se acreditará el vínculo entre la difusión de la información y la afectación del interés jurídico tutelado;</w:t>
      </w:r>
    </w:p>
    <w:p w14:paraId="45931B72" w14:textId="77777777" w:rsidR="00F84CAE" w:rsidRPr="00AD61EF" w:rsidRDefault="00F84CAE" w:rsidP="00F84CAE">
      <w:pPr>
        <w:pStyle w:val="Prrafodelista"/>
        <w:spacing w:line="360" w:lineRule="auto"/>
        <w:rPr>
          <w:rFonts w:ascii="Palatino Linotype" w:hAnsi="Palatino Linotype" w:cs="Tahoma"/>
          <w:color w:val="0D0D0D" w:themeColor="text1" w:themeTint="F2"/>
          <w:szCs w:val="20"/>
          <w:lang w:val="es-ES"/>
        </w:rPr>
      </w:pPr>
    </w:p>
    <w:p w14:paraId="3790C1B3" w14:textId="77777777" w:rsidR="00F84CAE" w:rsidRPr="00AD61EF" w:rsidRDefault="00F84CAE" w:rsidP="00F84CAE">
      <w:pPr>
        <w:pStyle w:val="Prrafodelista"/>
        <w:numPr>
          <w:ilvl w:val="0"/>
          <w:numId w:val="33"/>
        </w:numPr>
        <w:spacing w:line="360" w:lineRule="auto"/>
        <w:jc w:val="both"/>
        <w:rPr>
          <w:rFonts w:ascii="Palatino Linotype" w:hAnsi="Palatino Linotype" w:cs="Tahoma"/>
          <w:color w:val="0D0D0D" w:themeColor="text1" w:themeTint="F2"/>
          <w:szCs w:val="20"/>
          <w:lang w:val="es-ES"/>
        </w:rPr>
      </w:pPr>
      <w:r w:rsidRPr="00AD61EF">
        <w:rPr>
          <w:rFonts w:ascii="Palatino Linotype" w:hAnsi="Palatino Linotype" w:cs="Tahoma"/>
          <w:color w:val="0D0D0D" w:themeColor="text1" w:themeTint="F2"/>
          <w:szCs w:val="20"/>
          <w:lang w:val="es-ES"/>
        </w:rPr>
        <w:t>Se precisará las razones objetivas por las que la apertura de la información generaría una afectación, por medio del riesgo real, demostrable e identificable;</w:t>
      </w:r>
    </w:p>
    <w:p w14:paraId="4763CF56" w14:textId="77777777" w:rsidR="00F84CAE" w:rsidRPr="00AD61EF" w:rsidRDefault="00F84CAE" w:rsidP="00F84CAE">
      <w:pPr>
        <w:pStyle w:val="Prrafodelista"/>
        <w:spacing w:line="360" w:lineRule="auto"/>
        <w:rPr>
          <w:rFonts w:ascii="Palatino Linotype" w:hAnsi="Palatino Linotype" w:cs="Tahoma"/>
          <w:color w:val="0D0D0D" w:themeColor="text1" w:themeTint="F2"/>
          <w:szCs w:val="20"/>
          <w:lang w:val="es-ES"/>
        </w:rPr>
      </w:pPr>
    </w:p>
    <w:p w14:paraId="5B15F1E1" w14:textId="77777777" w:rsidR="00F84CAE" w:rsidRPr="00AD61EF" w:rsidRDefault="00F84CAE" w:rsidP="00F84CAE">
      <w:pPr>
        <w:pStyle w:val="Prrafodelista"/>
        <w:numPr>
          <w:ilvl w:val="0"/>
          <w:numId w:val="33"/>
        </w:numPr>
        <w:spacing w:line="360" w:lineRule="auto"/>
        <w:jc w:val="both"/>
        <w:rPr>
          <w:rFonts w:ascii="Palatino Linotype" w:hAnsi="Palatino Linotype" w:cs="Tahoma"/>
          <w:color w:val="0D0D0D" w:themeColor="text1" w:themeTint="F2"/>
          <w:szCs w:val="20"/>
          <w:lang w:val="es-ES"/>
        </w:rPr>
      </w:pPr>
      <w:r w:rsidRPr="00AD61EF">
        <w:rPr>
          <w:rFonts w:ascii="Palatino Linotype" w:hAnsi="Palatino Linotype" w:cs="Tahoma"/>
          <w:color w:val="0D0D0D" w:themeColor="text1" w:themeTint="F2"/>
          <w:szCs w:val="20"/>
          <w:lang w:val="es-ES"/>
        </w:rPr>
        <w:t>Se deberán señalar las circunstancias de modo, tiempo y lugar del daño, y</w:t>
      </w:r>
    </w:p>
    <w:p w14:paraId="73ED2432" w14:textId="77777777" w:rsidR="00F84CAE" w:rsidRPr="00AD61EF" w:rsidRDefault="00F84CAE" w:rsidP="00F84CAE">
      <w:pPr>
        <w:pStyle w:val="Prrafodelista"/>
        <w:spacing w:line="360" w:lineRule="auto"/>
        <w:rPr>
          <w:rFonts w:ascii="Palatino Linotype" w:hAnsi="Palatino Linotype" w:cs="Tahoma"/>
          <w:color w:val="0D0D0D" w:themeColor="text1" w:themeTint="F2"/>
          <w:szCs w:val="20"/>
          <w:lang w:val="es-ES"/>
        </w:rPr>
      </w:pPr>
    </w:p>
    <w:p w14:paraId="6B927BBC" w14:textId="77777777" w:rsidR="00F84CAE" w:rsidRPr="00AD61EF" w:rsidRDefault="00F84CAE" w:rsidP="00F84CAE">
      <w:pPr>
        <w:pStyle w:val="Prrafodelista"/>
        <w:numPr>
          <w:ilvl w:val="0"/>
          <w:numId w:val="33"/>
        </w:numPr>
        <w:spacing w:line="360" w:lineRule="auto"/>
        <w:jc w:val="both"/>
        <w:rPr>
          <w:rFonts w:ascii="Palatino Linotype" w:hAnsi="Palatino Linotype" w:cs="Tahoma"/>
          <w:color w:val="0D0D0D" w:themeColor="text1" w:themeTint="F2"/>
          <w:szCs w:val="20"/>
          <w:lang w:val="es-ES"/>
        </w:rPr>
      </w:pPr>
      <w:r w:rsidRPr="00AD61EF">
        <w:rPr>
          <w:rFonts w:ascii="Palatino Linotype" w:hAnsi="Palatino Linotype" w:cs="Tahoma"/>
          <w:color w:val="0D0D0D" w:themeColor="text1" w:themeTint="F2"/>
          <w:szCs w:val="20"/>
          <w:lang w:val="es-ES"/>
        </w:rPr>
        <w:t>Se elegirá la opción de excepción al acceso a la información que menos restrinja, la cual será adecuada y proporcional para la protección del interés público.</w:t>
      </w:r>
    </w:p>
    <w:p w14:paraId="6DA1D8F3" w14:textId="77777777" w:rsidR="00F84CAE" w:rsidRDefault="00F84CAE" w:rsidP="00F84CAE">
      <w:pPr>
        <w:pBdr>
          <w:top w:val="nil"/>
          <w:left w:val="nil"/>
          <w:bottom w:val="nil"/>
          <w:right w:val="nil"/>
          <w:between w:val="nil"/>
        </w:pBdr>
        <w:spacing w:line="360" w:lineRule="auto"/>
        <w:jc w:val="both"/>
        <w:rPr>
          <w:rFonts w:ascii="Palatino Linotype" w:eastAsia="Palatino Linotype" w:hAnsi="Palatino Linotype" w:cs="Palatino Linotype"/>
          <w:bCs/>
          <w:color w:val="000000"/>
          <w:sz w:val="22"/>
          <w:szCs w:val="22"/>
        </w:rPr>
      </w:pPr>
    </w:p>
    <w:p w14:paraId="750CD3A4" w14:textId="1A70BEF2" w:rsidR="00F84CAE" w:rsidRDefault="006312FD" w:rsidP="00F84CAE">
      <w:pPr>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 xml:space="preserve">Aunado a lo anterior se relaciona con el proceso de elaboración de prueba de daño que exige el artículo 128 de la </w:t>
      </w:r>
      <w:r w:rsidRPr="006312FD">
        <w:rPr>
          <w:rFonts w:ascii="Palatino Linotype" w:eastAsia="Calibri" w:hAnsi="Palatino Linotype" w:cs="Tahoma"/>
          <w:bCs/>
          <w:iCs/>
          <w:sz w:val="22"/>
          <w:szCs w:val="22"/>
          <w:lang w:val="es-ES" w:eastAsia="en-US"/>
        </w:rPr>
        <w:t>Ley de Transparencia y Acceso a la Información Pública del Estado de México y Municipios</w:t>
      </w:r>
      <w:r>
        <w:rPr>
          <w:rFonts w:ascii="Palatino Linotype" w:eastAsia="Calibri" w:hAnsi="Palatino Linotype" w:cs="Tahoma"/>
          <w:bCs/>
          <w:iCs/>
          <w:sz w:val="22"/>
          <w:szCs w:val="22"/>
          <w:lang w:val="es-ES" w:eastAsia="en-US"/>
        </w:rPr>
        <w:t>; en el cual se prevé que para la debida fundamentación y motivación de la reserva de la información se deberá realizar la prueba de daño correspondiente.</w:t>
      </w:r>
    </w:p>
    <w:p w14:paraId="1DB88B8D" w14:textId="77777777" w:rsidR="006312FD" w:rsidRDefault="006312FD" w:rsidP="00F84CAE">
      <w:pPr>
        <w:spacing w:line="360" w:lineRule="auto"/>
        <w:jc w:val="both"/>
        <w:rPr>
          <w:rFonts w:ascii="Palatino Linotype" w:eastAsia="Calibri" w:hAnsi="Palatino Linotype" w:cs="Tahoma"/>
          <w:bCs/>
          <w:iCs/>
          <w:sz w:val="22"/>
          <w:szCs w:val="22"/>
          <w:lang w:val="es-ES" w:eastAsia="en-US"/>
        </w:rPr>
      </w:pPr>
    </w:p>
    <w:p w14:paraId="45458D82" w14:textId="5829F55F" w:rsidR="006312FD" w:rsidRDefault="006312FD" w:rsidP="00F84CAE">
      <w:pPr>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Así pues, para el presente caso, el Sujeto Obligado no entregó el acuerdo emitido por su Comité de Transparencia, en el que se expliquen los motivos y razonamientos jurídicos suficientes, para acreditar la reserva de la información; por lo que se deja al Particular en un estado de indefensión, pues no se le comunicaron las razones por las que se reservó la información.</w:t>
      </w:r>
    </w:p>
    <w:p w14:paraId="0D5A65EC" w14:textId="77777777" w:rsidR="006312FD" w:rsidRDefault="006312FD" w:rsidP="00F84CAE">
      <w:pPr>
        <w:spacing w:line="360" w:lineRule="auto"/>
        <w:jc w:val="both"/>
        <w:rPr>
          <w:rFonts w:ascii="Palatino Linotype" w:eastAsia="Calibri" w:hAnsi="Palatino Linotype" w:cs="Tahoma"/>
          <w:bCs/>
          <w:iCs/>
          <w:sz w:val="22"/>
          <w:szCs w:val="22"/>
          <w:lang w:val="es-ES" w:eastAsia="en-US"/>
        </w:rPr>
      </w:pPr>
    </w:p>
    <w:p w14:paraId="30ACE507" w14:textId="5D80BEF8" w:rsidR="006312FD" w:rsidRDefault="006312FD" w:rsidP="00F84CAE">
      <w:pPr>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 xml:space="preserve">Sumado a lo </w:t>
      </w:r>
      <w:r w:rsidR="00544985">
        <w:rPr>
          <w:rFonts w:ascii="Palatino Linotype" w:eastAsia="Calibri" w:hAnsi="Palatino Linotype" w:cs="Tahoma"/>
          <w:bCs/>
          <w:iCs/>
          <w:sz w:val="22"/>
          <w:szCs w:val="22"/>
          <w:lang w:val="es-ES" w:eastAsia="en-US"/>
        </w:rPr>
        <w:t>expuesto</w:t>
      </w:r>
      <w:r>
        <w:rPr>
          <w:rFonts w:ascii="Palatino Linotype" w:eastAsia="Calibri" w:hAnsi="Palatino Linotype" w:cs="Tahoma"/>
          <w:bCs/>
          <w:iCs/>
          <w:sz w:val="22"/>
          <w:szCs w:val="22"/>
          <w:lang w:val="es-ES" w:eastAsia="en-US"/>
        </w:rPr>
        <w:t xml:space="preserve">, es preciso indicar que este Organismo Garante procedió a revisar en notas periodísticas en los principales sitios de </w:t>
      </w:r>
      <w:r>
        <w:rPr>
          <w:rFonts w:ascii="Palatino Linotype" w:eastAsia="Calibri" w:hAnsi="Palatino Linotype" w:cs="Tahoma"/>
          <w:bCs/>
          <w:i/>
          <w:iCs/>
          <w:sz w:val="22"/>
          <w:szCs w:val="22"/>
          <w:lang w:val="es-ES" w:eastAsia="en-US"/>
        </w:rPr>
        <w:t xml:space="preserve">Internet, </w:t>
      </w:r>
      <w:r>
        <w:rPr>
          <w:rFonts w:ascii="Palatino Linotype" w:eastAsia="Calibri" w:hAnsi="Palatino Linotype" w:cs="Tahoma"/>
          <w:bCs/>
          <w:iCs/>
          <w:sz w:val="22"/>
          <w:szCs w:val="22"/>
          <w:lang w:val="es-ES" w:eastAsia="en-US"/>
        </w:rPr>
        <w:t xml:space="preserve">con la finalidad de allegarse de mayores elementos, ante lo cual, se localizó una nota correspondiente al hecho narrado por el Sujeto Obligado; titulada </w:t>
      </w:r>
      <w:r>
        <w:rPr>
          <w:rFonts w:ascii="Palatino Linotype" w:eastAsia="Calibri" w:hAnsi="Palatino Linotype" w:cs="Tahoma"/>
          <w:bCs/>
          <w:i/>
          <w:iCs/>
          <w:sz w:val="22"/>
          <w:szCs w:val="22"/>
          <w:lang w:val="es-ES" w:eastAsia="en-US"/>
        </w:rPr>
        <w:t xml:space="preserve"> </w:t>
      </w:r>
      <w:r w:rsidRPr="006312FD">
        <w:rPr>
          <w:rFonts w:ascii="Palatino Linotype" w:eastAsia="Calibri" w:hAnsi="Palatino Linotype" w:cs="Tahoma"/>
          <w:bCs/>
          <w:i/>
          <w:iCs/>
          <w:sz w:val="22"/>
          <w:szCs w:val="22"/>
          <w:lang w:val="es-ES" w:eastAsia="en-US"/>
        </w:rPr>
        <w:t>Pobladores queman patrullas de Jaltenco, Estado de México, hartos de abusos y extorsiones</w:t>
      </w:r>
      <w:r>
        <w:rPr>
          <w:rFonts w:ascii="Palatino Linotype" w:eastAsia="Calibri" w:hAnsi="Palatino Linotype" w:cs="Tahoma"/>
          <w:bCs/>
          <w:i/>
          <w:iCs/>
          <w:sz w:val="22"/>
          <w:szCs w:val="22"/>
          <w:lang w:val="es-ES" w:eastAsia="en-US"/>
        </w:rPr>
        <w:t>,</w:t>
      </w:r>
      <w:r>
        <w:rPr>
          <w:rFonts w:ascii="Palatino Linotype" w:eastAsia="Calibri" w:hAnsi="Palatino Linotype" w:cs="Tahoma"/>
          <w:bCs/>
          <w:iCs/>
          <w:sz w:val="22"/>
          <w:szCs w:val="22"/>
          <w:lang w:val="es-ES" w:eastAsia="en-US"/>
        </w:rPr>
        <w:t xml:space="preserve"> publicado en el sitio de televisa.NEWS, véase: </w:t>
      </w:r>
      <w:hyperlink r:id="rId8" w:history="1">
        <w:r w:rsidRPr="006B2FF1">
          <w:rPr>
            <w:rStyle w:val="Hipervnculo"/>
            <w:rFonts w:ascii="Palatino Linotype" w:eastAsia="Calibri" w:hAnsi="Palatino Linotype" w:cs="Tahoma"/>
            <w:bCs/>
            <w:iCs/>
            <w:sz w:val="22"/>
            <w:szCs w:val="22"/>
            <w:lang w:val="es-ES" w:eastAsia="en-US"/>
          </w:rPr>
          <w:t>https://noticieros.televisa.com/ultimas-noticias/pobladores-queman-patrullas-de-jaltenco-estado-de-mexico-hartos-de-abusos-y-extorsiones/</w:t>
        </w:r>
      </w:hyperlink>
      <w:r>
        <w:rPr>
          <w:rFonts w:ascii="Palatino Linotype" w:eastAsia="Calibri" w:hAnsi="Palatino Linotype" w:cs="Tahoma"/>
          <w:bCs/>
          <w:iCs/>
          <w:sz w:val="22"/>
          <w:szCs w:val="22"/>
          <w:lang w:val="es-ES" w:eastAsia="en-US"/>
        </w:rPr>
        <w:t xml:space="preserve"> .</w:t>
      </w:r>
    </w:p>
    <w:p w14:paraId="5B0FF52C" w14:textId="77777777" w:rsidR="006312FD" w:rsidRDefault="006312FD" w:rsidP="00F84CAE">
      <w:pPr>
        <w:spacing w:line="360" w:lineRule="auto"/>
        <w:jc w:val="both"/>
        <w:rPr>
          <w:rFonts w:ascii="Palatino Linotype" w:eastAsia="Calibri" w:hAnsi="Palatino Linotype" w:cs="Tahoma"/>
          <w:bCs/>
          <w:iCs/>
          <w:sz w:val="22"/>
          <w:szCs w:val="22"/>
          <w:lang w:val="es-ES" w:eastAsia="en-US"/>
        </w:rPr>
      </w:pPr>
    </w:p>
    <w:p w14:paraId="66EF1460" w14:textId="2F27C6AC" w:rsidR="006312FD" w:rsidRDefault="006312FD" w:rsidP="00F84CAE">
      <w:pPr>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De la nota</w:t>
      </w:r>
      <w:r w:rsidR="00544985">
        <w:rPr>
          <w:rFonts w:ascii="Palatino Linotype" w:eastAsia="Calibri" w:hAnsi="Palatino Linotype" w:cs="Tahoma"/>
          <w:bCs/>
          <w:iCs/>
          <w:sz w:val="22"/>
          <w:szCs w:val="22"/>
          <w:lang w:val="es-ES" w:eastAsia="en-US"/>
        </w:rPr>
        <w:t xml:space="preserve"> identificada,</w:t>
      </w:r>
      <w:r>
        <w:rPr>
          <w:rFonts w:ascii="Palatino Linotype" w:eastAsia="Calibri" w:hAnsi="Palatino Linotype" w:cs="Tahoma"/>
          <w:bCs/>
          <w:iCs/>
          <w:sz w:val="22"/>
          <w:szCs w:val="22"/>
          <w:lang w:val="es-ES" w:eastAsia="en-US"/>
        </w:rPr>
        <w:t xml:space="preserve"> se narra que se quemaron los vehículos y se muestra un video en el que se observan los mismos calcinados </w:t>
      </w:r>
      <w:r w:rsidR="00EF72C0">
        <w:rPr>
          <w:rFonts w:ascii="Palatino Linotype" w:eastAsia="Calibri" w:hAnsi="Palatino Linotype" w:cs="Tahoma"/>
          <w:bCs/>
          <w:iCs/>
          <w:sz w:val="22"/>
          <w:szCs w:val="22"/>
          <w:lang w:val="es-ES" w:eastAsia="en-US"/>
        </w:rPr>
        <w:t>alrededor</w:t>
      </w:r>
      <w:r>
        <w:rPr>
          <w:rFonts w:ascii="Palatino Linotype" w:eastAsia="Calibri" w:hAnsi="Palatino Linotype" w:cs="Tahoma"/>
          <w:bCs/>
          <w:iCs/>
          <w:sz w:val="22"/>
          <w:szCs w:val="22"/>
          <w:lang w:val="es-ES" w:eastAsia="en-US"/>
        </w:rPr>
        <w:t xml:space="preserve"> de un inmueble que tiene los logos </w:t>
      </w:r>
      <w:r w:rsidR="00EF72C0">
        <w:rPr>
          <w:rFonts w:ascii="Palatino Linotype" w:eastAsia="Calibri" w:hAnsi="Palatino Linotype" w:cs="Tahoma"/>
          <w:bCs/>
          <w:iCs/>
          <w:sz w:val="22"/>
          <w:szCs w:val="22"/>
          <w:lang w:val="es-ES" w:eastAsia="en-US"/>
        </w:rPr>
        <w:t>que parecen pertenecer a</w:t>
      </w:r>
      <w:r>
        <w:rPr>
          <w:rFonts w:ascii="Palatino Linotype" w:eastAsia="Calibri" w:hAnsi="Palatino Linotype" w:cs="Tahoma"/>
          <w:bCs/>
          <w:iCs/>
          <w:sz w:val="22"/>
          <w:szCs w:val="22"/>
          <w:lang w:val="es-ES" w:eastAsia="en-US"/>
        </w:rPr>
        <w:t xml:space="preserve"> la </w:t>
      </w:r>
      <w:r w:rsidR="00EF72C0" w:rsidRPr="00EF72C0">
        <w:rPr>
          <w:rFonts w:ascii="Palatino Linotype" w:eastAsia="Calibri" w:hAnsi="Palatino Linotype" w:cs="Tahoma"/>
          <w:bCs/>
          <w:iCs/>
          <w:sz w:val="22"/>
          <w:szCs w:val="22"/>
          <w:lang w:val="es-ES" w:eastAsia="en-US"/>
        </w:rPr>
        <w:t>Comisaría de Seguridad Ciudadana, Vialidad, Protección Civil y Bomberos</w:t>
      </w:r>
      <w:r>
        <w:rPr>
          <w:rFonts w:ascii="Palatino Linotype" w:eastAsia="Calibri" w:hAnsi="Palatino Linotype" w:cs="Tahoma"/>
          <w:bCs/>
          <w:iCs/>
          <w:sz w:val="22"/>
          <w:szCs w:val="22"/>
          <w:lang w:val="es-ES" w:eastAsia="en-US"/>
        </w:rPr>
        <w:t>; también se narra que se rompieron los cristales de la puerta del inmueble policial; sin embargo, no se precisa daños en el interior de las oficinas, a los documentos o que se asegurara el inmueble.</w:t>
      </w:r>
    </w:p>
    <w:p w14:paraId="0BC8D03A" w14:textId="77777777" w:rsidR="006312FD" w:rsidRDefault="006312FD" w:rsidP="00F84CAE">
      <w:pPr>
        <w:spacing w:line="360" w:lineRule="auto"/>
        <w:jc w:val="both"/>
        <w:rPr>
          <w:rFonts w:ascii="Palatino Linotype" w:eastAsia="Calibri" w:hAnsi="Palatino Linotype" w:cs="Tahoma"/>
          <w:bCs/>
          <w:iCs/>
          <w:sz w:val="22"/>
          <w:szCs w:val="22"/>
          <w:lang w:val="es-ES" w:eastAsia="en-US"/>
        </w:rPr>
      </w:pPr>
    </w:p>
    <w:p w14:paraId="7DF6A85A" w14:textId="77777777" w:rsidR="006312FD" w:rsidRPr="00AF221F" w:rsidRDefault="006312FD" w:rsidP="005526B1">
      <w:pPr>
        <w:tabs>
          <w:tab w:val="left" w:pos="4962"/>
        </w:tabs>
        <w:spacing w:line="360" w:lineRule="auto"/>
        <w:jc w:val="both"/>
        <w:rPr>
          <w:rFonts w:ascii="Palatino Linotype" w:hAnsi="Palatino Linotype" w:cs="Tahoma"/>
          <w:sz w:val="22"/>
          <w:szCs w:val="22"/>
        </w:rPr>
      </w:pPr>
      <w:r w:rsidRPr="00AF221F">
        <w:rPr>
          <w:rFonts w:ascii="Palatino Linotype" w:hAnsi="Palatino Linotype" w:cs="Tahoma"/>
          <w:sz w:val="22"/>
          <w:szCs w:val="22"/>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w:t>
      </w:r>
      <w:r>
        <w:rPr>
          <w:rFonts w:ascii="Palatino Linotype" w:hAnsi="Palatino Linotype" w:cs="Tahoma"/>
          <w:sz w:val="22"/>
          <w:szCs w:val="22"/>
        </w:rPr>
        <w:t xml:space="preserve">, de la Novena Época, titulada </w:t>
      </w:r>
      <w:r w:rsidRPr="0079315E">
        <w:rPr>
          <w:rFonts w:ascii="Palatino Linotype" w:hAnsi="Palatino Linotype" w:cs="Tahoma"/>
          <w:b/>
          <w:i/>
          <w:sz w:val="22"/>
          <w:szCs w:val="22"/>
        </w:rPr>
        <w:t>NOTAS PERIODÍSTICAS, EL CONOCIMIENTO QUE DE ELLAS SE OBTIENE NO CONSTITUYE ‘UN HECHO PÚBLICO Y NOTORIO</w:t>
      </w:r>
      <w:r>
        <w:rPr>
          <w:rFonts w:ascii="Palatino Linotype" w:hAnsi="Palatino Linotype" w:cs="Tahoma"/>
          <w:sz w:val="22"/>
          <w:szCs w:val="22"/>
        </w:rPr>
        <w:t xml:space="preserve"> </w:t>
      </w:r>
      <w:r w:rsidRPr="00AF221F">
        <w:rPr>
          <w:rFonts w:ascii="Palatino Linotype" w:hAnsi="Palatino Linotype" w:cs="Tahoma"/>
          <w:sz w:val="22"/>
          <w:szCs w:val="22"/>
        </w:rPr>
        <w:t>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7AA57070" w14:textId="77777777" w:rsidR="006312FD" w:rsidRPr="00AF221F" w:rsidRDefault="006312FD" w:rsidP="005526B1">
      <w:pPr>
        <w:tabs>
          <w:tab w:val="left" w:pos="4962"/>
        </w:tabs>
        <w:spacing w:line="360" w:lineRule="auto"/>
        <w:jc w:val="both"/>
        <w:rPr>
          <w:rFonts w:ascii="Palatino Linotype" w:hAnsi="Palatino Linotype" w:cs="Tahoma"/>
          <w:sz w:val="22"/>
          <w:szCs w:val="22"/>
        </w:rPr>
      </w:pPr>
    </w:p>
    <w:p w14:paraId="37D780AF" w14:textId="77777777" w:rsidR="006312FD" w:rsidRDefault="006312FD" w:rsidP="005526B1">
      <w:pPr>
        <w:tabs>
          <w:tab w:val="left" w:pos="4962"/>
        </w:tabs>
        <w:spacing w:line="360" w:lineRule="auto"/>
        <w:jc w:val="both"/>
        <w:rPr>
          <w:rFonts w:ascii="Palatino Linotype" w:hAnsi="Palatino Linotype" w:cs="Tahoma"/>
          <w:sz w:val="22"/>
          <w:szCs w:val="22"/>
        </w:rPr>
      </w:pPr>
      <w:r w:rsidRPr="00AF221F">
        <w:rPr>
          <w:rFonts w:ascii="Palatino Linotype" w:hAnsi="Palatino Linotype" w:cs="Tahoma"/>
          <w:sz w:val="22"/>
          <w:szCs w:val="22"/>
        </w:rPr>
        <w:t>De tal situación, lo consignado en las notas periodísticas no constituye un hecho público o notorio, sino que es una opinión de su autor, por lo que sólo se pueden tomar como indicios.</w:t>
      </w:r>
    </w:p>
    <w:p w14:paraId="61708720" w14:textId="77777777" w:rsidR="006312FD" w:rsidRPr="00AF221F" w:rsidRDefault="006312FD" w:rsidP="005526B1">
      <w:pPr>
        <w:tabs>
          <w:tab w:val="left" w:pos="4962"/>
        </w:tabs>
        <w:spacing w:line="360" w:lineRule="auto"/>
        <w:jc w:val="both"/>
        <w:rPr>
          <w:rFonts w:ascii="Palatino Linotype" w:hAnsi="Palatino Linotype" w:cs="Tahoma"/>
          <w:sz w:val="22"/>
          <w:szCs w:val="22"/>
        </w:rPr>
      </w:pPr>
    </w:p>
    <w:p w14:paraId="558E6496" w14:textId="3519175D" w:rsidR="006A4602" w:rsidRDefault="006312FD" w:rsidP="005526B1">
      <w:pPr>
        <w:tabs>
          <w:tab w:val="left" w:pos="4962"/>
        </w:tabs>
        <w:spacing w:line="360" w:lineRule="auto"/>
        <w:jc w:val="both"/>
        <w:rPr>
          <w:rFonts w:ascii="Palatino Linotype" w:hAnsi="Palatino Linotype" w:cs="Tahoma"/>
          <w:sz w:val="22"/>
          <w:szCs w:val="22"/>
        </w:rPr>
      </w:pPr>
      <w:r w:rsidRPr="00AF221F">
        <w:rPr>
          <w:rFonts w:ascii="Palatino Linotype" w:hAnsi="Palatino Linotype" w:cs="Tahoma"/>
          <w:sz w:val="22"/>
          <w:szCs w:val="22"/>
        </w:rPr>
        <w:t xml:space="preserve">En ese sentido, si bien las notas periodísticas señaladas, contienen información que guarda relación con </w:t>
      </w:r>
      <w:r w:rsidR="006A4602">
        <w:rPr>
          <w:rFonts w:ascii="Palatino Linotype" w:hAnsi="Palatino Linotype" w:cs="Tahoma"/>
          <w:sz w:val="22"/>
          <w:szCs w:val="22"/>
        </w:rPr>
        <w:t>lo manifestado por el Sujeto Obligado</w:t>
      </w:r>
      <w:r w:rsidRPr="00AF221F">
        <w:rPr>
          <w:rFonts w:ascii="Palatino Linotype" w:hAnsi="Palatino Linotype" w:cs="Tahoma"/>
          <w:sz w:val="22"/>
          <w:szCs w:val="22"/>
        </w:rPr>
        <w:t>, lo cierto es que no constituyen prueba plena, al ser una opinión privada realizada por parte de un particular; sin embargo, en el presente caso, sirve de indicio para este Instituto, para robustecer el h</w:t>
      </w:r>
      <w:r>
        <w:rPr>
          <w:rFonts w:ascii="Palatino Linotype" w:hAnsi="Palatino Linotype" w:cs="Tahoma"/>
          <w:sz w:val="22"/>
          <w:szCs w:val="22"/>
        </w:rPr>
        <w:t>echo de que lo narrado por el Sujeto Obligado no se relaciona con el acceso a la documentaci</w:t>
      </w:r>
      <w:r w:rsidR="006A4602">
        <w:rPr>
          <w:rFonts w:ascii="Palatino Linotype" w:hAnsi="Palatino Linotype" w:cs="Tahoma"/>
          <w:sz w:val="22"/>
          <w:szCs w:val="22"/>
        </w:rPr>
        <w:t>ón que obra en las oficinas; ni se destacan elementos suficientes para considerar la reserva de la información.</w:t>
      </w:r>
    </w:p>
    <w:p w14:paraId="1E72CC6C" w14:textId="77777777" w:rsidR="006A4602" w:rsidRDefault="006A4602" w:rsidP="005526B1">
      <w:pPr>
        <w:tabs>
          <w:tab w:val="left" w:pos="4962"/>
        </w:tabs>
        <w:spacing w:line="360" w:lineRule="auto"/>
        <w:jc w:val="both"/>
        <w:rPr>
          <w:rFonts w:ascii="Palatino Linotype" w:hAnsi="Palatino Linotype" w:cs="Tahoma"/>
          <w:sz w:val="22"/>
          <w:szCs w:val="22"/>
        </w:rPr>
      </w:pPr>
    </w:p>
    <w:p w14:paraId="1EA2133E" w14:textId="70186ABD" w:rsidR="006A4602" w:rsidRDefault="006A4602" w:rsidP="005526B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Así pues, este Organismo Garante concluye que de la respuesta proporcionada por el Sujeto Obligado, no se advierten elementos suficientes para respaldar una clasificación de la información como reservada, pues no se entregó el acuerdo emitido por el Comité de Transparencia en el que se expusiera la debida fundamentación y motivación, ni los razonamientos que normativamente se exigen para que tenga lugar una clasificación de reserva.</w:t>
      </w:r>
    </w:p>
    <w:p w14:paraId="4610083A" w14:textId="77777777" w:rsidR="006A4602" w:rsidRDefault="006A4602" w:rsidP="005526B1">
      <w:pPr>
        <w:tabs>
          <w:tab w:val="left" w:pos="4962"/>
        </w:tabs>
        <w:spacing w:line="360" w:lineRule="auto"/>
        <w:jc w:val="both"/>
        <w:rPr>
          <w:rFonts w:ascii="Palatino Linotype" w:hAnsi="Palatino Linotype" w:cs="Tahoma"/>
          <w:sz w:val="22"/>
          <w:szCs w:val="22"/>
        </w:rPr>
      </w:pPr>
    </w:p>
    <w:p w14:paraId="73C3D469" w14:textId="2781CE90" w:rsidR="006A4602" w:rsidRDefault="006A4602" w:rsidP="005526B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Aunado a ello, de los motivos expuestos por el Sujeto Obligado relacionados con la quema de vehículos, se advierte, que dicho acto no se relaciona con lo solicitado, aún más, no da muestras o indicios que justifiquen una imposibilidad para transparentar la información; pues no se acredita una causa suficiente para evitar la entrega; ni se señalan motivos o razonamientos que den cuenta de la posible obstrucción a persecución de delitos, ya que la documentación en la que obra lo solicitado no se relaciona con hecho narrado.</w:t>
      </w:r>
    </w:p>
    <w:p w14:paraId="5867EAAF" w14:textId="4A2E9373" w:rsidR="006A4602" w:rsidRDefault="006A4602" w:rsidP="005526B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Asimismo, vale la pena señalar que, suponiendo sin conceder que el Sujeto Obligado no pueda acceder a la documentación que obra en las oficinas que se vieron involucradas el hecho narrado por el Sujeto Obligado; ello no limita la posibilidad de entregar la información, pues del análisis a la documentación en la que obra lo solicitado, se advierte que la misma puede obrar en los archivos de otras áreas que integran la estructura orgánica, tales como aquellas que tienen las atribuciones de administrar al personal, cuestión que se tratara en líneas posteriores.</w:t>
      </w:r>
    </w:p>
    <w:p w14:paraId="6DEC5F32" w14:textId="77777777" w:rsidR="006A4602" w:rsidRDefault="006A4602" w:rsidP="005526B1">
      <w:pPr>
        <w:tabs>
          <w:tab w:val="left" w:pos="4962"/>
        </w:tabs>
        <w:spacing w:line="360" w:lineRule="auto"/>
        <w:jc w:val="both"/>
        <w:rPr>
          <w:rFonts w:ascii="Palatino Linotype" w:hAnsi="Palatino Linotype" w:cs="Tahoma"/>
          <w:sz w:val="22"/>
          <w:szCs w:val="22"/>
        </w:rPr>
      </w:pPr>
    </w:p>
    <w:p w14:paraId="2C1A3A6B" w14:textId="004BA599" w:rsidR="006A4602" w:rsidRPr="00AF221F" w:rsidRDefault="006A4602" w:rsidP="005526B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Entonces, es posible señalar que la respuesta del </w:t>
      </w:r>
      <w:r w:rsidR="00170658">
        <w:rPr>
          <w:rFonts w:ascii="Palatino Linotype" w:hAnsi="Palatino Linotype" w:cs="Tahoma"/>
          <w:sz w:val="22"/>
          <w:szCs w:val="22"/>
        </w:rPr>
        <w:t>Sujeto</w:t>
      </w:r>
      <w:r>
        <w:rPr>
          <w:rFonts w:ascii="Palatino Linotype" w:hAnsi="Palatino Linotype" w:cs="Tahoma"/>
          <w:sz w:val="22"/>
          <w:szCs w:val="22"/>
        </w:rPr>
        <w:t xml:space="preserve"> O</w:t>
      </w:r>
      <w:r w:rsidR="00170658">
        <w:rPr>
          <w:rFonts w:ascii="Palatino Linotype" w:hAnsi="Palatino Linotype" w:cs="Tahoma"/>
          <w:sz w:val="22"/>
          <w:szCs w:val="22"/>
        </w:rPr>
        <w:t>bligado no se encuentra debidamente fundada ni motivada pues señaló una supuesta clasificación de la cual, no entregó elementos suficientes para su análisis; por lo que resultan fundados los motivos de inconformidad planteados por el Recurrente.</w:t>
      </w:r>
    </w:p>
    <w:p w14:paraId="7BFD278F" w14:textId="77777777" w:rsidR="003E357A" w:rsidRDefault="003E357A" w:rsidP="00F84CAE">
      <w:pPr>
        <w:spacing w:line="360" w:lineRule="auto"/>
        <w:jc w:val="both"/>
        <w:rPr>
          <w:rFonts w:ascii="Palatino Linotype" w:eastAsia="Calibri" w:hAnsi="Palatino Linotype" w:cs="Tahoma"/>
          <w:bCs/>
          <w:sz w:val="22"/>
          <w:szCs w:val="22"/>
          <w:lang w:eastAsia="en-US"/>
        </w:rPr>
      </w:pPr>
    </w:p>
    <w:p w14:paraId="30B51C45" w14:textId="18E4522E" w:rsidR="003E357A" w:rsidRDefault="00170658" w:rsidP="00F84CA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Consecuentemente, es necesario proceder a analizar la competencia con la que cuenta el Sujeto Obligado para conocer de la información solicitada y la naturaleza de la misma. </w:t>
      </w:r>
    </w:p>
    <w:p w14:paraId="711C99C6" w14:textId="77777777" w:rsidR="00170658" w:rsidRDefault="00170658" w:rsidP="00F84CAE">
      <w:pPr>
        <w:spacing w:line="360" w:lineRule="auto"/>
        <w:jc w:val="both"/>
        <w:rPr>
          <w:rFonts w:ascii="Palatino Linotype" w:hAnsi="Palatino Linotype" w:cs="Tahoma"/>
          <w:sz w:val="22"/>
          <w:szCs w:val="24"/>
          <w:lang w:val="es-ES"/>
        </w:rPr>
      </w:pPr>
    </w:p>
    <w:p w14:paraId="119B7095" w14:textId="47A597B0" w:rsidR="006B045A" w:rsidRDefault="006B045A" w:rsidP="00F84CAE">
      <w:pPr>
        <w:spacing w:line="360" w:lineRule="auto"/>
        <w:jc w:val="both"/>
        <w:rPr>
          <w:rFonts w:ascii="Palatino Linotype" w:hAnsi="Palatino Linotype" w:cs="Tahoma"/>
          <w:b/>
          <w:sz w:val="22"/>
          <w:szCs w:val="24"/>
          <w:u w:val="single"/>
          <w:lang w:val="es-ES"/>
        </w:rPr>
      </w:pPr>
      <w:r>
        <w:rPr>
          <w:rFonts w:ascii="Palatino Linotype" w:hAnsi="Palatino Linotype" w:cs="Tahoma"/>
          <w:b/>
          <w:sz w:val="22"/>
          <w:szCs w:val="24"/>
          <w:u w:val="single"/>
          <w:lang w:val="es-ES"/>
        </w:rPr>
        <w:t>De la naturaleza de la información solicitada.</w:t>
      </w:r>
    </w:p>
    <w:p w14:paraId="3CA5F7D3" w14:textId="77777777" w:rsidR="006B045A" w:rsidRDefault="006B045A" w:rsidP="00F84CAE">
      <w:pPr>
        <w:spacing w:line="360" w:lineRule="auto"/>
        <w:jc w:val="both"/>
        <w:rPr>
          <w:rFonts w:ascii="Palatino Linotype" w:hAnsi="Palatino Linotype" w:cs="Tahoma"/>
          <w:sz w:val="22"/>
          <w:szCs w:val="24"/>
          <w:lang w:val="es-ES"/>
        </w:rPr>
      </w:pPr>
    </w:p>
    <w:p w14:paraId="018E3110" w14:textId="5575CCA5" w:rsidR="006B045A" w:rsidRDefault="006B045A" w:rsidP="00F84CAE">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En este conte</w:t>
      </w:r>
      <w:r w:rsidRPr="006B045A">
        <w:rPr>
          <w:rFonts w:ascii="Palatino Linotype" w:hAnsi="Palatino Linotype" w:cs="Arial"/>
          <w:sz w:val="22"/>
          <w:szCs w:val="22"/>
          <w:lang w:val="es-ES"/>
        </w:rPr>
        <w:t xml:space="preserve">xto, </w:t>
      </w:r>
      <w:r w:rsidRPr="00BA368C">
        <w:rPr>
          <w:rFonts w:ascii="Palatino Linotype" w:hAnsi="Palatino Linotype" w:cs="Arial"/>
          <w:sz w:val="22"/>
          <w:szCs w:val="22"/>
          <w:lang w:val="es-ES"/>
        </w:rPr>
        <w:t xml:space="preserve">los artículos </w:t>
      </w:r>
      <w:r>
        <w:rPr>
          <w:rFonts w:ascii="Palatino Linotype" w:hAnsi="Palatino Linotype" w:cs="Arial"/>
          <w:sz w:val="22"/>
          <w:szCs w:val="22"/>
          <w:lang w:val="es-ES"/>
        </w:rPr>
        <w:t xml:space="preserve">22, 142, 143, </w:t>
      </w:r>
      <w:r w:rsidRPr="00BA368C">
        <w:rPr>
          <w:rFonts w:ascii="Palatino Linotype" w:hAnsi="Palatino Linotype" w:cs="Arial"/>
          <w:sz w:val="22"/>
          <w:szCs w:val="22"/>
          <w:lang w:val="es-ES"/>
        </w:rPr>
        <w:t>158, 159 y 160 de la Ley de Seguridad del Estado de México mismos que establecen lo siguiente</w:t>
      </w:r>
      <w:r>
        <w:rPr>
          <w:rFonts w:ascii="Palatino Linotype" w:hAnsi="Palatino Linotype" w:cs="Arial"/>
          <w:sz w:val="22"/>
          <w:szCs w:val="22"/>
          <w:lang w:val="es-ES"/>
        </w:rPr>
        <w:t xml:space="preserve">: </w:t>
      </w:r>
    </w:p>
    <w:p w14:paraId="46FCE6D0" w14:textId="77777777" w:rsidR="006B045A" w:rsidRDefault="006B045A" w:rsidP="00F84CAE">
      <w:pPr>
        <w:spacing w:line="360" w:lineRule="auto"/>
        <w:ind w:firstLine="1"/>
        <w:jc w:val="both"/>
        <w:rPr>
          <w:rFonts w:ascii="Palatino Linotype" w:hAnsi="Palatino Linotype" w:cs="Arial"/>
          <w:sz w:val="22"/>
          <w:szCs w:val="22"/>
          <w:lang w:val="es-ES"/>
        </w:rPr>
      </w:pPr>
    </w:p>
    <w:p w14:paraId="6F2FA125" w14:textId="77777777" w:rsidR="006B045A" w:rsidRDefault="006B045A" w:rsidP="00170658">
      <w:pPr>
        <w:spacing w:line="360" w:lineRule="auto"/>
        <w:ind w:left="567" w:right="539" w:firstLine="1"/>
        <w:jc w:val="both"/>
        <w:rPr>
          <w:rFonts w:ascii="Palatino Linotype" w:hAnsi="Palatino Linotype" w:cs="Arial"/>
          <w:i/>
          <w:iCs/>
          <w:lang w:val="es-ES"/>
        </w:rPr>
      </w:pPr>
      <w:r w:rsidRPr="005774E5">
        <w:rPr>
          <w:rFonts w:ascii="Palatino Linotype" w:hAnsi="Palatino Linotype" w:cs="Arial"/>
          <w:b/>
          <w:bCs/>
          <w:i/>
          <w:iCs/>
          <w:lang w:val="es-ES"/>
        </w:rPr>
        <w:t>Artículo 22.</w:t>
      </w:r>
      <w:r w:rsidRPr="005774E5">
        <w:rPr>
          <w:rFonts w:ascii="Palatino Linotype" w:hAnsi="Palatino Linotype" w:cs="Arial"/>
          <w:i/>
          <w:iCs/>
          <w:lang w:val="es-ES"/>
        </w:rPr>
        <w:t>- Son atribuciones del Director de Seguridad Pública Municipal:</w:t>
      </w:r>
    </w:p>
    <w:p w14:paraId="11460965" w14:textId="397DB67A" w:rsidR="006B045A" w:rsidRPr="004C0440" w:rsidRDefault="006B045A" w:rsidP="00170658">
      <w:pPr>
        <w:spacing w:line="360" w:lineRule="auto"/>
        <w:ind w:left="567" w:right="539" w:firstLine="1"/>
        <w:jc w:val="both"/>
        <w:rPr>
          <w:rFonts w:ascii="Palatino Linotype" w:hAnsi="Palatino Linotype" w:cs="Arial"/>
          <w:i/>
          <w:iCs/>
          <w:lang w:val="es-ES"/>
        </w:rPr>
      </w:pPr>
      <w:r>
        <w:rPr>
          <w:rFonts w:ascii="Palatino Linotype" w:hAnsi="Palatino Linotype" w:cs="Arial"/>
          <w:i/>
          <w:iCs/>
          <w:lang w:val="es-ES"/>
        </w:rPr>
        <w:t xml:space="preserve">I a </w:t>
      </w:r>
      <w:r w:rsidR="0094408C">
        <w:rPr>
          <w:rFonts w:ascii="Palatino Linotype" w:hAnsi="Palatino Linotype" w:cs="Arial"/>
          <w:i/>
          <w:iCs/>
          <w:lang w:val="es-ES"/>
        </w:rPr>
        <w:t>VI…</w:t>
      </w:r>
    </w:p>
    <w:p w14:paraId="46E33265" w14:textId="77777777" w:rsidR="006B045A" w:rsidRDefault="006B045A" w:rsidP="00170658">
      <w:pPr>
        <w:spacing w:line="360" w:lineRule="auto"/>
        <w:ind w:left="567" w:right="539" w:firstLine="1"/>
        <w:jc w:val="both"/>
        <w:rPr>
          <w:rFonts w:ascii="Palatino Linotype" w:hAnsi="Palatino Linotype" w:cs="Arial"/>
          <w:i/>
          <w:iCs/>
          <w:lang w:val="es-ES"/>
        </w:rPr>
      </w:pPr>
      <w:r w:rsidRPr="004C0440">
        <w:rPr>
          <w:rFonts w:ascii="Palatino Linotype" w:hAnsi="Palatino Linotype" w:cs="Arial"/>
          <w:i/>
          <w:iCs/>
          <w:lang w:val="es-ES"/>
        </w:rPr>
        <w:t>VII. I</w:t>
      </w:r>
      <w:r w:rsidRPr="0094408C">
        <w:rPr>
          <w:rFonts w:ascii="Palatino Linotype" w:hAnsi="Palatino Linotype" w:cs="Arial"/>
          <w:b/>
          <w:i/>
          <w:iCs/>
          <w:lang w:val="es-ES"/>
        </w:rPr>
        <w:t>nformar a las autoridades competentes sobre los movimientos de altas y</w:t>
      </w:r>
      <w:r w:rsidRPr="004C0440">
        <w:rPr>
          <w:rFonts w:ascii="Palatino Linotype" w:hAnsi="Palatino Linotype" w:cs="Arial"/>
          <w:i/>
          <w:iCs/>
          <w:lang w:val="es-ES"/>
        </w:rPr>
        <w:t xml:space="preserve"> </w:t>
      </w:r>
      <w:r w:rsidRPr="00A3393C">
        <w:rPr>
          <w:rFonts w:ascii="Palatino Linotype" w:hAnsi="Palatino Linotype" w:cs="Arial"/>
          <w:b/>
          <w:bCs/>
          <w:i/>
          <w:iCs/>
          <w:u w:val="single"/>
          <w:lang w:val="es-ES"/>
        </w:rPr>
        <w:t>bajas</w:t>
      </w:r>
      <w:r w:rsidRPr="004C0440">
        <w:rPr>
          <w:rFonts w:ascii="Palatino Linotype" w:hAnsi="Palatino Linotype" w:cs="Arial"/>
          <w:i/>
          <w:iCs/>
          <w:lang w:val="es-ES"/>
        </w:rPr>
        <w:t xml:space="preserve"> de los integrantes</w:t>
      </w:r>
      <w:r>
        <w:rPr>
          <w:rFonts w:ascii="Palatino Linotype" w:hAnsi="Palatino Linotype" w:cs="Arial"/>
          <w:i/>
          <w:iCs/>
          <w:lang w:val="es-ES"/>
        </w:rPr>
        <w:t xml:space="preserve"> </w:t>
      </w:r>
      <w:r w:rsidRPr="004C0440">
        <w:rPr>
          <w:rFonts w:ascii="Palatino Linotype" w:hAnsi="Palatino Linotype" w:cs="Arial"/>
          <w:i/>
          <w:iCs/>
          <w:lang w:val="es-ES"/>
        </w:rPr>
        <w:t>de las instituciones policiales a su cargo, así como de sus vehículos, armamento, municiones y</w:t>
      </w:r>
      <w:r>
        <w:rPr>
          <w:rFonts w:ascii="Palatino Linotype" w:hAnsi="Palatino Linotype" w:cs="Arial"/>
          <w:i/>
          <w:iCs/>
          <w:lang w:val="es-ES"/>
        </w:rPr>
        <w:t xml:space="preserve"> </w:t>
      </w:r>
      <w:r w:rsidRPr="004C0440">
        <w:rPr>
          <w:rFonts w:ascii="Palatino Linotype" w:hAnsi="Palatino Linotype" w:cs="Arial"/>
          <w:i/>
          <w:iCs/>
          <w:lang w:val="es-ES"/>
        </w:rPr>
        <w:t>equipo;</w:t>
      </w:r>
    </w:p>
    <w:p w14:paraId="15112A34" w14:textId="5C0FAF5A" w:rsidR="006B045A" w:rsidRDefault="006B045A" w:rsidP="00170658">
      <w:pPr>
        <w:spacing w:line="360" w:lineRule="auto"/>
        <w:ind w:left="567" w:right="539" w:firstLine="1"/>
        <w:jc w:val="both"/>
        <w:rPr>
          <w:rFonts w:ascii="Palatino Linotype" w:hAnsi="Palatino Linotype" w:cs="Arial"/>
          <w:i/>
          <w:iCs/>
          <w:lang w:val="es-ES"/>
        </w:rPr>
      </w:pPr>
      <w:r>
        <w:rPr>
          <w:rFonts w:ascii="Palatino Linotype" w:hAnsi="Palatino Linotype" w:cs="Arial"/>
          <w:i/>
          <w:iCs/>
          <w:lang w:val="es-ES"/>
        </w:rPr>
        <w:t>XII…</w:t>
      </w:r>
    </w:p>
    <w:p w14:paraId="60C703AF" w14:textId="77777777" w:rsidR="006B045A" w:rsidRDefault="006B045A" w:rsidP="00170658">
      <w:pPr>
        <w:spacing w:line="360" w:lineRule="auto"/>
        <w:ind w:left="567" w:right="539" w:firstLine="1"/>
        <w:jc w:val="both"/>
        <w:rPr>
          <w:rFonts w:ascii="Palatino Linotype" w:hAnsi="Palatino Linotype" w:cs="Arial"/>
          <w:i/>
          <w:iCs/>
          <w:lang w:val="es-ES"/>
        </w:rPr>
      </w:pPr>
    </w:p>
    <w:p w14:paraId="4E8CDABE" w14:textId="77777777" w:rsidR="006B045A" w:rsidRDefault="006B045A" w:rsidP="00170658">
      <w:pPr>
        <w:spacing w:line="360" w:lineRule="auto"/>
        <w:ind w:left="567" w:right="539" w:firstLine="1"/>
        <w:jc w:val="both"/>
        <w:rPr>
          <w:rFonts w:ascii="Palatino Linotype" w:hAnsi="Palatino Linotype"/>
          <w:i/>
          <w:iCs/>
        </w:rPr>
      </w:pPr>
      <w:r w:rsidRPr="00421D44">
        <w:rPr>
          <w:rFonts w:ascii="Palatino Linotype" w:hAnsi="Palatino Linotype"/>
          <w:b/>
          <w:bCs/>
          <w:i/>
          <w:iCs/>
        </w:rPr>
        <w:t>Artículo 142.-</w:t>
      </w:r>
      <w:r w:rsidRPr="00421D44">
        <w:rPr>
          <w:rFonts w:ascii="Palatino Linotype" w:hAnsi="Palatino Linotype"/>
          <w:i/>
          <w:iCs/>
        </w:rPr>
        <w:t xml:space="preserve"> </w:t>
      </w:r>
      <w:r w:rsidRPr="006B045A">
        <w:rPr>
          <w:rFonts w:ascii="Palatino Linotype" w:hAnsi="Palatino Linotype"/>
          <w:b/>
          <w:i/>
          <w:iCs/>
        </w:rPr>
        <w:t>La organización jerárquica</w:t>
      </w:r>
      <w:r w:rsidRPr="00421D44">
        <w:rPr>
          <w:rFonts w:ascii="Palatino Linotype" w:hAnsi="Palatino Linotype"/>
          <w:i/>
          <w:iCs/>
        </w:rPr>
        <w:t xml:space="preserve"> de las Instituciones Policiales, se considerará al menos las categorías siguientes: </w:t>
      </w:r>
    </w:p>
    <w:p w14:paraId="0CB07A4D" w14:textId="77777777" w:rsidR="006B045A" w:rsidRDefault="006B045A" w:rsidP="00170658">
      <w:pPr>
        <w:spacing w:line="360" w:lineRule="auto"/>
        <w:ind w:left="567" w:right="539" w:firstLine="1"/>
        <w:jc w:val="both"/>
        <w:rPr>
          <w:rFonts w:ascii="Palatino Linotype" w:hAnsi="Palatino Linotype"/>
          <w:i/>
          <w:iCs/>
        </w:rPr>
      </w:pPr>
      <w:r w:rsidRPr="00421D44">
        <w:rPr>
          <w:rFonts w:ascii="Palatino Linotype" w:hAnsi="Palatino Linotype"/>
          <w:i/>
          <w:iCs/>
        </w:rPr>
        <w:t xml:space="preserve">I. Comisarios; </w:t>
      </w:r>
    </w:p>
    <w:p w14:paraId="69509631" w14:textId="77777777" w:rsidR="006B045A" w:rsidRDefault="006B045A" w:rsidP="00170658">
      <w:pPr>
        <w:spacing w:line="360" w:lineRule="auto"/>
        <w:ind w:left="567" w:right="539" w:firstLine="1"/>
        <w:jc w:val="both"/>
        <w:rPr>
          <w:rFonts w:ascii="Palatino Linotype" w:hAnsi="Palatino Linotype"/>
          <w:i/>
          <w:iCs/>
        </w:rPr>
      </w:pPr>
      <w:r w:rsidRPr="00421D44">
        <w:rPr>
          <w:rFonts w:ascii="Palatino Linotype" w:hAnsi="Palatino Linotype"/>
          <w:i/>
          <w:iCs/>
        </w:rPr>
        <w:t xml:space="preserve">II. Inspectores; </w:t>
      </w:r>
    </w:p>
    <w:p w14:paraId="539EB4CF" w14:textId="77777777" w:rsidR="006B045A" w:rsidRDefault="006B045A" w:rsidP="00170658">
      <w:pPr>
        <w:spacing w:line="360" w:lineRule="auto"/>
        <w:ind w:left="567" w:right="539" w:firstLine="1"/>
        <w:jc w:val="both"/>
        <w:rPr>
          <w:rFonts w:ascii="Palatino Linotype" w:hAnsi="Palatino Linotype"/>
          <w:i/>
          <w:iCs/>
        </w:rPr>
      </w:pPr>
      <w:r w:rsidRPr="00421D44">
        <w:rPr>
          <w:rFonts w:ascii="Palatino Linotype" w:hAnsi="Palatino Linotype"/>
          <w:i/>
          <w:iCs/>
        </w:rPr>
        <w:t xml:space="preserve">III. Oficiales; y </w:t>
      </w:r>
    </w:p>
    <w:p w14:paraId="0A8B4F54" w14:textId="77777777" w:rsidR="006B045A" w:rsidRPr="00421D44" w:rsidRDefault="006B045A" w:rsidP="00170658">
      <w:pPr>
        <w:spacing w:line="360" w:lineRule="auto"/>
        <w:ind w:left="567" w:right="539" w:firstLine="1"/>
        <w:jc w:val="both"/>
        <w:rPr>
          <w:rFonts w:ascii="Palatino Linotype" w:hAnsi="Palatino Linotype"/>
          <w:i/>
          <w:iCs/>
        </w:rPr>
      </w:pPr>
      <w:r w:rsidRPr="00421D44">
        <w:rPr>
          <w:rFonts w:ascii="Palatino Linotype" w:hAnsi="Palatino Linotype"/>
          <w:i/>
          <w:iCs/>
        </w:rPr>
        <w:t>IV. Escala Básica.</w:t>
      </w:r>
    </w:p>
    <w:p w14:paraId="1D6F1319" w14:textId="77777777" w:rsidR="006B045A" w:rsidRPr="00C3438D" w:rsidRDefault="006B045A" w:rsidP="00170658">
      <w:pPr>
        <w:spacing w:line="360" w:lineRule="auto"/>
        <w:ind w:left="567" w:right="539" w:firstLine="1"/>
        <w:jc w:val="both"/>
        <w:rPr>
          <w:rFonts w:ascii="Palatino Linotype" w:hAnsi="Palatino Linotype"/>
          <w:i/>
          <w:iCs/>
        </w:rPr>
      </w:pPr>
    </w:p>
    <w:p w14:paraId="493C67CB" w14:textId="77777777" w:rsidR="006B045A" w:rsidRDefault="006B045A" w:rsidP="00170658">
      <w:pPr>
        <w:spacing w:line="360" w:lineRule="auto"/>
        <w:ind w:left="567" w:right="539" w:firstLine="1"/>
        <w:jc w:val="both"/>
        <w:rPr>
          <w:rFonts w:ascii="Palatino Linotype" w:hAnsi="Palatino Linotype"/>
          <w:i/>
          <w:iCs/>
        </w:rPr>
      </w:pPr>
      <w:r w:rsidRPr="00C3438D">
        <w:rPr>
          <w:rFonts w:ascii="Palatino Linotype" w:hAnsi="Palatino Linotype"/>
          <w:b/>
          <w:bCs/>
          <w:i/>
          <w:iCs/>
        </w:rPr>
        <w:t>Artículo 143</w:t>
      </w:r>
      <w:r w:rsidRPr="00C3438D">
        <w:rPr>
          <w:rFonts w:ascii="Palatino Linotype" w:hAnsi="Palatino Linotype"/>
          <w:i/>
          <w:iCs/>
        </w:rPr>
        <w:t xml:space="preserve">.- En las Instituciones Policiales </w:t>
      </w:r>
      <w:r w:rsidRPr="006B045A">
        <w:rPr>
          <w:rFonts w:ascii="Palatino Linotype" w:hAnsi="Palatino Linotype"/>
          <w:b/>
          <w:i/>
          <w:iCs/>
        </w:rPr>
        <w:t>las categorías</w:t>
      </w:r>
      <w:r w:rsidRPr="00C3438D">
        <w:rPr>
          <w:rFonts w:ascii="Palatino Linotype" w:hAnsi="Palatino Linotype"/>
          <w:i/>
          <w:iCs/>
        </w:rPr>
        <w:t xml:space="preserve"> previstas en el artículo anterior serán:</w:t>
      </w:r>
    </w:p>
    <w:p w14:paraId="2D66BC0D" w14:textId="6CA16A47" w:rsidR="006B045A" w:rsidRPr="006B045A" w:rsidRDefault="006B045A" w:rsidP="00170658">
      <w:pPr>
        <w:spacing w:line="360" w:lineRule="auto"/>
        <w:ind w:left="567" w:right="539" w:firstLine="1"/>
        <w:jc w:val="both"/>
        <w:rPr>
          <w:rFonts w:ascii="Palatino Linotype" w:hAnsi="Palatino Linotype"/>
          <w:i/>
          <w:iCs/>
        </w:rPr>
      </w:pPr>
      <w:r w:rsidRPr="006B045A">
        <w:rPr>
          <w:rFonts w:ascii="Palatino Linotype" w:hAnsi="Palatino Linotype"/>
          <w:bCs/>
          <w:i/>
          <w:iCs/>
        </w:rPr>
        <w:t xml:space="preserve">I a III… </w:t>
      </w:r>
    </w:p>
    <w:p w14:paraId="59490860" w14:textId="77777777" w:rsidR="006B045A" w:rsidRPr="00C3438D" w:rsidRDefault="006B045A" w:rsidP="00170658">
      <w:pPr>
        <w:spacing w:line="360" w:lineRule="auto"/>
        <w:ind w:left="567" w:right="539" w:firstLine="1"/>
        <w:jc w:val="both"/>
        <w:rPr>
          <w:i/>
          <w:iCs/>
        </w:rPr>
      </w:pPr>
      <w:r w:rsidRPr="00C3438D">
        <w:rPr>
          <w:i/>
          <w:iCs/>
        </w:rPr>
        <w:t xml:space="preserve">IV. Escala Básica: </w:t>
      </w:r>
    </w:p>
    <w:p w14:paraId="61D339EB" w14:textId="77777777" w:rsidR="006B045A" w:rsidRPr="00C3438D" w:rsidRDefault="006B045A" w:rsidP="00170658">
      <w:pPr>
        <w:spacing w:line="360" w:lineRule="auto"/>
        <w:ind w:left="567" w:right="539" w:firstLine="1"/>
        <w:jc w:val="both"/>
        <w:rPr>
          <w:i/>
          <w:iCs/>
        </w:rPr>
      </w:pPr>
      <w:r w:rsidRPr="00C3438D">
        <w:rPr>
          <w:i/>
          <w:iCs/>
        </w:rPr>
        <w:t xml:space="preserve">a) Policía Primero; </w:t>
      </w:r>
    </w:p>
    <w:p w14:paraId="7F61CD8D" w14:textId="77777777" w:rsidR="006B045A" w:rsidRPr="00C3438D" w:rsidRDefault="006B045A" w:rsidP="00170658">
      <w:pPr>
        <w:spacing w:line="360" w:lineRule="auto"/>
        <w:ind w:left="567" w:right="539" w:firstLine="1"/>
        <w:jc w:val="both"/>
        <w:rPr>
          <w:i/>
          <w:iCs/>
        </w:rPr>
      </w:pPr>
      <w:r w:rsidRPr="00C3438D">
        <w:rPr>
          <w:i/>
          <w:iCs/>
        </w:rPr>
        <w:t xml:space="preserve">b) Policía Segundo; </w:t>
      </w:r>
    </w:p>
    <w:p w14:paraId="66178A9D" w14:textId="77777777" w:rsidR="006B045A" w:rsidRPr="00C3438D" w:rsidRDefault="006B045A" w:rsidP="00170658">
      <w:pPr>
        <w:spacing w:line="360" w:lineRule="auto"/>
        <w:ind w:left="567" w:right="539" w:firstLine="1"/>
        <w:jc w:val="both"/>
        <w:rPr>
          <w:i/>
          <w:iCs/>
        </w:rPr>
      </w:pPr>
      <w:r w:rsidRPr="00C3438D">
        <w:rPr>
          <w:i/>
          <w:iCs/>
        </w:rPr>
        <w:t xml:space="preserve">c) Policía Tercero; y </w:t>
      </w:r>
    </w:p>
    <w:p w14:paraId="302D948F" w14:textId="77777777" w:rsidR="006B045A" w:rsidRPr="00C3438D" w:rsidRDefault="006B045A" w:rsidP="00170658">
      <w:pPr>
        <w:spacing w:line="360" w:lineRule="auto"/>
        <w:ind w:left="567" w:right="539" w:firstLine="1"/>
        <w:jc w:val="both"/>
        <w:rPr>
          <w:rFonts w:ascii="Palatino Linotype" w:hAnsi="Palatino Linotype"/>
          <w:i/>
          <w:iCs/>
        </w:rPr>
      </w:pPr>
      <w:r w:rsidRPr="00C3438D">
        <w:rPr>
          <w:i/>
          <w:iCs/>
        </w:rPr>
        <w:t>d) Policía.</w:t>
      </w:r>
    </w:p>
    <w:p w14:paraId="5FA8FE86" w14:textId="77777777" w:rsidR="006B045A" w:rsidRPr="004A0A38" w:rsidRDefault="006B045A" w:rsidP="00170658">
      <w:pPr>
        <w:spacing w:line="360" w:lineRule="auto"/>
        <w:ind w:left="567" w:right="539" w:firstLine="1"/>
        <w:jc w:val="both"/>
        <w:rPr>
          <w:rFonts w:ascii="Palatino Linotype" w:hAnsi="Palatino Linotype" w:cs="Arial"/>
          <w:i/>
          <w:iCs/>
          <w:lang w:val="es-ES"/>
        </w:rPr>
      </w:pPr>
    </w:p>
    <w:p w14:paraId="71394CF1"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158.-</w:t>
      </w:r>
      <w:r w:rsidRPr="003D679B">
        <w:rPr>
          <w:rFonts w:ascii="Palatino Linotype" w:hAnsi="Palatino Linotype"/>
          <w:i/>
          <w:iCs/>
          <w:color w:val="000000"/>
          <w:sz w:val="20"/>
          <w:szCs w:val="20"/>
        </w:rPr>
        <w:t xml:space="preserve"> La conclusión del servicio de un elemento es la terminación de su nombramiento o la cesación de sus efectos legales por las siguientes causas: </w:t>
      </w:r>
    </w:p>
    <w:p w14:paraId="3E49B9D4"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 Separación</w:t>
      </w:r>
      <w:r w:rsidRPr="003D679B">
        <w:rPr>
          <w:rFonts w:ascii="Palatino Linotype" w:hAnsi="Palatino Linotype"/>
          <w:i/>
          <w:iCs/>
          <w:color w:val="000000"/>
          <w:sz w:val="20"/>
          <w:szCs w:val="20"/>
        </w:rPr>
        <w:t xml:space="preserve">, por incumplimiento de cualquiera de los requisitos de permanencia, o cuando en los procesos de promoción concurran las siguientes circunstancias: </w:t>
      </w:r>
    </w:p>
    <w:p w14:paraId="2D6AD2A8"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14:paraId="76204C4C"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b) Que haya alcanzado la edad máxima correspondiente a su jerarquía, de acuerdo con lo establecido en las disposiciones aplicables; y </w:t>
      </w:r>
    </w:p>
    <w:p w14:paraId="501BF492"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c) Que del expediente del integrante no se desprendan méritos suficientes a juicio de las Comisiones para conservar su permanencia. </w:t>
      </w:r>
    </w:p>
    <w:p w14:paraId="5B8273B5"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II. Remoción</w:t>
      </w:r>
      <w:r w:rsidRPr="003D679B">
        <w:rPr>
          <w:rFonts w:ascii="Palatino Linotype" w:hAnsi="Palatino Linotype"/>
          <w:i/>
          <w:iCs/>
          <w:color w:val="000000"/>
          <w:sz w:val="20"/>
          <w:szCs w:val="20"/>
        </w:rPr>
        <w:t xml:space="preserve">, por incurrir en responsabilidad en el desempeño de sus funciones o incumplimiento de sus deberes, de conformidad con las disposiciones relativas al régimen disciplinario; o </w:t>
      </w:r>
    </w:p>
    <w:p w14:paraId="369DCB75"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III. Baja</w:t>
      </w:r>
      <w:r w:rsidRPr="003D679B">
        <w:rPr>
          <w:rFonts w:ascii="Palatino Linotype" w:hAnsi="Palatino Linotype"/>
          <w:i/>
          <w:iCs/>
          <w:color w:val="000000"/>
          <w:sz w:val="20"/>
          <w:szCs w:val="20"/>
        </w:rPr>
        <w:t xml:space="preserve">, por </w:t>
      </w:r>
    </w:p>
    <w:p w14:paraId="5E932623"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 Renuncia; </w:t>
      </w:r>
    </w:p>
    <w:p w14:paraId="4E2AF65D"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b) Muerte o incapacidad permanente; o </w:t>
      </w:r>
    </w:p>
    <w:p w14:paraId="613A2BF8"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c) Jubilación o retiro. </w:t>
      </w:r>
    </w:p>
    <w:p w14:paraId="0FB5AF4D" w14:textId="77777777" w:rsidR="006B045A"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14:paraId="07772A0C" w14:textId="77777777" w:rsidR="006B045A" w:rsidRDefault="006B045A" w:rsidP="00170658">
      <w:pPr>
        <w:pStyle w:val="Prrafodelista"/>
        <w:tabs>
          <w:tab w:val="left" w:pos="567"/>
        </w:tabs>
        <w:spacing w:line="360" w:lineRule="auto"/>
        <w:ind w:left="567" w:right="539"/>
        <w:jc w:val="both"/>
        <w:rPr>
          <w:rFonts w:ascii="Palatino Linotype" w:hAnsi="Palatino Linotype"/>
          <w:b/>
          <w:i/>
          <w:iCs/>
          <w:color w:val="000000"/>
          <w:sz w:val="20"/>
          <w:szCs w:val="20"/>
        </w:rPr>
      </w:pPr>
    </w:p>
    <w:p w14:paraId="4812C728"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I59.-</w:t>
      </w:r>
      <w:r w:rsidRPr="003D679B">
        <w:rPr>
          <w:rFonts w:ascii="Palatino Linotype" w:hAnsi="Palatino Linotype"/>
          <w:i/>
          <w:iCs/>
          <w:color w:val="000000"/>
          <w:sz w:val="20"/>
          <w:szCs w:val="20"/>
        </w:rPr>
        <w:t xml:space="preserve"> Los elementos de las Instituciones Policiales que hayan alcanzado las edades límite para la permanencia, previstas en las disposiciones que los rijan, podrán ser reubicados, a consideración de las instancias, en otras áreas de los servicios de las propias Instituciones.</w:t>
      </w:r>
    </w:p>
    <w:p w14:paraId="136F2D7D" w14:textId="77777777" w:rsidR="006B045A" w:rsidRDefault="006B045A" w:rsidP="00170658">
      <w:pPr>
        <w:pStyle w:val="Prrafodelista"/>
        <w:tabs>
          <w:tab w:val="left" w:pos="567"/>
        </w:tabs>
        <w:spacing w:line="360" w:lineRule="auto"/>
        <w:ind w:left="567" w:right="539"/>
        <w:jc w:val="both"/>
        <w:rPr>
          <w:rFonts w:ascii="Palatino Linotype" w:hAnsi="Palatino Linotype"/>
          <w:b/>
          <w:i/>
          <w:iCs/>
          <w:color w:val="000000"/>
          <w:sz w:val="20"/>
          <w:szCs w:val="20"/>
        </w:rPr>
      </w:pPr>
    </w:p>
    <w:p w14:paraId="2B30D3BA" w14:textId="77777777" w:rsidR="006B045A"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160.-</w:t>
      </w:r>
      <w:r w:rsidRPr="003D679B">
        <w:rPr>
          <w:rFonts w:ascii="Palatino Linotype" w:hAnsi="Palatino Linotype"/>
          <w:i/>
          <w:iCs/>
          <w:color w:val="000000"/>
          <w:sz w:val="20"/>
          <w:szCs w:val="20"/>
        </w:rPr>
        <w:t xml:space="preserve"> </w:t>
      </w:r>
      <w:r w:rsidRPr="006B045A">
        <w:rPr>
          <w:rFonts w:ascii="Palatino Linotype" w:hAnsi="Palatino Linotype"/>
          <w:b/>
          <w:i/>
          <w:iCs/>
          <w:color w:val="000000"/>
          <w:sz w:val="20"/>
          <w:szCs w:val="20"/>
        </w:rPr>
        <w:t>La Comisión de Honor y Justicia</w:t>
      </w:r>
      <w:r w:rsidRPr="003D679B">
        <w:rPr>
          <w:rFonts w:ascii="Palatino Linotype" w:hAnsi="Palatino Linotype"/>
          <w:i/>
          <w:iCs/>
          <w:color w:val="000000"/>
          <w:sz w:val="20"/>
          <w:szCs w:val="20"/>
        </w:rPr>
        <w:t>, es un órgano colegiado que tendrá como atribución llevar a cabo, en el ámbito de su competencia, l</w:t>
      </w:r>
      <w:r w:rsidRPr="006B045A">
        <w:rPr>
          <w:rFonts w:ascii="Palatino Linotype" w:hAnsi="Palatino Linotype"/>
          <w:b/>
          <w:i/>
          <w:iCs/>
          <w:color w:val="000000"/>
          <w:sz w:val="20"/>
          <w:szCs w:val="20"/>
        </w:rPr>
        <w:t>os procedimientos en los que se resuelva la suspensión temporal, separación, remoción, baja</w:t>
      </w:r>
      <w:r w:rsidRPr="003D679B">
        <w:rPr>
          <w:rFonts w:ascii="Palatino Linotype" w:hAnsi="Palatino Linotype"/>
          <w:i/>
          <w:iCs/>
          <w:color w:val="000000"/>
          <w:sz w:val="20"/>
          <w:szCs w:val="20"/>
        </w:rPr>
        <w:t>, cese o cualquier otra forma de terminación del servicio de los elementos policiales de conformidad con lo establecido en el artículo 123, apartado B, fracción XIII de la Constitución Federal y la Ley General, cuando incumplan:</w:t>
      </w:r>
    </w:p>
    <w:p w14:paraId="0B374CB5"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p>
    <w:p w14:paraId="63866FD4"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 I. Con los requisitos de permanencia que se establecen en la Ley General, esta Ley y demás disposiciones legales aplicables;</w:t>
      </w:r>
    </w:p>
    <w:p w14:paraId="377CFB12" w14:textId="77777777" w:rsidR="006B045A" w:rsidRPr="003D679B"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II. Con las obligaciones establecidas en la Ley General, esta Ley y los ordenamientos jurídicos internos que rigen su actuar; y </w:t>
      </w:r>
    </w:p>
    <w:p w14:paraId="50B8C053" w14:textId="77777777" w:rsidR="006B045A"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III. Con el régimen disciplinario establecido en esta Ley. La Comisión de Honor y Justicia implementará una base de datos en la que se registrarán las sanciones impuestas a los integrantes de las </w:t>
      </w:r>
      <w:r>
        <w:rPr>
          <w:rFonts w:ascii="Palatino Linotype" w:hAnsi="Palatino Linotype"/>
          <w:i/>
          <w:iCs/>
          <w:color w:val="000000"/>
          <w:sz w:val="20"/>
          <w:szCs w:val="20"/>
        </w:rPr>
        <w:t>Instituciones Policiales.</w:t>
      </w:r>
    </w:p>
    <w:p w14:paraId="5AB70160" w14:textId="77777777" w:rsidR="006B045A" w:rsidRDefault="006B045A" w:rsidP="00170658">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p>
    <w:p w14:paraId="00CE47D4" w14:textId="429BF24B" w:rsidR="00170658" w:rsidRPr="00170658" w:rsidRDefault="00170658" w:rsidP="00170658">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39BC95D2" w14:textId="77777777" w:rsidR="006B045A" w:rsidRDefault="006B045A" w:rsidP="00F84CAE">
      <w:pPr>
        <w:tabs>
          <w:tab w:val="left" w:pos="567"/>
        </w:tabs>
        <w:spacing w:line="360" w:lineRule="auto"/>
        <w:jc w:val="both"/>
        <w:rPr>
          <w:rFonts w:ascii="Palatino Linotype" w:hAnsi="Palatino Linotype"/>
          <w:i/>
          <w:iCs/>
          <w:color w:val="000000"/>
        </w:rPr>
      </w:pPr>
    </w:p>
    <w:p w14:paraId="6238B7BB" w14:textId="2C92BF19" w:rsidR="00170658" w:rsidRDefault="0094408C"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Derivado de la normatividad antes citada, se aprecia que los Municipios, </w:t>
      </w:r>
      <w:r w:rsidR="00170658">
        <w:rPr>
          <w:rFonts w:ascii="Palatino Linotype" w:hAnsi="Palatino Linotype"/>
          <w:color w:val="000000"/>
          <w:sz w:val="22"/>
          <w:szCs w:val="22"/>
        </w:rPr>
        <w:t>deben contar</w:t>
      </w:r>
      <w:r>
        <w:rPr>
          <w:rFonts w:ascii="Palatino Linotype" w:hAnsi="Palatino Linotype"/>
          <w:color w:val="000000"/>
          <w:sz w:val="22"/>
          <w:szCs w:val="22"/>
        </w:rPr>
        <w:t xml:space="preserve"> con un Titular del área de </w:t>
      </w:r>
      <w:r w:rsidR="00170658">
        <w:rPr>
          <w:rFonts w:ascii="Palatino Linotype" w:hAnsi="Palatino Linotype"/>
          <w:color w:val="000000"/>
          <w:sz w:val="22"/>
          <w:szCs w:val="22"/>
        </w:rPr>
        <w:t>Seguridad</w:t>
      </w:r>
      <w:r>
        <w:rPr>
          <w:rFonts w:ascii="Palatino Linotype" w:hAnsi="Palatino Linotype"/>
          <w:color w:val="000000"/>
          <w:sz w:val="22"/>
          <w:szCs w:val="22"/>
        </w:rPr>
        <w:t xml:space="preserve"> Pública; el cual, entre otras atribuciones, cuenta con la de informar a las autoridades </w:t>
      </w:r>
      <w:r w:rsidR="00170658">
        <w:rPr>
          <w:rFonts w:ascii="Palatino Linotype" w:hAnsi="Palatino Linotype"/>
          <w:color w:val="000000"/>
          <w:sz w:val="22"/>
          <w:szCs w:val="22"/>
        </w:rPr>
        <w:t>competente</w:t>
      </w:r>
      <w:r>
        <w:rPr>
          <w:rFonts w:ascii="Palatino Linotype" w:hAnsi="Palatino Linotype"/>
          <w:color w:val="000000"/>
          <w:sz w:val="22"/>
          <w:szCs w:val="22"/>
        </w:rPr>
        <w:t xml:space="preserve">s </w:t>
      </w:r>
      <w:r w:rsidR="00170658">
        <w:rPr>
          <w:rFonts w:ascii="Palatino Linotype" w:hAnsi="Palatino Linotype"/>
          <w:color w:val="000000"/>
          <w:sz w:val="22"/>
          <w:szCs w:val="22"/>
        </w:rPr>
        <w:t>de los</w:t>
      </w:r>
      <w:r>
        <w:rPr>
          <w:rFonts w:ascii="Palatino Linotype" w:hAnsi="Palatino Linotype"/>
          <w:color w:val="000000"/>
          <w:sz w:val="22"/>
          <w:szCs w:val="22"/>
        </w:rPr>
        <w:t xml:space="preserve"> movimientos de altas y bajas de los elementos que integran las instituciones policiales; </w:t>
      </w:r>
      <w:r w:rsidR="00170658">
        <w:rPr>
          <w:rFonts w:ascii="Palatino Linotype" w:hAnsi="Palatino Linotype"/>
          <w:color w:val="000000"/>
          <w:sz w:val="22"/>
          <w:szCs w:val="22"/>
        </w:rPr>
        <w:t>asimismo, conoce del puesto o categoría de cada elemento de conformidad con la clasificación antes expuesta.</w:t>
      </w:r>
    </w:p>
    <w:p w14:paraId="2C2F45BA" w14:textId="77777777" w:rsidR="00170658" w:rsidRDefault="00170658" w:rsidP="0089144A">
      <w:pPr>
        <w:tabs>
          <w:tab w:val="left" w:pos="567"/>
        </w:tabs>
        <w:spacing w:line="360" w:lineRule="auto"/>
        <w:jc w:val="both"/>
        <w:rPr>
          <w:rFonts w:ascii="Palatino Linotype" w:hAnsi="Palatino Linotype"/>
          <w:color w:val="000000"/>
          <w:sz w:val="22"/>
          <w:szCs w:val="22"/>
        </w:rPr>
      </w:pPr>
    </w:p>
    <w:p w14:paraId="14B9E359" w14:textId="1AC0521E" w:rsidR="00170658" w:rsidRDefault="00170658"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Aunado a ello, se advierte la existencia de la Comisión de Honor y Justicia, que es la encargada de realizar los procedimientos que se llevan a cabo con motivo de suspensiones temporales, remociones y baja del personal que incumple con la normatividad aplicable.</w:t>
      </w:r>
    </w:p>
    <w:p w14:paraId="4A798650" w14:textId="77777777" w:rsidR="00170658" w:rsidRDefault="00170658" w:rsidP="0089144A">
      <w:pPr>
        <w:tabs>
          <w:tab w:val="left" w:pos="567"/>
        </w:tabs>
        <w:spacing w:line="360" w:lineRule="auto"/>
        <w:jc w:val="both"/>
        <w:rPr>
          <w:rFonts w:ascii="Palatino Linotype" w:hAnsi="Palatino Linotype"/>
          <w:color w:val="000000"/>
          <w:sz w:val="22"/>
          <w:szCs w:val="22"/>
        </w:rPr>
      </w:pPr>
    </w:p>
    <w:p w14:paraId="34216E17" w14:textId="29D15C8D" w:rsidR="00EF72C0" w:rsidRDefault="00170658"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Ahora bien, cabe destacar que el Bando Municipal, del </w:t>
      </w:r>
      <w:r w:rsidR="00EF72C0">
        <w:rPr>
          <w:rFonts w:ascii="Palatino Linotype" w:hAnsi="Palatino Linotype"/>
          <w:color w:val="000000"/>
          <w:sz w:val="22"/>
          <w:szCs w:val="22"/>
        </w:rPr>
        <w:t>Sujeto</w:t>
      </w:r>
      <w:r>
        <w:rPr>
          <w:rFonts w:ascii="Palatino Linotype" w:hAnsi="Palatino Linotype"/>
          <w:color w:val="000000"/>
          <w:sz w:val="22"/>
          <w:szCs w:val="22"/>
        </w:rPr>
        <w:t xml:space="preserve"> Obligado, vigente al 2021; ya </w:t>
      </w:r>
      <w:r w:rsidR="00EF72C0" w:rsidRPr="00EF72C0">
        <w:rPr>
          <w:rFonts w:ascii="Palatino Linotype" w:hAnsi="Palatino Linotype"/>
          <w:color w:val="000000"/>
          <w:sz w:val="22"/>
          <w:szCs w:val="22"/>
        </w:rPr>
        <w:t>que</w:t>
      </w:r>
      <w:r w:rsidRPr="00EF72C0">
        <w:rPr>
          <w:rFonts w:ascii="Palatino Linotype" w:hAnsi="Palatino Linotype"/>
          <w:color w:val="000000"/>
          <w:sz w:val="22"/>
          <w:szCs w:val="22"/>
        </w:rPr>
        <w:t xml:space="preserve"> corresponde al año en el que se solicitó la información; véase: </w:t>
      </w:r>
      <w:hyperlink r:id="rId9" w:history="1">
        <w:r w:rsidRPr="00EF72C0">
          <w:rPr>
            <w:rStyle w:val="Hipervnculo"/>
            <w:rFonts w:ascii="Palatino Linotype" w:hAnsi="Palatino Linotype"/>
            <w:sz w:val="22"/>
            <w:szCs w:val="22"/>
          </w:rPr>
          <w:t>https://legislacion.edomex.gob.mx/sites/legislacion.edomex.gob.mx/files/files/pdf/bdo/bdo2021/bdo045.pdf</w:t>
        </w:r>
      </w:hyperlink>
      <w:r w:rsidRPr="00EF72C0">
        <w:rPr>
          <w:rFonts w:ascii="Palatino Linotype" w:hAnsi="Palatino Linotype"/>
          <w:color w:val="000000"/>
          <w:sz w:val="22"/>
          <w:szCs w:val="22"/>
        </w:rPr>
        <w:t>;</w:t>
      </w:r>
      <w:r w:rsidR="00EF72C0">
        <w:rPr>
          <w:rFonts w:ascii="Palatino Linotype" w:hAnsi="Palatino Linotype"/>
          <w:color w:val="000000"/>
          <w:sz w:val="22"/>
          <w:szCs w:val="22"/>
        </w:rPr>
        <w:t xml:space="preserve"> establece, en su artículo 62 la estructura orgánica del Sujeto Obligado, en el que se identifica a la </w:t>
      </w:r>
      <w:r w:rsidR="00EF72C0" w:rsidRPr="00EF72C0">
        <w:rPr>
          <w:rFonts w:ascii="Palatino Linotype" w:hAnsi="Palatino Linotype"/>
          <w:color w:val="000000"/>
          <w:sz w:val="22"/>
          <w:szCs w:val="22"/>
        </w:rPr>
        <w:t>Comisaría de Seguridad Ciudadana, Vialidad, Protección Civil y Bomberos</w:t>
      </w:r>
      <w:r w:rsidR="00EF72C0">
        <w:rPr>
          <w:rFonts w:ascii="Palatino Linotype" w:hAnsi="Palatino Linotype"/>
          <w:color w:val="000000"/>
          <w:sz w:val="22"/>
          <w:szCs w:val="22"/>
        </w:rPr>
        <w:t>, a la Dirección de Administración y como Órgano Auxiliar a la Comisión de Honor y Justifica.</w:t>
      </w:r>
    </w:p>
    <w:p w14:paraId="50344DDD" w14:textId="09AF1CBE" w:rsidR="00170658" w:rsidRDefault="00170658" w:rsidP="0089144A">
      <w:pPr>
        <w:tabs>
          <w:tab w:val="left" w:pos="567"/>
        </w:tabs>
        <w:spacing w:line="360" w:lineRule="auto"/>
        <w:jc w:val="both"/>
        <w:rPr>
          <w:rFonts w:ascii="Palatino Linotype" w:hAnsi="Palatino Linotype"/>
          <w:color w:val="000000"/>
          <w:sz w:val="22"/>
          <w:szCs w:val="22"/>
        </w:rPr>
      </w:pPr>
    </w:p>
    <w:p w14:paraId="1DEE50A2" w14:textId="38E0C0D6" w:rsidR="00EF72C0" w:rsidRDefault="00EF72C0"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Del Bando Municipal en mención, su artículo 148, prevé las atribuciones con las que cuenta la </w:t>
      </w:r>
      <w:r w:rsidRPr="00EF72C0">
        <w:rPr>
          <w:rFonts w:ascii="Palatino Linotype" w:hAnsi="Palatino Linotype"/>
          <w:color w:val="000000"/>
          <w:sz w:val="22"/>
          <w:szCs w:val="22"/>
        </w:rPr>
        <w:t>Comisaría de Seguridad Ciudadana, Vialidad, Protección Civil y Bomberos</w:t>
      </w:r>
      <w:r>
        <w:rPr>
          <w:rFonts w:ascii="Palatino Linotype" w:hAnsi="Palatino Linotype"/>
          <w:color w:val="000000"/>
          <w:sz w:val="22"/>
          <w:szCs w:val="22"/>
        </w:rPr>
        <w:t>; dentro de las cuales destacan las dispuestas en las fracciones IX y XII, que a la letra señalan:</w:t>
      </w:r>
    </w:p>
    <w:p w14:paraId="54E94980" w14:textId="77777777" w:rsidR="00EF72C0" w:rsidRDefault="00EF72C0" w:rsidP="0089144A">
      <w:pPr>
        <w:tabs>
          <w:tab w:val="left" w:pos="567"/>
        </w:tabs>
        <w:spacing w:line="360" w:lineRule="auto"/>
        <w:jc w:val="both"/>
        <w:rPr>
          <w:rFonts w:ascii="Palatino Linotype" w:hAnsi="Palatino Linotype"/>
          <w:color w:val="000000"/>
          <w:sz w:val="22"/>
          <w:szCs w:val="22"/>
        </w:rPr>
      </w:pPr>
    </w:p>
    <w:p w14:paraId="61D53BF8" w14:textId="6F240BE5" w:rsidR="00565245" w:rsidRPr="00EF72C0" w:rsidRDefault="00EF72C0" w:rsidP="0089144A">
      <w:pPr>
        <w:tabs>
          <w:tab w:val="left" w:pos="567"/>
        </w:tabs>
        <w:spacing w:line="360" w:lineRule="auto"/>
        <w:ind w:left="567"/>
        <w:jc w:val="both"/>
        <w:rPr>
          <w:rFonts w:ascii="Palatino Linotype" w:hAnsi="Palatino Linotype"/>
          <w:i/>
          <w:color w:val="000000"/>
        </w:rPr>
      </w:pPr>
      <w:r w:rsidRPr="00EF72C0">
        <w:rPr>
          <w:rFonts w:ascii="Palatino Linotype" w:hAnsi="Palatino Linotype"/>
          <w:b/>
          <w:i/>
          <w:color w:val="000000"/>
        </w:rPr>
        <w:t>ARTÍCULO 148.-</w:t>
      </w:r>
      <w:r w:rsidRPr="00EF72C0">
        <w:rPr>
          <w:rFonts w:ascii="Palatino Linotype" w:hAnsi="Palatino Linotype"/>
          <w:i/>
          <w:color w:val="000000"/>
        </w:rPr>
        <w:t xml:space="preserve"> Las atribuciones de la Comisaría General de Seguridad Ciudadana, Protección Civil y Bomberos de Jaltenco, serán ejercidas por su Titular, a quien se le denominara Comisario, para el cumplimiento de las mismas tendrá las siguientes facultades, ellas independientemente de las contenidas en las demás disposiciones legales o reglamentarias aplicables a la materia:</w:t>
      </w:r>
    </w:p>
    <w:p w14:paraId="21E6F3CE" w14:textId="18C22590" w:rsidR="00EF72C0" w:rsidRPr="00EF72C0" w:rsidRDefault="00EF72C0" w:rsidP="0089144A">
      <w:pPr>
        <w:tabs>
          <w:tab w:val="left" w:pos="567"/>
        </w:tabs>
        <w:spacing w:line="360" w:lineRule="auto"/>
        <w:ind w:left="567"/>
        <w:jc w:val="both"/>
        <w:rPr>
          <w:rFonts w:ascii="Palatino Linotype" w:hAnsi="Palatino Linotype"/>
          <w:b/>
          <w:i/>
          <w:color w:val="000000"/>
        </w:rPr>
      </w:pPr>
      <w:r w:rsidRPr="00EF72C0">
        <w:rPr>
          <w:rFonts w:ascii="Palatino Linotype" w:hAnsi="Palatino Linotype"/>
          <w:b/>
          <w:i/>
          <w:color w:val="000000"/>
        </w:rPr>
        <w:t>I al VIII…</w:t>
      </w:r>
    </w:p>
    <w:p w14:paraId="3423E9A6" w14:textId="18431061" w:rsidR="00EF72C0" w:rsidRPr="00EF72C0" w:rsidRDefault="00EF72C0" w:rsidP="0089144A">
      <w:pPr>
        <w:tabs>
          <w:tab w:val="left" w:pos="567"/>
        </w:tabs>
        <w:spacing w:line="360" w:lineRule="auto"/>
        <w:ind w:left="567"/>
        <w:jc w:val="both"/>
        <w:rPr>
          <w:rFonts w:ascii="Palatino Linotype" w:hAnsi="Palatino Linotype"/>
          <w:i/>
          <w:color w:val="000000"/>
        </w:rPr>
      </w:pPr>
      <w:r w:rsidRPr="00EF72C0">
        <w:rPr>
          <w:rFonts w:ascii="Palatino Linotype" w:hAnsi="Palatino Linotype"/>
          <w:b/>
          <w:i/>
          <w:color w:val="000000"/>
        </w:rPr>
        <w:t xml:space="preserve">IX. Mantener actualizada la base de datos del personal operativo </w:t>
      </w:r>
      <w:r w:rsidRPr="00EF72C0">
        <w:rPr>
          <w:rFonts w:ascii="Palatino Linotype" w:hAnsi="Palatino Linotype"/>
          <w:i/>
          <w:color w:val="000000"/>
        </w:rPr>
        <w:t>y administrativo de la Comisaría de Seguridad Ciudadana, Vialidad, Protección Civil y Bomberos;</w:t>
      </w:r>
    </w:p>
    <w:p w14:paraId="6F0F8B75" w14:textId="3B7B2779" w:rsidR="00EF72C0" w:rsidRPr="00EF72C0" w:rsidRDefault="00EF72C0" w:rsidP="0089144A">
      <w:pPr>
        <w:tabs>
          <w:tab w:val="left" w:pos="567"/>
        </w:tabs>
        <w:spacing w:line="360" w:lineRule="auto"/>
        <w:ind w:left="567"/>
        <w:jc w:val="both"/>
        <w:rPr>
          <w:rFonts w:ascii="Palatino Linotype" w:hAnsi="Palatino Linotype"/>
          <w:i/>
          <w:color w:val="000000"/>
        </w:rPr>
      </w:pPr>
      <w:r w:rsidRPr="00EF72C0">
        <w:rPr>
          <w:rFonts w:ascii="Palatino Linotype" w:hAnsi="Palatino Linotype"/>
          <w:i/>
          <w:color w:val="000000"/>
        </w:rPr>
        <w:t>X al XI…</w:t>
      </w:r>
    </w:p>
    <w:p w14:paraId="5FD827FC" w14:textId="1B4C883C" w:rsidR="00EF72C0" w:rsidRPr="00EF72C0" w:rsidRDefault="00EF72C0" w:rsidP="0089144A">
      <w:pPr>
        <w:tabs>
          <w:tab w:val="left" w:pos="567"/>
        </w:tabs>
        <w:spacing w:line="360" w:lineRule="auto"/>
        <w:ind w:left="567"/>
        <w:jc w:val="both"/>
        <w:rPr>
          <w:rFonts w:ascii="Palatino Linotype" w:hAnsi="Palatino Linotype"/>
          <w:i/>
          <w:color w:val="000000"/>
        </w:rPr>
      </w:pPr>
      <w:r w:rsidRPr="00EF72C0">
        <w:rPr>
          <w:rFonts w:ascii="Palatino Linotype" w:hAnsi="Palatino Linotype"/>
          <w:b/>
          <w:i/>
          <w:color w:val="000000"/>
        </w:rPr>
        <w:t>XII. Informar a las autoridades correspondiente</w:t>
      </w:r>
      <w:r w:rsidRPr="00EF72C0">
        <w:rPr>
          <w:rFonts w:ascii="Palatino Linotype" w:hAnsi="Palatino Linotype"/>
          <w:i/>
          <w:color w:val="000000"/>
        </w:rPr>
        <w:t xml:space="preserve">s, para efecto del </w:t>
      </w:r>
      <w:r w:rsidRPr="00EF72C0">
        <w:rPr>
          <w:rFonts w:ascii="Palatino Linotype" w:hAnsi="Palatino Linotype"/>
          <w:b/>
          <w:i/>
          <w:color w:val="000000"/>
        </w:rPr>
        <w:t>Registro Estatal de Seguridad Pública, sobre los movimientos de altas y bajas de los miembros del cuerpo de seguridad pública municipal</w:t>
      </w:r>
      <w:r w:rsidRPr="00EF72C0">
        <w:rPr>
          <w:rFonts w:ascii="Palatino Linotype" w:hAnsi="Palatino Linotype"/>
          <w:i/>
          <w:color w:val="000000"/>
        </w:rPr>
        <w:t>, así como de sus vehículos, armamento, municiones y equipo, para los efectos de coordinación con el Sistema Nacional de Seguridad Pública;</w:t>
      </w:r>
    </w:p>
    <w:p w14:paraId="621327A8" w14:textId="7D277DBC" w:rsidR="00EF72C0" w:rsidRDefault="00EF72C0" w:rsidP="0089144A">
      <w:pPr>
        <w:tabs>
          <w:tab w:val="left" w:pos="567"/>
        </w:tabs>
        <w:spacing w:line="360" w:lineRule="auto"/>
        <w:ind w:left="567"/>
        <w:jc w:val="both"/>
        <w:rPr>
          <w:rFonts w:ascii="Palatino Linotype" w:hAnsi="Palatino Linotype"/>
          <w:i/>
          <w:color w:val="000000"/>
        </w:rPr>
      </w:pPr>
      <w:r w:rsidRPr="00EF72C0">
        <w:rPr>
          <w:rFonts w:ascii="Palatino Linotype" w:hAnsi="Palatino Linotype"/>
          <w:i/>
          <w:color w:val="000000"/>
        </w:rPr>
        <w:t>XIII al XV…</w:t>
      </w:r>
    </w:p>
    <w:p w14:paraId="05207B80" w14:textId="77777777" w:rsidR="00EF72C0" w:rsidRPr="00341AC3" w:rsidRDefault="00EF72C0" w:rsidP="0089144A">
      <w:pPr>
        <w:spacing w:line="360" w:lineRule="auto"/>
        <w:ind w:lef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116CE1D4" w14:textId="05436258" w:rsidR="00EF72C0" w:rsidRPr="00EF72C0" w:rsidRDefault="00EF72C0" w:rsidP="0089144A">
      <w:pPr>
        <w:tabs>
          <w:tab w:val="left" w:pos="567"/>
        </w:tabs>
        <w:spacing w:line="360" w:lineRule="auto"/>
        <w:ind w:left="567"/>
        <w:jc w:val="both"/>
        <w:rPr>
          <w:rFonts w:ascii="Palatino Linotype" w:hAnsi="Palatino Linotype"/>
          <w:i/>
          <w:color w:val="000000"/>
        </w:rPr>
      </w:pPr>
    </w:p>
    <w:p w14:paraId="629587D0" w14:textId="4D4AFA8B" w:rsidR="0089144A" w:rsidRDefault="0089144A"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Derivado del artículo anterior, es dable concluir que la C</w:t>
      </w:r>
      <w:r w:rsidRPr="00EF72C0">
        <w:rPr>
          <w:rFonts w:ascii="Palatino Linotype" w:hAnsi="Palatino Linotype"/>
          <w:color w:val="000000"/>
          <w:sz w:val="22"/>
          <w:szCs w:val="22"/>
        </w:rPr>
        <w:t>omisaría de Seguridad Ciudadana, Vialidad, Protección Civil y Bomberos</w:t>
      </w:r>
      <w:r>
        <w:rPr>
          <w:rFonts w:ascii="Palatino Linotype" w:hAnsi="Palatino Linotype"/>
          <w:color w:val="000000"/>
          <w:sz w:val="22"/>
          <w:szCs w:val="22"/>
        </w:rPr>
        <w:t>, es competente para conocer de la información solicitada, aún más se encuentra obligada normativamente a mantera actualizada una base de datos del personal operativo, lo que involucra su alta y baja en el servicio público; asimismo debe dar cuenta a las diversas autoridades de los movimientos en el personal operativo.</w:t>
      </w:r>
    </w:p>
    <w:p w14:paraId="7D79A4EE" w14:textId="77777777" w:rsidR="0089144A" w:rsidRDefault="0089144A" w:rsidP="0089144A">
      <w:pPr>
        <w:tabs>
          <w:tab w:val="left" w:pos="567"/>
        </w:tabs>
        <w:spacing w:line="360" w:lineRule="auto"/>
        <w:jc w:val="both"/>
        <w:rPr>
          <w:rFonts w:ascii="Palatino Linotype" w:hAnsi="Palatino Linotype"/>
          <w:color w:val="000000"/>
          <w:sz w:val="22"/>
          <w:szCs w:val="22"/>
        </w:rPr>
      </w:pPr>
    </w:p>
    <w:p w14:paraId="507A8A9A" w14:textId="1636E805" w:rsidR="0089144A" w:rsidRDefault="0089144A"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Asimismo, el Bando Municipal en análisis, también prevé en su artículo 102 las facultades de la Dirección de Administración; dentro de las cuales, destacan las descritas en las fracciones I, II, IV y V, que a la letra disponen:</w:t>
      </w:r>
    </w:p>
    <w:p w14:paraId="6FD218D1" w14:textId="77777777" w:rsidR="0089144A" w:rsidRDefault="0089144A" w:rsidP="0089144A">
      <w:pPr>
        <w:tabs>
          <w:tab w:val="left" w:pos="567"/>
        </w:tabs>
        <w:spacing w:line="360" w:lineRule="auto"/>
        <w:jc w:val="both"/>
        <w:rPr>
          <w:rFonts w:ascii="Palatino Linotype" w:hAnsi="Palatino Linotype"/>
          <w:color w:val="000000"/>
          <w:sz w:val="22"/>
          <w:szCs w:val="22"/>
        </w:rPr>
      </w:pPr>
    </w:p>
    <w:p w14:paraId="57170727" w14:textId="491A9CBC" w:rsidR="0089144A" w:rsidRPr="0089144A" w:rsidRDefault="0089144A" w:rsidP="0089144A">
      <w:pPr>
        <w:tabs>
          <w:tab w:val="left" w:pos="567"/>
        </w:tabs>
        <w:spacing w:line="360" w:lineRule="auto"/>
        <w:ind w:left="567" w:right="539"/>
        <w:jc w:val="center"/>
        <w:rPr>
          <w:rFonts w:ascii="Palatino Linotype" w:hAnsi="Palatino Linotype"/>
          <w:b/>
          <w:i/>
          <w:color w:val="000000"/>
        </w:rPr>
      </w:pPr>
      <w:r w:rsidRPr="0089144A">
        <w:rPr>
          <w:rFonts w:ascii="Palatino Linotype" w:hAnsi="Palatino Linotype"/>
          <w:b/>
          <w:i/>
          <w:color w:val="000000"/>
        </w:rPr>
        <w:t>DE LA DIRECCIÓN DE ADMINISTRACIÓN</w:t>
      </w:r>
    </w:p>
    <w:p w14:paraId="52E1F79F" w14:textId="77777777" w:rsid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b/>
          <w:i/>
          <w:color w:val="000000"/>
        </w:rPr>
        <w:t>ARTÍCULO 102.-</w:t>
      </w:r>
      <w:r w:rsidRPr="0089144A">
        <w:rPr>
          <w:rFonts w:ascii="Palatino Linotype" w:hAnsi="Palatino Linotype"/>
          <w:i/>
          <w:color w:val="000000"/>
        </w:rPr>
        <w:t xml:space="preserve"> L</w:t>
      </w:r>
      <w:r w:rsidRPr="0089144A">
        <w:rPr>
          <w:rFonts w:ascii="Palatino Linotype" w:hAnsi="Palatino Linotype"/>
          <w:b/>
          <w:i/>
          <w:color w:val="000000"/>
        </w:rPr>
        <w:t>a Dirección de Administración es la unidad administrativa responsable de proveer los bienes y recursos humano</w:t>
      </w:r>
      <w:r w:rsidRPr="0089144A">
        <w:rPr>
          <w:rFonts w:ascii="Palatino Linotype" w:hAnsi="Palatino Linotype"/>
          <w:i/>
          <w:color w:val="000000"/>
        </w:rPr>
        <w:t xml:space="preserve">s, materiales, informáticos y servicios generales a las diversas áreas que conforman la Administración Pública Municipal, para garantizar que se cumplan los fines del gobierno municipal. </w:t>
      </w:r>
    </w:p>
    <w:p w14:paraId="1CFBB297" w14:textId="77777777" w:rsidR="0089144A" w:rsidRPr="0089144A" w:rsidRDefault="0089144A" w:rsidP="0089144A">
      <w:pPr>
        <w:tabs>
          <w:tab w:val="left" w:pos="567"/>
        </w:tabs>
        <w:spacing w:line="360" w:lineRule="auto"/>
        <w:ind w:left="567" w:right="539"/>
        <w:jc w:val="both"/>
        <w:rPr>
          <w:rFonts w:ascii="Palatino Linotype" w:hAnsi="Palatino Linotype"/>
          <w:i/>
          <w:color w:val="000000"/>
        </w:rPr>
      </w:pPr>
    </w:p>
    <w:p w14:paraId="65801C17" w14:textId="41E5641B" w:rsid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i/>
          <w:color w:val="000000"/>
        </w:rPr>
        <w:t xml:space="preserve">Las atribuciones de la Dirección de Administración, serán ejercidas por su Titular, para el cumplimiento de las mismas tendrá </w:t>
      </w:r>
      <w:r w:rsidRPr="0089144A">
        <w:rPr>
          <w:rFonts w:ascii="Palatino Linotype" w:hAnsi="Palatino Linotype"/>
          <w:b/>
          <w:i/>
          <w:color w:val="000000"/>
        </w:rPr>
        <w:t>las siguientes facultade</w:t>
      </w:r>
      <w:r w:rsidRPr="0089144A">
        <w:rPr>
          <w:rFonts w:ascii="Palatino Linotype" w:hAnsi="Palatino Linotype"/>
          <w:i/>
          <w:color w:val="000000"/>
        </w:rPr>
        <w:t>s, ellas independientemente de las contenidas en las demás disposiciones legales o reglamentarias aplicables a la materia:</w:t>
      </w:r>
    </w:p>
    <w:p w14:paraId="7EFEF99B" w14:textId="77777777" w:rsidR="0089144A" w:rsidRPr="0089144A" w:rsidRDefault="0089144A" w:rsidP="0089144A">
      <w:pPr>
        <w:tabs>
          <w:tab w:val="left" w:pos="567"/>
        </w:tabs>
        <w:spacing w:line="360" w:lineRule="auto"/>
        <w:ind w:left="567" w:right="539"/>
        <w:jc w:val="both"/>
        <w:rPr>
          <w:rFonts w:ascii="Palatino Linotype" w:hAnsi="Palatino Linotype"/>
          <w:i/>
          <w:color w:val="000000"/>
        </w:rPr>
      </w:pPr>
    </w:p>
    <w:p w14:paraId="1D8816FF" w14:textId="343BB77A" w:rsidR="0089144A" w:rsidRP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b/>
          <w:i/>
          <w:color w:val="000000"/>
        </w:rPr>
        <w:t>I. Planear y administrar los recursos humanos</w:t>
      </w:r>
      <w:r w:rsidRPr="0089144A">
        <w:rPr>
          <w:rFonts w:ascii="Palatino Linotype" w:hAnsi="Palatino Linotype"/>
          <w:i/>
          <w:color w:val="000000"/>
        </w:rPr>
        <w:t>, materiales y los servicios de la Administración Pública Municipal; II. Reclutar, seleccionar, contratar y asignar previa autorización del ejecutivo el personal, en base a los perfiles y necesidades que las diversas dependencias de la Administración Pública Municipal requieran, para cumplir de manera eficaz y eficiente con sus funciones, llevando el registro del mismo;</w:t>
      </w:r>
    </w:p>
    <w:p w14:paraId="71FA9D75" w14:textId="5D8412EF" w:rsidR="0089144A" w:rsidRP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i/>
          <w:color w:val="000000"/>
        </w:rPr>
        <w:t>III…</w:t>
      </w:r>
    </w:p>
    <w:p w14:paraId="2ED73411" w14:textId="515A8E0A" w:rsidR="0089144A" w:rsidRP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b/>
          <w:i/>
          <w:color w:val="000000"/>
        </w:rPr>
        <w:t xml:space="preserve">IV. Realizar los movimientos de </w:t>
      </w:r>
      <w:r w:rsidRPr="0089144A">
        <w:rPr>
          <w:rFonts w:ascii="Palatino Linotype" w:hAnsi="Palatino Linotype"/>
          <w:i/>
          <w:color w:val="000000"/>
        </w:rPr>
        <w:t>altas,</w:t>
      </w:r>
      <w:r w:rsidRPr="0089144A">
        <w:rPr>
          <w:rFonts w:ascii="Palatino Linotype" w:hAnsi="Palatino Linotype"/>
          <w:b/>
          <w:i/>
          <w:color w:val="000000"/>
        </w:rPr>
        <w:t xml:space="preserve"> bajas </w:t>
      </w:r>
      <w:r w:rsidRPr="0089144A">
        <w:rPr>
          <w:rFonts w:ascii="Palatino Linotype" w:hAnsi="Palatino Linotype"/>
          <w:i/>
          <w:color w:val="000000"/>
        </w:rPr>
        <w:t xml:space="preserve">y cambios de adscripción </w:t>
      </w:r>
      <w:r w:rsidRPr="0089144A">
        <w:rPr>
          <w:rFonts w:ascii="Palatino Linotype" w:hAnsi="Palatino Linotype"/>
          <w:b/>
          <w:i/>
          <w:color w:val="000000"/>
        </w:rPr>
        <w:t>del personal del Municipio;</w:t>
      </w:r>
    </w:p>
    <w:p w14:paraId="1A0804D4" w14:textId="20BCFC9F" w:rsidR="0089144A" w:rsidRP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b/>
          <w:i/>
          <w:color w:val="000000"/>
        </w:rPr>
        <w:t xml:space="preserve">V. Autorizar, controlar, registrar y validar </w:t>
      </w:r>
      <w:r w:rsidRPr="0089144A">
        <w:rPr>
          <w:rFonts w:ascii="Palatino Linotype" w:hAnsi="Palatino Linotype"/>
          <w:i/>
          <w:color w:val="000000"/>
        </w:rPr>
        <w:t xml:space="preserve">la asistencia, remociones, </w:t>
      </w:r>
      <w:r w:rsidRPr="0089144A">
        <w:rPr>
          <w:rFonts w:ascii="Palatino Linotype" w:hAnsi="Palatino Linotype"/>
          <w:b/>
          <w:i/>
          <w:color w:val="000000"/>
        </w:rPr>
        <w:t>renuncias</w:t>
      </w:r>
      <w:r w:rsidRPr="0089144A">
        <w:rPr>
          <w:rFonts w:ascii="Palatino Linotype" w:hAnsi="Palatino Linotype"/>
          <w:i/>
          <w:color w:val="000000"/>
        </w:rPr>
        <w:t xml:space="preserve">, cambios de adscripción, promociones, incapacidades, vacaciones, días no laborables </w:t>
      </w:r>
      <w:r w:rsidRPr="0089144A">
        <w:rPr>
          <w:rFonts w:ascii="Palatino Linotype" w:hAnsi="Palatino Linotype"/>
          <w:b/>
          <w:i/>
          <w:color w:val="000000"/>
        </w:rPr>
        <w:t>y demás incidencias relacionadas con los servidores públicos municipales,</w:t>
      </w:r>
      <w:r w:rsidRPr="0089144A">
        <w:rPr>
          <w:rFonts w:ascii="Palatino Linotype" w:hAnsi="Palatino Linotype"/>
          <w:i/>
          <w:color w:val="000000"/>
        </w:rPr>
        <w:t xml:space="preserve"> así como autorizar las licencias sindicales, con base en el convenio sindical vigente, de conformidad con las necesidades de la Administración Pública Municipal;</w:t>
      </w:r>
    </w:p>
    <w:p w14:paraId="0D34236D" w14:textId="39BD9A91" w:rsidR="0089144A" w:rsidRDefault="0089144A" w:rsidP="0089144A">
      <w:pPr>
        <w:tabs>
          <w:tab w:val="left" w:pos="567"/>
        </w:tabs>
        <w:spacing w:line="360" w:lineRule="auto"/>
        <w:ind w:left="567" w:right="539"/>
        <w:jc w:val="both"/>
        <w:rPr>
          <w:rFonts w:ascii="Palatino Linotype" w:hAnsi="Palatino Linotype"/>
          <w:i/>
          <w:color w:val="000000"/>
        </w:rPr>
      </w:pPr>
      <w:r w:rsidRPr="0089144A">
        <w:rPr>
          <w:rFonts w:ascii="Palatino Linotype" w:hAnsi="Palatino Linotype"/>
          <w:i/>
          <w:color w:val="000000"/>
        </w:rPr>
        <w:t>VI al XXI…</w:t>
      </w:r>
    </w:p>
    <w:p w14:paraId="20A78EBD" w14:textId="77777777" w:rsidR="0089144A" w:rsidRPr="00341AC3" w:rsidRDefault="0089144A" w:rsidP="005526B1">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16BABCB3" w14:textId="5424BE5B" w:rsidR="0089144A" w:rsidRPr="0089144A" w:rsidRDefault="0089144A" w:rsidP="0089144A">
      <w:pPr>
        <w:tabs>
          <w:tab w:val="left" w:pos="567"/>
        </w:tabs>
        <w:spacing w:line="360" w:lineRule="auto"/>
        <w:ind w:left="567" w:right="539"/>
        <w:jc w:val="both"/>
        <w:rPr>
          <w:rFonts w:ascii="Palatino Linotype" w:hAnsi="Palatino Linotype"/>
          <w:i/>
          <w:color w:val="000000"/>
        </w:rPr>
      </w:pPr>
    </w:p>
    <w:p w14:paraId="08E705B6" w14:textId="6C380A9A" w:rsidR="0089144A" w:rsidRDefault="0089144A"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De las facultades con las que cuenta la Dirección de Administración, se advierte, que también, puede contar con la información solicitada, pues es la encargada de administrar el personal que labora para el Sujeto Obligado y debe registrar y realizar los movimientos del personal, incluyendo las bajas. </w:t>
      </w:r>
    </w:p>
    <w:p w14:paraId="7FDD28B2" w14:textId="77777777" w:rsidR="00094F89" w:rsidRDefault="00094F89" w:rsidP="0089144A">
      <w:pPr>
        <w:tabs>
          <w:tab w:val="left" w:pos="567"/>
        </w:tabs>
        <w:spacing w:line="360" w:lineRule="auto"/>
        <w:jc w:val="both"/>
        <w:rPr>
          <w:rFonts w:ascii="Palatino Linotype" w:hAnsi="Palatino Linotype"/>
          <w:color w:val="000000"/>
          <w:sz w:val="22"/>
          <w:szCs w:val="22"/>
        </w:rPr>
      </w:pPr>
    </w:p>
    <w:p w14:paraId="6D3C885D" w14:textId="48DCAEE6" w:rsidR="002E3D64" w:rsidRDefault="002E3D64"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El Bando Municipal en mención, también prevé en su artículo 156 las facultades con las que cuenta la Comisión de Honor y Justicia, que a la letra menciona:</w:t>
      </w:r>
    </w:p>
    <w:p w14:paraId="2A3B8DC2" w14:textId="77777777" w:rsidR="002E3D64" w:rsidRDefault="002E3D64" w:rsidP="0089144A">
      <w:pPr>
        <w:tabs>
          <w:tab w:val="left" w:pos="567"/>
        </w:tabs>
        <w:spacing w:line="360" w:lineRule="auto"/>
        <w:jc w:val="both"/>
        <w:rPr>
          <w:rFonts w:ascii="Palatino Linotype" w:hAnsi="Palatino Linotype"/>
          <w:color w:val="000000"/>
          <w:sz w:val="22"/>
          <w:szCs w:val="22"/>
        </w:rPr>
      </w:pPr>
    </w:p>
    <w:p w14:paraId="7A9FE899" w14:textId="77777777" w:rsidR="002E3D64" w:rsidRPr="002E3D64"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b/>
          <w:i/>
          <w:color w:val="000000"/>
        </w:rPr>
        <w:t>ARTÍCULO 156.</w:t>
      </w:r>
      <w:r w:rsidRPr="002E3D64">
        <w:rPr>
          <w:rFonts w:ascii="Palatino Linotype" w:hAnsi="Palatino Linotype"/>
          <w:i/>
          <w:color w:val="000000"/>
        </w:rPr>
        <w:t xml:space="preserve">- </w:t>
      </w:r>
      <w:r w:rsidRPr="002E3D64">
        <w:rPr>
          <w:rFonts w:ascii="Palatino Linotype" w:hAnsi="Palatino Linotype"/>
          <w:b/>
          <w:i/>
          <w:color w:val="000000"/>
        </w:rPr>
        <w:t>La Comisión de Honor y Justicia</w:t>
      </w:r>
      <w:r w:rsidRPr="002E3D64">
        <w:rPr>
          <w:rFonts w:ascii="Palatino Linotype" w:hAnsi="Palatino Linotype"/>
          <w:i/>
          <w:color w:val="000000"/>
        </w:rPr>
        <w:t xml:space="preserve"> tendrá las siguientes facultades: </w:t>
      </w:r>
    </w:p>
    <w:p w14:paraId="36DFB85C" w14:textId="77777777" w:rsidR="002E3D64" w:rsidRPr="002E3D64"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i/>
          <w:color w:val="000000"/>
        </w:rPr>
        <w:t xml:space="preserve">I. Dictar las sanciones que deban imponerse a los elementos infractores, por los actos u omisiones que impliquen una falta a sus obligaciones, deberes, prohibiciones, requisitos de permanencia y las demás que las normas aplicables establezcan </w:t>
      </w:r>
    </w:p>
    <w:p w14:paraId="165B21FC" w14:textId="77777777" w:rsidR="002E3D64" w:rsidRPr="002E3D64"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i/>
          <w:color w:val="000000"/>
        </w:rPr>
        <w:t xml:space="preserve">II. Poner a disposición de las autoridades competentes los casos en que un elemento de Seguridad Pública deba ser consignado por presumírsele responsable en la comisión de un delito; </w:t>
      </w:r>
    </w:p>
    <w:p w14:paraId="6E0AFAF2" w14:textId="77777777" w:rsidR="002E3D64" w:rsidRPr="002E3D64"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i/>
          <w:color w:val="000000"/>
        </w:rPr>
        <w:t xml:space="preserve">III.- Conocer de las denuncias ciudadanas por actos u omisiones de los elementos de Seguridad Pública, que impliquen una falta a las disposiciones del régimen disciplinario previstas en la ley de seguridad del estado de México y el presente reglamento; </w:t>
      </w:r>
    </w:p>
    <w:p w14:paraId="4EDB6123" w14:textId="77777777" w:rsidR="002E3D64" w:rsidRPr="002E3D64"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i/>
          <w:color w:val="000000"/>
        </w:rPr>
        <w:t xml:space="preserve">IV.-Acordar las notas que hayan de asentarse en el expediente del infractor; </w:t>
      </w:r>
    </w:p>
    <w:p w14:paraId="60129AE7" w14:textId="77777777" w:rsidR="002E3D64" w:rsidRPr="002E3D64"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i/>
          <w:color w:val="000000"/>
        </w:rPr>
        <w:t xml:space="preserve">V.- Coadyuvar con la comisión municipal de carrera policial en la aplicación de las evaluaciones del desempeño a los elementos de la corporación de forma anual en cumplimiento a las disposiciones que establece la ley general del sistema nacional de seguridad pública; y </w:t>
      </w:r>
    </w:p>
    <w:p w14:paraId="626F3371" w14:textId="44CD7DEA" w:rsidR="00094F89" w:rsidRDefault="002E3D64" w:rsidP="002E3D64">
      <w:pPr>
        <w:tabs>
          <w:tab w:val="left" w:pos="567"/>
        </w:tabs>
        <w:spacing w:line="360" w:lineRule="auto"/>
        <w:ind w:left="567" w:right="539"/>
        <w:jc w:val="both"/>
        <w:rPr>
          <w:rFonts w:ascii="Palatino Linotype" w:hAnsi="Palatino Linotype"/>
          <w:i/>
          <w:color w:val="000000"/>
        </w:rPr>
      </w:pPr>
      <w:r w:rsidRPr="002E3D64">
        <w:rPr>
          <w:rFonts w:ascii="Palatino Linotype" w:hAnsi="Palatino Linotype"/>
          <w:i/>
          <w:color w:val="000000"/>
        </w:rPr>
        <w:t>VI.-las demás que establezcan las normas aplicables en materia de seguridad pública.</w:t>
      </w:r>
    </w:p>
    <w:p w14:paraId="07228ACC" w14:textId="77777777" w:rsidR="002E3D64" w:rsidRPr="00341AC3" w:rsidRDefault="002E3D64" w:rsidP="005526B1">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6FE1EC48" w14:textId="30960AA1" w:rsidR="002E3D64" w:rsidRPr="002E3D64" w:rsidRDefault="002E3D64" w:rsidP="002E3D64">
      <w:pPr>
        <w:tabs>
          <w:tab w:val="left" w:pos="567"/>
        </w:tabs>
        <w:spacing w:line="360" w:lineRule="auto"/>
        <w:ind w:left="567" w:right="539"/>
        <w:jc w:val="both"/>
        <w:rPr>
          <w:rFonts w:ascii="Palatino Linotype" w:hAnsi="Palatino Linotype"/>
          <w:i/>
          <w:color w:val="000000"/>
        </w:rPr>
      </w:pPr>
    </w:p>
    <w:p w14:paraId="5F155CC7" w14:textId="18B36370" w:rsidR="00094F89" w:rsidRDefault="002E3D64" w:rsidP="0089144A">
      <w:pPr>
        <w:tabs>
          <w:tab w:val="left" w:pos="567"/>
        </w:tabs>
        <w:spacing w:line="360" w:lineRule="auto"/>
        <w:jc w:val="both"/>
        <w:rPr>
          <w:rFonts w:ascii="Palatino Linotype" w:hAnsi="Palatino Linotype"/>
          <w:color w:val="000000"/>
          <w:sz w:val="22"/>
          <w:szCs w:val="22"/>
        </w:rPr>
      </w:pPr>
      <w:r>
        <w:rPr>
          <w:rFonts w:ascii="Palatino Linotype" w:hAnsi="Palatino Linotype"/>
          <w:color w:val="000000"/>
          <w:sz w:val="22"/>
          <w:szCs w:val="22"/>
        </w:rPr>
        <w:t>En atención a los artículos citados previamente, es posible concluir que el Sujeto Obligado resulta competente para conocer de la información solicitada y que, esta puede obrar en los archivos que integran tanto a C</w:t>
      </w:r>
      <w:r w:rsidRPr="00EF72C0">
        <w:rPr>
          <w:rFonts w:ascii="Palatino Linotype" w:hAnsi="Palatino Linotype"/>
          <w:color w:val="000000"/>
          <w:sz w:val="22"/>
          <w:szCs w:val="22"/>
        </w:rPr>
        <w:t>omisaría de Seguridad Ciudadana, Vialidad, Protección Civil y Bomberos</w:t>
      </w:r>
      <w:r>
        <w:rPr>
          <w:rFonts w:ascii="Palatino Linotype" w:hAnsi="Palatino Linotype"/>
          <w:color w:val="000000"/>
          <w:sz w:val="22"/>
          <w:szCs w:val="22"/>
        </w:rPr>
        <w:t xml:space="preserve">, como la Dirección de Administración; por lo que el Sujeto Obligado </w:t>
      </w:r>
      <w:r w:rsidR="000F3365">
        <w:rPr>
          <w:rFonts w:ascii="Palatino Linotype" w:hAnsi="Palatino Linotype"/>
          <w:color w:val="000000"/>
          <w:sz w:val="22"/>
          <w:szCs w:val="22"/>
        </w:rPr>
        <w:t>deberá</w:t>
      </w:r>
      <w:r>
        <w:rPr>
          <w:rFonts w:ascii="Palatino Linotype" w:hAnsi="Palatino Linotype"/>
          <w:color w:val="000000"/>
          <w:sz w:val="22"/>
          <w:szCs w:val="22"/>
        </w:rPr>
        <w:t xml:space="preserve"> realizar la búsqueda exhaustiva y razonable en todas las áreas competentes</w:t>
      </w:r>
      <w:r w:rsidR="000F3365">
        <w:rPr>
          <w:rFonts w:ascii="Palatino Linotype" w:hAnsi="Palatino Linotype"/>
          <w:color w:val="000000"/>
          <w:sz w:val="22"/>
          <w:szCs w:val="22"/>
        </w:rPr>
        <w:t>.</w:t>
      </w:r>
    </w:p>
    <w:p w14:paraId="51951941" w14:textId="77777777" w:rsidR="00094F89" w:rsidRDefault="00094F89" w:rsidP="0089144A">
      <w:pPr>
        <w:tabs>
          <w:tab w:val="left" w:pos="567"/>
        </w:tabs>
        <w:spacing w:line="360" w:lineRule="auto"/>
        <w:jc w:val="both"/>
        <w:rPr>
          <w:rFonts w:ascii="Palatino Linotype" w:hAnsi="Palatino Linotype"/>
          <w:color w:val="000000"/>
          <w:sz w:val="22"/>
          <w:szCs w:val="22"/>
        </w:rPr>
      </w:pPr>
    </w:p>
    <w:p w14:paraId="1301AA80" w14:textId="11528541" w:rsidR="009D30F1" w:rsidRPr="00033B8E" w:rsidRDefault="000F3365" w:rsidP="0089144A">
      <w:pPr>
        <w:spacing w:line="360" w:lineRule="auto"/>
        <w:jc w:val="both"/>
        <w:rPr>
          <w:rFonts w:ascii="Palatino Linotype" w:hAnsi="Palatino Linotype" w:cs="Tahoma"/>
          <w:bCs/>
          <w:sz w:val="22"/>
          <w:szCs w:val="22"/>
        </w:rPr>
      </w:pPr>
      <w:r>
        <w:rPr>
          <w:rFonts w:ascii="Palatino Linotype" w:hAnsi="Palatino Linotype" w:cs="Tahoma"/>
          <w:sz w:val="22"/>
          <w:szCs w:val="22"/>
          <w:lang w:val="es-ES"/>
        </w:rPr>
        <w:t>A</w:t>
      </w:r>
      <w:r w:rsidR="009D30F1" w:rsidRPr="00033B8E">
        <w:rPr>
          <w:rFonts w:ascii="Palatino Linotype" w:hAnsi="Palatino Linotype" w:cs="Tahoma"/>
          <w:sz w:val="22"/>
          <w:szCs w:val="22"/>
          <w:lang w:val="es-ES"/>
        </w:rPr>
        <w:t>sí</w:t>
      </w:r>
      <w:r w:rsidR="009D30F1" w:rsidRPr="00033B8E">
        <w:rPr>
          <w:rFonts w:ascii="Palatino Linotype" w:hAnsi="Palatino Linotype" w:cs="Tahoma"/>
          <w:bCs/>
          <w:sz w:val="22"/>
          <w:szCs w:val="22"/>
        </w:rPr>
        <w:t xml:space="preserve">, es necesario hacer referencia </w:t>
      </w:r>
      <w:r w:rsidR="009D30F1" w:rsidRPr="00033B8E">
        <w:rPr>
          <w:rFonts w:ascii="Palatino Linotype" w:hAnsi="Palatino Linotype" w:cs="Tahoma"/>
          <w:sz w:val="22"/>
          <w:szCs w:val="22"/>
        </w:rPr>
        <w:t xml:space="preserve">al </w:t>
      </w:r>
      <w:r w:rsidR="009D30F1" w:rsidRPr="00033B8E">
        <w:rPr>
          <w:rFonts w:ascii="Palatino Linotype" w:hAnsi="Palatino Linotype" w:cs="Tahoma"/>
          <w:b/>
          <w:sz w:val="22"/>
          <w:szCs w:val="22"/>
        </w:rPr>
        <w:t>procedimiento de búsqueda que deben de seguir los Sujetos Obligados para localizar la información</w:t>
      </w:r>
      <w:r w:rsidR="009D30F1" w:rsidRPr="00033B8E">
        <w:rPr>
          <w:rFonts w:ascii="Palatino Linotype" w:hAnsi="Palatino Linotype" w:cs="Tahoma"/>
          <w:sz w:val="22"/>
          <w:szCs w:val="22"/>
        </w:rPr>
        <w:t>, el cual se encuentra previsto en los artículos</w:t>
      </w:r>
      <w:r w:rsidR="009D30F1"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41F6A95F" w14:textId="77777777" w:rsidR="009D30F1" w:rsidRPr="00033B8E" w:rsidRDefault="009D30F1" w:rsidP="009D30F1">
      <w:pPr>
        <w:spacing w:line="360" w:lineRule="auto"/>
        <w:jc w:val="both"/>
        <w:rPr>
          <w:rFonts w:ascii="Palatino Linotype" w:hAnsi="Palatino Linotype" w:cs="Tahoma"/>
          <w:bCs/>
          <w:iCs/>
          <w:sz w:val="22"/>
          <w:szCs w:val="22"/>
        </w:rPr>
      </w:pPr>
    </w:p>
    <w:p w14:paraId="2ECC762F" w14:textId="77777777" w:rsidR="009D30F1" w:rsidRPr="00033B8E" w:rsidRDefault="009D30F1" w:rsidP="009D30F1">
      <w:pPr>
        <w:numPr>
          <w:ilvl w:val="0"/>
          <w:numId w:val="34"/>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4DEA64A" w14:textId="77777777" w:rsidR="009D30F1" w:rsidRPr="00033B8E" w:rsidRDefault="009D30F1" w:rsidP="009D30F1">
      <w:pPr>
        <w:spacing w:line="360" w:lineRule="auto"/>
        <w:jc w:val="both"/>
        <w:rPr>
          <w:rFonts w:ascii="Palatino Linotype" w:hAnsi="Palatino Linotype" w:cs="Tahoma"/>
          <w:bCs/>
          <w:iCs/>
          <w:sz w:val="22"/>
          <w:szCs w:val="22"/>
          <w:lang w:val="es-ES"/>
        </w:rPr>
      </w:pPr>
    </w:p>
    <w:p w14:paraId="1C9E4E16" w14:textId="77777777" w:rsidR="009D30F1" w:rsidRPr="00033B8E" w:rsidRDefault="009D30F1" w:rsidP="009D30F1">
      <w:pPr>
        <w:numPr>
          <w:ilvl w:val="0"/>
          <w:numId w:val="34"/>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026565F" w14:textId="77777777" w:rsidR="009D30F1" w:rsidRPr="00033B8E" w:rsidRDefault="009D30F1" w:rsidP="009D30F1">
      <w:pPr>
        <w:spacing w:line="360" w:lineRule="auto"/>
        <w:jc w:val="both"/>
        <w:rPr>
          <w:rFonts w:ascii="Palatino Linotype" w:hAnsi="Palatino Linotype" w:cs="Tahoma"/>
          <w:bCs/>
          <w:iCs/>
          <w:sz w:val="22"/>
          <w:szCs w:val="22"/>
        </w:rPr>
      </w:pPr>
    </w:p>
    <w:p w14:paraId="59CC2CB6" w14:textId="42E9B0DD" w:rsidR="009D30F1" w:rsidRDefault="00544985" w:rsidP="009D30F1">
      <w:pPr>
        <w:spacing w:line="360" w:lineRule="auto"/>
        <w:ind w:firstLine="1"/>
        <w:jc w:val="both"/>
        <w:rPr>
          <w:rFonts w:ascii="Palatino Linotype" w:eastAsia="Calibri" w:hAnsi="Palatino Linotype" w:cs="Tahoma"/>
          <w:iCs/>
          <w:sz w:val="22"/>
          <w:szCs w:val="22"/>
          <w:lang w:val="es-ES" w:eastAsia="es-ES_tradnl"/>
        </w:rPr>
      </w:pPr>
      <w:r>
        <w:rPr>
          <w:rFonts w:ascii="Palatino Linotype" w:hAnsi="Palatino Linotype" w:cs="Tahoma"/>
          <w:bCs/>
          <w:iCs/>
          <w:sz w:val="22"/>
          <w:szCs w:val="22"/>
        </w:rPr>
        <w:t>Así pues</w:t>
      </w:r>
      <w:r w:rsidR="009D30F1">
        <w:rPr>
          <w:rFonts w:ascii="Palatino Linotype" w:hAnsi="Palatino Linotype" w:cs="Tahoma"/>
          <w:bCs/>
          <w:iCs/>
          <w:sz w:val="22"/>
          <w:szCs w:val="22"/>
        </w:rPr>
        <w:t xml:space="preserve">, </w:t>
      </w:r>
      <w:r w:rsidR="009D30F1" w:rsidRPr="00033B8E">
        <w:rPr>
          <w:rFonts w:ascii="Palatino Linotype" w:hAnsi="Palatino Linotype" w:cs="Tahoma"/>
          <w:bCs/>
          <w:iCs/>
          <w:sz w:val="22"/>
          <w:szCs w:val="22"/>
        </w:rPr>
        <w:t>el Ente Recurrido</w:t>
      </w:r>
      <w:r w:rsidR="009D30F1">
        <w:rPr>
          <w:rFonts w:ascii="Palatino Linotype" w:hAnsi="Palatino Linotype" w:cs="Tahoma"/>
          <w:bCs/>
          <w:iCs/>
          <w:sz w:val="22"/>
          <w:szCs w:val="22"/>
        </w:rPr>
        <w:t xml:space="preserve"> deberá de proporcionar los documentos de los que se desprenda lo que el Particular solicitó, ello</w:t>
      </w:r>
      <w:r w:rsidR="009D30F1" w:rsidRPr="009100C0">
        <w:rPr>
          <w:rFonts w:ascii="Palatino Linotype" w:hAnsi="Palatino Linotype" w:cs="Tahoma"/>
          <w:sz w:val="22"/>
          <w:szCs w:val="24"/>
        </w:rPr>
        <w:t xml:space="preserve"> en virtud de que </w:t>
      </w:r>
      <w:r w:rsidR="009D30F1"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sidR="009D30F1">
        <w:rPr>
          <w:rFonts w:ascii="Palatino Linotype" w:eastAsia="Calibri" w:hAnsi="Palatino Linotype" w:cs="Tahoma"/>
          <w:bCs/>
          <w:iCs/>
          <w:sz w:val="22"/>
          <w:szCs w:val="22"/>
          <w:lang w:eastAsia="es-ES_tradnl"/>
        </w:rPr>
        <w:t xml:space="preserve">ya </w:t>
      </w:r>
      <w:r w:rsidR="009D30F1"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009D30F1" w:rsidRPr="00401946">
        <w:rPr>
          <w:rFonts w:ascii="Palatino Linotype" w:eastAsia="Calibri" w:hAnsi="Palatino Linotype" w:cs="Tahoma"/>
          <w:i/>
          <w:iCs/>
          <w:sz w:val="22"/>
          <w:szCs w:val="22"/>
          <w:lang w:val="es-ES" w:eastAsia="es-ES_tradnl"/>
        </w:rPr>
        <w:t>Ad hoc,</w:t>
      </w:r>
      <w:r w:rsidR="009D30F1" w:rsidRPr="00401946">
        <w:rPr>
          <w:rFonts w:ascii="Palatino Linotype" w:eastAsia="Calibri" w:hAnsi="Palatino Linotype" w:cs="Tahoma"/>
          <w:iCs/>
          <w:sz w:val="22"/>
          <w:szCs w:val="22"/>
          <w:lang w:val="es-ES" w:eastAsia="es-ES_tradnl"/>
        </w:rPr>
        <w:t xml:space="preserve"> tal y como lo solicitó el Particular</w:t>
      </w:r>
      <w:r w:rsidR="009D30F1">
        <w:rPr>
          <w:rFonts w:ascii="Palatino Linotype" w:eastAsia="Calibri" w:hAnsi="Palatino Linotype" w:cs="Tahoma"/>
          <w:iCs/>
          <w:sz w:val="22"/>
          <w:szCs w:val="22"/>
          <w:lang w:val="es-ES" w:eastAsia="es-ES_tradnl"/>
        </w:rPr>
        <w:t>.</w:t>
      </w:r>
    </w:p>
    <w:p w14:paraId="08DC36C9" w14:textId="77777777" w:rsidR="009D30F1" w:rsidRDefault="009D30F1" w:rsidP="009D30F1">
      <w:pPr>
        <w:spacing w:line="360" w:lineRule="auto"/>
        <w:ind w:firstLine="1"/>
        <w:jc w:val="both"/>
        <w:rPr>
          <w:rFonts w:ascii="Palatino Linotype" w:eastAsia="Calibri" w:hAnsi="Palatino Linotype" w:cs="Tahoma"/>
          <w:iCs/>
          <w:sz w:val="22"/>
          <w:szCs w:val="22"/>
          <w:lang w:val="es-ES" w:eastAsia="es-ES_tradnl"/>
        </w:rPr>
      </w:pPr>
    </w:p>
    <w:p w14:paraId="07B7CCA2" w14:textId="1C08E3B1" w:rsidR="000F3365" w:rsidRDefault="009D30F1" w:rsidP="009D30F1">
      <w:pPr>
        <w:pBdr>
          <w:top w:val="nil"/>
          <w:left w:val="nil"/>
          <w:bottom w:val="nil"/>
          <w:right w:val="nil"/>
          <w:between w:val="nil"/>
        </w:pBdr>
        <w:spacing w:line="360" w:lineRule="auto"/>
        <w:ind w:right="49"/>
        <w:jc w:val="both"/>
        <w:rPr>
          <w:rFonts w:ascii="Palatino Linotype" w:eastAsia="Calibri" w:hAnsi="Palatino Linotype" w:cs="Tahoma"/>
          <w:bCs/>
          <w:color w:val="000000"/>
          <w:sz w:val="22"/>
          <w:szCs w:val="22"/>
          <w:lang w:eastAsia="en-US"/>
        </w:rPr>
      </w:pPr>
      <w:r>
        <w:rPr>
          <w:rFonts w:ascii="Palatino Linotype" w:eastAsia="Calibri" w:hAnsi="Palatino Linotype" w:cs="Tahoma"/>
          <w:iCs/>
          <w:sz w:val="22"/>
          <w:szCs w:val="22"/>
          <w:lang w:val="es-ES" w:eastAsia="es-ES_tradnl"/>
        </w:rPr>
        <w:t xml:space="preserve">Incluso, </w:t>
      </w:r>
      <w:r w:rsidRPr="008A6ABF">
        <w:rPr>
          <w:rFonts w:ascii="Palatino Linotype" w:eastAsia="Palatino Linotype" w:hAnsi="Palatino Linotype" w:cs="Palatino Linotype"/>
          <w:color w:val="000000"/>
          <w:sz w:val="22"/>
          <w:szCs w:val="22"/>
        </w:rPr>
        <w:t xml:space="preserve">de manera enunciativa más no limitativa, este </w:t>
      </w:r>
      <w:r w:rsidR="000F3365">
        <w:rPr>
          <w:rFonts w:ascii="Palatino Linotype" w:eastAsia="Palatino Linotype" w:hAnsi="Palatino Linotype" w:cs="Palatino Linotype"/>
          <w:color w:val="000000"/>
          <w:sz w:val="22"/>
          <w:szCs w:val="22"/>
        </w:rPr>
        <w:t>Organismo Garante</w:t>
      </w:r>
      <w:r w:rsidRPr="008A6ABF">
        <w:rPr>
          <w:rFonts w:ascii="Palatino Linotype" w:eastAsia="Palatino Linotype" w:hAnsi="Palatino Linotype" w:cs="Palatino Linotype"/>
          <w:color w:val="000000"/>
          <w:sz w:val="22"/>
          <w:szCs w:val="22"/>
        </w:rPr>
        <w:t xml:space="preserve"> advierte que uno de los documentos que pudieran colmar la solicitud de información formulada por el </w:t>
      </w:r>
      <w:r>
        <w:rPr>
          <w:rFonts w:ascii="Palatino Linotype" w:eastAsia="Palatino Linotype" w:hAnsi="Palatino Linotype" w:cs="Palatino Linotype"/>
          <w:color w:val="000000"/>
          <w:sz w:val="22"/>
          <w:szCs w:val="22"/>
        </w:rPr>
        <w:t>P</w:t>
      </w:r>
      <w:r w:rsidRPr="008A6ABF">
        <w:rPr>
          <w:rFonts w:ascii="Palatino Linotype" w:eastAsia="Palatino Linotype" w:hAnsi="Palatino Linotype" w:cs="Palatino Linotype"/>
          <w:color w:val="000000"/>
          <w:sz w:val="22"/>
          <w:szCs w:val="22"/>
        </w:rPr>
        <w:t>articular, sería el formato de baja y alta,</w:t>
      </w:r>
      <w:r w:rsidR="000F3365">
        <w:rPr>
          <w:rFonts w:ascii="Palatino Linotype" w:eastAsia="Palatino Linotype" w:hAnsi="Palatino Linotype" w:cs="Palatino Linotype"/>
          <w:color w:val="000000"/>
          <w:sz w:val="22"/>
          <w:szCs w:val="22"/>
        </w:rPr>
        <w:t xml:space="preserve"> que forma parte de los instrumentos que se entregan al </w:t>
      </w:r>
      <w:r w:rsidR="000F3365" w:rsidRPr="000F3365">
        <w:rPr>
          <w:rFonts w:ascii="Palatino Linotype" w:eastAsia="Calibri" w:hAnsi="Palatino Linotype" w:cs="Tahoma"/>
          <w:bCs/>
          <w:color w:val="000000"/>
          <w:sz w:val="22"/>
          <w:szCs w:val="22"/>
          <w:lang w:eastAsia="en-US"/>
        </w:rPr>
        <w:t xml:space="preserve">Órgano Superior de Fiscalización del Estado de México (OSFEM) </w:t>
      </w:r>
      <w:r w:rsidR="000F3365">
        <w:rPr>
          <w:rFonts w:ascii="Palatino Linotype" w:eastAsia="Calibri" w:hAnsi="Palatino Linotype" w:cs="Tahoma"/>
          <w:bCs/>
          <w:color w:val="000000"/>
          <w:sz w:val="22"/>
          <w:szCs w:val="22"/>
          <w:lang w:eastAsia="en-US"/>
        </w:rPr>
        <w:t>para su fiscalización.</w:t>
      </w:r>
    </w:p>
    <w:p w14:paraId="4B97DD12" w14:textId="77777777" w:rsidR="000F3365" w:rsidRDefault="000F3365" w:rsidP="009D30F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02198CBF" w14:textId="67AC0B1F" w:rsidR="000F3365" w:rsidRDefault="000F3365" w:rsidP="000F3365">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Al respecto,</w:t>
      </w:r>
      <w:r w:rsidRPr="006B5CC9">
        <w:rPr>
          <w:rFonts w:ascii="Palatino Linotype" w:hAnsi="Palatino Linotype" w:cs="Tahoma"/>
          <w:bCs/>
          <w:sz w:val="22"/>
          <w:szCs w:val="22"/>
        </w:rPr>
        <w:t xml:space="preserve"> </w:t>
      </w:r>
      <w:r w:rsidRPr="00BF427B">
        <w:rPr>
          <w:rFonts w:ascii="Palatino Linotype" w:hAnsi="Palatino Linotype" w:cs="Tahoma"/>
          <w:bCs/>
          <w:sz w:val="22"/>
          <w:szCs w:val="22"/>
        </w:rPr>
        <w:t xml:space="preserve">el artículo 32 de la Ley de Fiscalización Superior del Estado de México, </w:t>
      </w:r>
      <w:r>
        <w:rPr>
          <w:rFonts w:ascii="Palatino Linotype" w:hAnsi="Palatino Linotype" w:cs="Tahoma"/>
          <w:bCs/>
          <w:sz w:val="22"/>
          <w:szCs w:val="22"/>
        </w:rPr>
        <w:t>establece la obligación por parte de los Entes Municipales de permitir la fiscalización de sus gastos, a través de informes trimestrales.</w:t>
      </w:r>
    </w:p>
    <w:p w14:paraId="711D0A1A" w14:textId="77777777" w:rsidR="000F3365" w:rsidRDefault="000F3365" w:rsidP="009D30F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4FC79D2D" w14:textId="213DD8F7" w:rsidR="000F3365" w:rsidRDefault="000F3365" w:rsidP="009D30F1">
      <w:pPr>
        <w:pBdr>
          <w:top w:val="nil"/>
          <w:left w:val="nil"/>
          <w:bottom w:val="nil"/>
          <w:right w:val="nil"/>
          <w:between w:val="nil"/>
        </w:pBdr>
        <w:spacing w:line="360" w:lineRule="auto"/>
        <w:ind w:right="49"/>
        <w:jc w:val="both"/>
        <w:rPr>
          <w:rFonts w:ascii="Palatino Linotype" w:eastAsia="Calibri" w:hAnsi="Palatino Linotype" w:cs="Tahoma"/>
          <w:bCs/>
          <w:iCs/>
          <w:sz w:val="22"/>
          <w:szCs w:val="22"/>
          <w:lang w:val="es-ES" w:eastAsia="es-ES_tradnl"/>
        </w:rPr>
      </w:pPr>
      <w:r>
        <w:rPr>
          <w:rFonts w:ascii="Palatino Linotype" w:eastAsia="Palatino Linotype" w:hAnsi="Palatino Linotype" w:cs="Palatino Linotype"/>
          <w:color w:val="000000"/>
          <w:sz w:val="22"/>
          <w:szCs w:val="22"/>
        </w:rPr>
        <w:t xml:space="preserve">En este tenor, para el caso de los ejercicios fiscales 2016 al 2020, el </w:t>
      </w:r>
      <w:r w:rsidRPr="000F3365">
        <w:rPr>
          <w:rFonts w:ascii="Palatino Linotype" w:eastAsia="Calibri" w:hAnsi="Palatino Linotype" w:cs="Tahoma"/>
          <w:bCs/>
          <w:color w:val="000000"/>
          <w:sz w:val="22"/>
          <w:szCs w:val="22"/>
          <w:lang w:eastAsia="en-US"/>
        </w:rPr>
        <w:t>Órgano Superior de Fiscalizaci</w:t>
      </w:r>
      <w:r>
        <w:rPr>
          <w:rFonts w:ascii="Palatino Linotype" w:eastAsia="Calibri" w:hAnsi="Palatino Linotype" w:cs="Tahoma"/>
          <w:bCs/>
          <w:color w:val="000000"/>
          <w:sz w:val="22"/>
          <w:szCs w:val="22"/>
          <w:lang w:eastAsia="en-US"/>
        </w:rPr>
        <w:t>ón del Estado de México (OSFEM)</w:t>
      </w:r>
      <w:r>
        <w:rPr>
          <w:rFonts w:ascii="Palatino Linotype" w:eastAsia="Palatino Linotype" w:hAnsi="Palatino Linotype" w:cs="Palatino Linotype"/>
          <w:color w:val="000000"/>
          <w:sz w:val="22"/>
          <w:szCs w:val="22"/>
        </w:rPr>
        <w:t xml:space="preserve"> emitió </w:t>
      </w:r>
      <w:r w:rsidR="009D30F1" w:rsidRPr="008A6ABF">
        <w:rPr>
          <w:rFonts w:ascii="Palatino Linotype" w:eastAsia="Palatino Linotype" w:hAnsi="Palatino Linotype" w:cs="Palatino Linotype"/>
          <w:color w:val="000000"/>
          <w:sz w:val="22"/>
          <w:szCs w:val="22"/>
        </w:rPr>
        <w:t>los Lineamientos para la Entrega de los Informes  Mensuales y Trimestrales de los Municipios,</w:t>
      </w:r>
      <w:r>
        <w:rPr>
          <w:rFonts w:ascii="Palatino Linotype" w:eastAsia="Palatino Linotype" w:hAnsi="Palatino Linotype" w:cs="Palatino Linotype"/>
          <w:color w:val="000000"/>
          <w:sz w:val="22"/>
          <w:szCs w:val="22"/>
        </w:rPr>
        <w:t xml:space="preserve"> y para el año 2021 </w:t>
      </w:r>
      <w:r>
        <w:rPr>
          <w:rFonts w:ascii="Palatino Linotype" w:eastAsia="Calibri" w:hAnsi="Palatino Linotype" w:cs="Tahoma"/>
          <w:bCs/>
          <w:iCs/>
          <w:sz w:val="22"/>
          <w:szCs w:val="22"/>
          <w:lang w:val="es-ES" w:eastAsia="es-ES_tradnl"/>
        </w:rPr>
        <w:t xml:space="preserve">un instructivo para la </w:t>
      </w:r>
      <w:r w:rsidRPr="00BF427B">
        <w:rPr>
          <w:rFonts w:ascii="Palatino Linotype" w:eastAsia="Calibri" w:hAnsi="Palatino Linotype" w:cs="Tahoma"/>
          <w:bCs/>
          <w:iCs/>
          <w:sz w:val="22"/>
          <w:szCs w:val="22"/>
          <w:lang w:val="es-ES" w:eastAsia="es-ES_tradnl"/>
        </w:rPr>
        <w:t xml:space="preserve">Integración del Informe Trimestral de los Sujetos de Fiscalización </w:t>
      </w:r>
      <w:r>
        <w:rPr>
          <w:rFonts w:ascii="Palatino Linotype" w:eastAsia="Calibri" w:hAnsi="Palatino Linotype" w:cs="Tahoma"/>
          <w:bCs/>
          <w:iCs/>
          <w:sz w:val="22"/>
          <w:szCs w:val="22"/>
          <w:lang w:val="es-ES" w:eastAsia="es-ES_tradnl"/>
        </w:rPr>
        <w:t>Municipales; en todos ellos, se prevé la información que debió entregarse al Órgano Fiscalizador, dentro de los cuales, se localiza un formato que da cuenta de las altas y bajas de los servidores públicos; a continuación se inserta impresión de pantalla de dichos formatos:</w:t>
      </w:r>
    </w:p>
    <w:p w14:paraId="28B55D44" w14:textId="77777777" w:rsidR="009D30F1" w:rsidRPr="008A6ABF" w:rsidRDefault="009D30F1" w:rsidP="009D30F1">
      <w:pPr>
        <w:spacing w:line="360" w:lineRule="auto"/>
        <w:jc w:val="both"/>
        <w:rPr>
          <w:rFonts w:ascii="Palatino Linotype" w:eastAsia="Palatino Linotype" w:hAnsi="Palatino Linotype" w:cs="Palatino Linotype"/>
        </w:rPr>
      </w:pPr>
    </w:p>
    <w:p w14:paraId="50C7C2FC" w14:textId="77777777" w:rsidR="009D30F1" w:rsidRPr="008A6ABF" w:rsidRDefault="009D30F1" w:rsidP="009D30F1">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59264" behindDoc="0" locked="0" layoutInCell="1" hidden="0" allowOverlap="1" wp14:anchorId="66062732" wp14:editId="151A9969">
                <wp:simplePos x="0" y="0"/>
                <wp:positionH relativeFrom="column">
                  <wp:posOffset>68468</wp:posOffset>
                </wp:positionH>
                <wp:positionV relativeFrom="paragraph">
                  <wp:posOffset>1013844</wp:posOffset>
                </wp:positionV>
                <wp:extent cx="5301095" cy="410213"/>
                <wp:effectExtent l="19050" t="19050" r="13970" b="27940"/>
                <wp:wrapNone/>
                <wp:docPr id="64" name="Rectángulo 64"/>
                <wp:cNvGraphicFramePr/>
                <a:graphic xmlns:a="http://schemas.openxmlformats.org/drawingml/2006/main">
                  <a:graphicData uri="http://schemas.microsoft.com/office/word/2010/wordprocessingShape">
                    <wps:wsp>
                      <wps:cNvSpPr/>
                      <wps:spPr>
                        <a:xfrm>
                          <a:off x="0" y="0"/>
                          <a:ext cx="5301095" cy="410213"/>
                        </a:xfrm>
                        <a:prstGeom prst="rect">
                          <a:avLst/>
                        </a:prstGeom>
                        <a:noFill/>
                        <a:ln w="38100" cap="flat" cmpd="sng">
                          <a:solidFill>
                            <a:srgbClr val="FF0000"/>
                          </a:solidFill>
                          <a:prstDash val="solid"/>
                          <a:miter lim="800000"/>
                          <a:headEnd type="none" w="sm" len="sm"/>
                          <a:tailEnd type="none" w="sm" len="sm"/>
                        </a:ln>
                      </wps:spPr>
                      <wps:txbx>
                        <w:txbxContent>
                          <w:p w14:paraId="03972C2E" w14:textId="77777777" w:rsidR="005526B1" w:rsidRDefault="005526B1" w:rsidP="009D30F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4" style="position:absolute;left:0;text-align:left;margin-left:5.4pt;margin-top:79.85pt;width:417.4pt;height: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606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">
                <v:stroke startarrowwidth="narrow" startarrowlength="short" endarrowwidth="narrow" endarrowlength="short"/>
                <v:textbox inset="2.53958mm,2.53958mm,2.53958mm,2.53958mm">
                  <w:txbxContent>
                    <w:p w:rsidR="005526B1" w:rsidP="009D30F1" w:rsidRDefault="005526B1" w14:paraId="03972C2E" w14:textId="77777777">
                      <w:pPr>
                        <w:textDirection w:val="btLr"/>
                      </w:pPr>
                    </w:p>
                  </w:txbxContent>
                </v:textbox>
              </v:rect>
            </w:pict>
          </mc:Fallback>
        </mc:AlternateContent>
      </w:r>
      <w:r w:rsidRPr="00F302E7">
        <w:rPr>
          <w:rFonts w:ascii="Palatino Linotype" w:hAnsi="Palatino Linotype"/>
          <w:noProof/>
          <w:lang w:eastAsia="es-MX"/>
        </w:rPr>
        <w:drawing>
          <wp:inline distT="0" distB="0" distL="0" distR="0" wp14:anchorId="387C13D5" wp14:editId="0B2117CD">
            <wp:extent cx="5381625" cy="2249326"/>
            <wp:effectExtent l="19050" t="19050" r="9525" b="17780"/>
            <wp:docPr id="86" name="image2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con confianza media"/>
                    <pic:cNvPicPr preferRelativeResize="0"/>
                  </pic:nvPicPr>
                  <pic:blipFill rotWithShape="1">
                    <a:blip r:embed="rId10"/>
                    <a:srcRect l="13578" t="36654" r="15817" b="28377"/>
                    <a:stretch/>
                  </pic:blipFill>
                  <pic:spPr bwMode="auto">
                    <a:xfrm>
                      <a:off x="0" y="0"/>
                      <a:ext cx="5411331" cy="22617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A9020C1" w14:textId="77777777" w:rsidR="009D30F1" w:rsidRDefault="009D30F1" w:rsidP="009D30F1">
      <w:pPr>
        <w:spacing w:line="360" w:lineRule="auto"/>
        <w:jc w:val="both"/>
        <w:rPr>
          <w:rFonts w:ascii="Palatino Linotype" w:eastAsia="Palatino Linotype" w:hAnsi="Palatino Linotype" w:cs="Palatino Linotype"/>
        </w:rPr>
      </w:pPr>
    </w:p>
    <w:p w14:paraId="26455279" w14:textId="1905B9FF" w:rsidR="009D30F1" w:rsidRDefault="000F3365" w:rsidP="009D30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pues, se puede concluir que en la entrega de los informes al </w:t>
      </w:r>
      <w:r w:rsidRPr="000F3365">
        <w:rPr>
          <w:rFonts w:ascii="Palatino Linotype" w:eastAsia="Calibri" w:hAnsi="Palatino Linotype" w:cs="Tahoma"/>
          <w:bCs/>
          <w:sz w:val="22"/>
          <w:szCs w:val="22"/>
          <w:lang w:eastAsia="en-US"/>
        </w:rPr>
        <w:t>Órgano Superior de Fiscalizaci</w:t>
      </w:r>
      <w:r>
        <w:rPr>
          <w:rFonts w:ascii="Palatino Linotype" w:eastAsia="Calibri" w:hAnsi="Palatino Linotype" w:cs="Tahoma"/>
          <w:bCs/>
          <w:sz w:val="22"/>
          <w:szCs w:val="22"/>
          <w:lang w:eastAsia="en-US"/>
        </w:rPr>
        <w:t>ón del Estado de México (OSFEM), específicamente de aquellos que integran el</w:t>
      </w:r>
      <w:r>
        <w:rPr>
          <w:rFonts w:ascii="Palatino Linotype" w:eastAsia="Palatino Linotype" w:hAnsi="Palatino Linotype" w:cs="Palatino Linotype"/>
          <w:sz w:val="22"/>
          <w:szCs w:val="22"/>
        </w:rPr>
        <w:t xml:space="preserve"> Disco 4, se debieron entregar el formato d</w:t>
      </w:r>
      <w:r w:rsidR="009D30F1" w:rsidRPr="0066581D">
        <w:rPr>
          <w:rFonts w:ascii="Palatino Linotype" w:eastAsia="Palatino Linotype" w:hAnsi="Palatino Linotype" w:cs="Palatino Linotype"/>
          <w:sz w:val="22"/>
          <w:szCs w:val="22"/>
        </w:rPr>
        <w:t>el reporte general de altas y bajas</w:t>
      </w:r>
      <w:r>
        <w:rPr>
          <w:rFonts w:ascii="Palatino Linotype" w:eastAsia="Palatino Linotype" w:hAnsi="Palatino Linotype" w:cs="Palatino Linotype"/>
          <w:sz w:val="22"/>
          <w:szCs w:val="22"/>
        </w:rPr>
        <w:t>.</w:t>
      </w:r>
    </w:p>
    <w:p w14:paraId="4C79B4F0" w14:textId="77777777" w:rsidR="009D30F1" w:rsidRDefault="009D30F1" w:rsidP="009D30F1">
      <w:pPr>
        <w:spacing w:line="360" w:lineRule="auto"/>
        <w:jc w:val="both"/>
        <w:rPr>
          <w:rFonts w:ascii="Palatino Linotype" w:eastAsia="Palatino Linotype" w:hAnsi="Palatino Linotype" w:cs="Palatino Linotype"/>
          <w:sz w:val="22"/>
          <w:szCs w:val="22"/>
        </w:rPr>
      </w:pPr>
    </w:p>
    <w:p w14:paraId="741F31E0" w14:textId="1781AB4F" w:rsidR="009D30F1" w:rsidRPr="0066581D" w:rsidRDefault="00E459FF" w:rsidP="009D30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w:t>
      </w:r>
      <w:r w:rsidR="009D30F1">
        <w:rPr>
          <w:rFonts w:ascii="Palatino Linotype" w:eastAsia="Palatino Linotype" w:hAnsi="Palatino Linotype" w:cs="Palatino Linotype"/>
          <w:sz w:val="22"/>
          <w:szCs w:val="22"/>
        </w:rPr>
        <w:t>, se advierte que la información de altas y bajas se genera</w:t>
      </w:r>
      <w:r>
        <w:rPr>
          <w:rFonts w:ascii="Palatino Linotype" w:eastAsia="Palatino Linotype" w:hAnsi="Palatino Linotype" w:cs="Palatino Linotype"/>
          <w:sz w:val="22"/>
          <w:szCs w:val="22"/>
        </w:rPr>
        <w:t xml:space="preserve"> de forma</w:t>
      </w:r>
      <w:r w:rsidR="009D30F1">
        <w:rPr>
          <w:rFonts w:ascii="Palatino Linotype" w:eastAsia="Palatino Linotype" w:hAnsi="Palatino Linotype" w:cs="Palatino Linotype"/>
          <w:sz w:val="22"/>
          <w:szCs w:val="22"/>
        </w:rPr>
        <w:t xml:space="preserve"> desgl</w:t>
      </w:r>
      <w:r>
        <w:rPr>
          <w:rFonts w:ascii="Palatino Linotype" w:eastAsia="Palatino Linotype" w:hAnsi="Palatino Linotype" w:cs="Palatino Linotype"/>
          <w:sz w:val="22"/>
          <w:szCs w:val="22"/>
        </w:rPr>
        <w:t>osada por cada servidor público</w:t>
      </w:r>
      <w:r w:rsidR="009D30F1">
        <w:rPr>
          <w:rFonts w:ascii="Palatino Linotype" w:eastAsia="Palatino Linotype" w:hAnsi="Palatino Linotype" w:cs="Palatino Linotype"/>
          <w:sz w:val="22"/>
          <w:szCs w:val="22"/>
        </w:rPr>
        <w:t>, de tal suerte que es posible entregar la información con el grado de detalle requerido, si bien no necesari</w:t>
      </w:r>
      <w:r>
        <w:rPr>
          <w:rFonts w:ascii="Palatino Linotype" w:eastAsia="Palatino Linotype" w:hAnsi="Palatino Linotype" w:cs="Palatino Linotype"/>
          <w:sz w:val="22"/>
          <w:szCs w:val="22"/>
        </w:rPr>
        <w:t>amente por mes, sí por quincena; a fin de dar cuenta de lo anterior, se inserta impresión de pantalla correspondiente:</w:t>
      </w:r>
    </w:p>
    <w:p w14:paraId="6BC964A5" w14:textId="2EA6A65E" w:rsidR="009D30F1" w:rsidRPr="008A6ABF" w:rsidRDefault="00E459FF" w:rsidP="00E459FF">
      <w:pPr>
        <w:spacing w:line="360" w:lineRule="auto"/>
        <w:jc w:val="center"/>
        <w:rPr>
          <w:rFonts w:ascii="Palatino Linotype" w:eastAsia="Palatino Linotype" w:hAnsi="Palatino Linotype" w:cs="Palatino Linotype"/>
        </w:rPr>
      </w:pPr>
      <w:r>
        <w:rPr>
          <w:noProof/>
          <w:lang w:eastAsia="es-MX"/>
        </w:rPr>
        <w:drawing>
          <wp:inline distT="0" distB="0" distL="0" distR="0" wp14:anchorId="4A4933A6" wp14:editId="0A332B14">
            <wp:extent cx="5373232" cy="2395497"/>
            <wp:effectExtent l="19050" t="19050" r="1841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7658" cy="2397470"/>
                    </a:xfrm>
                    <a:prstGeom prst="rect">
                      <a:avLst/>
                    </a:prstGeom>
                    <a:ln>
                      <a:solidFill>
                        <a:schemeClr val="accent1"/>
                      </a:solidFill>
                    </a:ln>
                  </pic:spPr>
                </pic:pic>
              </a:graphicData>
            </a:graphic>
          </wp:inline>
        </w:drawing>
      </w:r>
    </w:p>
    <w:p w14:paraId="2826FAF7" w14:textId="4ED8F39D" w:rsidR="009D30F1" w:rsidRPr="008A6ABF" w:rsidRDefault="00E459FF" w:rsidP="00E459FF">
      <w:pPr>
        <w:spacing w:line="360" w:lineRule="auto"/>
        <w:jc w:val="center"/>
        <w:rPr>
          <w:rFonts w:ascii="Palatino Linotype" w:eastAsia="Palatino Linotype" w:hAnsi="Palatino Linotype" w:cs="Palatino Linotype"/>
        </w:rPr>
      </w:pPr>
      <w:r>
        <w:rPr>
          <w:noProof/>
          <w:lang w:eastAsia="es-MX"/>
        </w:rPr>
        <w:drawing>
          <wp:inline distT="0" distB="0" distL="0" distR="0" wp14:anchorId="7406BB5A" wp14:editId="23B4C3DB">
            <wp:extent cx="5368705" cy="2851159"/>
            <wp:effectExtent l="19050" t="19050" r="2286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9414" cy="2862157"/>
                    </a:xfrm>
                    <a:prstGeom prst="rect">
                      <a:avLst/>
                    </a:prstGeom>
                    <a:ln>
                      <a:solidFill>
                        <a:schemeClr val="accent1"/>
                      </a:solidFill>
                    </a:ln>
                  </pic:spPr>
                </pic:pic>
              </a:graphicData>
            </a:graphic>
          </wp:inline>
        </w:drawing>
      </w:r>
    </w:p>
    <w:p w14:paraId="51BBD5D4" w14:textId="77777777" w:rsidR="00E459FF" w:rsidRDefault="00E459FF" w:rsidP="009D30F1">
      <w:pPr>
        <w:spacing w:line="360" w:lineRule="auto"/>
        <w:jc w:val="both"/>
        <w:rPr>
          <w:rFonts w:ascii="Palatino Linotype" w:eastAsia="Palatino Linotype" w:hAnsi="Palatino Linotype" w:cs="Palatino Linotype"/>
          <w:sz w:val="22"/>
          <w:szCs w:val="22"/>
        </w:rPr>
      </w:pPr>
    </w:p>
    <w:p w14:paraId="7A76944B" w14:textId="314C2889" w:rsidR="009D30F1" w:rsidRDefault="00E459FF" w:rsidP="009D30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los f</w:t>
      </w:r>
      <w:r w:rsidR="009D30F1" w:rsidRPr="002E5955">
        <w:rPr>
          <w:rFonts w:ascii="Palatino Linotype" w:eastAsia="Palatino Linotype" w:hAnsi="Palatino Linotype" w:cs="Palatino Linotype"/>
          <w:sz w:val="22"/>
          <w:szCs w:val="22"/>
        </w:rPr>
        <w:t>ormatos correspondientes a los ejercicios fiscales 2017 y 2018</w:t>
      </w:r>
      <w:r>
        <w:rPr>
          <w:rFonts w:ascii="Palatino Linotype" w:eastAsia="Palatino Linotype" w:hAnsi="Palatino Linotype" w:cs="Palatino Linotype"/>
          <w:sz w:val="22"/>
          <w:szCs w:val="22"/>
        </w:rPr>
        <w:t xml:space="preserve"> muestran lo siguiente</w:t>
      </w:r>
      <w:r w:rsidR="009D30F1" w:rsidRPr="002E5955">
        <w:rPr>
          <w:rFonts w:ascii="Palatino Linotype" w:eastAsia="Palatino Linotype" w:hAnsi="Palatino Linotype" w:cs="Palatino Linotype"/>
          <w:sz w:val="22"/>
          <w:szCs w:val="22"/>
        </w:rPr>
        <w:t>:</w:t>
      </w:r>
    </w:p>
    <w:p w14:paraId="7459019D" w14:textId="5F8E46DC" w:rsidR="00E459FF" w:rsidRPr="00E459FF" w:rsidRDefault="00E459FF" w:rsidP="00E459FF">
      <w:pPr>
        <w:spacing w:line="360" w:lineRule="auto"/>
        <w:jc w:val="center"/>
        <w:rPr>
          <w:rFonts w:ascii="Palatino Linotype" w:eastAsia="Palatino Linotype" w:hAnsi="Palatino Linotype" w:cs="Palatino Linotype"/>
          <w:sz w:val="22"/>
          <w:szCs w:val="22"/>
        </w:rPr>
      </w:pPr>
      <w:r>
        <w:rPr>
          <w:noProof/>
          <w:lang w:eastAsia="es-MX"/>
        </w:rPr>
        <w:drawing>
          <wp:inline distT="0" distB="0" distL="0" distR="0" wp14:anchorId="328D3B5C" wp14:editId="69FF86D0">
            <wp:extent cx="5476875" cy="1992573"/>
            <wp:effectExtent l="19050" t="19050" r="9525"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1183"/>
                    <a:stretch/>
                  </pic:blipFill>
                  <pic:spPr bwMode="auto">
                    <a:xfrm>
                      <a:off x="0" y="0"/>
                      <a:ext cx="5476875" cy="1992573"/>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9FCDFD" w14:textId="77777777" w:rsidR="00E459FF" w:rsidRDefault="00E459FF" w:rsidP="009D30F1">
      <w:pPr>
        <w:spacing w:line="360" w:lineRule="auto"/>
        <w:jc w:val="center"/>
        <w:rPr>
          <w:noProof/>
          <w:lang w:eastAsia="es-MX"/>
        </w:rPr>
      </w:pPr>
    </w:p>
    <w:p w14:paraId="3223F4C9" w14:textId="517928CB" w:rsidR="009D30F1" w:rsidRPr="008A6ABF" w:rsidRDefault="00E459FF" w:rsidP="009D30F1">
      <w:pPr>
        <w:spacing w:line="360" w:lineRule="auto"/>
        <w:jc w:val="center"/>
        <w:rPr>
          <w:rFonts w:ascii="Palatino Linotype" w:eastAsia="Palatino Linotype" w:hAnsi="Palatino Linotype" w:cs="Palatino Linotype"/>
        </w:rPr>
      </w:pPr>
      <w:r>
        <w:rPr>
          <w:noProof/>
          <w:lang w:eastAsia="es-MX"/>
        </w:rPr>
        <w:drawing>
          <wp:inline distT="0" distB="0" distL="0" distR="0" wp14:anchorId="60CD8A08" wp14:editId="23DC21E1">
            <wp:extent cx="5635256" cy="2056831"/>
            <wp:effectExtent l="19050" t="19050" r="22860" b="196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6163" cy="2057162"/>
                    </a:xfrm>
                    <a:prstGeom prst="rect">
                      <a:avLst/>
                    </a:prstGeom>
                    <a:ln>
                      <a:solidFill>
                        <a:schemeClr val="accent1"/>
                      </a:solidFill>
                    </a:ln>
                  </pic:spPr>
                </pic:pic>
              </a:graphicData>
            </a:graphic>
          </wp:inline>
        </w:drawing>
      </w:r>
      <w:r w:rsidRPr="00E459FF">
        <w:rPr>
          <w:noProof/>
          <w:lang w:eastAsia="es-MX"/>
        </w:rPr>
        <w:t xml:space="preserve"> </w:t>
      </w:r>
    </w:p>
    <w:p w14:paraId="2872A075" w14:textId="48FC0C8E" w:rsidR="009D30F1" w:rsidRPr="008A6ABF" w:rsidRDefault="009D30F1" w:rsidP="009D30F1">
      <w:pPr>
        <w:spacing w:line="360" w:lineRule="auto"/>
        <w:jc w:val="both"/>
        <w:rPr>
          <w:rFonts w:ascii="Palatino Linotype" w:eastAsia="Palatino Linotype" w:hAnsi="Palatino Linotype" w:cs="Palatino Linotype"/>
        </w:rPr>
      </w:pPr>
    </w:p>
    <w:p w14:paraId="50826F63" w14:textId="37E11D12" w:rsidR="009D30F1" w:rsidRPr="008A6ABF" w:rsidRDefault="00E459FF" w:rsidP="00E459FF">
      <w:pPr>
        <w:spacing w:line="360" w:lineRule="auto"/>
        <w:jc w:val="center"/>
        <w:rPr>
          <w:rFonts w:ascii="Palatino Linotype" w:eastAsia="Palatino Linotype" w:hAnsi="Palatino Linotype" w:cs="Palatino Linotype"/>
        </w:rPr>
      </w:pPr>
      <w:r>
        <w:rPr>
          <w:noProof/>
          <w:lang w:eastAsia="es-MX"/>
        </w:rPr>
        <w:drawing>
          <wp:inline distT="0" distB="0" distL="0" distR="0" wp14:anchorId="522507BE" wp14:editId="5CAEDF27">
            <wp:extent cx="5691116" cy="1891586"/>
            <wp:effectExtent l="19050" t="19050" r="24130"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658" cy="1901405"/>
                    </a:xfrm>
                    <a:prstGeom prst="rect">
                      <a:avLst/>
                    </a:prstGeom>
                    <a:ln>
                      <a:solidFill>
                        <a:schemeClr val="accent1"/>
                      </a:solidFill>
                    </a:ln>
                  </pic:spPr>
                </pic:pic>
              </a:graphicData>
            </a:graphic>
          </wp:inline>
        </w:drawing>
      </w:r>
    </w:p>
    <w:p w14:paraId="415DB1A5" w14:textId="77777777" w:rsidR="00E459FF" w:rsidRDefault="00E459FF" w:rsidP="009D30F1">
      <w:pPr>
        <w:spacing w:line="360" w:lineRule="auto"/>
        <w:jc w:val="both"/>
        <w:rPr>
          <w:rFonts w:ascii="Palatino Linotype" w:eastAsia="Palatino Linotype" w:hAnsi="Palatino Linotype" w:cs="Palatino Linotype"/>
          <w:sz w:val="22"/>
          <w:szCs w:val="22"/>
        </w:rPr>
      </w:pPr>
    </w:p>
    <w:p w14:paraId="36F7FC5C" w14:textId="77777777" w:rsidR="009D30F1" w:rsidRDefault="009D30F1" w:rsidP="009D30F1">
      <w:pPr>
        <w:spacing w:line="360" w:lineRule="auto"/>
        <w:jc w:val="both"/>
        <w:rPr>
          <w:rFonts w:ascii="Palatino Linotype" w:eastAsia="Palatino Linotype" w:hAnsi="Palatino Linotype" w:cs="Palatino Linotype"/>
        </w:rPr>
      </w:pPr>
      <w:r w:rsidRPr="002E5955">
        <w:rPr>
          <w:rFonts w:ascii="Palatino Linotype" w:eastAsia="Palatino Linotype" w:hAnsi="Palatino Linotype" w:cs="Palatino Linotype"/>
          <w:sz w:val="22"/>
          <w:szCs w:val="22"/>
        </w:rPr>
        <w:t xml:space="preserve">Formatos correspondientes </w:t>
      </w:r>
      <w:r>
        <w:rPr>
          <w:rFonts w:ascii="Palatino Linotype" w:eastAsia="Palatino Linotype" w:hAnsi="Palatino Linotype" w:cs="Palatino Linotype"/>
          <w:sz w:val="22"/>
          <w:szCs w:val="22"/>
        </w:rPr>
        <w:t>al</w:t>
      </w:r>
      <w:r w:rsidRPr="002E5955">
        <w:rPr>
          <w:rFonts w:ascii="Palatino Linotype" w:eastAsia="Palatino Linotype" w:hAnsi="Palatino Linotype" w:cs="Palatino Linotype"/>
          <w:sz w:val="22"/>
          <w:szCs w:val="22"/>
        </w:rPr>
        <w:t xml:space="preserve"> ejercicio fiscal </w:t>
      </w:r>
      <w:r w:rsidRPr="008A6ABF">
        <w:rPr>
          <w:rFonts w:ascii="Palatino Linotype" w:eastAsia="Palatino Linotype" w:hAnsi="Palatino Linotype" w:cs="Palatino Linotype"/>
        </w:rPr>
        <w:t>2019:</w:t>
      </w:r>
    </w:p>
    <w:p w14:paraId="629935A1" w14:textId="77777777" w:rsidR="009D30F1" w:rsidRPr="008A6ABF" w:rsidRDefault="009D30F1" w:rsidP="009D30F1">
      <w:pPr>
        <w:spacing w:line="360" w:lineRule="auto"/>
        <w:jc w:val="both"/>
        <w:rPr>
          <w:rFonts w:ascii="Palatino Linotype" w:eastAsia="Palatino Linotype" w:hAnsi="Palatino Linotype" w:cs="Palatino Linotype"/>
        </w:rPr>
      </w:pPr>
    </w:p>
    <w:p w14:paraId="2AAB4405" w14:textId="1B159A0A" w:rsidR="009D30F1" w:rsidRPr="008A6ABF" w:rsidRDefault="00E459FF" w:rsidP="00E459FF">
      <w:pPr>
        <w:spacing w:line="360" w:lineRule="auto"/>
        <w:jc w:val="center"/>
        <w:rPr>
          <w:rFonts w:ascii="Palatino Linotype" w:eastAsia="Palatino Linotype" w:hAnsi="Palatino Linotype" w:cs="Palatino Linotype"/>
        </w:rPr>
      </w:pPr>
      <w:r>
        <w:rPr>
          <w:noProof/>
          <w:lang w:eastAsia="es-MX"/>
        </w:rPr>
        <w:drawing>
          <wp:inline distT="0" distB="0" distL="0" distR="0" wp14:anchorId="26C3239D" wp14:editId="57D6CFEE">
            <wp:extent cx="4537881" cy="2347214"/>
            <wp:effectExtent l="19050" t="19050" r="15240"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8036" cy="2352466"/>
                    </a:xfrm>
                    <a:prstGeom prst="rect">
                      <a:avLst/>
                    </a:prstGeom>
                    <a:ln>
                      <a:solidFill>
                        <a:schemeClr val="accent1"/>
                      </a:solidFill>
                    </a:ln>
                  </pic:spPr>
                </pic:pic>
              </a:graphicData>
            </a:graphic>
          </wp:inline>
        </w:drawing>
      </w:r>
    </w:p>
    <w:p w14:paraId="1B819479" w14:textId="77777777" w:rsidR="009D30F1" w:rsidRPr="008A6ABF" w:rsidRDefault="009D30F1" w:rsidP="009D30F1">
      <w:pPr>
        <w:spacing w:line="360" w:lineRule="auto"/>
        <w:jc w:val="both"/>
        <w:rPr>
          <w:rFonts w:ascii="Palatino Linotype" w:eastAsia="Palatino Linotype" w:hAnsi="Palatino Linotype" w:cs="Palatino Linotype"/>
          <w:color w:val="000000"/>
        </w:rPr>
      </w:pPr>
    </w:p>
    <w:p w14:paraId="5529B2E8" w14:textId="051AA587" w:rsidR="009D30F1" w:rsidRPr="008A6ABF" w:rsidRDefault="00E459FF" w:rsidP="00E459F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r>
        <w:rPr>
          <w:noProof/>
          <w:lang w:eastAsia="es-MX"/>
        </w:rPr>
        <w:drawing>
          <wp:inline distT="0" distB="0" distL="0" distR="0" wp14:anchorId="6A4CDD45" wp14:editId="747897E4">
            <wp:extent cx="4790365" cy="2772310"/>
            <wp:effectExtent l="19050" t="19050" r="1079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0192" cy="2777997"/>
                    </a:xfrm>
                    <a:prstGeom prst="rect">
                      <a:avLst/>
                    </a:prstGeom>
                    <a:ln>
                      <a:solidFill>
                        <a:schemeClr val="accent1"/>
                      </a:solidFill>
                    </a:ln>
                  </pic:spPr>
                </pic:pic>
              </a:graphicData>
            </a:graphic>
          </wp:inline>
        </w:drawing>
      </w:r>
    </w:p>
    <w:p w14:paraId="3BC15D07" w14:textId="77777777" w:rsidR="009D30F1" w:rsidRDefault="009D30F1" w:rsidP="009D30F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6B78E69F" w14:textId="2BE6CA25" w:rsidR="009D30F1" w:rsidRDefault="00E459FF" w:rsidP="00E459F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r>
        <w:rPr>
          <w:noProof/>
          <w:lang w:eastAsia="es-MX"/>
        </w:rPr>
        <w:drawing>
          <wp:inline distT="0" distB="0" distL="0" distR="0" wp14:anchorId="1A6042AF" wp14:editId="219B8939">
            <wp:extent cx="4353636" cy="3156434"/>
            <wp:effectExtent l="19050" t="19050" r="27940"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3880" cy="3163861"/>
                    </a:xfrm>
                    <a:prstGeom prst="rect">
                      <a:avLst/>
                    </a:prstGeom>
                    <a:ln>
                      <a:solidFill>
                        <a:schemeClr val="accent1"/>
                      </a:solidFill>
                    </a:ln>
                  </pic:spPr>
                </pic:pic>
              </a:graphicData>
            </a:graphic>
          </wp:inline>
        </w:drawing>
      </w:r>
    </w:p>
    <w:p w14:paraId="4FE5C089" w14:textId="77777777" w:rsidR="00E459FF" w:rsidRDefault="00E459FF" w:rsidP="00E459F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p>
    <w:p w14:paraId="3C183278" w14:textId="56D00F48" w:rsidR="00E459FF" w:rsidRDefault="00E459FF" w:rsidP="00E459F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r>
        <w:rPr>
          <w:noProof/>
          <w:lang w:eastAsia="es-MX"/>
        </w:rPr>
        <w:drawing>
          <wp:inline distT="0" distB="0" distL="0" distR="0" wp14:anchorId="06E716A0" wp14:editId="4F0D418C">
            <wp:extent cx="4203511" cy="3539334"/>
            <wp:effectExtent l="19050" t="19050" r="26035"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7585" cy="3542764"/>
                    </a:xfrm>
                    <a:prstGeom prst="rect">
                      <a:avLst/>
                    </a:prstGeom>
                    <a:ln>
                      <a:solidFill>
                        <a:schemeClr val="accent1"/>
                      </a:solidFill>
                    </a:ln>
                  </pic:spPr>
                </pic:pic>
              </a:graphicData>
            </a:graphic>
          </wp:inline>
        </w:drawing>
      </w:r>
    </w:p>
    <w:p w14:paraId="0754F240" w14:textId="77777777" w:rsidR="00E459FF" w:rsidRDefault="00E459FF" w:rsidP="00E459F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p>
    <w:p w14:paraId="6E9905C6" w14:textId="77777777" w:rsidR="00E459FF" w:rsidRDefault="00E459FF" w:rsidP="009D30F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9F8481F" w14:textId="5DD6285E" w:rsidR="009D30F1" w:rsidRDefault="009D30F1" w:rsidP="009D30F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Formatos del ejercicio fiscal </w:t>
      </w:r>
      <w:r w:rsidR="00E459FF">
        <w:rPr>
          <w:rFonts w:ascii="Palatino Linotype" w:eastAsia="Palatino Linotype" w:hAnsi="Palatino Linotype" w:cs="Palatino Linotype"/>
          <w:color w:val="000000"/>
        </w:rPr>
        <w:t>2021</w:t>
      </w:r>
    </w:p>
    <w:p w14:paraId="14F3932C" w14:textId="6B1C9D90" w:rsidR="009D30F1" w:rsidRPr="008A6ABF" w:rsidRDefault="00E459FF" w:rsidP="009D30F1">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r>
        <w:rPr>
          <w:noProof/>
          <w:lang w:eastAsia="es-MX"/>
        </w:rPr>
        <w:drawing>
          <wp:inline distT="0" distB="0" distL="0" distR="0" wp14:anchorId="43D57FB2" wp14:editId="623CFABF">
            <wp:extent cx="3648075" cy="5895975"/>
            <wp:effectExtent l="19050" t="19050" r="285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8075" cy="5895975"/>
                    </a:xfrm>
                    <a:prstGeom prst="rect">
                      <a:avLst/>
                    </a:prstGeom>
                    <a:ln>
                      <a:solidFill>
                        <a:schemeClr val="accent1"/>
                      </a:solidFill>
                    </a:ln>
                  </pic:spPr>
                </pic:pic>
              </a:graphicData>
            </a:graphic>
          </wp:inline>
        </w:drawing>
      </w:r>
    </w:p>
    <w:p w14:paraId="5F61C484" w14:textId="77777777" w:rsidR="009D30F1" w:rsidRDefault="009D30F1" w:rsidP="009D30F1">
      <w:pPr>
        <w:spacing w:line="360" w:lineRule="auto"/>
        <w:jc w:val="both"/>
        <w:rPr>
          <w:rFonts w:ascii="Palatino Linotype" w:eastAsia="Palatino Linotype" w:hAnsi="Palatino Linotype" w:cs="Palatino Linotype"/>
          <w:sz w:val="22"/>
          <w:szCs w:val="22"/>
        </w:rPr>
      </w:pPr>
    </w:p>
    <w:p w14:paraId="44BCEB5F" w14:textId="46C81F39" w:rsidR="009D30F1" w:rsidRDefault="005526B1" w:rsidP="009D30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atención a lo expuesto, es posible determinar que el Sujeto Obligado debió generar la información solicitada relacionada con la baja del personal ya que forma parte de los informes que se remitieron al </w:t>
      </w:r>
      <w:r w:rsidRPr="005526B1">
        <w:rPr>
          <w:rFonts w:ascii="Palatino Linotype" w:eastAsia="Calibri" w:hAnsi="Palatino Linotype" w:cs="Tahoma"/>
          <w:bCs/>
          <w:sz w:val="22"/>
          <w:szCs w:val="22"/>
          <w:lang w:eastAsia="en-US"/>
        </w:rPr>
        <w:t>Órgano Superior de Fiscalizaci</w:t>
      </w:r>
      <w:r>
        <w:rPr>
          <w:rFonts w:ascii="Palatino Linotype" w:eastAsia="Calibri" w:hAnsi="Palatino Linotype" w:cs="Tahoma"/>
          <w:bCs/>
          <w:sz w:val="22"/>
          <w:szCs w:val="22"/>
          <w:lang w:eastAsia="en-US"/>
        </w:rPr>
        <w:t>ón del Estado de México (OSFEM), desde el año dos mil dieciséis hasta la fecha de la solicitud.</w:t>
      </w:r>
    </w:p>
    <w:p w14:paraId="1E9E792D" w14:textId="77777777" w:rsidR="009D30F1" w:rsidRPr="008A6ABF" w:rsidRDefault="009D30F1" w:rsidP="009D30F1">
      <w:pPr>
        <w:spacing w:line="360" w:lineRule="auto"/>
        <w:jc w:val="both"/>
        <w:rPr>
          <w:rFonts w:ascii="Palatino Linotype" w:eastAsia="Palatino Linotype" w:hAnsi="Palatino Linotype" w:cs="Palatino Linotype"/>
          <w:sz w:val="22"/>
          <w:szCs w:val="22"/>
        </w:rPr>
      </w:pPr>
    </w:p>
    <w:p w14:paraId="2E192D09" w14:textId="4EFE7207" w:rsidR="005526B1" w:rsidRDefault="005526B1" w:rsidP="009D30F1">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lang w:eastAsia="es-MX"/>
        </w:rPr>
        <w:t>Ahora bien,</w:t>
      </w:r>
      <w:r w:rsidR="009D30F1" w:rsidRPr="00D54028">
        <w:rPr>
          <w:rFonts w:ascii="Palatino Linotype" w:hAnsi="Palatino Linotype" w:cs="Tahoma"/>
          <w:sz w:val="22"/>
          <w:szCs w:val="22"/>
          <w:lang w:eastAsia="es-MX"/>
        </w:rPr>
        <w:t xml:space="preserve"> respecto del personal que </w:t>
      </w:r>
      <w:r w:rsidR="009D30F1" w:rsidRPr="005526B1">
        <w:rPr>
          <w:rFonts w:ascii="Palatino Linotype" w:hAnsi="Palatino Linotype" w:cs="Tahoma"/>
          <w:b/>
          <w:sz w:val="22"/>
          <w:szCs w:val="22"/>
          <w:lang w:eastAsia="es-MX"/>
        </w:rPr>
        <w:t xml:space="preserve">pudo </w:t>
      </w:r>
      <w:r>
        <w:rPr>
          <w:rFonts w:ascii="Palatino Linotype" w:hAnsi="Palatino Linotype" w:cs="Tahoma"/>
          <w:b/>
          <w:sz w:val="22"/>
          <w:szCs w:val="22"/>
          <w:lang w:eastAsia="es-MX"/>
        </w:rPr>
        <w:t>ser</w:t>
      </w:r>
      <w:r w:rsidR="009D30F1" w:rsidRPr="005526B1">
        <w:rPr>
          <w:rFonts w:ascii="Palatino Linotype" w:hAnsi="Palatino Linotype" w:cs="Tahoma"/>
          <w:b/>
          <w:sz w:val="22"/>
          <w:szCs w:val="22"/>
          <w:lang w:eastAsia="es-MX"/>
        </w:rPr>
        <w:t xml:space="preserve"> reubicado</w:t>
      </w:r>
      <w:r w:rsidR="009D30F1" w:rsidRPr="00D54028">
        <w:rPr>
          <w:rFonts w:ascii="Palatino Linotype" w:hAnsi="Palatino Linotype" w:cs="Tahoma"/>
          <w:sz w:val="22"/>
          <w:szCs w:val="22"/>
          <w:lang w:eastAsia="es-MX"/>
        </w:rPr>
        <w:t>, en caso de que</w:t>
      </w:r>
      <w:r>
        <w:rPr>
          <w:rFonts w:ascii="Palatino Linotype" w:hAnsi="Palatino Linotype" w:cs="Tahoma"/>
          <w:sz w:val="22"/>
          <w:szCs w:val="22"/>
          <w:lang w:eastAsia="es-MX"/>
        </w:rPr>
        <w:t xml:space="preserve"> la documentación que dé cuenta de ello</w:t>
      </w:r>
      <w:r w:rsidR="009D30F1" w:rsidRPr="00D54028">
        <w:rPr>
          <w:rFonts w:ascii="Palatino Linotype" w:hAnsi="Palatino Linotype" w:cs="Tahoma"/>
          <w:sz w:val="22"/>
          <w:szCs w:val="22"/>
          <w:lang w:eastAsia="es-MX"/>
        </w:rPr>
        <w:t xml:space="preserve"> contenga el nombre </w:t>
      </w:r>
      <w:r>
        <w:rPr>
          <w:rFonts w:ascii="Palatino Linotype" w:hAnsi="Palatino Linotype" w:cs="Tahoma"/>
          <w:sz w:val="22"/>
          <w:szCs w:val="22"/>
          <w:lang w:eastAsia="es-MX"/>
        </w:rPr>
        <w:t xml:space="preserve">del elemento, dicho nombre debe ser considerado como </w:t>
      </w:r>
      <w:r w:rsidR="009D30F1" w:rsidRPr="00D54028">
        <w:rPr>
          <w:rFonts w:ascii="Palatino Linotype" w:hAnsi="Palatino Linotype" w:cs="Tahoma"/>
          <w:sz w:val="22"/>
          <w:szCs w:val="22"/>
          <w:lang w:eastAsia="es-MX"/>
        </w:rPr>
        <w:t xml:space="preserve">información reservada; esto es, ya que los elementos operativos </w:t>
      </w:r>
      <w:r>
        <w:rPr>
          <w:rFonts w:ascii="Palatino Linotype" w:hAnsi="Palatino Linotype" w:cs="Tahoma"/>
          <w:sz w:val="22"/>
          <w:szCs w:val="22"/>
          <w:lang w:eastAsia="es-MX"/>
        </w:rPr>
        <w:t>tienen facultades para</w:t>
      </w:r>
      <w:r w:rsidR="009D30F1" w:rsidRPr="00D54028">
        <w:rPr>
          <w:rFonts w:ascii="Palatino Linotype" w:hAnsi="Palatino Linotype" w:cs="Tahoma"/>
          <w:sz w:val="22"/>
          <w:szCs w:val="22"/>
          <w:lang w:eastAsia="es-MX"/>
        </w:rPr>
        <w:t xml:space="preserve"> combatir de manera directa </w:t>
      </w:r>
      <w:r>
        <w:rPr>
          <w:rFonts w:ascii="Palatino Linotype" w:hAnsi="Palatino Linotype" w:cs="Tahoma"/>
          <w:sz w:val="22"/>
          <w:szCs w:val="22"/>
          <w:lang w:eastAsia="es-MX"/>
        </w:rPr>
        <w:t>los hechos delictivos</w:t>
      </w:r>
      <w:r w:rsidR="009D30F1" w:rsidRPr="00D54028">
        <w:rPr>
          <w:rFonts w:ascii="Palatino Linotype" w:hAnsi="Palatino Linotype" w:cs="Tahoma"/>
          <w:sz w:val="22"/>
          <w:szCs w:val="22"/>
          <w:lang w:eastAsia="es-MX"/>
        </w:rPr>
        <w:t xml:space="preserve">, así como a prevenir </w:t>
      </w:r>
      <w:r>
        <w:rPr>
          <w:rFonts w:ascii="Palatino Linotype" w:hAnsi="Palatino Linotype" w:cs="Tahoma"/>
          <w:sz w:val="22"/>
          <w:szCs w:val="22"/>
          <w:lang w:eastAsia="es-MX"/>
        </w:rPr>
        <w:t xml:space="preserve">dicha </w:t>
      </w:r>
      <w:r w:rsidR="009D30F1" w:rsidRPr="00D54028">
        <w:rPr>
          <w:rFonts w:ascii="Palatino Linotype" w:hAnsi="Palatino Linotype" w:cs="Tahoma"/>
          <w:sz w:val="22"/>
          <w:szCs w:val="22"/>
          <w:lang w:eastAsia="es-MX"/>
        </w:rPr>
        <w:t>la actividad</w:t>
      </w:r>
      <w:r>
        <w:rPr>
          <w:rFonts w:ascii="Palatino Linotype" w:hAnsi="Palatino Linotype" w:cs="Tahoma"/>
          <w:sz w:val="22"/>
          <w:szCs w:val="22"/>
          <w:lang w:eastAsia="es-MX"/>
        </w:rPr>
        <w:t>; lo cual podría involucrar poner en riesgo su vida, lo que da motivo a la actualización de un supuesto de clasificación</w:t>
      </w:r>
      <w:r w:rsidR="009D30F1" w:rsidRPr="00D54028">
        <w:rPr>
          <w:rFonts w:ascii="Palatino Linotype" w:hAnsi="Palatino Linotype" w:cs="Tahoma"/>
          <w:sz w:val="22"/>
          <w:szCs w:val="22"/>
          <w:lang w:eastAsia="es-MX"/>
        </w:rPr>
        <w:t xml:space="preserve">. </w:t>
      </w:r>
    </w:p>
    <w:p w14:paraId="60E0B85C" w14:textId="77777777" w:rsidR="005526B1" w:rsidRDefault="005526B1" w:rsidP="009D30F1">
      <w:pPr>
        <w:spacing w:line="360" w:lineRule="auto"/>
        <w:contextualSpacing/>
        <w:jc w:val="both"/>
        <w:rPr>
          <w:rFonts w:ascii="Palatino Linotype" w:hAnsi="Palatino Linotype" w:cs="Tahoma"/>
          <w:sz w:val="22"/>
          <w:szCs w:val="22"/>
          <w:lang w:eastAsia="es-MX"/>
        </w:rPr>
      </w:pPr>
    </w:p>
    <w:p w14:paraId="409B68C6" w14:textId="08CE396A" w:rsidR="009D30F1" w:rsidRPr="003743F9" w:rsidRDefault="005526B1" w:rsidP="009D30F1">
      <w:pPr>
        <w:spacing w:line="360" w:lineRule="auto"/>
        <w:contextualSpacing/>
        <w:jc w:val="both"/>
        <w:rPr>
          <w:rFonts w:ascii="Palatino Linotype" w:hAnsi="Palatino Linotype" w:cs="Tahoma"/>
          <w:b/>
          <w:color w:val="0D0D0D"/>
          <w:sz w:val="22"/>
          <w:szCs w:val="22"/>
        </w:rPr>
      </w:pPr>
      <w:r>
        <w:rPr>
          <w:rFonts w:ascii="Palatino Linotype" w:hAnsi="Palatino Linotype" w:cs="Tahoma"/>
          <w:sz w:val="22"/>
          <w:szCs w:val="22"/>
          <w:lang w:eastAsia="es-MX"/>
        </w:rPr>
        <w:t xml:space="preserve">Así pues, se retoma el </w:t>
      </w:r>
      <w:r w:rsidR="009D30F1" w:rsidRPr="00D54028">
        <w:rPr>
          <w:rFonts w:ascii="Palatino Linotype" w:hAnsi="Palatino Linotype" w:cs="Tahoma"/>
          <w:color w:val="0D0D0D"/>
          <w:sz w:val="22"/>
          <w:szCs w:val="22"/>
        </w:rPr>
        <w:t xml:space="preserve">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009D30F1" w:rsidRPr="00D54028">
        <w:rPr>
          <w:rFonts w:ascii="Palatino Linotype" w:hAnsi="Palatino Linotype" w:cs="Tahoma"/>
          <w:b/>
          <w:color w:val="0D0D0D"/>
          <w:sz w:val="22"/>
          <w:szCs w:val="22"/>
        </w:rPr>
        <w:t>análisis caso por caso.</w:t>
      </w:r>
    </w:p>
    <w:p w14:paraId="250F3AF7" w14:textId="77777777" w:rsidR="009D30F1" w:rsidRPr="003743F9" w:rsidRDefault="009D30F1" w:rsidP="009D30F1">
      <w:pPr>
        <w:spacing w:line="360" w:lineRule="auto"/>
        <w:jc w:val="both"/>
        <w:rPr>
          <w:rFonts w:ascii="Palatino Linotype" w:hAnsi="Palatino Linotype" w:cs="Tahoma"/>
          <w:b/>
          <w:color w:val="0D0D0D"/>
          <w:sz w:val="22"/>
          <w:szCs w:val="22"/>
        </w:rPr>
      </w:pPr>
    </w:p>
    <w:p w14:paraId="4D69F476" w14:textId="7FF29AA1" w:rsidR="009D30F1" w:rsidRPr="005526B1" w:rsidRDefault="005526B1" w:rsidP="005526B1">
      <w:pPr>
        <w:spacing w:line="360" w:lineRule="auto"/>
        <w:jc w:val="both"/>
        <w:rPr>
          <w:rFonts w:ascii="Palatino Linotype" w:hAnsi="Palatino Linotype" w:cs="Tahoma"/>
          <w:color w:val="0D0D0D"/>
          <w:sz w:val="22"/>
          <w:szCs w:val="22"/>
        </w:rPr>
      </w:pPr>
      <w:r>
        <w:rPr>
          <w:rFonts w:ascii="Palatino Linotype" w:hAnsi="Palatino Linotype" w:cs="Tahoma"/>
          <w:color w:val="0D0D0D"/>
          <w:sz w:val="22"/>
          <w:szCs w:val="22"/>
        </w:rPr>
        <w:t>Asimismo,</w:t>
      </w:r>
      <w:r w:rsidR="009D30F1" w:rsidRPr="003743F9">
        <w:rPr>
          <w:rFonts w:ascii="Palatino Linotype" w:hAnsi="Palatino Linotype" w:cs="Tahoma"/>
          <w:color w:val="0D0D0D"/>
          <w:sz w:val="22"/>
          <w:szCs w:val="22"/>
        </w:rPr>
        <w:t xml:space="preserve"> el artículo 131 de la Ley referida, así como el Quinto de los Lineamientos Generales, establecen que los sujetos obligados </w:t>
      </w:r>
      <w:r w:rsidR="009D30F1" w:rsidRPr="003743F9">
        <w:rPr>
          <w:rFonts w:ascii="Palatino Linotype" w:hAnsi="Palatino Linotype" w:cs="Tahoma"/>
          <w:b/>
          <w:color w:val="0D0D0D"/>
          <w:sz w:val="22"/>
          <w:szCs w:val="22"/>
        </w:rPr>
        <w:t>deberán fundar y motivar</w:t>
      </w:r>
      <w:r w:rsidR="009D30F1" w:rsidRPr="003743F9">
        <w:rPr>
          <w:rFonts w:ascii="Palatino Linotype" w:hAnsi="Palatino Linotype" w:cs="Tahoma"/>
          <w:color w:val="0D0D0D"/>
          <w:sz w:val="22"/>
          <w:szCs w:val="22"/>
        </w:rPr>
        <w:t xml:space="preserve"> debidamente la </w:t>
      </w:r>
      <w:r>
        <w:rPr>
          <w:rFonts w:ascii="Palatino Linotype" w:hAnsi="Palatino Linotype" w:cs="Tahoma"/>
          <w:color w:val="0D0D0D"/>
          <w:sz w:val="22"/>
          <w:szCs w:val="22"/>
        </w:rPr>
        <w:t>clasificación de la información; cuestión que se analizó en líneas anteriores.</w:t>
      </w:r>
    </w:p>
    <w:p w14:paraId="74D421B0" w14:textId="77777777" w:rsidR="009D30F1" w:rsidRPr="003743F9" w:rsidRDefault="009D30F1" w:rsidP="009D30F1">
      <w:pPr>
        <w:spacing w:line="360" w:lineRule="auto"/>
        <w:jc w:val="both"/>
        <w:rPr>
          <w:rFonts w:ascii="Palatino Linotype" w:hAnsi="Palatino Linotype" w:cs="Tahoma"/>
          <w:color w:val="0D0D0D"/>
          <w:sz w:val="22"/>
          <w:szCs w:val="22"/>
        </w:rPr>
      </w:pPr>
    </w:p>
    <w:p w14:paraId="091D6071" w14:textId="77777777" w:rsidR="009D30F1" w:rsidRPr="003743F9" w:rsidRDefault="009D30F1" w:rsidP="009D30F1">
      <w:pPr>
        <w:spacing w:line="360" w:lineRule="auto"/>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En ese orden de ideas, el Trigésimo tercero de los Lineamientos Generales establece la forma en que se debe fundamentar y motivar la reserva de la información, es decir, a través de los siguientes pasos:</w:t>
      </w:r>
    </w:p>
    <w:p w14:paraId="47097A22" w14:textId="77777777" w:rsidR="009D30F1" w:rsidRPr="003743F9" w:rsidRDefault="009D30F1" w:rsidP="009D30F1">
      <w:pPr>
        <w:spacing w:line="360" w:lineRule="auto"/>
        <w:jc w:val="both"/>
        <w:rPr>
          <w:rFonts w:ascii="Palatino Linotype" w:hAnsi="Palatino Linotype" w:cs="Tahoma"/>
          <w:color w:val="0D0D0D"/>
          <w:szCs w:val="22"/>
        </w:rPr>
      </w:pPr>
    </w:p>
    <w:p w14:paraId="519F5533" w14:textId="77777777" w:rsidR="009D30F1" w:rsidRPr="003743F9" w:rsidRDefault="009D30F1" w:rsidP="009D30F1">
      <w:pPr>
        <w:numPr>
          <w:ilvl w:val="0"/>
          <w:numId w:val="33"/>
        </w:numPr>
        <w:spacing w:line="360" w:lineRule="auto"/>
        <w:contextualSpacing/>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6894601D" w14:textId="77777777" w:rsidR="009D30F1" w:rsidRPr="003743F9" w:rsidRDefault="009D30F1" w:rsidP="009D30F1">
      <w:pPr>
        <w:spacing w:line="360" w:lineRule="auto"/>
        <w:ind w:left="720"/>
        <w:contextualSpacing/>
        <w:jc w:val="both"/>
        <w:rPr>
          <w:rFonts w:ascii="Palatino Linotype" w:hAnsi="Palatino Linotype" w:cs="Tahoma"/>
          <w:color w:val="0D0D0D"/>
          <w:sz w:val="22"/>
          <w:szCs w:val="22"/>
        </w:rPr>
      </w:pPr>
    </w:p>
    <w:p w14:paraId="1F382988" w14:textId="77777777" w:rsidR="009D30F1" w:rsidRDefault="009D30F1" w:rsidP="009D30F1">
      <w:pPr>
        <w:numPr>
          <w:ilvl w:val="0"/>
          <w:numId w:val="3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 demostrar que la publicidad de la información generaría un riesgo de perjuicio, que rebasa el interés público;</w:t>
      </w:r>
    </w:p>
    <w:p w14:paraId="489DF696" w14:textId="77777777" w:rsidR="009D30F1" w:rsidRDefault="009D30F1" w:rsidP="009D30F1">
      <w:pPr>
        <w:pStyle w:val="Prrafodelista"/>
        <w:rPr>
          <w:rFonts w:ascii="Palatino Linotype" w:hAnsi="Palatino Linotype" w:cs="Tahoma"/>
          <w:color w:val="0D0D0D"/>
          <w:szCs w:val="22"/>
          <w:lang w:val="es-ES"/>
        </w:rPr>
      </w:pPr>
    </w:p>
    <w:p w14:paraId="6F09AA76" w14:textId="77777777" w:rsidR="009D30F1" w:rsidRPr="003743F9" w:rsidRDefault="009D30F1" w:rsidP="009D30F1">
      <w:pPr>
        <w:numPr>
          <w:ilvl w:val="0"/>
          <w:numId w:val="3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acreditará el vínculo entre la difusión de la información y la afectación del interés jurídico tutelado;</w:t>
      </w:r>
    </w:p>
    <w:p w14:paraId="60DD6621" w14:textId="77777777" w:rsidR="009D30F1" w:rsidRPr="003743F9" w:rsidRDefault="009D30F1" w:rsidP="009D30F1">
      <w:pPr>
        <w:spacing w:line="360" w:lineRule="auto"/>
        <w:ind w:left="720"/>
        <w:contextualSpacing/>
        <w:rPr>
          <w:rFonts w:ascii="Palatino Linotype" w:hAnsi="Palatino Linotype" w:cs="Tahoma"/>
          <w:color w:val="0D0D0D"/>
          <w:sz w:val="22"/>
          <w:szCs w:val="22"/>
          <w:lang w:val="es-ES"/>
        </w:rPr>
      </w:pPr>
    </w:p>
    <w:p w14:paraId="28A3E42B" w14:textId="77777777" w:rsidR="009D30F1" w:rsidRPr="003743F9" w:rsidRDefault="009D30F1" w:rsidP="009D30F1">
      <w:pPr>
        <w:numPr>
          <w:ilvl w:val="0"/>
          <w:numId w:val="3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14:paraId="327519D7" w14:textId="77777777" w:rsidR="009D30F1" w:rsidRPr="003743F9" w:rsidRDefault="009D30F1" w:rsidP="009D30F1">
      <w:pPr>
        <w:spacing w:line="360" w:lineRule="auto"/>
        <w:ind w:left="720"/>
        <w:contextualSpacing/>
        <w:rPr>
          <w:rFonts w:ascii="Palatino Linotype" w:hAnsi="Palatino Linotype" w:cs="Tahoma"/>
          <w:color w:val="0D0D0D"/>
          <w:sz w:val="22"/>
          <w:szCs w:val="22"/>
          <w:lang w:val="es-ES"/>
        </w:rPr>
      </w:pPr>
    </w:p>
    <w:p w14:paraId="516D2D3D" w14:textId="77777777" w:rsidR="009D30F1" w:rsidRPr="003743F9" w:rsidRDefault="009D30F1" w:rsidP="009D30F1">
      <w:pPr>
        <w:numPr>
          <w:ilvl w:val="0"/>
          <w:numId w:val="3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deberán señalar las circunstancias de modo, tiempo y lugar del daño, y</w:t>
      </w:r>
    </w:p>
    <w:p w14:paraId="646D58B8" w14:textId="77777777" w:rsidR="009D30F1" w:rsidRPr="003743F9" w:rsidRDefault="009D30F1" w:rsidP="009D30F1">
      <w:pPr>
        <w:spacing w:line="360" w:lineRule="auto"/>
        <w:ind w:left="720"/>
        <w:contextualSpacing/>
        <w:rPr>
          <w:rFonts w:ascii="Palatino Linotype" w:hAnsi="Palatino Linotype" w:cs="Tahoma"/>
          <w:color w:val="0D0D0D"/>
          <w:sz w:val="22"/>
          <w:szCs w:val="22"/>
          <w:lang w:val="es-ES"/>
        </w:rPr>
      </w:pPr>
    </w:p>
    <w:p w14:paraId="51F189B2" w14:textId="77777777" w:rsidR="009D30F1" w:rsidRPr="003743F9" w:rsidRDefault="009D30F1" w:rsidP="009D30F1">
      <w:pPr>
        <w:numPr>
          <w:ilvl w:val="0"/>
          <w:numId w:val="33"/>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14:paraId="3A3C5F5C" w14:textId="77777777" w:rsidR="009D30F1" w:rsidRDefault="009D30F1" w:rsidP="009D30F1">
      <w:pPr>
        <w:spacing w:line="360" w:lineRule="auto"/>
        <w:jc w:val="both"/>
        <w:rPr>
          <w:rFonts w:ascii="Palatino Linotype" w:hAnsi="Palatino Linotype" w:cs="Tahoma"/>
          <w:color w:val="0D0D0D"/>
          <w:sz w:val="22"/>
          <w:szCs w:val="22"/>
          <w:lang w:val="es-ES"/>
        </w:rPr>
      </w:pPr>
    </w:p>
    <w:p w14:paraId="3E229C49" w14:textId="77777777" w:rsidR="005526B1" w:rsidRDefault="009D30F1" w:rsidP="005526B1">
      <w:pPr>
        <w:spacing w:line="360" w:lineRule="auto"/>
        <w:jc w:val="both"/>
        <w:rPr>
          <w:rFonts w:ascii="Palatino Linotype" w:eastAsia="Calibri" w:hAnsi="Palatino Linotype" w:cs="Tahoma"/>
          <w:bCs/>
          <w:sz w:val="22"/>
          <w:szCs w:val="22"/>
          <w:lang w:eastAsia="en-US"/>
        </w:rPr>
      </w:pPr>
      <w:r>
        <w:rPr>
          <w:rFonts w:ascii="Palatino Linotype" w:hAnsi="Palatino Linotype" w:cs="Tahoma"/>
          <w:color w:val="0D0D0D"/>
          <w:sz w:val="22"/>
          <w:szCs w:val="22"/>
          <w:lang w:val="es-ES"/>
        </w:rPr>
        <w:t xml:space="preserve">De acuerdo con lo expuesto, </w:t>
      </w:r>
      <w:r w:rsidRPr="003743F9">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Sujeto Obligado</w:t>
      </w:r>
      <w:r w:rsidRPr="003743F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fundar y motivar la existencia de información reserva al momento del cumplimiento del Recurso, con la entrega del Acta del Comité con </w:t>
      </w:r>
      <w:r w:rsidRPr="003743F9">
        <w:rPr>
          <w:rFonts w:ascii="Palatino Linotype" w:eastAsia="Calibri" w:hAnsi="Palatino Linotype" w:cs="Tahoma"/>
          <w:bCs/>
          <w:sz w:val="22"/>
          <w:szCs w:val="22"/>
          <w:lang w:eastAsia="en-US"/>
        </w:rPr>
        <w:t>la prueba de daño</w:t>
      </w:r>
      <w:r>
        <w:rPr>
          <w:rFonts w:ascii="Palatino Linotype" w:eastAsia="Calibri" w:hAnsi="Palatino Linotype" w:cs="Tahoma"/>
          <w:bCs/>
          <w:sz w:val="22"/>
          <w:szCs w:val="22"/>
          <w:lang w:eastAsia="en-US"/>
        </w:rPr>
        <w:t xml:space="preserve"> respectiva</w:t>
      </w:r>
      <w:r w:rsidRPr="003743F9">
        <w:rPr>
          <w:rFonts w:ascii="Palatino Linotype" w:eastAsia="Calibri" w:hAnsi="Palatino Linotype" w:cs="Tahoma"/>
          <w:bCs/>
          <w:sz w:val="22"/>
          <w:szCs w:val="22"/>
          <w:lang w:eastAsia="en-US"/>
        </w:rPr>
        <w:t>,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r>
        <w:rPr>
          <w:rFonts w:ascii="Palatino Linotype" w:eastAsia="Calibri" w:hAnsi="Palatino Linotype" w:cs="Tahoma"/>
          <w:bCs/>
          <w:sz w:val="22"/>
          <w:szCs w:val="22"/>
          <w:lang w:eastAsia="en-US"/>
        </w:rPr>
        <w:t>, en términos d</w:t>
      </w:r>
      <w:r w:rsidRPr="003743F9">
        <w:rPr>
          <w:rFonts w:ascii="Palatino Linotype" w:eastAsia="Calibri" w:hAnsi="Palatino Linotype" w:cs="Tahoma"/>
          <w:bCs/>
          <w:sz w:val="22"/>
          <w:szCs w:val="22"/>
          <w:lang w:eastAsia="en-US"/>
        </w:rPr>
        <w:t>el Trigésimo tercero de los Lineamientos Generales, relacionado con el artículo 129 de la Ley de Transparencia y Acceso a la Información Pública del Estado de México y Municipios</w:t>
      </w:r>
      <w:r w:rsidR="005526B1">
        <w:rPr>
          <w:rFonts w:ascii="Palatino Linotype" w:eastAsia="Calibri" w:hAnsi="Palatino Linotype" w:cs="Tahoma"/>
          <w:bCs/>
          <w:sz w:val="22"/>
          <w:szCs w:val="22"/>
          <w:lang w:eastAsia="en-US"/>
        </w:rPr>
        <w:t>, de acuerdo con lo siguiente:</w:t>
      </w:r>
    </w:p>
    <w:p w14:paraId="31E5FDB2" w14:textId="77777777" w:rsidR="005526B1" w:rsidRDefault="005526B1" w:rsidP="005526B1">
      <w:pPr>
        <w:spacing w:line="360" w:lineRule="auto"/>
        <w:jc w:val="both"/>
        <w:rPr>
          <w:rFonts w:ascii="Palatino Linotype" w:eastAsia="Calibri" w:hAnsi="Palatino Linotype" w:cs="Tahoma"/>
          <w:bCs/>
          <w:sz w:val="22"/>
          <w:szCs w:val="22"/>
          <w:lang w:eastAsia="en-US"/>
        </w:rPr>
      </w:pPr>
    </w:p>
    <w:p w14:paraId="45A982DA" w14:textId="50D26127" w:rsidR="009D30F1" w:rsidRPr="00D74FD7" w:rsidRDefault="005526B1" w:rsidP="005526B1">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E</w:t>
      </w:r>
      <w:r w:rsidR="009D30F1" w:rsidRPr="00D74FD7">
        <w:rPr>
          <w:rFonts w:ascii="Palatino Linotype" w:eastAsia="Calibri" w:hAnsi="Palatino Linotype" w:cs="Tahoma"/>
          <w:iCs/>
          <w:sz w:val="22"/>
          <w:szCs w:val="22"/>
          <w:lang w:val="es-ES" w:eastAsia="es-ES_tradnl"/>
        </w:rPr>
        <w:t>l</w:t>
      </w:r>
      <w:r w:rsidR="009D30F1" w:rsidRPr="00D74FD7">
        <w:rPr>
          <w:rFonts w:ascii="Palatino Linotype" w:eastAsia="Calibri" w:hAnsi="Palatino Linotype" w:cs="Tahoma"/>
          <w:b/>
          <w:iCs/>
          <w:sz w:val="22"/>
          <w:szCs w:val="22"/>
          <w:lang w:val="es-ES" w:eastAsia="es-ES_tradnl"/>
        </w:rPr>
        <w:t xml:space="preserve"> </w:t>
      </w:r>
      <w:r w:rsidR="009D30F1" w:rsidRPr="00D74FD7">
        <w:rPr>
          <w:rFonts w:ascii="Palatino Linotype" w:eastAsia="Calibri" w:hAnsi="Palatino Linotype" w:cs="Tahoma"/>
          <w:iCs/>
          <w:sz w:val="22"/>
          <w:szCs w:val="22"/>
          <w:lang w:val="es-ES" w:eastAsia="es-ES_tradnl"/>
        </w:rPr>
        <w:t xml:space="preserve">artículo 140, fracción IV, de la Ley de Transparencia y Acceso a la Información Pública del Estado de México y Municipios, </w:t>
      </w:r>
      <w:r w:rsidR="009D30F1">
        <w:rPr>
          <w:rFonts w:ascii="Palatino Linotype" w:eastAsia="Calibri" w:hAnsi="Palatino Linotype" w:cs="Tahoma"/>
          <w:iCs/>
          <w:sz w:val="22"/>
          <w:szCs w:val="22"/>
          <w:lang w:val="es-ES" w:eastAsia="es-ES_tradnl"/>
        </w:rPr>
        <w:t>(</w:t>
      </w:r>
      <w:r w:rsidR="009D30F1" w:rsidRPr="00D74FD7">
        <w:rPr>
          <w:rFonts w:ascii="Palatino Linotype" w:eastAsia="Calibri" w:hAnsi="Palatino Linotype" w:cs="Tahoma"/>
          <w:iCs/>
          <w:sz w:val="22"/>
          <w:szCs w:val="22"/>
          <w:lang w:val="es-ES" w:eastAsia="es-ES_tradnl"/>
        </w:rPr>
        <w:t>homólogo a parte del artículo 113, fracción V de la Ley General de Transparencia y Acceso a la Información Pública), prevé lo siguiente:</w:t>
      </w:r>
    </w:p>
    <w:p w14:paraId="130DCACD" w14:textId="77777777" w:rsidR="009D30F1" w:rsidRPr="00D74FD7" w:rsidRDefault="009D30F1" w:rsidP="009D30F1">
      <w:pPr>
        <w:spacing w:line="360" w:lineRule="auto"/>
        <w:jc w:val="both"/>
        <w:rPr>
          <w:rFonts w:ascii="Palatino Linotype" w:eastAsia="Calibri" w:hAnsi="Palatino Linotype" w:cs="Tahoma"/>
          <w:bCs/>
          <w:sz w:val="22"/>
          <w:szCs w:val="22"/>
          <w:lang w:eastAsia="en-US"/>
        </w:rPr>
      </w:pPr>
    </w:p>
    <w:p w14:paraId="1329D9A4" w14:textId="5F42580D" w:rsidR="009D30F1" w:rsidRPr="00D74FD7" w:rsidRDefault="009D30F1" w:rsidP="009D30F1">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478F20C6" w14:textId="70515DDC" w:rsidR="009D30F1" w:rsidRPr="00D74FD7" w:rsidRDefault="005526B1" w:rsidP="009D30F1">
      <w:pPr>
        <w:tabs>
          <w:tab w:val="left" w:pos="4962"/>
        </w:tabs>
        <w:spacing w:line="360" w:lineRule="auto"/>
        <w:ind w:left="567" w:right="567"/>
        <w:jc w:val="both"/>
        <w:rPr>
          <w:rFonts w:ascii="Palatino Linotype" w:eastAsia="Calibri" w:hAnsi="Palatino Linotype" w:cs="Tahoma"/>
          <w:i/>
          <w:iCs/>
          <w:lang w:val="es-ES" w:eastAsia="es-ES_tradnl"/>
        </w:rPr>
      </w:pPr>
      <w:r>
        <w:rPr>
          <w:rFonts w:ascii="Palatino Linotype" w:eastAsia="Calibri" w:hAnsi="Palatino Linotype" w:cs="Tahoma"/>
          <w:i/>
          <w:iCs/>
          <w:lang w:val="es-ES" w:eastAsia="es-ES_tradnl"/>
        </w:rPr>
        <w:t>I al III</w:t>
      </w:r>
      <w:r w:rsidR="009D30F1" w:rsidRPr="00446D1D">
        <w:rPr>
          <w:rFonts w:ascii="Palatino Linotype" w:eastAsia="Calibri" w:hAnsi="Palatino Linotype" w:cs="Tahoma"/>
          <w:i/>
          <w:iCs/>
          <w:lang w:val="es-ES" w:eastAsia="es-ES_tradnl"/>
        </w:rPr>
        <w:t>…</w:t>
      </w:r>
    </w:p>
    <w:p w14:paraId="58E92E9C" w14:textId="77777777" w:rsidR="009D30F1" w:rsidRPr="00D74FD7" w:rsidRDefault="009D30F1" w:rsidP="009D30F1">
      <w:pPr>
        <w:tabs>
          <w:tab w:val="left" w:pos="4962"/>
        </w:tabs>
        <w:spacing w:line="36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w:t>
      </w:r>
      <w:r w:rsidRPr="005526B1">
        <w:rPr>
          <w:rFonts w:ascii="Palatino Linotype" w:eastAsia="Calibri" w:hAnsi="Palatino Linotype" w:cs="Tahoma"/>
          <w:b/>
          <w:i/>
          <w:iCs/>
          <w:lang w:eastAsia="es-ES_tradnl"/>
        </w:rPr>
        <w:t>onga en riesgo la vida, la seguridad o la salud de una persona física;</w:t>
      </w:r>
    </w:p>
    <w:p w14:paraId="04ADF8FB" w14:textId="01F8E937" w:rsidR="009D30F1" w:rsidRDefault="005526B1" w:rsidP="009D30F1">
      <w:pPr>
        <w:tabs>
          <w:tab w:val="left" w:pos="4962"/>
        </w:tabs>
        <w:spacing w:line="360" w:lineRule="auto"/>
        <w:ind w:left="567" w:right="567"/>
        <w:jc w:val="both"/>
        <w:rPr>
          <w:rFonts w:ascii="Palatino Linotype" w:eastAsia="Calibri" w:hAnsi="Palatino Linotype" w:cs="Tahoma"/>
          <w:i/>
          <w:iCs/>
          <w:lang w:val="es-ES" w:eastAsia="es-ES_tradnl"/>
        </w:rPr>
      </w:pPr>
      <w:r>
        <w:rPr>
          <w:rFonts w:ascii="Palatino Linotype" w:eastAsia="Calibri" w:hAnsi="Palatino Linotype" w:cs="Tahoma"/>
          <w:i/>
          <w:iCs/>
          <w:lang w:val="es-ES" w:eastAsia="es-ES_tradnl"/>
        </w:rPr>
        <w:t>V al XI…</w:t>
      </w:r>
    </w:p>
    <w:p w14:paraId="318ECB80" w14:textId="77777777" w:rsidR="005526B1" w:rsidRPr="00341AC3" w:rsidRDefault="005526B1" w:rsidP="005526B1">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213574A6" w14:textId="77777777" w:rsidR="009D30F1" w:rsidRPr="00D74FD7" w:rsidRDefault="009D30F1" w:rsidP="009D30F1">
      <w:pPr>
        <w:spacing w:line="360" w:lineRule="auto"/>
        <w:jc w:val="both"/>
        <w:rPr>
          <w:rFonts w:ascii="Palatino Linotype" w:eastAsia="Calibri" w:hAnsi="Palatino Linotype" w:cs="Tahoma"/>
          <w:bCs/>
          <w:sz w:val="22"/>
          <w:szCs w:val="22"/>
          <w:lang w:eastAsia="en-US"/>
        </w:rPr>
      </w:pPr>
    </w:p>
    <w:p w14:paraId="1AC8D860" w14:textId="02B5A4C2" w:rsidR="009D30F1" w:rsidRPr="00D74FD7" w:rsidRDefault="009D30F1" w:rsidP="009D30F1">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eastAsia="Calibri" w:hAnsi="Palatino Linotype" w:cs="Tahoma"/>
          <w:bCs/>
          <w:sz w:val="22"/>
          <w:szCs w:val="22"/>
          <w:lang w:eastAsia="en-US"/>
        </w:rPr>
        <w:t>; para acreditar</w:t>
      </w:r>
      <w:r w:rsidR="00544985">
        <w:rPr>
          <w:rFonts w:ascii="Palatino Linotype" w:eastAsia="Calibri" w:hAnsi="Palatino Linotype" w:cs="Tahoma"/>
          <w:bCs/>
          <w:sz w:val="22"/>
          <w:szCs w:val="22"/>
          <w:lang w:eastAsia="en-US"/>
        </w:rPr>
        <w:t>lo</w:t>
      </w:r>
      <w:r>
        <w:rPr>
          <w:rFonts w:ascii="Palatino Linotype" w:eastAsia="Calibri" w:hAnsi="Palatino Linotype" w:cs="Tahoma"/>
          <w:bCs/>
          <w:sz w:val="22"/>
          <w:szCs w:val="22"/>
          <w:lang w:eastAsia="en-US"/>
        </w:rPr>
        <w:t xml:space="preserve">, </w:t>
      </w:r>
      <w:r w:rsidRPr="00D74FD7">
        <w:rPr>
          <w:rFonts w:ascii="Palatino Linotype" w:eastAsia="Calibri" w:hAnsi="Palatino Linotype" w:cs="Tahoma"/>
          <w:bCs/>
          <w:sz w:val="22"/>
          <w:szCs w:val="22"/>
          <w:lang w:eastAsia="en-US"/>
        </w:rPr>
        <w:t xml:space="preserve">los </w:t>
      </w:r>
      <w:r w:rsidRPr="00D74FD7">
        <w:rPr>
          <w:rFonts w:ascii="Palatino Linotype" w:eastAsia="Calibri" w:hAnsi="Palatino Linotype" w:cs="Tahoma"/>
          <w:bCs/>
          <w:sz w:val="22"/>
          <w:szCs w:val="22"/>
          <w:lang w:val="es-ES" w:eastAsia="en-US"/>
        </w:rPr>
        <w:t>Lineamientos Generales</w:t>
      </w:r>
      <w:r>
        <w:rPr>
          <w:rFonts w:ascii="Palatino Linotype" w:eastAsia="Calibri" w:hAnsi="Palatino Linotype" w:cs="Tahoma"/>
          <w:bCs/>
          <w:sz w:val="22"/>
          <w:szCs w:val="22"/>
          <w:lang w:val="es-ES" w:eastAsia="en-US"/>
        </w:rPr>
        <w:t>,</w:t>
      </w:r>
      <w:r w:rsidRPr="00D74FD7">
        <w:rPr>
          <w:rFonts w:ascii="Palatino Linotype" w:eastAsia="Calibri" w:hAnsi="Palatino Linotype" w:cs="Tahoma"/>
          <w:bCs/>
          <w:sz w:val="22"/>
          <w:szCs w:val="22"/>
          <w:lang w:eastAsia="en-US"/>
        </w:rPr>
        <w:t xml:space="preserve"> establecen lo siguiente:</w:t>
      </w:r>
    </w:p>
    <w:p w14:paraId="2621AD13" w14:textId="77777777" w:rsidR="009D30F1" w:rsidRPr="00D74FD7" w:rsidRDefault="009D30F1" w:rsidP="009D30F1">
      <w:pPr>
        <w:spacing w:line="360" w:lineRule="auto"/>
        <w:jc w:val="both"/>
        <w:rPr>
          <w:rFonts w:ascii="Palatino Linotype" w:eastAsia="Calibri" w:hAnsi="Palatino Linotype" w:cs="Tahoma"/>
          <w:bCs/>
          <w:sz w:val="22"/>
          <w:szCs w:val="22"/>
          <w:lang w:eastAsia="en-US"/>
        </w:rPr>
      </w:pPr>
    </w:p>
    <w:p w14:paraId="74F96F57" w14:textId="36FF00A4" w:rsidR="009D30F1" w:rsidRDefault="009D30F1" w:rsidP="009D30F1">
      <w:pPr>
        <w:spacing w:line="360" w:lineRule="auto"/>
        <w:ind w:left="567" w:right="567"/>
        <w:jc w:val="both"/>
        <w:rPr>
          <w:rFonts w:ascii="Palatino Linotype" w:eastAsia="Calibri" w:hAnsi="Palatino Linotype" w:cs="Tahoma"/>
          <w:bCs/>
          <w:i/>
          <w:lang w:eastAsia="en-US"/>
        </w:rPr>
      </w:pPr>
      <w:r w:rsidRPr="00D74FD7">
        <w:rPr>
          <w:rFonts w:ascii="Palatino Linotype" w:eastAsia="Calibri" w:hAnsi="Palatino Linotype" w:cs="Tahoma"/>
          <w:b/>
          <w:bCs/>
          <w:i/>
          <w:lang w:eastAsia="en-US"/>
        </w:rPr>
        <w:t xml:space="preserve">Vigésimo tercero. </w:t>
      </w:r>
      <w:r w:rsidRPr="00D74FD7">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20315AB6" w14:textId="77777777" w:rsidR="009D30F1" w:rsidRPr="00D74FD7" w:rsidRDefault="009D30F1" w:rsidP="009D30F1">
      <w:pPr>
        <w:spacing w:line="360" w:lineRule="auto"/>
        <w:ind w:left="567" w:right="567"/>
        <w:jc w:val="both"/>
        <w:rPr>
          <w:rFonts w:ascii="Palatino Linotype" w:eastAsia="Calibri" w:hAnsi="Palatino Linotype" w:cs="Tahoma"/>
          <w:bCs/>
          <w:i/>
          <w:lang w:eastAsia="en-US"/>
        </w:rPr>
      </w:pPr>
    </w:p>
    <w:p w14:paraId="2071C692" w14:textId="77777777" w:rsidR="009D30F1" w:rsidRPr="00D74FD7" w:rsidRDefault="009D30F1" w:rsidP="009D30F1">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D74FD7">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D74FD7">
        <w:rPr>
          <w:rFonts w:ascii="Palatino Linotype" w:eastAsia="Calibri" w:hAnsi="Palatino Linotype" w:cs="Tahoma"/>
          <w:bCs/>
          <w:sz w:val="22"/>
          <w:szCs w:val="22"/>
          <w:lang w:eastAsia="en-US"/>
        </w:rPr>
        <w:t>.</w:t>
      </w:r>
    </w:p>
    <w:p w14:paraId="47DB8955" w14:textId="77777777" w:rsidR="009D30F1" w:rsidRPr="00D74FD7" w:rsidRDefault="009D30F1" w:rsidP="009D30F1">
      <w:pPr>
        <w:spacing w:line="360" w:lineRule="auto"/>
        <w:jc w:val="both"/>
        <w:rPr>
          <w:rFonts w:ascii="Palatino Linotype" w:eastAsia="Calibri" w:hAnsi="Palatino Linotype" w:cs="Tahoma"/>
          <w:bCs/>
          <w:sz w:val="22"/>
          <w:szCs w:val="22"/>
          <w:lang w:eastAsia="en-US"/>
        </w:rPr>
      </w:pPr>
    </w:p>
    <w:p w14:paraId="4C3067DB" w14:textId="77777777" w:rsidR="009D30F1" w:rsidRDefault="009D30F1" w:rsidP="009D30F1">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Además, el artículo 81, fracción III, de la Ley de Seguridad del Estado de México, establece lo siguiente:</w:t>
      </w:r>
    </w:p>
    <w:p w14:paraId="780D1E90"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p>
    <w:p w14:paraId="2A5A6AA2" w14:textId="6FC86ED7" w:rsidR="009D30F1" w:rsidRPr="00167D79" w:rsidRDefault="009D30F1" w:rsidP="009D30F1">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
          <w:bCs/>
          <w:i/>
          <w:lang w:eastAsia="en-US"/>
        </w:rPr>
        <w:t>Artículo 81.-</w:t>
      </w:r>
      <w:r w:rsidRPr="00167D79">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9B9871D" w14:textId="12A726F1" w:rsidR="009D30F1" w:rsidRPr="00167D79" w:rsidRDefault="005526B1" w:rsidP="009D30F1">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Cs/>
          <w:i/>
          <w:lang w:eastAsia="en-US"/>
        </w:rPr>
        <w:t>I al II</w:t>
      </w:r>
      <w:r w:rsidR="009D30F1" w:rsidRPr="00167D79">
        <w:rPr>
          <w:rFonts w:ascii="Palatino Linotype" w:eastAsia="Calibri" w:hAnsi="Palatino Linotype" w:cs="Tahoma"/>
          <w:bCs/>
          <w:i/>
          <w:lang w:eastAsia="en-US"/>
        </w:rPr>
        <w:t>…</w:t>
      </w:r>
    </w:p>
    <w:p w14:paraId="0D816191" w14:textId="77777777" w:rsidR="009D30F1" w:rsidRPr="005526B1" w:rsidRDefault="009D30F1" w:rsidP="009D30F1">
      <w:pPr>
        <w:spacing w:line="360" w:lineRule="auto"/>
        <w:ind w:left="567" w:right="567"/>
        <w:jc w:val="both"/>
        <w:rPr>
          <w:rFonts w:ascii="Palatino Linotype" w:eastAsia="Calibri" w:hAnsi="Palatino Linotype" w:cs="Tahoma"/>
          <w:b/>
          <w:bCs/>
          <w:i/>
          <w:lang w:eastAsia="en-US"/>
        </w:rPr>
      </w:pPr>
      <w:r w:rsidRPr="00167D79">
        <w:rPr>
          <w:rFonts w:ascii="Palatino Linotype" w:eastAsia="Calibri" w:hAnsi="Palatino Linotype" w:cs="Tahoma"/>
          <w:bCs/>
          <w:i/>
          <w:lang w:eastAsia="en-US"/>
        </w:rPr>
        <w:t>III. La r</w:t>
      </w:r>
      <w:r w:rsidRPr="005526B1">
        <w:rPr>
          <w:rFonts w:ascii="Palatino Linotype" w:eastAsia="Calibri" w:hAnsi="Palatino Linotype" w:cs="Tahoma"/>
          <w:b/>
          <w:bCs/>
          <w:i/>
          <w:lang w:eastAsia="en-US"/>
        </w:rPr>
        <w:t>elativa a los servidores públicos integrantes de las instituciones de seguridad pública, cuya revelación pueda poner en riesgo su vida e integridad física con motivo de sus funciones;</w:t>
      </w:r>
    </w:p>
    <w:p w14:paraId="3788BF15" w14:textId="48901B50" w:rsidR="009D30F1" w:rsidRDefault="005526B1" w:rsidP="009D30F1">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Cs/>
          <w:i/>
          <w:lang w:eastAsia="en-US"/>
        </w:rPr>
        <w:t>IV al V…</w:t>
      </w:r>
    </w:p>
    <w:p w14:paraId="47255806" w14:textId="77777777" w:rsidR="005526B1" w:rsidRPr="00341AC3" w:rsidRDefault="005526B1" w:rsidP="005526B1">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14176671" w14:textId="77777777" w:rsidR="009D30F1" w:rsidRPr="003D5DCE" w:rsidRDefault="009D30F1" w:rsidP="009D30F1">
      <w:pPr>
        <w:spacing w:line="360" w:lineRule="auto"/>
        <w:jc w:val="both"/>
        <w:rPr>
          <w:rFonts w:ascii="Palatino Linotype" w:eastAsia="Calibri" w:hAnsi="Palatino Linotype" w:cs="Tahoma"/>
          <w:bCs/>
          <w:lang w:eastAsia="en-US"/>
        </w:rPr>
      </w:pPr>
    </w:p>
    <w:p w14:paraId="774482B0" w14:textId="281776F0" w:rsidR="009D30F1" w:rsidRDefault="009D30F1" w:rsidP="009D30F1">
      <w:pPr>
        <w:spacing w:line="360" w:lineRule="auto"/>
        <w:jc w:val="both"/>
        <w:rPr>
          <w:rFonts w:ascii="Palatino Linotype" w:eastAsia="Calibri" w:hAnsi="Palatino Linotype" w:cs="Tahoma"/>
          <w:bCs/>
          <w:sz w:val="22"/>
          <w:szCs w:val="22"/>
          <w:lang w:eastAsia="en-US"/>
        </w:rPr>
      </w:pPr>
      <w:r w:rsidRPr="003D5DCE">
        <w:rPr>
          <w:rFonts w:ascii="Palatino Linotype" w:hAnsi="Palatino Linotype" w:cs="Tahoma"/>
          <w:sz w:val="22"/>
          <w:szCs w:val="22"/>
        </w:rPr>
        <w:t>Conforme al artículo</w:t>
      </w:r>
      <w:r w:rsidR="005526B1">
        <w:rPr>
          <w:rFonts w:ascii="Palatino Linotype" w:hAnsi="Palatino Linotype" w:cs="Tahoma"/>
          <w:sz w:val="22"/>
          <w:szCs w:val="22"/>
        </w:rPr>
        <w:t xml:space="preserve"> citado</w:t>
      </w:r>
      <w:r w:rsidRPr="003D5DCE">
        <w:rPr>
          <w:rFonts w:ascii="Palatino Linotype" w:hAnsi="Palatino Linotype" w:cs="Tahoma"/>
          <w:sz w:val="22"/>
          <w:szCs w:val="22"/>
        </w:rPr>
        <w:t>, se desprende que es reservada toda aquella información de los servidores públicos integrantes de las instituciones de seguridad pública, cuya revelación pueda poner en riesgo su vida e integridad física con motivo de sus funciones.</w:t>
      </w:r>
      <w:r w:rsidR="00DE66AD">
        <w:rPr>
          <w:rFonts w:ascii="Palatino Linotype" w:hAnsi="Palatino Linotype" w:cs="Tahoma"/>
          <w:sz w:val="22"/>
          <w:szCs w:val="22"/>
        </w:rPr>
        <w:t xml:space="preserve"> </w:t>
      </w:r>
      <w:r>
        <w:rPr>
          <w:rFonts w:ascii="Palatino Linotype" w:eastAsia="Calibri" w:hAnsi="Palatino Linotype" w:cs="Tahoma"/>
          <w:bCs/>
          <w:sz w:val="22"/>
          <w:szCs w:val="22"/>
          <w:lang w:eastAsia="en-US"/>
        </w:rPr>
        <w:t xml:space="preserve">En ese contexto, tal como se precisó en párrafos anteriores, </w:t>
      </w:r>
      <w:r w:rsidRPr="00AE3BD8">
        <w:rPr>
          <w:rFonts w:ascii="Palatino Linotype" w:eastAsia="Calibri" w:hAnsi="Palatino Linotype" w:cs="Tahoma"/>
          <w:b/>
          <w:bCs/>
          <w:sz w:val="22"/>
          <w:szCs w:val="22"/>
          <w:lang w:eastAsia="en-US"/>
        </w:rPr>
        <w:t>los datos de servidores públicos</w:t>
      </w:r>
      <w:r>
        <w:rPr>
          <w:rFonts w:ascii="Palatino Linotype" w:eastAsia="Calibri" w:hAnsi="Palatino Linotype" w:cs="Tahoma"/>
          <w:b/>
          <w:bCs/>
          <w:sz w:val="22"/>
          <w:szCs w:val="22"/>
          <w:lang w:eastAsia="en-US"/>
        </w:rPr>
        <w:t>, entre los que se encuentran el nombre de los trabajadores</w:t>
      </w:r>
      <w:r w:rsidRPr="00AE3BD8">
        <w:rPr>
          <w:rFonts w:ascii="Palatino Linotype" w:eastAsia="Calibri" w:hAnsi="Palatino Linotype" w:cs="Tahoma"/>
          <w:b/>
          <w:bCs/>
          <w:sz w:val="22"/>
          <w:szCs w:val="22"/>
          <w:lang w:eastAsia="en-US"/>
        </w:rPr>
        <w:t xml:space="preserve">, por regla general, </w:t>
      </w:r>
      <w:r w:rsidRPr="00AE3BD8">
        <w:rPr>
          <w:rFonts w:ascii="Palatino Linotype" w:eastAsia="Calibri" w:hAnsi="Palatino Linotype" w:cs="Tahoma"/>
          <w:bCs/>
          <w:sz w:val="22"/>
          <w:szCs w:val="22"/>
          <w:lang w:eastAsia="en-US"/>
        </w:rPr>
        <w:t>son de naturaleza pública, ya que su publicidad orienta a cumplir los objetivos que persigue la Ley.</w:t>
      </w:r>
    </w:p>
    <w:p w14:paraId="1A56913A" w14:textId="77777777" w:rsidR="009D30F1" w:rsidRDefault="009D30F1" w:rsidP="009D30F1">
      <w:pPr>
        <w:spacing w:line="360" w:lineRule="auto"/>
        <w:jc w:val="both"/>
        <w:rPr>
          <w:rFonts w:ascii="Palatino Linotype" w:eastAsia="Calibri" w:hAnsi="Palatino Linotype" w:cs="Tahoma"/>
          <w:bCs/>
          <w:sz w:val="22"/>
          <w:szCs w:val="22"/>
          <w:lang w:eastAsia="en-US"/>
        </w:rPr>
      </w:pPr>
    </w:p>
    <w:p w14:paraId="060E1825" w14:textId="77777777" w:rsidR="009D30F1" w:rsidRPr="003D5DCE" w:rsidRDefault="009D30F1" w:rsidP="009D30F1">
      <w:pPr>
        <w:spacing w:line="360" w:lineRule="auto"/>
        <w:jc w:val="both"/>
        <w:rPr>
          <w:rFonts w:ascii="Palatino Linotype" w:hAnsi="Palatino Linotype" w:cs="Tahoma"/>
          <w:sz w:val="22"/>
          <w:szCs w:val="22"/>
        </w:rPr>
      </w:pPr>
      <w:r w:rsidRPr="003D5DCE">
        <w:rPr>
          <w:rFonts w:ascii="Palatino Linotype" w:eastAsia="Calibri" w:hAnsi="Palatino Linotype"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65C0EE26" w14:textId="77777777" w:rsidR="009D30F1" w:rsidRPr="00F87CCD" w:rsidRDefault="009D30F1" w:rsidP="009D30F1">
      <w:pPr>
        <w:spacing w:line="360" w:lineRule="auto"/>
        <w:jc w:val="both"/>
        <w:rPr>
          <w:rFonts w:ascii="Palatino Linotype" w:hAnsi="Palatino Linotype" w:cs="Tahoma"/>
          <w:i/>
          <w:sz w:val="22"/>
          <w:szCs w:val="22"/>
        </w:rPr>
      </w:pPr>
    </w:p>
    <w:p w14:paraId="357D162D" w14:textId="33F8DBE6" w:rsidR="009D30F1" w:rsidRPr="00F87CCD" w:rsidRDefault="009D30F1" w:rsidP="009D30F1">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w:t>
      </w:r>
      <w:r w:rsidR="005526B1">
        <w:rPr>
          <w:rFonts w:ascii="Palatino Linotype" w:hAnsi="Palatino Linotype" w:cs="Tahoma"/>
          <w:i/>
          <w:szCs w:val="22"/>
        </w:rPr>
        <w:t>s en sus diferentes vertientes.</w:t>
      </w:r>
    </w:p>
    <w:p w14:paraId="1AC8852E"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p>
    <w:p w14:paraId="19A9FE78"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9940362"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p>
    <w:p w14:paraId="094CEBAF" w14:textId="001F4874" w:rsidR="009D30F1" w:rsidRPr="003D5DCE" w:rsidRDefault="009D30F1" w:rsidP="009D30F1">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En ese orden de ideas, si bien por regla general los nombres de los </w:t>
      </w:r>
      <w:r>
        <w:rPr>
          <w:rFonts w:ascii="Palatino Linotype" w:eastAsia="Calibri" w:hAnsi="Palatino Linotype" w:cs="Tahoma"/>
          <w:bCs/>
          <w:sz w:val="22"/>
          <w:szCs w:val="22"/>
          <w:lang w:eastAsia="en-US"/>
        </w:rPr>
        <w:t>trabajadores gubernamentales</w:t>
      </w:r>
      <w:r w:rsidRPr="003D5DCE">
        <w:rPr>
          <w:rFonts w:ascii="Palatino Linotype" w:eastAsia="Calibri" w:hAnsi="Palatino Linotype" w:cs="Tahoma"/>
          <w:bCs/>
          <w:sz w:val="22"/>
          <w:szCs w:val="22"/>
          <w:lang w:eastAsia="en-US"/>
        </w:rPr>
        <w:t xml:space="preserve"> son información pública de oficio, existe una excepción relativa a </w:t>
      </w:r>
      <w:r w:rsidRPr="003D5DCE">
        <w:rPr>
          <w:rFonts w:ascii="Palatino Linotype" w:eastAsia="Calibri" w:hAnsi="Palatino Linotype" w:cs="Tahoma"/>
          <w:b/>
          <w:bCs/>
          <w:sz w:val="22"/>
          <w:szCs w:val="22"/>
          <w:lang w:eastAsia="en-US"/>
        </w:rPr>
        <w:t>aquellos que realicen actividades operativas en materia de seguridad,</w:t>
      </w:r>
      <w:r>
        <w:rPr>
          <w:rFonts w:ascii="Palatino Linotype" w:eastAsia="Calibri" w:hAnsi="Palatino Linotype" w:cs="Tahoma"/>
          <w:bCs/>
          <w:sz w:val="22"/>
          <w:szCs w:val="22"/>
          <w:lang w:eastAsia="en-US"/>
        </w:rPr>
        <w:t xml:space="preserve"> como es el caso de los elementos operativos y la</w:t>
      </w:r>
      <w:r w:rsidRPr="003D5DCE">
        <w:rPr>
          <w:rFonts w:ascii="Palatino Linotype" w:eastAsia="Calibri" w:hAnsi="Palatino Linotype" w:cs="Tahoma"/>
          <w:bCs/>
          <w:sz w:val="22"/>
          <w:szCs w:val="22"/>
          <w:lang w:eastAsia="en-US"/>
        </w:rPr>
        <w:t xml:space="preserve"> policía municipal.</w:t>
      </w:r>
      <w:r w:rsidR="00DE66AD">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Al respecto,  el artículo 4</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66FA4FDF"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p>
    <w:p w14:paraId="2BD6F9CD"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7139F481"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p>
    <w:p w14:paraId="5765DA32" w14:textId="77777777" w:rsidR="009D30F1" w:rsidRPr="003D5DCE" w:rsidRDefault="009D30F1" w:rsidP="009D30F1">
      <w:pPr>
        <w:pStyle w:val="Prrafodelista"/>
        <w:numPr>
          <w:ilvl w:val="0"/>
          <w:numId w:val="28"/>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Policiales: </w:t>
      </w:r>
      <w:r w:rsidRPr="003D5DCE">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eastAsia="Calibri" w:hAnsi="Palatino Linotype" w:cs="Tahoma"/>
          <w:b/>
          <w:bCs/>
          <w:szCs w:val="22"/>
          <w:lang w:eastAsia="en-US"/>
        </w:rPr>
        <w:t>todas las dependencias encargadas de la seguridad pública a nivel</w:t>
      </w:r>
      <w:r w:rsidRPr="003D5DCE">
        <w:rPr>
          <w:rFonts w:ascii="Palatino Linotype" w:eastAsia="Calibri" w:hAnsi="Palatino Linotype" w:cs="Tahoma"/>
          <w:bCs/>
          <w:szCs w:val="22"/>
          <w:lang w:eastAsia="en-US"/>
        </w:rPr>
        <w:t xml:space="preserve"> estatal y </w:t>
      </w:r>
      <w:r w:rsidRPr="003D5DCE">
        <w:rPr>
          <w:rFonts w:ascii="Palatino Linotype" w:eastAsia="Calibri" w:hAnsi="Palatino Linotype" w:cs="Tahoma"/>
          <w:b/>
          <w:bCs/>
          <w:szCs w:val="22"/>
          <w:lang w:eastAsia="en-US"/>
        </w:rPr>
        <w:t>municipal.</w:t>
      </w:r>
    </w:p>
    <w:p w14:paraId="79708834" w14:textId="77777777" w:rsidR="009D30F1" w:rsidRPr="003D5DCE" w:rsidRDefault="009D30F1" w:rsidP="009D30F1">
      <w:pPr>
        <w:pStyle w:val="Prrafodelista"/>
        <w:spacing w:line="360" w:lineRule="auto"/>
        <w:jc w:val="both"/>
        <w:rPr>
          <w:rFonts w:ascii="Palatino Linotype" w:eastAsia="Calibri" w:hAnsi="Palatino Linotype" w:cs="Tahoma"/>
          <w:bCs/>
          <w:szCs w:val="22"/>
          <w:lang w:eastAsia="en-US"/>
        </w:rPr>
      </w:pPr>
    </w:p>
    <w:p w14:paraId="6D261D23" w14:textId="77777777" w:rsidR="009D30F1" w:rsidRDefault="009D30F1" w:rsidP="009D30F1">
      <w:pPr>
        <w:pStyle w:val="Prrafodelista"/>
        <w:numPr>
          <w:ilvl w:val="0"/>
          <w:numId w:val="28"/>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de Seguridad Pública: </w:t>
      </w:r>
      <w:r w:rsidRPr="003D5DCE">
        <w:rPr>
          <w:rFonts w:ascii="Palatino Linotype" w:eastAsia="Calibri" w:hAnsi="Palatino Linotype" w:cs="Tahoma"/>
          <w:bCs/>
          <w:szCs w:val="22"/>
          <w:lang w:eastAsia="en-US"/>
        </w:rPr>
        <w:t xml:space="preserve">Instituciones Policiales, Procuración de Justicia, Sistema Penitenciario y </w:t>
      </w:r>
      <w:r w:rsidRPr="003D5DCE">
        <w:rPr>
          <w:rFonts w:ascii="Palatino Linotype" w:eastAsia="Calibri" w:hAnsi="Palatino Linotype" w:cs="Tahoma"/>
          <w:b/>
          <w:bCs/>
          <w:szCs w:val="22"/>
          <w:lang w:eastAsia="en-US"/>
        </w:rPr>
        <w:t xml:space="preserve">dependencias encargadas de la seguridad pública a nivel </w:t>
      </w:r>
      <w:r w:rsidRPr="003D5DCE">
        <w:rPr>
          <w:rFonts w:ascii="Palatino Linotype" w:eastAsia="Calibri" w:hAnsi="Palatino Linotype" w:cs="Tahoma"/>
          <w:bCs/>
          <w:szCs w:val="22"/>
          <w:lang w:eastAsia="en-US"/>
        </w:rPr>
        <w:t xml:space="preserve">estatal y </w:t>
      </w:r>
      <w:r w:rsidRPr="003D5DCE">
        <w:rPr>
          <w:rFonts w:ascii="Palatino Linotype" w:eastAsia="Calibri" w:hAnsi="Palatino Linotype" w:cs="Tahoma"/>
          <w:b/>
          <w:bCs/>
          <w:szCs w:val="22"/>
          <w:lang w:eastAsia="en-US"/>
        </w:rPr>
        <w:t>municipal.</w:t>
      </w:r>
    </w:p>
    <w:p w14:paraId="6A38B76E" w14:textId="77777777" w:rsidR="009D30F1" w:rsidRPr="00F912B8" w:rsidRDefault="009D30F1" w:rsidP="009D30F1">
      <w:pPr>
        <w:pStyle w:val="Prrafodelista"/>
        <w:rPr>
          <w:rFonts w:ascii="Palatino Linotype" w:eastAsia="Calibri" w:hAnsi="Palatino Linotype" w:cs="Tahoma"/>
          <w:b/>
          <w:bCs/>
          <w:szCs w:val="22"/>
          <w:lang w:eastAsia="en-US"/>
        </w:rPr>
      </w:pPr>
    </w:p>
    <w:p w14:paraId="1CE1F092" w14:textId="2A6A7504" w:rsidR="009D30F1" w:rsidRPr="003D5DCE" w:rsidRDefault="009D30F1" w:rsidP="009D30F1">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iCs/>
          <w:sz w:val="22"/>
          <w:lang w:val="es-ES" w:eastAsia="es-ES_tradnl"/>
        </w:rPr>
        <w:t>Conforme a lo anterior</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se puede deducir que la </w:t>
      </w:r>
      <w:r>
        <w:rPr>
          <w:rFonts w:ascii="Palatino Linotype" w:eastAsia="Calibri" w:hAnsi="Palatino Linotype" w:cs="Tahoma"/>
          <w:bCs/>
          <w:sz w:val="22"/>
          <w:szCs w:val="22"/>
          <w:lang w:eastAsia="en-US"/>
        </w:rPr>
        <w:t>Dirección de</w:t>
      </w:r>
      <w:r w:rsidRPr="00CB64F1">
        <w:rPr>
          <w:rFonts w:ascii="Palatino Linotype" w:eastAsia="Calibri" w:hAnsi="Palatino Linotype" w:cs="Tahoma"/>
          <w:bCs/>
          <w:sz w:val="22"/>
          <w:szCs w:val="22"/>
          <w:lang w:eastAsia="en-US"/>
        </w:rPr>
        <w:t xml:space="preserve"> Seguridad Pública Municipal</w:t>
      </w:r>
      <w:r w:rsidRPr="003D5DCE">
        <w:rPr>
          <w:rFonts w:ascii="Palatino Linotype" w:eastAsia="Calibri" w:hAnsi="Palatino Linotype" w:cs="Tahoma"/>
          <w:bCs/>
          <w:sz w:val="22"/>
          <w:szCs w:val="22"/>
          <w:lang w:eastAsia="en-US"/>
        </w:rPr>
        <w:t>,</w:t>
      </w:r>
      <w:r w:rsidR="00176BF7">
        <w:rPr>
          <w:rFonts w:ascii="Palatino Linotype" w:eastAsia="Calibri" w:hAnsi="Palatino Linotype" w:cs="Tahoma"/>
          <w:bCs/>
          <w:sz w:val="22"/>
          <w:szCs w:val="22"/>
          <w:lang w:eastAsia="en-US"/>
        </w:rPr>
        <w:t xml:space="preserve"> o su equivalente;</w:t>
      </w:r>
      <w:r w:rsidRPr="003D5DCE">
        <w:rPr>
          <w:rFonts w:ascii="Palatino Linotype" w:eastAsia="Calibri" w:hAnsi="Palatino Linotype" w:cs="Tahoma"/>
          <w:bCs/>
          <w:sz w:val="22"/>
          <w:szCs w:val="22"/>
          <w:lang w:eastAsia="en-US"/>
        </w:rPr>
        <w:t xml:space="preserve"> es una </w:t>
      </w:r>
      <w:r>
        <w:rPr>
          <w:rFonts w:ascii="Palatino Linotype" w:eastAsia="Calibri" w:hAnsi="Palatino Linotype" w:cs="Tahoma"/>
          <w:bCs/>
          <w:sz w:val="22"/>
          <w:szCs w:val="22"/>
          <w:lang w:eastAsia="en-US"/>
        </w:rPr>
        <w:t>i</w:t>
      </w:r>
      <w:r w:rsidRPr="003D5DCE">
        <w:rPr>
          <w:rFonts w:ascii="Palatino Linotype" w:eastAsia="Calibri" w:hAnsi="Palatino Linotype" w:cs="Tahoma"/>
          <w:bCs/>
          <w:sz w:val="22"/>
          <w:szCs w:val="22"/>
          <w:lang w:eastAsia="en-US"/>
        </w:rPr>
        <w:t xml:space="preserve">nstitución de </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eguridad </w:t>
      </w:r>
      <w:r>
        <w:rPr>
          <w:rFonts w:ascii="Palatino Linotype" w:eastAsia="Calibri" w:hAnsi="Palatino Linotype" w:cs="Tahoma"/>
          <w:bCs/>
          <w:sz w:val="22"/>
          <w:szCs w:val="22"/>
          <w:lang w:eastAsia="en-US"/>
        </w:rPr>
        <w:t>p</w:t>
      </w:r>
      <w:r w:rsidRPr="003D5DCE">
        <w:rPr>
          <w:rFonts w:ascii="Palatino Linotype" w:eastAsia="Calibri" w:hAnsi="Palatino Linotype" w:cs="Tahoma"/>
          <w:bCs/>
          <w:sz w:val="22"/>
          <w:szCs w:val="22"/>
          <w:lang w:eastAsia="en-US"/>
        </w:rPr>
        <w:t>ública, pues tiene como atribución principal resguardar el orden público y la paz social, la prevención de delitos y la inhibición de manifestaciones de conductas antisociales.</w:t>
      </w:r>
    </w:p>
    <w:p w14:paraId="22D6E350" w14:textId="77777777" w:rsidR="009D30F1" w:rsidRDefault="009D30F1" w:rsidP="009D30F1">
      <w:pPr>
        <w:spacing w:line="360" w:lineRule="auto"/>
        <w:jc w:val="both"/>
        <w:rPr>
          <w:rFonts w:ascii="Palatino Linotype" w:eastAsia="Calibri" w:hAnsi="Palatino Linotype" w:cs="Tahoma"/>
          <w:bCs/>
          <w:sz w:val="22"/>
          <w:szCs w:val="22"/>
          <w:lang w:eastAsia="en-US"/>
        </w:rPr>
      </w:pPr>
    </w:p>
    <w:p w14:paraId="28DB3879" w14:textId="344378B5" w:rsidR="009D30F1" w:rsidRPr="00F912B8" w:rsidRDefault="009D30F1" w:rsidP="009D30F1">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Además</w:t>
      </w:r>
      <w:r w:rsidRPr="00F73E1A">
        <w:rPr>
          <w:rFonts w:ascii="Palatino Linotype" w:eastAsia="Calibri" w:hAnsi="Palatino Linotype" w:cs="Tahoma"/>
          <w:bCs/>
          <w:sz w:val="22"/>
          <w:szCs w:val="22"/>
          <w:lang w:val="es-ES" w:eastAsia="en-US"/>
        </w:rPr>
        <w:t xml:space="preserve">, </w:t>
      </w:r>
      <w:r w:rsidRPr="00F73E1A">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w:t>
      </w:r>
      <w:r w:rsidR="00176BF7" w:rsidRPr="00F73E1A">
        <w:rPr>
          <w:rFonts w:ascii="Palatino Linotype" w:eastAsia="Calibri" w:hAnsi="Palatino Linotype" w:cs="Tahoma"/>
          <w:bCs/>
          <w:sz w:val="22"/>
          <w:szCs w:val="22"/>
          <w:lang w:eastAsia="en-US"/>
        </w:rPr>
        <w:t>el</w:t>
      </w:r>
      <w:r w:rsidR="00176BF7">
        <w:rPr>
          <w:rFonts w:ascii="Palatino Linotype" w:eastAsia="Calibri" w:hAnsi="Palatino Linotype" w:cs="Tahoma"/>
          <w:bCs/>
          <w:sz w:val="22"/>
          <w:szCs w:val="22"/>
          <w:lang w:eastAsia="en-US"/>
        </w:rPr>
        <w:t xml:space="preserve"> ocho de marzo</w:t>
      </w:r>
      <w:r>
        <w:rPr>
          <w:rFonts w:ascii="Palatino Linotype" w:eastAsia="Calibri" w:hAnsi="Palatino Linotype" w:cs="Tahoma"/>
          <w:bCs/>
          <w:sz w:val="22"/>
          <w:szCs w:val="22"/>
          <w:lang w:eastAsia="en-US"/>
        </w:rPr>
        <w:t xml:space="preserve"> de dos mil veintidós</w:t>
      </w:r>
      <w:r w:rsidRPr="00F73E1A">
        <w:rPr>
          <w:rFonts w:ascii="Palatino Linotype" w:eastAsia="Calibri" w:hAnsi="Palatino Linotype" w:cs="Tahoma"/>
          <w:bCs/>
          <w:sz w:val="22"/>
          <w:szCs w:val="22"/>
          <w:lang w:eastAsia="en-US"/>
        </w:rPr>
        <w:t xml:space="preserve">, a las trece horas, en la liga electrónica </w:t>
      </w:r>
      <w:hyperlink r:id="rId21" w:history="1">
        <w:r w:rsidRPr="00F73E1A">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eastAsia="Calibri" w:hAnsi="Palatino Linotype" w:cs="Tahoma"/>
          <w:bCs/>
          <w:sz w:val="22"/>
          <w:szCs w:val="22"/>
          <w:lang w:eastAsia="en-US"/>
        </w:rPr>
        <w:t>), establece que los elementos operativos de seguridad pública, son aquellos que desempeñan funciones de campo (policiacas, especializadas o equiva</w:t>
      </w:r>
      <w:r w:rsidRPr="0048165F">
        <w:rPr>
          <w:rFonts w:ascii="Palatino Linotype" w:eastAsia="Calibri" w:hAnsi="Palatino Linotype" w:cs="Tahoma"/>
          <w:bCs/>
          <w:sz w:val="22"/>
          <w:szCs w:val="22"/>
          <w:lang w:eastAsia="en-US"/>
        </w:rPr>
        <w:t xml:space="preserve">lentes y que no </w:t>
      </w:r>
      <w:r w:rsidRPr="00F912B8">
        <w:rPr>
          <w:rFonts w:ascii="Palatino Linotype" w:eastAsia="Calibri" w:hAnsi="Palatino Linotype" w:cs="Tahoma"/>
          <w:b/>
          <w:bCs/>
          <w:sz w:val="22"/>
          <w:szCs w:val="22"/>
          <w:lang w:eastAsia="en-US"/>
        </w:rPr>
        <w:t>desempeña funciones de mando</w:t>
      </w:r>
      <w:r w:rsidRPr="00F912B8">
        <w:rPr>
          <w:rFonts w:ascii="Palatino Linotype" w:eastAsia="Calibri" w:hAnsi="Palatino Linotype" w:cs="Tahoma"/>
          <w:bCs/>
          <w:sz w:val="22"/>
          <w:szCs w:val="22"/>
          <w:lang w:eastAsia="en-US"/>
        </w:rPr>
        <w:t xml:space="preserve">), entre los cuales, se encuentra </w:t>
      </w:r>
      <w:r w:rsidRPr="00F912B8">
        <w:rPr>
          <w:rFonts w:ascii="Palatino Linotype" w:eastAsia="Calibri" w:hAnsi="Palatino Linotype" w:cs="Tahoma"/>
          <w:b/>
          <w:bCs/>
          <w:sz w:val="22"/>
          <w:szCs w:val="22"/>
          <w:lang w:eastAsia="en-US"/>
        </w:rPr>
        <w:t>la Policía Municipal</w:t>
      </w:r>
      <w:r w:rsidRPr="00F912B8">
        <w:rPr>
          <w:rFonts w:ascii="Palatino Linotype" w:eastAsia="Calibri" w:hAnsi="Palatino Linotype" w:cs="Tahoma"/>
          <w:bCs/>
          <w:sz w:val="22"/>
          <w:szCs w:val="22"/>
          <w:lang w:eastAsia="en-US"/>
        </w:rPr>
        <w:t>.</w:t>
      </w:r>
    </w:p>
    <w:p w14:paraId="7D124D93" w14:textId="77777777" w:rsidR="009D30F1" w:rsidRPr="00F912B8" w:rsidRDefault="009D30F1" w:rsidP="009D30F1">
      <w:pPr>
        <w:tabs>
          <w:tab w:val="left" w:pos="4962"/>
        </w:tabs>
        <w:spacing w:line="360" w:lineRule="auto"/>
        <w:ind w:right="-28"/>
        <w:jc w:val="both"/>
        <w:rPr>
          <w:rFonts w:ascii="Palatino Linotype" w:eastAsia="Calibri" w:hAnsi="Palatino Linotype" w:cs="Tahoma"/>
          <w:bCs/>
          <w:sz w:val="22"/>
          <w:szCs w:val="22"/>
          <w:lang w:eastAsia="en-US"/>
        </w:rPr>
      </w:pPr>
    </w:p>
    <w:p w14:paraId="4236F584" w14:textId="77777777" w:rsidR="009D30F1" w:rsidRPr="00F912B8" w:rsidRDefault="009D30F1" w:rsidP="009D30F1">
      <w:pPr>
        <w:tabs>
          <w:tab w:val="left" w:pos="4962"/>
        </w:tabs>
        <w:spacing w:line="360" w:lineRule="auto"/>
        <w:ind w:right="-28"/>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14:paraId="51759F32" w14:textId="77777777" w:rsidR="009D30F1" w:rsidRPr="00F912B8" w:rsidRDefault="009D30F1" w:rsidP="009D30F1">
      <w:pPr>
        <w:spacing w:line="360" w:lineRule="auto"/>
        <w:jc w:val="both"/>
        <w:rPr>
          <w:rFonts w:ascii="Palatino Linotype" w:eastAsia="Calibri" w:hAnsi="Palatino Linotype" w:cs="Tahoma"/>
          <w:bCs/>
          <w:sz w:val="22"/>
          <w:szCs w:val="22"/>
          <w:lang w:eastAsia="en-US"/>
        </w:rPr>
      </w:pPr>
    </w:p>
    <w:p w14:paraId="28691DA1" w14:textId="77777777" w:rsidR="009D30F1" w:rsidRPr="00F912B8" w:rsidRDefault="009D30F1" w:rsidP="009D30F1">
      <w:pPr>
        <w:spacing w:line="360" w:lineRule="auto"/>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63A26282" w14:textId="77777777" w:rsidR="009D30F1" w:rsidRPr="00F912B8" w:rsidRDefault="009D30F1" w:rsidP="009D30F1">
      <w:pPr>
        <w:spacing w:line="360" w:lineRule="auto"/>
        <w:jc w:val="both"/>
        <w:rPr>
          <w:rFonts w:ascii="Palatino Linotype" w:eastAsia="Calibri" w:hAnsi="Palatino Linotype" w:cs="Tahoma"/>
          <w:bCs/>
          <w:sz w:val="22"/>
          <w:szCs w:val="22"/>
          <w:lang w:eastAsia="en-US"/>
        </w:rPr>
      </w:pPr>
    </w:p>
    <w:p w14:paraId="67A9F7D5" w14:textId="77777777" w:rsidR="009D30F1" w:rsidRDefault="009D30F1" w:rsidP="009D30F1">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tal situación, se considera que dar a conocer el nombre</w:t>
      </w:r>
      <w:r>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de los</w:t>
      </w:r>
      <w:r>
        <w:rPr>
          <w:rFonts w:ascii="Palatino Linotype" w:eastAsia="Calibri" w:hAnsi="Palatino Linotype" w:cs="Tahoma"/>
          <w:bCs/>
          <w:sz w:val="22"/>
          <w:szCs w:val="22"/>
          <w:lang w:eastAsia="en-US"/>
        </w:rPr>
        <w:t xml:space="preserve"> elementos operativos, que incluye a los</w:t>
      </w:r>
      <w:r w:rsidRPr="003D5DCE">
        <w:rPr>
          <w:rFonts w:ascii="Palatino Linotype" w:eastAsia="Calibri" w:hAnsi="Palatino Linotype" w:cs="Tahoma"/>
          <w:bCs/>
          <w:sz w:val="22"/>
          <w:szCs w:val="22"/>
          <w:lang w:eastAsia="en-US"/>
        </w:rPr>
        <w:t xml:space="preserve">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E9581B7" w14:textId="77777777" w:rsidR="009D30F1" w:rsidRPr="003D5DCE" w:rsidRDefault="009D30F1" w:rsidP="009D30F1">
      <w:pPr>
        <w:spacing w:line="360" w:lineRule="auto"/>
        <w:jc w:val="both"/>
        <w:rPr>
          <w:rFonts w:ascii="Palatino Linotype" w:eastAsia="Calibri" w:hAnsi="Palatino Linotype" w:cs="Tahoma"/>
          <w:bCs/>
          <w:sz w:val="22"/>
          <w:szCs w:val="22"/>
          <w:lang w:eastAsia="en-US"/>
        </w:rPr>
      </w:pPr>
    </w:p>
    <w:p w14:paraId="489E336E" w14:textId="77777777" w:rsidR="009D30F1" w:rsidRPr="003D5DCE" w:rsidRDefault="009D30F1" w:rsidP="009D30F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Sobre el particular</w:t>
      </w:r>
      <w:r w:rsidRPr="003D5DCE">
        <w:rPr>
          <w:rFonts w:ascii="Palatino Linotype" w:eastAsia="Calibri" w:hAnsi="Palatino Linotype"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827D6CD" w14:textId="77777777" w:rsidR="009D30F1" w:rsidRPr="003D5DCE" w:rsidRDefault="009D30F1" w:rsidP="009D30F1">
      <w:pPr>
        <w:tabs>
          <w:tab w:val="left" w:pos="4962"/>
        </w:tabs>
        <w:spacing w:line="360" w:lineRule="auto"/>
        <w:jc w:val="both"/>
        <w:rPr>
          <w:rFonts w:ascii="Palatino Linotype" w:eastAsia="Calibri" w:hAnsi="Palatino Linotype" w:cs="Tahoma"/>
          <w:iCs/>
          <w:sz w:val="22"/>
          <w:szCs w:val="22"/>
          <w:lang w:val="es-ES" w:eastAsia="es-ES_tradnl"/>
        </w:rPr>
      </w:pPr>
    </w:p>
    <w:p w14:paraId="2B68807E" w14:textId="77777777" w:rsidR="009D30F1" w:rsidRPr="003D5DCE" w:rsidRDefault="009D30F1" w:rsidP="009D30F1">
      <w:pPr>
        <w:numPr>
          <w:ilvl w:val="0"/>
          <w:numId w:val="29"/>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63162BBA" w14:textId="77777777" w:rsidR="009D30F1" w:rsidRPr="003D5DCE" w:rsidRDefault="009D30F1" w:rsidP="009D30F1">
      <w:pPr>
        <w:tabs>
          <w:tab w:val="left" w:pos="4962"/>
        </w:tabs>
        <w:spacing w:line="360" w:lineRule="auto"/>
        <w:jc w:val="both"/>
        <w:rPr>
          <w:rFonts w:ascii="Palatino Linotype" w:eastAsia="Calibri" w:hAnsi="Palatino Linotype" w:cs="Tahoma"/>
          <w:iCs/>
          <w:sz w:val="22"/>
          <w:szCs w:val="22"/>
          <w:lang w:eastAsia="es-ES_tradnl"/>
        </w:rPr>
      </w:pPr>
    </w:p>
    <w:p w14:paraId="6498631F" w14:textId="77777777" w:rsidR="009D30F1" w:rsidRPr="003D5DCE" w:rsidRDefault="009D30F1" w:rsidP="009D30F1">
      <w:pPr>
        <w:numPr>
          <w:ilvl w:val="0"/>
          <w:numId w:val="29"/>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El riesgo de perjuicio supera el interés público general de que se difunda.</w:t>
      </w:r>
    </w:p>
    <w:p w14:paraId="451F9353" w14:textId="77777777" w:rsidR="009D30F1" w:rsidRPr="003D5DCE" w:rsidRDefault="009D30F1" w:rsidP="009D30F1">
      <w:pPr>
        <w:tabs>
          <w:tab w:val="left" w:pos="4962"/>
        </w:tabs>
        <w:spacing w:line="360" w:lineRule="auto"/>
        <w:jc w:val="both"/>
        <w:rPr>
          <w:rFonts w:ascii="Palatino Linotype" w:eastAsia="Calibri" w:hAnsi="Palatino Linotype" w:cs="Tahoma"/>
          <w:iCs/>
          <w:sz w:val="22"/>
          <w:szCs w:val="22"/>
          <w:lang w:eastAsia="es-ES_tradnl"/>
        </w:rPr>
      </w:pPr>
    </w:p>
    <w:p w14:paraId="6763A2AE" w14:textId="77777777" w:rsidR="009D30F1" w:rsidRPr="003D5DCE" w:rsidRDefault="009D30F1" w:rsidP="009D30F1">
      <w:pPr>
        <w:numPr>
          <w:ilvl w:val="0"/>
          <w:numId w:val="29"/>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7464CAA5" w14:textId="77777777" w:rsidR="009D30F1" w:rsidRDefault="009D30F1" w:rsidP="009D30F1">
      <w:pPr>
        <w:spacing w:line="360" w:lineRule="auto"/>
        <w:jc w:val="both"/>
        <w:rPr>
          <w:rFonts w:ascii="Palatino Linotype" w:eastAsia="Calibri" w:hAnsi="Palatino Linotype" w:cs="Tahoma"/>
          <w:iCs/>
          <w:sz w:val="22"/>
          <w:szCs w:val="22"/>
          <w:lang w:eastAsia="es-ES_tradnl"/>
        </w:rPr>
      </w:pPr>
    </w:p>
    <w:p w14:paraId="59BF0930" w14:textId="77777777" w:rsidR="009D30F1" w:rsidRPr="003D5DCE" w:rsidRDefault="009D30F1" w:rsidP="009D30F1">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10D049FC" w14:textId="77777777" w:rsidR="009D30F1" w:rsidRPr="003D5DCE" w:rsidRDefault="009D30F1" w:rsidP="009D30F1">
      <w:pPr>
        <w:spacing w:line="360" w:lineRule="auto"/>
        <w:jc w:val="both"/>
        <w:rPr>
          <w:rFonts w:ascii="Palatino Linotype" w:eastAsia="Calibri" w:hAnsi="Palatino Linotype" w:cs="Tahoma"/>
          <w:iCs/>
          <w:sz w:val="22"/>
          <w:szCs w:val="22"/>
          <w:lang w:eastAsia="es-ES_tradnl"/>
        </w:rPr>
      </w:pPr>
    </w:p>
    <w:p w14:paraId="21B31055" w14:textId="091280E2" w:rsidR="009D30F1" w:rsidRDefault="009D30F1" w:rsidP="009D30F1">
      <w:pPr>
        <w:pStyle w:val="Prrafodelista"/>
        <w:numPr>
          <w:ilvl w:val="0"/>
          <w:numId w:val="30"/>
        </w:numPr>
        <w:spacing w:line="360" w:lineRule="auto"/>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w:t>
      </w:r>
      <w:r w:rsidR="00176BF7" w:rsidRPr="00EF72C0">
        <w:rPr>
          <w:rFonts w:ascii="Palatino Linotype" w:eastAsia="Calibri" w:hAnsi="Palatino Linotype" w:cs="Tahoma"/>
          <w:bCs/>
          <w:iCs/>
          <w:szCs w:val="22"/>
          <w:lang w:val="es-ES" w:eastAsia="en-US"/>
        </w:rPr>
        <w:t>Comisaría de Seguridad Ciudadana, Vialidad, Protección Civil y Bomberos</w:t>
      </w:r>
      <w:r>
        <w:rPr>
          <w:rFonts w:ascii="Palatino Linotype" w:eastAsia="Calibri" w:hAnsi="Palatino Linotype" w:cs="Tahoma"/>
          <w:bCs/>
          <w:szCs w:val="22"/>
          <w:lang w:eastAsia="en-US"/>
        </w:rPr>
        <w:t>.</w:t>
      </w:r>
    </w:p>
    <w:p w14:paraId="6D8640CD" w14:textId="77777777" w:rsidR="009D30F1" w:rsidRPr="00477EFC" w:rsidRDefault="009D30F1" w:rsidP="009D30F1">
      <w:pPr>
        <w:pStyle w:val="Prrafodelista"/>
        <w:spacing w:line="360" w:lineRule="auto"/>
        <w:jc w:val="both"/>
        <w:rPr>
          <w:rFonts w:ascii="Palatino Linotype" w:eastAsia="Calibri" w:hAnsi="Palatino Linotype" w:cs="Tahoma"/>
          <w:bCs/>
          <w:szCs w:val="22"/>
          <w:lang w:eastAsia="en-US"/>
        </w:rPr>
      </w:pPr>
    </w:p>
    <w:p w14:paraId="5270F3F4" w14:textId="77777777" w:rsidR="009D30F1" w:rsidRPr="003D5DCE" w:rsidRDefault="009D30F1" w:rsidP="009D30F1">
      <w:pPr>
        <w:pStyle w:val="Prrafodelista"/>
        <w:numPr>
          <w:ilvl w:val="0"/>
          <w:numId w:val="30"/>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524BBEAB" w14:textId="77777777" w:rsidR="009D30F1" w:rsidRPr="003D5DCE" w:rsidRDefault="009D30F1" w:rsidP="009D30F1">
      <w:pPr>
        <w:pStyle w:val="Prrafodelista"/>
        <w:spacing w:line="360" w:lineRule="auto"/>
        <w:jc w:val="both"/>
        <w:rPr>
          <w:rFonts w:ascii="Palatino Linotype" w:eastAsia="Calibri" w:hAnsi="Palatino Linotype" w:cs="Tahoma"/>
          <w:bCs/>
          <w:szCs w:val="22"/>
          <w:lang w:eastAsia="en-US"/>
        </w:rPr>
      </w:pPr>
    </w:p>
    <w:p w14:paraId="3EDE7698" w14:textId="77777777" w:rsidR="009D30F1" w:rsidRPr="003D5DCE" w:rsidRDefault="009D30F1" w:rsidP="009D30F1">
      <w:pPr>
        <w:pStyle w:val="Prrafodelista"/>
        <w:numPr>
          <w:ilvl w:val="0"/>
          <w:numId w:val="30"/>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los 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77788234" w14:textId="77777777" w:rsidR="009D30F1" w:rsidRDefault="009D30F1" w:rsidP="009D30F1">
      <w:pPr>
        <w:spacing w:line="360" w:lineRule="auto"/>
        <w:jc w:val="both"/>
        <w:rPr>
          <w:rFonts w:ascii="Palatino Linotype" w:eastAsia="Calibri" w:hAnsi="Palatino Linotype" w:cs="Tahoma"/>
          <w:bCs/>
          <w:sz w:val="22"/>
          <w:szCs w:val="22"/>
          <w:lang w:eastAsia="en-US"/>
        </w:rPr>
      </w:pPr>
    </w:p>
    <w:p w14:paraId="6527EEB0" w14:textId="7E3E3E7B" w:rsidR="009D30F1" w:rsidRDefault="009D30F1" w:rsidP="009D30F1">
      <w:pPr>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Cs/>
          <w:sz w:val="22"/>
          <w:szCs w:val="22"/>
          <w:lang w:eastAsia="en-US"/>
        </w:rPr>
        <w:t xml:space="preserve">Por tales consideraciones, </w:t>
      </w:r>
      <w:r w:rsidRPr="003D5DCE">
        <w:rPr>
          <w:rFonts w:ascii="Palatino Linotype" w:eastAsia="Calibri" w:hAnsi="Palatino Linotype" w:cs="Tahoma"/>
          <w:b/>
          <w:bCs/>
          <w:sz w:val="22"/>
          <w:szCs w:val="22"/>
          <w:lang w:eastAsia="en-US"/>
        </w:rPr>
        <w:t xml:space="preserve">resulta procedente la reserva </w:t>
      </w:r>
      <w:r>
        <w:rPr>
          <w:rFonts w:ascii="Palatino Linotype" w:eastAsia="Calibri" w:hAnsi="Palatino Linotype" w:cs="Tahoma"/>
          <w:b/>
          <w:bCs/>
          <w:sz w:val="22"/>
          <w:szCs w:val="22"/>
          <w:lang w:eastAsia="en-US"/>
        </w:rPr>
        <w:t xml:space="preserve">del nombre de los elementos operativos de la </w:t>
      </w:r>
      <w:r w:rsidR="001C287D" w:rsidRPr="001C287D">
        <w:rPr>
          <w:rFonts w:ascii="Palatino Linotype" w:eastAsia="Calibri" w:hAnsi="Palatino Linotype" w:cs="Tahoma"/>
          <w:b/>
          <w:bCs/>
          <w:sz w:val="22"/>
          <w:szCs w:val="22"/>
          <w:lang w:eastAsia="en-US"/>
        </w:rPr>
        <w:t xml:space="preserve">Comisaría de Seguridad Ciudadana, Vialidad, Protección Civil y Bomberos </w:t>
      </w:r>
      <w:r>
        <w:rPr>
          <w:rFonts w:ascii="Palatino Linotype" w:eastAsia="Calibri" w:hAnsi="Palatino Linotype" w:cs="Tahoma"/>
          <w:b/>
          <w:bCs/>
          <w:sz w:val="22"/>
          <w:szCs w:val="22"/>
          <w:lang w:eastAsia="en-US"/>
        </w:rPr>
        <w:t xml:space="preserve"> que se encuentren activos</w:t>
      </w:r>
      <w:r w:rsidRPr="003D5DCE">
        <w:rPr>
          <w:rFonts w:ascii="Palatino Linotype" w:eastAsia="Calibri" w:hAnsi="Palatino Linotype" w:cs="Tahoma"/>
          <w:b/>
          <w:bCs/>
          <w:sz w:val="22"/>
          <w:szCs w:val="22"/>
          <w:lang w:eastAsia="en-US"/>
        </w:rPr>
        <w:t xml:space="preserve">, en términos del artículo 140, fracción IV, de </w:t>
      </w:r>
      <w:r w:rsidRPr="003D5DCE">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47FCC20F" w14:textId="77777777" w:rsidR="009D30F1" w:rsidRPr="003D5DCE" w:rsidRDefault="009D30F1" w:rsidP="009D30F1">
      <w:pPr>
        <w:spacing w:line="360" w:lineRule="auto"/>
        <w:jc w:val="both"/>
        <w:rPr>
          <w:rFonts w:ascii="Palatino Linotype" w:eastAsia="Calibri" w:hAnsi="Palatino Linotype" w:cs="Tahoma"/>
          <w:b/>
          <w:iCs/>
          <w:sz w:val="22"/>
          <w:szCs w:val="22"/>
          <w:lang w:val="es-ES" w:eastAsia="es-ES_tradnl"/>
        </w:rPr>
      </w:pPr>
    </w:p>
    <w:p w14:paraId="46AD9769" w14:textId="77777777" w:rsidR="009D30F1" w:rsidRPr="0035618F" w:rsidRDefault="009D30F1" w:rsidP="009D30F1">
      <w:pPr>
        <w:autoSpaceDE w:val="0"/>
        <w:autoSpaceDN w:val="0"/>
        <w:spacing w:line="360" w:lineRule="auto"/>
        <w:jc w:val="both"/>
        <w:rPr>
          <w:rFonts w:ascii="Palatino Linotype" w:hAnsi="Palatino Linotype" w:cs="Tahoma"/>
          <w:bCs/>
          <w:sz w:val="22"/>
          <w:szCs w:val="22"/>
        </w:rPr>
      </w:pPr>
      <w:r w:rsidRPr="0035618F">
        <w:rPr>
          <w:rFonts w:ascii="Palatino Linotype" w:eastAsia="Calibri" w:hAnsi="Palatino Linotype" w:cs="Tahoma"/>
          <w:iCs/>
          <w:sz w:val="22"/>
          <w:szCs w:val="22"/>
          <w:lang w:val="es-ES" w:eastAsia="es-ES_tradnl"/>
        </w:rPr>
        <w:t>Finalmente,</w:t>
      </w:r>
      <w:r w:rsidRPr="0035618F">
        <w:rPr>
          <w:rFonts w:ascii="Palatino Linotype" w:eastAsia="Calibri" w:hAnsi="Palatino Linotype" w:cs="Tahoma"/>
          <w:b/>
          <w:iCs/>
          <w:sz w:val="22"/>
          <w:szCs w:val="22"/>
          <w:lang w:val="es-ES" w:eastAsia="es-ES_tradnl"/>
        </w:rPr>
        <w:t xml:space="preserve"> </w:t>
      </w:r>
      <w:r w:rsidRPr="0035618F">
        <w:rPr>
          <w:rFonts w:ascii="Palatino Linotype" w:eastAsia="Calibri" w:hAnsi="Palatino Linotype"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en las </w:t>
      </w:r>
      <w:r>
        <w:rPr>
          <w:rFonts w:ascii="Palatino Linotype" w:hAnsi="Palatino Linotype" w:cs="Tahoma"/>
          <w:sz w:val="22"/>
          <w:szCs w:val="22"/>
        </w:rPr>
        <w:t>versiones públicas, deberá clasificar el nombre de los elementos operativos en materia de seguridad, y proporcionar, su respectivo acuerdo de Clasificación.</w:t>
      </w:r>
    </w:p>
    <w:p w14:paraId="606EE8FA" w14:textId="77777777" w:rsidR="00EF3A04" w:rsidRPr="00971432" w:rsidRDefault="00EF3A04" w:rsidP="00971432">
      <w:pPr>
        <w:spacing w:line="360" w:lineRule="auto"/>
        <w:contextualSpacing/>
        <w:jc w:val="both"/>
        <w:rPr>
          <w:rFonts w:ascii="Palatino Linotype" w:hAnsi="Palatino Linotype" w:cs="Tahoma"/>
          <w:b/>
          <w:bCs/>
          <w:sz w:val="22"/>
          <w:szCs w:val="22"/>
        </w:rPr>
      </w:pPr>
    </w:p>
    <w:p w14:paraId="32A2E775" w14:textId="77777777" w:rsidR="007F70D5" w:rsidRPr="00971432" w:rsidRDefault="007F70D5" w:rsidP="00971432">
      <w:pPr>
        <w:spacing w:line="360" w:lineRule="auto"/>
        <w:contextualSpacing/>
        <w:jc w:val="both"/>
        <w:rPr>
          <w:rFonts w:ascii="Palatino Linotype" w:hAnsi="Palatino Linotype" w:cs="Tahoma"/>
          <w:b/>
          <w:bCs/>
          <w:sz w:val="22"/>
          <w:szCs w:val="22"/>
        </w:rPr>
      </w:pPr>
      <w:r w:rsidRPr="00971432">
        <w:rPr>
          <w:rFonts w:ascii="Palatino Linotype" w:hAnsi="Palatino Linotype" w:cs="Tahoma"/>
          <w:b/>
          <w:bCs/>
          <w:sz w:val="22"/>
          <w:szCs w:val="22"/>
        </w:rPr>
        <w:t>SEXTO. Versión pública.</w:t>
      </w:r>
    </w:p>
    <w:p w14:paraId="2E963E49" w14:textId="77777777" w:rsidR="007F70D5" w:rsidRPr="00971432" w:rsidRDefault="007F70D5" w:rsidP="00971432">
      <w:pPr>
        <w:spacing w:line="360" w:lineRule="auto"/>
        <w:contextualSpacing/>
        <w:jc w:val="both"/>
        <w:rPr>
          <w:rFonts w:ascii="Palatino Linotype" w:hAnsi="Palatino Linotype" w:cs="Tahoma"/>
          <w:b/>
          <w:bCs/>
          <w:sz w:val="22"/>
          <w:szCs w:val="22"/>
        </w:rPr>
      </w:pPr>
    </w:p>
    <w:p w14:paraId="54E034A2" w14:textId="77777777" w:rsidR="007F70D5" w:rsidRPr="00971432" w:rsidRDefault="007F70D5" w:rsidP="00971432">
      <w:pPr>
        <w:spacing w:line="360" w:lineRule="auto"/>
        <w:contextualSpacing/>
        <w:jc w:val="both"/>
        <w:rPr>
          <w:rFonts w:ascii="Palatino Linotype" w:hAnsi="Palatino Linotype" w:cs="Tahoma"/>
          <w:bCs/>
          <w:sz w:val="22"/>
          <w:szCs w:val="22"/>
        </w:rPr>
      </w:pPr>
      <w:r w:rsidRPr="00971432">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8501AF2"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7426858F"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4DEC261"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70D3A76D"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2CAF68A"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3F60BC03"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D199B8D"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5A71669C"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B7A4836"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2D311BC8"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0038B2A"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32FEBD59"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71B2D92B"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75423EA7" w14:textId="77777777" w:rsidR="007F70D5" w:rsidRPr="00971432" w:rsidRDefault="007F70D5" w:rsidP="00971432">
      <w:pPr>
        <w:numPr>
          <w:ilvl w:val="0"/>
          <w:numId w:val="5"/>
        </w:num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096A8C93" w14:textId="77777777" w:rsidR="007F70D5" w:rsidRPr="00971432" w:rsidRDefault="007F70D5" w:rsidP="00971432">
      <w:pPr>
        <w:numPr>
          <w:ilvl w:val="0"/>
          <w:numId w:val="5"/>
        </w:num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 xml:space="preserve">Para la difusión de los datos, se requiera el consentimiento del titular. </w:t>
      </w:r>
    </w:p>
    <w:p w14:paraId="579F9946"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20C80346"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4325D09"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0B27FC7D"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Además, en el artículo 5° de dicho ordenamiento jurídico, establece que es la Ley aplicable para todo tratamiento de datos personales.</w:t>
      </w:r>
    </w:p>
    <w:p w14:paraId="180DEF33"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699E3C4F"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67C9928"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250C9A67"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F8C3975"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718527C0"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C52E078"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327A2ED7"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463C061"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51D80DA6"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8906CEC"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07AF8EDA"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CB5627E"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5905F5A"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6EA6E8E4" w14:textId="2A19F01B" w:rsidR="007F70D5" w:rsidRPr="00971432" w:rsidRDefault="007F70D5" w:rsidP="00971432">
      <w:pPr>
        <w:tabs>
          <w:tab w:val="left" w:pos="709"/>
        </w:tabs>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971432">
        <w:rPr>
          <w:rFonts w:ascii="Palatino Linotype" w:hAnsi="Palatino Linotype" w:cs="Tahoma"/>
          <w:b/>
          <w:bCs/>
          <w:iCs/>
          <w:sz w:val="22"/>
          <w:szCs w:val="22"/>
        </w:rPr>
        <w:t>Registro Federal de Contribuyentes</w:t>
      </w:r>
      <w:r w:rsidRPr="00971432">
        <w:rPr>
          <w:rFonts w:ascii="Palatino Linotype" w:hAnsi="Palatino Linotype" w:cs="Tahoma"/>
          <w:bCs/>
          <w:iCs/>
          <w:sz w:val="22"/>
          <w:szCs w:val="22"/>
        </w:rPr>
        <w:t xml:space="preserve"> (RFC) y la </w:t>
      </w:r>
      <w:r w:rsidRPr="00971432">
        <w:rPr>
          <w:rFonts w:ascii="Palatino Linotype" w:hAnsi="Palatino Linotype" w:cs="Tahoma"/>
          <w:b/>
          <w:bCs/>
          <w:iCs/>
          <w:sz w:val="22"/>
          <w:szCs w:val="22"/>
        </w:rPr>
        <w:t>Clave Única de Registro de Población</w:t>
      </w:r>
      <w:r w:rsidRPr="00971432">
        <w:rPr>
          <w:rFonts w:ascii="Palatino Linotype" w:hAnsi="Palatino Linotype" w:cs="Tahoma"/>
          <w:bCs/>
          <w:iCs/>
          <w:sz w:val="22"/>
          <w:szCs w:val="22"/>
        </w:rPr>
        <w:t xml:space="preserve"> (CURP), clave de seguridad social, número de empleado </w:t>
      </w:r>
    </w:p>
    <w:p w14:paraId="144173EF"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2E094A1A" w14:textId="77777777" w:rsidR="007F70D5" w:rsidRPr="00971432" w:rsidRDefault="007F70D5" w:rsidP="00971432">
      <w:pPr>
        <w:numPr>
          <w:ilvl w:val="0"/>
          <w:numId w:val="2"/>
        </w:numPr>
        <w:spacing w:line="360" w:lineRule="auto"/>
        <w:contextualSpacing/>
        <w:jc w:val="both"/>
        <w:rPr>
          <w:rFonts w:ascii="Palatino Linotype" w:hAnsi="Palatino Linotype" w:cs="Tahoma"/>
          <w:bCs/>
          <w:iCs/>
          <w:sz w:val="22"/>
          <w:szCs w:val="22"/>
        </w:rPr>
      </w:pPr>
      <w:r w:rsidRPr="00971432">
        <w:rPr>
          <w:rFonts w:ascii="Palatino Linotype" w:hAnsi="Palatino Linotype" w:cs="Tahoma"/>
          <w:b/>
          <w:bCs/>
          <w:iCs/>
          <w:sz w:val="22"/>
          <w:szCs w:val="22"/>
        </w:rPr>
        <w:t xml:space="preserve">Registro Federal de Contribuyentes (RFC) </w:t>
      </w:r>
    </w:p>
    <w:p w14:paraId="356C9CB7" w14:textId="77777777" w:rsidR="007F70D5" w:rsidRPr="00971432" w:rsidRDefault="007F70D5" w:rsidP="00971432">
      <w:pPr>
        <w:spacing w:line="360" w:lineRule="auto"/>
        <w:ind w:left="720"/>
        <w:contextualSpacing/>
        <w:jc w:val="both"/>
        <w:rPr>
          <w:rFonts w:ascii="Palatino Linotype" w:hAnsi="Palatino Linotype" w:cs="Tahoma"/>
          <w:bCs/>
          <w:iCs/>
          <w:sz w:val="22"/>
          <w:szCs w:val="22"/>
        </w:rPr>
      </w:pPr>
    </w:p>
    <w:p w14:paraId="22C4E715"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E1D8DB"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51494DA8"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43508DE"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01A1D02B"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7BBB8D8"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37AF0B4A"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150EC80"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288DC371"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18F90D4"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5BB3F97E" w14:textId="77777777" w:rsidR="007F70D5" w:rsidRPr="006E7E9D" w:rsidRDefault="007F70D5" w:rsidP="006E7E9D">
      <w:pPr>
        <w:spacing w:line="360" w:lineRule="auto"/>
        <w:ind w:left="567" w:right="539"/>
        <w:contextualSpacing/>
        <w:jc w:val="both"/>
        <w:rPr>
          <w:rFonts w:ascii="Palatino Linotype" w:hAnsi="Palatino Linotype" w:cs="Tahoma"/>
          <w:bCs/>
          <w:i/>
          <w:iCs/>
        </w:rPr>
      </w:pPr>
      <w:r w:rsidRPr="006E7E9D">
        <w:rPr>
          <w:rFonts w:ascii="Palatino Linotype" w:hAnsi="Palatino Linotype" w:cs="Tahoma"/>
          <w:b/>
          <w:bCs/>
          <w:i/>
          <w:iCs/>
        </w:rPr>
        <w:t>Registro Federal de Contribuyentes (RFC) de personas físicas</w:t>
      </w:r>
      <w:r w:rsidRPr="006E7E9D">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227746DE" w14:textId="77777777" w:rsidR="007F70D5" w:rsidRPr="00971432" w:rsidRDefault="007F70D5" w:rsidP="00971432">
      <w:pPr>
        <w:spacing w:line="360" w:lineRule="auto"/>
        <w:contextualSpacing/>
        <w:jc w:val="both"/>
        <w:rPr>
          <w:rFonts w:ascii="Palatino Linotype" w:hAnsi="Palatino Linotype" w:cs="Tahoma"/>
          <w:bCs/>
          <w:i/>
          <w:iCs/>
          <w:sz w:val="22"/>
          <w:szCs w:val="22"/>
        </w:rPr>
      </w:pPr>
    </w:p>
    <w:p w14:paraId="54E6824C" w14:textId="77777777" w:rsidR="007F70D5" w:rsidRPr="00971432" w:rsidRDefault="007F70D5" w:rsidP="00971432">
      <w:pPr>
        <w:spacing w:line="360" w:lineRule="auto"/>
        <w:contextualSpacing/>
        <w:jc w:val="both"/>
        <w:rPr>
          <w:rFonts w:ascii="Palatino Linotype" w:hAnsi="Palatino Linotype" w:cs="Tahoma"/>
          <w:bCs/>
          <w:iCs/>
          <w:sz w:val="22"/>
          <w:szCs w:val="22"/>
        </w:rPr>
      </w:pPr>
      <w:r w:rsidRPr="00971432">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971432">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A217AAC" w14:textId="77777777" w:rsidR="007F70D5" w:rsidRPr="00971432" w:rsidRDefault="007F70D5" w:rsidP="00971432">
      <w:pPr>
        <w:spacing w:line="360" w:lineRule="auto"/>
        <w:contextualSpacing/>
        <w:jc w:val="both"/>
        <w:rPr>
          <w:rFonts w:ascii="Palatino Linotype" w:hAnsi="Palatino Linotype" w:cs="Tahoma"/>
          <w:bCs/>
          <w:iCs/>
          <w:sz w:val="22"/>
          <w:szCs w:val="22"/>
        </w:rPr>
      </w:pPr>
    </w:p>
    <w:p w14:paraId="616BE2E3" w14:textId="77777777" w:rsidR="007F70D5" w:rsidRPr="00971432" w:rsidRDefault="007F70D5" w:rsidP="00971432">
      <w:pPr>
        <w:numPr>
          <w:ilvl w:val="0"/>
          <w:numId w:val="2"/>
        </w:numPr>
        <w:spacing w:line="360" w:lineRule="auto"/>
        <w:contextualSpacing/>
        <w:jc w:val="both"/>
        <w:rPr>
          <w:rFonts w:ascii="Palatino Linotype" w:hAnsi="Palatino Linotype" w:cs="Tahoma"/>
          <w:b/>
          <w:sz w:val="22"/>
          <w:szCs w:val="22"/>
        </w:rPr>
      </w:pPr>
      <w:r w:rsidRPr="00971432">
        <w:rPr>
          <w:rFonts w:ascii="Palatino Linotype" w:hAnsi="Palatino Linotype" w:cs="Tahoma"/>
          <w:b/>
          <w:sz w:val="22"/>
          <w:szCs w:val="22"/>
        </w:rPr>
        <w:t>Clave Única de Registro de Población (CURP).</w:t>
      </w:r>
    </w:p>
    <w:p w14:paraId="02EC0678"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33C0E191"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99A4575"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7E675272"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CD2E16A"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211E7F0B"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9FC932D"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59A6F871"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 xml:space="preserve">De conformidad con lo precisado por la propia Secretaría de Gobernación en la dirección </w:t>
      </w:r>
      <w:hyperlink r:id="rId22" w:history="1">
        <w:r w:rsidRPr="00971432">
          <w:rPr>
            <w:rFonts w:ascii="Palatino Linotype" w:hAnsi="Palatino Linotype" w:cs="Tahoma"/>
            <w:color w:val="0563C1" w:themeColor="hyperlink"/>
            <w:sz w:val="22"/>
            <w:szCs w:val="22"/>
            <w:u w:val="single"/>
            <w:lang w:eastAsia="es-MX"/>
          </w:rPr>
          <w:t>https://consultas.curp.gob.mx/CurpSP/html/informacionecurpPS.html</w:t>
        </w:r>
      </w:hyperlink>
      <w:r w:rsidRPr="00971432">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971432">
        <w:rPr>
          <w:rFonts w:ascii="Palatino Linotype" w:hAnsi="Palatino Linotype" w:cs="Tahoma"/>
          <w:b/>
          <w:sz w:val="22"/>
          <w:szCs w:val="22"/>
          <w:lang w:eastAsia="es-MX"/>
        </w:rPr>
        <w:t>se generan a partir de los datos contenidos en el documento probatorio de la identidad</w:t>
      </w:r>
      <w:r w:rsidRPr="00971432">
        <w:rPr>
          <w:rFonts w:ascii="Palatino Linotype" w:hAnsi="Palatino Linotype" w:cs="Tahoma"/>
          <w:sz w:val="22"/>
          <w:szCs w:val="22"/>
          <w:lang w:eastAsia="es-MX"/>
        </w:rPr>
        <w:t xml:space="preserve"> </w:t>
      </w:r>
      <w:r w:rsidRPr="00971432">
        <w:rPr>
          <w:rFonts w:ascii="Palatino Linotype" w:hAnsi="Palatino Linotype" w:cs="Tahoma"/>
          <w:b/>
          <w:sz w:val="22"/>
          <w:szCs w:val="22"/>
          <w:lang w:eastAsia="es-MX"/>
        </w:rPr>
        <w:t xml:space="preserve">del interesado </w:t>
      </w:r>
      <w:r w:rsidRPr="00971432">
        <w:rPr>
          <w:rFonts w:ascii="Palatino Linotype" w:hAnsi="Palatino Linotype" w:cs="Tahoma"/>
          <w:sz w:val="22"/>
          <w:szCs w:val="22"/>
          <w:lang w:eastAsia="es-MX"/>
        </w:rPr>
        <w:t>(acta de nacimiento, carta de naturalización o documento migratorio) de la siguiente forma:</w:t>
      </w:r>
    </w:p>
    <w:p w14:paraId="7595F1BF"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14681F68"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 xml:space="preserve"> • El primero y segundo apellidos, así como al nombre de pila.</w:t>
      </w:r>
    </w:p>
    <w:p w14:paraId="7989855C"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 xml:space="preserve"> • La fecha de nacimiento.</w:t>
      </w:r>
    </w:p>
    <w:p w14:paraId="2BCE1D8C"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 xml:space="preserve"> • El sexo.</w:t>
      </w:r>
    </w:p>
    <w:p w14:paraId="1D5058E8"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 xml:space="preserve"> • La entidad federativa de nacimiento.</w:t>
      </w:r>
    </w:p>
    <w:p w14:paraId="2E6F75FA"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050DCC6B"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7D67DB1E"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144DFB39" w14:textId="77777777" w:rsidR="007F70D5" w:rsidRPr="00971432" w:rsidRDefault="007F70D5"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sz w:val="22"/>
          <w:szCs w:val="22"/>
        </w:rPr>
        <w:t xml:space="preserve">Como se desprende de lo anterior, la </w:t>
      </w:r>
      <w:r w:rsidRPr="00971432">
        <w:rPr>
          <w:rFonts w:ascii="Palatino Linotype" w:hAnsi="Palatino Linotype" w:cs="Tahoma"/>
          <w:sz w:val="22"/>
          <w:szCs w:val="22"/>
          <w:lang w:eastAsia="es-MX"/>
        </w:rPr>
        <w:t>Clave Única de Registro de Población</w:t>
      </w:r>
      <w:r w:rsidRPr="00971432">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EAB6DC9" w14:textId="77777777" w:rsidR="007F70D5" w:rsidRPr="00971432" w:rsidRDefault="007F70D5" w:rsidP="00971432">
      <w:pPr>
        <w:spacing w:line="360" w:lineRule="auto"/>
        <w:contextualSpacing/>
        <w:jc w:val="both"/>
        <w:rPr>
          <w:rFonts w:ascii="Palatino Linotype" w:hAnsi="Palatino Linotype" w:cs="Tahoma"/>
          <w:sz w:val="22"/>
          <w:szCs w:val="22"/>
        </w:rPr>
      </w:pPr>
    </w:p>
    <w:p w14:paraId="619F74B6"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3D4D48E7" w14:textId="77777777" w:rsidR="007F70D5" w:rsidRPr="00971432" w:rsidRDefault="007F70D5" w:rsidP="00971432">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58F29724" w14:textId="77777777" w:rsidR="007F70D5" w:rsidRPr="006E7E9D" w:rsidRDefault="007F70D5" w:rsidP="006E7E9D">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E7E9D">
        <w:rPr>
          <w:rFonts w:ascii="Palatino Linotype" w:eastAsia="Calibri" w:hAnsi="Palatino Linotype" w:cs="Tahoma"/>
          <w:b/>
          <w:bCs/>
          <w:i/>
          <w:color w:val="000000"/>
        </w:rPr>
        <w:t xml:space="preserve">Clave Única de Registro de Población (CURP) es un dato personal confidencial. </w:t>
      </w:r>
      <w:r w:rsidRPr="006E7E9D">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D9D1605" w14:textId="77777777" w:rsidR="007F70D5" w:rsidRPr="00971432" w:rsidRDefault="007F70D5" w:rsidP="00971432">
      <w:pPr>
        <w:spacing w:line="360" w:lineRule="auto"/>
        <w:contextualSpacing/>
        <w:jc w:val="both"/>
        <w:rPr>
          <w:rFonts w:ascii="Palatino Linotype" w:hAnsi="Palatino Linotype" w:cs="Tahoma"/>
          <w:sz w:val="22"/>
          <w:szCs w:val="22"/>
        </w:rPr>
      </w:pPr>
    </w:p>
    <w:p w14:paraId="3E62A4C5" w14:textId="77777777" w:rsidR="007F70D5" w:rsidRPr="00971432" w:rsidRDefault="007F70D5" w:rsidP="00971432">
      <w:pPr>
        <w:spacing w:line="360" w:lineRule="auto"/>
        <w:contextualSpacing/>
        <w:jc w:val="both"/>
        <w:rPr>
          <w:rFonts w:ascii="Palatino Linotype" w:hAnsi="Palatino Linotype" w:cs="Tahoma"/>
          <w:b/>
          <w:sz w:val="22"/>
          <w:szCs w:val="22"/>
        </w:rPr>
      </w:pPr>
      <w:r w:rsidRPr="00971432">
        <w:rPr>
          <w:rFonts w:ascii="Palatino Linotype" w:hAnsi="Palatino Linotype" w:cs="Tahoma"/>
          <w:sz w:val="22"/>
          <w:szCs w:val="22"/>
        </w:rPr>
        <w:t xml:space="preserve">De acuerdo con lo anterior, </w:t>
      </w:r>
      <w:r w:rsidRPr="00971432">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6957E338"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6BB4CA63" w14:textId="77777777" w:rsidR="007F70D5" w:rsidRPr="00971432" w:rsidRDefault="007F70D5" w:rsidP="00971432">
      <w:pPr>
        <w:numPr>
          <w:ilvl w:val="0"/>
          <w:numId w:val="2"/>
        </w:num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b/>
          <w:sz w:val="22"/>
          <w:szCs w:val="22"/>
          <w:lang w:eastAsia="es-MX"/>
        </w:rPr>
        <w:t>Número de empleado.</w:t>
      </w:r>
    </w:p>
    <w:p w14:paraId="11C51926" w14:textId="77777777" w:rsidR="007F70D5" w:rsidRPr="00971432" w:rsidRDefault="007F70D5" w:rsidP="00971432">
      <w:pPr>
        <w:spacing w:line="360" w:lineRule="auto"/>
        <w:contextualSpacing/>
        <w:jc w:val="both"/>
        <w:rPr>
          <w:rFonts w:ascii="Palatino Linotype" w:hAnsi="Palatino Linotype" w:cs="Tahoma"/>
          <w:b/>
          <w:sz w:val="22"/>
          <w:szCs w:val="22"/>
          <w:lang w:eastAsia="es-MX"/>
        </w:rPr>
      </w:pPr>
    </w:p>
    <w:p w14:paraId="516290E8"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4D5E06C5"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2B36A263"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6A007C3D"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2FAB2CEB"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54E6F768"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3BAE27EC" w14:textId="77777777" w:rsidR="007F70D5" w:rsidRPr="006E7E9D" w:rsidRDefault="007F70D5" w:rsidP="006E7E9D">
      <w:pPr>
        <w:spacing w:line="360" w:lineRule="auto"/>
        <w:ind w:left="567" w:right="539"/>
        <w:contextualSpacing/>
        <w:jc w:val="both"/>
        <w:rPr>
          <w:rFonts w:ascii="Palatino Linotype" w:hAnsi="Palatino Linotype" w:cs="Tahoma"/>
          <w:lang w:eastAsia="es-MX"/>
        </w:rPr>
      </w:pPr>
      <w:r w:rsidRPr="006E7E9D">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6E7E9D">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33E6C17"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p>
    <w:p w14:paraId="2CC582A7" w14:textId="77777777" w:rsidR="007F70D5" w:rsidRPr="00971432" w:rsidRDefault="007F70D5"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30320168" w14:textId="77777777" w:rsidR="007F70D5" w:rsidRPr="00971432" w:rsidRDefault="007F70D5" w:rsidP="00971432">
      <w:pPr>
        <w:spacing w:line="360" w:lineRule="auto"/>
        <w:contextualSpacing/>
        <w:jc w:val="both"/>
        <w:rPr>
          <w:rFonts w:ascii="Palatino Linotype" w:hAnsi="Palatino Linotype" w:cs="Tahoma"/>
          <w:b/>
          <w:bCs/>
          <w:sz w:val="22"/>
          <w:szCs w:val="22"/>
          <w:lang w:eastAsia="es-MX"/>
        </w:rPr>
      </w:pPr>
    </w:p>
    <w:p w14:paraId="096CCA3A" w14:textId="2E2097C6" w:rsidR="007F70D5" w:rsidRPr="00971432" w:rsidRDefault="007F70D5" w:rsidP="00971432">
      <w:pPr>
        <w:spacing w:line="360" w:lineRule="auto"/>
        <w:contextualSpacing/>
        <w:jc w:val="both"/>
        <w:rPr>
          <w:rFonts w:ascii="Palatino Linotype" w:hAnsi="Palatino Linotype" w:cs="Tahoma"/>
          <w:bCs/>
          <w:sz w:val="22"/>
          <w:szCs w:val="22"/>
          <w:lang w:eastAsia="es-MX"/>
        </w:rPr>
      </w:pPr>
      <w:r w:rsidRPr="00971432">
        <w:rPr>
          <w:rFonts w:ascii="Palatino Linotype" w:hAnsi="Palatino Linotype" w:cs="Tahoma"/>
          <w:bCs/>
          <w:sz w:val="22"/>
          <w:szCs w:val="22"/>
          <w:lang w:eastAsia="es-MX"/>
        </w:rPr>
        <w:t>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04511487" w14:textId="77777777" w:rsidR="00D8480C" w:rsidRPr="00971432" w:rsidRDefault="00D8480C" w:rsidP="00971432">
      <w:pPr>
        <w:spacing w:line="360" w:lineRule="auto"/>
        <w:contextualSpacing/>
        <w:jc w:val="both"/>
        <w:rPr>
          <w:rFonts w:ascii="Palatino Linotype" w:hAnsi="Palatino Linotype" w:cs="Tahoma"/>
          <w:b/>
          <w:sz w:val="22"/>
          <w:szCs w:val="22"/>
        </w:rPr>
      </w:pPr>
    </w:p>
    <w:p w14:paraId="358D428E" w14:textId="77777777" w:rsidR="00D8480C" w:rsidRPr="00971432" w:rsidRDefault="00D8480C" w:rsidP="00971432">
      <w:pPr>
        <w:spacing w:line="360" w:lineRule="auto"/>
        <w:contextualSpacing/>
        <w:jc w:val="both"/>
        <w:rPr>
          <w:rFonts w:ascii="Palatino Linotype" w:hAnsi="Palatino Linotype" w:cs="Tahoma"/>
          <w:sz w:val="22"/>
          <w:szCs w:val="22"/>
        </w:rPr>
      </w:pPr>
      <w:r w:rsidRPr="00971432">
        <w:rPr>
          <w:rFonts w:ascii="Palatino Linotype" w:hAnsi="Palatino Linotype" w:cs="Tahoma"/>
          <w:b/>
          <w:sz w:val="22"/>
          <w:szCs w:val="22"/>
        </w:rPr>
        <w:t xml:space="preserve">SÉPTIMO. Decisión. </w:t>
      </w:r>
    </w:p>
    <w:p w14:paraId="073F0E51" w14:textId="77777777" w:rsidR="00D8480C" w:rsidRPr="00971432" w:rsidRDefault="00D8480C" w:rsidP="00971432">
      <w:pPr>
        <w:spacing w:line="360" w:lineRule="auto"/>
        <w:contextualSpacing/>
        <w:jc w:val="both"/>
        <w:rPr>
          <w:rFonts w:ascii="Palatino Linotype" w:hAnsi="Palatino Linotype" w:cs="Tahoma"/>
          <w:b/>
          <w:sz w:val="22"/>
          <w:szCs w:val="22"/>
        </w:rPr>
      </w:pPr>
    </w:p>
    <w:p w14:paraId="17AF73BF" w14:textId="77777777" w:rsidR="00C41A77" w:rsidRDefault="00D8480C" w:rsidP="00C41A77">
      <w:pPr>
        <w:autoSpaceDE w:val="0"/>
        <w:autoSpaceDN w:val="0"/>
        <w:adjustRightInd w:val="0"/>
        <w:spacing w:line="360" w:lineRule="auto"/>
        <w:contextualSpacing/>
        <w:jc w:val="both"/>
        <w:rPr>
          <w:rFonts w:ascii="Palatino Linotype" w:hAnsi="Palatino Linotype" w:cs="Tahoma"/>
          <w:bCs/>
          <w:iCs/>
          <w:sz w:val="22"/>
          <w:szCs w:val="22"/>
        </w:rPr>
      </w:pPr>
      <w:r w:rsidRPr="00971432">
        <w:rPr>
          <w:rFonts w:ascii="Palatino Linotype" w:hAnsi="Palatino Linotype" w:cs="Arial"/>
          <w:sz w:val="22"/>
          <w:szCs w:val="22"/>
        </w:rPr>
        <w:t xml:space="preserve">De acuerdo con lo expuesto y, </w:t>
      </w:r>
      <w:r w:rsidRPr="00971432">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6E7E9D">
        <w:rPr>
          <w:rFonts w:ascii="Palatino Linotype" w:hAnsi="Palatino Linotype" w:cs="Tahoma"/>
          <w:b/>
          <w:sz w:val="22"/>
          <w:szCs w:val="22"/>
        </w:rPr>
        <w:t>REVOCAR</w:t>
      </w:r>
      <w:r w:rsidRPr="00971432">
        <w:rPr>
          <w:rFonts w:ascii="Palatino Linotype" w:hAnsi="Palatino Linotype" w:cs="Tahoma"/>
          <w:sz w:val="22"/>
          <w:szCs w:val="22"/>
        </w:rPr>
        <w:t xml:space="preserve"> la respuesta </w:t>
      </w:r>
      <w:r w:rsidR="006E7E9D">
        <w:rPr>
          <w:rFonts w:ascii="Palatino Linotype" w:hAnsi="Palatino Linotype" w:cs="Tahoma"/>
          <w:sz w:val="22"/>
          <w:szCs w:val="22"/>
        </w:rPr>
        <w:t>del</w:t>
      </w:r>
      <w:r w:rsidR="00757A69" w:rsidRPr="00971432">
        <w:rPr>
          <w:rFonts w:ascii="Palatino Linotype" w:hAnsi="Palatino Linotype" w:cs="Tahoma"/>
          <w:sz w:val="22"/>
          <w:szCs w:val="22"/>
        </w:rPr>
        <w:t xml:space="preserve"> </w:t>
      </w:r>
      <w:r w:rsidR="006E7E9D" w:rsidRPr="00971432">
        <w:rPr>
          <w:rFonts w:ascii="Palatino Linotype" w:hAnsi="Palatino Linotype" w:cs="Tahoma"/>
          <w:b/>
          <w:bCs/>
          <w:sz w:val="22"/>
          <w:szCs w:val="22"/>
        </w:rPr>
        <w:t>Ayuntamiento de Jaltenco</w:t>
      </w:r>
      <w:r w:rsidR="002540A9" w:rsidRPr="00971432">
        <w:rPr>
          <w:rFonts w:ascii="Palatino Linotype" w:hAnsi="Palatino Linotype" w:cs="Tahoma"/>
          <w:sz w:val="22"/>
          <w:szCs w:val="22"/>
        </w:rPr>
        <w:t xml:space="preserve"> </w:t>
      </w:r>
      <w:r w:rsidRPr="00971432">
        <w:rPr>
          <w:rFonts w:ascii="Palatino Linotype" w:hAnsi="Palatino Linotype" w:cs="Tahoma"/>
          <w:sz w:val="22"/>
          <w:szCs w:val="22"/>
        </w:rPr>
        <w:t xml:space="preserve">y </w:t>
      </w:r>
      <w:r w:rsidRPr="00971432">
        <w:rPr>
          <w:rFonts w:ascii="Palatino Linotype" w:hAnsi="Palatino Linotype" w:cs="Tahoma"/>
          <w:b/>
          <w:sz w:val="22"/>
          <w:szCs w:val="22"/>
        </w:rPr>
        <w:t xml:space="preserve">ORDENAR </w:t>
      </w:r>
      <w:r w:rsidRPr="00971432">
        <w:rPr>
          <w:rFonts w:ascii="Palatino Linotype" w:hAnsi="Palatino Linotype" w:cs="Tahoma"/>
          <w:sz w:val="22"/>
          <w:szCs w:val="22"/>
        </w:rPr>
        <w:t>al Sujeto Obligado a efecto de que,</w:t>
      </w:r>
      <w:r w:rsidR="006E7E9D">
        <w:rPr>
          <w:rFonts w:ascii="Palatino Linotype" w:hAnsi="Palatino Linotype" w:cs="Tahoma"/>
          <w:sz w:val="22"/>
          <w:szCs w:val="22"/>
        </w:rPr>
        <w:t xml:space="preserve"> previa búsqueda exhaustiva y razonable, entregue</w:t>
      </w:r>
      <w:r w:rsidRPr="00971432">
        <w:rPr>
          <w:rFonts w:ascii="Palatino Linotype" w:hAnsi="Palatino Linotype" w:cs="Tahoma"/>
          <w:sz w:val="22"/>
          <w:szCs w:val="22"/>
        </w:rPr>
        <w:t xml:space="preserve"> </w:t>
      </w:r>
      <w:r w:rsidRPr="00971432">
        <w:rPr>
          <w:rFonts w:ascii="Palatino Linotype" w:hAnsi="Palatino Linotype" w:cs="Tahoma"/>
          <w:bCs/>
          <w:iCs/>
          <w:sz w:val="22"/>
          <w:szCs w:val="22"/>
        </w:rPr>
        <w:t>a través del Sistema de Acceso a la Información Mexiquense (SAIMEX), en su caso, en versión pública, los documentos que den cue</w:t>
      </w:r>
      <w:r w:rsidR="00C41A77">
        <w:rPr>
          <w:rFonts w:ascii="Palatino Linotype" w:hAnsi="Palatino Linotype" w:cs="Tahoma"/>
          <w:bCs/>
          <w:iCs/>
          <w:sz w:val="22"/>
          <w:szCs w:val="22"/>
        </w:rPr>
        <w:t>nta de lo siguiente:</w:t>
      </w:r>
    </w:p>
    <w:p w14:paraId="08896A86" w14:textId="77777777" w:rsidR="00C41A77" w:rsidRPr="00C41A77" w:rsidRDefault="00C41A77" w:rsidP="00C41A77">
      <w:pPr>
        <w:autoSpaceDE w:val="0"/>
        <w:autoSpaceDN w:val="0"/>
        <w:adjustRightInd w:val="0"/>
        <w:spacing w:line="360" w:lineRule="auto"/>
        <w:contextualSpacing/>
        <w:jc w:val="both"/>
        <w:rPr>
          <w:rFonts w:ascii="Palatino Linotype" w:hAnsi="Palatino Linotype" w:cs="Tahoma"/>
          <w:bCs/>
          <w:iCs/>
          <w:sz w:val="22"/>
          <w:szCs w:val="22"/>
        </w:rPr>
      </w:pPr>
    </w:p>
    <w:p w14:paraId="7EDA04AB" w14:textId="3E12F5A0" w:rsidR="00C41A77" w:rsidRPr="00C41A77" w:rsidRDefault="00C41A77" w:rsidP="00C41A77">
      <w:pPr>
        <w:autoSpaceDE w:val="0"/>
        <w:autoSpaceDN w:val="0"/>
        <w:adjustRightInd w:val="0"/>
        <w:spacing w:line="360" w:lineRule="auto"/>
        <w:contextualSpacing/>
        <w:jc w:val="both"/>
        <w:rPr>
          <w:rFonts w:ascii="Palatino Linotype" w:hAnsi="Palatino Linotype" w:cs="Tahoma"/>
          <w:bCs/>
          <w:iCs/>
          <w:sz w:val="22"/>
          <w:szCs w:val="22"/>
        </w:rPr>
      </w:pPr>
      <w:r w:rsidRPr="00C41A77">
        <w:rPr>
          <w:rFonts w:ascii="Palatino Linotype" w:hAnsi="Palatino Linotype" w:cs="Tahoma"/>
          <w:bCs/>
          <w:iCs/>
          <w:sz w:val="22"/>
          <w:szCs w:val="22"/>
        </w:rPr>
        <w:t xml:space="preserve">De los policías </w:t>
      </w:r>
      <w:r>
        <w:rPr>
          <w:rFonts w:ascii="Palatino Linotype" w:hAnsi="Palatino Linotype" w:cs="Tahoma"/>
          <w:bCs/>
          <w:iCs/>
          <w:sz w:val="22"/>
          <w:szCs w:val="22"/>
        </w:rPr>
        <w:t xml:space="preserve">que fueron </w:t>
      </w:r>
      <w:r w:rsidRPr="00C41A77">
        <w:rPr>
          <w:rFonts w:ascii="Palatino Linotype" w:hAnsi="Palatino Linotype" w:cs="Tahoma"/>
          <w:bCs/>
          <w:iCs/>
          <w:sz w:val="22"/>
          <w:szCs w:val="22"/>
        </w:rPr>
        <w:t xml:space="preserve">dados de baja </w:t>
      </w:r>
      <w:r>
        <w:rPr>
          <w:rFonts w:ascii="Palatino Linotype" w:hAnsi="Palatino Linotype" w:cs="Tahoma"/>
          <w:bCs/>
          <w:iCs/>
          <w:sz w:val="22"/>
          <w:szCs w:val="22"/>
        </w:rPr>
        <w:t xml:space="preserve">en el periodo del </w:t>
      </w:r>
      <w:r w:rsidRPr="00C41A77">
        <w:rPr>
          <w:rFonts w:ascii="Palatino Linotype" w:hAnsi="Palatino Linotype" w:cs="Tahoma"/>
          <w:bCs/>
          <w:iCs/>
          <w:sz w:val="22"/>
          <w:szCs w:val="22"/>
        </w:rPr>
        <w:t>primero de enero de dos mil dieciséis, al veinte de diciembre de dos mil veintiuno</w:t>
      </w:r>
      <w:r w:rsidRPr="00C41A77">
        <w:rPr>
          <w:rFonts w:ascii="Palatino Linotype" w:hAnsi="Palatino Linotype"/>
          <w:sz w:val="22"/>
          <w:szCs w:val="22"/>
        </w:rPr>
        <w:t xml:space="preserve">: </w:t>
      </w:r>
    </w:p>
    <w:p w14:paraId="0CF2111B" w14:textId="77777777" w:rsidR="00C41A77" w:rsidRPr="00C41A77" w:rsidRDefault="00C41A77" w:rsidP="00C41A77">
      <w:pPr>
        <w:pStyle w:val="Prrafodelista"/>
        <w:spacing w:line="360" w:lineRule="auto"/>
        <w:ind w:right="539"/>
        <w:jc w:val="both"/>
        <w:rPr>
          <w:rFonts w:ascii="Palatino Linotype" w:hAnsi="Palatino Linotype"/>
          <w:szCs w:val="22"/>
        </w:rPr>
      </w:pPr>
    </w:p>
    <w:p w14:paraId="7865D82F" w14:textId="2DA978BF" w:rsidR="00C41A77" w:rsidRDefault="00C41A77" w:rsidP="00C41A77">
      <w:pPr>
        <w:pStyle w:val="Prrafodelista"/>
        <w:numPr>
          <w:ilvl w:val="0"/>
          <w:numId w:val="36"/>
        </w:numPr>
        <w:spacing w:line="360" w:lineRule="auto"/>
        <w:ind w:left="709" w:right="539"/>
        <w:jc w:val="both"/>
        <w:rPr>
          <w:rFonts w:ascii="Palatino Linotype" w:hAnsi="Palatino Linotype"/>
          <w:szCs w:val="22"/>
        </w:rPr>
      </w:pPr>
      <w:r>
        <w:rPr>
          <w:rFonts w:ascii="Palatino Linotype" w:hAnsi="Palatino Linotype"/>
          <w:szCs w:val="22"/>
        </w:rPr>
        <w:t>Número total</w:t>
      </w:r>
    </w:p>
    <w:p w14:paraId="3D86EB63" w14:textId="77777777" w:rsidR="00C41A77" w:rsidRPr="00C41A77" w:rsidRDefault="00C41A77" w:rsidP="00C41A77">
      <w:pPr>
        <w:pStyle w:val="Prrafodelista"/>
        <w:numPr>
          <w:ilvl w:val="0"/>
          <w:numId w:val="36"/>
        </w:numPr>
        <w:spacing w:line="360" w:lineRule="auto"/>
        <w:ind w:left="709" w:right="539"/>
        <w:jc w:val="both"/>
        <w:rPr>
          <w:rFonts w:ascii="Palatino Linotype" w:hAnsi="Palatino Linotype"/>
          <w:szCs w:val="22"/>
        </w:rPr>
      </w:pPr>
      <w:r w:rsidRPr="00C41A77">
        <w:rPr>
          <w:rFonts w:ascii="Palatino Linotype" w:hAnsi="Palatino Linotype"/>
          <w:szCs w:val="22"/>
        </w:rPr>
        <w:t>Número por mes o quincena, según se genere;</w:t>
      </w:r>
    </w:p>
    <w:p w14:paraId="7C00FFBD" w14:textId="77777777" w:rsidR="00C41A77" w:rsidRPr="00C41A77" w:rsidRDefault="00C41A77" w:rsidP="00C41A77">
      <w:pPr>
        <w:pStyle w:val="Prrafodelista"/>
        <w:numPr>
          <w:ilvl w:val="0"/>
          <w:numId w:val="36"/>
        </w:numPr>
        <w:spacing w:line="360" w:lineRule="auto"/>
        <w:ind w:left="709" w:right="539"/>
        <w:jc w:val="both"/>
        <w:rPr>
          <w:rFonts w:ascii="Palatino Linotype" w:hAnsi="Palatino Linotype"/>
          <w:szCs w:val="22"/>
        </w:rPr>
      </w:pPr>
      <w:r w:rsidRPr="00C41A77">
        <w:rPr>
          <w:rFonts w:ascii="Palatino Linotype" w:hAnsi="Palatino Linotype"/>
          <w:szCs w:val="22"/>
        </w:rPr>
        <w:t>Fecha de baja;</w:t>
      </w:r>
    </w:p>
    <w:p w14:paraId="4D600080" w14:textId="77777777" w:rsidR="00C41A77" w:rsidRPr="00C41A77" w:rsidRDefault="00C41A77" w:rsidP="00C41A77">
      <w:pPr>
        <w:pStyle w:val="Prrafodelista"/>
        <w:numPr>
          <w:ilvl w:val="0"/>
          <w:numId w:val="36"/>
        </w:numPr>
        <w:spacing w:line="360" w:lineRule="auto"/>
        <w:ind w:left="709" w:right="539"/>
        <w:jc w:val="both"/>
        <w:rPr>
          <w:rFonts w:ascii="Palatino Linotype" w:hAnsi="Palatino Linotype"/>
          <w:szCs w:val="22"/>
        </w:rPr>
      </w:pPr>
      <w:r w:rsidRPr="00C41A77">
        <w:rPr>
          <w:rFonts w:ascii="Palatino Linotype" w:hAnsi="Palatino Linotype"/>
          <w:szCs w:val="22"/>
        </w:rPr>
        <w:t xml:space="preserve">Puesto o grado del policía; </w:t>
      </w:r>
    </w:p>
    <w:p w14:paraId="77001EAA" w14:textId="77777777" w:rsidR="00C41A77" w:rsidRPr="00C41A77" w:rsidRDefault="00C41A77" w:rsidP="00C41A77">
      <w:pPr>
        <w:pStyle w:val="Prrafodelista"/>
        <w:numPr>
          <w:ilvl w:val="0"/>
          <w:numId w:val="36"/>
        </w:numPr>
        <w:spacing w:line="360" w:lineRule="auto"/>
        <w:ind w:left="709" w:right="539"/>
        <w:jc w:val="both"/>
        <w:rPr>
          <w:rFonts w:ascii="Palatino Linotype" w:hAnsi="Palatino Linotype"/>
          <w:szCs w:val="22"/>
        </w:rPr>
      </w:pPr>
      <w:r w:rsidRPr="00C41A77">
        <w:rPr>
          <w:rFonts w:ascii="Palatino Linotype" w:hAnsi="Palatino Linotype"/>
          <w:szCs w:val="22"/>
        </w:rPr>
        <w:t>Motivo;</w:t>
      </w:r>
    </w:p>
    <w:p w14:paraId="5AA55CBD" w14:textId="77777777" w:rsidR="00C41A77" w:rsidRPr="00C41A77" w:rsidRDefault="00C41A77" w:rsidP="00C41A77">
      <w:pPr>
        <w:pStyle w:val="Prrafodelista"/>
        <w:numPr>
          <w:ilvl w:val="0"/>
          <w:numId w:val="36"/>
        </w:numPr>
        <w:spacing w:line="360" w:lineRule="auto"/>
        <w:ind w:left="709" w:right="539"/>
        <w:jc w:val="both"/>
        <w:rPr>
          <w:rFonts w:ascii="Palatino Linotype" w:hAnsi="Palatino Linotype"/>
          <w:szCs w:val="22"/>
        </w:rPr>
      </w:pPr>
      <w:r w:rsidRPr="00C41A77">
        <w:rPr>
          <w:rFonts w:ascii="Palatino Linotype" w:hAnsi="Palatino Linotype"/>
          <w:szCs w:val="22"/>
        </w:rPr>
        <w:t>Área, sección de adscripción o división;</w:t>
      </w:r>
    </w:p>
    <w:p w14:paraId="52D12B97" w14:textId="6ADF9AF7" w:rsidR="00D8480C" w:rsidRPr="00C41A77" w:rsidRDefault="00C41A77" w:rsidP="00C41A77">
      <w:pPr>
        <w:pStyle w:val="Prrafodelista"/>
        <w:numPr>
          <w:ilvl w:val="0"/>
          <w:numId w:val="36"/>
        </w:numPr>
        <w:spacing w:line="360" w:lineRule="auto"/>
        <w:ind w:left="709" w:right="539"/>
        <w:jc w:val="both"/>
        <w:rPr>
          <w:rFonts w:ascii="Palatino Linotype" w:hAnsi="Palatino Linotype"/>
          <w:szCs w:val="22"/>
        </w:rPr>
      </w:pPr>
      <w:r w:rsidRPr="00C41A77">
        <w:rPr>
          <w:rFonts w:ascii="Palatino Linotype" w:hAnsi="Palatino Linotype"/>
          <w:szCs w:val="22"/>
        </w:rPr>
        <w:t>Número de expediente, de los casos en que se hayan generado, junto con estatus, área que llevó el procedimiento y si el elemento fue reubicado.</w:t>
      </w:r>
    </w:p>
    <w:p w14:paraId="3E1AA84A" w14:textId="77777777" w:rsidR="00D8480C" w:rsidRPr="00971432" w:rsidRDefault="00D8480C" w:rsidP="00971432">
      <w:pPr>
        <w:spacing w:line="360" w:lineRule="auto"/>
        <w:ind w:left="720"/>
        <w:contextualSpacing/>
        <w:jc w:val="both"/>
        <w:rPr>
          <w:rFonts w:ascii="Palatino Linotype" w:eastAsia="Calibri" w:hAnsi="Palatino Linotype" w:cs="Tahoma"/>
          <w:iCs/>
          <w:sz w:val="22"/>
          <w:szCs w:val="22"/>
          <w:lang w:val="es-ES" w:eastAsia="es-ES_tradnl"/>
        </w:rPr>
      </w:pPr>
    </w:p>
    <w:p w14:paraId="1FB6EADD" w14:textId="42AF72D6" w:rsidR="00D8480C" w:rsidRPr="00971432" w:rsidRDefault="00D8480C" w:rsidP="00971432">
      <w:pPr>
        <w:spacing w:line="360" w:lineRule="auto"/>
        <w:contextualSpacing/>
        <w:jc w:val="both"/>
        <w:rPr>
          <w:rFonts w:ascii="Palatino Linotype" w:eastAsia="Calibri" w:hAnsi="Palatino Linotype" w:cs="Tahoma"/>
          <w:iCs/>
          <w:sz w:val="22"/>
          <w:szCs w:val="22"/>
          <w:lang w:val="es-ES" w:eastAsia="es-ES_tradnl"/>
        </w:rPr>
      </w:pPr>
      <w:r w:rsidRPr="00971432">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w:t>
      </w:r>
      <w:r w:rsidR="00AC1DF2" w:rsidRPr="00971432">
        <w:rPr>
          <w:rFonts w:ascii="Palatino Linotype" w:eastAsia="Calibri" w:hAnsi="Palatino Linotype" w:cs="Tahoma"/>
          <w:iCs/>
          <w:sz w:val="22"/>
          <w:szCs w:val="22"/>
          <w:lang w:val="es-ES" w:eastAsia="es-ES_tradnl"/>
        </w:rPr>
        <w:t>os datos y documentos</w:t>
      </w:r>
      <w:r w:rsidRPr="00971432">
        <w:rPr>
          <w:rFonts w:ascii="Palatino Linotype" w:eastAsia="Calibri" w:hAnsi="Palatino Linotype" w:cs="Tahoma"/>
          <w:iCs/>
          <w:sz w:val="22"/>
          <w:szCs w:val="22"/>
          <w:lang w:val="es-ES" w:eastAsia="es-ES_tradnl"/>
        </w:rPr>
        <w:t xml:space="preserve"> confidencial</w:t>
      </w:r>
      <w:r w:rsidR="00AC1DF2" w:rsidRPr="00971432">
        <w:rPr>
          <w:rFonts w:ascii="Palatino Linotype" w:eastAsia="Calibri" w:hAnsi="Palatino Linotype" w:cs="Tahoma"/>
          <w:iCs/>
          <w:sz w:val="22"/>
          <w:szCs w:val="22"/>
          <w:lang w:val="es-ES" w:eastAsia="es-ES_tradnl"/>
        </w:rPr>
        <w:t>es</w:t>
      </w:r>
      <w:r w:rsidRPr="00971432">
        <w:rPr>
          <w:rFonts w:ascii="Palatino Linotype" w:eastAsia="Calibri" w:hAnsi="Palatino Linotype" w:cs="Tahoma"/>
          <w:iCs/>
          <w:sz w:val="22"/>
          <w:szCs w:val="22"/>
          <w:lang w:val="es-ES" w:eastAsia="es-ES_tradnl"/>
        </w:rPr>
        <w:t>, en términos de los artículos 49, fracciones II y VII, 143, fracción I y 149, de la Ley de Transparencia y Acceso a la Información Pública del Estado de México y Municipios.</w:t>
      </w:r>
    </w:p>
    <w:p w14:paraId="3165A9B4" w14:textId="77777777" w:rsidR="00D8480C" w:rsidRPr="00971432" w:rsidRDefault="00D8480C" w:rsidP="00971432">
      <w:pPr>
        <w:spacing w:line="360" w:lineRule="auto"/>
        <w:contextualSpacing/>
        <w:jc w:val="both"/>
        <w:rPr>
          <w:rFonts w:ascii="Palatino Linotype" w:hAnsi="Palatino Linotype" w:cs="Tahoma"/>
          <w:sz w:val="22"/>
          <w:szCs w:val="22"/>
        </w:rPr>
      </w:pPr>
    </w:p>
    <w:p w14:paraId="242C2979" w14:textId="4889379D" w:rsidR="00D8480C" w:rsidRPr="00971432" w:rsidRDefault="00D8480C" w:rsidP="00971432">
      <w:pPr>
        <w:spacing w:line="360" w:lineRule="auto"/>
        <w:contextualSpacing/>
        <w:jc w:val="both"/>
        <w:rPr>
          <w:rFonts w:ascii="Palatino Linotype" w:hAnsi="Palatino Linotype"/>
          <w:b/>
          <w:bCs/>
          <w:iCs/>
          <w:sz w:val="22"/>
          <w:szCs w:val="22"/>
          <w:u w:val="single"/>
          <w:lang w:val="es-ES"/>
        </w:rPr>
      </w:pPr>
      <w:r w:rsidRPr="00971432">
        <w:rPr>
          <w:rFonts w:ascii="Palatino Linotype" w:hAnsi="Palatino Linotype"/>
          <w:b/>
          <w:bCs/>
          <w:iCs/>
          <w:sz w:val="22"/>
          <w:szCs w:val="22"/>
          <w:u w:val="single"/>
          <w:lang w:val="es-ES"/>
        </w:rPr>
        <w:t>Términos de la Resolución para con</w:t>
      </w:r>
      <w:r w:rsidR="00C41A77">
        <w:rPr>
          <w:rFonts w:ascii="Palatino Linotype" w:hAnsi="Palatino Linotype"/>
          <w:b/>
          <w:bCs/>
          <w:iCs/>
          <w:sz w:val="22"/>
          <w:szCs w:val="22"/>
          <w:u w:val="single"/>
          <w:lang w:val="es-ES"/>
        </w:rPr>
        <w:t>ocimiento de</w:t>
      </w:r>
      <w:r w:rsidRPr="00971432">
        <w:rPr>
          <w:rFonts w:ascii="Palatino Linotype" w:hAnsi="Palatino Linotype"/>
          <w:b/>
          <w:bCs/>
          <w:iCs/>
          <w:sz w:val="22"/>
          <w:szCs w:val="22"/>
          <w:u w:val="single"/>
          <w:lang w:val="es-ES"/>
        </w:rPr>
        <w:t>l Particular.</w:t>
      </w:r>
    </w:p>
    <w:p w14:paraId="4D3FBA95" w14:textId="77777777" w:rsidR="00D8480C" w:rsidRPr="00971432" w:rsidRDefault="00D8480C" w:rsidP="00971432">
      <w:pPr>
        <w:spacing w:line="360" w:lineRule="auto"/>
        <w:contextualSpacing/>
        <w:jc w:val="both"/>
        <w:rPr>
          <w:rFonts w:ascii="Palatino Linotype" w:hAnsi="Palatino Linotype"/>
          <w:sz w:val="22"/>
          <w:szCs w:val="22"/>
        </w:rPr>
      </w:pPr>
    </w:p>
    <w:p w14:paraId="1D48DBC6" w14:textId="1228D250" w:rsidR="00C41A77" w:rsidRDefault="00D8480C" w:rsidP="00C41A77">
      <w:pPr>
        <w:spacing w:line="360" w:lineRule="auto"/>
        <w:contextualSpacing/>
        <w:jc w:val="both"/>
        <w:rPr>
          <w:rFonts w:ascii="Palatino Linotype" w:hAnsi="Palatino Linotype"/>
          <w:sz w:val="22"/>
          <w:szCs w:val="22"/>
          <w:u w:val="single"/>
        </w:rPr>
      </w:pPr>
      <w:r w:rsidRPr="00971432">
        <w:rPr>
          <w:rFonts w:ascii="Palatino Linotype" w:hAnsi="Palatino Linotype"/>
          <w:sz w:val="22"/>
          <w:szCs w:val="22"/>
          <w:u w:val="single"/>
        </w:rPr>
        <w:t xml:space="preserve">Este Organismo Garante, determinó </w:t>
      </w:r>
      <w:r w:rsidR="00C41A77">
        <w:rPr>
          <w:rFonts w:ascii="Palatino Linotype" w:hAnsi="Palatino Linotype"/>
          <w:sz w:val="22"/>
          <w:szCs w:val="22"/>
          <w:u w:val="single"/>
        </w:rPr>
        <w:t>darle la razón en virtud, de que el Sujeto Obligado reservó la información y no le entregó el acuerdo correspondiente, en el que le explicara las razones o motivos que consideraba para clasificar la información, además de que el hecho narrado en respuesta no se relaciona, ni presenta impedimento para la entrega de la información.</w:t>
      </w:r>
    </w:p>
    <w:p w14:paraId="4319130A" w14:textId="77777777" w:rsidR="00C41A77" w:rsidRDefault="00C41A77" w:rsidP="00C41A77">
      <w:pPr>
        <w:spacing w:line="360" w:lineRule="auto"/>
        <w:contextualSpacing/>
        <w:jc w:val="both"/>
        <w:rPr>
          <w:rFonts w:ascii="Palatino Linotype" w:hAnsi="Palatino Linotype"/>
          <w:sz w:val="22"/>
          <w:szCs w:val="22"/>
          <w:u w:val="single"/>
        </w:rPr>
      </w:pPr>
    </w:p>
    <w:p w14:paraId="33FC4784" w14:textId="3DCF0E6F" w:rsidR="00C41A77" w:rsidRPr="00C41A77" w:rsidRDefault="00C41A77" w:rsidP="00C41A77">
      <w:pPr>
        <w:spacing w:line="360" w:lineRule="auto"/>
        <w:contextualSpacing/>
        <w:jc w:val="both"/>
        <w:rPr>
          <w:rFonts w:ascii="Palatino Linotype" w:hAnsi="Palatino Linotype"/>
          <w:sz w:val="22"/>
          <w:szCs w:val="22"/>
          <w:u w:val="single"/>
        </w:rPr>
      </w:pPr>
      <w:r>
        <w:rPr>
          <w:rFonts w:ascii="Palatino Linotype" w:hAnsi="Palatino Linotype"/>
          <w:sz w:val="22"/>
          <w:szCs w:val="22"/>
          <w:u w:val="single"/>
        </w:rPr>
        <w:t xml:space="preserve">En atención al estudio realizado por este Organismo Garante, se advierte que el Sujeto Obligado es competente para conocer de la información solicitada y tiene el carácter de pública, salvo el caso del nombre de los policías que fueron reubicados, ya que en atención a sus funciones, proporcionar su nombre podría poner en peligro su vida; por lo que, su nombre es información que debe considerarse reservada; y para el caso, el Sujeto Obligado deberá entregar el acuerdo que desarrolle la prueba de daño y le proporcione las razones y motivos por los que se considera reservada. </w:t>
      </w:r>
    </w:p>
    <w:p w14:paraId="445AED65" w14:textId="77777777" w:rsidR="00D8480C" w:rsidRPr="00971432" w:rsidRDefault="00D8480C" w:rsidP="00971432">
      <w:pPr>
        <w:spacing w:line="360" w:lineRule="auto"/>
        <w:contextualSpacing/>
        <w:jc w:val="both"/>
        <w:rPr>
          <w:rFonts w:ascii="Palatino Linotype" w:hAnsi="Palatino Linotype"/>
          <w:sz w:val="22"/>
          <w:szCs w:val="22"/>
          <w:u w:val="single"/>
        </w:rPr>
      </w:pPr>
    </w:p>
    <w:p w14:paraId="6F52135B" w14:textId="1FAEE863" w:rsidR="00D8480C" w:rsidRPr="00971432" w:rsidRDefault="002540A9" w:rsidP="00971432">
      <w:pPr>
        <w:spacing w:line="360" w:lineRule="auto"/>
        <w:contextualSpacing/>
        <w:jc w:val="both"/>
        <w:rPr>
          <w:rFonts w:ascii="Palatino Linotype" w:hAnsi="Palatino Linotype"/>
          <w:iCs/>
          <w:sz w:val="22"/>
          <w:szCs w:val="22"/>
          <w:u w:val="single"/>
          <w:lang w:val="es-ES"/>
        </w:rPr>
      </w:pPr>
      <w:r w:rsidRPr="00971432">
        <w:rPr>
          <w:rFonts w:ascii="Palatino Linotype" w:hAnsi="Palatino Linotype"/>
          <w:iCs/>
          <w:sz w:val="22"/>
          <w:szCs w:val="22"/>
          <w:u w:val="single"/>
          <w:lang w:val="es-ES"/>
        </w:rPr>
        <w:t>Asimismo, es de indicarle</w:t>
      </w:r>
      <w:r w:rsidR="00D8480C" w:rsidRPr="00971432">
        <w:rPr>
          <w:rFonts w:ascii="Palatino Linotype" w:hAnsi="Palatino Linotype"/>
          <w:iCs/>
          <w:sz w:val="22"/>
          <w:szCs w:val="22"/>
          <w:u w:val="single"/>
          <w:lang w:val="es-ES"/>
        </w:rPr>
        <w:t>, que la información que se ordena puede tener datos personales confidenciales</w:t>
      </w:r>
      <w:r w:rsidR="00C41A77">
        <w:rPr>
          <w:rFonts w:ascii="Palatino Linotype" w:hAnsi="Palatino Linotype"/>
          <w:iCs/>
          <w:sz w:val="22"/>
          <w:szCs w:val="22"/>
          <w:u w:val="single"/>
          <w:lang w:val="es-ES"/>
        </w:rPr>
        <w:t>; para el caso, el Sujeto Obligado</w:t>
      </w:r>
      <w:r w:rsidR="00D8480C" w:rsidRPr="00971432">
        <w:rPr>
          <w:rFonts w:ascii="Palatino Linotype" w:hAnsi="Palatino Linotype"/>
          <w:iCs/>
          <w:sz w:val="22"/>
          <w:szCs w:val="22"/>
          <w:u w:val="single"/>
          <w:lang w:val="es-ES"/>
        </w:rPr>
        <w:t xml:space="preserve"> le deberá entregar</w:t>
      </w:r>
      <w:r w:rsidR="00C41A77">
        <w:rPr>
          <w:rFonts w:ascii="Palatino Linotype" w:hAnsi="Palatino Linotype"/>
          <w:iCs/>
          <w:sz w:val="22"/>
          <w:szCs w:val="22"/>
          <w:u w:val="single"/>
          <w:lang w:val="es-ES"/>
        </w:rPr>
        <w:t xml:space="preserve"> la documentación en versión pública y</w:t>
      </w:r>
      <w:r w:rsidR="00D8480C" w:rsidRPr="00971432">
        <w:rPr>
          <w:rFonts w:ascii="Palatino Linotype" w:hAnsi="Palatino Linotype"/>
          <w:iCs/>
          <w:sz w:val="22"/>
          <w:szCs w:val="22"/>
          <w:u w:val="single"/>
          <w:lang w:val="es-ES"/>
        </w:rPr>
        <w:t xml:space="preserve"> </w:t>
      </w:r>
      <w:r w:rsidR="00C83311" w:rsidRPr="00971432">
        <w:rPr>
          <w:rFonts w:ascii="Palatino Linotype" w:hAnsi="Palatino Linotype"/>
          <w:iCs/>
          <w:sz w:val="22"/>
          <w:szCs w:val="22"/>
          <w:u w:val="single"/>
          <w:lang w:val="es-ES"/>
        </w:rPr>
        <w:t>el</w:t>
      </w:r>
      <w:r w:rsidR="00D8480C" w:rsidRPr="00971432">
        <w:rPr>
          <w:rFonts w:ascii="Palatino Linotype" w:hAnsi="Palatino Linotype"/>
          <w:iCs/>
          <w:sz w:val="22"/>
          <w:szCs w:val="22"/>
          <w:u w:val="single"/>
          <w:lang w:val="es-ES"/>
        </w:rPr>
        <w:t xml:space="preserve"> acuerdo que para tales efectos emita </w:t>
      </w:r>
      <w:r w:rsidR="00C41A77">
        <w:rPr>
          <w:rFonts w:ascii="Palatino Linotype" w:hAnsi="Palatino Linotype"/>
          <w:iCs/>
          <w:sz w:val="22"/>
          <w:szCs w:val="22"/>
          <w:u w:val="single"/>
          <w:lang w:val="es-ES"/>
        </w:rPr>
        <w:t>su</w:t>
      </w:r>
      <w:r w:rsidR="00D8480C" w:rsidRPr="00971432">
        <w:rPr>
          <w:rFonts w:ascii="Palatino Linotype" w:hAnsi="Palatino Linotype"/>
          <w:iCs/>
          <w:sz w:val="22"/>
          <w:szCs w:val="22"/>
          <w:u w:val="single"/>
          <w:lang w:val="es-ES"/>
        </w:rPr>
        <w:t xml:space="preserve"> Comité de Transparencia</w:t>
      </w:r>
      <w:r w:rsidR="00C41A77">
        <w:rPr>
          <w:rFonts w:ascii="Palatino Linotype" w:hAnsi="Palatino Linotype"/>
          <w:iCs/>
          <w:sz w:val="22"/>
          <w:szCs w:val="22"/>
          <w:u w:val="single"/>
          <w:lang w:val="es-ES"/>
        </w:rPr>
        <w:t>.</w:t>
      </w:r>
    </w:p>
    <w:p w14:paraId="3ABD77D4" w14:textId="77777777" w:rsidR="00D8480C" w:rsidRPr="00971432" w:rsidRDefault="00D8480C" w:rsidP="00971432">
      <w:pPr>
        <w:spacing w:line="360" w:lineRule="auto"/>
        <w:contextualSpacing/>
        <w:jc w:val="both"/>
        <w:rPr>
          <w:rFonts w:ascii="Palatino Linotype" w:hAnsi="Palatino Linotype"/>
          <w:iCs/>
          <w:sz w:val="22"/>
          <w:szCs w:val="22"/>
          <w:u w:val="single"/>
          <w:lang w:val="es-ES"/>
        </w:rPr>
      </w:pPr>
    </w:p>
    <w:p w14:paraId="11AADDE7" w14:textId="77777777" w:rsidR="00D8480C" w:rsidRPr="00971432" w:rsidRDefault="00D8480C" w:rsidP="00971432">
      <w:pPr>
        <w:spacing w:line="360" w:lineRule="auto"/>
        <w:contextualSpacing/>
        <w:jc w:val="both"/>
        <w:rPr>
          <w:rFonts w:ascii="Palatino Linotype" w:hAnsi="Palatino Linotype"/>
          <w:iCs/>
          <w:sz w:val="22"/>
          <w:szCs w:val="22"/>
          <w:u w:val="single"/>
          <w:lang w:val="es-ES"/>
        </w:rPr>
      </w:pPr>
      <w:r w:rsidRPr="00971432">
        <w:rPr>
          <w:rFonts w:ascii="Palatino Linotype" w:hAnsi="Palatino Linotype"/>
          <w:iCs/>
          <w:sz w:val="22"/>
          <w:szCs w:val="22"/>
          <w:u w:val="single"/>
          <w:lang w:val="es-ES"/>
        </w:rPr>
        <w:t>La labor del INFOEM, es apoyar a la población para acceder a la información pública y garantizar la protección de sus datos personales.</w:t>
      </w:r>
    </w:p>
    <w:p w14:paraId="630FB13F" w14:textId="77777777" w:rsidR="00D8480C" w:rsidRPr="00971432" w:rsidRDefault="00D8480C" w:rsidP="00971432">
      <w:pPr>
        <w:spacing w:line="360" w:lineRule="auto"/>
        <w:contextualSpacing/>
        <w:jc w:val="both"/>
        <w:rPr>
          <w:rFonts w:ascii="Palatino Linotype" w:hAnsi="Palatino Linotype"/>
          <w:iCs/>
          <w:sz w:val="22"/>
          <w:szCs w:val="22"/>
          <w:u w:val="single"/>
          <w:lang w:val="es-ES"/>
        </w:rPr>
      </w:pPr>
    </w:p>
    <w:p w14:paraId="6C0F9EEB" w14:textId="77777777" w:rsidR="00D8480C" w:rsidRPr="00971432" w:rsidRDefault="00D8480C" w:rsidP="00971432">
      <w:pPr>
        <w:spacing w:line="360" w:lineRule="auto"/>
        <w:contextualSpacing/>
        <w:jc w:val="both"/>
        <w:rPr>
          <w:rFonts w:ascii="Palatino Linotype" w:hAnsi="Palatino Linotype"/>
          <w:bCs/>
          <w:sz w:val="22"/>
          <w:szCs w:val="22"/>
        </w:rPr>
      </w:pPr>
      <w:r w:rsidRPr="00971432">
        <w:rPr>
          <w:rFonts w:ascii="Palatino Linotype" w:hAnsi="Palatino Linotype"/>
          <w:bCs/>
          <w:sz w:val="22"/>
          <w:szCs w:val="22"/>
        </w:rPr>
        <w:t>Por lo expuesto y fundado, este Pleno:</w:t>
      </w:r>
    </w:p>
    <w:p w14:paraId="2E507FD4" w14:textId="77777777" w:rsidR="00D8480C" w:rsidRPr="00971432" w:rsidRDefault="00D8480C" w:rsidP="00971432">
      <w:pPr>
        <w:spacing w:line="360" w:lineRule="auto"/>
        <w:contextualSpacing/>
        <w:jc w:val="both"/>
        <w:rPr>
          <w:rFonts w:ascii="Palatino Linotype" w:eastAsia="Calibri" w:hAnsi="Palatino Linotype" w:cs="Tahoma"/>
          <w:bCs/>
          <w:sz w:val="22"/>
          <w:szCs w:val="22"/>
          <w:lang w:eastAsia="en-US"/>
        </w:rPr>
      </w:pPr>
    </w:p>
    <w:p w14:paraId="6144B591" w14:textId="77777777" w:rsidR="00D8480C" w:rsidRPr="00971432" w:rsidRDefault="00D8480C" w:rsidP="00971432">
      <w:pPr>
        <w:spacing w:line="360" w:lineRule="auto"/>
        <w:contextualSpacing/>
        <w:jc w:val="center"/>
        <w:rPr>
          <w:rFonts w:ascii="Palatino Linotype" w:eastAsia="Calibri" w:hAnsi="Palatino Linotype" w:cs="Tahoma"/>
          <w:b/>
          <w:bCs/>
          <w:sz w:val="22"/>
          <w:szCs w:val="22"/>
          <w:lang w:eastAsia="en-US"/>
        </w:rPr>
      </w:pPr>
      <w:r w:rsidRPr="00971432">
        <w:rPr>
          <w:rFonts w:ascii="Palatino Linotype" w:eastAsia="Calibri" w:hAnsi="Palatino Linotype" w:cs="Tahoma"/>
          <w:b/>
          <w:bCs/>
          <w:sz w:val="22"/>
          <w:szCs w:val="22"/>
          <w:lang w:eastAsia="en-US"/>
        </w:rPr>
        <w:t>R E S U E L V E</w:t>
      </w:r>
    </w:p>
    <w:p w14:paraId="23F65571" w14:textId="77777777" w:rsidR="00D8480C" w:rsidRPr="00971432" w:rsidRDefault="00D8480C" w:rsidP="00971432">
      <w:pPr>
        <w:spacing w:line="360" w:lineRule="auto"/>
        <w:contextualSpacing/>
        <w:jc w:val="center"/>
        <w:rPr>
          <w:rFonts w:ascii="Palatino Linotype" w:hAnsi="Palatino Linotype" w:cs="Tahoma"/>
          <w:b/>
          <w:bCs/>
          <w:sz w:val="22"/>
          <w:szCs w:val="22"/>
        </w:rPr>
      </w:pPr>
    </w:p>
    <w:p w14:paraId="3C389AC1" w14:textId="459C077C" w:rsidR="00D8480C" w:rsidRPr="00971432" w:rsidRDefault="00D8480C" w:rsidP="00971432">
      <w:pPr>
        <w:spacing w:line="360" w:lineRule="auto"/>
        <w:contextualSpacing/>
        <w:jc w:val="both"/>
        <w:rPr>
          <w:rFonts w:ascii="Palatino Linotype" w:eastAsia="Calibri" w:hAnsi="Palatino Linotype" w:cs="Tahoma"/>
          <w:bCs/>
          <w:sz w:val="22"/>
          <w:szCs w:val="22"/>
          <w:lang w:eastAsia="en-US"/>
        </w:rPr>
      </w:pPr>
      <w:r w:rsidRPr="00971432">
        <w:rPr>
          <w:rFonts w:ascii="Palatino Linotype" w:hAnsi="Palatino Linotype" w:cs="Tahoma"/>
          <w:b/>
          <w:bCs/>
          <w:sz w:val="22"/>
          <w:szCs w:val="22"/>
        </w:rPr>
        <w:t xml:space="preserve">PRIMERO. </w:t>
      </w:r>
      <w:r w:rsidRPr="00971432">
        <w:rPr>
          <w:rFonts w:ascii="Palatino Linotype" w:hAnsi="Palatino Linotype" w:cs="Tahoma"/>
          <w:bCs/>
          <w:sz w:val="22"/>
          <w:szCs w:val="22"/>
        </w:rPr>
        <w:t xml:space="preserve">Se </w:t>
      </w:r>
      <w:r w:rsidR="00C41A77">
        <w:rPr>
          <w:rFonts w:ascii="Palatino Linotype" w:hAnsi="Palatino Linotype" w:cs="Tahoma"/>
          <w:b/>
          <w:bCs/>
          <w:sz w:val="22"/>
          <w:szCs w:val="22"/>
        </w:rPr>
        <w:t>REVOCA</w:t>
      </w:r>
      <w:r w:rsidRPr="00971432">
        <w:rPr>
          <w:rFonts w:ascii="Palatino Linotype" w:hAnsi="Palatino Linotype" w:cs="Tahoma"/>
          <w:bCs/>
          <w:sz w:val="22"/>
          <w:szCs w:val="22"/>
        </w:rPr>
        <w:t xml:space="preserve"> la respuesta entregada por </w:t>
      </w:r>
      <w:r w:rsidR="00C41A77">
        <w:rPr>
          <w:rFonts w:ascii="Palatino Linotype" w:hAnsi="Palatino Linotype" w:cs="Tahoma"/>
          <w:bCs/>
          <w:sz w:val="22"/>
          <w:szCs w:val="22"/>
        </w:rPr>
        <w:t>el</w:t>
      </w:r>
      <w:r w:rsidR="00DC3F7C" w:rsidRPr="00971432">
        <w:rPr>
          <w:rFonts w:ascii="Palatino Linotype" w:hAnsi="Palatino Linotype" w:cs="Tahoma"/>
          <w:sz w:val="22"/>
          <w:szCs w:val="22"/>
        </w:rPr>
        <w:t xml:space="preserve"> </w:t>
      </w:r>
      <w:r w:rsidR="00C41A77" w:rsidRPr="00971432">
        <w:rPr>
          <w:rFonts w:ascii="Palatino Linotype" w:hAnsi="Palatino Linotype" w:cs="Tahoma"/>
          <w:b/>
          <w:bCs/>
          <w:sz w:val="22"/>
          <w:szCs w:val="22"/>
        </w:rPr>
        <w:t>Ayuntamiento de Jaltenco</w:t>
      </w:r>
      <w:r w:rsidR="00910463" w:rsidRPr="00971432">
        <w:rPr>
          <w:rFonts w:ascii="Palatino Linotype" w:hAnsi="Palatino Linotype" w:cs="Tahoma"/>
          <w:bCs/>
          <w:sz w:val="22"/>
          <w:szCs w:val="22"/>
        </w:rPr>
        <w:t xml:space="preserve"> </w:t>
      </w:r>
      <w:r w:rsidR="00DC3F7C" w:rsidRPr="00971432">
        <w:rPr>
          <w:rFonts w:ascii="Palatino Linotype" w:hAnsi="Palatino Linotype" w:cs="Tahoma"/>
          <w:bCs/>
          <w:sz w:val="22"/>
          <w:szCs w:val="22"/>
        </w:rPr>
        <w:t>a la solicitud de información</w:t>
      </w:r>
      <w:r w:rsidR="00DC3F7C" w:rsidRPr="00971432">
        <w:rPr>
          <w:rFonts w:ascii="Palatino Linotype" w:hAnsi="Palatino Linotype"/>
          <w:b/>
          <w:bCs/>
          <w:sz w:val="22"/>
          <w:szCs w:val="22"/>
        </w:rPr>
        <w:t xml:space="preserve"> </w:t>
      </w:r>
      <w:r w:rsidR="00C41A77" w:rsidRPr="00C41A77">
        <w:rPr>
          <w:rFonts w:ascii="Palatino Linotype" w:hAnsi="Palatino Linotype"/>
          <w:b/>
          <w:bCs/>
          <w:sz w:val="22"/>
          <w:szCs w:val="22"/>
        </w:rPr>
        <w:t>00166/JALTENCO/IP/2021</w:t>
      </w:r>
      <w:r w:rsidR="00910463" w:rsidRPr="00971432">
        <w:rPr>
          <w:rFonts w:ascii="Palatino Linotype" w:hAnsi="Palatino Linotype"/>
          <w:b/>
          <w:bCs/>
          <w:sz w:val="22"/>
          <w:szCs w:val="22"/>
        </w:rPr>
        <w:t xml:space="preserve"> </w:t>
      </w:r>
      <w:r w:rsidRPr="00971432">
        <w:rPr>
          <w:rFonts w:ascii="Palatino Linotype" w:hAnsi="Palatino Linotype"/>
          <w:bCs/>
          <w:sz w:val="22"/>
          <w:szCs w:val="22"/>
        </w:rPr>
        <w:t xml:space="preserve">por resultar </w:t>
      </w:r>
      <w:r w:rsidRPr="00971432">
        <w:rPr>
          <w:rFonts w:ascii="Palatino Linotype" w:hAnsi="Palatino Linotype"/>
          <w:b/>
          <w:bCs/>
          <w:sz w:val="22"/>
          <w:szCs w:val="22"/>
        </w:rPr>
        <w:t>FUNDADAS</w:t>
      </w:r>
      <w:r w:rsidRPr="00971432">
        <w:rPr>
          <w:rFonts w:ascii="Palatino Linotype" w:hAnsi="Palatino Linotype" w:cs="Tahoma"/>
          <w:bCs/>
          <w:sz w:val="22"/>
          <w:szCs w:val="22"/>
        </w:rPr>
        <w:t xml:space="preserve"> </w:t>
      </w:r>
      <w:r w:rsidRPr="00971432">
        <w:rPr>
          <w:rFonts w:ascii="Palatino Linotype" w:eastAsia="Calibri" w:hAnsi="Palatino Linotype" w:cs="Tahoma"/>
          <w:bCs/>
          <w:sz w:val="22"/>
          <w:szCs w:val="22"/>
          <w:lang w:eastAsia="en-US"/>
        </w:rPr>
        <w:t>las razones o motivos de inconformidad hechos valer por el Recurrente en el Recurso de Revisión</w:t>
      </w:r>
      <w:r w:rsidR="00DC3F7C" w:rsidRPr="00971432">
        <w:rPr>
          <w:rFonts w:ascii="Palatino Linotype" w:eastAsia="Calibri" w:hAnsi="Palatino Linotype" w:cs="Tahoma"/>
          <w:bCs/>
          <w:sz w:val="22"/>
          <w:szCs w:val="22"/>
          <w:lang w:eastAsia="en-US"/>
        </w:rPr>
        <w:t xml:space="preserve"> </w:t>
      </w:r>
      <w:r w:rsidR="00C41A77" w:rsidRPr="00C41A77">
        <w:rPr>
          <w:rFonts w:ascii="Palatino Linotype" w:eastAsia="Calibri" w:hAnsi="Palatino Linotype" w:cs="Tahoma"/>
          <w:b/>
          <w:bCs/>
          <w:sz w:val="22"/>
          <w:szCs w:val="22"/>
          <w:lang w:eastAsia="en-US"/>
        </w:rPr>
        <w:t>00201/INFOEM/IP/RR/2022</w:t>
      </w:r>
      <w:r w:rsidRPr="00971432">
        <w:rPr>
          <w:rFonts w:ascii="Palatino Linotype" w:eastAsia="Calibri" w:hAnsi="Palatino Linotype" w:cs="Tahoma"/>
          <w:bCs/>
          <w:sz w:val="22"/>
          <w:szCs w:val="22"/>
          <w:lang w:eastAsia="en-US"/>
        </w:rPr>
        <w:t xml:space="preserve">, en términos de los considerandos </w:t>
      </w:r>
      <w:r w:rsidRPr="00971432">
        <w:rPr>
          <w:rFonts w:ascii="Palatino Linotype" w:eastAsia="Calibri" w:hAnsi="Palatino Linotype" w:cs="Tahoma"/>
          <w:b/>
          <w:bCs/>
          <w:sz w:val="22"/>
          <w:szCs w:val="22"/>
          <w:lang w:eastAsia="en-US"/>
        </w:rPr>
        <w:t>QUINTO y SÉPTIMO</w:t>
      </w:r>
      <w:r w:rsidRPr="00971432">
        <w:rPr>
          <w:rFonts w:ascii="Palatino Linotype" w:eastAsia="Calibri" w:hAnsi="Palatino Linotype" w:cs="Tahoma"/>
          <w:bCs/>
          <w:sz w:val="22"/>
          <w:szCs w:val="22"/>
          <w:lang w:eastAsia="en-US"/>
        </w:rPr>
        <w:t xml:space="preserve"> de la presente Resolución.</w:t>
      </w:r>
    </w:p>
    <w:p w14:paraId="6295BB9F" w14:textId="77777777" w:rsidR="00D8480C" w:rsidRPr="00971432" w:rsidRDefault="00D8480C" w:rsidP="00971432">
      <w:pPr>
        <w:spacing w:line="360" w:lineRule="auto"/>
        <w:contextualSpacing/>
        <w:jc w:val="both"/>
        <w:rPr>
          <w:rFonts w:ascii="Palatino Linotype" w:hAnsi="Palatino Linotype" w:cs="Tahoma"/>
          <w:bCs/>
          <w:sz w:val="22"/>
          <w:szCs w:val="22"/>
        </w:rPr>
      </w:pPr>
    </w:p>
    <w:p w14:paraId="254BB6FA" w14:textId="756A5D66" w:rsidR="00D8480C" w:rsidRPr="00971432" w:rsidRDefault="00D8480C" w:rsidP="00971432">
      <w:pPr>
        <w:autoSpaceDE w:val="0"/>
        <w:autoSpaceDN w:val="0"/>
        <w:adjustRightInd w:val="0"/>
        <w:spacing w:line="360" w:lineRule="auto"/>
        <w:contextualSpacing/>
        <w:jc w:val="both"/>
        <w:rPr>
          <w:rFonts w:ascii="Palatino Linotype" w:hAnsi="Palatino Linotype" w:cs="Tahoma"/>
          <w:bCs/>
          <w:iCs/>
          <w:sz w:val="22"/>
          <w:szCs w:val="22"/>
        </w:rPr>
      </w:pPr>
      <w:r w:rsidRPr="00971432">
        <w:rPr>
          <w:rFonts w:ascii="Palatino Linotype" w:hAnsi="Palatino Linotype" w:cs="Tahoma"/>
          <w:b/>
          <w:bCs/>
          <w:sz w:val="22"/>
          <w:szCs w:val="22"/>
        </w:rPr>
        <w:t xml:space="preserve">SEGUNDO. </w:t>
      </w:r>
      <w:r w:rsidRPr="00971432">
        <w:rPr>
          <w:rFonts w:ascii="Palatino Linotype" w:hAnsi="Palatino Linotype" w:cs="Tahoma"/>
          <w:sz w:val="22"/>
          <w:szCs w:val="22"/>
        </w:rPr>
        <w:t xml:space="preserve">Se </w:t>
      </w:r>
      <w:r w:rsidRPr="00971432">
        <w:rPr>
          <w:rFonts w:ascii="Palatino Linotype" w:hAnsi="Palatino Linotype" w:cs="Tahoma"/>
          <w:b/>
          <w:sz w:val="22"/>
          <w:szCs w:val="22"/>
        </w:rPr>
        <w:t>ORDENA</w:t>
      </w:r>
      <w:r w:rsidR="00C41A77">
        <w:rPr>
          <w:rFonts w:ascii="Palatino Linotype" w:hAnsi="Palatino Linotype" w:cs="Tahoma"/>
          <w:bCs/>
          <w:sz w:val="22"/>
          <w:szCs w:val="22"/>
        </w:rPr>
        <w:t xml:space="preserve"> al</w:t>
      </w:r>
      <w:r w:rsidR="00DC3F7C" w:rsidRPr="00971432">
        <w:rPr>
          <w:rFonts w:ascii="Palatino Linotype" w:hAnsi="Palatino Linotype" w:cs="Tahoma"/>
          <w:sz w:val="22"/>
          <w:szCs w:val="22"/>
        </w:rPr>
        <w:t xml:space="preserve"> </w:t>
      </w:r>
      <w:r w:rsidR="00C41A77" w:rsidRPr="00C41A77">
        <w:rPr>
          <w:rFonts w:ascii="Palatino Linotype" w:hAnsi="Palatino Linotype" w:cs="Tahoma"/>
          <w:b/>
          <w:bCs/>
          <w:sz w:val="22"/>
          <w:szCs w:val="22"/>
        </w:rPr>
        <w:t>Ayuntamiento de Jaltenco</w:t>
      </w:r>
      <w:r w:rsidRPr="00971432">
        <w:rPr>
          <w:rFonts w:ascii="Palatino Linotype" w:hAnsi="Palatino Linotype" w:cs="Tahoma"/>
          <w:sz w:val="22"/>
          <w:szCs w:val="22"/>
        </w:rPr>
        <w:t xml:space="preserve"> a efecto de que, remita </w:t>
      </w:r>
      <w:r w:rsidRPr="00971432">
        <w:rPr>
          <w:rFonts w:ascii="Palatino Linotype" w:hAnsi="Palatino Linotype" w:cs="Tahoma"/>
          <w:bCs/>
          <w:iCs/>
          <w:sz w:val="22"/>
          <w:szCs w:val="22"/>
        </w:rPr>
        <w:t xml:space="preserve">a través del Sistema de Acceso a la Información Mexiquense (SAIMEX), </w:t>
      </w:r>
      <w:r w:rsidR="00C83311" w:rsidRPr="00971432">
        <w:rPr>
          <w:rFonts w:ascii="Palatino Linotype" w:hAnsi="Palatino Linotype" w:cs="Tahoma"/>
          <w:bCs/>
          <w:iCs/>
          <w:sz w:val="22"/>
          <w:szCs w:val="22"/>
        </w:rPr>
        <w:t xml:space="preserve">previa búsqueda exhaustiva y razonable, </w:t>
      </w:r>
      <w:r w:rsidRPr="00971432">
        <w:rPr>
          <w:rFonts w:ascii="Palatino Linotype" w:hAnsi="Palatino Linotype" w:cs="Tahoma"/>
          <w:bCs/>
          <w:iCs/>
          <w:sz w:val="22"/>
          <w:szCs w:val="22"/>
        </w:rPr>
        <w:t>en su caso en versión pública, los documentos</w:t>
      </w:r>
      <w:r w:rsidR="00C41A77">
        <w:rPr>
          <w:rFonts w:ascii="Palatino Linotype" w:hAnsi="Palatino Linotype" w:cs="Tahoma"/>
          <w:bCs/>
          <w:iCs/>
          <w:sz w:val="22"/>
          <w:szCs w:val="22"/>
        </w:rPr>
        <w:t xml:space="preserve"> </w:t>
      </w:r>
      <w:r w:rsidRPr="00971432">
        <w:rPr>
          <w:rFonts w:ascii="Palatino Linotype" w:hAnsi="Palatino Linotype" w:cs="Tahoma"/>
          <w:bCs/>
          <w:iCs/>
          <w:sz w:val="22"/>
          <w:szCs w:val="22"/>
        </w:rPr>
        <w:t>que den cuenta de lo siguiente:</w:t>
      </w:r>
    </w:p>
    <w:p w14:paraId="59861BB6" w14:textId="77777777" w:rsidR="00DC3F7C" w:rsidRPr="00971432" w:rsidRDefault="00DC3F7C" w:rsidP="00971432">
      <w:pPr>
        <w:autoSpaceDE w:val="0"/>
        <w:autoSpaceDN w:val="0"/>
        <w:adjustRightInd w:val="0"/>
        <w:spacing w:line="360" w:lineRule="auto"/>
        <w:contextualSpacing/>
        <w:jc w:val="both"/>
        <w:rPr>
          <w:rFonts w:ascii="Palatino Linotype" w:hAnsi="Palatino Linotype" w:cs="Tahoma"/>
          <w:bCs/>
          <w:iCs/>
          <w:sz w:val="22"/>
          <w:szCs w:val="22"/>
        </w:rPr>
      </w:pPr>
    </w:p>
    <w:p w14:paraId="4ECFC6F5" w14:textId="77777777" w:rsidR="00C41A77" w:rsidRPr="00C41A77" w:rsidRDefault="00C41A77" w:rsidP="00C41A77">
      <w:pPr>
        <w:autoSpaceDE w:val="0"/>
        <w:autoSpaceDN w:val="0"/>
        <w:adjustRightInd w:val="0"/>
        <w:spacing w:line="360" w:lineRule="auto"/>
        <w:contextualSpacing/>
        <w:jc w:val="both"/>
        <w:rPr>
          <w:rFonts w:ascii="Palatino Linotype" w:hAnsi="Palatino Linotype" w:cs="Tahoma"/>
          <w:bCs/>
          <w:iCs/>
          <w:sz w:val="22"/>
          <w:szCs w:val="22"/>
        </w:rPr>
      </w:pPr>
      <w:r w:rsidRPr="00C41A77">
        <w:rPr>
          <w:rFonts w:ascii="Palatino Linotype" w:hAnsi="Palatino Linotype" w:cs="Tahoma"/>
          <w:bCs/>
          <w:iCs/>
          <w:sz w:val="22"/>
          <w:szCs w:val="22"/>
        </w:rPr>
        <w:t xml:space="preserve">De los policías </w:t>
      </w:r>
      <w:r>
        <w:rPr>
          <w:rFonts w:ascii="Palatino Linotype" w:hAnsi="Palatino Linotype" w:cs="Tahoma"/>
          <w:bCs/>
          <w:iCs/>
          <w:sz w:val="22"/>
          <w:szCs w:val="22"/>
        </w:rPr>
        <w:t xml:space="preserve">que fueron </w:t>
      </w:r>
      <w:r w:rsidRPr="00C41A77">
        <w:rPr>
          <w:rFonts w:ascii="Palatino Linotype" w:hAnsi="Palatino Linotype" w:cs="Tahoma"/>
          <w:bCs/>
          <w:iCs/>
          <w:sz w:val="22"/>
          <w:szCs w:val="22"/>
        </w:rPr>
        <w:t xml:space="preserve">dados de baja </w:t>
      </w:r>
      <w:r>
        <w:rPr>
          <w:rFonts w:ascii="Palatino Linotype" w:hAnsi="Palatino Linotype" w:cs="Tahoma"/>
          <w:bCs/>
          <w:iCs/>
          <w:sz w:val="22"/>
          <w:szCs w:val="22"/>
        </w:rPr>
        <w:t xml:space="preserve">en el periodo del </w:t>
      </w:r>
      <w:r w:rsidRPr="00C41A77">
        <w:rPr>
          <w:rFonts w:ascii="Palatino Linotype" w:hAnsi="Palatino Linotype" w:cs="Tahoma"/>
          <w:bCs/>
          <w:iCs/>
          <w:sz w:val="22"/>
          <w:szCs w:val="22"/>
        </w:rPr>
        <w:t>primero de enero de dos mil dieciséis, al veinte de diciembre de dos mil veintiuno</w:t>
      </w:r>
      <w:r w:rsidRPr="00C41A77">
        <w:rPr>
          <w:rFonts w:ascii="Palatino Linotype" w:hAnsi="Palatino Linotype"/>
          <w:sz w:val="22"/>
          <w:szCs w:val="22"/>
        </w:rPr>
        <w:t xml:space="preserve">: </w:t>
      </w:r>
    </w:p>
    <w:p w14:paraId="14108A89" w14:textId="77777777" w:rsidR="00C41A77" w:rsidRPr="00C41A77" w:rsidRDefault="00C41A77" w:rsidP="00C41A77">
      <w:pPr>
        <w:pStyle w:val="Prrafodelista"/>
        <w:spacing w:line="360" w:lineRule="auto"/>
        <w:ind w:right="539"/>
        <w:jc w:val="both"/>
        <w:rPr>
          <w:rFonts w:ascii="Palatino Linotype" w:hAnsi="Palatino Linotype"/>
          <w:szCs w:val="22"/>
        </w:rPr>
      </w:pPr>
    </w:p>
    <w:p w14:paraId="599F61F7" w14:textId="06B42CFF" w:rsidR="00C41A77" w:rsidRPr="00DE66AD" w:rsidRDefault="00C41A77" w:rsidP="00DE66AD">
      <w:pPr>
        <w:pStyle w:val="Prrafodelista"/>
        <w:numPr>
          <w:ilvl w:val="0"/>
          <w:numId w:val="39"/>
        </w:numPr>
        <w:spacing w:line="360" w:lineRule="auto"/>
        <w:ind w:right="539"/>
        <w:jc w:val="both"/>
        <w:rPr>
          <w:rFonts w:ascii="Palatino Linotype" w:hAnsi="Palatino Linotype"/>
          <w:szCs w:val="22"/>
        </w:rPr>
      </w:pPr>
      <w:r w:rsidRPr="00DE66AD">
        <w:rPr>
          <w:rFonts w:ascii="Palatino Linotype" w:hAnsi="Palatino Linotype"/>
          <w:szCs w:val="22"/>
        </w:rPr>
        <w:t>Número total</w:t>
      </w:r>
      <w:r w:rsidR="00DE66AD">
        <w:rPr>
          <w:rFonts w:ascii="Palatino Linotype" w:hAnsi="Palatino Linotype"/>
          <w:szCs w:val="22"/>
        </w:rPr>
        <w:t>;</w:t>
      </w:r>
    </w:p>
    <w:p w14:paraId="527E2369" w14:textId="77777777" w:rsidR="00C41A77" w:rsidRPr="00C41A77" w:rsidRDefault="00C41A77" w:rsidP="00C41A77">
      <w:pPr>
        <w:pStyle w:val="Prrafodelista"/>
        <w:numPr>
          <w:ilvl w:val="0"/>
          <w:numId w:val="38"/>
        </w:numPr>
        <w:spacing w:line="360" w:lineRule="auto"/>
        <w:ind w:left="709" w:right="539"/>
        <w:jc w:val="both"/>
        <w:rPr>
          <w:rFonts w:ascii="Palatino Linotype" w:hAnsi="Palatino Linotype"/>
          <w:szCs w:val="22"/>
        </w:rPr>
      </w:pPr>
      <w:r w:rsidRPr="00C41A77">
        <w:rPr>
          <w:rFonts w:ascii="Palatino Linotype" w:hAnsi="Palatino Linotype"/>
          <w:szCs w:val="22"/>
        </w:rPr>
        <w:t>Número por mes o quincena, según se genere;</w:t>
      </w:r>
    </w:p>
    <w:p w14:paraId="4C215573" w14:textId="77777777" w:rsidR="00C41A77" w:rsidRPr="00C41A77" w:rsidRDefault="00C41A77" w:rsidP="00C41A77">
      <w:pPr>
        <w:pStyle w:val="Prrafodelista"/>
        <w:numPr>
          <w:ilvl w:val="0"/>
          <w:numId w:val="38"/>
        </w:numPr>
        <w:spacing w:line="360" w:lineRule="auto"/>
        <w:ind w:left="709" w:right="539"/>
        <w:jc w:val="both"/>
        <w:rPr>
          <w:rFonts w:ascii="Palatino Linotype" w:hAnsi="Palatino Linotype"/>
          <w:szCs w:val="22"/>
        </w:rPr>
      </w:pPr>
      <w:r w:rsidRPr="00C41A77">
        <w:rPr>
          <w:rFonts w:ascii="Palatino Linotype" w:hAnsi="Palatino Linotype"/>
          <w:szCs w:val="22"/>
        </w:rPr>
        <w:t>Fecha de baja;</w:t>
      </w:r>
    </w:p>
    <w:p w14:paraId="35D8029B" w14:textId="77777777" w:rsidR="00C41A77" w:rsidRPr="00C41A77" w:rsidRDefault="00C41A77" w:rsidP="00C41A77">
      <w:pPr>
        <w:pStyle w:val="Prrafodelista"/>
        <w:numPr>
          <w:ilvl w:val="0"/>
          <w:numId w:val="38"/>
        </w:numPr>
        <w:spacing w:line="360" w:lineRule="auto"/>
        <w:ind w:left="709" w:right="539"/>
        <w:jc w:val="both"/>
        <w:rPr>
          <w:rFonts w:ascii="Palatino Linotype" w:hAnsi="Palatino Linotype"/>
          <w:szCs w:val="22"/>
        </w:rPr>
      </w:pPr>
      <w:r w:rsidRPr="00C41A77">
        <w:rPr>
          <w:rFonts w:ascii="Palatino Linotype" w:hAnsi="Palatino Linotype"/>
          <w:szCs w:val="22"/>
        </w:rPr>
        <w:t xml:space="preserve">Puesto o grado del policía; </w:t>
      </w:r>
    </w:p>
    <w:p w14:paraId="3AE8C861" w14:textId="77777777" w:rsidR="00C41A77" w:rsidRPr="00C41A77" w:rsidRDefault="00C41A77" w:rsidP="00C41A77">
      <w:pPr>
        <w:pStyle w:val="Prrafodelista"/>
        <w:numPr>
          <w:ilvl w:val="0"/>
          <w:numId w:val="38"/>
        </w:numPr>
        <w:spacing w:line="360" w:lineRule="auto"/>
        <w:ind w:left="709" w:right="539"/>
        <w:jc w:val="both"/>
        <w:rPr>
          <w:rFonts w:ascii="Palatino Linotype" w:hAnsi="Palatino Linotype"/>
          <w:szCs w:val="22"/>
        </w:rPr>
      </w:pPr>
      <w:r w:rsidRPr="00C41A77">
        <w:rPr>
          <w:rFonts w:ascii="Palatino Linotype" w:hAnsi="Palatino Linotype"/>
          <w:szCs w:val="22"/>
        </w:rPr>
        <w:t>Motivo;</w:t>
      </w:r>
    </w:p>
    <w:p w14:paraId="0F5C0370" w14:textId="77777777" w:rsidR="00C41A77" w:rsidRPr="00C41A77" w:rsidRDefault="00C41A77" w:rsidP="00C41A77">
      <w:pPr>
        <w:pStyle w:val="Prrafodelista"/>
        <w:numPr>
          <w:ilvl w:val="0"/>
          <w:numId w:val="38"/>
        </w:numPr>
        <w:spacing w:line="360" w:lineRule="auto"/>
        <w:ind w:left="709" w:right="539"/>
        <w:jc w:val="both"/>
        <w:rPr>
          <w:rFonts w:ascii="Palatino Linotype" w:hAnsi="Palatino Linotype"/>
          <w:szCs w:val="22"/>
        </w:rPr>
      </w:pPr>
      <w:r w:rsidRPr="00C41A77">
        <w:rPr>
          <w:rFonts w:ascii="Palatino Linotype" w:hAnsi="Palatino Linotype"/>
          <w:szCs w:val="22"/>
        </w:rPr>
        <w:t>Área, sección de adscripción o división;</w:t>
      </w:r>
    </w:p>
    <w:p w14:paraId="57FC9D21" w14:textId="77777777" w:rsidR="00C41A77" w:rsidRPr="00C41A77" w:rsidRDefault="00C41A77" w:rsidP="00C41A77">
      <w:pPr>
        <w:pStyle w:val="Prrafodelista"/>
        <w:numPr>
          <w:ilvl w:val="0"/>
          <w:numId w:val="38"/>
        </w:numPr>
        <w:spacing w:line="360" w:lineRule="auto"/>
        <w:ind w:left="709" w:right="539"/>
        <w:jc w:val="both"/>
        <w:rPr>
          <w:rFonts w:ascii="Palatino Linotype" w:hAnsi="Palatino Linotype"/>
          <w:szCs w:val="22"/>
        </w:rPr>
      </w:pPr>
      <w:r w:rsidRPr="00C41A77">
        <w:rPr>
          <w:rFonts w:ascii="Palatino Linotype" w:hAnsi="Palatino Linotype"/>
          <w:szCs w:val="22"/>
        </w:rPr>
        <w:t>Número de expediente, de los casos en que se hayan generado, junto con estatus, área que llevó el procedimiento y si el elemento fue reubicado.</w:t>
      </w:r>
    </w:p>
    <w:p w14:paraId="1124D2BC" w14:textId="77777777" w:rsidR="00C41A77" w:rsidRPr="00971432" w:rsidRDefault="00C41A77" w:rsidP="00C41A77">
      <w:pPr>
        <w:spacing w:line="360" w:lineRule="auto"/>
        <w:ind w:left="720"/>
        <w:contextualSpacing/>
        <w:jc w:val="both"/>
        <w:rPr>
          <w:rFonts w:ascii="Palatino Linotype" w:eastAsia="Calibri" w:hAnsi="Palatino Linotype" w:cs="Tahoma"/>
          <w:iCs/>
          <w:sz w:val="22"/>
          <w:szCs w:val="22"/>
          <w:lang w:val="es-ES" w:eastAsia="es-ES_tradnl"/>
        </w:rPr>
      </w:pPr>
    </w:p>
    <w:p w14:paraId="4CB51E4F" w14:textId="77777777" w:rsidR="00C41A77" w:rsidRPr="00971432" w:rsidRDefault="00C41A77" w:rsidP="00C41A77">
      <w:pPr>
        <w:spacing w:line="360" w:lineRule="auto"/>
        <w:contextualSpacing/>
        <w:jc w:val="both"/>
        <w:rPr>
          <w:rFonts w:ascii="Palatino Linotype" w:eastAsia="Calibri" w:hAnsi="Palatino Linotype" w:cs="Tahoma"/>
          <w:iCs/>
          <w:sz w:val="22"/>
          <w:szCs w:val="22"/>
          <w:lang w:val="es-ES" w:eastAsia="es-ES_tradnl"/>
        </w:rPr>
      </w:pPr>
      <w:r w:rsidRPr="00971432">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los datos y documentos confidenciales, en términos de los artículos 49, fracciones II y VII, 143, fracción I y 149, de la Ley de Transparencia y Acceso a la Información Pública del Estado de México y Municipios.</w:t>
      </w:r>
    </w:p>
    <w:p w14:paraId="7011E03D" w14:textId="77777777" w:rsidR="00910463" w:rsidRPr="00971432" w:rsidRDefault="00910463" w:rsidP="00971432">
      <w:pPr>
        <w:spacing w:line="360" w:lineRule="auto"/>
        <w:contextualSpacing/>
        <w:jc w:val="both"/>
        <w:rPr>
          <w:rFonts w:ascii="Palatino Linotype" w:eastAsia="Calibri" w:hAnsi="Palatino Linotype" w:cs="Tahoma"/>
          <w:b/>
          <w:bCs/>
          <w:sz w:val="22"/>
          <w:szCs w:val="22"/>
          <w:lang w:eastAsia="en-US"/>
        </w:rPr>
      </w:pPr>
    </w:p>
    <w:p w14:paraId="1CBC0316" w14:textId="77777777" w:rsidR="00D8480C" w:rsidRPr="00971432" w:rsidRDefault="00D8480C" w:rsidP="00971432">
      <w:pPr>
        <w:spacing w:line="360" w:lineRule="auto"/>
        <w:contextualSpacing/>
        <w:jc w:val="both"/>
        <w:rPr>
          <w:rFonts w:ascii="Palatino Linotype" w:hAnsi="Palatino Linotype" w:cs="Tahoma"/>
          <w:sz w:val="22"/>
          <w:szCs w:val="22"/>
        </w:rPr>
      </w:pPr>
      <w:r w:rsidRPr="00971432">
        <w:rPr>
          <w:rFonts w:ascii="Palatino Linotype" w:eastAsia="Calibri" w:hAnsi="Palatino Linotype" w:cs="Tahoma"/>
          <w:b/>
          <w:bCs/>
          <w:sz w:val="22"/>
          <w:szCs w:val="22"/>
          <w:lang w:eastAsia="en-US"/>
        </w:rPr>
        <w:t xml:space="preserve">TERCERO. </w:t>
      </w:r>
      <w:r w:rsidRPr="00971432">
        <w:rPr>
          <w:rFonts w:ascii="Palatino Linotype" w:hAnsi="Palatino Linotype" w:cs="Tahoma"/>
          <w:b/>
          <w:sz w:val="22"/>
          <w:szCs w:val="22"/>
        </w:rPr>
        <w:t xml:space="preserve">NOTIFÍQUESE </w:t>
      </w:r>
      <w:r w:rsidRPr="00971432">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3CF2CDE" w14:textId="77777777" w:rsidR="00D8480C" w:rsidRPr="00971432" w:rsidRDefault="00D8480C" w:rsidP="00971432">
      <w:pPr>
        <w:spacing w:line="360" w:lineRule="auto"/>
        <w:contextualSpacing/>
        <w:jc w:val="both"/>
        <w:rPr>
          <w:rFonts w:ascii="Palatino Linotype" w:hAnsi="Palatino Linotype" w:cs="Tahoma"/>
          <w:sz w:val="22"/>
          <w:szCs w:val="22"/>
        </w:rPr>
      </w:pPr>
    </w:p>
    <w:p w14:paraId="6DF94498" w14:textId="77777777" w:rsidR="00D8480C" w:rsidRPr="00971432" w:rsidRDefault="00D8480C" w:rsidP="00971432">
      <w:pPr>
        <w:spacing w:line="360" w:lineRule="auto"/>
        <w:contextualSpacing/>
        <w:jc w:val="both"/>
        <w:rPr>
          <w:rFonts w:ascii="Palatino Linotype" w:hAnsi="Palatino Linotype" w:cs="Tahoma"/>
          <w:iCs/>
          <w:sz w:val="22"/>
          <w:szCs w:val="22"/>
        </w:rPr>
      </w:pPr>
      <w:r w:rsidRPr="00971432">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C9767B" w14:textId="77777777" w:rsidR="00D8480C" w:rsidRPr="00971432" w:rsidRDefault="00D8480C" w:rsidP="00971432">
      <w:pPr>
        <w:spacing w:line="360" w:lineRule="auto"/>
        <w:contextualSpacing/>
        <w:jc w:val="both"/>
        <w:rPr>
          <w:rFonts w:ascii="Palatino Linotype" w:eastAsia="Calibri" w:hAnsi="Palatino Linotype" w:cs="Tahoma"/>
          <w:color w:val="000000"/>
          <w:sz w:val="22"/>
          <w:szCs w:val="22"/>
          <w:lang w:val="es-ES" w:eastAsia="es-MX"/>
        </w:rPr>
      </w:pPr>
    </w:p>
    <w:p w14:paraId="61D2F884" w14:textId="77777777" w:rsidR="00D8480C" w:rsidRPr="00971432" w:rsidRDefault="00D8480C" w:rsidP="00971432">
      <w:pPr>
        <w:spacing w:line="360" w:lineRule="auto"/>
        <w:contextualSpacing/>
        <w:jc w:val="both"/>
        <w:rPr>
          <w:rFonts w:ascii="Palatino Linotype" w:hAnsi="Palatino Linotype" w:cs="Tahoma"/>
          <w:color w:val="000000" w:themeColor="text1"/>
          <w:sz w:val="22"/>
          <w:szCs w:val="22"/>
        </w:rPr>
      </w:pPr>
      <w:r w:rsidRPr="00971432">
        <w:rPr>
          <w:rFonts w:ascii="Palatino Linotype" w:eastAsia="Calibri" w:hAnsi="Palatino Linotype" w:cs="Tahoma"/>
          <w:b/>
          <w:color w:val="000000" w:themeColor="text1"/>
          <w:sz w:val="22"/>
          <w:szCs w:val="22"/>
          <w:lang w:eastAsia="es-MX"/>
        </w:rPr>
        <w:t>CUARTO</w:t>
      </w:r>
      <w:r w:rsidRPr="00971432">
        <w:rPr>
          <w:rFonts w:ascii="Palatino Linotype" w:eastAsia="Calibri" w:hAnsi="Palatino Linotype" w:cs="Tahoma"/>
          <w:b/>
          <w:bCs/>
          <w:color w:val="000000" w:themeColor="text1"/>
          <w:sz w:val="22"/>
          <w:szCs w:val="22"/>
          <w:lang w:eastAsia="en-US"/>
        </w:rPr>
        <w:t xml:space="preserve">. </w:t>
      </w:r>
      <w:r w:rsidRPr="00971432">
        <w:rPr>
          <w:rFonts w:ascii="Palatino Linotype" w:hAnsi="Palatino Linotype" w:cs="Tahoma"/>
          <w:b/>
          <w:color w:val="000000" w:themeColor="text1"/>
          <w:sz w:val="22"/>
          <w:szCs w:val="22"/>
        </w:rPr>
        <w:t>NOTIFÍQUESE</w:t>
      </w:r>
      <w:r w:rsidRPr="00971432">
        <w:rPr>
          <w:rFonts w:ascii="Palatino Linotype" w:hAnsi="Palatino Linotype" w:cs="Tahoma"/>
          <w:color w:val="000000" w:themeColor="text1"/>
          <w:sz w:val="22"/>
          <w:szCs w:val="22"/>
        </w:rPr>
        <w:t xml:space="preserve"> al Recurrente la presente Resolución a través del </w:t>
      </w:r>
      <w:r w:rsidRPr="00971432">
        <w:rPr>
          <w:rFonts w:ascii="Palatino Linotype" w:eastAsia="Calibri" w:hAnsi="Palatino Linotype" w:cs="Tahoma"/>
          <w:bCs/>
          <w:color w:val="000000" w:themeColor="text1"/>
          <w:sz w:val="22"/>
          <w:szCs w:val="22"/>
          <w:lang w:eastAsia="en-US"/>
        </w:rPr>
        <w:t>Sistema de Acceso a la Información Mexiquense (SAIMEX)</w:t>
      </w:r>
      <w:r w:rsidRPr="00971432">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594C3C1" w14:textId="77777777" w:rsidR="00D8480C" w:rsidRPr="00971432" w:rsidRDefault="00D8480C" w:rsidP="00971432">
      <w:pPr>
        <w:spacing w:line="360" w:lineRule="auto"/>
        <w:contextualSpacing/>
        <w:jc w:val="both"/>
        <w:rPr>
          <w:rFonts w:ascii="Palatino Linotype" w:eastAsia="Calibri" w:hAnsi="Palatino Linotype" w:cs="Tahoma"/>
          <w:sz w:val="22"/>
          <w:szCs w:val="22"/>
          <w:lang w:val="es-ES" w:eastAsia="es-ES_tradnl"/>
        </w:rPr>
      </w:pPr>
    </w:p>
    <w:p w14:paraId="54CF4FCB" w14:textId="0DDBBFCB" w:rsidR="00D8480C" w:rsidRPr="00971432" w:rsidRDefault="00910463" w:rsidP="00971432">
      <w:pPr>
        <w:spacing w:line="360" w:lineRule="auto"/>
        <w:contextualSpacing/>
        <w:jc w:val="both"/>
        <w:rPr>
          <w:rFonts w:ascii="Palatino Linotype" w:hAnsi="Palatino Linotype" w:cs="Tahoma"/>
          <w:sz w:val="22"/>
          <w:szCs w:val="22"/>
          <w:lang w:eastAsia="es-MX"/>
        </w:rPr>
      </w:pPr>
      <w:r w:rsidRPr="00971432">
        <w:rPr>
          <w:rFonts w:ascii="Palatino Linotype" w:hAnsi="Palatino Linotype"/>
          <w:sz w:val="22"/>
          <w:szCs w:val="22"/>
        </w:rPr>
        <w:t xml:space="preserve">ASÍ LO RESUELVE, POR </w:t>
      </w:r>
      <w:r w:rsidRPr="004962EC">
        <w:rPr>
          <w:rFonts w:ascii="Palatino Linotype" w:hAnsi="Palatino Linotype"/>
          <w:b/>
          <w:bCs/>
          <w:sz w:val="22"/>
          <w:szCs w:val="22"/>
        </w:rPr>
        <w:t>UNANIMIDAD</w:t>
      </w:r>
      <w:r w:rsidRPr="00971432">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00606C7C" w:rsidRPr="00971432">
        <w:rPr>
          <w:rFonts w:ascii="Palatino Linotype" w:hAnsi="Palatino Linotype"/>
          <w:sz w:val="22"/>
          <w:szCs w:val="22"/>
        </w:rPr>
        <w:t>RAMÍREZ PEÑA</w:t>
      </w:r>
      <w:r w:rsidR="00606C7C">
        <w:rPr>
          <w:rFonts w:ascii="Palatino Linotype" w:hAnsi="Palatino Linotype"/>
          <w:sz w:val="22"/>
          <w:szCs w:val="22"/>
        </w:rPr>
        <w:t xml:space="preserve"> CON OPINIÓN PARTICULAR</w:t>
      </w:r>
      <w:r w:rsidR="00606C7C" w:rsidRPr="00971432">
        <w:rPr>
          <w:rFonts w:ascii="Palatino Linotype" w:hAnsi="Palatino Linotype"/>
          <w:sz w:val="22"/>
          <w:szCs w:val="22"/>
        </w:rPr>
        <w:t xml:space="preserve">, EN LA DÉCIMA SESIÓN ORDINARIA, CELEBRADA EL DIECISÉIS DE MARZO DE DOS </w:t>
      </w:r>
      <w:r w:rsidR="00DC3F7C" w:rsidRPr="00971432">
        <w:rPr>
          <w:rFonts w:ascii="Palatino Linotype" w:hAnsi="Palatino Linotype"/>
          <w:sz w:val="22"/>
          <w:szCs w:val="22"/>
        </w:rPr>
        <w:t>MIL VEINTIDÓS,</w:t>
      </w:r>
      <w:r w:rsidRPr="00971432">
        <w:rPr>
          <w:rFonts w:ascii="Palatino Linotype" w:hAnsi="Palatino Linotype"/>
          <w:sz w:val="22"/>
          <w:szCs w:val="22"/>
        </w:rPr>
        <w:t xml:space="preserve"> ANTE EL SECRETARIO TÉCNICO DEL PLENO, ALEXIS TAPIA RAMÍREZ.</w:t>
      </w:r>
    </w:p>
    <w:p w14:paraId="48381867" w14:textId="5F3A80A7" w:rsidR="00D3442A" w:rsidRDefault="00D3442A">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14:paraId="626660CE" w14:textId="77777777" w:rsidR="003633DC" w:rsidRPr="00971432" w:rsidRDefault="003633DC" w:rsidP="00971432">
      <w:pPr>
        <w:spacing w:line="360" w:lineRule="auto"/>
        <w:contextualSpacing/>
        <w:jc w:val="both"/>
        <w:rPr>
          <w:rFonts w:ascii="Palatino Linotype" w:hAnsi="Palatino Linotype" w:cs="Tahoma"/>
          <w:sz w:val="22"/>
          <w:szCs w:val="22"/>
        </w:rPr>
      </w:pPr>
    </w:p>
    <w:sectPr w:rsidR="003633DC" w:rsidRPr="00971432" w:rsidSect="00DB7E5F">
      <w:headerReference w:type="even" r:id="rId23"/>
      <w:headerReference w:type="default" r:id="rId24"/>
      <w:footerReference w:type="default" r:id="rId25"/>
      <w:headerReference w:type="first" r:id="rId26"/>
      <w:footerReference w:type="first" r:id="rId2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BADD7" w14:textId="77777777" w:rsidR="0026082A" w:rsidRDefault="0026082A" w:rsidP="00B31222">
      <w:r>
        <w:separator/>
      </w:r>
    </w:p>
  </w:endnote>
  <w:endnote w:type="continuationSeparator" w:id="0">
    <w:p w14:paraId="1DD0A053" w14:textId="77777777" w:rsidR="0026082A" w:rsidRDefault="0026082A" w:rsidP="00B31222">
      <w:r>
        <w:continuationSeparator/>
      </w:r>
    </w:p>
  </w:endnote>
  <w:endnote w:type="continuationNotice" w:id="1">
    <w:p w14:paraId="02263276" w14:textId="77777777" w:rsidR="0026082A" w:rsidRDefault="00260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5526B1" w:rsidRDefault="005526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7D1F">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7D1F">
              <w:rPr>
                <w:b/>
                <w:bCs/>
                <w:noProof/>
              </w:rPr>
              <w:t>6</w:t>
            </w:r>
            <w:r>
              <w:rPr>
                <w:b/>
                <w:bCs/>
                <w:sz w:val="24"/>
                <w:szCs w:val="24"/>
              </w:rPr>
              <w:fldChar w:fldCharType="end"/>
            </w:r>
          </w:p>
        </w:sdtContent>
      </w:sdt>
    </w:sdtContent>
  </w:sdt>
  <w:p w14:paraId="06068AAA" w14:textId="77777777" w:rsidR="005526B1" w:rsidRDefault="005526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3FBF4" w14:textId="77777777" w:rsidR="005526B1" w:rsidRDefault="005526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7D1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7D1F">
      <w:rPr>
        <w:b/>
        <w:bCs/>
        <w:noProof/>
      </w:rPr>
      <w:t>5</w:t>
    </w:r>
    <w:r>
      <w:rPr>
        <w:b/>
        <w:bCs/>
        <w:sz w:val="24"/>
        <w:szCs w:val="24"/>
      </w:rPr>
      <w:fldChar w:fldCharType="end"/>
    </w:r>
  </w:p>
  <w:p w14:paraId="6325C9F5" w14:textId="77777777" w:rsidR="005526B1" w:rsidRDefault="005526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E0295" w14:textId="77777777" w:rsidR="0026082A" w:rsidRDefault="0026082A" w:rsidP="00B31222">
      <w:r>
        <w:separator/>
      </w:r>
    </w:p>
  </w:footnote>
  <w:footnote w:type="continuationSeparator" w:id="0">
    <w:p w14:paraId="03CFA165" w14:textId="77777777" w:rsidR="0026082A" w:rsidRDefault="0026082A" w:rsidP="00B31222">
      <w:r>
        <w:continuationSeparator/>
      </w:r>
    </w:p>
  </w:footnote>
  <w:footnote w:type="continuationNotice" w:id="1">
    <w:p w14:paraId="7C85EDE9" w14:textId="77777777" w:rsidR="0026082A" w:rsidRDefault="002608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DEB82" w14:textId="77777777" w:rsidR="005526B1" w:rsidRDefault="0026082A">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6192;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526B1" w:rsidRPr="005C106F" w14:paraId="70F3064E" w14:textId="77777777" w:rsidTr="00202DB8">
      <w:trPr>
        <w:trHeight w:val="1435"/>
      </w:trPr>
      <w:tc>
        <w:tcPr>
          <w:tcW w:w="2835" w:type="dxa"/>
          <w:shd w:val="clear" w:color="auto" w:fill="auto"/>
        </w:tcPr>
        <w:p w14:paraId="75B9D58F" w14:textId="4D562C87" w:rsidR="005526B1" w:rsidRPr="005C106F" w:rsidRDefault="005526B1"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5526B1" w:rsidRDefault="005526B1" w:rsidP="005743D2"/>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2977"/>
          </w:tblGrid>
          <w:tr w:rsidR="005526B1" w14:paraId="7562D8B9" w14:textId="77777777" w:rsidTr="00117DCC">
            <w:trPr>
              <w:trHeight w:val="144"/>
            </w:trPr>
            <w:tc>
              <w:tcPr>
                <w:tcW w:w="3011" w:type="dxa"/>
              </w:tcPr>
              <w:p w14:paraId="1DD2CB33" w14:textId="77777777" w:rsidR="005526B1" w:rsidRPr="00431A70" w:rsidRDefault="005526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7" w:type="dxa"/>
              </w:tcPr>
              <w:p w14:paraId="3ACA13B5" w14:textId="319A3A88" w:rsidR="005526B1" w:rsidRPr="00431A70" w:rsidRDefault="005526B1" w:rsidP="00117DCC">
                <w:pPr>
                  <w:tabs>
                    <w:tab w:val="right" w:pos="8838"/>
                  </w:tabs>
                  <w:ind w:left="-106" w:right="3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00201/INFOEM/IP/RR/2022</w:t>
                </w:r>
              </w:p>
            </w:tc>
          </w:tr>
          <w:tr w:rsidR="005526B1" w14:paraId="43905939" w14:textId="77777777" w:rsidTr="00117DCC">
            <w:trPr>
              <w:trHeight w:val="283"/>
            </w:trPr>
            <w:tc>
              <w:tcPr>
                <w:tcW w:w="3011" w:type="dxa"/>
              </w:tcPr>
              <w:p w14:paraId="6C212678" w14:textId="77777777" w:rsidR="005526B1" w:rsidRPr="00431A70" w:rsidRDefault="005526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7" w:type="dxa"/>
              </w:tcPr>
              <w:p w14:paraId="4ECDADC6" w14:textId="56250E20" w:rsidR="005526B1" w:rsidRPr="005F13CF" w:rsidRDefault="005526B1" w:rsidP="00117DCC">
                <w:pPr>
                  <w:tabs>
                    <w:tab w:val="left" w:pos="2834"/>
                    <w:tab w:val="right" w:pos="8838"/>
                  </w:tabs>
                  <w:ind w:left="-106" w:right="33"/>
                  <w:jc w:val="both"/>
                  <w:rPr>
                    <w:rFonts w:ascii="Palatino Linotype" w:eastAsia="Calibri" w:hAnsi="Palatino Linotype" w:cs="Tahoma"/>
                    <w:bCs/>
                    <w:sz w:val="22"/>
                    <w:szCs w:val="22"/>
                    <w:lang w:eastAsia="en-US"/>
                  </w:rPr>
                </w:pPr>
                <w:r w:rsidRPr="00D22A98">
                  <w:rPr>
                    <w:rFonts w:ascii="Palatino Linotype" w:eastAsia="Calibri" w:hAnsi="Palatino Linotype" w:cs="Tahoma"/>
                    <w:bCs/>
                    <w:sz w:val="22"/>
                    <w:szCs w:val="22"/>
                    <w:lang w:eastAsia="en-US"/>
                  </w:rPr>
                  <w:t xml:space="preserve">Ayuntamiento de </w:t>
                </w:r>
                <w:r>
                  <w:rPr>
                    <w:rFonts w:ascii="Palatino Linotype" w:eastAsia="Calibri" w:hAnsi="Palatino Linotype" w:cs="Tahoma"/>
                    <w:bCs/>
                    <w:sz w:val="22"/>
                    <w:szCs w:val="22"/>
                    <w:lang w:eastAsia="en-US"/>
                  </w:rPr>
                  <w:t>Jaltenco</w:t>
                </w:r>
              </w:p>
            </w:tc>
          </w:tr>
          <w:tr w:rsidR="005526B1" w14:paraId="5658CE71" w14:textId="77777777" w:rsidTr="00117DCC">
            <w:trPr>
              <w:trHeight w:val="283"/>
            </w:trPr>
            <w:tc>
              <w:tcPr>
                <w:tcW w:w="3011" w:type="dxa"/>
              </w:tcPr>
              <w:p w14:paraId="13BBC6D0" w14:textId="77777777" w:rsidR="005526B1" w:rsidRPr="00431A70" w:rsidRDefault="005526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7" w:type="dxa"/>
              </w:tcPr>
              <w:p w14:paraId="25C6CAA4" w14:textId="77777777" w:rsidR="005526B1" w:rsidRPr="00431A70" w:rsidRDefault="005526B1" w:rsidP="00117DCC">
                <w:pPr>
                  <w:tabs>
                    <w:tab w:val="right" w:pos="8838"/>
                  </w:tabs>
                  <w:ind w:left="-106" w:right="33"/>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F4AF3A" w14:textId="77777777" w:rsidR="005526B1" w:rsidRPr="005C106F" w:rsidRDefault="005526B1" w:rsidP="005743D2">
          <w:pPr>
            <w:tabs>
              <w:tab w:val="right" w:pos="8838"/>
            </w:tabs>
            <w:ind w:left="-28"/>
            <w:jc w:val="both"/>
            <w:rPr>
              <w:rFonts w:ascii="Arial" w:eastAsia="Calibri" w:hAnsi="Arial" w:cs="Arial"/>
              <w:b/>
              <w:sz w:val="22"/>
              <w:szCs w:val="22"/>
              <w:lang w:eastAsia="en-US"/>
            </w:rPr>
          </w:pPr>
        </w:p>
      </w:tc>
    </w:tr>
  </w:tbl>
  <w:p w14:paraId="3645CE0E" w14:textId="77777777" w:rsidR="005526B1" w:rsidRPr="00443C6B" w:rsidRDefault="0026082A"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2051" type="#_x0000_t75" style="position:absolute;margin-left:0;margin-top:0;width:663.5pt;height:12in;z-index:-25165516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526B1" w:rsidRPr="00330DA7" w14:paraId="260C3287" w14:textId="77777777" w:rsidTr="28A491FE">
      <w:trPr>
        <w:trHeight w:val="1435"/>
      </w:trPr>
      <w:tc>
        <w:tcPr>
          <w:tcW w:w="2835" w:type="dxa"/>
          <w:shd w:val="clear" w:color="auto" w:fill="auto"/>
        </w:tcPr>
        <w:p w14:paraId="2786E3E5" w14:textId="34BF8D2B" w:rsidR="005526B1" w:rsidRPr="00330DA7" w:rsidRDefault="005526B1"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2977"/>
          </w:tblGrid>
          <w:tr w:rsidR="005526B1" w:rsidRPr="00431A70" w14:paraId="70AEE1B2" w14:textId="77777777" w:rsidTr="28A491FE">
            <w:trPr>
              <w:trHeight w:val="144"/>
            </w:trPr>
            <w:tc>
              <w:tcPr>
                <w:tcW w:w="3011" w:type="dxa"/>
              </w:tcPr>
              <w:p w14:paraId="7CE1822F" w14:textId="77777777" w:rsidR="005526B1" w:rsidRPr="00431A70" w:rsidRDefault="005526B1"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7" w:type="dxa"/>
              </w:tcPr>
              <w:p w14:paraId="724C358A" w14:textId="2EBE9728" w:rsidR="005526B1" w:rsidRPr="00431A70" w:rsidRDefault="005526B1" w:rsidP="005F13CF">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00201/INFOEM/IP/RR/2022</w:t>
                </w:r>
              </w:p>
            </w:tc>
          </w:tr>
          <w:tr w:rsidR="005526B1" w:rsidRPr="00286D0C" w14:paraId="167D5D24" w14:textId="77777777" w:rsidTr="28A491FE">
            <w:trPr>
              <w:trHeight w:val="144"/>
            </w:trPr>
            <w:tc>
              <w:tcPr>
                <w:tcW w:w="3011" w:type="dxa"/>
              </w:tcPr>
              <w:p w14:paraId="00155F88" w14:textId="77777777" w:rsidR="005526B1" w:rsidRPr="00431A70" w:rsidRDefault="005526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2977" w:type="dxa"/>
              </w:tcPr>
              <w:p w14:paraId="4EFE8D3E" w14:textId="705F69BE" w:rsidR="005526B1" w:rsidRPr="00286D0C" w:rsidRDefault="28A491FE" w:rsidP="28A491FE">
                <w:pPr>
                  <w:tabs>
                    <w:tab w:val="left" w:pos="3122"/>
                    <w:tab w:val="right" w:pos="8838"/>
                  </w:tabs>
                  <w:ind w:left="-106" w:right="-105"/>
                  <w:jc w:val="both"/>
                  <w:rPr>
                    <w:rFonts w:ascii="Palatino Linotype" w:eastAsia="Calibri" w:hAnsi="Palatino Linotype" w:cs="Tahoma"/>
                    <w:sz w:val="22"/>
                    <w:szCs w:val="22"/>
                    <w:lang w:eastAsia="en-US"/>
                  </w:rPr>
                </w:pPr>
                <w:r w:rsidRPr="28A491FE">
                  <w:rPr>
                    <w:rFonts w:ascii="Palatino Linotype" w:eastAsia="Calibri" w:hAnsi="Palatino Linotype" w:cs="Tahoma"/>
                    <w:sz w:val="22"/>
                    <w:szCs w:val="22"/>
                    <w:highlight w:val="black"/>
                    <w:lang w:eastAsia="en-US"/>
                  </w:rPr>
                  <w:t>XXXXX</w:t>
                </w:r>
                <w:r w:rsidRPr="28A491FE">
                  <w:rPr>
                    <w:rFonts w:ascii="Palatino Linotype" w:eastAsia="Calibri" w:hAnsi="Palatino Linotype" w:cs="Tahoma"/>
                    <w:sz w:val="22"/>
                    <w:szCs w:val="22"/>
                    <w:lang w:eastAsia="en-US"/>
                  </w:rPr>
                  <w:t xml:space="preserve"> </w:t>
                </w:r>
              </w:p>
            </w:tc>
          </w:tr>
          <w:tr w:rsidR="005526B1" w:rsidRPr="00431A70" w14:paraId="63620DE8" w14:textId="77777777" w:rsidTr="28A491FE">
            <w:trPr>
              <w:trHeight w:val="283"/>
            </w:trPr>
            <w:tc>
              <w:tcPr>
                <w:tcW w:w="3011" w:type="dxa"/>
              </w:tcPr>
              <w:p w14:paraId="626AF87B" w14:textId="77777777" w:rsidR="005526B1" w:rsidRPr="00431A70" w:rsidRDefault="005526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7" w:type="dxa"/>
              </w:tcPr>
              <w:p w14:paraId="3CCB6EAF" w14:textId="22FB3283" w:rsidR="005526B1" w:rsidRPr="005F13CF" w:rsidRDefault="005526B1" w:rsidP="005F13CF">
                <w:pPr>
                  <w:tabs>
                    <w:tab w:val="left" w:pos="2834"/>
                    <w:tab w:val="right" w:pos="8838"/>
                  </w:tabs>
                  <w:ind w:left="-106" w:right="-105"/>
                  <w:jc w:val="both"/>
                  <w:rPr>
                    <w:rFonts w:ascii="Palatino Linotype" w:eastAsia="Calibri" w:hAnsi="Palatino Linotype" w:cs="Tahoma"/>
                    <w:bCs/>
                    <w:sz w:val="22"/>
                    <w:szCs w:val="22"/>
                    <w:lang w:eastAsia="en-US"/>
                  </w:rPr>
                </w:pPr>
                <w:r w:rsidRPr="004327F8">
                  <w:rPr>
                    <w:rFonts w:ascii="Palatino Linotype" w:eastAsia="Calibri" w:hAnsi="Palatino Linotype" w:cs="Tahoma"/>
                    <w:bCs/>
                    <w:sz w:val="22"/>
                    <w:szCs w:val="22"/>
                    <w:lang w:eastAsia="en-US"/>
                  </w:rPr>
                  <w:t>Ayuntamiento de Jaltenco</w:t>
                </w:r>
              </w:p>
            </w:tc>
          </w:tr>
          <w:tr w:rsidR="005526B1" w:rsidRPr="00431A70" w14:paraId="5EB306D6" w14:textId="77777777" w:rsidTr="28A491FE">
            <w:trPr>
              <w:trHeight w:val="283"/>
            </w:trPr>
            <w:tc>
              <w:tcPr>
                <w:tcW w:w="3011" w:type="dxa"/>
              </w:tcPr>
              <w:p w14:paraId="43BC716C" w14:textId="77777777" w:rsidR="005526B1" w:rsidRPr="00431A70" w:rsidRDefault="005526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7" w:type="dxa"/>
              </w:tcPr>
              <w:p w14:paraId="2F58048B" w14:textId="77777777" w:rsidR="005526B1" w:rsidRPr="00431A70" w:rsidRDefault="005526B1"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51A1E61" w14:textId="77777777" w:rsidR="005526B1" w:rsidRPr="00330DA7" w:rsidRDefault="005526B1" w:rsidP="00DB7E5F">
          <w:pPr>
            <w:tabs>
              <w:tab w:val="right" w:pos="8838"/>
            </w:tabs>
            <w:ind w:left="-28"/>
            <w:jc w:val="both"/>
            <w:rPr>
              <w:rFonts w:ascii="Arial" w:eastAsia="Calibri" w:hAnsi="Arial" w:cs="Arial"/>
              <w:b/>
              <w:sz w:val="22"/>
              <w:szCs w:val="22"/>
              <w:lang w:eastAsia="en-US"/>
            </w:rPr>
          </w:pPr>
        </w:p>
      </w:tc>
    </w:tr>
  </w:tbl>
  <w:p w14:paraId="3CFB1CDD" w14:textId="77777777" w:rsidR="005526B1" w:rsidRPr="00330DA7" w:rsidRDefault="0026082A"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2049" type="#_x0000_t75" style="position:absolute;margin-left:0;margin-top:0;width:663.5pt;height:12in;z-index:-251657216;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nsid w:val="06884520"/>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6BF709F"/>
    <w:multiLevelType w:val="hybridMultilevel"/>
    <w:tmpl w:val="8B2EFC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040B29"/>
    <w:multiLevelType w:val="hybridMultilevel"/>
    <w:tmpl w:val="BCA497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96D9A"/>
    <w:multiLevelType w:val="hybridMultilevel"/>
    <w:tmpl w:val="F4365D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EF59A8"/>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676280"/>
    <w:multiLevelType w:val="hybridMultilevel"/>
    <w:tmpl w:val="6D70E9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384333"/>
    <w:multiLevelType w:val="hybridMultilevel"/>
    <w:tmpl w:val="20604C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737E50"/>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362425"/>
    <w:multiLevelType w:val="hybridMultilevel"/>
    <w:tmpl w:val="B19C1938"/>
    <w:lvl w:ilvl="0" w:tplc="8B48BDCC">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58601D"/>
    <w:multiLevelType w:val="hybridMultilevel"/>
    <w:tmpl w:val="E6EEF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AA0F26"/>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FB05F3"/>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AE6270"/>
    <w:multiLevelType w:val="hybridMultilevel"/>
    <w:tmpl w:val="6D6E837A"/>
    <w:lvl w:ilvl="0" w:tplc="A1441D96">
      <w:numFmt w:val="bullet"/>
      <w:lvlText w:val="•"/>
      <w:lvlJc w:val="left"/>
      <w:pPr>
        <w:ind w:left="1065" w:hanging="705"/>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1C6C2B"/>
    <w:multiLevelType w:val="hybridMultilevel"/>
    <w:tmpl w:val="3864C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2FB5E79"/>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8A11127"/>
    <w:multiLevelType w:val="hybridMultilevel"/>
    <w:tmpl w:val="6D78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1B4951"/>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1335E38"/>
    <w:multiLevelType w:val="hybridMultilevel"/>
    <w:tmpl w:val="EA86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E56A8A"/>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601A23"/>
    <w:multiLevelType w:val="hybridMultilevel"/>
    <w:tmpl w:val="6D70E9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DE7F22"/>
    <w:multiLevelType w:val="hybridMultilevel"/>
    <w:tmpl w:val="0B02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4"/>
  </w:num>
  <w:num w:numId="4">
    <w:abstractNumId w:val="35"/>
  </w:num>
  <w:num w:numId="5">
    <w:abstractNumId w:val="12"/>
  </w:num>
  <w:num w:numId="6">
    <w:abstractNumId w:val="21"/>
  </w:num>
  <w:num w:numId="7">
    <w:abstractNumId w:val="23"/>
  </w:num>
  <w:num w:numId="8">
    <w:abstractNumId w:val="25"/>
  </w:num>
  <w:num w:numId="9">
    <w:abstractNumId w:val="28"/>
  </w:num>
  <w:num w:numId="10">
    <w:abstractNumId w:val="19"/>
  </w:num>
  <w:num w:numId="11">
    <w:abstractNumId w:val="16"/>
  </w:num>
  <w:num w:numId="12">
    <w:abstractNumId w:val="22"/>
  </w:num>
  <w:num w:numId="13">
    <w:abstractNumId w:val="14"/>
  </w:num>
  <w:num w:numId="14">
    <w:abstractNumId w:val="20"/>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30"/>
  </w:num>
  <w:num w:numId="19">
    <w:abstractNumId w:val="18"/>
  </w:num>
  <w:num w:numId="20">
    <w:abstractNumId w:val="33"/>
  </w:num>
  <w:num w:numId="21">
    <w:abstractNumId w:val="29"/>
  </w:num>
  <w:num w:numId="22">
    <w:abstractNumId w:val="31"/>
  </w:num>
  <w:num w:numId="23">
    <w:abstractNumId w:val="17"/>
  </w:num>
  <w:num w:numId="24">
    <w:abstractNumId w:val="6"/>
  </w:num>
  <w:num w:numId="25">
    <w:abstractNumId w:val="11"/>
  </w:num>
  <w:num w:numId="26">
    <w:abstractNumId w:val="2"/>
  </w:num>
  <w:num w:numId="27">
    <w:abstractNumId w:val="34"/>
  </w:num>
  <w:num w:numId="28">
    <w:abstractNumId w:val="36"/>
  </w:num>
  <w:num w:numId="29">
    <w:abstractNumId w:val="27"/>
  </w:num>
  <w:num w:numId="30">
    <w:abstractNumId w:val="13"/>
  </w:num>
  <w:num w:numId="31">
    <w:abstractNumId w:val="37"/>
  </w:num>
  <w:num w:numId="32">
    <w:abstractNumId w:val="8"/>
  </w:num>
  <w:num w:numId="33">
    <w:abstractNumId w:val="26"/>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
  </w:num>
  <w:num w:numId="37">
    <w:abstractNumId w:val="15"/>
  </w:num>
  <w:num w:numId="38">
    <w:abstractNumId w:val="7"/>
  </w:num>
  <w:num w:numId="3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B6E"/>
    <w:rsid w:val="000300BE"/>
    <w:rsid w:val="0003037C"/>
    <w:rsid w:val="0003089C"/>
    <w:rsid w:val="00030E29"/>
    <w:rsid w:val="000313A7"/>
    <w:rsid w:val="00032F5B"/>
    <w:rsid w:val="00033086"/>
    <w:rsid w:val="000338C2"/>
    <w:rsid w:val="00034E9D"/>
    <w:rsid w:val="00035F9E"/>
    <w:rsid w:val="000373BC"/>
    <w:rsid w:val="000378BC"/>
    <w:rsid w:val="00037B34"/>
    <w:rsid w:val="00037BE8"/>
    <w:rsid w:val="00037F4B"/>
    <w:rsid w:val="00040D25"/>
    <w:rsid w:val="0004133E"/>
    <w:rsid w:val="000415F1"/>
    <w:rsid w:val="00043009"/>
    <w:rsid w:val="00043C4B"/>
    <w:rsid w:val="00044B86"/>
    <w:rsid w:val="000452B7"/>
    <w:rsid w:val="00045736"/>
    <w:rsid w:val="00045F17"/>
    <w:rsid w:val="0004646B"/>
    <w:rsid w:val="0004735D"/>
    <w:rsid w:val="00047C1B"/>
    <w:rsid w:val="00051243"/>
    <w:rsid w:val="00051E32"/>
    <w:rsid w:val="000523BB"/>
    <w:rsid w:val="000528E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72AA"/>
    <w:rsid w:val="00067767"/>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2023"/>
    <w:rsid w:val="000851BA"/>
    <w:rsid w:val="00086A01"/>
    <w:rsid w:val="0008787B"/>
    <w:rsid w:val="000910AA"/>
    <w:rsid w:val="0009131F"/>
    <w:rsid w:val="00091672"/>
    <w:rsid w:val="00092475"/>
    <w:rsid w:val="000925A4"/>
    <w:rsid w:val="0009263F"/>
    <w:rsid w:val="00092AD0"/>
    <w:rsid w:val="000939AD"/>
    <w:rsid w:val="000943DD"/>
    <w:rsid w:val="00094F89"/>
    <w:rsid w:val="00096500"/>
    <w:rsid w:val="00096659"/>
    <w:rsid w:val="00097211"/>
    <w:rsid w:val="000A0518"/>
    <w:rsid w:val="000A0861"/>
    <w:rsid w:val="000A1342"/>
    <w:rsid w:val="000A20A4"/>
    <w:rsid w:val="000A275D"/>
    <w:rsid w:val="000A3AEE"/>
    <w:rsid w:val="000A3C05"/>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2DE"/>
    <w:rsid w:val="000C0B9C"/>
    <w:rsid w:val="000C2283"/>
    <w:rsid w:val="000C27CA"/>
    <w:rsid w:val="000C379A"/>
    <w:rsid w:val="000C3B64"/>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D7270"/>
    <w:rsid w:val="000E0BEA"/>
    <w:rsid w:val="000E189E"/>
    <w:rsid w:val="000E220F"/>
    <w:rsid w:val="000E50C3"/>
    <w:rsid w:val="000E59A5"/>
    <w:rsid w:val="000E6517"/>
    <w:rsid w:val="000E7419"/>
    <w:rsid w:val="000E7527"/>
    <w:rsid w:val="000E7E79"/>
    <w:rsid w:val="000F019D"/>
    <w:rsid w:val="000F0284"/>
    <w:rsid w:val="000F1448"/>
    <w:rsid w:val="000F24C8"/>
    <w:rsid w:val="000F2EBF"/>
    <w:rsid w:val="000F3365"/>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17DCC"/>
    <w:rsid w:val="0012216D"/>
    <w:rsid w:val="001221B8"/>
    <w:rsid w:val="001227A5"/>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0658"/>
    <w:rsid w:val="00171ADD"/>
    <w:rsid w:val="001728F3"/>
    <w:rsid w:val="00172F78"/>
    <w:rsid w:val="00173533"/>
    <w:rsid w:val="00173548"/>
    <w:rsid w:val="00174390"/>
    <w:rsid w:val="0017459B"/>
    <w:rsid w:val="001753E0"/>
    <w:rsid w:val="00175CEB"/>
    <w:rsid w:val="00175E61"/>
    <w:rsid w:val="00176367"/>
    <w:rsid w:val="00176BF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6804"/>
    <w:rsid w:val="00187211"/>
    <w:rsid w:val="001875A7"/>
    <w:rsid w:val="001879E1"/>
    <w:rsid w:val="00190E90"/>
    <w:rsid w:val="00190F5F"/>
    <w:rsid w:val="0019295F"/>
    <w:rsid w:val="0019389B"/>
    <w:rsid w:val="001961AE"/>
    <w:rsid w:val="00196522"/>
    <w:rsid w:val="001A1B94"/>
    <w:rsid w:val="001A22F5"/>
    <w:rsid w:val="001A3887"/>
    <w:rsid w:val="001A3AF1"/>
    <w:rsid w:val="001A412B"/>
    <w:rsid w:val="001A4B83"/>
    <w:rsid w:val="001A52C1"/>
    <w:rsid w:val="001A5BDB"/>
    <w:rsid w:val="001A5DF5"/>
    <w:rsid w:val="001A7153"/>
    <w:rsid w:val="001A7FD2"/>
    <w:rsid w:val="001B0CEB"/>
    <w:rsid w:val="001B0D53"/>
    <w:rsid w:val="001B107D"/>
    <w:rsid w:val="001B1997"/>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287D"/>
    <w:rsid w:val="001C333F"/>
    <w:rsid w:val="001C3F09"/>
    <w:rsid w:val="001C67BD"/>
    <w:rsid w:val="001D0086"/>
    <w:rsid w:val="001D0094"/>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2E36"/>
    <w:rsid w:val="001E343E"/>
    <w:rsid w:val="001E4C89"/>
    <w:rsid w:val="001E53C2"/>
    <w:rsid w:val="001E548E"/>
    <w:rsid w:val="001E5531"/>
    <w:rsid w:val="001E6357"/>
    <w:rsid w:val="001E6816"/>
    <w:rsid w:val="001E6FC5"/>
    <w:rsid w:val="001E745E"/>
    <w:rsid w:val="001E79DE"/>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A05"/>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82A"/>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6D4"/>
    <w:rsid w:val="002B4C49"/>
    <w:rsid w:val="002B5040"/>
    <w:rsid w:val="002B530D"/>
    <w:rsid w:val="002B54CF"/>
    <w:rsid w:val="002B5BE0"/>
    <w:rsid w:val="002B70C7"/>
    <w:rsid w:val="002C0097"/>
    <w:rsid w:val="002C06E4"/>
    <w:rsid w:val="002C1F2C"/>
    <w:rsid w:val="002C2484"/>
    <w:rsid w:val="002C284D"/>
    <w:rsid w:val="002C2A4A"/>
    <w:rsid w:val="002C3F5F"/>
    <w:rsid w:val="002C4046"/>
    <w:rsid w:val="002C431E"/>
    <w:rsid w:val="002C458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418"/>
    <w:rsid w:val="002E2DDD"/>
    <w:rsid w:val="002E3755"/>
    <w:rsid w:val="002E3D64"/>
    <w:rsid w:val="002E3FCF"/>
    <w:rsid w:val="002E4059"/>
    <w:rsid w:val="002E5015"/>
    <w:rsid w:val="002E6418"/>
    <w:rsid w:val="002E7343"/>
    <w:rsid w:val="002E7ACF"/>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700A"/>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1AD9"/>
    <w:rsid w:val="003323E7"/>
    <w:rsid w:val="003340EC"/>
    <w:rsid w:val="00334225"/>
    <w:rsid w:val="003350FF"/>
    <w:rsid w:val="00335DC9"/>
    <w:rsid w:val="003363F6"/>
    <w:rsid w:val="0034057C"/>
    <w:rsid w:val="003416A5"/>
    <w:rsid w:val="003416E2"/>
    <w:rsid w:val="003417A1"/>
    <w:rsid w:val="00341E21"/>
    <w:rsid w:val="00341E6C"/>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1E6"/>
    <w:rsid w:val="00390249"/>
    <w:rsid w:val="003905C8"/>
    <w:rsid w:val="003909B2"/>
    <w:rsid w:val="00390BF8"/>
    <w:rsid w:val="0039109D"/>
    <w:rsid w:val="00391E2E"/>
    <w:rsid w:val="00392877"/>
    <w:rsid w:val="00392E12"/>
    <w:rsid w:val="00393685"/>
    <w:rsid w:val="00393EB2"/>
    <w:rsid w:val="00394461"/>
    <w:rsid w:val="00394CA8"/>
    <w:rsid w:val="00394D7E"/>
    <w:rsid w:val="003956E9"/>
    <w:rsid w:val="003965EC"/>
    <w:rsid w:val="00396BA0"/>
    <w:rsid w:val="00396BE3"/>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BEF"/>
    <w:rsid w:val="003C01B9"/>
    <w:rsid w:val="003C0AFA"/>
    <w:rsid w:val="003C0CA6"/>
    <w:rsid w:val="003C1B21"/>
    <w:rsid w:val="003C1C83"/>
    <w:rsid w:val="003C28B8"/>
    <w:rsid w:val="003C3BD5"/>
    <w:rsid w:val="003C3E71"/>
    <w:rsid w:val="003C4519"/>
    <w:rsid w:val="003C4790"/>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7A"/>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7F8"/>
    <w:rsid w:val="00432F20"/>
    <w:rsid w:val="004339FC"/>
    <w:rsid w:val="00434202"/>
    <w:rsid w:val="0043434E"/>
    <w:rsid w:val="00434551"/>
    <w:rsid w:val="004350A7"/>
    <w:rsid w:val="00436305"/>
    <w:rsid w:val="00436FD3"/>
    <w:rsid w:val="00437B95"/>
    <w:rsid w:val="004406CF"/>
    <w:rsid w:val="00441804"/>
    <w:rsid w:val="004435B4"/>
    <w:rsid w:val="00443C24"/>
    <w:rsid w:val="00444D0E"/>
    <w:rsid w:val="0044550A"/>
    <w:rsid w:val="00447C98"/>
    <w:rsid w:val="00447F7D"/>
    <w:rsid w:val="00450294"/>
    <w:rsid w:val="004506B1"/>
    <w:rsid w:val="004506BF"/>
    <w:rsid w:val="004517A7"/>
    <w:rsid w:val="0045371C"/>
    <w:rsid w:val="00453729"/>
    <w:rsid w:val="0045411C"/>
    <w:rsid w:val="004544CD"/>
    <w:rsid w:val="00454DE4"/>
    <w:rsid w:val="00456855"/>
    <w:rsid w:val="00457888"/>
    <w:rsid w:val="00460032"/>
    <w:rsid w:val="0046048A"/>
    <w:rsid w:val="00461E53"/>
    <w:rsid w:val="00462B46"/>
    <w:rsid w:val="00463F50"/>
    <w:rsid w:val="0046548F"/>
    <w:rsid w:val="00465497"/>
    <w:rsid w:val="00466346"/>
    <w:rsid w:val="00466C2C"/>
    <w:rsid w:val="004675F7"/>
    <w:rsid w:val="004702B0"/>
    <w:rsid w:val="0047072A"/>
    <w:rsid w:val="00471420"/>
    <w:rsid w:val="00471624"/>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519E"/>
    <w:rsid w:val="00485E56"/>
    <w:rsid w:val="00485EC7"/>
    <w:rsid w:val="004860BD"/>
    <w:rsid w:val="00487430"/>
    <w:rsid w:val="00487946"/>
    <w:rsid w:val="00491A4E"/>
    <w:rsid w:val="004922A7"/>
    <w:rsid w:val="00492FAB"/>
    <w:rsid w:val="004945CF"/>
    <w:rsid w:val="0049514C"/>
    <w:rsid w:val="00495D70"/>
    <w:rsid w:val="004960B3"/>
    <w:rsid w:val="004962E4"/>
    <w:rsid w:val="004962EC"/>
    <w:rsid w:val="00496DAA"/>
    <w:rsid w:val="0049707E"/>
    <w:rsid w:val="00497150"/>
    <w:rsid w:val="004973E3"/>
    <w:rsid w:val="00497BA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F68"/>
    <w:rsid w:val="004C7E83"/>
    <w:rsid w:val="004D151D"/>
    <w:rsid w:val="004D19CC"/>
    <w:rsid w:val="004D27A6"/>
    <w:rsid w:val="004D2B43"/>
    <w:rsid w:val="004D3573"/>
    <w:rsid w:val="004D49DC"/>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70C3"/>
    <w:rsid w:val="00510D32"/>
    <w:rsid w:val="00510E39"/>
    <w:rsid w:val="00511FA0"/>
    <w:rsid w:val="0051276F"/>
    <w:rsid w:val="005130AC"/>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40E5A"/>
    <w:rsid w:val="00541AB7"/>
    <w:rsid w:val="005423DD"/>
    <w:rsid w:val="00542B7D"/>
    <w:rsid w:val="00542D5F"/>
    <w:rsid w:val="005435DE"/>
    <w:rsid w:val="00543AD3"/>
    <w:rsid w:val="005441AD"/>
    <w:rsid w:val="00544985"/>
    <w:rsid w:val="00544A5D"/>
    <w:rsid w:val="00544B35"/>
    <w:rsid w:val="00544C28"/>
    <w:rsid w:val="005462BA"/>
    <w:rsid w:val="00546769"/>
    <w:rsid w:val="00546BAE"/>
    <w:rsid w:val="00546C4E"/>
    <w:rsid w:val="005475F1"/>
    <w:rsid w:val="00547D7E"/>
    <w:rsid w:val="00550418"/>
    <w:rsid w:val="005504F6"/>
    <w:rsid w:val="00550C0B"/>
    <w:rsid w:val="005526B1"/>
    <w:rsid w:val="00552EBD"/>
    <w:rsid w:val="00553405"/>
    <w:rsid w:val="00553827"/>
    <w:rsid w:val="0055397F"/>
    <w:rsid w:val="00553A6B"/>
    <w:rsid w:val="005540A8"/>
    <w:rsid w:val="005544AF"/>
    <w:rsid w:val="00555F71"/>
    <w:rsid w:val="00557D01"/>
    <w:rsid w:val="00560495"/>
    <w:rsid w:val="00560FD1"/>
    <w:rsid w:val="005610CC"/>
    <w:rsid w:val="0056132D"/>
    <w:rsid w:val="005614EF"/>
    <w:rsid w:val="00563BEB"/>
    <w:rsid w:val="005651B9"/>
    <w:rsid w:val="00565245"/>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AD3"/>
    <w:rsid w:val="00574C83"/>
    <w:rsid w:val="00575905"/>
    <w:rsid w:val="00576FAF"/>
    <w:rsid w:val="00576FDA"/>
    <w:rsid w:val="00577825"/>
    <w:rsid w:val="005802BD"/>
    <w:rsid w:val="00580BBC"/>
    <w:rsid w:val="0058220D"/>
    <w:rsid w:val="00582A99"/>
    <w:rsid w:val="00583228"/>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82"/>
    <w:rsid w:val="005A72D8"/>
    <w:rsid w:val="005A738C"/>
    <w:rsid w:val="005A7D1F"/>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6C7C"/>
    <w:rsid w:val="00607688"/>
    <w:rsid w:val="0061051A"/>
    <w:rsid w:val="00610656"/>
    <w:rsid w:val="0061115C"/>
    <w:rsid w:val="00611A49"/>
    <w:rsid w:val="00613017"/>
    <w:rsid w:val="00613A54"/>
    <w:rsid w:val="00614619"/>
    <w:rsid w:val="006148C4"/>
    <w:rsid w:val="006157C9"/>
    <w:rsid w:val="00616189"/>
    <w:rsid w:val="0061682E"/>
    <w:rsid w:val="0062078C"/>
    <w:rsid w:val="00620E8F"/>
    <w:rsid w:val="00621760"/>
    <w:rsid w:val="006217BB"/>
    <w:rsid w:val="00623538"/>
    <w:rsid w:val="00625134"/>
    <w:rsid w:val="00625ADA"/>
    <w:rsid w:val="00625BD5"/>
    <w:rsid w:val="00625DFB"/>
    <w:rsid w:val="006277B7"/>
    <w:rsid w:val="00627FA4"/>
    <w:rsid w:val="00630DE4"/>
    <w:rsid w:val="006312FD"/>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F7D"/>
    <w:rsid w:val="00646100"/>
    <w:rsid w:val="00646C1B"/>
    <w:rsid w:val="006476CA"/>
    <w:rsid w:val="00650554"/>
    <w:rsid w:val="00650BF8"/>
    <w:rsid w:val="00651E63"/>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231"/>
    <w:rsid w:val="006A1D62"/>
    <w:rsid w:val="006A2363"/>
    <w:rsid w:val="006A43A7"/>
    <w:rsid w:val="006A4602"/>
    <w:rsid w:val="006A4EAE"/>
    <w:rsid w:val="006A5195"/>
    <w:rsid w:val="006A52CC"/>
    <w:rsid w:val="006A56C3"/>
    <w:rsid w:val="006A67AA"/>
    <w:rsid w:val="006A6B88"/>
    <w:rsid w:val="006A6D7F"/>
    <w:rsid w:val="006B0298"/>
    <w:rsid w:val="006B045A"/>
    <w:rsid w:val="006B0962"/>
    <w:rsid w:val="006B0D07"/>
    <w:rsid w:val="006B0E83"/>
    <w:rsid w:val="006B180E"/>
    <w:rsid w:val="006B339B"/>
    <w:rsid w:val="006B385B"/>
    <w:rsid w:val="006B4562"/>
    <w:rsid w:val="006B4A63"/>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21A7"/>
    <w:rsid w:val="006D233A"/>
    <w:rsid w:val="006D28A9"/>
    <w:rsid w:val="006D2E02"/>
    <w:rsid w:val="006D3202"/>
    <w:rsid w:val="006D4547"/>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E9D"/>
    <w:rsid w:val="006E7F4E"/>
    <w:rsid w:val="006F01E7"/>
    <w:rsid w:val="006F0FD7"/>
    <w:rsid w:val="006F1F3A"/>
    <w:rsid w:val="006F6CA7"/>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2CF2"/>
    <w:rsid w:val="0074489F"/>
    <w:rsid w:val="0074594A"/>
    <w:rsid w:val="00745E4E"/>
    <w:rsid w:val="00746642"/>
    <w:rsid w:val="00746F9D"/>
    <w:rsid w:val="00747181"/>
    <w:rsid w:val="0075065B"/>
    <w:rsid w:val="007513F0"/>
    <w:rsid w:val="007515BC"/>
    <w:rsid w:val="00751953"/>
    <w:rsid w:val="00752606"/>
    <w:rsid w:val="00753CF0"/>
    <w:rsid w:val="0075402E"/>
    <w:rsid w:val="0075584E"/>
    <w:rsid w:val="007561A3"/>
    <w:rsid w:val="00756C38"/>
    <w:rsid w:val="00756D31"/>
    <w:rsid w:val="00756D3D"/>
    <w:rsid w:val="007573B2"/>
    <w:rsid w:val="007574BB"/>
    <w:rsid w:val="0075764C"/>
    <w:rsid w:val="00757A69"/>
    <w:rsid w:val="00762198"/>
    <w:rsid w:val="007621D9"/>
    <w:rsid w:val="007628DA"/>
    <w:rsid w:val="00762E28"/>
    <w:rsid w:val="00763CE8"/>
    <w:rsid w:val="007648CF"/>
    <w:rsid w:val="00765BD5"/>
    <w:rsid w:val="007660BA"/>
    <w:rsid w:val="0076703C"/>
    <w:rsid w:val="00770792"/>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772"/>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D4F"/>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C64"/>
    <w:rsid w:val="007D7E3A"/>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D62"/>
    <w:rsid w:val="008221B0"/>
    <w:rsid w:val="008231C8"/>
    <w:rsid w:val="008242C5"/>
    <w:rsid w:val="00824764"/>
    <w:rsid w:val="0082496F"/>
    <w:rsid w:val="00825F1D"/>
    <w:rsid w:val="008267E8"/>
    <w:rsid w:val="00826A44"/>
    <w:rsid w:val="00826BB6"/>
    <w:rsid w:val="00827F88"/>
    <w:rsid w:val="008310F6"/>
    <w:rsid w:val="008315CE"/>
    <w:rsid w:val="00831AA8"/>
    <w:rsid w:val="00832752"/>
    <w:rsid w:val="008336A5"/>
    <w:rsid w:val="0083454E"/>
    <w:rsid w:val="00834C4C"/>
    <w:rsid w:val="00835474"/>
    <w:rsid w:val="00836293"/>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5C1"/>
    <w:rsid w:val="00860E4C"/>
    <w:rsid w:val="008612BE"/>
    <w:rsid w:val="00862771"/>
    <w:rsid w:val="00864004"/>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4A6"/>
    <w:rsid w:val="0088336E"/>
    <w:rsid w:val="008839DA"/>
    <w:rsid w:val="00884EE8"/>
    <w:rsid w:val="00885153"/>
    <w:rsid w:val="00885168"/>
    <w:rsid w:val="00890C12"/>
    <w:rsid w:val="0089144A"/>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3808"/>
    <w:rsid w:val="008A4138"/>
    <w:rsid w:val="008A4C3A"/>
    <w:rsid w:val="008A5D96"/>
    <w:rsid w:val="008A6178"/>
    <w:rsid w:val="008A61E2"/>
    <w:rsid w:val="008B00A4"/>
    <w:rsid w:val="008B1C74"/>
    <w:rsid w:val="008B440B"/>
    <w:rsid w:val="008B4676"/>
    <w:rsid w:val="008B5AB3"/>
    <w:rsid w:val="008B5E49"/>
    <w:rsid w:val="008B6212"/>
    <w:rsid w:val="008B6848"/>
    <w:rsid w:val="008B75B8"/>
    <w:rsid w:val="008C0024"/>
    <w:rsid w:val="008C1393"/>
    <w:rsid w:val="008C15FF"/>
    <w:rsid w:val="008C2FA1"/>
    <w:rsid w:val="008C39FC"/>
    <w:rsid w:val="008C58DF"/>
    <w:rsid w:val="008C5AE6"/>
    <w:rsid w:val="008C6C63"/>
    <w:rsid w:val="008C796D"/>
    <w:rsid w:val="008D098D"/>
    <w:rsid w:val="008D1369"/>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33FC"/>
    <w:rsid w:val="009439D3"/>
    <w:rsid w:val="00943BCE"/>
    <w:rsid w:val="0094408C"/>
    <w:rsid w:val="009466BE"/>
    <w:rsid w:val="009503FE"/>
    <w:rsid w:val="009508A0"/>
    <w:rsid w:val="00950A17"/>
    <w:rsid w:val="00950CAB"/>
    <w:rsid w:val="00952615"/>
    <w:rsid w:val="00953FF0"/>
    <w:rsid w:val="00954502"/>
    <w:rsid w:val="0095506D"/>
    <w:rsid w:val="00955DA9"/>
    <w:rsid w:val="009571A2"/>
    <w:rsid w:val="009576B2"/>
    <w:rsid w:val="00960346"/>
    <w:rsid w:val="00960F05"/>
    <w:rsid w:val="00961724"/>
    <w:rsid w:val="009617D3"/>
    <w:rsid w:val="009626F7"/>
    <w:rsid w:val="0096463B"/>
    <w:rsid w:val="00965AD0"/>
    <w:rsid w:val="00967869"/>
    <w:rsid w:val="0096796E"/>
    <w:rsid w:val="009702DB"/>
    <w:rsid w:val="00970BEB"/>
    <w:rsid w:val="00971432"/>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A0D75"/>
    <w:rsid w:val="009A1234"/>
    <w:rsid w:val="009A1D29"/>
    <w:rsid w:val="009A306D"/>
    <w:rsid w:val="009A347A"/>
    <w:rsid w:val="009A3661"/>
    <w:rsid w:val="009A5A3D"/>
    <w:rsid w:val="009A620E"/>
    <w:rsid w:val="009A7587"/>
    <w:rsid w:val="009B0214"/>
    <w:rsid w:val="009B02EF"/>
    <w:rsid w:val="009B0A91"/>
    <w:rsid w:val="009B19CD"/>
    <w:rsid w:val="009B3BD7"/>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30F1"/>
    <w:rsid w:val="009D4200"/>
    <w:rsid w:val="009D43FE"/>
    <w:rsid w:val="009D53FD"/>
    <w:rsid w:val="009D5D4B"/>
    <w:rsid w:val="009D69C6"/>
    <w:rsid w:val="009D6F70"/>
    <w:rsid w:val="009D7501"/>
    <w:rsid w:val="009D7975"/>
    <w:rsid w:val="009E10E1"/>
    <w:rsid w:val="009E4361"/>
    <w:rsid w:val="009E4852"/>
    <w:rsid w:val="009E4DB7"/>
    <w:rsid w:val="009E505C"/>
    <w:rsid w:val="009E5419"/>
    <w:rsid w:val="009E5A6E"/>
    <w:rsid w:val="009E619C"/>
    <w:rsid w:val="009E6AC4"/>
    <w:rsid w:val="009E70E7"/>
    <w:rsid w:val="009E7122"/>
    <w:rsid w:val="009E7784"/>
    <w:rsid w:val="009F25A8"/>
    <w:rsid w:val="009F34D3"/>
    <w:rsid w:val="009F363D"/>
    <w:rsid w:val="009F3CA9"/>
    <w:rsid w:val="009F46DC"/>
    <w:rsid w:val="009F508F"/>
    <w:rsid w:val="009F6006"/>
    <w:rsid w:val="009F65AF"/>
    <w:rsid w:val="009F72A8"/>
    <w:rsid w:val="009F754F"/>
    <w:rsid w:val="00A01B9B"/>
    <w:rsid w:val="00A01BE4"/>
    <w:rsid w:val="00A01C00"/>
    <w:rsid w:val="00A01ED1"/>
    <w:rsid w:val="00A02488"/>
    <w:rsid w:val="00A02AB3"/>
    <w:rsid w:val="00A034EF"/>
    <w:rsid w:val="00A03A1B"/>
    <w:rsid w:val="00A048C7"/>
    <w:rsid w:val="00A05174"/>
    <w:rsid w:val="00A0598E"/>
    <w:rsid w:val="00A05E08"/>
    <w:rsid w:val="00A06844"/>
    <w:rsid w:val="00A06CC5"/>
    <w:rsid w:val="00A079D8"/>
    <w:rsid w:val="00A1168C"/>
    <w:rsid w:val="00A117D8"/>
    <w:rsid w:val="00A1183A"/>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3873"/>
    <w:rsid w:val="00A34223"/>
    <w:rsid w:val="00A34EDE"/>
    <w:rsid w:val="00A34F11"/>
    <w:rsid w:val="00A3509C"/>
    <w:rsid w:val="00A352DA"/>
    <w:rsid w:val="00A35D4C"/>
    <w:rsid w:val="00A35E2F"/>
    <w:rsid w:val="00A36013"/>
    <w:rsid w:val="00A37891"/>
    <w:rsid w:val="00A40A51"/>
    <w:rsid w:val="00A415BA"/>
    <w:rsid w:val="00A41C06"/>
    <w:rsid w:val="00A4230D"/>
    <w:rsid w:val="00A4594F"/>
    <w:rsid w:val="00A45F38"/>
    <w:rsid w:val="00A47916"/>
    <w:rsid w:val="00A47C18"/>
    <w:rsid w:val="00A50123"/>
    <w:rsid w:val="00A50298"/>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40F1"/>
    <w:rsid w:val="00A65092"/>
    <w:rsid w:val="00A66829"/>
    <w:rsid w:val="00A6697B"/>
    <w:rsid w:val="00A713CB"/>
    <w:rsid w:val="00A719AA"/>
    <w:rsid w:val="00A7300E"/>
    <w:rsid w:val="00A731B5"/>
    <w:rsid w:val="00A73DE3"/>
    <w:rsid w:val="00A747F9"/>
    <w:rsid w:val="00A74C2D"/>
    <w:rsid w:val="00A76217"/>
    <w:rsid w:val="00A76595"/>
    <w:rsid w:val="00A76B34"/>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75C"/>
    <w:rsid w:val="00A94938"/>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2055"/>
    <w:rsid w:val="00AE3252"/>
    <w:rsid w:val="00AE47BF"/>
    <w:rsid w:val="00AE489D"/>
    <w:rsid w:val="00AE4A34"/>
    <w:rsid w:val="00AE50D7"/>
    <w:rsid w:val="00AE552E"/>
    <w:rsid w:val="00AE56A2"/>
    <w:rsid w:val="00AE5737"/>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103B"/>
    <w:rsid w:val="00B222A2"/>
    <w:rsid w:val="00B233F4"/>
    <w:rsid w:val="00B234EC"/>
    <w:rsid w:val="00B27408"/>
    <w:rsid w:val="00B274AE"/>
    <w:rsid w:val="00B274BF"/>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7614"/>
    <w:rsid w:val="00B8029A"/>
    <w:rsid w:val="00B827B3"/>
    <w:rsid w:val="00B82F2D"/>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64F"/>
    <w:rsid w:val="00BA0D0B"/>
    <w:rsid w:val="00BA14FC"/>
    <w:rsid w:val="00BA1812"/>
    <w:rsid w:val="00BA1EE5"/>
    <w:rsid w:val="00BA4218"/>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3269"/>
    <w:rsid w:val="00BF3381"/>
    <w:rsid w:val="00BF35DC"/>
    <w:rsid w:val="00BF427B"/>
    <w:rsid w:val="00BF56CC"/>
    <w:rsid w:val="00BF5708"/>
    <w:rsid w:val="00BF667D"/>
    <w:rsid w:val="00BF68BB"/>
    <w:rsid w:val="00BF69D9"/>
    <w:rsid w:val="00BF6E25"/>
    <w:rsid w:val="00BF706E"/>
    <w:rsid w:val="00BF773F"/>
    <w:rsid w:val="00BF7E94"/>
    <w:rsid w:val="00C0169B"/>
    <w:rsid w:val="00C02357"/>
    <w:rsid w:val="00C03070"/>
    <w:rsid w:val="00C04CDD"/>
    <w:rsid w:val="00C051DA"/>
    <w:rsid w:val="00C06B11"/>
    <w:rsid w:val="00C06BCB"/>
    <w:rsid w:val="00C100E3"/>
    <w:rsid w:val="00C10FCF"/>
    <w:rsid w:val="00C11870"/>
    <w:rsid w:val="00C12810"/>
    <w:rsid w:val="00C12D84"/>
    <w:rsid w:val="00C13748"/>
    <w:rsid w:val="00C14487"/>
    <w:rsid w:val="00C14CF4"/>
    <w:rsid w:val="00C15B35"/>
    <w:rsid w:val="00C16227"/>
    <w:rsid w:val="00C16B4B"/>
    <w:rsid w:val="00C17427"/>
    <w:rsid w:val="00C1797D"/>
    <w:rsid w:val="00C20A22"/>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8DD"/>
    <w:rsid w:val="00C31F8B"/>
    <w:rsid w:val="00C3253F"/>
    <w:rsid w:val="00C3345C"/>
    <w:rsid w:val="00C33D5C"/>
    <w:rsid w:val="00C35A5E"/>
    <w:rsid w:val="00C364D0"/>
    <w:rsid w:val="00C36A6A"/>
    <w:rsid w:val="00C36C23"/>
    <w:rsid w:val="00C407E5"/>
    <w:rsid w:val="00C40B65"/>
    <w:rsid w:val="00C41A77"/>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3311"/>
    <w:rsid w:val="00C84AAD"/>
    <w:rsid w:val="00C85C96"/>
    <w:rsid w:val="00C860AE"/>
    <w:rsid w:val="00C86432"/>
    <w:rsid w:val="00C86FC6"/>
    <w:rsid w:val="00C901BB"/>
    <w:rsid w:val="00C90CD3"/>
    <w:rsid w:val="00C92552"/>
    <w:rsid w:val="00C9264E"/>
    <w:rsid w:val="00C92C27"/>
    <w:rsid w:val="00C93F1B"/>
    <w:rsid w:val="00C9454B"/>
    <w:rsid w:val="00C950E3"/>
    <w:rsid w:val="00C953F1"/>
    <w:rsid w:val="00C955F1"/>
    <w:rsid w:val="00C963DF"/>
    <w:rsid w:val="00C96DFE"/>
    <w:rsid w:val="00C97151"/>
    <w:rsid w:val="00C9737D"/>
    <w:rsid w:val="00C976D1"/>
    <w:rsid w:val="00CA015B"/>
    <w:rsid w:val="00CA2C6A"/>
    <w:rsid w:val="00CA2CF0"/>
    <w:rsid w:val="00CA2D01"/>
    <w:rsid w:val="00CA2F20"/>
    <w:rsid w:val="00CA2F8A"/>
    <w:rsid w:val="00CA308F"/>
    <w:rsid w:val="00CA38FD"/>
    <w:rsid w:val="00CA67BA"/>
    <w:rsid w:val="00CA71D4"/>
    <w:rsid w:val="00CA7A45"/>
    <w:rsid w:val="00CB0326"/>
    <w:rsid w:val="00CB0AFF"/>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494"/>
    <w:rsid w:val="00D17B33"/>
    <w:rsid w:val="00D200AB"/>
    <w:rsid w:val="00D21628"/>
    <w:rsid w:val="00D22A98"/>
    <w:rsid w:val="00D244DD"/>
    <w:rsid w:val="00D24DD5"/>
    <w:rsid w:val="00D2696B"/>
    <w:rsid w:val="00D26DB0"/>
    <w:rsid w:val="00D31A9A"/>
    <w:rsid w:val="00D31CD5"/>
    <w:rsid w:val="00D33009"/>
    <w:rsid w:val="00D3376E"/>
    <w:rsid w:val="00D34402"/>
    <w:rsid w:val="00D3442A"/>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F0"/>
    <w:rsid w:val="00D57960"/>
    <w:rsid w:val="00D60578"/>
    <w:rsid w:val="00D60B56"/>
    <w:rsid w:val="00D614C8"/>
    <w:rsid w:val="00D61A0E"/>
    <w:rsid w:val="00D62055"/>
    <w:rsid w:val="00D62551"/>
    <w:rsid w:val="00D6295D"/>
    <w:rsid w:val="00D64388"/>
    <w:rsid w:val="00D64656"/>
    <w:rsid w:val="00D64999"/>
    <w:rsid w:val="00D66908"/>
    <w:rsid w:val="00D66FC3"/>
    <w:rsid w:val="00D70C67"/>
    <w:rsid w:val="00D71CF9"/>
    <w:rsid w:val="00D72833"/>
    <w:rsid w:val="00D72EAC"/>
    <w:rsid w:val="00D74344"/>
    <w:rsid w:val="00D75B3A"/>
    <w:rsid w:val="00D7636D"/>
    <w:rsid w:val="00D7675E"/>
    <w:rsid w:val="00D778C2"/>
    <w:rsid w:val="00D80080"/>
    <w:rsid w:val="00D807FB"/>
    <w:rsid w:val="00D80F9D"/>
    <w:rsid w:val="00D80FFB"/>
    <w:rsid w:val="00D81BAE"/>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1D7"/>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23B7"/>
    <w:rsid w:val="00DC2996"/>
    <w:rsid w:val="00DC2FA1"/>
    <w:rsid w:val="00DC3B4A"/>
    <w:rsid w:val="00DC3F7C"/>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12A"/>
    <w:rsid w:val="00DD46E6"/>
    <w:rsid w:val="00DD72A4"/>
    <w:rsid w:val="00DE0169"/>
    <w:rsid w:val="00DE0DE9"/>
    <w:rsid w:val="00DE1746"/>
    <w:rsid w:val="00DE2004"/>
    <w:rsid w:val="00DE2966"/>
    <w:rsid w:val="00DE323D"/>
    <w:rsid w:val="00DE3459"/>
    <w:rsid w:val="00DE3EBE"/>
    <w:rsid w:val="00DE40E0"/>
    <w:rsid w:val="00DE4107"/>
    <w:rsid w:val="00DE66AD"/>
    <w:rsid w:val="00DE6E6F"/>
    <w:rsid w:val="00DE736A"/>
    <w:rsid w:val="00DF04ED"/>
    <w:rsid w:val="00DF0B5E"/>
    <w:rsid w:val="00DF0ED5"/>
    <w:rsid w:val="00DF17B4"/>
    <w:rsid w:val="00DF36FF"/>
    <w:rsid w:val="00DF3F0D"/>
    <w:rsid w:val="00DF4111"/>
    <w:rsid w:val="00DF578C"/>
    <w:rsid w:val="00DF7009"/>
    <w:rsid w:val="00DF72D9"/>
    <w:rsid w:val="00DF7B69"/>
    <w:rsid w:val="00DF7EC8"/>
    <w:rsid w:val="00E00D4F"/>
    <w:rsid w:val="00E0164B"/>
    <w:rsid w:val="00E01B95"/>
    <w:rsid w:val="00E028ED"/>
    <w:rsid w:val="00E04879"/>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02"/>
    <w:rsid w:val="00E32DBA"/>
    <w:rsid w:val="00E345A0"/>
    <w:rsid w:val="00E354AF"/>
    <w:rsid w:val="00E35DF9"/>
    <w:rsid w:val="00E37483"/>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59FF"/>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B74"/>
    <w:rsid w:val="00E61E05"/>
    <w:rsid w:val="00E63348"/>
    <w:rsid w:val="00E64BD9"/>
    <w:rsid w:val="00E6519C"/>
    <w:rsid w:val="00E6790B"/>
    <w:rsid w:val="00E67E50"/>
    <w:rsid w:val="00E705B4"/>
    <w:rsid w:val="00E72597"/>
    <w:rsid w:val="00E72967"/>
    <w:rsid w:val="00E74577"/>
    <w:rsid w:val="00E7493B"/>
    <w:rsid w:val="00E754ED"/>
    <w:rsid w:val="00E75ACA"/>
    <w:rsid w:val="00E7685C"/>
    <w:rsid w:val="00E8071C"/>
    <w:rsid w:val="00E809B3"/>
    <w:rsid w:val="00E80ACF"/>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7E4"/>
    <w:rsid w:val="00EC5BF3"/>
    <w:rsid w:val="00EC5CA0"/>
    <w:rsid w:val="00EC6180"/>
    <w:rsid w:val="00EC642A"/>
    <w:rsid w:val="00EC651D"/>
    <w:rsid w:val="00EC6D3B"/>
    <w:rsid w:val="00EC7372"/>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A04"/>
    <w:rsid w:val="00EF3FC3"/>
    <w:rsid w:val="00EF4095"/>
    <w:rsid w:val="00EF4A64"/>
    <w:rsid w:val="00EF4AC7"/>
    <w:rsid w:val="00EF5D21"/>
    <w:rsid w:val="00EF6D09"/>
    <w:rsid w:val="00EF7198"/>
    <w:rsid w:val="00EF72C0"/>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1F"/>
    <w:rsid w:val="00F0523A"/>
    <w:rsid w:val="00F0603B"/>
    <w:rsid w:val="00F061A6"/>
    <w:rsid w:val="00F0710C"/>
    <w:rsid w:val="00F07119"/>
    <w:rsid w:val="00F11AB3"/>
    <w:rsid w:val="00F1282E"/>
    <w:rsid w:val="00F14017"/>
    <w:rsid w:val="00F140DF"/>
    <w:rsid w:val="00F14529"/>
    <w:rsid w:val="00F160C8"/>
    <w:rsid w:val="00F1684C"/>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7F"/>
    <w:rsid w:val="00F62370"/>
    <w:rsid w:val="00F628D3"/>
    <w:rsid w:val="00F62CF7"/>
    <w:rsid w:val="00F62D64"/>
    <w:rsid w:val="00F62EF2"/>
    <w:rsid w:val="00F6433D"/>
    <w:rsid w:val="00F6497E"/>
    <w:rsid w:val="00F64ED1"/>
    <w:rsid w:val="00F66AB1"/>
    <w:rsid w:val="00F66BD7"/>
    <w:rsid w:val="00F677E2"/>
    <w:rsid w:val="00F705D2"/>
    <w:rsid w:val="00F70C9C"/>
    <w:rsid w:val="00F717E6"/>
    <w:rsid w:val="00F71D2E"/>
    <w:rsid w:val="00F7216B"/>
    <w:rsid w:val="00F724E0"/>
    <w:rsid w:val="00F7264A"/>
    <w:rsid w:val="00F73751"/>
    <w:rsid w:val="00F75EAD"/>
    <w:rsid w:val="00F77154"/>
    <w:rsid w:val="00F806EB"/>
    <w:rsid w:val="00F80F33"/>
    <w:rsid w:val="00F82D9E"/>
    <w:rsid w:val="00F8308D"/>
    <w:rsid w:val="00F83C69"/>
    <w:rsid w:val="00F8411B"/>
    <w:rsid w:val="00F8442A"/>
    <w:rsid w:val="00F846D6"/>
    <w:rsid w:val="00F84CAE"/>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4D5"/>
    <w:rsid w:val="00FA7D57"/>
    <w:rsid w:val="00FB0008"/>
    <w:rsid w:val="00FB071C"/>
    <w:rsid w:val="00FB1557"/>
    <w:rsid w:val="00FB1ACE"/>
    <w:rsid w:val="00FB2144"/>
    <w:rsid w:val="00FB3EA0"/>
    <w:rsid w:val="00FB55F4"/>
    <w:rsid w:val="00FB58D8"/>
    <w:rsid w:val="00FB6548"/>
    <w:rsid w:val="00FB7140"/>
    <w:rsid w:val="00FC0365"/>
    <w:rsid w:val="00FC0B63"/>
    <w:rsid w:val="00FC1226"/>
    <w:rsid w:val="00FC15DA"/>
    <w:rsid w:val="00FC2209"/>
    <w:rsid w:val="00FC6827"/>
    <w:rsid w:val="00FC7531"/>
    <w:rsid w:val="00FC7950"/>
    <w:rsid w:val="00FC7DD1"/>
    <w:rsid w:val="00FC7EAA"/>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 w:val="28A491F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D22ED"/>
  <w15:docId w15:val="{52C2924C-E863-4A51-A42F-1754310F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F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Ttulo3Car">
    <w:name w:val="Título 3 Car"/>
    <w:basedOn w:val="Fuentedeprrafopredeter"/>
    <w:link w:val="Ttulo3"/>
    <w:uiPriority w:val="9"/>
    <w:semiHidden/>
    <w:rsid w:val="00027795"/>
    <w:rPr>
      <w:rFonts w:asciiTheme="majorHAnsi" w:eastAsiaTheme="majorEastAsia" w:hAnsiTheme="majorHAnsi" w:cstheme="majorBidi"/>
      <w:color w:val="1F3763" w:themeColor="accent1" w:themeShade="7F"/>
      <w:sz w:val="24"/>
      <w:szCs w:val="24"/>
      <w:lang w:eastAsia="es-ES"/>
    </w:rPr>
  </w:style>
  <w:style w:type="character" w:customStyle="1" w:styleId="Mencinsinresolver5">
    <w:name w:val="Mención sin resolver5"/>
    <w:basedOn w:val="Fuentedeprrafopredeter"/>
    <w:uiPriority w:val="99"/>
    <w:semiHidden/>
    <w:unhideWhenUsed/>
    <w:rsid w:val="005F7A36"/>
    <w:rPr>
      <w:color w:val="605E5C"/>
      <w:shd w:val="clear" w:color="auto" w:fill="E1DFDD"/>
    </w:rPr>
  </w:style>
  <w:style w:type="character" w:customStyle="1" w:styleId="Mencinsinresolver6">
    <w:name w:val="Mención sin resolver6"/>
    <w:basedOn w:val="Fuentedeprrafopredeter"/>
    <w:uiPriority w:val="99"/>
    <w:semiHidden/>
    <w:unhideWhenUsed/>
    <w:rsid w:val="009A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35771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85063817">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814358">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15127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ticieros.televisa.com/ultimas-noticias/pobladores-queman-patrullas-de-jaltenco-estado-de-mexico-hartos-de-abusos-y-extorsione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cretariadoejecutivo.gob.mx/work/models/SecretariadoEjecutivo/Resource/328/1/images/instructivo_final_edo_fuerza(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egislacion.edomex.gob.mx/sites/legislacion.edomex.gob.mx/files/files/pdf/bdo/bdo2021/bdo045.pdf" TargetMode="External"/><Relationship Id="rId14" Type="http://schemas.openxmlformats.org/officeDocument/2006/relationships/image" Target="media/image5.png"/><Relationship Id="rId22" Type="http://schemas.openxmlformats.org/officeDocument/2006/relationships/hyperlink" Target="https://consultas.curp.gob.mx/CurpSP/html/informacionecurpPS.html"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62748B"/>
    <w:rsid w:val="0062748B"/>
    <w:rsid w:val="00FE3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CFEEF-6CB1-4551-9279-B58F420A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13376</Words>
  <Characters>73571</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cp:revision>
  <cp:lastPrinted>2021-07-02T04:43:00Z</cp:lastPrinted>
  <dcterms:created xsi:type="dcterms:W3CDTF">2022-05-17T16:48:00Z</dcterms:created>
  <dcterms:modified xsi:type="dcterms:W3CDTF">2022-05-17T16:48:00Z</dcterms:modified>
</cp:coreProperties>
</file>