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55466" w:rsidR="00253343" w:rsidP="00253343" w:rsidRDefault="00253343" w14:paraId="50A514BB" w14:textId="0E1E9AFD">
      <w:pPr>
        <w:spacing w:line="360" w:lineRule="auto"/>
        <w:contextualSpacing/>
        <w:jc w:val="both"/>
        <w:rPr>
          <w:rFonts w:ascii="Palatino Linotype" w:hAnsi="Palatino Linotype" w:cs="Tahoma"/>
          <w:sz w:val="22"/>
          <w:szCs w:val="22"/>
        </w:rPr>
      </w:pPr>
      <w:r w:rsidRPr="0045546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E2138B">
        <w:rPr>
          <w:rFonts w:ascii="Palatino Linotype" w:hAnsi="Palatino Linotype" w:cs="Tahoma"/>
          <w:bCs/>
          <w:sz w:val="22"/>
          <w:szCs w:val="22"/>
        </w:rPr>
        <w:t>veinticuatro</w:t>
      </w:r>
      <w:r>
        <w:rPr>
          <w:rFonts w:ascii="Palatino Linotype" w:hAnsi="Palatino Linotype" w:cs="Tahoma"/>
          <w:bCs/>
          <w:sz w:val="22"/>
          <w:szCs w:val="22"/>
        </w:rPr>
        <w:t xml:space="preserve"> de agosto </w:t>
      </w:r>
      <w:r w:rsidRPr="00455466">
        <w:rPr>
          <w:rFonts w:ascii="Palatino Linotype" w:hAnsi="Palatino Linotype" w:cs="Tahoma"/>
          <w:bCs/>
          <w:sz w:val="22"/>
          <w:szCs w:val="22"/>
        </w:rPr>
        <w:t>de dos mil veintidós.</w:t>
      </w:r>
    </w:p>
    <w:p w:rsidRPr="00455466" w:rsidR="00253343" w:rsidP="00253343" w:rsidRDefault="00253343" w14:paraId="68192AE4" w14:textId="77777777">
      <w:pPr>
        <w:spacing w:line="360" w:lineRule="auto"/>
        <w:contextualSpacing/>
        <w:rPr>
          <w:rFonts w:ascii="Palatino Linotype" w:hAnsi="Palatino Linotype" w:cs="Tahoma"/>
          <w:bCs/>
          <w:sz w:val="22"/>
          <w:szCs w:val="22"/>
        </w:rPr>
      </w:pPr>
    </w:p>
    <w:p w:rsidRPr="00455466" w:rsidR="00253343" w:rsidP="0F8AA77C" w:rsidRDefault="00253343" w14:paraId="288F4851" w14:textId="5F6D19E9">
      <w:pPr>
        <w:spacing w:line="360" w:lineRule="auto"/>
        <w:contextualSpacing/>
        <w:jc w:val="both"/>
        <w:rPr>
          <w:rFonts w:ascii="Palatino Linotype" w:hAnsi="Palatino Linotype" w:cs="Tahoma"/>
          <w:sz w:val="22"/>
          <w:szCs w:val="22"/>
        </w:rPr>
      </w:pPr>
      <w:r w:rsidRPr="0F8AA77C" w:rsidR="0F8AA77C">
        <w:rPr>
          <w:rFonts w:ascii="Palatino Linotype" w:hAnsi="Palatino Linotype" w:cs="Tahoma"/>
          <w:b w:val="1"/>
          <w:bCs w:val="1"/>
          <w:color w:val="0D0D0D" w:themeColor="text1" w:themeTint="F2" w:themeShade="FF"/>
          <w:sz w:val="22"/>
          <w:szCs w:val="22"/>
        </w:rPr>
        <w:t xml:space="preserve">VISTO </w:t>
      </w:r>
      <w:r w:rsidRPr="0F8AA77C" w:rsidR="0F8AA77C">
        <w:rPr>
          <w:rFonts w:ascii="Palatino Linotype" w:hAnsi="Palatino Linotype" w:cs="Tahoma"/>
          <w:color w:val="0D0D0D" w:themeColor="text1" w:themeTint="F2" w:themeShade="FF"/>
          <w:sz w:val="22"/>
          <w:szCs w:val="22"/>
        </w:rPr>
        <w:t xml:space="preserve">el expediente conformado con motivo del Recurso de Revisión </w:t>
      </w:r>
      <w:r w:rsidRPr="0F8AA77C" w:rsidR="0F8AA77C">
        <w:rPr>
          <w:rFonts w:ascii="Palatino Linotype" w:hAnsi="Palatino Linotype" w:eastAsia="Calibri" w:cs="Tahoma"/>
          <w:sz w:val="22"/>
          <w:szCs w:val="22"/>
          <w:lang w:eastAsia="en-US"/>
        </w:rPr>
        <w:t xml:space="preserve">011236/INFOEM/IP/RR/2022, </w:t>
      </w:r>
      <w:r w:rsidRPr="0F8AA77C" w:rsidR="0F8AA77C">
        <w:rPr>
          <w:rFonts w:ascii="Palatino Linotype" w:hAnsi="Palatino Linotype" w:cs="Tahoma"/>
          <w:color w:val="0D0D0D" w:themeColor="text1" w:themeTint="F2" w:themeShade="FF"/>
          <w:sz w:val="22"/>
          <w:szCs w:val="22"/>
        </w:rPr>
        <w:t xml:space="preserve">interpuesto por </w:t>
      </w:r>
      <w:r w:rsidRPr="0F8AA77C" w:rsidR="0F8AA77C">
        <w:rPr>
          <w:rFonts w:ascii="Palatino Linotype" w:hAnsi="Palatino Linotype" w:cs="Tahoma"/>
          <w:color w:val="0D0D0D" w:themeColor="text1" w:themeTint="F2" w:themeShade="FF"/>
          <w:sz w:val="22"/>
          <w:szCs w:val="22"/>
          <w:highlight w:val="black"/>
        </w:rPr>
        <w:t>XXXXX</w:t>
      </w:r>
      <w:r w:rsidRPr="0F8AA77C" w:rsidR="0F8AA77C">
        <w:rPr>
          <w:rFonts w:ascii="Palatino Linotype" w:hAnsi="Palatino Linotype" w:cs="Tahoma"/>
          <w:color w:val="0D0D0D" w:themeColor="text1" w:themeTint="F2" w:themeShade="FF"/>
          <w:sz w:val="22"/>
          <w:szCs w:val="22"/>
        </w:rPr>
        <w:t>, en adelante la</w:t>
      </w:r>
      <w:r w:rsidRPr="0F8AA77C" w:rsidR="0F8AA77C">
        <w:rPr>
          <w:rFonts w:ascii="Palatino Linotype" w:hAnsi="Palatino Linotype" w:eastAsia="Calibri" w:cs="Tahoma"/>
          <w:sz w:val="22"/>
          <w:szCs w:val="22"/>
          <w:lang w:eastAsia="en-US"/>
        </w:rPr>
        <w:t xml:space="preserve"> </w:t>
      </w:r>
      <w:r w:rsidRPr="0F8AA77C" w:rsidR="0F8AA77C">
        <w:rPr>
          <w:rFonts w:ascii="Palatino Linotype" w:hAnsi="Palatino Linotype" w:cs="Tahoma"/>
          <w:color w:val="0D0D0D" w:themeColor="text1" w:themeTint="F2" w:themeShade="FF"/>
          <w:sz w:val="22"/>
          <w:szCs w:val="22"/>
        </w:rPr>
        <w:t xml:space="preserve">Recurrente o Particular, en contra de la respuesta del Sujeto Obligado, </w:t>
      </w:r>
      <w:r w:rsidRPr="0F8AA77C" w:rsidR="0F8AA77C">
        <w:rPr>
          <w:rFonts w:ascii="Palatino Linotype" w:hAnsi="Palatino Linotype"/>
          <w:color w:val="000000" w:themeColor="text1" w:themeTint="FF" w:themeShade="FF"/>
          <w:sz w:val="22"/>
          <w:szCs w:val="22"/>
        </w:rPr>
        <w:t>Ayuntamiento de Metepec</w:t>
      </w:r>
      <w:r w:rsidRPr="0F8AA77C" w:rsidR="0F8AA77C">
        <w:rPr>
          <w:rFonts w:ascii="Palatino Linotype" w:hAnsi="Palatino Linotype" w:cs="Tahoma"/>
          <w:color w:val="0D0D0D" w:themeColor="text1" w:themeTint="F2" w:themeShade="FF"/>
          <w:sz w:val="22"/>
          <w:szCs w:val="22"/>
        </w:rPr>
        <w:t>, a la solicitud de acceso a la información pública con número de folio</w:t>
      </w:r>
      <w:r w:rsidRPr="0F8AA77C" w:rsidR="0F8AA77C">
        <w:rPr>
          <w:rFonts w:ascii="Verdana" w:hAnsi="Verdana"/>
          <w:b w:val="1"/>
          <w:bCs w:val="1"/>
          <w:color w:val="FF0000"/>
        </w:rPr>
        <w:t> </w:t>
      </w:r>
      <w:r w:rsidRPr="0F8AA77C" w:rsidR="0F8AA77C">
        <w:rPr>
          <w:rFonts w:ascii="Palatino Linotype" w:hAnsi="Palatino Linotype"/>
          <w:color w:val="000000" w:themeColor="text1" w:themeTint="FF" w:themeShade="FF"/>
          <w:sz w:val="22"/>
          <w:szCs w:val="22"/>
        </w:rPr>
        <w:t>03356/METEPEC/IP/2022,</w:t>
      </w:r>
      <w:r w:rsidRPr="0F8AA77C" w:rsidR="0F8AA77C">
        <w:rPr>
          <w:rFonts w:ascii="Palatino Linotype" w:hAnsi="Palatino Linotype" w:cs="Tahoma"/>
          <w:color w:val="000000" w:themeColor="text1" w:themeTint="FF" w:themeShade="FF"/>
          <w:sz w:val="22"/>
          <w:szCs w:val="22"/>
        </w:rPr>
        <w:t xml:space="preserve"> </w:t>
      </w:r>
      <w:r w:rsidRPr="0F8AA77C" w:rsidR="0F8AA77C">
        <w:rPr>
          <w:rFonts w:ascii="Palatino Linotype" w:hAnsi="Palatino Linotype" w:cs="Tahoma"/>
          <w:color w:val="0D0D0D" w:themeColor="text1" w:themeTint="F2" w:themeShade="FF"/>
          <w:sz w:val="22"/>
          <w:szCs w:val="22"/>
        </w:rPr>
        <w:t>se emite la presente Resolución, con base en los Antecedentes y C</w:t>
      </w:r>
      <w:r w:rsidRPr="0F8AA77C" w:rsidR="0F8AA77C">
        <w:rPr>
          <w:rFonts w:ascii="Palatino Linotype" w:hAnsi="Palatino Linotype" w:cs="Tahoma"/>
          <w:sz w:val="22"/>
          <w:szCs w:val="22"/>
        </w:rPr>
        <w:t>onsiderandos que a continuación se exponen:</w:t>
      </w:r>
    </w:p>
    <w:p w:rsidRPr="00455466" w:rsidR="00253343" w:rsidP="00253343" w:rsidRDefault="00253343" w14:paraId="002161BC" w14:textId="77777777">
      <w:pPr>
        <w:spacing w:line="360" w:lineRule="auto"/>
        <w:contextualSpacing/>
        <w:rPr>
          <w:rFonts w:ascii="Palatino Linotype" w:hAnsi="Palatino Linotype" w:cs="Tahoma"/>
          <w:sz w:val="22"/>
          <w:szCs w:val="22"/>
        </w:rPr>
      </w:pPr>
    </w:p>
    <w:p w:rsidRPr="00455466" w:rsidR="00253343" w:rsidP="00253343" w:rsidRDefault="00253343" w14:paraId="1BAF1967" w14:textId="77777777">
      <w:pPr>
        <w:tabs>
          <w:tab w:val="center" w:pos="4522"/>
          <w:tab w:val="left" w:pos="7245"/>
        </w:tabs>
        <w:spacing w:line="360" w:lineRule="auto"/>
        <w:contextualSpacing/>
        <w:jc w:val="center"/>
        <w:rPr>
          <w:rFonts w:ascii="Palatino Linotype" w:hAnsi="Palatino Linotype" w:cs="Tahoma"/>
          <w:b/>
          <w:sz w:val="22"/>
          <w:szCs w:val="22"/>
        </w:rPr>
      </w:pPr>
      <w:r w:rsidRPr="00455466">
        <w:rPr>
          <w:rFonts w:ascii="Palatino Linotype" w:hAnsi="Palatino Linotype" w:cs="Tahoma"/>
          <w:b/>
          <w:sz w:val="22"/>
          <w:szCs w:val="22"/>
        </w:rPr>
        <w:t>A N T E C E D E N T E S</w:t>
      </w:r>
    </w:p>
    <w:p w:rsidRPr="00455466" w:rsidR="00253343" w:rsidP="00253343" w:rsidRDefault="00253343" w14:paraId="276E4F6D" w14:textId="77777777">
      <w:pPr>
        <w:tabs>
          <w:tab w:val="center" w:pos="4522"/>
          <w:tab w:val="left" w:pos="7245"/>
        </w:tabs>
        <w:spacing w:line="360" w:lineRule="auto"/>
        <w:contextualSpacing/>
        <w:jc w:val="center"/>
        <w:rPr>
          <w:rFonts w:ascii="Palatino Linotype" w:hAnsi="Palatino Linotype" w:cs="Tahoma"/>
          <w:b/>
          <w:sz w:val="22"/>
          <w:szCs w:val="22"/>
        </w:rPr>
      </w:pPr>
    </w:p>
    <w:p w:rsidRPr="00455466" w:rsidR="00253343" w:rsidP="00253343" w:rsidRDefault="00253343" w14:paraId="4DE9C3A4" w14:textId="77777777">
      <w:pPr>
        <w:pStyle w:val="Prrafodelista"/>
        <w:tabs>
          <w:tab w:val="left" w:pos="567"/>
        </w:tabs>
        <w:spacing w:line="360" w:lineRule="auto"/>
        <w:ind w:left="0"/>
        <w:jc w:val="both"/>
        <w:rPr>
          <w:rFonts w:ascii="Palatino Linotype" w:hAnsi="Palatino Linotype" w:cs="Tahoma"/>
          <w:b/>
          <w:szCs w:val="22"/>
        </w:rPr>
      </w:pPr>
      <w:r w:rsidRPr="00455466">
        <w:rPr>
          <w:rFonts w:ascii="Palatino Linotype" w:hAnsi="Palatino Linotype" w:cs="Tahoma"/>
          <w:b/>
          <w:szCs w:val="22"/>
        </w:rPr>
        <w:t>I. Presentación de la solicitu</w:t>
      </w:r>
      <w:r>
        <w:rPr>
          <w:rFonts w:ascii="Palatino Linotype" w:hAnsi="Palatino Linotype" w:cs="Tahoma"/>
          <w:b/>
          <w:szCs w:val="22"/>
        </w:rPr>
        <w:t xml:space="preserve">d </w:t>
      </w:r>
      <w:r w:rsidRPr="00455466">
        <w:rPr>
          <w:rFonts w:ascii="Palatino Linotype" w:hAnsi="Palatino Linotype" w:cs="Tahoma"/>
          <w:b/>
          <w:szCs w:val="22"/>
        </w:rPr>
        <w:t>d</w:t>
      </w:r>
      <w:r>
        <w:rPr>
          <w:rFonts w:ascii="Palatino Linotype" w:hAnsi="Palatino Linotype" w:cs="Tahoma"/>
          <w:b/>
          <w:szCs w:val="22"/>
        </w:rPr>
        <w:t>e</w:t>
      </w:r>
      <w:r w:rsidRPr="00455466">
        <w:rPr>
          <w:rFonts w:ascii="Palatino Linotype" w:hAnsi="Palatino Linotype" w:cs="Tahoma"/>
          <w:b/>
          <w:szCs w:val="22"/>
        </w:rPr>
        <w:t xml:space="preserve"> información. </w:t>
      </w:r>
    </w:p>
    <w:p w:rsidRPr="00455466" w:rsidR="00253343" w:rsidP="00253343" w:rsidRDefault="00253343" w14:paraId="1C034984" w14:textId="77777777">
      <w:pPr>
        <w:pStyle w:val="Prrafodelista"/>
        <w:tabs>
          <w:tab w:val="left" w:pos="567"/>
        </w:tabs>
        <w:spacing w:line="360" w:lineRule="auto"/>
        <w:ind w:left="0"/>
        <w:contextualSpacing w:val="0"/>
        <w:jc w:val="both"/>
        <w:rPr>
          <w:rFonts w:ascii="Palatino Linotype" w:hAnsi="Palatino Linotype" w:cs="Tahoma"/>
          <w:szCs w:val="22"/>
        </w:rPr>
      </w:pPr>
    </w:p>
    <w:p w:rsidRPr="00925107" w:rsidR="00253343" w:rsidP="00925107" w:rsidRDefault="00925107" w14:paraId="2B716474" w14:textId="0AF57AA7">
      <w:pPr>
        <w:tabs>
          <w:tab w:val="left" w:pos="567"/>
        </w:tabs>
        <w:spacing w:line="360" w:lineRule="auto"/>
        <w:jc w:val="both"/>
        <w:rPr>
          <w:rFonts w:ascii="Palatino Linotype" w:hAnsi="Palatino Linotype" w:cs="Tahoma"/>
          <w:sz w:val="22"/>
          <w:szCs w:val="22"/>
        </w:rPr>
      </w:pPr>
      <w:r w:rsidRPr="00925107">
        <w:rPr>
          <w:rFonts w:ascii="Palatino Linotype" w:hAnsi="Palatino Linotype" w:cs="Tahoma"/>
          <w:sz w:val="22"/>
          <w:szCs w:val="22"/>
        </w:rPr>
        <w:t>Con fecha dos de mayo de dos mil veintidós, l</w:t>
      </w:r>
      <w:r w:rsidR="00DB111D">
        <w:rPr>
          <w:rFonts w:ascii="Palatino Linotype" w:hAnsi="Palatino Linotype" w:cs="Tahoma"/>
          <w:sz w:val="22"/>
          <w:szCs w:val="22"/>
        </w:rPr>
        <w:t>a</w:t>
      </w:r>
      <w:r w:rsidRPr="00925107">
        <w:rPr>
          <w:rFonts w:ascii="Palatino Linotype" w:hAnsi="Palatino Linotype" w:cs="Tahoma"/>
          <w:sz w:val="22"/>
          <w:szCs w:val="22"/>
        </w:rPr>
        <w:t xml:space="preserve"> Particular presentó ante la Plataforma Nacional de Transparencia (PNT) una solicitud de acceso a la información pública, la cual fue registrada en el Sistema de Acceso a la Información Mexiquense (SAIMEX), en misma fecha mediante la cual requirió:</w:t>
      </w:r>
    </w:p>
    <w:p w:rsidR="00253343" w:rsidP="00253343" w:rsidRDefault="00253343" w14:paraId="3827777B" w14:textId="77777777">
      <w:pPr>
        <w:tabs>
          <w:tab w:val="left" w:pos="4667"/>
        </w:tabs>
        <w:spacing w:line="360" w:lineRule="auto"/>
        <w:ind w:left="567" w:right="539"/>
        <w:contextualSpacing/>
        <w:jc w:val="both"/>
        <w:rPr>
          <w:rFonts w:ascii="Palatino Linotype" w:hAnsi="Palatino Linotype" w:cs="Tahoma"/>
          <w:b/>
          <w:bCs/>
          <w:i/>
          <w:iCs/>
        </w:rPr>
      </w:pPr>
    </w:p>
    <w:p w:rsidRPr="00B810D4" w:rsidR="00253343" w:rsidP="00253343" w:rsidRDefault="00253343" w14:paraId="5D1F6C25" w14:textId="77777777">
      <w:pPr>
        <w:tabs>
          <w:tab w:val="left" w:pos="4667"/>
        </w:tabs>
        <w:spacing w:line="360" w:lineRule="auto"/>
        <w:ind w:left="567" w:right="539"/>
        <w:contextualSpacing/>
        <w:jc w:val="both"/>
        <w:rPr>
          <w:rFonts w:ascii="Palatino Linotype" w:hAnsi="Palatino Linotype" w:cs="Tahoma"/>
          <w:bCs/>
          <w:i/>
          <w:iCs/>
        </w:rPr>
      </w:pPr>
      <w:r w:rsidRPr="00B810D4">
        <w:rPr>
          <w:rFonts w:ascii="Palatino Linotype" w:hAnsi="Palatino Linotype" w:cs="Tahoma"/>
          <w:b/>
          <w:bCs/>
          <w:i/>
          <w:iCs/>
        </w:rPr>
        <w:t>“DESCRIPCIÓN CLARA Y PRECISA DE LA INFORMACIÓN SOLICITADA</w:t>
      </w:r>
    </w:p>
    <w:p w:rsidRPr="0094164F" w:rsidR="00253343" w:rsidP="0094164F" w:rsidRDefault="00E2138B" w14:paraId="10D5B133" w14:textId="66AABB0D">
      <w:pPr>
        <w:spacing w:line="360" w:lineRule="auto"/>
        <w:ind w:left="567" w:right="567"/>
        <w:jc w:val="both"/>
        <w:rPr>
          <w:rStyle w:val="normaltextrun"/>
          <w:rFonts w:ascii="Palatino Linotype" w:hAnsi="Palatino Linotype"/>
          <w:i/>
          <w:iCs/>
          <w:lang w:eastAsia="es-MX"/>
        </w:rPr>
      </w:pPr>
      <w:r w:rsidRPr="0094164F">
        <w:rPr>
          <w:rFonts w:ascii="Palatino Linotype" w:hAnsi="Palatino Linotype"/>
          <w:i/>
          <w:iCs/>
          <w:color w:val="000000"/>
        </w:rPr>
        <w:t>Deseo conocer presupuesto anual 2022 de la Dirección de Cultura del H. Ayuntamiento de Metepec y todos los gastos hechos durante el primer trimestre: pagos de nómina, eventos, infraestructura, lonas y sonido, servicios de cafetería y transporte, con la documentación correspondiente, contratos, facturas y acuses</w:t>
      </w:r>
      <w:r w:rsidRPr="0094164F" w:rsidR="00253343">
        <w:rPr>
          <w:rFonts w:ascii="Palatino Linotype" w:hAnsi="Palatino Linotype"/>
          <w:i/>
          <w:iCs/>
          <w:lang w:eastAsia="es-MX"/>
        </w:rPr>
        <w:t>”. (Sic)</w:t>
      </w:r>
    </w:p>
    <w:p w:rsidR="00253343" w:rsidP="00253343" w:rsidRDefault="00253343" w14:paraId="70FBBDF4" w14:textId="13376E63">
      <w:pPr>
        <w:pStyle w:val="paragraph"/>
        <w:spacing w:before="0" w:beforeAutospacing="0" w:after="0" w:afterAutospacing="0" w:line="360" w:lineRule="auto"/>
        <w:ind w:left="555" w:right="555"/>
        <w:jc w:val="both"/>
        <w:textAlignment w:val="baseline"/>
        <w:rPr>
          <w:rStyle w:val="normaltextrun"/>
          <w:rFonts w:ascii="Palatino Linotype" w:hAnsi="Palatino Linotype" w:cs="Segoe UI"/>
          <w:b/>
          <w:bCs/>
          <w:i/>
          <w:iCs/>
          <w:sz w:val="20"/>
          <w:szCs w:val="20"/>
        </w:rPr>
      </w:pPr>
    </w:p>
    <w:p w:rsidRPr="00B810D4" w:rsidR="00253343" w:rsidP="00253343" w:rsidRDefault="00253343" w14:paraId="04B31DF9" w14:textId="77777777">
      <w:pPr>
        <w:pStyle w:val="paragraph"/>
        <w:spacing w:before="0" w:beforeAutospacing="0" w:after="0" w:afterAutospacing="0" w:line="360" w:lineRule="auto"/>
        <w:ind w:left="555" w:right="555"/>
        <w:jc w:val="both"/>
        <w:textAlignment w:val="baseline"/>
        <w:rPr>
          <w:rFonts w:ascii="Palatino Linotype" w:hAnsi="Palatino Linotype" w:cs="Segoe UI"/>
          <w:i/>
          <w:iCs/>
          <w:sz w:val="20"/>
          <w:szCs w:val="20"/>
        </w:rPr>
      </w:pPr>
      <w:r w:rsidRPr="00B810D4">
        <w:rPr>
          <w:rStyle w:val="normaltextrun"/>
          <w:rFonts w:ascii="Palatino Linotype" w:hAnsi="Palatino Linotype" w:cs="Segoe UI"/>
          <w:b/>
          <w:bCs/>
          <w:i/>
          <w:iCs/>
          <w:sz w:val="20"/>
          <w:szCs w:val="20"/>
        </w:rPr>
        <w:t>“MODALIDAD DE ENTREGA:</w:t>
      </w:r>
      <w:r w:rsidRPr="00B810D4">
        <w:rPr>
          <w:rStyle w:val="eop"/>
          <w:rFonts w:ascii="Palatino Linotype" w:hAnsi="Palatino Linotype" w:cs="Segoe UI"/>
          <w:i/>
          <w:iCs/>
          <w:sz w:val="20"/>
          <w:szCs w:val="20"/>
        </w:rPr>
        <w:t> </w:t>
      </w:r>
    </w:p>
    <w:p w:rsidR="007E0539" w:rsidP="007E0539" w:rsidRDefault="00253343" w14:paraId="38930175" w14:textId="0B967B5D">
      <w:pPr>
        <w:pStyle w:val="Prrafodelista"/>
        <w:tabs>
          <w:tab w:val="left" w:pos="567"/>
        </w:tabs>
        <w:spacing w:line="360" w:lineRule="auto"/>
        <w:ind w:left="0"/>
        <w:jc w:val="both"/>
        <w:rPr>
          <w:rFonts w:ascii="Palatino Linotype" w:hAnsi="Palatino Linotype" w:cs="Arial"/>
          <w:bCs/>
          <w:i/>
          <w:iCs/>
          <w:sz w:val="20"/>
          <w:szCs w:val="20"/>
        </w:rPr>
      </w:pPr>
      <w:r w:rsidRPr="0094164F">
        <w:rPr>
          <w:rFonts w:ascii="Palatino Linotype" w:hAnsi="Palatino Linotype" w:cs="Tahoma"/>
          <w:bCs/>
          <w:i/>
          <w:iCs/>
          <w:sz w:val="20"/>
          <w:szCs w:val="20"/>
        </w:rPr>
        <w:tab/>
      </w:r>
      <w:r w:rsidRPr="0094164F" w:rsidR="0094164F">
        <w:rPr>
          <w:rFonts w:ascii="Palatino Linotype" w:hAnsi="Palatino Linotype"/>
          <w:i/>
          <w:iCs/>
          <w:sz w:val="20"/>
          <w:szCs w:val="20"/>
        </w:rPr>
        <w:t>Entrega por el sistema de solicitudes de acceso a la información de la PNT</w:t>
      </w:r>
      <w:r w:rsidRPr="00B810D4">
        <w:rPr>
          <w:rFonts w:ascii="Palatino Linotype" w:hAnsi="Palatino Linotype" w:cs="Arial"/>
          <w:bCs/>
          <w:i/>
          <w:iCs/>
          <w:sz w:val="20"/>
          <w:szCs w:val="20"/>
        </w:rPr>
        <w:t xml:space="preserve">.” </w:t>
      </w:r>
    </w:p>
    <w:p w:rsidRPr="007E0539" w:rsidR="00D2634C" w:rsidP="007E0539" w:rsidRDefault="00D2634C" w14:paraId="2DA7A440" w14:textId="77777777">
      <w:pPr>
        <w:pStyle w:val="Prrafodelista"/>
        <w:tabs>
          <w:tab w:val="left" w:pos="567"/>
        </w:tabs>
        <w:spacing w:line="360" w:lineRule="auto"/>
        <w:ind w:left="0"/>
        <w:jc w:val="both"/>
        <w:rPr>
          <w:rFonts w:ascii="Palatino Linotype" w:hAnsi="Palatino Linotype" w:cs="Arial"/>
          <w:bCs/>
          <w:i/>
          <w:iCs/>
          <w:sz w:val="20"/>
          <w:szCs w:val="20"/>
        </w:rPr>
      </w:pPr>
    </w:p>
    <w:p w:rsidR="00253343" w:rsidP="00253343" w:rsidRDefault="00253343" w14:paraId="5B7FCB0D" w14:textId="1EFF05EC">
      <w:pPr>
        <w:tabs>
          <w:tab w:val="left" w:pos="4667"/>
        </w:tabs>
        <w:spacing w:line="360" w:lineRule="auto"/>
        <w:ind w:right="567"/>
        <w:jc w:val="both"/>
        <w:rPr>
          <w:rFonts w:ascii="Palatino Linotype" w:hAnsi="Palatino Linotype" w:cs="Tahoma"/>
          <w:b/>
          <w:bCs/>
          <w:sz w:val="22"/>
          <w:szCs w:val="22"/>
        </w:rPr>
      </w:pPr>
      <w:r w:rsidRPr="00AD3D99">
        <w:rPr>
          <w:rFonts w:ascii="Palatino Linotype" w:hAnsi="Palatino Linotype" w:cs="Tahoma"/>
          <w:b/>
          <w:bCs/>
          <w:sz w:val="22"/>
        </w:rPr>
        <w:lastRenderedPageBreak/>
        <w:t>II</w:t>
      </w:r>
      <w:r>
        <w:rPr>
          <w:rFonts w:ascii="Palatino Linotype" w:hAnsi="Palatino Linotype" w:cs="Tahoma"/>
          <w:b/>
          <w:bCs/>
          <w:sz w:val="22"/>
        </w:rPr>
        <w:t>.</w:t>
      </w:r>
      <w:r>
        <w:rPr>
          <w:rFonts w:ascii="Palatino Linotype" w:hAnsi="Palatino Linotype" w:cs="Tahoma"/>
          <w:b/>
          <w:szCs w:val="22"/>
        </w:rPr>
        <w:t xml:space="preserve"> </w:t>
      </w:r>
      <w:r w:rsidRPr="003F5CDB">
        <w:rPr>
          <w:rFonts w:ascii="Palatino Linotype" w:hAnsi="Palatino Linotype" w:cs="Tahoma"/>
          <w:b/>
          <w:bCs/>
          <w:sz w:val="22"/>
          <w:szCs w:val="22"/>
        </w:rPr>
        <w:t xml:space="preserve">Prórroga para atender su solicitud de información. </w:t>
      </w:r>
    </w:p>
    <w:p w:rsidRPr="003F5CDB" w:rsidR="00253343" w:rsidP="00253343" w:rsidRDefault="00253343" w14:paraId="509DA004" w14:textId="77777777">
      <w:pPr>
        <w:tabs>
          <w:tab w:val="left" w:pos="4667"/>
        </w:tabs>
        <w:spacing w:line="360" w:lineRule="auto"/>
        <w:ind w:right="567"/>
        <w:jc w:val="both"/>
        <w:rPr>
          <w:rFonts w:ascii="Palatino Linotype" w:hAnsi="Palatino Linotype" w:cs="Tahoma"/>
          <w:b/>
          <w:bCs/>
          <w:sz w:val="22"/>
          <w:szCs w:val="22"/>
        </w:rPr>
      </w:pPr>
    </w:p>
    <w:p w:rsidRPr="003F5CDB" w:rsidR="00253343" w:rsidP="00253343" w:rsidRDefault="00253343" w14:paraId="4A10A1AE" w14:textId="488F4EA0">
      <w:pPr>
        <w:tabs>
          <w:tab w:val="left" w:pos="4667"/>
        </w:tabs>
        <w:spacing w:line="360" w:lineRule="auto"/>
        <w:jc w:val="both"/>
        <w:rPr>
          <w:rFonts w:ascii="Palatino Linotype" w:hAnsi="Palatino Linotype" w:cs="Tahoma"/>
          <w:sz w:val="22"/>
          <w:szCs w:val="22"/>
        </w:rPr>
      </w:pPr>
      <w:r w:rsidRPr="003F5CDB">
        <w:rPr>
          <w:rFonts w:ascii="Palatino Linotype" w:hAnsi="Palatino Linotype" w:cs="Tahoma"/>
          <w:sz w:val="22"/>
          <w:szCs w:val="22"/>
        </w:rPr>
        <w:t>Con fecha</w:t>
      </w:r>
      <w:r>
        <w:rPr>
          <w:rFonts w:ascii="Palatino Linotype" w:hAnsi="Palatino Linotype" w:cs="Tahoma"/>
          <w:sz w:val="22"/>
          <w:szCs w:val="22"/>
        </w:rPr>
        <w:t xml:space="preserve"> </w:t>
      </w:r>
      <w:r w:rsidR="0094164F">
        <w:rPr>
          <w:rFonts w:ascii="Palatino Linotype" w:hAnsi="Palatino Linotype" w:cs="Tahoma"/>
          <w:sz w:val="22"/>
          <w:szCs w:val="22"/>
        </w:rPr>
        <w:t>veinticuatro</w:t>
      </w:r>
      <w:r>
        <w:rPr>
          <w:rFonts w:ascii="Palatino Linotype" w:hAnsi="Palatino Linotype" w:cs="Tahoma"/>
          <w:sz w:val="22"/>
          <w:szCs w:val="22"/>
        </w:rPr>
        <w:t xml:space="preserve"> </w:t>
      </w:r>
      <w:r w:rsidRPr="003F5CDB">
        <w:rPr>
          <w:rFonts w:ascii="Palatino Linotype" w:hAnsi="Palatino Linotype" w:cs="Tahoma"/>
          <w:sz w:val="22"/>
          <w:szCs w:val="22"/>
        </w:rPr>
        <w:t>de mayo</w:t>
      </w:r>
      <w:r>
        <w:rPr>
          <w:rFonts w:ascii="Palatino Linotype" w:hAnsi="Palatino Linotype" w:cs="Tahoma"/>
          <w:sz w:val="22"/>
          <w:szCs w:val="22"/>
        </w:rPr>
        <w:t xml:space="preserve"> de</w:t>
      </w:r>
      <w:r w:rsidRPr="003F5CDB">
        <w:rPr>
          <w:rFonts w:ascii="Palatino Linotype" w:hAnsi="Palatino Linotype" w:cs="Tahoma"/>
          <w:sz w:val="22"/>
          <w:szCs w:val="22"/>
        </w:rPr>
        <w:t xml:space="preserve"> dos mil veintidós, el Sujeto Obligado, a través del Sistema de Acceso a la Información Mexiquense (SAIMEX), notificó una prórroga, mediante la cual aprueba la ampliación de término para atender la</w:t>
      </w:r>
      <w:r>
        <w:rPr>
          <w:rFonts w:ascii="Palatino Linotype" w:hAnsi="Palatino Linotype" w:cs="Tahoma"/>
          <w:sz w:val="22"/>
          <w:szCs w:val="22"/>
        </w:rPr>
        <w:t xml:space="preserve"> </w:t>
      </w:r>
      <w:r w:rsidRPr="003F5CDB">
        <w:rPr>
          <w:rFonts w:ascii="Palatino Linotype" w:hAnsi="Palatino Linotype" w:cs="Tahoma"/>
          <w:sz w:val="22"/>
          <w:szCs w:val="22"/>
        </w:rPr>
        <w:t>solicitud de información</w:t>
      </w:r>
      <w:r w:rsidR="00D2634C">
        <w:rPr>
          <w:rFonts w:ascii="Palatino Linotype" w:hAnsi="Palatino Linotype"/>
          <w:sz w:val="22"/>
          <w:szCs w:val="22"/>
        </w:rPr>
        <w:t>, a través de su Comité de T</w:t>
      </w:r>
      <w:r w:rsidR="00DC1D1B">
        <w:rPr>
          <w:rFonts w:ascii="Palatino Linotype" w:hAnsi="Palatino Linotype"/>
          <w:sz w:val="22"/>
          <w:szCs w:val="22"/>
        </w:rPr>
        <w:t>ransparencia; sin embargo</w:t>
      </w:r>
      <w:r w:rsidR="007D0EFC">
        <w:rPr>
          <w:rFonts w:ascii="Palatino Linotype" w:hAnsi="Palatino Linotype"/>
          <w:sz w:val="22"/>
          <w:szCs w:val="22"/>
        </w:rPr>
        <w:t>, de</w:t>
      </w:r>
      <w:r w:rsidR="00DC1D1B">
        <w:rPr>
          <w:rFonts w:ascii="Palatino Linotype" w:hAnsi="Palatino Linotype"/>
          <w:sz w:val="22"/>
          <w:szCs w:val="22"/>
        </w:rPr>
        <w:t xml:space="preserve"> esta no se advierte que corresponda a la solicitud que nos ocupa</w:t>
      </w:r>
      <w:r w:rsidR="007D0EFC">
        <w:rPr>
          <w:rFonts w:ascii="Palatino Linotype" w:hAnsi="Palatino Linotype"/>
          <w:sz w:val="22"/>
          <w:szCs w:val="22"/>
        </w:rPr>
        <w:t>, por lo que se insta al Sujeto Obligado a que las ampliaciones de plazo se realicen únicamente previa aprobación del Comité de Transparencia y que en su entrega se privilegien los datos abiertos.</w:t>
      </w:r>
    </w:p>
    <w:p w:rsidR="00253343" w:rsidP="00253343" w:rsidRDefault="00253343" w14:paraId="7B175D16" w14:textId="77777777">
      <w:pPr>
        <w:tabs>
          <w:tab w:val="left" w:pos="4667"/>
        </w:tabs>
        <w:spacing w:line="360" w:lineRule="auto"/>
        <w:ind w:right="567"/>
        <w:jc w:val="both"/>
        <w:rPr>
          <w:rFonts w:ascii="Palatino Linotype" w:hAnsi="Palatino Linotype" w:cs="Tahoma"/>
          <w:b/>
          <w:szCs w:val="22"/>
        </w:rPr>
      </w:pPr>
    </w:p>
    <w:p w:rsidRPr="007E0539" w:rsidR="00253343" w:rsidP="00253343" w:rsidRDefault="00253343" w14:paraId="4A5AFCC4" w14:textId="77777777">
      <w:pPr>
        <w:tabs>
          <w:tab w:val="left" w:pos="4667"/>
        </w:tabs>
        <w:spacing w:line="360" w:lineRule="auto"/>
        <w:ind w:right="567"/>
        <w:jc w:val="both"/>
        <w:rPr>
          <w:rFonts w:ascii="Palatino Linotype" w:hAnsi="Palatino Linotype" w:eastAsia="Calibri" w:cs="Tahoma"/>
          <w:i/>
          <w:iCs/>
          <w:color w:val="000000"/>
          <w:sz w:val="22"/>
          <w:szCs w:val="22"/>
          <w:lang w:eastAsia="en-US"/>
        </w:rPr>
      </w:pPr>
      <w:r w:rsidRPr="007E0539">
        <w:rPr>
          <w:rFonts w:ascii="Palatino Linotype" w:hAnsi="Palatino Linotype" w:cs="Tahoma"/>
          <w:b/>
          <w:sz w:val="22"/>
          <w:szCs w:val="22"/>
        </w:rPr>
        <w:t>III. Respuesta del Sujeto Obligado.</w:t>
      </w:r>
    </w:p>
    <w:p w:rsidRPr="00455466" w:rsidR="00253343" w:rsidP="00253343" w:rsidRDefault="00253343" w14:paraId="1F9FDB13" w14:textId="77777777">
      <w:pPr>
        <w:spacing w:line="360" w:lineRule="auto"/>
        <w:jc w:val="both"/>
        <w:rPr>
          <w:rFonts w:ascii="Palatino Linotype" w:hAnsi="Palatino Linotype" w:cs="Tahoma"/>
          <w:sz w:val="22"/>
          <w:szCs w:val="24"/>
        </w:rPr>
      </w:pPr>
    </w:p>
    <w:p w:rsidR="00253343" w:rsidP="00253343" w:rsidRDefault="00253343" w14:paraId="7DD1FD5D" w14:textId="76386CB9">
      <w:pPr>
        <w:spacing w:line="360" w:lineRule="auto"/>
        <w:jc w:val="both"/>
        <w:rPr>
          <w:rFonts w:ascii="Palatino Linotype" w:hAnsi="Palatino Linotype" w:eastAsia="Calibri" w:cs="Tahoma"/>
          <w:bCs/>
          <w:sz w:val="22"/>
          <w:szCs w:val="22"/>
          <w:lang w:val="es-ES" w:eastAsia="en-US"/>
        </w:rPr>
      </w:pPr>
      <w:r w:rsidRPr="00455466">
        <w:rPr>
          <w:rFonts w:ascii="Palatino Linotype" w:hAnsi="Palatino Linotype" w:cs="Tahoma"/>
          <w:sz w:val="22"/>
          <w:szCs w:val="24"/>
        </w:rPr>
        <w:t>Con fecha</w:t>
      </w:r>
      <w:r>
        <w:rPr>
          <w:rFonts w:ascii="Palatino Linotype" w:hAnsi="Palatino Linotype" w:cs="Tahoma"/>
          <w:sz w:val="22"/>
          <w:szCs w:val="24"/>
        </w:rPr>
        <w:t xml:space="preserve"> </w:t>
      </w:r>
      <w:r w:rsidR="0094164F">
        <w:rPr>
          <w:rFonts w:ascii="Palatino Linotype" w:hAnsi="Palatino Linotype" w:cs="Tahoma"/>
          <w:sz w:val="22"/>
          <w:szCs w:val="24"/>
        </w:rPr>
        <w:t>ocho</w:t>
      </w:r>
      <w:r>
        <w:rPr>
          <w:rFonts w:ascii="Palatino Linotype" w:hAnsi="Palatino Linotype" w:cs="Tahoma"/>
          <w:sz w:val="22"/>
          <w:szCs w:val="24"/>
        </w:rPr>
        <w:t xml:space="preserve"> de junio </w:t>
      </w:r>
      <w:r w:rsidRPr="00455466">
        <w:rPr>
          <w:rFonts w:ascii="Palatino Linotype" w:hAnsi="Palatino Linotype" w:cs="Tahoma"/>
          <w:sz w:val="22"/>
          <w:szCs w:val="24"/>
        </w:rPr>
        <w:t xml:space="preserve">de dos mil veintidós, </w:t>
      </w:r>
      <w:r>
        <w:rPr>
          <w:rFonts w:ascii="Palatino Linotype" w:hAnsi="Palatino Linotype" w:cs="Tahoma"/>
          <w:sz w:val="22"/>
          <w:szCs w:val="24"/>
        </w:rPr>
        <w:t xml:space="preserve">el Sujeto Obligado dio respuesta a la solicitud, a través del </w:t>
      </w:r>
      <w:r w:rsidRPr="00455466">
        <w:rPr>
          <w:rFonts w:ascii="Palatino Linotype" w:hAnsi="Palatino Linotype" w:eastAsia="Calibri" w:cs="Tahoma"/>
          <w:bCs/>
          <w:sz w:val="22"/>
          <w:szCs w:val="22"/>
          <w:lang w:val="es-ES" w:eastAsia="en-US"/>
        </w:rPr>
        <w:t>Sistema de Acceso a la Información Mexiquense (SAIMEX)</w:t>
      </w:r>
      <w:r>
        <w:rPr>
          <w:rFonts w:ascii="Palatino Linotype" w:hAnsi="Palatino Linotype" w:eastAsia="Calibri" w:cs="Tahoma"/>
          <w:bCs/>
          <w:sz w:val="22"/>
          <w:szCs w:val="22"/>
          <w:lang w:val="es-ES" w:eastAsia="en-US"/>
        </w:rPr>
        <w:t xml:space="preserve">, por medio </w:t>
      </w:r>
      <w:r w:rsidR="0094164F">
        <w:rPr>
          <w:rFonts w:ascii="Palatino Linotype" w:hAnsi="Palatino Linotype" w:eastAsia="Calibri" w:cs="Tahoma"/>
          <w:bCs/>
          <w:sz w:val="22"/>
          <w:szCs w:val="22"/>
          <w:lang w:val="es-ES" w:eastAsia="en-US"/>
        </w:rPr>
        <w:t>del oficio TM/1324/2022 de fecha seis de junio de dos mil veintidós, suscrito por el Tesorero Municipal, en el cual señala lo</w:t>
      </w:r>
      <w:r w:rsidR="00DB111D">
        <w:rPr>
          <w:rFonts w:ascii="Palatino Linotype" w:hAnsi="Palatino Linotype" w:eastAsia="Calibri" w:cs="Tahoma"/>
          <w:bCs/>
          <w:sz w:val="22"/>
          <w:szCs w:val="22"/>
          <w:lang w:val="es-ES" w:eastAsia="en-US"/>
        </w:rPr>
        <w:t xml:space="preserve"> </w:t>
      </w:r>
      <w:r w:rsidR="0094164F">
        <w:rPr>
          <w:rFonts w:ascii="Palatino Linotype" w:hAnsi="Palatino Linotype" w:eastAsia="Calibri" w:cs="Tahoma"/>
          <w:bCs/>
          <w:sz w:val="22"/>
          <w:szCs w:val="22"/>
          <w:lang w:val="es-ES" w:eastAsia="en-US"/>
        </w:rPr>
        <w:t>siguiente</w:t>
      </w:r>
      <w:r>
        <w:rPr>
          <w:rFonts w:ascii="Palatino Linotype" w:hAnsi="Palatino Linotype" w:eastAsia="Calibri" w:cs="Tahoma"/>
          <w:bCs/>
          <w:sz w:val="22"/>
          <w:szCs w:val="22"/>
          <w:lang w:val="es-ES" w:eastAsia="en-US"/>
        </w:rPr>
        <w:t xml:space="preserve">: </w:t>
      </w:r>
    </w:p>
    <w:p w:rsidR="009F6F88" w:rsidP="00253343" w:rsidRDefault="009F6F88" w14:paraId="71B901D5" w14:textId="77777777">
      <w:pPr>
        <w:spacing w:line="360" w:lineRule="auto"/>
        <w:jc w:val="both"/>
        <w:rPr>
          <w:rFonts w:ascii="Palatino Linotype" w:hAnsi="Palatino Linotype" w:eastAsia="Calibri" w:cs="Tahoma"/>
          <w:bCs/>
          <w:sz w:val="22"/>
          <w:szCs w:val="22"/>
          <w:lang w:val="es-ES" w:eastAsia="en-US"/>
        </w:rPr>
      </w:pPr>
    </w:p>
    <w:p w:rsidRPr="00F83C62" w:rsidR="00253343" w:rsidP="00253343" w:rsidRDefault="00253343" w14:paraId="05A2F051" w14:textId="77777777">
      <w:pPr>
        <w:spacing w:line="360" w:lineRule="auto"/>
        <w:ind w:left="567" w:right="567"/>
        <w:jc w:val="both"/>
        <w:rPr>
          <w:rFonts w:ascii="Palatino Linotype" w:hAnsi="Palatino Linotype" w:eastAsia="Calibri" w:cs="Tahoma"/>
          <w:bCs/>
          <w:i/>
          <w:iCs/>
          <w:sz w:val="22"/>
          <w:szCs w:val="22"/>
          <w:lang w:val="es-ES" w:eastAsia="en-US"/>
        </w:rPr>
      </w:pPr>
      <w:r w:rsidRPr="00F83C62">
        <w:rPr>
          <w:rFonts w:ascii="Palatino Linotype" w:hAnsi="Palatino Linotype" w:eastAsia="Calibri" w:cs="Tahoma"/>
          <w:bCs/>
          <w:i/>
          <w:iCs/>
          <w:sz w:val="22"/>
          <w:szCs w:val="22"/>
          <w:lang w:val="es-ES" w:eastAsia="en-US"/>
        </w:rPr>
        <w:t>“…</w:t>
      </w:r>
    </w:p>
    <w:p w:rsidR="00253343" w:rsidP="00010D03" w:rsidRDefault="00253343" w14:paraId="52C3D431" w14:textId="085443CB">
      <w:pPr>
        <w:spacing w:line="360" w:lineRule="auto"/>
        <w:ind w:left="567" w:right="567"/>
        <w:jc w:val="both"/>
        <w:rPr>
          <w:rFonts w:ascii="Palatino Linotype" w:hAnsi="Palatino Linotype" w:eastAsia="Calibri" w:cs="Tahoma"/>
          <w:bCs/>
          <w:i/>
          <w:iCs/>
          <w:szCs w:val="22"/>
          <w:lang w:val="es-ES" w:eastAsia="en-US"/>
        </w:rPr>
      </w:pPr>
      <w:r>
        <w:rPr>
          <w:rFonts w:ascii="Palatino Linotype" w:hAnsi="Palatino Linotype" w:eastAsia="Calibri" w:cs="Tahoma"/>
          <w:bCs/>
          <w:i/>
          <w:iCs/>
          <w:sz w:val="22"/>
          <w:szCs w:val="22"/>
          <w:lang w:val="es-ES" w:eastAsia="en-US"/>
        </w:rPr>
        <w:t>Al respecto l</w:t>
      </w:r>
      <w:r w:rsidR="00010D03">
        <w:rPr>
          <w:rFonts w:ascii="Palatino Linotype" w:hAnsi="Palatino Linotype" w:eastAsia="Calibri" w:cs="Tahoma"/>
          <w:bCs/>
          <w:i/>
          <w:iCs/>
          <w:sz w:val="22"/>
          <w:szCs w:val="22"/>
          <w:lang w:val="es-ES" w:eastAsia="en-US"/>
        </w:rPr>
        <w:t xml:space="preserve">e </w:t>
      </w:r>
      <w:r w:rsidR="0094164F">
        <w:rPr>
          <w:rFonts w:ascii="Palatino Linotype" w:hAnsi="Palatino Linotype" w:eastAsia="Calibri" w:cs="Tahoma"/>
          <w:bCs/>
          <w:i/>
          <w:iCs/>
          <w:sz w:val="22"/>
          <w:szCs w:val="22"/>
          <w:lang w:val="es-ES" w:eastAsia="en-US"/>
        </w:rPr>
        <w:t xml:space="preserve">envío el </w:t>
      </w:r>
      <w:r w:rsidR="00010D03">
        <w:rPr>
          <w:rFonts w:ascii="Palatino Linotype" w:hAnsi="Palatino Linotype" w:eastAsia="Calibri" w:cs="Tahoma"/>
          <w:bCs/>
          <w:i/>
          <w:iCs/>
          <w:sz w:val="22"/>
          <w:szCs w:val="22"/>
          <w:lang w:val="es-ES" w:eastAsia="en-US"/>
        </w:rPr>
        <w:t>pr</w:t>
      </w:r>
      <w:r w:rsidR="0094164F">
        <w:rPr>
          <w:rFonts w:ascii="Palatino Linotype" w:hAnsi="Palatino Linotype" w:eastAsia="Calibri" w:cs="Tahoma"/>
          <w:bCs/>
          <w:i/>
          <w:iCs/>
          <w:sz w:val="22"/>
          <w:szCs w:val="22"/>
          <w:lang w:val="es-ES" w:eastAsia="en-US"/>
        </w:rPr>
        <w:t>esupuesto anual autorizado</w:t>
      </w:r>
      <w:r w:rsidR="00010D03">
        <w:rPr>
          <w:rFonts w:ascii="Palatino Linotype" w:hAnsi="Palatino Linotype" w:eastAsia="Calibri" w:cs="Tahoma"/>
          <w:bCs/>
          <w:i/>
          <w:iCs/>
          <w:sz w:val="22"/>
          <w:szCs w:val="22"/>
          <w:lang w:val="es-ES" w:eastAsia="en-US"/>
        </w:rPr>
        <w:t xml:space="preserve"> y los conceptos presupuestales de gasto durante el primer trimestre…</w:t>
      </w:r>
      <w:r>
        <w:rPr>
          <w:rFonts w:ascii="Palatino Linotype" w:hAnsi="Palatino Linotype" w:eastAsia="Calibri" w:cs="Tahoma"/>
          <w:bCs/>
          <w:i/>
          <w:iCs/>
          <w:szCs w:val="22"/>
          <w:lang w:val="es-ES" w:eastAsia="en-US"/>
        </w:rPr>
        <w:t xml:space="preserve"> </w:t>
      </w:r>
    </w:p>
    <w:p w:rsidR="00010D03" w:rsidP="00010D03" w:rsidRDefault="00010D03" w14:paraId="23B9655D" w14:textId="1A72777B">
      <w:pPr>
        <w:spacing w:line="360" w:lineRule="auto"/>
        <w:ind w:left="567" w:right="567"/>
        <w:jc w:val="both"/>
        <w:rPr>
          <w:rFonts w:ascii="Palatino Linotype" w:hAnsi="Palatino Linotype" w:eastAsia="Calibri" w:cs="Tahoma"/>
          <w:bCs/>
          <w:i/>
          <w:iCs/>
          <w:szCs w:val="22"/>
          <w:lang w:val="es-ES" w:eastAsia="en-US"/>
        </w:rPr>
      </w:pPr>
    </w:p>
    <w:p w:rsidRPr="00010D03" w:rsidR="00253343" w:rsidP="00010D03" w:rsidRDefault="00010D03" w14:paraId="2DF51002" w14:textId="54F8F01D">
      <w:pPr>
        <w:spacing w:line="360" w:lineRule="auto"/>
        <w:ind w:left="567" w:right="567"/>
        <w:jc w:val="center"/>
        <w:rPr>
          <w:rFonts w:ascii="Palatino Linotype" w:hAnsi="Palatino Linotype" w:eastAsia="Calibri" w:cs="Tahoma"/>
          <w:bCs/>
          <w:i/>
          <w:iCs/>
          <w:szCs w:val="22"/>
          <w:lang w:val="es-ES" w:eastAsia="en-US"/>
        </w:rPr>
      </w:pPr>
      <w:r>
        <w:rPr>
          <w:noProof/>
          <w:lang w:eastAsia="es-MX"/>
        </w:rPr>
        <w:lastRenderedPageBreak/>
        <w:drawing>
          <wp:inline distT="0" distB="0" distL="0" distR="0" wp14:anchorId="5EA2FF0A" wp14:editId="54C4916B">
            <wp:extent cx="5627960" cy="403225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4347" t="26602" r="29159" b="14152"/>
                    <a:stretch/>
                  </pic:blipFill>
                  <pic:spPr bwMode="auto">
                    <a:xfrm>
                      <a:off x="0" y="0"/>
                      <a:ext cx="5691332" cy="4077654"/>
                    </a:xfrm>
                    <a:prstGeom prst="rect">
                      <a:avLst/>
                    </a:prstGeom>
                    <a:ln>
                      <a:noFill/>
                    </a:ln>
                    <a:extLst>
                      <a:ext uri="{53640926-AAD7-44D8-BBD7-CCE9431645EC}">
                        <a14:shadowObscured xmlns:a14="http://schemas.microsoft.com/office/drawing/2010/main"/>
                      </a:ext>
                    </a:extLst>
                  </pic:spPr>
                </pic:pic>
              </a:graphicData>
            </a:graphic>
          </wp:inline>
        </w:drawing>
      </w:r>
    </w:p>
    <w:p w:rsidR="007E0539" w:rsidP="00253343" w:rsidRDefault="007E0539" w14:paraId="5D4AD8C3" w14:textId="77777777">
      <w:pPr>
        <w:spacing w:line="360" w:lineRule="auto"/>
        <w:jc w:val="both"/>
        <w:rPr>
          <w:rFonts w:ascii="Palatino Linotype" w:hAnsi="Palatino Linotype" w:cs="Tahoma"/>
          <w:b/>
          <w:sz w:val="22"/>
          <w:szCs w:val="22"/>
        </w:rPr>
      </w:pPr>
    </w:p>
    <w:p w:rsidRPr="00455466" w:rsidR="00253343" w:rsidP="00253343" w:rsidRDefault="00253343" w14:paraId="2D73E3D6" w14:textId="27074766">
      <w:pPr>
        <w:spacing w:line="360" w:lineRule="auto"/>
        <w:jc w:val="both"/>
        <w:rPr>
          <w:rFonts w:ascii="Palatino Linotype" w:hAnsi="Palatino Linotype" w:eastAsia="Calibri" w:cs="Tahoma"/>
          <w:bCs/>
          <w:sz w:val="22"/>
          <w:szCs w:val="22"/>
          <w:lang w:val="es-ES" w:eastAsia="en-US"/>
        </w:rPr>
      </w:pPr>
      <w:r>
        <w:rPr>
          <w:rFonts w:ascii="Palatino Linotype" w:hAnsi="Palatino Linotype" w:cs="Tahoma"/>
          <w:b/>
          <w:sz w:val="22"/>
          <w:szCs w:val="22"/>
        </w:rPr>
        <w:t>IV</w:t>
      </w:r>
      <w:r w:rsidRPr="00455466">
        <w:rPr>
          <w:rFonts w:ascii="Palatino Linotype" w:hAnsi="Palatino Linotype" w:cs="Tahoma"/>
          <w:b/>
          <w:sz w:val="22"/>
          <w:szCs w:val="22"/>
        </w:rPr>
        <w:t xml:space="preserve">. Interposición del Recurso de Revisión. </w:t>
      </w:r>
    </w:p>
    <w:p w:rsidRPr="00455466" w:rsidR="00253343" w:rsidP="00253343" w:rsidRDefault="00253343" w14:paraId="51F84AAE" w14:textId="77777777">
      <w:pPr>
        <w:autoSpaceDE w:val="0"/>
        <w:autoSpaceDN w:val="0"/>
        <w:adjustRightInd w:val="0"/>
        <w:spacing w:line="360" w:lineRule="auto"/>
        <w:contextualSpacing/>
        <w:jc w:val="both"/>
        <w:rPr>
          <w:rFonts w:ascii="Palatino Linotype" w:hAnsi="Palatino Linotype" w:cs="Tahoma"/>
          <w:b/>
          <w:sz w:val="22"/>
          <w:szCs w:val="22"/>
        </w:rPr>
      </w:pPr>
    </w:p>
    <w:p w:rsidR="00253343" w:rsidP="00253343" w:rsidRDefault="00253343" w14:paraId="3D55C90E" w14:textId="29A5F8DC">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rPr>
        <w:t>Con</w:t>
      </w:r>
      <w:r w:rsidRPr="00455466">
        <w:rPr>
          <w:rFonts w:ascii="Palatino Linotype" w:hAnsi="Palatino Linotype" w:cs="Tahoma"/>
          <w:sz w:val="22"/>
          <w:szCs w:val="22"/>
        </w:rPr>
        <w:t xml:space="preserve"> fecha </w:t>
      </w:r>
      <w:r w:rsidR="00010D03">
        <w:rPr>
          <w:rFonts w:ascii="Palatino Linotype" w:hAnsi="Palatino Linotype" w:cs="Tahoma"/>
          <w:sz w:val="22"/>
          <w:szCs w:val="22"/>
        </w:rPr>
        <w:t>diez</w:t>
      </w:r>
      <w:r>
        <w:rPr>
          <w:rFonts w:ascii="Palatino Linotype" w:hAnsi="Palatino Linotype" w:cs="Tahoma"/>
          <w:sz w:val="22"/>
          <w:szCs w:val="22"/>
        </w:rPr>
        <w:t xml:space="preserve"> de junio</w:t>
      </w:r>
      <w:r w:rsidRPr="00455466">
        <w:rPr>
          <w:rFonts w:ascii="Palatino Linotype" w:hAnsi="Palatino Linotype" w:cs="Tahoma"/>
          <w:sz w:val="22"/>
          <w:szCs w:val="22"/>
        </w:rPr>
        <w:t xml:space="preserve"> de dos mil veintidós, </w:t>
      </w:r>
      <w:r>
        <w:rPr>
          <w:rFonts w:ascii="Palatino Linotype" w:hAnsi="Palatino Linotype" w:cs="Tahoma"/>
          <w:sz w:val="22"/>
          <w:szCs w:val="22"/>
          <w:lang w:val="es-ES"/>
        </w:rPr>
        <w:t xml:space="preserve">a través del </w:t>
      </w:r>
      <w:r w:rsidRPr="00C938B6">
        <w:rPr>
          <w:rFonts w:ascii="Palatino Linotype" w:hAnsi="Palatino Linotype" w:cs="Tahoma"/>
          <w:sz w:val="22"/>
          <w:szCs w:val="22"/>
          <w:lang w:val="es-ES"/>
        </w:rPr>
        <w:t>Sistema de Acceso a la Información Mexiquense (SAIMEX)</w:t>
      </w:r>
      <w:r>
        <w:rPr>
          <w:rFonts w:ascii="Palatino Linotype" w:hAnsi="Palatino Linotype" w:cs="Tahoma"/>
          <w:sz w:val="22"/>
          <w:szCs w:val="22"/>
          <w:lang w:val="es-ES"/>
        </w:rPr>
        <w:t xml:space="preserve">, la Particular </w:t>
      </w:r>
      <w:r w:rsidRPr="00C938B6">
        <w:rPr>
          <w:rFonts w:ascii="Palatino Linotype" w:hAnsi="Palatino Linotype" w:cs="Tahoma"/>
          <w:sz w:val="22"/>
          <w:szCs w:val="22"/>
          <w:lang w:val="es-ES"/>
        </w:rPr>
        <w:t>interpuso Recurso de Revisión ante este Instituto</w:t>
      </w:r>
      <w:r>
        <w:rPr>
          <w:rFonts w:ascii="Palatino Linotype" w:hAnsi="Palatino Linotype" w:cs="Tahoma"/>
          <w:sz w:val="22"/>
          <w:szCs w:val="22"/>
          <w:lang w:val="es-ES"/>
        </w:rPr>
        <w:t xml:space="preserve">, </w:t>
      </w:r>
      <w:r w:rsidRPr="00C938B6">
        <w:rPr>
          <w:rFonts w:ascii="Palatino Linotype" w:hAnsi="Palatino Linotype" w:cs="Tahoma"/>
          <w:sz w:val="22"/>
          <w:szCs w:val="22"/>
          <w:lang w:val="es-ES"/>
        </w:rPr>
        <w:t>en contra de la respuesta otorgada</w:t>
      </w:r>
      <w:r>
        <w:rPr>
          <w:rFonts w:ascii="Palatino Linotype" w:hAnsi="Palatino Linotype" w:cs="Tahoma"/>
          <w:sz w:val="22"/>
          <w:szCs w:val="22"/>
          <w:lang w:val="es-ES"/>
        </w:rPr>
        <w:t xml:space="preserve"> </w:t>
      </w:r>
      <w:r w:rsidRPr="00C938B6">
        <w:rPr>
          <w:rFonts w:ascii="Palatino Linotype" w:hAnsi="Palatino Linotype" w:cs="Tahoma"/>
          <w:sz w:val="22"/>
          <w:szCs w:val="22"/>
          <w:lang w:val="es-ES"/>
        </w:rPr>
        <w:t xml:space="preserve">por </w:t>
      </w:r>
      <w:r>
        <w:rPr>
          <w:rFonts w:ascii="Palatino Linotype" w:hAnsi="Palatino Linotype" w:cs="Tahoma"/>
          <w:sz w:val="22"/>
          <w:szCs w:val="22"/>
          <w:lang w:val="es-ES"/>
        </w:rPr>
        <w:t>Ayuntamiento</w:t>
      </w:r>
      <w:r w:rsidRPr="000578D3">
        <w:rPr>
          <w:rFonts w:ascii="Palatino Linotype" w:hAnsi="Palatino Linotype"/>
          <w:bCs/>
          <w:color w:val="000000"/>
          <w:sz w:val="22"/>
          <w:szCs w:val="22"/>
        </w:rPr>
        <w:t xml:space="preserve"> de Metepec</w:t>
      </w:r>
      <w:r>
        <w:rPr>
          <w:rFonts w:ascii="Palatino Linotype" w:hAnsi="Palatino Linotype"/>
          <w:bCs/>
          <w:color w:val="000000"/>
          <w:sz w:val="22"/>
          <w:szCs w:val="22"/>
        </w:rPr>
        <w:t>,</w:t>
      </w:r>
      <w:r>
        <w:rPr>
          <w:rFonts w:ascii="Palatino Linotype" w:hAnsi="Palatino Linotype" w:eastAsia="Calibri" w:cs="Tahoma"/>
          <w:bCs/>
          <w:sz w:val="22"/>
          <w:szCs w:val="22"/>
        </w:rPr>
        <w:t xml:space="preserve"> a </w:t>
      </w:r>
      <w:r w:rsidRPr="00C938B6">
        <w:rPr>
          <w:rFonts w:ascii="Palatino Linotype" w:hAnsi="Palatino Linotype" w:cs="Tahoma"/>
          <w:sz w:val="22"/>
          <w:szCs w:val="22"/>
          <w:lang w:val="es-ES"/>
        </w:rPr>
        <w:t>la solicitud</w:t>
      </w:r>
      <w:r>
        <w:rPr>
          <w:rFonts w:ascii="Palatino Linotype" w:hAnsi="Palatino Linotype" w:cs="Tahoma"/>
          <w:sz w:val="22"/>
          <w:szCs w:val="22"/>
          <w:lang w:val="es-ES"/>
        </w:rPr>
        <w:t xml:space="preserve"> de información, en </w:t>
      </w:r>
      <w:r w:rsidRPr="00C938B6">
        <w:rPr>
          <w:rFonts w:ascii="Palatino Linotype" w:hAnsi="Palatino Linotype" w:cs="Tahoma"/>
          <w:sz w:val="22"/>
          <w:szCs w:val="22"/>
          <w:lang w:val="es-ES"/>
        </w:rPr>
        <w:t>los siguientes términos:</w:t>
      </w:r>
    </w:p>
    <w:p w:rsidR="007E0539" w:rsidP="00253343" w:rsidRDefault="007E0539" w14:paraId="4A2A6B99" w14:textId="77777777">
      <w:pPr>
        <w:spacing w:line="360" w:lineRule="auto"/>
        <w:ind w:right="567"/>
        <w:contextualSpacing/>
        <w:jc w:val="both"/>
        <w:rPr>
          <w:rFonts w:ascii="Palatino Linotype" w:hAnsi="Palatino Linotype" w:cs="Tahoma"/>
          <w:sz w:val="22"/>
          <w:szCs w:val="22"/>
        </w:rPr>
      </w:pPr>
    </w:p>
    <w:p w:rsidRPr="00010D03" w:rsidR="00253343" w:rsidP="00010D03" w:rsidRDefault="00253343" w14:paraId="4E7A5EA2" w14:textId="77777777">
      <w:pPr>
        <w:spacing w:line="360" w:lineRule="auto"/>
        <w:ind w:left="567" w:right="567"/>
        <w:contextualSpacing/>
        <w:jc w:val="both"/>
        <w:rPr>
          <w:rFonts w:ascii="Palatino Linotype" w:hAnsi="Palatino Linotype" w:cs="Tahoma"/>
          <w:b/>
          <w:i/>
          <w:iCs/>
        </w:rPr>
      </w:pPr>
      <w:r w:rsidRPr="00010D03">
        <w:rPr>
          <w:rFonts w:ascii="Palatino Linotype" w:hAnsi="Palatino Linotype" w:cs="Tahoma"/>
          <w:b/>
          <w:i/>
          <w:iCs/>
        </w:rPr>
        <w:t>“ACTO IMPUGNADO</w:t>
      </w:r>
    </w:p>
    <w:p w:rsidRPr="008F514A" w:rsidR="00253343" w:rsidP="008F514A" w:rsidRDefault="00010D03" w14:paraId="11BB4787" w14:textId="23FC2A89">
      <w:pPr>
        <w:spacing w:line="360" w:lineRule="auto"/>
        <w:ind w:left="567" w:right="567"/>
        <w:jc w:val="both"/>
        <w:rPr>
          <w:rFonts w:ascii="Palatino Linotype" w:hAnsi="Palatino Linotype"/>
          <w:i/>
          <w:iCs/>
          <w:lang w:eastAsia="es-MX"/>
        </w:rPr>
      </w:pPr>
      <w:r w:rsidRPr="00010D03">
        <w:rPr>
          <w:rFonts w:ascii="Palatino Linotype" w:hAnsi="Palatino Linotype"/>
          <w:i/>
          <w:iCs/>
          <w:lang w:eastAsia="es-MX"/>
        </w:rPr>
        <w:t>La remisión de una respuesta incompleta por parte del sujeto obligado a mi solicitud de información que debería ser pública, o que, en teoría lo es</w:t>
      </w:r>
      <w:r w:rsidR="001962FA">
        <w:rPr>
          <w:rFonts w:ascii="Palatino Linotype" w:hAnsi="Palatino Linotype"/>
          <w:i/>
          <w:iCs/>
          <w:lang w:eastAsia="es-MX"/>
        </w:rPr>
        <w:t>.”</w:t>
      </w:r>
      <w:r w:rsidRPr="00010D03" w:rsidR="00253343">
        <w:rPr>
          <w:rFonts w:ascii="Palatino Linotype" w:hAnsi="Palatino Linotype"/>
          <w:i/>
          <w:iCs/>
          <w:color w:val="000000"/>
        </w:rPr>
        <w:t xml:space="preserve">  (Sic)</w:t>
      </w:r>
    </w:p>
    <w:p w:rsidRPr="00010D03" w:rsidR="007E0539" w:rsidP="00010D03" w:rsidRDefault="007E0539" w14:paraId="288BA80E" w14:textId="77777777">
      <w:pPr>
        <w:spacing w:line="360" w:lineRule="auto"/>
        <w:ind w:left="567" w:right="567"/>
        <w:jc w:val="both"/>
        <w:rPr>
          <w:rFonts w:ascii="Palatino Linotype" w:hAnsi="Palatino Linotype"/>
          <w:i/>
          <w:iCs/>
          <w:color w:val="000000"/>
        </w:rPr>
      </w:pPr>
    </w:p>
    <w:p w:rsidRPr="007E0539" w:rsidR="007E0539" w:rsidP="007E0539" w:rsidRDefault="00253343" w14:paraId="6C2B7674" w14:textId="62D421A1">
      <w:pPr>
        <w:spacing w:line="360" w:lineRule="auto"/>
        <w:ind w:left="567" w:right="567"/>
        <w:contextualSpacing/>
        <w:jc w:val="both"/>
        <w:rPr>
          <w:rFonts w:ascii="Palatino Linotype" w:hAnsi="Palatino Linotype" w:eastAsia="Calibri" w:cs="Tahoma"/>
          <w:bCs/>
          <w:i/>
          <w:iCs/>
          <w:lang w:eastAsia="en-US"/>
        </w:rPr>
      </w:pPr>
      <w:r w:rsidRPr="00010D03">
        <w:rPr>
          <w:rFonts w:ascii="Palatino Linotype" w:hAnsi="Palatino Linotype" w:cs="Tahoma"/>
          <w:b/>
          <w:i/>
          <w:iCs/>
        </w:rPr>
        <w:t>“RAZONES O MOTIVOS DE LA INCONFORMIDAD</w:t>
      </w:r>
      <w:bookmarkStart w:name="_Hlk93400426" w:id="0"/>
      <w:r w:rsidRPr="00010D03">
        <w:rPr>
          <w:rFonts w:ascii="Palatino Linotype" w:hAnsi="Palatino Linotype" w:eastAsia="Calibri" w:cs="Tahoma"/>
          <w:bCs/>
          <w:i/>
          <w:iCs/>
          <w:lang w:eastAsia="en-US"/>
        </w:rPr>
        <w:tab/>
      </w:r>
      <w:bookmarkEnd w:id="0"/>
    </w:p>
    <w:p w:rsidRPr="001962FA" w:rsidR="00253343" w:rsidP="001962FA" w:rsidRDefault="00010D03" w14:paraId="037922A1" w14:textId="10BADFE1">
      <w:pPr>
        <w:spacing w:line="360" w:lineRule="auto"/>
        <w:ind w:left="567" w:right="567"/>
        <w:jc w:val="both"/>
        <w:rPr>
          <w:rFonts w:ascii="Palatino Linotype" w:hAnsi="Palatino Linotype"/>
          <w:i/>
          <w:iCs/>
          <w:lang w:eastAsia="es-MX"/>
        </w:rPr>
      </w:pPr>
      <w:r w:rsidRPr="00010D03">
        <w:rPr>
          <w:rFonts w:ascii="Palatino Linotype" w:hAnsi="Palatino Linotype"/>
          <w:i/>
          <w:iCs/>
          <w:lang w:eastAsia="es-MX"/>
        </w:rPr>
        <w:lastRenderedPageBreak/>
        <w:t>Deseo conocer presupuesto anual 2022 de la Dirección de Cultura del H. Ayuntamiento de Metepec y todos los gastos hechos durante el primer trimestre: pagos de nómina, eventos, infraestructura, lonas y sonido, servicios de cafetería y transporte, con la documentación correspondiente, contratos, facturas y acuses. A lo cual se me remite una respuesta sin las especificaciones solicitadas</w:t>
      </w:r>
      <w:r w:rsidRPr="00010D03" w:rsidR="00253343">
        <w:rPr>
          <w:rFonts w:ascii="Palatino Linotype" w:hAnsi="Palatino Linotype"/>
          <w:i/>
          <w:iCs/>
          <w:color w:val="000000"/>
        </w:rPr>
        <w:t>.</w:t>
      </w:r>
      <w:r w:rsidR="001962FA">
        <w:rPr>
          <w:rFonts w:ascii="Palatino Linotype" w:hAnsi="Palatino Linotype"/>
          <w:i/>
          <w:iCs/>
          <w:color w:val="000000"/>
        </w:rPr>
        <w:t xml:space="preserve">” </w:t>
      </w:r>
      <w:r w:rsidRPr="00010D03" w:rsidR="00253343">
        <w:rPr>
          <w:rFonts w:ascii="Palatino Linotype" w:hAnsi="Palatino Linotype"/>
          <w:i/>
          <w:iCs/>
          <w:color w:val="000000"/>
        </w:rPr>
        <w:t>(Sic)</w:t>
      </w:r>
    </w:p>
    <w:p w:rsidR="00925107" w:rsidP="00253343" w:rsidRDefault="00925107" w14:paraId="08A58D03" w14:textId="77777777">
      <w:pPr>
        <w:spacing w:line="360" w:lineRule="auto"/>
        <w:contextualSpacing/>
        <w:jc w:val="both"/>
        <w:rPr>
          <w:rFonts w:ascii="Palatino Linotype" w:hAnsi="Palatino Linotype" w:cs="Tahoma"/>
          <w:b/>
          <w:sz w:val="22"/>
          <w:szCs w:val="22"/>
        </w:rPr>
      </w:pPr>
    </w:p>
    <w:p w:rsidRPr="00455466" w:rsidR="00253343" w:rsidP="00253343" w:rsidRDefault="00253343" w14:paraId="73933FFD" w14:textId="0BE5C43A">
      <w:pPr>
        <w:spacing w:line="360" w:lineRule="auto"/>
        <w:contextualSpacing/>
        <w:jc w:val="both"/>
        <w:rPr>
          <w:rFonts w:ascii="Palatino Linotype" w:hAnsi="Palatino Linotype" w:eastAsia="Batang" w:cs="Tahoma"/>
          <w:b/>
          <w:bCs/>
          <w:sz w:val="22"/>
          <w:szCs w:val="22"/>
        </w:rPr>
      </w:pPr>
      <w:r w:rsidRPr="00455466">
        <w:rPr>
          <w:rFonts w:ascii="Palatino Linotype" w:hAnsi="Palatino Linotype" w:cs="Tahoma"/>
          <w:b/>
          <w:sz w:val="22"/>
          <w:szCs w:val="22"/>
        </w:rPr>
        <w:t xml:space="preserve">IV. </w:t>
      </w:r>
      <w:r w:rsidRPr="00455466">
        <w:rPr>
          <w:rFonts w:ascii="Palatino Linotype" w:hAnsi="Palatino Linotype" w:eastAsia="Batang" w:cs="Tahoma"/>
          <w:b/>
          <w:bCs/>
          <w:sz w:val="22"/>
          <w:szCs w:val="22"/>
        </w:rPr>
        <w:t xml:space="preserve">Trámite del </w:t>
      </w:r>
      <w:r w:rsidRPr="00455466">
        <w:rPr>
          <w:rFonts w:ascii="Palatino Linotype" w:hAnsi="Palatino Linotype" w:cs="Tahoma"/>
          <w:b/>
          <w:sz w:val="22"/>
          <w:szCs w:val="22"/>
        </w:rPr>
        <w:t xml:space="preserve">Recurso de Revisión </w:t>
      </w:r>
      <w:r w:rsidRPr="00455466">
        <w:rPr>
          <w:rFonts w:ascii="Palatino Linotype" w:hAnsi="Palatino Linotype" w:eastAsia="Batang" w:cs="Tahoma"/>
          <w:b/>
          <w:bCs/>
          <w:sz w:val="22"/>
          <w:szCs w:val="22"/>
        </w:rPr>
        <w:t>ante el Instituto.</w:t>
      </w:r>
    </w:p>
    <w:p w:rsidRPr="00455466" w:rsidR="00253343" w:rsidP="00253343" w:rsidRDefault="00253343" w14:paraId="730ABDAD" w14:textId="77777777">
      <w:pPr>
        <w:spacing w:line="360" w:lineRule="auto"/>
        <w:contextualSpacing/>
        <w:jc w:val="both"/>
        <w:rPr>
          <w:rFonts w:ascii="Palatino Linotype" w:hAnsi="Palatino Linotype" w:eastAsia="Batang" w:cs="Tahoma"/>
          <w:b/>
          <w:bCs/>
          <w:sz w:val="22"/>
          <w:szCs w:val="22"/>
        </w:rPr>
      </w:pPr>
    </w:p>
    <w:p w:rsidR="00253343" w:rsidP="00253343" w:rsidRDefault="00253343" w14:paraId="7E1B7DEB" w14:textId="09EB1796">
      <w:pPr>
        <w:spacing w:line="360" w:lineRule="auto"/>
        <w:jc w:val="both"/>
        <w:rPr>
          <w:rFonts w:ascii="Palatino Linotype" w:hAnsi="Palatino Linotype" w:eastAsia="Batang" w:cs="Tahoma"/>
          <w:sz w:val="22"/>
          <w:szCs w:val="22"/>
        </w:rPr>
      </w:pPr>
      <w:r w:rsidRPr="00455466">
        <w:rPr>
          <w:rFonts w:ascii="Palatino Linotype" w:hAnsi="Palatino Linotype" w:eastAsia="Batang" w:cs="Tahoma"/>
          <w:b/>
          <w:bCs/>
          <w:sz w:val="22"/>
          <w:szCs w:val="22"/>
        </w:rPr>
        <w:t>a) Turno de</w:t>
      </w:r>
      <w:r>
        <w:rPr>
          <w:rFonts w:ascii="Palatino Linotype" w:hAnsi="Palatino Linotype" w:eastAsia="Batang" w:cs="Tahoma"/>
          <w:b/>
          <w:bCs/>
          <w:sz w:val="22"/>
          <w:szCs w:val="22"/>
        </w:rPr>
        <w:t xml:space="preserve"> </w:t>
      </w:r>
      <w:r w:rsidRPr="00455466">
        <w:rPr>
          <w:rFonts w:ascii="Palatino Linotype" w:hAnsi="Palatino Linotype" w:eastAsia="Batang" w:cs="Tahoma"/>
          <w:b/>
          <w:bCs/>
          <w:sz w:val="22"/>
          <w:szCs w:val="22"/>
        </w:rPr>
        <w:t>l</w:t>
      </w:r>
      <w:r>
        <w:rPr>
          <w:rFonts w:ascii="Palatino Linotype" w:hAnsi="Palatino Linotype" w:eastAsia="Batang" w:cs="Tahoma"/>
          <w:b/>
          <w:bCs/>
          <w:sz w:val="22"/>
          <w:szCs w:val="22"/>
        </w:rPr>
        <w:t>os</w:t>
      </w:r>
      <w:r w:rsidRPr="00455466">
        <w:rPr>
          <w:rFonts w:ascii="Palatino Linotype" w:hAnsi="Palatino Linotype" w:eastAsia="Batang" w:cs="Tahoma"/>
          <w:b/>
          <w:bCs/>
          <w:sz w:val="22"/>
          <w:szCs w:val="22"/>
        </w:rPr>
        <w:t xml:space="preserve"> </w:t>
      </w:r>
      <w:r w:rsidRPr="00455466">
        <w:rPr>
          <w:rFonts w:ascii="Palatino Linotype" w:hAnsi="Palatino Linotype" w:cs="Tahoma"/>
          <w:b/>
          <w:sz w:val="22"/>
          <w:szCs w:val="22"/>
        </w:rPr>
        <w:t>Recurso</w:t>
      </w:r>
      <w:r>
        <w:rPr>
          <w:rFonts w:ascii="Palatino Linotype" w:hAnsi="Palatino Linotype" w:cs="Tahoma"/>
          <w:b/>
          <w:sz w:val="22"/>
          <w:szCs w:val="22"/>
        </w:rPr>
        <w:t>s</w:t>
      </w:r>
      <w:r w:rsidRPr="00455466">
        <w:rPr>
          <w:rFonts w:ascii="Palatino Linotype" w:hAnsi="Palatino Linotype" w:cs="Tahoma"/>
          <w:b/>
          <w:sz w:val="22"/>
          <w:szCs w:val="22"/>
        </w:rPr>
        <w:t xml:space="preserve"> de Revisión</w:t>
      </w:r>
      <w:r w:rsidRPr="00455466">
        <w:rPr>
          <w:rFonts w:ascii="Palatino Linotype" w:hAnsi="Palatino Linotype" w:eastAsia="Batang" w:cs="Tahoma"/>
          <w:b/>
          <w:bCs/>
          <w:sz w:val="22"/>
          <w:szCs w:val="22"/>
        </w:rPr>
        <w:t xml:space="preserve">. </w:t>
      </w:r>
      <w:r w:rsidRPr="00455466">
        <w:rPr>
          <w:rFonts w:ascii="Palatino Linotype" w:hAnsi="Palatino Linotype" w:eastAsia="Batang" w:cs="Tahoma"/>
          <w:bCs/>
          <w:sz w:val="22"/>
          <w:szCs w:val="22"/>
        </w:rPr>
        <w:t xml:space="preserve">El </w:t>
      </w:r>
      <w:r w:rsidR="001962FA">
        <w:rPr>
          <w:rFonts w:ascii="Palatino Linotype" w:hAnsi="Palatino Linotype" w:eastAsia="Batang" w:cs="Tahoma"/>
          <w:bCs/>
          <w:sz w:val="22"/>
          <w:szCs w:val="22"/>
        </w:rPr>
        <w:t xml:space="preserve">diez </w:t>
      </w:r>
      <w:r>
        <w:rPr>
          <w:rFonts w:ascii="Palatino Linotype" w:hAnsi="Palatino Linotype" w:eastAsia="Batang" w:cs="Tahoma"/>
          <w:bCs/>
          <w:sz w:val="22"/>
          <w:szCs w:val="22"/>
        </w:rPr>
        <w:t>de junio</w:t>
      </w:r>
      <w:r w:rsidRPr="00455466">
        <w:rPr>
          <w:rFonts w:ascii="Palatino Linotype" w:hAnsi="Palatino Linotype" w:eastAsia="Batang" w:cs="Tahoma"/>
          <w:bCs/>
          <w:sz w:val="22"/>
          <w:szCs w:val="22"/>
        </w:rPr>
        <w:t xml:space="preserve"> </w:t>
      </w:r>
      <w:r>
        <w:rPr>
          <w:rFonts w:ascii="Palatino Linotype" w:hAnsi="Palatino Linotype" w:eastAsia="Batang" w:cs="Tahoma"/>
          <w:bCs/>
          <w:sz w:val="22"/>
          <w:szCs w:val="22"/>
        </w:rPr>
        <w:t xml:space="preserve">de dos mil veintidós, </w:t>
      </w:r>
      <w:r w:rsidRPr="00C938B6">
        <w:rPr>
          <w:rFonts w:ascii="Palatino Linotype" w:hAnsi="Palatino Linotype" w:eastAsia="Batang" w:cs="Tahoma"/>
          <w:sz w:val="22"/>
          <w:szCs w:val="22"/>
        </w:rPr>
        <w:t xml:space="preserve">el </w:t>
      </w:r>
      <w:r w:rsidRPr="00C938B6">
        <w:rPr>
          <w:rFonts w:ascii="Palatino Linotype" w:hAnsi="Palatino Linotype" w:eastAsia="Batang" w:cs="Tahoma"/>
          <w:sz w:val="22"/>
          <w:szCs w:val="22"/>
          <w:lang w:val="es-ES"/>
        </w:rPr>
        <w:t>Sistema de Acceso a la Información Mexiquense (SAIMEX),</w:t>
      </w:r>
      <w:r>
        <w:rPr>
          <w:rFonts w:ascii="Palatino Linotype" w:hAnsi="Palatino Linotype" w:eastAsia="Batang" w:cs="Tahoma"/>
          <w:sz w:val="22"/>
          <w:szCs w:val="22"/>
        </w:rPr>
        <w:t xml:space="preserve"> asignó el</w:t>
      </w:r>
      <w:r w:rsidRPr="00C938B6">
        <w:rPr>
          <w:rFonts w:ascii="Palatino Linotype" w:hAnsi="Palatino Linotype" w:eastAsia="Batang" w:cs="Tahoma"/>
          <w:sz w:val="22"/>
          <w:szCs w:val="22"/>
        </w:rPr>
        <w:t xml:space="preserve"> número de expediente </w:t>
      </w:r>
      <w:r>
        <w:rPr>
          <w:rFonts w:ascii="Palatino Linotype" w:hAnsi="Palatino Linotype" w:eastAsia="Calibri" w:cs="Tahoma"/>
          <w:sz w:val="22"/>
          <w:szCs w:val="22"/>
          <w:lang w:eastAsia="en-US"/>
        </w:rPr>
        <w:t>01123</w:t>
      </w:r>
      <w:r w:rsidR="001962FA">
        <w:rPr>
          <w:rFonts w:ascii="Palatino Linotype" w:hAnsi="Palatino Linotype" w:eastAsia="Calibri" w:cs="Tahoma"/>
          <w:sz w:val="22"/>
          <w:szCs w:val="22"/>
          <w:lang w:eastAsia="en-US"/>
        </w:rPr>
        <w:t>6</w:t>
      </w:r>
      <w:r w:rsidRPr="00E53C3D">
        <w:rPr>
          <w:rFonts w:ascii="Palatino Linotype" w:hAnsi="Palatino Linotype" w:eastAsia="Calibri" w:cs="Tahoma"/>
          <w:sz w:val="22"/>
          <w:szCs w:val="22"/>
          <w:lang w:eastAsia="en-US"/>
        </w:rPr>
        <w:t>/INFOEM/IP/RR/2022</w:t>
      </w:r>
      <w:r w:rsidRPr="00C938B6">
        <w:rPr>
          <w:rFonts w:ascii="Palatino Linotype" w:hAnsi="Palatino Linotype" w:eastAsia="Batang" w:cs="Tahoma"/>
          <w:sz w:val="22"/>
          <w:szCs w:val="22"/>
        </w:rPr>
        <w:t xml:space="preserve">, al medio de impugnación que nos ocupa, con base en el sistema aprobado por el Pleno de este Órgano Garante </w:t>
      </w:r>
      <w:r>
        <w:rPr>
          <w:rFonts w:ascii="Palatino Linotype" w:hAnsi="Palatino Linotype" w:eastAsia="Batang" w:cs="Tahoma"/>
          <w:sz w:val="22"/>
          <w:szCs w:val="22"/>
        </w:rPr>
        <w:t xml:space="preserve">y lo turnó al </w:t>
      </w:r>
      <w:r>
        <w:rPr>
          <w:rFonts w:ascii="Palatino Linotype" w:hAnsi="Palatino Linotype" w:eastAsia="Batang" w:cs="Tahoma"/>
          <w:b/>
          <w:bCs/>
          <w:sz w:val="22"/>
          <w:szCs w:val="22"/>
        </w:rPr>
        <w:t>Comisionados</w:t>
      </w:r>
      <w:r>
        <w:rPr>
          <w:rStyle w:val="normaltextrun"/>
          <w:rFonts w:ascii="Palatino Linotype" w:hAnsi="Palatino Linotype"/>
          <w:color w:val="000000"/>
          <w:shd w:val="clear" w:color="auto" w:fill="FFFFFF"/>
        </w:rPr>
        <w:t xml:space="preserve"> </w:t>
      </w:r>
      <w:r>
        <w:rPr>
          <w:rFonts w:ascii="Palatino Linotype" w:hAnsi="Palatino Linotype" w:eastAsia="Batang" w:cs="Tahoma"/>
          <w:b/>
          <w:bCs/>
          <w:sz w:val="22"/>
          <w:szCs w:val="22"/>
        </w:rPr>
        <w:t>Luis Gustavo Parra Noriega</w:t>
      </w:r>
      <w:r>
        <w:rPr>
          <w:rFonts w:ascii="Palatino Linotype" w:hAnsi="Palatino Linotype" w:eastAsia="Batang" w:cs="Tahoma"/>
          <w:b/>
          <w:sz w:val="22"/>
          <w:szCs w:val="22"/>
        </w:rPr>
        <w:t xml:space="preserve"> </w:t>
      </w:r>
      <w:r w:rsidRPr="00C938B6">
        <w:rPr>
          <w:rFonts w:ascii="Palatino Linotype" w:hAnsi="Palatino Linotype" w:eastAsia="Batang" w:cs="Tahoma"/>
          <w:sz w:val="22"/>
          <w:szCs w:val="22"/>
        </w:rPr>
        <w:t>para los efectos del artículo 185, fracción I de la Ley de Transparencia y Acceso a la Información Pública del Estado de México y Municipios.</w:t>
      </w:r>
    </w:p>
    <w:p w:rsidRPr="00455466" w:rsidR="00925107" w:rsidP="00253343" w:rsidRDefault="00925107" w14:paraId="59B18FC8" w14:textId="77777777">
      <w:pPr>
        <w:spacing w:line="360" w:lineRule="auto"/>
        <w:jc w:val="both"/>
        <w:rPr>
          <w:rFonts w:ascii="Palatino Linotype" w:hAnsi="Palatino Linotype" w:eastAsia="Batang" w:cs="Tahoma"/>
          <w:bCs/>
          <w:sz w:val="22"/>
          <w:szCs w:val="22"/>
        </w:rPr>
      </w:pPr>
    </w:p>
    <w:p w:rsidRPr="00455466" w:rsidR="00253343" w:rsidP="00253343" w:rsidRDefault="00253343" w14:paraId="3769A53C" w14:textId="18B88EF3">
      <w:pPr>
        <w:spacing w:line="360" w:lineRule="auto"/>
        <w:jc w:val="both"/>
        <w:rPr>
          <w:rFonts w:ascii="Palatino Linotype" w:hAnsi="Palatino Linotype" w:eastAsia="Batang" w:cs="Tahoma"/>
          <w:b/>
          <w:bCs/>
          <w:sz w:val="22"/>
          <w:szCs w:val="22"/>
          <w:lang w:val="es-ES_tradnl"/>
        </w:rPr>
      </w:pPr>
      <w:r w:rsidRPr="00455466">
        <w:rPr>
          <w:rFonts w:ascii="Palatino Linotype" w:hAnsi="Palatino Linotype" w:eastAsia="Batang" w:cs="Tahoma"/>
          <w:b/>
          <w:bCs/>
          <w:sz w:val="22"/>
          <w:szCs w:val="22"/>
        </w:rPr>
        <w:t xml:space="preserve">b) Admisión del </w:t>
      </w:r>
      <w:r w:rsidRPr="00455466">
        <w:rPr>
          <w:rFonts w:ascii="Palatino Linotype" w:hAnsi="Palatino Linotype" w:cs="Tahoma"/>
          <w:b/>
          <w:sz w:val="22"/>
          <w:szCs w:val="22"/>
        </w:rPr>
        <w:t>Recurso de Revisión</w:t>
      </w:r>
      <w:r w:rsidRPr="00455466">
        <w:rPr>
          <w:rFonts w:ascii="Palatino Linotype" w:hAnsi="Palatino Linotype" w:eastAsia="Batang" w:cs="Tahoma"/>
          <w:b/>
          <w:bCs/>
          <w:sz w:val="22"/>
          <w:szCs w:val="22"/>
          <w:lang w:val="es-ES_tradnl"/>
        </w:rPr>
        <w:t xml:space="preserve">. </w:t>
      </w:r>
      <w:r w:rsidRPr="00455466">
        <w:rPr>
          <w:rFonts w:ascii="Palatino Linotype" w:hAnsi="Palatino Linotype" w:eastAsia="Batang" w:cs="Tahoma"/>
          <w:bCs/>
          <w:sz w:val="22"/>
          <w:szCs w:val="22"/>
          <w:lang w:val="es-ES_tradnl"/>
        </w:rPr>
        <w:t>El</w:t>
      </w:r>
      <w:r w:rsidR="00FD25F8">
        <w:rPr>
          <w:rFonts w:ascii="Palatino Linotype" w:hAnsi="Palatino Linotype" w:eastAsia="Batang" w:cs="Tahoma"/>
          <w:bCs/>
          <w:sz w:val="22"/>
          <w:szCs w:val="22"/>
          <w:lang w:val="es-ES_tradnl"/>
        </w:rPr>
        <w:t xml:space="preserve"> quince</w:t>
      </w:r>
      <w:r>
        <w:rPr>
          <w:rFonts w:ascii="Palatino Linotype" w:hAnsi="Palatino Linotype" w:eastAsia="Batang" w:cs="Tahoma"/>
          <w:bCs/>
          <w:sz w:val="22"/>
          <w:szCs w:val="22"/>
          <w:lang w:val="es-ES_tradnl"/>
        </w:rPr>
        <w:t xml:space="preserve"> de junio</w:t>
      </w:r>
      <w:r w:rsidRPr="00455466">
        <w:rPr>
          <w:rFonts w:ascii="Palatino Linotype" w:hAnsi="Palatino Linotype" w:eastAsia="Batang" w:cs="Tahoma"/>
          <w:bCs/>
          <w:sz w:val="22"/>
          <w:szCs w:val="22"/>
          <w:lang w:val="es-ES_tradnl"/>
        </w:rPr>
        <w:t xml:space="preserve"> de dos mil veintidós, se acordó la</w:t>
      </w:r>
      <w:r>
        <w:rPr>
          <w:rFonts w:ascii="Palatino Linotype" w:hAnsi="Palatino Linotype" w:eastAsia="Batang" w:cs="Tahoma"/>
          <w:bCs/>
          <w:sz w:val="22"/>
          <w:szCs w:val="22"/>
          <w:lang w:val="es-ES_tradnl"/>
        </w:rPr>
        <w:t xml:space="preserve"> admisión</w:t>
      </w:r>
      <w:r w:rsidRPr="00455466">
        <w:rPr>
          <w:rFonts w:ascii="Palatino Linotype" w:hAnsi="Palatino Linotype" w:eastAsia="Batang" w:cs="Tahoma"/>
          <w:bCs/>
          <w:sz w:val="22"/>
          <w:szCs w:val="22"/>
          <w:lang w:val="es-ES_tradnl"/>
        </w:rPr>
        <w:t xml:space="preserve"> del Recurso de Revisión interpuesto</w:t>
      </w:r>
      <w:r>
        <w:rPr>
          <w:rFonts w:ascii="Palatino Linotype" w:hAnsi="Palatino Linotype" w:eastAsia="Batang" w:cs="Tahoma"/>
          <w:bCs/>
          <w:sz w:val="22"/>
          <w:szCs w:val="22"/>
          <w:lang w:val="es-ES_tradnl"/>
        </w:rPr>
        <w:t xml:space="preserve"> por El</w:t>
      </w:r>
      <w:r w:rsidRPr="00455466">
        <w:rPr>
          <w:rFonts w:ascii="Palatino Linotype" w:hAnsi="Palatino Linotype" w:eastAsia="Batang" w:cs="Tahoma"/>
          <w:bCs/>
          <w:sz w:val="22"/>
          <w:szCs w:val="22"/>
          <w:lang w:val="es-ES_tradnl"/>
        </w:rPr>
        <w:t xml:space="preserve"> Recurrente en contra del Sujeto Obligado, en términos del artículo 185, fracciones I, II y IV de la Ley de Transparencia y Acceso a la Información Pública del Estado de Mé</w:t>
      </w:r>
      <w:r>
        <w:rPr>
          <w:rFonts w:ascii="Palatino Linotype" w:hAnsi="Palatino Linotype" w:eastAsia="Batang" w:cs="Tahoma"/>
          <w:bCs/>
          <w:sz w:val="22"/>
          <w:szCs w:val="22"/>
          <w:lang w:val="es-ES_tradnl"/>
        </w:rPr>
        <w:t xml:space="preserve">xico y Municipios, el cual fue debidamente notificado a las partes, </w:t>
      </w:r>
      <w:r w:rsidRPr="00C938B6">
        <w:rPr>
          <w:rFonts w:ascii="Palatino Linotype" w:hAnsi="Palatino Linotype" w:eastAsia="Batang" w:cs="Tahoma"/>
          <w:sz w:val="22"/>
          <w:szCs w:val="22"/>
          <w:lang w:val="es-ES_tradnl"/>
        </w:rPr>
        <w:t>a través del Sistema de Acceso a la Información Mexiquense (SAIMEX), en el que se les otorgó un plazo de siete días hábiles posteriores a la misma, para que manifestaran lo que a su derecho conviniera y formularan alegatos.</w:t>
      </w:r>
    </w:p>
    <w:p w:rsidRPr="00455466" w:rsidR="00253343" w:rsidP="00253343" w:rsidRDefault="00253343" w14:paraId="6AF4BA66" w14:textId="77777777">
      <w:pPr>
        <w:spacing w:line="360" w:lineRule="auto"/>
        <w:jc w:val="both"/>
        <w:rPr>
          <w:rFonts w:ascii="Palatino Linotype" w:hAnsi="Palatino Linotype" w:eastAsia="Batang" w:cs="Tahoma"/>
          <w:b/>
          <w:bCs/>
          <w:sz w:val="22"/>
          <w:szCs w:val="22"/>
          <w:lang w:val="es-ES_tradnl"/>
        </w:rPr>
      </w:pPr>
    </w:p>
    <w:p w:rsidRPr="00925107" w:rsidR="00253343" w:rsidP="00925107" w:rsidRDefault="00253343" w14:paraId="499FBF75" w14:textId="5260433B">
      <w:pPr>
        <w:spacing w:line="360" w:lineRule="auto"/>
        <w:jc w:val="both"/>
        <w:rPr>
          <w:rFonts w:cs="Tahoma"/>
          <w:bCs/>
          <w:iCs/>
          <w:lang w:val="es-ES"/>
        </w:rPr>
      </w:pPr>
      <w:r w:rsidRPr="00982D25">
        <w:rPr>
          <w:rFonts w:ascii="Palatino Linotype" w:hAnsi="Palatino Linotype"/>
          <w:b/>
          <w:bCs/>
          <w:sz w:val="22"/>
          <w:szCs w:val="22"/>
        </w:rPr>
        <w:t>c</w:t>
      </w:r>
      <w:r w:rsidRPr="00982D25">
        <w:rPr>
          <w:rFonts w:ascii="Palatino Linotype" w:hAnsi="Palatino Linotype" w:eastAsia="Batang" w:cs="Tahoma"/>
          <w:b/>
          <w:bCs/>
          <w:sz w:val="22"/>
          <w:szCs w:val="22"/>
        </w:rPr>
        <w:t xml:space="preserve">) </w:t>
      </w:r>
      <w:r w:rsidRPr="00FD25F8">
        <w:rPr>
          <w:rFonts w:ascii="Palatino Linotype" w:hAnsi="Palatino Linotype" w:eastAsia="Batang" w:cs="Tahoma"/>
          <w:b/>
          <w:bCs/>
          <w:sz w:val="22"/>
          <w:szCs w:val="22"/>
        </w:rPr>
        <w:t xml:space="preserve">Informe Justificado o Manifestaciones. </w:t>
      </w:r>
      <w:r w:rsidRPr="00FD25F8" w:rsidR="00FD25F8">
        <w:rPr>
          <w:rFonts w:ascii="Palatino Linotype" w:hAnsi="Palatino Linotype" w:cs="Tahoma"/>
          <w:bCs/>
          <w:iCs/>
          <w:sz w:val="22"/>
          <w:szCs w:val="22"/>
          <w:lang w:val="es-ES"/>
        </w:rPr>
        <w:t>El vein</w:t>
      </w:r>
      <w:r w:rsidR="00FD25F8">
        <w:rPr>
          <w:rFonts w:ascii="Palatino Linotype" w:hAnsi="Palatino Linotype" w:cs="Tahoma"/>
          <w:bCs/>
          <w:iCs/>
          <w:sz w:val="22"/>
          <w:szCs w:val="22"/>
          <w:lang w:val="es-ES"/>
        </w:rPr>
        <w:t xml:space="preserve">tisiete de julio </w:t>
      </w:r>
      <w:r w:rsidRPr="00FD25F8" w:rsidR="00FD25F8">
        <w:rPr>
          <w:rFonts w:ascii="Palatino Linotype" w:hAnsi="Palatino Linotype" w:cs="Tahoma"/>
          <w:bCs/>
          <w:iCs/>
          <w:sz w:val="22"/>
          <w:szCs w:val="22"/>
          <w:lang w:val="es-ES"/>
        </w:rPr>
        <w:t>de dos mil veintidós, se recibió en este instituto, a través del Sistema de Acceso a la Información Mexiquense (SAIMEX),</w:t>
      </w:r>
      <w:r w:rsidR="00DB111D">
        <w:rPr>
          <w:rFonts w:ascii="Palatino Linotype" w:hAnsi="Palatino Linotype" w:cs="Tahoma"/>
          <w:bCs/>
          <w:iCs/>
          <w:sz w:val="22"/>
          <w:szCs w:val="22"/>
          <w:lang w:val="es-ES"/>
        </w:rPr>
        <w:t xml:space="preserve"> </w:t>
      </w:r>
      <w:r w:rsidRPr="00FD25F8" w:rsidR="00FD25F8">
        <w:rPr>
          <w:rFonts w:ascii="Palatino Linotype" w:hAnsi="Palatino Linotype" w:cs="Tahoma"/>
          <w:bCs/>
          <w:iCs/>
          <w:sz w:val="22"/>
          <w:szCs w:val="22"/>
          <w:lang w:val="es-ES"/>
        </w:rPr>
        <w:t>po</w:t>
      </w:r>
      <w:r w:rsidR="00FD25F8">
        <w:rPr>
          <w:rFonts w:ascii="Palatino Linotype" w:hAnsi="Palatino Linotype" w:cs="Tahoma"/>
          <w:bCs/>
          <w:iCs/>
          <w:sz w:val="22"/>
          <w:szCs w:val="22"/>
          <w:lang w:val="es-ES"/>
        </w:rPr>
        <w:t>r</w:t>
      </w:r>
      <w:r w:rsidRPr="00FD25F8" w:rsidR="00FD25F8">
        <w:rPr>
          <w:rFonts w:ascii="Palatino Linotype" w:hAnsi="Palatino Linotype" w:cs="Tahoma"/>
          <w:bCs/>
          <w:iCs/>
          <w:sz w:val="22"/>
          <w:szCs w:val="22"/>
          <w:lang w:val="es-ES"/>
        </w:rPr>
        <w:t xml:space="preserve"> parte del Sujeto Obligado, </w:t>
      </w:r>
      <w:r w:rsidR="00DB111D">
        <w:rPr>
          <w:rFonts w:ascii="Palatino Linotype" w:hAnsi="Palatino Linotype" w:cs="Tahoma"/>
          <w:bCs/>
          <w:iCs/>
          <w:sz w:val="22"/>
          <w:szCs w:val="22"/>
          <w:lang w:val="es-ES"/>
        </w:rPr>
        <w:t xml:space="preserve">un documento </w:t>
      </w:r>
      <w:r w:rsidR="00FD25F8">
        <w:rPr>
          <w:rFonts w:ascii="Palatino Linotype" w:hAnsi="Palatino Linotype" w:cs="Tahoma"/>
          <w:bCs/>
          <w:iCs/>
          <w:sz w:val="22"/>
          <w:szCs w:val="22"/>
          <w:lang w:val="es-ES"/>
        </w:rPr>
        <w:t xml:space="preserve">en el cual se observó el </w:t>
      </w:r>
      <w:r w:rsidR="00CA43E7">
        <w:rPr>
          <w:rFonts w:ascii="Palatino Linotype" w:hAnsi="Palatino Linotype" w:cs="Tahoma"/>
          <w:bCs/>
          <w:iCs/>
          <w:sz w:val="22"/>
          <w:szCs w:val="22"/>
          <w:lang w:val="es-ES"/>
        </w:rPr>
        <w:t xml:space="preserve">oficio </w:t>
      </w:r>
      <w:r w:rsidR="00CA43E7">
        <w:rPr>
          <w:rFonts w:ascii="Palatino Linotype" w:hAnsi="Palatino Linotype" w:eastAsia="Calibri" w:cs="Tahoma"/>
          <w:bCs/>
          <w:sz w:val="22"/>
          <w:szCs w:val="22"/>
          <w:lang w:val="es-ES" w:eastAsia="en-US"/>
        </w:rPr>
        <w:t>TM/1324/2022 de fecha seis de junio de dos mil veintidós, suscrito por el Tesorero Municipal</w:t>
      </w:r>
      <w:r w:rsidR="00CA43E7">
        <w:rPr>
          <w:rFonts w:ascii="Palatino Linotype" w:hAnsi="Palatino Linotype" w:cs="Tahoma"/>
          <w:bCs/>
          <w:iCs/>
          <w:sz w:val="22"/>
          <w:szCs w:val="22"/>
          <w:lang w:val="es-ES"/>
        </w:rPr>
        <w:t xml:space="preserve">, documento </w:t>
      </w:r>
      <w:r w:rsidR="00FD25F8">
        <w:rPr>
          <w:rFonts w:ascii="Palatino Linotype" w:hAnsi="Palatino Linotype" w:cs="Tahoma"/>
          <w:bCs/>
          <w:iCs/>
          <w:sz w:val="22"/>
          <w:szCs w:val="22"/>
          <w:lang w:val="es-ES"/>
        </w:rPr>
        <w:t>present</w:t>
      </w:r>
      <w:r w:rsidR="00CA43E7">
        <w:rPr>
          <w:rFonts w:ascii="Palatino Linotype" w:hAnsi="Palatino Linotype" w:cs="Tahoma"/>
          <w:bCs/>
          <w:iCs/>
          <w:sz w:val="22"/>
          <w:szCs w:val="22"/>
          <w:lang w:val="es-ES"/>
        </w:rPr>
        <w:t>ado</w:t>
      </w:r>
      <w:r w:rsidR="00FD25F8">
        <w:rPr>
          <w:rFonts w:ascii="Palatino Linotype" w:hAnsi="Palatino Linotype" w:cs="Tahoma"/>
          <w:bCs/>
          <w:iCs/>
          <w:sz w:val="22"/>
          <w:szCs w:val="22"/>
          <w:lang w:val="es-ES"/>
        </w:rPr>
        <w:t xml:space="preserve"> en su respuesta primigenia. </w:t>
      </w:r>
    </w:p>
    <w:p w:rsidR="00253343" w:rsidP="00253343" w:rsidRDefault="00253343" w14:paraId="1080D4A2" w14:textId="77777777">
      <w:pPr>
        <w:spacing w:line="360" w:lineRule="auto"/>
        <w:jc w:val="both"/>
        <w:rPr>
          <w:rFonts w:ascii="Palatino Linotype" w:hAnsi="Palatino Linotype" w:eastAsia="Calibri" w:cs="Tahoma"/>
          <w:b/>
          <w:sz w:val="22"/>
          <w:szCs w:val="22"/>
        </w:rPr>
      </w:pPr>
    </w:p>
    <w:p w:rsidR="00253343" w:rsidP="00253343" w:rsidRDefault="00253343" w14:paraId="3969F842" w14:textId="1B1664F9">
      <w:pPr>
        <w:spacing w:line="360" w:lineRule="auto"/>
        <w:jc w:val="both"/>
        <w:rPr>
          <w:rFonts w:ascii="Palatino Linotype" w:hAnsi="Palatino Linotype" w:cs="Tahoma"/>
          <w:sz w:val="22"/>
          <w:szCs w:val="22"/>
        </w:rPr>
      </w:pPr>
      <w:r>
        <w:rPr>
          <w:rFonts w:ascii="Palatino Linotype" w:hAnsi="Palatino Linotype" w:eastAsia="Calibri" w:cs="Tahoma"/>
          <w:b/>
          <w:bCs/>
          <w:sz w:val="22"/>
          <w:szCs w:val="22"/>
          <w:lang w:val="es-ES"/>
        </w:rPr>
        <w:t xml:space="preserve">d) </w:t>
      </w:r>
      <w:r w:rsidRPr="00455466">
        <w:rPr>
          <w:rFonts w:ascii="Palatino Linotype" w:hAnsi="Palatino Linotype" w:cs="Tahoma"/>
          <w:b/>
          <w:sz w:val="22"/>
          <w:szCs w:val="22"/>
        </w:rPr>
        <w:t>Cierre de instrucción.</w:t>
      </w:r>
      <w:r w:rsidRPr="00455466">
        <w:rPr>
          <w:rFonts w:ascii="Palatino Linotype" w:hAnsi="Palatino Linotype" w:cs="Tahoma"/>
          <w:sz w:val="22"/>
          <w:szCs w:val="22"/>
        </w:rPr>
        <w:t xml:space="preserve"> El </w:t>
      </w:r>
      <w:r w:rsidR="006F18D3">
        <w:rPr>
          <w:rFonts w:ascii="Palatino Linotype" w:hAnsi="Palatino Linotype" w:cs="Tahoma"/>
          <w:sz w:val="22"/>
          <w:szCs w:val="22"/>
        </w:rPr>
        <w:t xml:space="preserve">dieciséis </w:t>
      </w:r>
      <w:r>
        <w:rPr>
          <w:rFonts w:ascii="Palatino Linotype" w:hAnsi="Palatino Linotype" w:cs="Tahoma"/>
          <w:sz w:val="22"/>
          <w:szCs w:val="22"/>
        </w:rPr>
        <w:t>de agosto</w:t>
      </w:r>
      <w:r w:rsidRPr="00455466">
        <w:rPr>
          <w:rFonts w:ascii="Palatino Linotype" w:hAnsi="Palatino Linotype" w:cs="Tahoma"/>
          <w:sz w:val="22"/>
          <w:szCs w:val="22"/>
        </w:rPr>
        <w:t xml:space="preserve"> de dos mil veintidós</w:t>
      </w:r>
      <w:r w:rsidR="009F6F88">
        <w:rPr>
          <w:rFonts w:ascii="Palatino Linotype" w:hAnsi="Palatino Linotype" w:cs="Tahoma"/>
          <w:sz w:val="22"/>
          <w:szCs w:val="22"/>
        </w:rPr>
        <w:t xml:space="preserve"> y notificado al siguiente día</w:t>
      </w:r>
      <w:r w:rsidRPr="00455466">
        <w:rPr>
          <w:rFonts w:ascii="Palatino Linotype" w:hAnsi="Palatino Linotype" w:cs="Tahoma"/>
          <w:sz w:val="22"/>
          <w:szCs w:val="22"/>
        </w:rPr>
        <w:t>,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w:t>
      </w:r>
      <w:r>
        <w:rPr>
          <w:rFonts w:ascii="Palatino Linotype" w:hAnsi="Palatino Linotype" w:cs="Tahoma"/>
          <w:sz w:val="22"/>
          <w:szCs w:val="22"/>
        </w:rPr>
        <w:t>ficado a las partes el</w:t>
      </w:r>
      <w:r w:rsidR="00CA43E7">
        <w:rPr>
          <w:rFonts w:ascii="Palatino Linotype" w:hAnsi="Palatino Linotype" w:cs="Tahoma"/>
          <w:sz w:val="22"/>
          <w:szCs w:val="22"/>
        </w:rPr>
        <w:t xml:space="preserve"> </w:t>
      </w:r>
      <w:r w:rsidR="006F18D3">
        <w:rPr>
          <w:rFonts w:ascii="Palatino Linotype" w:hAnsi="Palatino Linotype" w:cs="Tahoma"/>
          <w:sz w:val="22"/>
          <w:szCs w:val="22"/>
        </w:rPr>
        <w:t>diecisiete de dicho mes y año</w:t>
      </w:r>
      <w:r w:rsidRPr="00455466">
        <w:rPr>
          <w:rFonts w:ascii="Palatino Linotype" w:hAnsi="Palatino Linotype" w:cs="Tahoma"/>
          <w:sz w:val="22"/>
          <w:szCs w:val="22"/>
        </w:rPr>
        <w:t xml:space="preserve">, a través del </w:t>
      </w:r>
      <w:r w:rsidRPr="00455466">
        <w:rPr>
          <w:rFonts w:ascii="Palatino Linotype" w:hAnsi="Palatino Linotype" w:cs="Tahoma"/>
          <w:sz w:val="22"/>
          <w:szCs w:val="22"/>
          <w:lang w:val="es-ES"/>
        </w:rPr>
        <w:t>Sistema de Acceso a la Información Mexiquense (SAIMEX)</w:t>
      </w:r>
      <w:r w:rsidRPr="00455466">
        <w:rPr>
          <w:rFonts w:ascii="Palatino Linotype" w:hAnsi="Palatino Linotype" w:cs="Tahoma"/>
          <w:sz w:val="22"/>
          <w:szCs w:val="22"/>
        </w:rPr>
        <w:t>.</w:t>
      </w:r>
    </w:p>
    <w:p w:rsidR="008F514A" w:rsidP="00253343" w:rsidRDefault="008F514A" w14:paraId="4277736E" w14:textId="7B940AE4">
      <w:pPr>
        <w:spacing w:line="360" w:lineRule="auto"/>
        <w:jc w:val="both"/>
        <w:rPr>
          <w:rFonts w:ascii="Palatino Linotype" w:hAnsi="Palatino Linotype" w:cs="Tahoma"/>
          <w:sz w:val="22"/>
          <w:szCs w:val="22"/>
        </w:rPr>
      </w:pPr>
    </w:p>
    <w:p w:rsidRPr="008F514A" w:rsidR="008F514A" w:rsidP="008F514A" w:rsidRDefault="008F514A" w14:paraId="121685A3" w14:textId="52195347">
      <w:pPr>
        <w:spacing w:line="360" w:lineRule="auto"/>
        <w:jc w:val="both"/>
        <w:rPr>
          <w:rFonts w:ascii="Palatino Linotype" w:hAnsi="Palatino Linotype" w:eastAsia="Calibri"/>
          <w:sz w:val="22"/>
          <w:szCs w:val="22"/>
        </w:rPr>
      </w:pPr>
      <w:r>
        <w:rPr>
          <w:rFonts w:ascii="Palatino Linotype" w:hAnsi="Palatino Linotype" w:eastAsia="Palatino Linotype" w:cs="Palatino Linotype"/>
          <w:b/>
          <w:bCs/>
          <w:sz w:val="22"/>
          <w:szCs w:val="22"/>
          <w:lang w:val="es-ES"/>
        </w:rPr>
        <w:t>e</w:t>
      </w:r>
      <w:r w:rsidRPr="008F514A">
        <w:rPr>
          <w:rFonts w:ascii="Palatino Linotype" w:hAnsi="Palatino Linotype" w:eastAsia="Palatino Linotype" w:cs="Palatino Linotype"/>
          <w:b/>
          <w:bCs/>
          <w:sz w:val="22"/>
          <w:szCs w:val="22"/>
          <w:lang w:val="es-ES"/>
        </w:rPr>
        <w:t xml:space="preserve">) Ampliación de plazo para resolver. </w:t>
      </w:r>
      <w:r w:rsidRPr="008F514A">
        <w:rPr>
          <w:rFonts w:ascii="Palatino Linotype" w:hAnsi="Palatino Linotype" w:eastAsia="Palatino Linotype" w:cs="Palatino Linotype"/>
          <w:sz w:val="22"/>
          <w:szCs w:val="22"/>
          <w:lang w:val="es-ES"/>
        </w:rPr>
        <w:t xml:space="preserve">El </w:t>
      </w:r>
      <w:r w:rsidR="009F6F88">
        <w:rPr>
          <w:rFonts w:ascii="Palatino Linotype" w:hAnsi="Palatino Linotype" w:eastAsia="Palatino Linotype" w:cs="Palatino Linotype"/>
          <w:sz w:val="22"/>
          <w:szCs w:val="22"/>
          <w:lang w:val="es-ES"/>
        </w:rPr>
        <w:t>dieciocho</w:t>
      </w:r>
      <w:r w:rsidRPr="008F514A">
        <w:rPr>
          <w:rFonts w:ascii="Palatino Linotype" w:hAnsi="Palatino Linotype" w:eastAsia="Palatino Linotype" w:cs="Palatino Linotype"/>
          <w:sz w:val="22"/>
          <w:szCs w:val="22"/>
          <w:lang w:val="es-ES"/>
        </w:rPr>
        <w:t xml:space="preserve"> de </w:t>
      </w:r>
      <w:r>
        <w:rPr>
          <w:rFonts w:ascii="Palatino Linotype" w:hAnsi="Palatino Linotype" w:eastAsia="Palatino Linotype" w:cs="Palatino Linotype"/>
          <w:sz w:val="22"/>
          <w:szCs w:val="22"/>
          <w:lang w:val="es-ES"/>
        </w:rPr>
        <w:t xml:space="preserve">agosto </w:t>
      </w:r>
      <w:r w:rsidRPr="008F514A">
        <w:rPr>
          <w:rFonts w:ascii="Palatino Linotype" w:hAnsi="Palatino Linotype" w:eastAsia="Palatino Linotype" w:cs="Palatino Linotype"/>
          <w:sz w:val="22"/>
          <w:szCs w:val="22"/>
          <w:lang w:val="es-ES"/>
        </w:rPr>
        <w:t>de dos mil veintidós, el Comisionado</w:t>
      </w:r>
      <w:r>
        <w:rPr>
          <w:rFonts w:ascii="Palatino Linotype" w:hAnsi="Palatino Linotype" w:eastAsia="Palatino Linotype" w:cs="Palatino Linotype"/>
          <w:sz w:val="22"/>
          <w:szCs w:val="22"/>
          <w:lang w:val="es-ES"/>
        </w:rPr>
        <w:t xml:space="preserve"> </w:t>
      </w:r>
      <w:r w:rsidRPr="008F514A">
        <w:rPr>
          <w:rFonts w:ascii="Palatino Linotype" w:hAnsi="Palatino Linotype" w:eastAsia="Palatino Linotype" w:cs="Palatino Linotype"/>
          <w:sz w:val="22"/>
          <w:szCs w:val="22"/>
          <w:lang w:val="es-ES"/>
        </w:rPr>
        <w:t>Ponente, con fundamento en lo dispuesto por el artículo 181, párrafo tercero, de la Ley de</w:t>
      </w:r>
      <w:r>
        <w:rPr>
          <w:rFonts w:ascii="Palatino Linotype" w:hAnsi="Palatino Linotype" w:eastAsia="Palatino Linotype" w:cs="Palatino Linotype"/>
          <w:sz w:val="22"/>
          <w:szCs w:val="22"/>
          <w:lang w:val="es-ES"/>
        </w:rPr>
        <w:t xml:space="preserve"> </w:t>
      </w:r>
      <w:r w:rsidRPr="008F514A">
        <w:rPr>
          <w:rFonts w:ascii="Palatino Linotype" w:hAnsi="Palatino Linotype" w:eastAsia="Palatino Linotype" w:cs="Palatino Linotype"/>
          <w:sz w:val="22"/>
          <w:szCs w:val="22"/>
          <w:lang w:val="es-ES"/>
        </w:rPr>
        <w:t>Transparencia y Acceso a la Información Pública del Estado de México y Municipios, acordó</w:t>
      </w:r>
      <w:r>
        <w:rPr>
          <w:rFonts w:ascii="Palatino Linotype" w:hAnsi="Palatino Linotype" w:eastAsia="Palatino Linotype" w:cs="Palatino Linotype"/>
          <w:sz w:val="22"/>
          <w:szCs w:val="22"/>
          <w:lang w:val="es-ES"/>
        </w:rPr>
        <w:t xml:space="preserve"> </w:t>
      </w:r>
      <w:r w:rsidRPr="008F514A">
        <w:rPr>
          <w:rFonts w:ascii="Palatino Linotype" w:hAnsi="Palatino Linotype" w:eastAsia="Palatino Linotype" w:cs="Palatino Linotype"/>
          <w:sz w:val="22"/>
          <w:szCs w:val="22"/>
          <w:lang w:val="es-ES"/>
        </w:rPr>
        <w:t>ampliar por un periodo de quince días hábiles, el plazo para resolver el Recurso de Revisión</w:t>
      </w:r>
      <w:r>
        <w:rPr>
          <w:rFonts w:ascii="Palatino Linotype" w:hAnsi="Palatino Linotype" w:eastAsia="Palatino Linotype" w:cs="Palatino Linotype"/>
          <w:sz w:val="22"/>
          <w:szCs w:val="22"/>
          <w:lang w:val="es-ES"/>
        </w:rPr>
        <w:t xml:space="preserve"> </w:t>
      </w:r>
      <w:r w:rsidRPr="008F514A">
        <w:rPr>
          <w:rFonts w:ascii="Palatino Linotype" w:hAnsi="Palatino Linotype" w:eastAsia="Palatino Linotype" w:cs="Palatino Linotype"/>
          <w:sz w:val="22"/>
          <w:szCs w:val="22"/>
          <w:lang w:val="es-ES"/>
        </w:rPr>
        <w:t>que nos ocupa; acto que fue notificado a las partes, mediante el Sistema de Acceso a la</w:t>
      </w:r>
      <w:r>
        <w:rPr>
          <w:rFonts w:ascii="Palatino Linotype" w:hAnsi="Palatino Linotype" w:eastAsia="Palatino Linotype" w:cs="Palatino Linotype"/>
          <w:sz w:val="22"/>
          <w:szCs w:val="22"/>
          <w:lang w:val="es-ES"/>
        </w:rPr>
        <w:t xml:space="preserve"> </w:t>
      </w:r>
      <w:r w:rsidRPr="008F514A">
        <w:rPr>
          <w:rFonts w:ascii="Palatino Linotype" w:hAnsi="Palatino Linotype" w:eastAsia="Palatino Linotype" w:cs="Palatino Linotype"/>
          <w:sz w:val="22"/>
          <w:szCs w:val="22"/>
          <w:lang w:val="es-ES"/>
        </w:rPr>
        <w:t>Información Mexiquense (SAIMEX).</w:t>
      </w:r>
    </w:p>
    <w:p w:rsidRPr="00455466" w:rsidR="00253343" w:rsidP="00253343" w:rsidRDefault="00253343" w14:paraId="3165D8AA" w14:textId="77777777">
      <w:pPr>
        <w:spacing w:line="360" w:lineRule="auto"/>
        <w:contextualSpacing/>
        <w:jc w:val="both"/>
        <w:rPr>
          <w:rFonts w:ascii="Palatino Linotype" w:hAnsi="Palatino Linotype" w:eastAsia="Batang" w:cs="Tahoma"/>
          <w:b/>
          <w:bCs/>
          <w:sz w:val="22"/>
          <w:szCs w:val="22"/>
        </w:rPr>
      </w:pPr>
    </w:p>
    <w:p w:rsidRPr="008F514A" w:rsidR="00925107" w:rsidP="008F514A" w:rsidRDefault="00253343" w14:paraId="56311621" w14:textId="537F5588">
      <w:pPr>
        <w:spacing w:line="360" w:lineRule="auto"/>
        <w:contextualSpacing/>
        <w:jc w:val="both"/>
        <w:rPr>
          <w:rFonts w:ascii="Palatino Linotype" w:hAnsi="Palatino Linotype" w:eastAsia="Calibri" w:cs="Tahoma"/>
          <w:b/>
          <w:bCs/>
          <w:sz w:val="22"/>
          <w:szCs w:val="22"/>
          <w:lang w:eastAsia="en-US"/>
        </w:rPr>
      </w:pPr>
      <w:r w:rsidRPr="00455466">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rsidR="008F514A" w:rsidP="007E0539" w:rsidRDefault="008F514A" w14:paraId="6318125D" w14:textId="77777777">
      <w:pPr>
        <w:spacing w:line="360" w:lineRule="auto"/>
        <w:jc w:val="center"/>
        <w:rPr>
          <w:rFonts w:ascii="Palatino Linotype" w:hAnsi="Palatino Linotype"/>
          <w:b/>
          <w:sz w:val="22"/>
          <w:szCs w:val="22"/>
        </w:rPr>
      </w:pPr>
    </w:p>
    <w:p w:rsidR="00925107" w:rsidP="007E0539" w:rsidRDefault="00253343" w14:paraId="6BAF979A" w14:textId="57012C94">
      <w:pPr>
        <w:spacing w:line="360" w:lineRule="auto"/>
        <w:jc w:val="center"/>
        <w:rPr>
          <w:rFonts w:ascii="Palatino Linotype" w:hAnsi="Palatino Linotype"/>
          <w:b/>
          <w:sz w:val="22"/>
          <w:szCs w:val="22"/>
        </w:rPr>
      </w:pPr>
      <w:r w:rsidRPr="00455466">
        <w:rPr>
          <w:rFonts w:ascii="Palatino Linotype" w:hAnsi="Palatino Linotype"/>
          <w:b/>
          <w:sz w:val="22"/>
          <w:szCs w:val="22"/>
        </w:rPr>
        <w:t>C O N S I D E R A N D O S</w:t>
      </w:r>
    </w:p>
    <w:p w:rsidRPr="00455466" w:rsidR="007E0539" w:rsidP="007E0539" w:rsidRDefault="007E0539" w14:paraId="2149D20F" w14:textId="77777777">
      <w:pPr>
        <w:spacing w:line="360" w:lineRule="auto"/>
        <w:jc w:val="center"/>
        <w:rPr>
          <w:rFonts w:ascii="Palatino Linotype" w:hAnsi="Palatino Linotype"/>
          <w:b/>
          <w:sz w:val="22"/>
          <w:szCs w:val="22"/>
        </w:rPr>
      </w:pPr>
    </w:p>
    <w:p w:rsidRPr="00455466" w:rsidR="00253343" w:rsidP="00253343" w:rsidRDefault="00253343" w14:paraId="05E451F1" w14:textId="77777777">
      <w:pPr>
        <w:autoSpaceDE w:val="0"/>
        <w:autoSpaceDN w:val="0"/>
        <w:adjustRightInd w:val="0"/>
        <w:spacing w:line="360" w:lineRule="auto"/>
        <w:jc w:val="both"/>
        <w:rPr>
          <w:rFonts w:ascii="Palatino Linotype" w:hAnsi="Palatino Linotype" w:cs="Tahoma"/>
          <w:b/>
          <w:sz w:val="22"/>
          <w:szCs w:val="24"/>
          <w:lang w:val="es-ES"/>
        </w:rPr>
      </w:pPr>
      <w:r w:rsidRPr="00455466">
        <w:rPr>
          <w:rFonts w:ascii="Palatino Linotype" w:hAnsi="Palatino Linotype" w:eastAsia="Calibri" w:cs="Tahoma"/>
          <w:b/>
          <w:color w:val="000000"/>
          <w:sz w:val="22"/>
          <w:szCs w:val="24"/>
          <w:lang w:val="es-ES" w:eastAsia="es-MX"/>
        </w:rPr>
        <w:t>PRIMERO</w:t>
      </w:r>
      <w:r w:rsidRPr="00455466">
        <w:rPr>
          <w:rFonts w:ascii="Palatino Linotype" w:hAnsi="Palatino Linotype" w:eastAsia="Calibri" w:cs="Tahoma"/>
          <w:color w:val="000000"/>
          <w:sz w:val="22"/>
          <w:szCs w:val="24"/>
          <w:lang w:val="es-ES" w:eastAsia="es-MX"/>
        </w:rPr>
        <w:t xml:space="preserve">. </w:t>
      </w:r>
      <w:r w:rsidRPr="00455466">
        <w:rPr>
          <w:rFonts w:ascii="Palatino Linotype" w:hAnsi="Palatino Linotype" w:cs="Tahoma"/>
          <w:b/>
          <w:sz w:val="22"/>
          <w:szCs w:val="24"/>
          <w:lang w:val="es-ES"/>
        </w:rPr>
        <w:t>Competencia.</w:t>
      </w:r>
    </w:p>
    <w:p w:rsidRPr="00455466" w:rsidR="00253343" w:rsidP="00253343" w:rsidRDefault="00253343" w14:paraId="23283F87" w14:textId="77777777">
      <w:pPr>
        <w:autoSpaceDE w:val="0"/>
        <w:autoSpaceDN w:val="0"/>
        <w:adjustRightInd w:val="0"/>
        <w:spacing w:line="360" w:lineRule="auto"/>
        <w:jc w:val="both"/>
        <w:rPr>
          <w:rFonts w:ascii="Palatino Linotype" w:hAnsi="Palatino Linotype" w:cs="Tahoma"/>
          <w:sz w:val="22"/>
          <w:szCs w:val="24"/>
          <w:lang w:val="es-ES"/>
        </w:rPr>
      </w:pPr>
    </w:p>
    <w:p w:rsidRPr="00CB1499" w:rsidR="00253343" w:rsidP="00253343" w:rsidRDefault="00253343" w14:paraId="5A19E1A1" w14:textId="77777777">
      <w:pPr>
        <w:spacing w:line="360" w:lineRule="auto"/>
        <w:contextualSpacing/>
        <w:jc w:val="both"/>
        <w:rPr>
          <w:rFonts w:ascii="Palatino Linotype" w:hAnsi="Palatino Linotype" w:cs="Tahoma"/>
          <w:color w:val="000000"/>
          <w:sz w:val="22"/>
          <w:szCs w:val="22"/>
        </w:rPr>
      </w:pPr>
      <w:r w:rsidRPr="00CB1499">
        <w:rPr>
          <w:rFonts w:ascii="Palatino Linotype" w:hAnsi="Palatino Linotype" w:cs="Tahoma"/>
          <w:color w:val="000000"/>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w:t>
      </w:r>
      <w:r w:rsidRPr="00CB1499">
        <w:rPr>
          <w:rFonts w:ascii="Palatino Linotype" w:hAnsi="Palatino Linotype" w:cs="Tahoma"/>
          <w:color w:val="000000"/>
          <w:sz w:val="22"/>
          <w:szCs w:val="22"/>
        </w:rPr>
        <w:lastRenderedPageBreak/>
        <w:t>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CB1499">
        <w:rPr>
          <w:color w:val="000000"/>
          <w:szCs w:val="22"/>
        </w:rPr>
        <w:t xml:space="preserve"> 7°, </w:t>
      </w:r>
      <w:r w:rsidRPr="00CB1499">
        <w:rPr>
          <w:rFonts w:ascii="Palatino Linotype" w:hAnsi="Palatino Linotype" w:cs="Tahoma"/>
          <w:color w:val="000000"/>
          <w:sz w:val="22"/>
          <w:szCs w:val="22"/>
        </w:rPr>
        <w:t>9°, fracciones I y XXIV y 11 del Reglamento Interior del Instituto de Transparencia, Acceso a la Información Pública y Protección de Datos Personales del Estado de México y Municipios.</w:t>
      </w:r>
    </w:p>
    <w:p w:rsidR="00925107" w:rsidP="00253343" w:rsidRDefault="00925107" w14:paraId="7EBB692A" w14:textId="77777777">
      <w:pPr>
        <w:autoSpaceDE w:val="0"/>
        <w:autoSpaceDN w:val="0"/>
        <w:adjustRightInd w:val="0"/>
        <w:spacing w:line="360" w:lineRule="auto"/>
        <w:jc w:val="both"/>
        <w:rPr>
          <w:rFonts w:ascii="Palatino Linotype" w:hAnsi="Palatino Linotype" w:eastAsia="Calibri" w:cs="Tahoma"/>
          <w:b/>
          <w:color w:val="000000"/>
          <w:sz w:val="22"/>
          <w:szCs w:val="24"/>
          <w:lang w:val="es-ES" w:eastAsia="es-MX"/>
        </w:rPr>
      </w:pPr>
    </w:p>
    <w:p w:rsidRPr="00455466" w:rsidR="00253343" w:rsidP="00253343" w:rsidRDefault="00253343" w14:paraId="2C272DCB" w14:textId="2C4218BA">
      <w:pPr>
        <w:autoSpaceDE w:val="0"/>
        <w:autoSpaceDN w:val="0"/>
        <w:adjustRightInd w:val="0"/>
        <w:spacing w:line="360" w:lineRule="auto"/>
        <w:jc w:val="both"/>
        <w:rPr>
          <w:rFonts w:ascii="Palatino Linotype" w:hAnsi="Palatino Linotype" w:cs="Tahoma"/>
          <w:sz w:val="22"/>
          <w:szCs w:val="24"/>
          <w:lang w:val="es-ES"/>
        </w:rPr>
      </w:pPr>
      <w:r w:rsidRPr="00455466">
        <w:rPr>
          <w:rFonts w:ascii="Palatino Linotype" w:hAnsi="Palatino Linotype" w:eastAsia="Calibri" w:cs="Tahoma"/>
          <w:b/>
          <w:color w:val="000000"/>
          <w:sz w:val="22"/>
          <w:szCs w:val="24"/>
          <w:lang w:val="es-ES" w:eastAsia="es-MX"/>
        </w:rPr>
        <w:t>SEGUNDO</w:t>
      </w:r>
      <w:r w:rsidRPr="00455466">
        <w:rPr>
          <w:rFonts w:ascii="Palatino Linotype" w:hAnsi="Palatino Linotype" w:eastAsia="Calibri" w:cs="Tahoma"/>
          <w:color w:val="000000"/>
          <w:sz w:val="22"/>
          <w:szCs w:val="24"/>
          <w:lang w:val="es-ES" w:eastAsia="es-MX"/>
        </w:rPr>
        <w:t xml:space="preserve">. </w:t>
      </w:r>
      <w:r w:rsidRPr="00C938B6">
        <w:rPr>
          <w:rFonts w:ascii="Palatino Linotype" w:hAnsi="Palatino Linotype"/>
          <w:b/>
          <w:bCs/>
          <w:color w:val="000000"/>
          <w:sz w:val="22"/>
          <w:szCs w:val="22"/>
          <w:lang w:val="es-ES"/>
        </w:rPr>
        <w:t>Causales de procedencia y sobreseimiento.</w:t>
      </w:r>
    </w:p>
    <w:p w:rsidRPr="00455466" w:rsidR="00253343" w:rsidP="00253343" w:rsidRDefault="00253343" w14:paraId="761496CA" w14:textId="77777777">
      <w:pPr>
        <w:autoSpaceDE w:val="0"/>
        <w:autoSpaceDN w:val="0"/>
        <w:adjustRightInd w:val="0"/>
        <w:spacing w:line="360" w:lineRule="auto"/>
        <w:jc w:val="both"/>
        <w:rPr>
          <w:rFonts w:ascii="Palatino Linotype" w:hAnsi="Palatino Linotype" w:cs="Tahoma"/>
          <w:sz w:val="22"/>
          <w:szCs w:val="24"/>
          <w:lang w:val="es-ES"/>
        </w:rPr>
      </w:pPr>
    </w:p>
    <w:p w:rsidRPr="007E0539" w:rsidR="00925107" w:rsidP="00253343" w:rsidRDefault="00253343" w14:paraId="13A7A303" w14:textId="49E92206">
      <w:pPr>
        <w:autoSpaceDE w:val="0"/>
        <w:autoSpaceDN w:val="0"/>
        <w:adjustRightInd w:val="0"/>
        <w:spacing w:line="360" w:lineRule="auto"/>
        <w:jc w:val="both"/>
        <w:rPr>
          <w:rFonts w:ascii="Palatino Linotype" w:hAnsi="Palatino Linotype" w:cs="Tahoma"/>
          <w:sz w:val="22"/>
          <w:szCs w:val="24"/>
          <w:lang w:val="es-ES"/>
        </w:rPr>
      </w:pPr>
      <w:r w:rsidRPr="00455466">
        <w:rPr>
          <w:rFonts w:ascii="Palatino Linotype" w:hAnsi="Palatino Linotype" w:cs="Tahoma"/>
          <w:sz w:val="22"/>
          <w:szCs w:val="24"/>
          <w:lang w:val="es-ES"/>
        </w:rPr>
        <w:t xml:space="preserve">De las constancias que forma parte del Recurso de Revisión que se analiza, se advierte que previo al estudio del fondo de la </w:t>
      </w:r>
      <w:r w:rsidRPr="00455466">
        <w:rPr>
          <w:rFonts w:ascii="Palatino Linotype" w:hAnsi="Palatino Linotype" w:cs="Tahoma"/>
          <w:i/>
          <w:sz w:val="22"/>
          <w:szCs w:val="24"/>
          <w:lang w:val="es-ES"/>
        </w:rPr>
        <w:t>litis</w:t>
      </w:r>
      <w:r w:rsidRPr="00455466">
        <w:rPr>
          <w:rFonts w:ascii="Palatino Linotype" w:hAnsi="Palatino Linotype" w:cs="Tahoma"/>
          <w:sz w:val="22"/>
          <w:szCs w:val="24"/>
          <w:lang w:val="es-ES"/>
        </w:rPr>
        <w:t>, es necesario estudiar las causales de improcedencia y sobreseimiento que se adviertan, para determinar lo que en Derecho proceda.</w:t>
      </w:r>
    </w:p>
    <w:p w:rsidR="007E0539" w:rsidP="00253343" w:rsidRDefault="007E0539" w14:paraId="72B5298D" w14:textId="77777777">
      <w:pPr>
        <w:autoSpaceDE w:val="0"/>
        <w:autoSpaceDN w:val="0"/>
        <w:adjustRightInd w:val="0"/>
        <w:spacing w:line="360" w:lineRule="auto"/>
        <w:jc w:val="both"/>
        <w:rPr>
          <w:rFonts w:ascii="Palatino Linotype" w:hAnsi="Palatino Linotype" w:eastAsia="Calibri" w:cs="Tahoma"/>
          <w:b/>
          <w:color w:val="000000"/>
          <w:sz w:val="22"/>
          <w:szCs w:val="24"/>
          <w:lang w:val="es-ES" w:eastAsia="es-MX"/>
        </w:rPr>
      </w:pPr>
    </w:p>
    <w:p w:rsidR="00253343" w:rsidP="00253343" w:rsidRDefault="00253343" w14:paraId="2BED7691" w14:textId="2D856981">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r w:rsidRPr="00455466">
        <w:rPr>
          <w:rFonts w:ascii="Palatino Linotype" w:hAnsi="Palatino Linotype" w:eastAsia="Calibri" w:cs="Tahoma"/>
          <w:b/>
          <w:color w:val="000000"/>
          <w:sz w:val="22"/>
          <w:szCs w:val="24"/>
          <w:lang w:val="es-ES" w:eastAsia="es-MX"/>
        </w:rPr>
        <w:t>Causales de improcedencia.</w:t>
      </w:r>
      <w:r w:rsidRPr="00455466">
        <w:rPr>
          <w:rFonts w:ascii="Palatino Linotype" w:hAnsi="Palatino Linotype" w:eastAsia="Calibri" w:cs="Tahoma"/>
          <w:color w:val="000000"/>
          <w:sz w:val="22"/>
          <w:szCs w:val="24"/>
          <w:lang w:val="es-ES" w:eastAsia="es-MX"/>
        </w:rPr>
        <w:t xml:space="preserve"> </w:t>
      </w:r>
    </w:p>
    <w:p w:rsidR="008F514A" w:rsidP="00253343" w:rsidRDefault="008F514A" w14:paraId="722D4D08" w14:textId="77777777">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p>
    <w:p w:rsidR="00253343" w:rsidP="00253343" w:rsidRDefault="00253343" w14:paraId="4FEA6002" w14:textId="77777777">
      <w:pPr>
        <w:spacing w:line="360" w:lineRule="auto"/>
        <w:jc w:val="both"/>
        <w:rPr>
          <w:rFonts w:ascii="Palatino Linotype" w:hAnsi="Palatino Linotype" w:cs="Tahoma"/>
          <w:sz w:val="22"/>
          <w:szCs w:val="24"/>
        </w:rPr>
      </w:pPr>
      <w:r w:rsidRPr="00455466">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253343" w:rsidP="00253343" w:rsidRDefault="00253343" w14:paraId="6D720391" w14:textId="77777777">
      <w:pPr>
        <w:spacing w:line="360" w:lineRule="auto"/>
        <w:jc w:val="both"/>
        <w:rPr>
          <w:rFonts w:ascii="Palatino Linotype" w:hAnsi="Palatino Linotype" w:cs="Tahoma"/>
          <w:bCs/>
          <w:color w:val="000000"/>
          <w:sz w:val="22"/>
          <w:szCs w:val="22"/>
        </w:rPr>
      </w:pPr>
    </w:p>
    <w:p w:rsidR="00253343" w:rsidP="00253343" w:rsidRDefault="00253343" w14:paraId="49FFBF85" w14:textId="77777777">
      <w:pPr>
        <w:spacing w:line="360" w:lineRule="auto"/>
        <w:jc w:val="both"/>
        <w:rPr>
          <w:rFonts w:ascii="Palatino Linotype" w:hAnsi="Palatino Linotype" w:cs="Tahoma"/>
          <w:bCs/>
          <w:color w:val="000000"/>
          <w:sz w:val="22"/>
          <w:szCs w:val="22"/>
        </w:rPr>
      </w:pPr>
      <w:r w:rsidRPr="00C938B6">
        <w:rPr>
          <w:rFonts w:ascii="Palatino Linotype" w:hAnsi="Palatino Linotype" w:cs="Tahoma"/>
          <w:bCs/>
          <w:color w:val="000000"/>
          <w:sz w:val="22"/>
          <w:szCs w:val="22"/>
        </w:rPr>
        <w:lastRenderedPageBreak/>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rsidR="00253343" w:rsidP="00253343" w:rsidRDefault="00253343" w14:paraId="7363363E" w14:textId="77777777">
      <w:pPr>
        <w:spacing w:line="360" w:lineRule="auto"/>
        <w:jc w:val="both"/>
        <w:rPr>
          <w:rFonts w:ascii="Palatino Linotype" w:hAnsi="Palatino Linotype" w:cs="Tahoma"/>
          <w:sz w:val="22"/>
          <w:szCs w:val="22"/>
        </w:rPr>
      </w:pPr>
    </w:p>
    <w:p w:rsidRPr="00BC1066" w:rsidR="00253343" w:rsidP="00253343" w:rsidRDefault="00253343" w14:paraId="4024DC10" w14:textId="77777777">
      <w:pPr>
        <w:spacing w:line="360" w:lineRule="auto"/>
        <w:jc w:val="both"/>
        <w:rPr>
          <w:rFonts w:ascii="Palatino Linotype" w:hAnsi="Palatino Linotype" w:cs="Tahoma"/>
          <w:sz w:val="22"/>
          <w:szCs w:val="22"/>
          <w:lang w:val="es-ES"/>
        </w:rPr>
      </w:pPr>
      <w:r w:rsidRPr="003066DC">
        <w:rPr>
          <w:rFonts w:ascii="Palatino Linotype" w:hAnsi="Palatino Linotype" w:cs="Tahoma"/>
          <w:sz w:val="22"/>
          <w:szCs w:val="22"/>
        </w:rPr>
        <w:t xml:space="preserve">Asimismo, se actualiza la causal de procedencia del Recurso de Revisión señalada en el artículo 179, </w:t>
      </w:r>
      <w:r>
        <w:rPr>
          <w:rFonts w:ascii="Palatino Linotype" w:hAnsi="Palatino Linotype" w:cs="Tahoma"/>
          <w:sz w:val="22"/>
          <w:szCs w:val="22"/>
        </w:rPr>
        <w:t>fracción V,</w:t>
      </w:r>
      <w:r w:rsidRPr="003066DC">
        <w:rPr>
          <w:rFonts w:ascii="Palatino Linotype" w:hAnsi="Palatino Linotype" w:cs="Tahoma"/>
          <w:sz w:val="22"/>
          <w:szCs w:val="22"/>
        </w:rPr>
        <w:t xml:space="preserve"> de la Ley de Transparencia y Acceso a la Información Pública del Estado de México y Municipios, </w:t>
      </w:r>
      <w:r w:rsidRPr="003066DC">
        <w:rPr>
          <w:rFonts w:ascii="Palatino Linotype" w:hAnsi="Palatino Linotype" w:eastAsia="Calibri" w:cs="Tahoma"/>
          <w:color w:val="000000"/>
          <w:sz w:val="22"/>
          <w:szCs w:val="22"/>
          <w:lang w:eastAsia="es-MX"/>
        </w:rPr>
        <w:t xml:space="preserve">pues el Recurrente se inconformó </w:t>
      </w:r>
      <w:r>
        <w:rPr>
          <w:rFonts w:ascii="Palatino Linotype" w:hAnsi="Palatino Linotype" w:cs="Tahoma"/>
          <w:sz w:val="22"/>
          <w:szCs w:val="22"/>
          <w:lang w:val="es-ES"/>
        </w:rPr>
        <w:t>con la entrega de la información incompleta.</w:t>
      </w:r>
    </w:p>
    <w:p w:rsidR="00925107" w:rsidP="00253343" w:rsidRDefault="00925107" w14:paraId="58577003" w14:textId="77777777">
      <w:pPr>
        <w:spacing w:line="360" w:lineRule="auto"/>
        <w:jc w:val="both"/>
        <w:rPr>
          <w:rFonts w:ascii="Palatino Linotype" w:hAnsi="Palatino Linotype" w:eastAsia="Calibri" w:cs="Tahoma"/>
          <w:b/>
          <w:sz w:val="22"/>
          <w:szCs w:val="22"/>
          <w:lang w:eastAsia="es-ES_tradnl"/>
        </w:rPr>
      </w:pPr>
    </w:p>
    <w:p w:rsidR="00253343" w:rsidP="00253343" w:rsidRDefault="00253343" w14:paraId="6AF07121" w14:textId="7EF356D7">
      <w:pPr>
        <w:spacing w:line="360" w:lineRule="auto"/>
        <w:jc w:val="both"/>
        <w:rPr>
          <w:rFonts w:ascii="Palatino Linotype" w:hAnsi="Palatino Linotype" w:eastAsia="Calibri" w:cs="Tahoma"/>
          <w:b/>
          <w:sz w:val="22"/>
          <w:szCs w:val="22"/>
          <w:lang w:eastAsia="es-ES_tradnl"/>
        </w:rPr>
      </w:pPr>
      <w:r w:rsidRPr="00455466">
        <w:rPr>
          <w:rFonts w:ascii="Palatino Linotype" w:hAnsi="Palatino Linotype" w:eastAsia="Calibri" w:cs="Tahoma"/>
          <w:b/>
          <w:sz w:val="22"/>
          <w:szCs w:val="22"/>
          <w:lang w:eastAsia="es-ES_tradnl"/>
        </w:rPr>
        <w:t>Causales de sobreseimiento.</w:t>
      </w:r>
    </w:p>
    <w:p w:rsidRPr="00455466" w:rsidR="00253343" w:rsidP="00253343" w:rsidRDefault="00253343" w14:paraId="2530F8C0" w14:textId="77777777">
      <w:pPr>
        <w:spacing w:line="360" w:lineRule="auto"/>
        <w:jc w:val="both"/>
        <w:rPr>
          <w:rFonts w:ascii="Palatino Linotype" w:hAnsi="Palatino Linotype" w:eastAsia="Calibri" w:cs="Tahoma"/>
          <w:sz w:val="22"/>
          <w:szCs w:val="22"/>
          <w:lang w:eastAsia="es-ES_tradnl"/>
        </w:rPr>
      </w:pPr>
    </w:p>
    <w:p w:rsidR="00253343" w:rsidP="00253343" w:rsidRDefault="00253343" w14:paraId="62C397AB" w14:textId="77777777">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Por ser de previo y especial pronunciamiento, este Instituto analiza si se actualiza alguna causal de sobreseimiento</w:t>
      </w:r>
      <w:r>
        <w:rPr>
          <w:rFonts w:ascii="Palatino Linotype" w:hAnsi="Palatino Linotype" w:cs="Tahoma"/>
          <w:bCs/>
          <w:color w:val="0D0D0D" w:themeColor="text1" w:themeTint="F2"/>
          <w:sz w:val="22"/>
          <w:szCs w:val="22"/>
        </w:rPr>
        <w:t>.</w:t>
      </w:r>
    </w:p>
    <w:p w:rsidR="00253343" w:rsidP="00253343" w:rsidRDefault="00253343" w14:paraId="049E64A0" w14:textId="77777777">
      <w:pPr>
        <w:spacing w:line="360" w:lineRule="auto"/>
        <w:jc w:val="both"/>
        <w:rPr>
          <w:rFonts w:ascii="Palatino Linotype" w:hAnsi="Palatino Linotype" w:cs="Tahoma"/>
          <w:bCs/>
          <w:color w:val="0D0D0D" w:themeColor="text1" w:themeTint="F2"/>
          <w:sz w:val="22"/>
          <w:szCs w:val="22"/>
        </w:rPr>
      </w:pPr>
    </w:p>
    <w:p w:rsidR="00253343" w:rsidP="00253343" w:rsidRDefault="00253343" w14:paraId="4B86F802" w14:textId="77777777">
      <w:pPr>
        <w:spacing w:line="360" w:lineRule="auto"/>
        <w:jc w:val="both"/>
        <w:rPr>
          <w:rFonts w:ascii="Palatino Linotype" w:hAnsi="Palatino Linotype" w:cs="Tahoma"/>
          <w:sz w:val="22"/>
          <w:szCs w:val="24"/>
        </w:rPr>
      </w:pPr>
      <w:r>
        <w:rPr>
          <w:rFonts w:ascii="Palatino Linotype" w:hAnsi="Palatino Linotype" w:cs="Tahoma"/>
          <w:bCs/>
          <w:color w:val="0D0D0D" w:themeColor="text1" w:themeTint="F2"/>
          <w:sz w:val="22"/>
          <w:szCs w:val="22"/>
        </w:rPr>
        <w:t>Sobre el tema, e</w:t>
      </w:r>
      <w:r w:rsidRPr="00C938B6">
        <w:rPr>
          <w:rFonts w:ascii="Palatino Linotype" w:hAnsi="Palatino Linotype" w:cs="Tahoma"/>
          <w:sz w:val="22"/>
          <w:szCs w:val="24"/>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BC1066" w:rsidR="00253343" w:rsidP="00253343" w:rsidRDefault="00253343" w14:paraId="13E5532D" w14:textId="77777777">
      <w:pPr>
        <w:spacing w:line="360" w:lineRule="auto"/>
        <w:jc w:val="both"/>
        <w:rPr>
          <w:rFonts w:ascii="Palatino Linotype" w:hAnsi="Palatino Linotype" w:cs="Tahoma"/>
          <w:sz w:val="22"/>
          <w:szCs w:val="24"/>
        </w:rPr>
      </w:pPr>
    </w:p>
    <w:p w:rsidRPr="003066DC" w:rsidR="00253343" w:rsidP="00253343" w:rsidRDefault="00253343" w14:paraId="5FB48EC8" w14:textId="77777777">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 xml:space="preserve">Por tales motivos, se considera procedente entrar al fondo del presente asunto. </w:t>
      </w:r>
    </w:p>
    <w:p w:rsidR="00253343" w:rsidP="00253343" w:rsidRDefault="00253343" w14:paraId="2CD679A8" w14:textId="77777777">
      <w:pPr>
        <w:tabs>
          <w:tab w:val="left" w:pos="4962"/>
        </w:tabs>
        <w:spacing w:line="360" w:lineRule="auto"/>
        <w:jc w:val="both"/>
        <w:rPr>
          <w:rFonts w:ascii="Palatino Linotype" w:hAnsi="Palatino Linotype" w:eastAsia="Calibri" w:cs="Tahoma"/>
          <w:b/>
          <w:iCs/>
          <w:sz w:val="22"/>
          <w:szCs w:val="24"/>
          <w:lang w:val="es-ES" w:eastAsia="es-ES_tradnl"/>
        </w:rPr>
      </w:pPr>
    </w:p>
    <w:p w:rsidRPr="00455466" w:rsidR="00253343" w:rsidP="00253343" w:rsidRDefault="00253343" w14:paraId="3B05E432" w14:textId="77777777">
      <w:pPr>
        <w:tabs>
          <w:tab w:val="left" w:pos="4962"/>
        </w:tabs>
        <w:spacing w:line="360" w:lineRule="auto"/>
        <w:jc w:val="both"/>
        <w:rPr>
          <w:rFonts w:ascii="Palatino Linotype" w:hAnsi="Palatino Linotype" w:eastAsia="Calibri" w:cs="Tahoma"/>
          <w:b/>
          <w:iCs/>
          <w:sz w:val="22"/>
          <w:szCs w:val="24"/>
          <w:lang w:val="es-ES" w:eastAsia="es-ES_tradnl"/>
        </w:rPr>
      </w:pPr>
      <w:r w:rsidRPr="00455466">
        <w:rPr>
          <w:rFonts w:ascii="Palatino Linotype" w:hAnsi="Palatino Linotype" w:eastAsia="Calibri" w:cs="Tahoma"/>
          <w:b/>
          <w:iCs/>
          <w:sz w:val="22"/>
          <w:szCs w:val="24"/>
          <w:lang w:val="es-ES" w:eastAsia="es-ES_tradnl"/>
        </w:rPr>
        <w:t xml:space="preserve">TERCERO. Determinación de la Controversia. </w:t>
      </w:r>
    </w:p>
    <w:p w:rsidRPr="00455466" w:rsidR="00253343" w:rsidP="00253343" w:rsidRDefault="00253343" w14:paraId="6C10148C" w14:textId="77777777">
      <w:pPr>
        <w:tabs>
          <w:tab w:val="left" w:pos="4962"/>
        </w:tabs>
        <w:spacing w:line="360" w:lineRule="auto"/>
        <w:jc w:val="both"/>
        <w:rPr>
          <w:rFonts w:ascii="Palatino Linotype" w:hAnsi="Palatino Linotype" w:eastAsia="Calibri" w:cs="Tahoma"/>
          <w:iCs/>
          <w:sz w:val="22"/>
          <w:szCs w:val="24"/>
          <w:lang w:val="es-ES" w:eastAsia="es-ES_tradnl"/>
        </w:rPr>
      </w:pPr>
    </w:p>
    <w:p w:rsidR="00253343" w:rsidP="00253343" w:rsidRDefault="00253343" w14:paraId="3FF13C84" w14:textId="4811FB93">
      <w:pPr>
        <w:pStyle w:val="Prrafodelista"/>
        <w:autoSpaceDE w:val="0"/>
        <w:autoSpaceDN w:val="0"/>
        <w:adjustRightInd w:val="0"/>
        <w:spacing w:line="360" w:lineRule="auto"/>
        <w:ind w:left="0" w:right="-28"/>
        <w:jc w:val="both"/>
        <w:rPr>
          <w:rFonts w:ascii="Palatino Linotype" w:hAnsi="Palatino Linotype" w:eastAsia="Calibri" w:cs="Tahoma"/>
          <w:color w:val="000000"/>
          <w:lang w:val="es-ES" w:eastAsia="es-MX"/>
        </w:rPr>
      </w:pPr>
      <w:r w:rsidRPr="00A26524">
        <w:rPr>
          <w:rFonts w:ascii="Palatino Linotype" w:hAnsi="Palatino Linotype" w:eastAsia="Calibri" w:cs="Tahoma"/>
          <w:color w:val="000000"/>
          <w:lang w:val="es-ES" w:eastAsia="es-MX"/>
        </w:rPr>
        <w:t>Una vez realizado el estudio de las constancias que obran en el expediente electrónico en el que se actúa, se advierte que el Sol</w:t>
      </w:r>
      <w:r>
        <w:rPr>
          <w:rFonts w:ascii="Palatino Linotype" w:hAnsi="Palatino Linotype" w:eastAsia="Calibri" w:cs="Tahoma"/>
          <w:color w:val="000000"/>
          <w:lang w:val="es-ES" w:eastAsia="es-MX"/>
        </w:rPr>
        <w:t>icitante requirió</w:t>
      </w:r>
      <w:r w:rsidR="00CA43E7">
        <w:rPr>
          <w:rFonts w:ascii="Palatino Linotype" w:hAnsi="Palatino Linotype" w:eastAsia="Calibri" w:cs="Tahoma"/>
          <w:color w:val="000000"/>
          <w:lang w:val="es-ES" w:eastAsia="es-MX"/>
        </w:rPr>
        <w:t xml:space="preserve"> de la Dirección de Cultura</w:t>
      </w:r>
      <w:r>
        <w:rPr>
          <w:rFonts w:ascii="Palatino Linotype" w:hAnsi="Palatino Linotype" w:eastAsia="Calibri" w:cs="Tahoma"/>
          <w:color w:val="000000"/>
          <w:lang w:val="es-ES" w:eastAsia="es-MX"/>
        </w:rPr>
        <w:t xml:space="preserve"> </w:t>
      </w:r>
      <w:r w:rsidR="00CA43E7">
        <w:rPr>
          <w:rFonts w:ascii="Palatino Linotype" w:hAnsi="Palatino Linotype" w:eastAsia="Calibri" w:cs="Tahoma"/>
          <w:color w:val="000000"/>
          <w:lang w:val="es-ES" w:eastAsia="es-MX"/>
        </w:rPr>
        <w:t xml:space="preserve">del Ayuntamiento de Metepec. </w:t>
      </w:r>
    </w:p>
    <w:p w:rsidR="00CA43E7" w:rsidP="00253343" w:rsidRDefault="00CA43E7" w14:paraId="74ED0A78" w14:textId="44B79627">
      <w:pPr>
        <w:pStyle w:val="Prrafodelista"/>
        <w:autoSpaceDE w:val="0"/>
        <w:autoSpaceDN w:val="0"/>
        <w:adjustRightInd w:val="0"/>
        <w:spacing w:line="360" w:lineRule="auto"/>
        <w:ind w:left="0" w:right="-28"/>
        <w:jc w:val="both"/>
        <w:rPr>
          <w:rFonts w:ascii="Palatino Linotype" w:hAnsi="Palatino Linotype" w:eastAsia="Calibri" w:cs="Tahoma"/>
          <w:color w:val="000000"/>
          <w:lang w:val="es-ES" w:eastAsia="es-MX"/>
        </w:rPr>
      </w:pPr>
    </w:p>
    <w:p w:rsidR="00CA43E7" w:rsidP="00CA43E7" w:rsidRDefault="00CA43E7" w14:paraId="52083A0C" w14:textId="4D49E986">
      <w:pPr>
        <w:pStyle w:val="Prrafodelista"/>
        <w:numPr>
          <w:ilvl w:val="0"/>
          <w:numId w:val="7"/>
        </w:numPr>
        <w:autoSpaceDE w:val="0"/>
        <w:autoSpaceDN w:val="0"/>
        <w:adjustRightInd w:val="0"/>
        <w:spacing w:line="360" w:lineRule="auto"/>
        <w:ind w:right="-28"/>
        <w:jc w:val="both"/>
        <w:rPr>
          <w:rFonts w:ascii="Palatino Linotype" w:hAnsi="Palatino Linotype" w:eastAsia="Calibri" w:cs="Tahoma"/>
          <w:color w:val="000000"/>
          <w:lang w:val="es-ES" w:eastAsia="es-MX"/>
        </w:rPr>
      </w:pPr>
      <w:r>
        <w:rPr>
          <w:rFonts w:ascii="Palatino Linotype" w:hAnsi="Palatino Linotype" w:eastAsia="Calibri" w:cs="Tahoma"/>
          <w:color w:val="000000"/>
          <w:lang w:val="es-ES" w:eastAsia="es-MX"/>
        </w:rPr>
        <w:t>Presupuesto dos mil veintidós;</w:t>
      </w:r>
    </w:p>
    <w:p w:rsidRPr="009924DF" w:rsidR="006F18D3" w:rsidP="009924DF" w:rsidRDefault="00906ED6" w14:paraId="2D9D8D38" w14:textId="43BE94D4">
      <w:pPr>
        <w:pStyle w:val="Prrafodelista"/>
        <w:numPr>
          <w:ilvl w:val="0"/>
          <w:numId w:val="7"/>
        </w:numPr>
        <w:autoSpaceDE w:val="0"/>
        <w:autoSpaceDN w:val="0"/>
        <w:adjustRightInd w:val="0"/>
        <w:spacing w:line="360" w:lineRule="auto"/>
        <w:ind w:right="-28"/>
        <w:jc w:val="both"/>
        <w:rPr>
          <w:rFonts w:ascii="Palatino Linotype" w:hAnsi="Palatino Linotype" w:eastAsia="Calibri" w:cs="Tahoma"/>
          <w:color w:val="000000"/>
          <w:lang w:val="es-ES" w:eastAsia="es-MX"/>
        </w:rPr>
      </w:pPr>
      <w:r>
        <w:rPr>
          <w:rFonts w:ascii="Palatino Linotype" w:hAnsi="Palatino Linotype" w:eastAsia="Calibri" w:cs="Tahoma"/>
          <w:color w:val="000000"/>
          <w:lang w:val="es-ES" w:eastAsia="es-MX"/>
        </w:rPr>
        <w:t xml:space="preserve">Gastos del primer trimestre, </w:t>
      </w:r>
      <w:r w:rsidR="009F6F88">
        <w:rPr>
          <w:rFonts w:ascii="Palatino Linotype" w:hAnsi="Palatino Linotype" w:eastAsia="Calibri" w:cs="Tahoma"/>
          <w:color w:val="000000"/>
          <w:lang w:val="es-ES" w:eastAsia="es-MX"/>
        </w:rPr>
        <w:t>consistentes en pagos de nómina, eventos, infraestructura, lonas, sonido, s</w:t>
      </w:r>
      <w:r w:rsidRPr="006F18D3" w:rsidR="009F6F88">
        <w:rPr>
          <w:rFonts w:ascii="Palatino Linotype" w:hAnsi="Palatino Linotype" w:eastAsia="Calibri" w:cs="Tahoma"/>
          <w:color w:val="000000"/>
          <w:lang w:val="es-ES" w:eastAsia="es-MX"/>
        </w:rPr>
        <w:t>er</w:t>
      </w:r>
      <w:r w:rsidR="009924DF">
        <w:rPr>
          <w:rFonts w:ascii="Palatino Linotype" w:hAnsi="Palatino Linotype" w:eastAsia="Calibri" w:cs="Tahoma"/>
          <w:color w:val="000000"/>
          <w:lang w:val="es-ES" w:eastAsia="es-MX"/>
        </w:rPr>
        <w:t xml:space="preserve">vicio de cafetería y transporte, </w:t>
      </w:r>
      <w:r w:rsidRPr="009924DF" w:rsidR="009F6F88">
        <w:rPr>
          <w:rFonts w:ascii="Palatino Linotype" w:hAnsi="Palatino Linotype" w:eastAsia="Calibri" w:cs="Tahoma"/>
          <w:color w:val="000000"/>
          <w:lang w:val="es-ES" w:eastAsia="es-MX"/>
        </w:rPr>
        <w:t>con su documentación soporte.</w:t>
      </w:r>
    </w:p>
    <w:p w:rsidRPr="00455466" w:rsidR="00253343" w:rsidP="00253343" w:rsidRDefault="00253343" w14:paraId="477BB9E9" w14:textId="77777777">
      <w:pPr>
        <w:autoSpaceDE w:val="0"/>
        <w:autoSpaceDN w:val="0"/>
        <w:adjustRightInd w:val="0"/>
        <w:spacing w:line="360" w:lineRule="auto"/>
        <w:ind w:right="-28"/>
        <w:jc w:val="both"/>
        <w:rPr>
          <w:rFonts w:ascii="Palatino Linotype" w:hAnsi="Palatino Linotype" w:eastAsia="Calibri" w:cs="Tahoma"/>
          <w:b/>
          <w:sz w:val="22"/>
          <w:szCs w:val="22"/>
          <w:lang w:eastAsia="es-ES_tradnl"/>
        </w:rPr>
      </w:pPr>
    </w:p>
    <w:p w:rsidR="007E0539" w:rsidP="00253343" w:rsidRDefault="007E0539" w14:paraId="04B5F709" w14:textId="52000016">
      <w:pPr>
        <w:autoSpaceDE w:val="0"/>
        <w:autoSpaceDN w:val="0"/>
        <w:adjustRightInd w:val="0"/>
        <w:spacing w:line="360" w:lineRule="auto"/>
        <w:ind w:right="-28"/>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En respuesta el Sujeto Obligado a través del Tesorero Municipal</w:t>
      </w:r>
      <w:r w:rsidR="00233A28">
        <w:rPr>
          <w:rFonts w:ascii="Palatino Linotype" w:hAnsi="Palatino Linotype" w:eastAsia="Calibri" w:cs="Tahoma"/>
          <w:iCs/>
          <w:sz w:val="22"/>
          <w:szCs w:val="22"/>
          <w:lang w:val="es-ES" w:eastAsia="es-ES_tradnl"/>
        </w:rPr>
        <w:t xml:space="preserve"> entregó el presupuesto anual autorizado y los conceptos presupuestales de gasto durante el primer trimestre, razón por la cual, la Particular se inconformó por la entrega de la respuesta incompleta. </w:t>
      </w:r>
    </w:p>
    <w:p w:rsidR="00233A28" w:rsidP="00253343" w:rsidRDefault="00233A28" w14:paraId="651026BA" w14:textId="77777777">
      <w:pPr>
        <w:autoSpaceDE w:val="0"/>
        <w:autoSpaceDN w:val="0"/>
        <w:adjustRightInd w:val="0"/>
        <w:spacing w:line="360" w:lineRule="auto"/>
        <w:ind w:right="-28"/>
        <w:jc w:val="both"/>
        <w:rPr>
          <w:rFonts w:ascii="Palatino Linotype" w:hAnsi="Palatino Linotype" w:eastAsia="Calibri" w:cs="Tahoma"/>
          <w:iCs/>
          <w:sz w:val="22"/>
          <w:szCs w:val="22"/>
          <w:lang w:val="es-ES" w:eastAsia="es-ES_tradnl"/>
        </w:rPr>
      </w:pPr>
    </w:p>
    <w:p w:rsidRPr="000F746A" w:rsidR="00253343" w:rsidP="00253343" w:rsidRDefault="00253343" w14:paraId="7097F06A" w14:textId="6D2D7A33">
      <w:pPr>
        <w:autoSpaceDE w:val="0"/>
        <w:autoSpaceDN w:val="0"/>
        <w:adjustRightInd w:val="0"/>
        <w:spacing w:line="360" w:lineRule="auto"/>
        <w:ind w:right="-28"/>
        <w:jc w:val="both"/>
        <w:rPr>
          <w:rFonts w:ascii="Palatino Linotype" w:hAnsi="Palatino Linotype" w:eastAsia="Calibri" w:cs="Tahoma"/>
          <w:bCs/>
          <w:iCs/>
          <w:color w:val="000000"/>
          <w:sz w:val="22"/>
          <w:szCs w:val="24"/>
          <w:lang w:val="es-ES" w:eastAsia="es-MX"/>
        </w:rPr>
      </w:pPr>
      <w:r w:rsidRPr="000C7E1F">
        <w:rPr>
          <w:rFonts w:ascii="Palatino Linotype" w:hAnsi="Palatino Linotype" w:eastAsia="Calibri" w:cs="Tahoma"/>
          <w:iCs/>
          <w:sz w:val="22"/>
          <w:szCs w:val="22"/>
          <w:lang w:val="es-ES" w:eastAsia="es-ES_tradnl"/>
        </w:rPr>
        <w:t>Lo anterior, se desprende de las documentales que obran en el expediente de referencia, materia de la presente resolución, consistente en: la solicitud de acceso a la información</w:t>
      </w:r>
      <w:r>
        <w:rPr>
          <w:rFonts w:ascii="Palatino Linotype" w:hAnsi="Palatino Linotype" w:eastAsia="Calibri" w:cs="Tahoma"/>
          <w:iCs/>
          <w:sz w:val="22"/>
          <w:szCs w:val="22"/>
          <w:lang w:val="es-ES" w:eastAsia="es-ES_tradnl"/>
        </w:rPr>
        <w:t>; la respuesta entregad</w:t>
      </w:r>
      <w:r w:rsidR="00906ED6">
        <w:rPr>
          <w:rFonts w:ascii="Palatino Linotype" w:hAnsi="Palatino Linotype" w:eastAsia="Calibri" w:cs="Tahoma"/>
          <w:iCs/>
          <w:sz w:val="22"/>
          <w:szCs w:val="22"/>
          <w:lang w:val="es-ES" w:eastAsia="es-ES_tradnl"/>
        </w:rPr>
        <w:t>a,</w:t>
      </w:r>
      <w:r>
        <w:rPr>
          <w:rFonts w:ascii="Palatino Linotype" w:hAnsi="Palatino Linotype" w:eastAsia="Calibri" w:cs="Tahoma"/>
          <w:iCs/>
          <w:sz w:val="22"/>
          <w:szCs w:val="22"/>
          <w:lang w:val="es-ES" w:eastAsia="es-ES_tradnl"/>
        </w:rPr>
        <w:t xml:space="preserve"> e</w:t>
      </w:r>
      <w:r>
        <w:rPr>
          <w:rFonts w:ascii="Palatino Linotype" w:hAnsi="Palatino Linotype" w:eastAsia="Calibri" w:cs="Tahoma"/>
          <w:iCs/>
          <w:sz w:val="22"/>
          <w:szCs w:val="22"/>
          <w:lang w:eastAsia="es-ES_tradnl"/>
        </w:rPr>
        <w:t>l</w:t>
      </w:r>
      <w:r w:rsidRPr="000C7E1F">
        <w:rPr>
          <w:rFonts w:ascii="Palatino Linotype" w:hAnsi="Palatino Linotype" w:eastAsia="Calibri" w:cs="Tahoma"/>
          <w:iCs/>
          <w:sz w:val="22"/>
          <w:szCs w:val="22"/>
          <w:lang w:eastAsia="es-ES_tradnl"/>
        </w:rPr>
        <w:t xml:space="preserve"> escrito recursal</w:t>
      </w:r>
      <w:r w:rsidR="00906ED6">
        <w:rPr>
          <w:rFonts w:ascii="Palatino Linotype" w:hAnsi="Palatino Linotype" w:eastAsia="Calibri" w:cs="Tahoma"/>
          <w:iCs/>
          <w:sz w:val="22"/>
          <w:szCs w:val="22"/>
          <w:lang w:eastAsia="es-ES_tradnl"/>
        </w:rPr>
        <w:t xml:space="preserve"> y el informe justificado</w:t>
      </w:r>
      <w:r w:rsidRPr="000C7E1F">
        <w:rPr>
          <w:rFonts w:ascii="Palatino Linotype" w:hAnsi="Palatino Linotype" w:eastAsia="Calibri" w:cs="Tahoma"/>
          <w:iCs/>
          <w:sz w:val="22"/>
          <w:szCs w:val="22"/>
          <w:lang w:eastAsia="es-ES_tradnl"/>
        </w:rPr>
        <w:t xml:space="preserve">; </w:t>
      </w:r>
      <w:r w:rsidRPr="000C7E1F">
        <w:rPr>
          <w:rFonts w:ascii="Palatino Linotype" w:hAnsi="Palatino Linotype" w:eastAsia="Calibri" w:cs="Tahoma"/>
          <w:bCs/>
          <w:sz w:val="22"/>
          <w:szCs w:val="22"/>
        </w:rPr>
        <w:t xml:space="preserve">instrumentales que se toman en cuenta a efecto de resolver el presente medio de impugnación, conforme a lo dispuesto </w:t>
      </w:r>
      <w:r>
        <w:rPr>
          <w:rFonts w:ascii="Palatino Linotype" w:hAnsi="Palatino Linotype" w:eastAsia="Calibri" w:cs="Tahoma"/>
          <w:bCs/>
          <w:sz w:val="22"/>
          <w:szCs w:val="22"/>
        </w:rPr>
        <w:t>por el artículo 185, fracción VIII</w:t>
      </w:r>
      <w:r w:rsidRPr="000C7E1F">
        <w:rPr>
          <w:rFonts w:ascii="Palatino Linotype" w:hAnsi="Palatino Linotype" w:eastAsia="Calibri" w:cs="Tahoma"/>
          <w:bCs/>
          <w:sz w:val="22"/>
          <w:szCs w:val="22"/>
        </w:rPr>
        <w:t>, de la Ley de Transparencia y Acceso a la Información Pública del Estado de México y Municipios.</w:t>
      </w:r>
    </w:p>
    <w:p w:rsidR="00253343" w:rsidP="00253343" w:rsidRDefault="00253343" w14:paraId="2632F25C" w14:textId="29A878CD">
      <w:pPr>
        <w:spacing w:line="360" w:lineRule="auto"/>
        <w:ind w:right="-93"/>
        <w:jc w:val="both"/>
        <w:rPr>
          <w:rFonts w:ascii="Palatino Linotype" w:hAnsi="Palatino Linotype" w:cs="Tahoma"/>
          <w:b/>
          <w:sz w:val="22"/>
          <w:szCs w:val="24"/>
          <w:lang w:val="es-ES"/>
        </w:rPr>
      </w:pPr>
    </w:p>
    <w:p w:rsidRPr="00455466" w:rsidR="00253343" w:rsidP="00253343" w:rsidRDefault="00253343" w14:paraId="0B887F2E" w14:textId="77777777">
      <w:pPr>
        <w:spacing w:line="360" w:lineRule="auto"/>
        <w:ind w:right="-93"/>
        <w:jc w:val="both"/>
        <w:rPr>
          <w:rFonts w:ascii="Palatino Linotype" w:hAnsi="Palatino Linotype" w:cs="Tahoma"/>
          <w:b/>
          <w:sz w:val="22"/>
          <w:szCs w:val="24"/>
        </w:rPr>
      </w:pPr>
      <w:r w:rsidRPr="00455466">
        <w:rPr>
          <w:rFonts w:ascii="Palatino Linotype" w:hAnsi="Palatino Linotype" w:cs="Tahoma"/>
          <w:b/>
          <w:sz w:val="22"/>
          <w:szCs w:val="24"/>
          <w:lang w:val="es-ES"/>
        </w:rPr>
        <w:t xml:space="preserve">CUARTO. </w:t>
      </w:r>
      <w:r w:rsidRPr="00455466">
        <w:rPr>
          <w:rFonts w:ascii="Palatino Linotype" w:hAnsi="Palatino Linotype" w:cs="Tahoma"/>
          <w:b/>
          <w:sz w:val="22"/>
          <w:szCs w:val="24"/>
        </w:rPr>
        <w:t>Marco normativo aplicable en materia de transparencia y acceso a la información pública.</w:t>
      </w:r>
    </w:p>
    <w:p w:rsidRPr="00455466" w:rsidR="00253343" w:rsidP="00253343" w:rsidRDefault="00253343" w14:paraId="0E83AD54" w14:textId="77777777">
      <w:pPr>
        <w:spacing w:line="360" w:lineRule="auto"/>
        <w:ind w:right="-93"/>
        <w:jc w:val="both"/>
        <w:rPr>
          <w:rFonts w:ascii="Palatino Linotype" w:hAnsi="Palatino Linotype" w:cs="Tahoma"/>
          <w:b/>
          <w:sz w:val="18"/>
        </w:rPr>
      </w:pPr>
    </w:p>
    <w:p w:rsidRPr="00455466" w:rsidR="00253343" w:rsidP="00253343" w:rsidRDefault="00253343" w14:paraId="6C9D2A08" w14:textId="77777777">
      <w:pPr>
        <w:spacing w:line="360" w:lineRule="auto"/>
        <w:contextualSpacing/>
        <w:jc w:val="both"/>
        <w:rPr>
          <w:rFonts w:ascii="Palatino Linotype" w:hAnsi="Palatino Linotype" w:cs="Tahoma"/>
          <w:sz w:val="22"/>
          <w:szCs w:val="24"/>
        </w:rPr>
      </w:pPr>
      <w:r w:rsidRPr="00455466">
        <w:rPr>
          <w:rFonts w:ascii="Palatino Linotype" w:hAnsi="Palatino Linotype" w:cs="Tahoma"/>
          <w:sz w:val="22"/>
          <w:szCs w:val="24"/>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253343" w:rsidP="00253343" w:rsidRDefault="00253343" w14:paraId="64626FC9" w14:textId="77777777">
      <w:pPr>
        <w:spacing w:line="360" w:lineRule="auto"/>
        <w:jc w:val="both"/>
        <w:rPr>
          <w:rFonts w:ascii="Palatino Linotype" w:hAnsi="Palatino Linotype" w:cs="Tahoma"/>
          <w:sz w:val="22"/>
          <w:szCs w:val="24"/>
        </w:rPr>
      </w:pPr>
    </w:p>
    <w:p w:rsidRPr="00455466" w:rsidR="00253343" w:rsidP="00253343" w:rsidRDefault="00253343" w14:paraId="2F676E07" w14:textId="77777777">
      <w:pPr>
        <w:spacing w:line="360" w:lineRule="auto"/>
        <w:jc w:val="both"/>
        <w:rPr>
          <w:rFonts w:ascii="Palatino Linotype" w:hAnsi="Palatino Linotype" w:cs="Tahoma"/>
          <w:sz w:val="22"/>
          <w:szCs w:val="24"/>
        </w:rPr>
      </w:pPr>
      <w:r w:rsidRPr="00455466">
        <w:rPr>
          <w:rFonts w:ascii="Palatino Linotype" w:hAnsi="Palatino Linotype" w:cs="Tahoma"/>
          <w:sz w:val="22"/>
          <w:szCs w:val="24"/>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455466" w:rsidR="00253343" w:rsidP="00253343" w:rsidRDefault="00253343" w14:paraId="2DF4CD9F" w14:textId="77777777">
      <w:pPr>
        <w:spacing w:line="360" w:lineRule="auto"/>
        <w:jc w:val="both"/>
        <w:rPr>
          <w:rFonts w:ascii="Palatino Linotype" w:hAnsi="Palatino Linotype" w:cs="Tahoma"/>
          <w:sz w:val="22"/>
          <w:szCs w:val="24"/>
        </w:rPr>
      </w:pPr>
    </w:p>
    <w:p w:rsidRPr="00455466" w:rsidR="00253343" w:rsidP="00253343" w:rsidRDefault="00253343" w14:paraId="238126C1" w14:textId="77777777">
      <w:pPr>
        <w:spacing w:line="360" w:lineRule="auto"/>
        <w:jc w:val="both"/>
        <w:rPr>
          <w:rFonts w:ascii="Palatino Linotype" w:hAnsi="Palatino Linotype" w:cs="Tahoma"/>
          <w:sz w:val="22"/>
          <w:szCs w:val="24"/>
        </w:rPr>
      </w:pPr>
      <w:r w:rsidRPr="00455466">
        <w:rPr>
          <w:rFonts w:ascii="Palatino Linotype" w:hAnsi="Palatino Linotype" w:cs="Tahoma"/>
          <w:sz w:val="22"/>
          <w:szCs w:val="24"/>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455466" w:rsidR="00253343" w:rsidP="00253343" w:rsidRDefault="00253343" w14:paraId="2CB8735C" w14:textId="77777777">
      <w:pPr>
        <w:spacing w:line="360" w:lineRule="auto"/>
        <w:jc w:val="both"/>
        <w:rPr>
          <w:rFonts w:ascii="Palatino Linotype" w:hAnsi="Palatino Linotype" w:cs="Tahoma"/>
          <w:sz w:val="22"/>
          <w:szCs w:val="24"/>
        </w:rPr>
      </w:pPr>
    </w:p>
    <w:p w:rsidRPr="00455466" w:rsidR="00253343" w:rsidP="00253343" w:rsidRDefault="00253343" w14:paraId="3B2E6192" w14:textId="77777777">
      <w:pPr>
        <w:spacing w:line="360" w:lineRule="auto"/>
        <w:jc w:val="both"/>
        <w:rPr>
          <w:rFonts w:ascii="Palatino Linotype" w:hAnsi="Palatino Linotype" w:cs="Tahoma"/>
          <w:sz w:val="22"/>
          <w:szCs w:val="24"/>
        </w:rPr>
      </w:pPr>
      <w:r w:rsidRPr="00455466">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rsidRPr="00455466" w:rsidR="00253343" w:rsidP="00253343" w:rsidRDefault="00253343" w14:paraId="7D61ED03" w14:textId="77777777">
      <w:pPr>
        <w:spacing w:line="360" w:lineRule="auto"/>
        <w:jc w:val="both"/>
        <w:rPr>
          <w:rFonts w:ascii="Palatino Linotype" w:hAnsi="Palatino Linotype" w:cs="Tahoma"/>
          <w:sz w:val="22"/>
          <w:szCs w:val="24"/>
        </w:rPr>
      </w:pPr>
    </w:p>
    <w:p w:rsidRPr="00455466" w:rsidR="00253343" w:rsidP="00253343" w:rsidRDefault="00253343" w14:paraId="30CE772A" w14:textId="77777777">
      <w:pPr>
        <w:spacing w:line="360" w:lineRule="auto"/>
        <w:jc w:val="both"/>
        <w:rPr>
          <w:rFonts w:ascii="Palatino Linotype" w:hAnsi="Palatino Linotype" w:cs="Tahoma"/>
          <w:sz w:val="22"/>
          <w:szCs w:val="24"/>
        </w:rPr>
      </w:pPr>
      <w:r w:rsidRPr="00455466">
        <w:rPr>
          <w:rFonts w:ascii="Palatino Linotype" w:hAnsi="Palatino Linotype" w:cs="Tahoma"/>
          <w:sz w:val="22"/>
          <w:szCs w:val="24"/>
        </w:rPr>
        <w:t>El artículo 12, que, quienes generen, recopilen, administren, manejen, procesen, archiven o conserven información pública serán responsables de la misma.</w:t>
      </w:r>
    </w:p>
    <w:p w:rsidRPr="00455466" w:rsidR="00253343" w:rsidP="00253343" w:rsidRDefault="00253343" w14:paraId="7BBE4F76" w14:textId="77777777">
      <w:pPr>
        <w:spacing w:line="360" w:lineRule="auto"/>
        <w:jc w:val="both"/>
        <w:rPr>
          <w:rFonts w:ascii="Palatino Linotype" w:hAnsi="Palatino Linotype" w:cs="Tahoma"/>
          <w:szCs w:val="24"/>
        </w:rPr>
      </w:pPr>
    </w:p>
    <w:p w:rsidRPr="00455466" w:rsidR="00253343" w:rsidP="00253343" w:rsidRDefault="00253343" w14:paraId="4EFB4D77" w14:textId="77777777">
      <w:pPr>
        <w:spacing w:line="360" w:lineRule="auto"/>
        <w:jc w:val="both"/>
        <w:rPr>
          <w:rFonts w:ascii="Palatino Linotype" w:hAnsi="Palatino Linotype" w:cs="Tahoma"/>
          <w:sz w:val="22"/>
          <w:szCs w:val="24"/>
        </w:rPr>
      </w:pPr>
      <w:r w:rsidRPr="00455466">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rsidRPr="00455466" w:rsidR="00253343" w:rsidP="00253343" w:rsidRDefault="00253343" w14:paraId="19D7A1C7" w14:textId="77777777">
      <w:pPr>
        <w:spacing w:line="360" w:lineRule="auto"/>
        <w:jc w:val="both"/>
        <w:rPr>
          <w:rFonts w:ascii="Palatino Linotype" w:hAnsi="Palatino Linotype" w:cs="Tahoma"/>
          <w:szCs w:val="24"/>
        </w:rPr>
      </w:pPr>
    </w:p>
    <w:p w:rsidRPr="00455466" w:rsidR="00253343" w:rsidP="00253343" w:rsidRDefault="00253343" w14:paraId="00661714" w14:textId="77777777">
      <w:pPr>
        <w:spacing w:line="360" w:lineRule="auto"/>
        <w:jc w:val="both"/>
        <w:rPr>
          <w:rFonts w:ascii="Palatino Linotype" w:hAnsi="Palatino Linotype" w:cs="Tahoma"/>
          <w:sz w:val="22"/>
          <w:szCs w:val="24"/>
        </w:rPr>
      </w:pPr>
      <w:r w:rsidRPr="00455466">
        <w:rPr>
          <w:rFonts w:ascii="Palatino Linotype" w:hAnsi="Palatino Linotype" w:cs="Tahoma"/>
          <w:sz w:val="22"/>
          <w:szCs w:val="24"/>
        </w:rPr>
        <w:t xml:space="preserve">El artículo 19, que, se presume que la información debe existir si se refiere a las facultades, competencias y funciones que los ordenamientos jurídicos aplicables otorgan a los sujetos </w:t>
      </w:r>
      <w:r w:rsidRPr="00455466">
        <w:rPr>
          <w:rFonts w:ascii="Palatino Linotype" w:hAnsi="Palatino Linotype" w:cs="Tahoma"/>
          <w:sz w:val="22"/>
          <w:szCs w:val="24"/>
        </w:rPr>
        <w:lastRenderedPageBreak/>
        <w:t>obligados y en caso de que dichas facultades no se hayan ejercido, se deberá motivar la respuesta en función de las causas que motivaron tal circunstancia.</w:t>
      </w:r>
    </w:p>
    <w:p w:rsidRPr="00455466" w:rsidR="00253343" w:rsidP="00253343" w:rsidRDefault="00253343" w14:paraId="67900E30" w14:textId="77777777">
      <w:pPr>
        <w:spacing w:line="360" w:lineRule="auto"/>
        <w:jc w:val="both"/>
        <w:rPr>
          <w:rFonts w:ascii="Palatino Linotype" w:hAnsi="Palatino Linotype" w:cs="Tahoma"/>
          <w:sz w:val="22"/>
          <w:szCs w:val="24"/>
        </w:rPr>
      </w:pPr>
    </w:p>
    <w:p w:rsidRPr="00233A28" w:rsidR="00253343" w:rsidP="00253343" w:rsidRDefault="00253343" w14:paraId="3845B8B3" w14:textId="318C5BDF">
      <w:pPr>
        <w:spacing w:line="360" w:lineRule="auto"/>
        <w:jc w:val="both"/>
        <w:rPr>
          <w:rFonts w:ascii="Palatino Linotype" w:hAnsi="Palatino Linotype" w:cs="Tahoma"/>
          <w:b/>
          <w:sz w:val="22"/>
          <w:szCs w:val="24"/>
          <w:lang w:val="es-ES"/>
        </w:rPr>
      </w:pPr>
      <w:r w:rsidRPr="00455466">
        <w:rPr>
          <w:rFonts w:ascii="Palatino Linotype" w:hAnsi="Palatino Linotype" w:cs="Tahoma"/>
          <w:b/>
          <w:caps/>
          <w:sz w:val="22"/>
          <w:szCs w:val="24"/>
          <w:lang w:val="es-ES"/>
        </w:rPr>
        <w:t>Quinto</w:t>
      </w:r>
      <w:r w:rsidRPr="00455466">
        <w:rPr>
          <w:rFonts w:ascii="Palatino Linotype" w:hAnsi="Palatino Linotype" w:cs="Tahoma"/>
          <w:b/>
          <w:sz w:val="22"/>
          <w:szCs w:val="24"/>
          <w:lang w:val="es-ES"/>
        </w:rPr>
        <w:t>. Estudio de Fondo.</w:t>
      </w:r>
    </w:p>
    <w:p w:rsidR="00253343" w:rsidP="00253343" w:rsidRDefault="00253343" w14:paraId="65CB7009" w14:textId="77777777">
      <w:pPr>
        <w:spacing w:line="360" w:lineRule="auto"/>
        <w:jc w:val="both"/>
        <w:rPr>
          <w:rFonts w:ascii="Palatino Linotype" w:hAnsi="Palatino Linotype" w:cs="Tahoma"/>
          <w:iCs/>
          <w:sz w:val="22"/>
          <w:szCs w:val="22"/>
          <w:lang w:val="es-ES"/>
        </w:rPr>
      </w:pPr>
    </w:p>
    <w:p w:rsidRPr="004531A1" w:rsidR="00253343" w:rsidP="00253343" w:rsidRDefault="00253343" w14:paraId="4895EE46" w14:textId="77777777">
      <w:pPr>
        <w:spacing w:line="360" w:lineRule="auto"/>
        <w:jc w:val="both"/>
        <w:rPr>
          <w:rFonts w:ascii="Palatino Linotype" w:hAnsi="Palatino Linotype" w:cs="Tahoma"/>
          <w:bCs/>
          <w:iCs/>
          <w:sz w:val="22"/>
          <w:szCs w:val="22"/>
        </w:rPr>
      </w:pPr>
      <w:r w:rsidRPr="004531A1">
        <w:rPr>
          <w:rFonts w:ascii="Palatino Linotype" w:hAnsi="Palatino Linotype" w:cs="Tahoma"/>
          <w:bCs/>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4531A1" w:rsidR="00253343" w:rsidP="00253343" w:rsidRDefault="00253343" w14:paraId="3AE2C793" w14:textId="77777777">
      <w:pPr>
        <w:spacing w:line="360" w:lineRule="auto"/>
        <w:jc w:val="both"/>
        <w:rPr>
          <w:rFonts w:ascii="Palatino Linotype" w:hAnsi="Palatino Linotype" w:cs="Tahoma"/>
          <w:bCs/>
          <w:iCs/>
          <w:sz w:val="22"/>
          <w:szCs w:val="22"/>
        </w:rPr>
      </w:pPr>
    </w:p>
    <w:p w:rsidRPr="004531A1" w:rsidR="00253343" w:rsidP="00253343" w:rsidRDefault="00253343" w14:paraId="290F2B92" w14:textId="77777777">
      <w:pPr>
        <w:numPr>
          <w:ilvl w:val="0"/>
          <w:numId w:val="4"/>
        </w:numPr>
        <w:spacing w:line="360" w:lineRule="auto"/>
        <w:jc w:val="both"/>
        <w:rPr>
          <w:rFonts w:ascii="Palatino Linotype" w:hAnsi="Palatino Linotype" w:cs="Tahoma"/>
          <w:bCs/>
          <w:iCs/>
          <w:sz w:val="22"/>
          <w:szCs w:val="22"/>
        </w:rPr>
      </w:pPr>
      <w:r w:rsidRPr="004531A1">
        <w:rPr>
          <w:rFonts w:ascii="Palatino Linotype" w:hAnsi="Palatino Linotype" w:cs="Tahoma"/>
          <w:bCs/>
          <w:iCs/>
          <w:sz w:val="22"/>
          <w:szCs w:val="22"/>
        </w:rPr>
        <w:t>Proveer lo necesario para garantizar a toda persona el derecho de acceso a la información pública, a través de procedimientos sencillos, expeditos, oportunos y gratuitos;</w:t>
      </w:r>
    </w:p>
    <w:p w:rsidRPr="004531A1" w:rsidR="00253343" w:rsidP="00253343" w:rsidRDefault="00253343" w14:paraId="4607395C" w14:textId="77777777">
      <w:pPr>
        <w:spacing w:line="360" w:lineRule="auto"/>
        <w:ind w:left="720"/>
        <w:jc w:val="both"/>
        <w:rPr>
          <w:rFonts w:ascii="Palatino Linotype" w:hAnsi="Palatino Linotype" w:cs="Tahoma"/>
          <w:bCs/>
          <w:iCs/>
          <w:sz w:val="22"/>
          <w:szCs w:val="22"/>
        </w:rPr>
      </w:pPr>
    </w:p>
    <w:p w:rsidRPr="004531A1" w:rsidR="00253343" w:rsidP="00253343" w:rsidRDefault="00253343" w14:paraId="1E30568A" w14:textId="77777777">
      <w:pPr>
        <w:numPr>
          <w:ilvl w:val="0"/>
          <w:numId w:val="4"/>
        </w:numPr>
        <w:spacing w:line="360" w:lineRule="auto"/>
        <w:jc w:val="both"/>
        <w:rPr>
          <w:rFonts w:ascii="Palatino Linotype" w:hAnsi="Palatino Linotype" w:cs="Tahoma"/>
          <w:bCs/>
          <w:iCs/>
          <w:sz w:val="22"/>
          <w:szCs w:val="22"/>
        </w:rPr>
      </w:pPr>
      <w:r w:rsidRPr="004531A1">
        <w:rPr>
          <w:rFonts w:ascii="Palatino Linotype" w:hAnsi="Palatino Linotype" w:cs="Tahoma"/>
          <w:bCs/>
          <w:iCs/>
          <w:sz w:val="22"/>
          <w:szCs w:val="22"/>
        </w:rPr>
        <w:t>Transparentar la gestión pública, mediante la difusión de la información generada por los Sujetos Obligados, y</w:t>
      </w:r>
    </w:p>
    <w:p w:rsidRPr="004531A1" w:rsidR="00253343" w:rsidP="00253343" w:rsidRDefault="00253343" w14:paraId="3F74B6FD" w14:textId="77777777">
      <w:pPr>
        <w:spacing w:line="360" w:lineRule="auto"/>
        <w:ind w:left="720"/>
        <w:jc w:val="both"/>
        <w:rPr>
          <w:rFonts w:ascii="Palatino Linotype" w:hAnsi="Palatino Linotype" w:cs="Tahoma"/>
          <w:bCs/>
          <w:iCs/>
          <w:sz w:val="22"/>
          <w:szCs w:val="22"/>
        </w:rPr>
      </w:pPr>
    </w:p>
    <w:p w:rsidRPr="004531A1" w:rsidR="00253343" w:rsidP="00253343" w:rsidRDefault="00253343" w14:paraId="7B9CCCFE" w14:textId="77777777">
      <w:pPr>
        <w:numPr>
          <w:ilvl w:val="0"/>
          <w:numId w:val="4"/>
        </w:numPr>
        <w:spacing w:line="360" w:lineRule="auto"/>
        <w:jc w:val="both"/>
        <w:rPr>
          <w:rFonts w:ascii="Palatino Linotype" w:hAnsi="Palatino Linotype" w:cs="Tahoma"/>
          <w:bCs/>
          <w:iCs/>
          <w:sz w:val="22"/>
          <w:szCs w:val="22"/>
        </w:rPr>
      </w:pPr>
      <w:r w:rsidRPr="004531A1">
        <w:rPr>
          <w:rFonts w:ascii="Palatino Linotype" w:hAnsi="Palatino Linotype" w:cs="Tahoma"/>
          <w:bCs/>
          <w:iCs/>
          <w:sz w:val="22"/>
          <w:szCs w:val="22"/>
        </w:rPr>
        <w:t>Promover, fomentar y difundir la cultura de la transparencia en el ejercicio de la función pública, el acceso a la información y la participación ciudadana, así como, la rendición de cuentas.</w:t>
      </w:r>
    </w:p>
    <w:p w:rsidRPr="004531A1" w:rsidR="00253343" w:rsidP="00253343" w:rsidRDefault="00253343" w14:paraId="4971183F" w14:textId="77777777">
      <w:pPr>
        <w:spacing w:line="360" w:lineRule="auto"/>
        <w:jc w:val="both"/>
        <w:rPr>
          <w:rFonts w:ascii="Palatino Linotype" w:hAnsi="Palatino Linotype" w:cs="Tahoma"/>
          <w:bCs/>
          <w:iCs/>
          <w:sz w:val="22"/>
          <w:szCs w:val="22"/>
        </w:rPr>
      </w:pPr>
    </w:p>
    <w:p w:rsidRPr="004531A1" w:rsidR="00253343" w:rsidP="00253343" w:rsidRDefault="00253343" w14:paraId="12BBF8FD" w14:textId="77777777">
      <w:pPr>
        <w:spacing w:line="360" w:lineRule="auto"/>
        <w:jc w:val="both"/>
        <w:rPr>
          <w:rFonts w:ascii="Palatino Linotype" w:hAnsi="Palatino Linotype" w:cs="Tahoma"/>
          <w:bCs/>
          <w:iCs/>
          <w:sz w:val="22"/>
          <w:szCs w:val="22"/>
        </w:rPr>
      </w:pPr>
      <w:r w:rsidRPr="004531A1">
        <w:rPr>
          <w:rFonts w:ascii="Palatino Linotype" w:hAnsi="Palatino Linotype" w:cs="Tahoma"/>
          <w:bCs/>
          <w:iCs/>
          <w:sz w:val="22"/>
          <w:szCs w:val="22"/>
        </w:rPr>
        <w:t xml:space="preserve">Conforme a lo anterior, se deprende que </w:t>
      </w:r>
      <w:r w:rsidRPr="004531A1">
        <w:rPr>
          <w:rFonts w:ascii="Palatino Linotype" w:hAnsi="Palatino Linotype" w:cs="Tahoma"/>
          <w:b/>
          <w:bCs/>
          <w:iCs/>
          <w:sz w:val="22"/>
          <w:szCs w:val="22"/>
        </w:rPr>
        <w:t>los objetivos de la Ley de la materia,</w:t>
      </w:r>
      <w:r w:rsidRPr="004531A1">
        <w:rPr>
          <w:rFonts w:ascii="Palatino Linotype" w:hAnsi="Palatino Linotype" w:cs="Tahoma"/>
          <w:bCs/>
          <w:iCs/>
          <w:sz w:val="22"/>
          <w:szCs w:val="22"/>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4531A1" w:rsidR="00253343" w:rsidP="00253343" w:rsidRDefault="00253343" w14:paraId="504BBC0E" w14:textId="77777777">
      <w:pPr>
        <w:spacing w:line="360" w:lineRule="auto"/>
        <w:jc w:val="both"/>
        <w:rPr>
          <w:rFonts w:ascii="Palatino Linotype" w:hAnsi="Palatino Linotype" w:cs="Tahoma"/>
          <w:bCs/>
          <w:iCs/>
          <w:sz w:val="22"/>
          <w:szCs w:val="22"/>
        </w:rPr>
      </w:pPr>
    </w:p>
    <w:p w:rsidRPr="004531A1" w:rsidR="00253343" w:rsidP="00253343" w:rsidRDefault="00253343" w14:paraId="047A3D21" w14:textId="77777777">
      <w:pPr>
        <w:spacing w:line="360" w:lineRule="auto"/>
        <w:jc w:val="both"/>
        <w:rPr>
          <w:rFonts w:ascii="Palatino Linotype" w:hAnsi="Palatino Linotype" w:cs="Tahoma"/>
          <w:bCs/>
          <w:iCs/>
          <w:sz w:val="22"/>
          <w:szCs w:val="22"/>
        </w:rPr>
      </w:pPr>
      <w:r w:rsidRPr="004531A1">
        <w:rPr>
          <w:rFonts w:ascii="Palatino Linotype" w:hAnsi="Palatino Linotype" w:cs="Tahoma"/>
          <w:bCs/>
          <w:iCs/>
          <w:sz w:val="22"/>
          <w:szCs w:val="22"/>
        </w:rPr>
        <w:t xml:space="preserve">En ese orden de ideas, para la atención de las solicitudes de acceso a la información, debe privilegiarse el </w:t>
      </w:r>
      <w:r w:rsidRPr="004531A1">
        <w:rPr>
          <w:rFonts w:ascii="Palatino Linotype" w:hAnsi="Palatino Linotype" w:cs="Tahoma"/>
          <w:b/>
          <w:bCs/>
          <w:iCs/>
          <w:sz w:val="22"/>
          <w:szCs w:val="22"/>
        </w:rPr>
        <w:t>principio de máxima publicidad</w:t>
      </w:r>
      <w:r w:rsidRPr="004531A1">
        <w:rPr>
          <w:rFonts w:ascii="Palatino Linotype" w:hAnsi="Palatino Linotype" w:cs="Tahoma"/>
          <w:bCs/>
          <w:iCs/>
          <w:sz w:val="22"/>
          <w:szCs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4531A1" w:rsidR="00253343" w:rsidP="00253343" w:rsidRDefault="00253343" w14:paraId="6087DEDF" w14:textId="77777777">
      <w:pPr>
        <w:spacing w:line="360" w:lineRule="auto"/>
        <w:jc w:val="both"/>
        <w:rPr>
          <w:rFonts w:ascii="Palatino Linotype" w:hAnsi="Palatino Linotype" w:cs="Tahoma"/>
          <w:bCs/>
          <w:iCs/>
          <w:sz w:val="22"/>
          <w:szCs w:val="22"/>
        </w:rPr>
      </w:pPr>
    </w:p>
    <w:p w:rsidRPr="004531A1" w:rsidR="00253343" w:rsidP="00253343" w:rsidRDefault="00253343" w14:paraId="577E0094" w14:textId="77777777">
      <w:pPr>
        <w:spacing w:line="360" w:lineRule="auto"/>
        <w:jc w:val="both"/>
        <w:rPr>
          <w:rFonts w:ascii="Palatino Linotype" w:hAnsi="Palatino Linotype" w:cs="Tahoma"/>
          <w:bCs/>
          <w:iCs/>
          <w:sz w:val="22"/>
          <w:szCs w:val="22"/>
        </w:rPr>
      </w:pPr>
      <w:r w:rsidRPr="004531A1">
        <w:rPr>
          <w:rFonts w:ascii="Palatino Linotype" w:hAnsi="Palatino Linotype" w:cs="Tahoma"/>
          <w:bCs/>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rsidRPr="004531A1" w:rsidR="00253343" w:rsidP="00253343" w:rsidRDefault="00253343" w14:paraId="17E9195E" w14:textId="77777777">
      <w:pPr>
        <w:spacing w:line="360" w:lineRule="auto"/>
        <w:jc w:val="both"/>
        <w:rPr>
          <w:rFonts w:ascii="Palatino Linotype" w:hAnsi="Palatino Linotype" w:cs="Tahoma"/>
          <w:bCs/>
          <w:iCs/>
          <w:sz w:val="22"/>
          <w:szCs w:val="22"/>
        </w:rPr>
      </w:pPr>
    </w:p>
    <w:p w:rsidRPr="004531A1" w:rsidR="00253343" w:rsidP="00253343" w:rsidRDefault="00253343" w14:paraId="647ED854" w14:textId="77777777">
      <w:pPr>
        <w:numPr>
          <w:ilvl w:val="0"/>
          <w:numId w:val="5"/>
        </w:numPr>
        <w:spacing w:line="360" w:lineRule="auto"/>
        <w:jc w:val="both"/>
        <w:rPr>
          <w:rFonts w:ascii="Palatino Linotype" w:hAnsi="Palatino Linotype" w:cs="Tahoma"/>
          <w:bCs/>
          <w:iCs/>
          <w:sz w:val="22"/>
          <w:szCs w:val="22"/>
        </w:rPr>
      </w:pPr>
      <w:r w:rsidRPr="004531A1">
        <w:rPr>
          <w:rFonts w:ascii="Palatino Linotype" w:hAnsi="Palatino Linotype" w:cs="Tahoma"/>
          <w:bCs/>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4531A1" w:rsidR="00253343" w:rsidP="00253343" w:rsidRDefault="00253343" w14:paraId="713DFCA8" w14:textId="77777777">
      <w:pPr>
        <w:spacing w:line="360" w:lineRule="auto"/>
        <w:ind w:left="720"/>
        <w:jc w:val="both"/>
        <w:rPr>
          <w:rFonts w:ascii="Palatino Linotype" w:hAnsi="Palatino Linotype" w:cs="Tahoma"/>
          <w:bCs/>
          <w:iCs/>
          <w:sz w:val="22"/>
          <w:szCs w:val="22"/>
        </w:rPr>
      </w:pPr>
    </w:p>
    <w:p w:rsidRPr="004531A1" w:rsidR="00253343" w:rsidP="00253343" w:rsidRDefault="00253343" w14:paraId="7212B9AE" w14:textId="77777777">
      <w:pPr>
        <w:numPr>
          <w:ilvl w:val="0"/>
          <w:numId w:val="5"/>
        </w:numPr>
        <w:spacing w:line="360" w:lineRule="auto"/>
        <w:jc w:val="both"/>
        <w:rPr>
          <w:rFonts w:ascii="Palatino Linotype" w:hAnsi="Palatino Linotype" w:cs="Tahoma"/>
          <w:bCs/>
          <w:iCs/>
          <w:sz w:val="22"/>
          <w:szCs w:val="22"/>
        </w:rPr>
      </w:pPr>
      <w:r w:rsidRPr="004531A1">
        <w:rPr>
          <w:rFonts w:ascii="Palatino Linotype" w:hAnsi="Palatino Linotype" w:cs="Tahoma"/>
          <w:bCs/>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rsidRPr="004531A1" w:rsidR="00253343" w:rsidP="00253343" w:rsidRDefault="00253343" w14:paraId="536A43C4" w14:textId="77777777">
      <w:pPr>
        <w:spacing w:line="360" w:lineRule="auto"/>
        <w:jc w:val="both"/>
        <w:rPr>
          <w:rFonts w:ascii="Palatino Linotype" w:hAnsi="Palatino Linotype" w:cs="Tahoma"/>
          <w:bCs/>
          <w:iCs/>
          <w:sz w:val="22"/>
          <w:szCs w:val="22"/>
        </w:rPr>
      </w:pPr>
    </w:p>
    <w:p w:rsidRPr="004531A1" w:rsidR="00253343" w:rsidP="00253343" w:rsidRDefault="00253343" w14:paraId="2EB6A446" w14:textId="77777777">
      <w:pPr>
        <w:numPr>
          <w:ilvl w:val="0"/>
          <w:numId w:val="5"/>
        </w:numPr>
        <w:spacing w:line="360" w:lineRule="auto"/>
        <w:jc w:val="both"/>
        <w:rPr>
          <w:rFonts w:ascii="Palatino Linotype" w:hAnsi="Palatino Linotype" w:cs="Tahoma"/>
          <w:bCs/>
          <w:iCs/>
          <w:sz w:val="22"/>
          <w:szCs w:val="22"/>
        </w:rPr>
      </w:pPr>
      <w:r w:rsidRPr="004531A1">
        <w:rPr>
          <w:rFonts w:ascii="Palatino Linotype" w:hAnsi="Palatino Linotype" w:cs="Tahoma"/>
          <w:bCs/>
          <w:iCs/>
          <w:sz w:val="22"/>
          <w:szCs w:val="22"/>
        </w:rPr>
        <w:t xml:space="preserve">Las respuestas a los requerimientos informativos deberán notificarse al interesado en el menor tiempo posible, que no podrá exceder </w:t>
      </w:r>
      <w:r w:rsidRPr="004531A1">
        <w:rPr>
          <w:rFonts w:ascii="Palatino Linotype" w:hAnsi="Palatino Linotype" w:cs="Tahoma"/>
          <w:b/>
          <w:bCs/>
          <w:iCs/>
          <w:sz w:val="22"/>
          <w:szCs w:val="22"/>
        </w:rPr>
        <w:t>quince días, contados a partir del día siguiente a la presentación de ésta.</w:t>
      </w:r>
      <w:r w:rsidRPr="004531A1">
        <w:rPr>
          <w:rFonts w:ascii="Palatino Linotype" w:hAnsi="Palatino Linotype" w:cs="Tahoma"/>
          <w:bCs/>
          <w:iCs/>
          <w:sz w:val="22"/>
          <w:szCs w:val="22"/>
        </w:rPr>
        <w:t xml:space="preserve"> Excepcionalmente, el plazo referido podrá </w:t>
      </w:r>
      <w:r w:rsidRPr="004531A1">
        <w:rPr>
          <w:rFonts w:ascii="Palatino Linotype" w:hAnsi="Palatino Linotype" w:cs="Tahoma"/>
          <w:bCs/>
          <w:iCs/>
          <w:sz w:val="22"/>
          <w:szCs w:val="22"/>
        </w:rPr>
        <w:lastRenderedPageBreak/>
        <w:t>ampliarse por siete días hábiles más, cuando existan razones fundadas y motivadas, a través del Comité de Transparencia;</w:t>
      </w:r>
    </w:p>
    <w:p w:rsidRPr="004531A1" w:rsidR="00253343" w:rsidP="00253343" w:rsidRDefault="00253343" w14:paraId="2FC8E4C0" w14:textId="77777777">
      <w:pPr>
        <w:spacing w:line="360" w:lineRule="auto"/>
        <w:jc w:val="both"/>
        <w:rPr>
          <w:rFonts w:ascii="Palatino Linotype" w:hAnsi="Palatino Linotype" w:cs="Tahoma"/>
          <w:bCs/>
          <w:iCs/>
          <w:sz w:val="22"/>
          <w:szCs w:val="22"/>
        </w:rPr>
      </w:pPr>
    </w:p>
    <w:p w:rsidRPr="004531A1" w:rsidR="00253343" w:rsidP="00253343" w:rsidRDefault="00253343" w14:paraId="48FC72FD" w14:textId="77777777">
      <w:pPr>
        <w:numPr>
          <w:ilvl w:val="0"/>
          <w:numId w:val="5"/>
        </w:numPr>
        <w:spacing w:line="360" w:lineRule="auto"/>
        <w:jc w:val="both"/>
        <w:rPr>
          <w:rFonts w:ascii="Palatino Linotype" w:hAnsi="Palatino Linotype" w:cs="Tahoma"/>
          <w:b/>
          <w:bCs/>
          <w:iCs/>
          <w:sz w:val="22"/>
          <w:szCs w:val="22"/>
        </w:rPr>
      </w:pPr>
      <w:r w:rsidRPr="004531A1">
        <w:rPr>
          <w:rFonts w:ascii="Palatino Linotype" w:hAnsi="Palatino Linotype" w:cs="Tahoma"/>
          <w:bCs/>
          <w:iCs/>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4531A1">
        <w:rPr>
          <w:rFonts w:ascii="Palatino Linotype" w:hAnsi="Palatino Linotype" w:cs="Tahoma"/>
          <w:b/>
          <w:bCs/>
          <w:iCs/>
          <w:sz w:val="22"/>
          <w:szCs w:val="22"/>
        </w:rPr>
        <w:t>que se encuentren en sus archivos o que estén constreñidos a elaborar;</w:t>
      </w:r>
    </w:p>
    <w:p w:rsidRPr="004531A1" w:rsidR="00253343" w:rsidP="00253343" w:rsidRDefault="00253343" w14:paraId="17D43A91" w14:textId="77777777">
      <w:pPr>
        <w:spacing w:line="360" w:lineRule="auto"/>
        <w:jc w:val="both"/>
        <w:rPr>
          <w:rFonts w:ascii="Palatino Linotype" w:hAnsi="Palatino Linotype" w:cs="Tahoma"/>
          <w:b/>
          <w:bCs/>
          <w:iCs/>
          <w:sz w:val="22"/>
          <w:szCs w:val="22"/>
        </w:rPr>
      </w:pPr>
    </w:p>
    <w:p w:rsidRPr="004531A1" w:rsidR="00253343" w:rsidP="00253343" w:rsidRDefault="00253343" w14:paraId="43D77A4F" w14:textId="77777777">
      <w:pPr>
        <w:numPr>
          <w:ilvl w:val="0"/>
          <w:numId w:val="5"/>
        </w:numPr>
        <w:spacing w:line="360" w:lineRule="auto"/>
        <w:jc w:val="both"/>
        <w:rPr>
          <w:rFonts w:ascii="Palatino Linotype" w:hAnsi="Palatino Linotype" w:cs="Tahoma"/>
          <w:b/>
          <w:bCs/>
          <w:iCs/>
          <w:sz w:val="22"/>
          <w:szCs w:val="22"/>
        </w:rPr>
      </w:pPr>
      <w:r w:rsidRPr="004531A1">
        <w:rPr>
          <w:rFonts w:ascii="Palatino Linotype" w:hAnsi="Palatino Linotype" w:cs="Tahoma"/>
          <w:bCs/>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4531A1" w:rsidR="00253343" w:rsidP="00253343" w:rsidRDefault="00253343" w14:paraId="3C7BF3EE" w14:textId="77777777">
      <w:pPr>
        <w:pStyle w:val="Prrafodelista"/>
        <w:spacing w:line="360" w:lineRule="auto"/>
        <w:jc w:val="both"/>
        <w:rPr>
          <w:rFonts w:ascii="Palatino Linotype" w:hAnsi="Palatino Linotype" w:cs="Tahoma"/>
          <w:b/>
          <w:bCs/>
          <w:iCs/>
          <w:szCs w:val="22"/>
        </w:rPr>
      </w:pPr>
    </w:p>
    <w:p w:rsidRPr="004531A1" w:rsidR="00253343" w:rsidP="00253343" w:rsidRDefault="00253343" w14:paraId="7A49B305" w14:textId="3CA581B7">
      <w:pPr>
        <w:numPr>
          <w:ilvl w:val="0"/>
          <w:numId w:val="5"/>
        </w:numPr>
        <w:spacing w:line="360" w:lineRule="auto"/>
        <w:jc w:val="both"/>
        <w:rPr>
          <w:rFonts w:ascii="Palatino Linotype" w:hAnsi="Palatino Linotype" w:cs="Tahoma"/>
          <w:b/>
          <w:bCs/>
          <w:iCs/>
          <w:sz w:val="22"/>
          <w:szCs w:val="22"/>
        </w:rPr>
      </w:pPr>
      <w:r w:rsidRPr="004531A1">
        <w:rPr>
          <w:rFonts w:ascii="Palatino Linotype" w:hAnsi="Palatino Linotype" w:cs="Tahoma"/>
          <w:bCs/>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253343" w:rsidP="00253343" w:rsidRDefault="00253343" w14:paraId="7865C48B" w14:textId="77777777">
      <w:pPr>
        <w:spacing w:line="360" w:lineRule="auto"/>
        <w:jc w:val="both"/>
        <w:rPr>
          <w:rFonts w:ascii="Palatino Linotype" w:hAnsi="Palatino Linotype" w:cs="Tahoma"/>
          <w:iCs/>
          <w:sz w:val="22"/>
          <w:szCs w:val="22"/>
          <w:lang w:val="es-ES"/>
        </w:rPr>
      </w:pPr>
    </w:p>
    <w:p w:rsidRPr="00676B9B" w:rsidR="0057048F" w:rsidP="0057048F" w:rsidRDefault="0057048F" w14:paraId="7B2E5EAA" w14:textId="3A2619D5">
      <w:pPr>
        <w:spacing w:line="360" w:lineRule="auto"/>
        <w:jc w:val="both"/>
        <w:rPr>
          <w:rFonts w:ascii="Palatino Linotype" w:hAnsi="Palatino Linotype" w:cs="Tahoma"/>
          <w:iCs/>
          <w:sz w:val="22"/>
          <w:szCs w:val="22"/>
          <w:lang w:val="es-ES"/>
        </w:rPr>
      </w:pPr>
      <w:r>
        <w:rPr>
          <w:rFonts w:ascii="Palatino Linotype" w:hAnsi="Palatino Linotype" w:cs="Tahoma"/>
          <w:iCs/>
          <w:sz w:val="22"/>
          <w:szCs w:val="22"/>
          <w:lang w:val="es-ES"/>
        </w:rPr>
        <w:t xml:space="preserve">Expuestas las posturas de las partes, se procede al análisis </w:t>
      </w:r>
      <w:r w:rsidR="009924DF">
        <w:rPr>
          <w:rFonts w:ascii="Palatino Linotype" w:hAnsi="Palatino Linotype" w:cs="Tahoma"/>
          <w:iCs/>
          <w:sz w:val="22"/>
          <w:szCs w:val="22"/>
          <w:lang w:val="es-ES"/>
        </w:rPr>
        <w:t>del agravio hecho valer por la a</w:t>
      </w:r>
      <w:r>
        <w:rPr>
          <w:rFonts w:ascii="Palatino Linotype" w:hAnsi="Palatino Linotype" w:cs="Tahoma"/>
          <w:iCs/>
          <w:sz w:val="22"/>
          <w:szCs w:val="22"/>
          <w:lang w:val="es-ES"/>
        </w:rPr>
        <w:t>hora Recurrente, consistente en la entrega incompleta de la información solicitada. Conforme a lo anterior, se logra vislumbrar que la pretensión de</w:t>
      </w:r>
      <w:r>
        <w:rPr>
          <w:rFonts w:ascii="Palatino Linotype" w:hAnsi="Palatino Linotype" w:cs="Tahoma"/>
          <w:iCs/>
          <w:szCs w:val="22"/>
          <w:lang w:val="es-ES"/>
        </w:rPr>
        <w:t xml:space="preserve"> </w:t>
      </w:r>
      <w:r w:rsidR="00676B9B">
        <w:rPr>
          <w:rFonts w:ascii="Palatino Linotype" w:hAnsi="Palatino Linotype" w:cs="Tahoma"/>
          <w:iCs/>
          <w:sz w:val="22"/>
          <w:szCs w:val="22"/>
          <w:lang w:val="es-ES"/>
        </w:rPr>
        <w:t>la</w:t>
      </w:r>
      <w:r>
        <w:rPr>
          <w:rFonts w:ascii="Palatino Linotype" w:hAnsi="Palatino Linotype" w:cs="Tahoma"/>
          <w:iCs/>
          <w:sz w:val="22"/>
          <w:szCs w:val="22"/>
          <w:lang w:val="es-ES"/>
        </w:rPr>
        <w:t xml:space="preserve"> Solicitante</w:t>
      </w:r>
      <w:r>
        <w:rPr>
          <w:rFonts w:ascii="Palatino Linotype" w:hAnsi="Palatino Linotype" w:cs="Tahoma"/>
          <w:iCs/>
          <w:szCs w:val="22"/>
          <w:lang w:val="es-ES"/>
        </w:rPr>
        <w:t xml:space="preserve"> </w:t>
      </w:r>
      <w:r w:rsidRPr="00676B9B">
        <w:rPr>
          <w:rFonts w:ascii="Palatino Linotype" w:hAnsi="Palatino Linotype" w:cs="Tahoma"/>
          <w:iCs/>
          <w:sz w:val="22"/>
          <w:szCs w:val="22"/>
          <w:lang w:val="es-ES"/>
        </w:rPr>
        <w:t xml:space="preserve">es; conocer </w:t>
      </w:r>
      <w:r w:rsidRPr="00676B9B">
        <w:rPr>
          <w:rFonts w:ascii="Palatino Linotype" w:hAnsi="Palatino Linotype" w:eastAsia="Calibri" w:cs="Tahoma"/>
          <w:color w:val="000000"/>
          <w:sz w:val="22"/>
          <w:szCs w:val="22"/>
          <w:lang w:val="es-ES" w:eastAsia="es-MX"/>
        </w:rPr>
        <w:t xml:space="preserve">de la Dirección de Cultura del Ayuntamiento de Metepec. </w:t>
      </w:r>
    </w:p>
    <w:p w:rsidR="005C4D41" w:rsidP="0057048F" w:rsidRDefault="005C4D41" w14:paraId="05E2B15B" w14:textId="77777777">
      <w:pPr>
        <w:pStyle w:val="Prrafodelista"/>
        <w:autoSpaceDE w:val="0"/>
        <w:autoSpaceDN w:val="0"/>
        <w:adjustRightInd w:val="0"/>
        <w:spacing w:line="360" w:lineRule="auto"/>
        <w:ind w:left="0" w:right="-28"/>
        <w:jc w:val="both"/>
        <w:rPr>
          <w:rFonts w:ascii="Palatino Linotype" w:hAnsi="Palatino Linotype" w:eastAsia="Calibri" w:cs="Tahoma"/>
          <w:color w:val="000000"/>
          <w:lang w:val="es-ES" w:eastAsia="es-MX"/>
        </w:rPr>
      </w:pPr>
    </w:p>
    <w:p w:rsidRPr="005C4D41" w:rsidR="0057048F" w:rsidP="005C4D41" w:rsidRDefault="0057048F" w14:paraId="42515927" w14:textId="62C85F5D">
      <w:pPr>
        <w:pStyle w:val="Prrafodelista"/>
        <w:numPr>
          <w:ilvl w:val="0"/>
          <w:numId w:val="7"/>
        </w:numPr>
        <w:autoSpaceDE w:val="0"/>
        <w:autoSpaceDN w:val="0"/>
        <w:adjustRightInd w:val="0"/>
        <w:spacing w:line="360" w:lineRule="auto"/>
        <w:ind w:right="-28"/>
        <w:jc w:val="both"/>
        <w:rPr>
          <w:rFonts w:ascii="Palatino Linotype" w:hAnsi="Palatino Linotype" w:eastAsia="Calibri" w:cs="Tahoma"/>
          <w:color w:val="000000"/>
          <w:lang w:val="es-ES" w:eastAsia="es-MX"/>
        </w:rPr>
      </w:pPr>
      <w:r>
        <w:rPr>
          <w:rFonts w:ascii="Palatino Linotype" w:hAnsi="Palatino Linotype" w:eastAsia="Calibri" w:cs="Tahoma"/>
          <w:color w:val="000000"/>
          <w:lang w:val="es-ES" w:eastAsia="es-MX"/>
        </w:rPr>
        <w:lastRenderedPageBreak/>
        <w:t>Presu</w:t>
      </w:r>
      <w:r w:rsidRPr="005C4D41">
        <w:rPr>
          <w:rFonts w:ascii="Palatino Linotype" w:hAnsi="Palatino Linotype" w:eastAsia="Calibri" w:cs="Tahoma"/>
          <w:color w:val="000000"/>
          <w:lang w:val="es-ES" w:eastAsia="es-MX"/>
        </w:rPr>
        <w:t>puesto dos mil veintidós;</w:t>
      </w:r>
    </w:p>
    <w:p w:rsidRPr="00A34355" w:rsidR="0057048F" w:rsidP="00A34355" w:rsidRDefault="0057048F" w14:paraId="3E3F5041" w14:textId="6EDC1A87">
      <w:pPr>
        <w:pStyle w:val="Prrafodelista"/>
        <w:numPr>
          <w:ilvl w:val="0"/>
          <w:numId w:val="7"/>
        </w:numPr>
        <w:autoSpaceDE w:val="0"/>
        <w:autoSpaceDN w:val="0"/>
        <w:adjustRightInd w:val="0"/>
        <w:spacing w:line="360" w:lineRule="auto"/>
        <w:ind w:right="-28"/>
        <w:jc w:val="both"/>
        <w:rPr>
          <w:rFonts w:ascii="Palatino Linotype" w:hAnsi="Palatino Linotype" w:eastAsia="Calibri" w:cs="Tahoma"/>
          <w:color w:val="000000"/>
          <w:lang w:val="es-ES" w:eastAsia="es-MX"/>
        </w:rPr>
      </w:pPr>
      <w:r>
        <w:rPr>
          <w:rFonts w:ascii="Palatino Linotype" w:hAnsi="Palatino Linotype" w:eastAsia="Calibri" w:cs="Tahoma"/>
          <w:color w:val="000000"/>
          <w:lang w:val="es-ES" w:eastAsia="es-MX"/>
        </w:rPr>
        <w:t>Gastos del primer trimestre</w:t>
      </w:r>
      <w:r w:rsidR="0073408A">
        <w:rPr>
          <w:rFonts w:ascii="Palatino Linotype" w:hAnsi="Palatino Linotype" w:eastAsia="Calibri" w:cs="Tahoma"/>
          <w:color w:val="000000"/>
          <w:lang w:val="es-ES" w:eastAsia="es-MX"/>
        </w:rPr>
        <w:t>;</w:t>
      </w:r>
    </w:p>
    <w:p w:rsidR="0057048F" w:rsidP="00253343" w:rsidRDefault="005C4D41" w14:paraId="54EBF54D" w14:textId="43766EE8">
      <w:pPr>
        <w:pStyle w:val="Prrafodelista"/>
        <w:numPr>
          <w:ilvl w:val="0"/>
          <w:numId w:val="7"/>
        </w:numPr>
        <w:autoSpaceDE w:val="0"/>
        <w:autoSpaceDN w:val="0"/>
        <w:adjustRightInd w:val="0"/>
        <w:spacing w:line="360" w:lineRule="auto"/>
        <w:ind w:right="-28"/>
        <w:jc w:val="both"/>
        <w:rPr>
          <w:rFonts w:ascii="Palatino Linotype" w:hAnsi="Palatino Linotype" w:eastAsia="Calibri" w:cs="Tahoma"/>
          <w:color w:val="000000"/>
          <w:lang w:val="es-ES" w:eastAsia="es-MX"/>
        </w:rPr>
      </w:pPr>
      <w:r>
        <w:rPr>
          <w:rFonts w:ascii="Palatino Linotype" w:hAnsi="Palatino Linotype" w:eastAsia="Calibri" w:cs="Tahoma"/>
          <w:color w:val="000000"/>
          <w:lang w:val="es-ES" w:eastAsia="es-MX"/>
        </w:rPr>
        <w:t>Contratos</w:t>
      </w:r>
      <w:r w:rsidR="0073408A">
        <w:rPr>
          <w:rFonts w:ascii="Palatino Linotype" w:hAnsi="Palatino Linotype" w:eastAsia="Calibri" w:cs="Tahoma"/>
          <w:color w:val="000000"/>
          <w:lang w:val="es-ES" w:eastAsia="es-MX"/>
        </w:rPr>
        <w:t xml:space="preserve">, </w:t>
      </w:r>
      <w:r>
        <w:rPr>
          <w:rFonts w:ascii="Palatino Linotype" w:hAnsi="Palatino Linotype" w:eastAsia="Calibri" w:cs="Tahoma"/>
          <w:color w:val="000000"/>
          <w:lang w:val="es-ES" w:eastAsia="es-MX"/>
        </w:rPr>
        <w:t>facturas</w:t>
      </w:r>
      <w:r w:rsidR="0073408A">
        <w:rPr>
          <w:rFonts w:ascii="Palatino Linotype" w:hAnsi="Palatino Linotype" w:eastAsia="Calibri" w:cs="Tahoma"/>
          <w:color w:val="000000"/>
          <w:lang w:val="es-ES" w:eastAsia="es-MX"/>
        </w:rPr>
        <w:t xml:space="preserve"> y acuses</w:t>
      </w:r>
      <w:r>
        <w:rPr>
          <w:rFonts w:ascii="Palatino Linotype" w:hAnsi="Palatino Linotype" w:eastAsia="Calibri" w:cs="Tahoma"/>
          <w:color w:val="000000"/>
          <w:lang w:val="es-ES" w:eastAsia="es-MX"/>
        </w:rPr>
        <w:t xml:space="preserve"> de pagos de e</w:t>
      </w:r>
      <w:r w:rsidRPr="005C4D41" w:rsidR="0057048F">
        <w:rPr>
          <w:rFonts w:ascii="Palatino Linotype" w:hAnsi="Palatino Linotype" w:eastAsia="Calibri" w:cs="Tahoma"/>
          <w:color w:val="000000"/>
          <w:lang w:val="es-ES" w:eastAsia="es-MX"/>
        </w:rPr>
        <w:t>ventos, infraestructura, lonas</w:t>
      </w:r>
      <w:r w:rsidR="0073408A">
        <w:rPr>
          <w:rFonts w:ascii="Palatino Linotype" w:hAnsi="Palatino Linotype" w:eastAsia="Calibri" w:cs="Tahoma"/>
          <w:color w:val="000000"/>
          <w:lang w:val="es-ES" w:eastAsia="es-MX"/>
        </w:rPr>
        <w:t xml:space="preserve">, </w:t>
      </w:r>
      <w:r w:rsidRPr="005C4D41" w:rsidR="0057048F">
        <w:rPr>
          <w:rFonts w:ascii="Palatino Linotype" w:hAnsi="Palatino Linotype" w:eastAsia="Calibri" w:cs="Tahoma"/>
          <w:color w:val="000000"/>
          <w:lang w:val="es-ES" w:eastAsia="es-MX"/>
        </w:rPr>
        <w:t>sonido</w:t>
      </w:r>
      <w:r>
        <w:rPr>
          <w:rFonts w:ascii="Palatino Linotype" w:hAnsi="Palatino Linotype" w:eastAsia="Calibri" w:cs="Tahoma"/>
          <w:color w:val="000000"/>
          <w:lang w:val="es-ES" w:eastAsia="es-MX"/>
        </w:rPr>
        <w:t>, s</w:t>
      </w:r>
      <w:r w:rsidRPr="005C4D41" w:rsidR="0057048F">
        <w:rPr>
          <w:rFonts w:ascii="Palatino Linotype" w:hAnsi="Palatino Linotype" w:eastAsia="Calibri" w:cs="Tahoma"/>
          <w:color w:val="000000"/>
          <w:lang w:val="es-ES" w:eastAsia="es-MX"/>
        </w:rPr>
        <w:t>ervicio de cafetería y transporte</w:t>
      </w:r>
      <w:r w:rsidR="00A34355">
        <w:rPr>
          <w:rFonts w:ascii="Palatino Linotype" w:hAnsi="Palatino Linotype" w:eastAsia="Calibri" w:cs="Tahoma"/>
          <w:color w:val="000000"/>
          <w:lang w:val="es-ES" w:eastAsia="es-MX"/>
        </w:rPr>
        <w:t xml:space="preserve"> y;</w:t>
      </w:r>
    </w:p>
    <w:p w:rsidR="00A34355" w:rsidP="00A34355" w:rsidRDefault="00A34355" w14:paraId="06FB6FD1" w14:textId="77777777">
      <w:pPr>
        <w:pStyle w:val="Prrafodelista"/>
        <w:numPr>
          <w:ilvl w:val="0"/>
          <w:numId w:val="7"/>
        </w:numPr>
        <w:autoSpaceDE w:val="0"/>
        <w:autoSpaceDN w:val="0"/>
        <w:adjustRightInd w:val="0"/>
        <w:spacing w:line="360" w:lineRule="auto"/>
        <w:ind w:right="-28"/>
        <w:jc w:val="both"/>
        <w:rPr>
          <w:rFonts w:ascii="Palatino Linotype" w:hAnsi="Palatino Linotype" w:eastAsia="Calibri" w:cs="Tahoma"/>
          <w:color w:val="000000"/>
          <w:lang w:val="es-ES" w:eastAsia="es-MX"/>
        </w:rPr>
      </w:pPr>
      <w:r>
        <w:rPr>
          <w:rFonts w:ascii="Palatino Linotype" w:hAnsi="Palatino Linotype" w:eastAsia="Calibri" w:cs="Tahoma"/>
          <w:color w:val="000000"/>
          <w:lang w:val="es-ES" w:eastAsia="es-MX"/>
        </w:rPr>
        <w:t>Pagos de Nómina;</w:t>
      </w:r>
    </w:p>
    <w:p w:rsidR="005C4D41" w:rsidP="00253343" w:rsidRDefault="005C4D41" w14:paraId="4C1748B4" w14:textId="5841F220">
      <w:pPr>
        <w:spacing w:line="360" w:lineRule="auto"/>
        <w:jc w:val="both"/>
        <w:rPr>
          <w:rFonts w:ascii="Palatino Linotype" w:hAnsi="Palatino Linotype" w:cs="Tahoma"/>
          <w:iCs/>
          <w:sz w:val="22"/>
          <w:szCs w:val="22"/>
          <w:lang w:val="es-ES"/>
        </w:rPr>
      </w:pPr>
    </w:p>
    <w:p w:rsidR="0057048F" w:rsidP="00253343" w:rsidRDefault="00676B9B" w14:paraId="405F6B4E" w14:textId="5E46DBDE">
      <w:pPr>
        <w:spacing w:line="360" w:lineRule="auto"/>
        <w:jc w:val="both"/>
        <w:rPr>
          <w:rFonts w:ascii="Palatino Linotype" w:hAnsi="Palatino Linotype" w:cs="Tahoma"/>
          <w:iCs/>
          <w:sz w:val="22"/>
          <w:szCs w:val="22"/>
          <w:lang w:val="es-ES"/>
        </w:rPr>
      </w:pPr>
      <w:r>
        <w:rPr>
          <w:rFonts w:ascii="Palatino Linotype" w:hAnsi="Palatino Linotype" w:cs="Tahoma"/>
          <w:iCs/>
          <w:sz w:val="22"/>
          <w:szCs w:val="22"/>
          <w:lang w:val="es-ES"/>
        </w:rPr>
        <w:t xml:space="preserve">Es entonces que, el Sujeto Obligado realizó la entrega de una tabla en la que se observa la Clave y Partida presupuestal, </w:t>
      </w:r>
      <w:r w:rsidR="00DD7F51">
        <w:rPr>
          <w:rFonts w:ascii="Palatino Linotype" w:hAnsi="Palatino Linotype" w:cs="Tahoma"/>
          <w:iCs/>
          <w:sz w:val="22"/>
          <w:szCs w:val="22"/>
          <w:lang w:val="es-ES"/>
        </w:rPr>
        <w:t>C</w:t>
      </w:r>
      <w:r>
        <w:rPr>
          <w:rFonts w:ascii="Palatino Linotype" w:hAnsi="Palatino Linotype" w:cs="Tahoma"/>
          <w:iCs/>
          <w:sz w:val="22"/>
          <w:szCs w:val="22"/>
          <w:lang w:val="es-ES"/>
        </w:rPr>
        <w:t>oncepto</w:t>
      </w:r>
      <w:r w:rsidR="00DD7F51">
        <w:rPr>
          <w:rFonts w:ascii="Palatino Linotype" w:hAnsi="Palatino Linotype" w:cs="Tahoma"/>
          <w:iCs/>
          <w:sz w:val="22"/>
          <w:szCs w:val="22"/>
          <w:lang w:val="es-ES"/>
        </w:rPr>
        <w:t>, M</w:t>
      </w:r>
      <w:r>
        <w:rPr>
          <w:rFonts w:ascii="Palatino Linotype" w:hAnsi="Palatino Linotype" w:cs="Tahoma"/>
          <w:iCs/>
          <w:sz w:val="22"/>
          <w:szCs w:val="22"/>
          <w:lang w:val="es-ES"/>
        </w:rPr>
        <w:t xml:space="preserve">onto </w:t>
      </w:r>
      <w:r w:rsidR="00DD7F51">
        <w:rPr>
          <w:rFonts w:ascii="Palatino Linotype" w:hAnsi="Palatino Linotype" w:cs="Tahoma"/>
          <w:iCs/>
          <w:sz w:val="22"/>
          <w:szCs w:val="22"/>
          <w:lang w:val="es-ES"/>
        </w:rPr>
        <w:t>E</w:t>
      </w:r>
      <w:r>
        <w:rPr>
          <w:rFonts w:ascii="Palatino Linotype" w:hAnsi="Palatino Linotype" w:cs="Tahoma"/>
          <w:iCs/>
          <w:sz w:val="22"/>
          <w:szCs w:val="22"/>
          <w:lang w:val="es-ES"/>
        </w:rPr>
        <w:t>jercido</w:t>
      </w:r>
      <w:r w:rsidR="00DD7F51">
        <w:rPr>
          <w:rFonts w:ascii="Palatino Linotype" w:hAnsi="Palatino Linotype" w:cs="Tahoma"/>
          <w:iCs/>
          <w:sz w:val="22"/>
          <w:szCs w:val="22"/>
          <w:lang w:val="es-ES"/>
        </w:rPr>
        <w:t xml:space="preserve">, así como el Presupuesto Anual Autorizado, sin embargo, la hoy Recurrente se inconformó de que la información aportada, es incompleta. </w:t>
      </w:r>
    </w:p>
    <w:p w:rsidR="00DD7F51" w:rsidP="00253343" w:rsidRDefault="00DD7F51" w14:paraId="5F6DBECB" w14:textId="103D6836">
      <w:pPr>
        <w:spacing w:line="360" w:lineRule="auto"/>
        <w:jc w:val="both"/>
        <w:rPr>
          <w:rFonts w:ascii="Palatino Linotype" w:hAnsi="Palatino Linotype" w:cs="Tahoma"/>
          <w:iCs/>
          <w:sz w:val="22"/>
          <w:szCs w:val="22"/>
          <w:lang w:val="es-ES"/>
        </w:rPr>
      </w:pPr>
    </w:p>
    <w:p w:rsidRPr="00032FCC" w:rsidR="00032FCC" w:rsidP="00032FCC" w:rsidRDefault="00DD7F51" w14:paraId="060A0A2A" w14:textId="593DB343">
      <w:pPr>
        <w:spacing w:line="360" w:lineRule="auto"/>
        <w:jc w:val="both"/>
        <w:rPr>
          <w:rFonts w:cs="Tahoma"/>
          <w:sz w:val="22"/>
          <w:szCs w:val="22"/>
          <w:lang w:eastAsia="en-US"/>
        </w:rPr>
      </w:pPr>
      <w:r>
        <w:rPr>
          <w:rFonts w:ascii="Palatino Linotype" w:hAnsi="Palatino Linotype" w:cs="Tahoma"/>
          <w:iCs/>
          <w:sz w:val="22"/>
          <w:szCs w:val="22"/>
          <w:lang w:val="es-ES"/>
        </w:rPr>
        <w:t xml:space="preserve">De lo anterior se logra </w:t>
      </w:r>
      <w:r w:rsidR="00032FCC">
        <w:rPr>
          <w:rFonts w:ascii="Palatino Linotype" w:hAnsi="Palatino Linotype" w:cs="Tahoma"/>
          <w:iCs/>
          <w:sz w:val="22"/>
          <w:szCs w:val="22"/>
          <w:lang w:val="es-ES"/>
        </w:rPr>
        <w:t>vislumbrar que,</w:t>
      </w:r>
      <w:r>
        <w:rPr>
          <w:rFonts w:ascii="Palatino Linotype" w:hAnsi="Palatino Linotype" w:cs="Tahoma"/>
          <w:iCs/>
          <w:sz w:val="22"/>
          <w:szCs w:val="22"/>
          <w:lang w:val="es-ES"/>
        </w:rPr>
        <w:t xml:space="preserve"> la Particular no se inconformó de la totalidad de la respuesta, </w:t>
      </w:r>
      <w:r w:rsidR="009924DF">
        <w:rPr>
          <w:rFonts w:ascii="Palatino Linotype" w:hAnsi="Palatino Linotype" w:cs="Tahoma"/>
          <w:iCs/>
          <w:sz w:val="22"/>
          <w:szCs w:val="22"/>
          <w:lang w:val="es-ES"/>
        </w:rPr>
        <w:t xml:space="preserve">esto es, que de lo ya entregado se encuentra satisfecho, por lo que, debe entenderse que </w:t>
      </w:r>
      <w:r>
        <w:rPr>
          <w:rFonts w:ascii="Palatino Linotype" w:hAnsi="Palatino Linotype" w:cs="Tahoma"/>
          <w:iCs/>
          <w:sz w:val="22"/>
          <w:szCs w:val="22"/>
          <w:lang w:val="es-ES"/>
        </w:rPr>
        <w:t xml:space="preserve">señaló que la información está incompleta, por lo que </w:t>
      </w:r>
      <w:r w:rsidR="00032FCC">
        <w:rPr>
          <w:rFonts w:ascii="Palatino Linotype" w:hAnsi="Palatino Linotype" w:cs="Tahoma"/>
          <w:iCs/>
          <w:sz w:val="22"/>
          <w:szCs w:val="22"/>
          <w:lang w:val="es-ES"/>
        </w:rPr>
        <w:t xml:space="preserve">resulta relevante traer a colación </w:t>
      </w:r>
      <w:r w:rsidRPr="00032FCC" w:rsidR="00032FCC">
        <w:rPr>
          <w:rFonts w:ascii="Palatino Linotype" w:hAnsi="Palatino Linotype" w:cs="Tahoma"/>
          <w:sz w:val="22"/>
          <w:szCs w:val="22"/>
        </w:rPr>
        <w:t>el Criterio 01/20, emitido por el Instituto Nacional de Transparencia, Acceso a la Información y Protección de Datos Personales, que establece lo siguiente:</w:t>
      </w:r>
    </w:p>
    <w:p w:rsidR="005C4D41" w:rsidP="00032FCC" w:rsidRDefault="005C4D41" w14:paraId="4CDD90C0" w14:textId="77777777">
      <w:pPr>
        <w:spacing w:line="360" w:lineRule="auto"/>
        <w:rPr>
          <w:rFonts w:cs="Tahoma"/>
        </w:rPr>
      </w:pPr>
    </w:p>
    <w:p w:rsidRPr="00032FCC" w:rsidR="00032FCC" w:rsidP="00032FCC" w:rsidRDefault="00032FCC" w14:paraId="5EC52C74" w14:textId="77777777">
      <w:pPr>
        <w:spacing w:line="360" w:lineRule="auto"/>
        <w:ind w:left="567" w:right="567"/>
        <w:rPr>
          <w:rFonts w:ascii="Palatino Linotype" w:hAnsi="Palatino Linotype" w:cs="Tahoma"/>
          <w:i/>
          <w:iCs/>
        </w:rPr>
      </w:pPr>
      <w:r w:rsidRPr="00032FCC">
        <w:rPr>
          <w:rFonts w:ascii="Palatino Linotype" w:hAnsi="Palatino Linotype" w:cs="Tahoma"/>
          <w:b/>
          <w:bCs/>
          <w:i/>
          <w:iCs/>
        </w:rPr>
        <w:t>Actos consentidos tácitamente. Improcedencia de su análisis.</w:t>
      </w:r>
    </w:p>
    <w:p w:rsidRPr="00032FCC" w:rsidR="00032FCC" w:rsidP="00032FCC" w:rsidRDefault="00032FCC" w14:paraId="4D4738BA" w14:textId="3FD65926">
      <w:pPr>
        <w:spacing w:line="360" w:lineRule="auto"/>
        <w:ind w:left="567" w:right="567"/>
        <w:jc w:val="both"/>
        <w:rPr>
          <w:rFonts w:ascii="Palatino Linotype" w:hAnsi="Palatino Linotype" w:cs="Tahoma"/>
          <w:i/>
          <w:iCs/>
        </w:rPr>
      </w:pPr>
      <w:r w:rsidRPr="00032FCC">
        <w:rPr>
          <w:rFonts w:ascii="Palatino Linotype" w:hAnsi="Palatino Linotype" w:cs="Tahoma"/>
          <w:i/>
          <w:iCs/>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00DD7F51" w:rsidP="00253343" w:rsidRDefault="00DD7F51" w14:paraId="1ED399C4" w14:textId="4BC5D46B">
      <w:pPr>
        <w:spacing w:line="360" w:lineRule="auto"/>
        <w:jc w:val="both"/>
        <w:rPr>
          <w:rFonts w:ascii="Palatino Linotype" w:hAnsi="Palatino Linotype" w:cs="Tahoma"/>
          <w:iCs/>
          <w:sz w:val="22"/>
          <w:szCs w:val="22"/>
          <w:lang w:val="es-ES"/>
        </w:rPr>
      </w:pPr>
    </w:p>
    <w:p w:rsidR="0073408A" w:rsidP="0073408A" w:rsidRDefault="006F18D3" w14:paraId="5020B82A" w14:textId="6AD9AB29">
      <w:pPr>
        <w:spacing w:line="360" w:lineRule="auto"/>
        <w:jc w:val="both"/>
        <w:rPr>
          <w:rFonts w:ascii="Palatino Linotype" w:hAnsi="Palatino Linotype" w:cs="Tahoma"/>
          <w:iCs/>
          <w:sz w:val="22"/>
          <w:szCs w:val="22"/>
          <w:lang w:val="es-ES"/>
        </w:rPr>
      </w:pPr>
      <w:r>
        <w:rPr>
          <w:rFonts w:ascii="Palatino Linotype" w:hAnsi="Palatino Linotype" w:cs="Tahoma"/>
          <w:iCs/>
          <w:sz w:val="22"/>
          <w:szCs w:val="22"/>
          <w:lang w:val="es-ES"/>
        </w:rPr>
        <w:t>D</w:t>
      </w:r>
      <w:r w:rsidRPr="0073408A" w:rsidR="0073408A">
        <w:rPr>
          <w:rFonts w:ascii="Palatino Linotype" w:hAnsi="Palatino Linotype" w:cs="Tahoma"/>
          <w:iCs/>
          <w:sz w:val="22"/>
          <w:szCs w:val="22"/>
          <w:lang w:val="es-ES"/>
        </w:rPr>
        <w:t>icha determinación toma sustento, en el</w:t>
      </w:r>
      <w:r w:rsidR="0073408A">
        <w:rPr>
          <w:rFonts w:ascii="Palatino Linotype" w:hAnsi="Palatino Linotype" w:cs="Tahoma"/>
          <w:iCs/>
          <w:sz w:val="22"/>
          <w:szCs w:val="22"/>
          <w:lang w:val="es-ES"/>
        </w:rPr>
        <w:t xml:space="preserve"> </w:t>
      </w:r>
      <w:r w:rsidRPr="0073408A" w:rsidR="0073408A">
        <w:rPr>
          <w:rFonts w:ascii="Palatino Linotype" w:hAnsi="Palatino Linotype" w:cs="Tahoma"/>
          <w:iCs/>
          <w:sz w:val="22"/>
          <w:szCs w:val="22"/>
          <w:lang w:val="es-ES"/>
        </w:rPr>
        <w:t>artículo 12 de la Ley de Transparencia y Acceso a la Información Pública del Estado de</w:t>
      </w:r>
      <w:r w:rsidR="0073408A">
        <w:rPr>
          <w:rFonts w:ascii="Palatino Linotype" w:hAnsi="Palatino Linotype" w:cs="Tahoma"/>
          <w:iCs/>
          <w:sz w:val="22"/>
          <w:szCs w:val="22"/>
          <w:lang w:val="es-ES"/>
        </w:rPr>
        <w:t xml:space="preserve"> </w:t>
      </w:r>
      <w:r w:rsidRPr="0073408A" w:rsidR="0073408A">
        <w:rPr>
          <w:rFonts w:ascii="Palatino Linotype" w:hAnsi="Palatino Linotype" w:cs="Tahoma"/>
          <w:iCs/>
          <w:sz w:val="22"/>
          <w:szCs w:val="22"/>
          <w:lang w:val="es-ES"/>
        </w:rPr>
        <w:t>México y Municipios, los sujetos obligados sólo están constreñidos a proporcionar la</w:t>
      </w:r>
      <w:r w:rsidR="0073408A">
        <w:rPr>
          <w:rFonts w:ascii="Palatino Linotype" w:hAnsi="Palatino Linotype" w:cs="Tahoma"/>
          <w:iCs/>
          <w:sz w:val="22"/>
          <w:szCs w:val="22"/>
          <w:lang w:val="es-ES"/>
        </w:rPr>
        <w:t xml:space="preserve"> </w:t>
      </w:r>
      <w:r w:rsidRPr="0073408A" w:rsidR="0073408A">
        <w:rPr>
          <w:rFonts w:ascii="Palatino Linotype" w:hAnsi="Palatino Linotype" w:cs="Tahoma"/>
          <w:iCs/>
          <w:sz w:val="22"/>
          <w:szCs w:val="22"/>
          <w:lang w:val="es-ES"/>
        </w:rPr>
        <w:t>información pública que obre en sus archivos, en el estado en que esta se encuentre; por lo</w:t>
      </w:r>
      <w:r w:rsidR="0073408A">
        <w:rPr>
          <w:rFonts w:ascii="Palatino Linotype" w:hAnsi="Palatino Linotype" w:cs="Tahoma"/>
          <w:iCs/>
          <w:sz w:val="22"/>
          <w:szCs w:val="22"/>
          <w:lang w:val="es-ES"/>
        </w:rPr>
        <w:t xml:space="preserve"> </w:t>
      </w:r>
      <w:r w:rsidRPr="0073408A" w:rsidR="0073408A">
        <w:rPr>
          <w:rFonts w:ascii="Palatino Linotype" w:hAnsi="Palatino Linotype" w:cs="Tahoma"/>
          <w:iCs/>
          <w:sz w:val="22"/>
          <w:szCs w:val="22"/>
          <w:lang w:val="es-ES"/>
        </w:rPr>
        <w:t>que, la entrega no comprende el procesamiento de la misma, ni presentarla conforme al</w:t>
      </w:r>
      <w:r w:rsidR="0073408A">
        <w:rPr>
          <w:rFonts w:ascii="Palatino Linotype" w:hAnsi="Palatino Linotype" w:cs="Tahoma"/>
          <w:iCs/>
          <w:sz w:val="22"/>
          <w:szCs w:val="22"/>
          <w:lang w:val="es-ES"/>
        </w:rPr>
        <w:t xml:space="preserve"> </w:t>
      </w:r>
      <w:r w:rsidRPr="0073408A" w:rsidR="0073408A">
        <w:rPr>
          <w:rFonts w:ascii="Palatino Linotype" w:hAnsi="Palatino Linotype" w:cs="Tahoma"/>
          <w:iCs/>
          <w:sz w:val="22"/>
          <w:szCs w:val="22"/>
          <w:lang w:val="es-ES"/>
        </w:rPr>
        <w:t>interés del solicitante, además, que tampoco deberá generarla, resumirla, efectuar cálculos o</w:t>
      </w:r>
      <w:r w:rsidR="0073408A">
        <w:rPr>
          <w:rFonts w:ascii="Palatino Linotype" w:hAnsi="Palatino Linotype" w:cs="Tahoma"/>
          <w:iCs/>
          <w:sz w:val="22"/>
          <w:szCs w:val="22"/>
          <w:lang w:val="es-ES"/>
        </w:rPr>
        <w:t xml:space="preserve"> </w:t>
      </w:r>
      <w:r w:rsidRPr="0073408A" w:rsidR="0073408A">
        <w:rPr>
          <w:rFonts w:ascii="Palatino Linotype" w:hAnsi="Palatino Linotype" w:cs="Tahoma"/>
          <w:iCs/>
          <w:sz w:val="22"/>
          <w:szCs w:val="22"/>
          <w:lang w:val="es-ES"/>
        </w:rPr>
        <w:t>practicar investigaciones.</w:t>
      </w:r>
    </w:p>
    <w:p w:rsidRPr="0073408A" w:rsidR="0073408A" w:rsidP="0073408A" w:rsidRDefault="0073408A" w14:paraId="007645D5" w14:textId="77777777">
      <w:pPr>
        <w:spacing w:line="360" w:lineRule="auto"/>
        <w:jc w:val="both"/>
        <w:rPr>
          <w:rFonts w:ascii="Palatino Linotype" w:hAnsi="Palatino Linotype" w:cs="Tahoma"/>
          <w:iCs/>
          <w:sz w:val="22"/>
          <w:szCs w:val="22"/>
          <w:lang w:val="es-ES"/>
        </w:rPr>
      </w:pPr>
    </w:p>
    <w:p w:rsidR="0073408A" w:rsidP="0073408A" w:rsidRDefault="0073408A" w14:paraId="744E3B76" w14:textId="233BA29E">
      <w:pPr>
        <w:spacing w:line="360" w:lineRule="auto"/>
        <w:jc w:val="both"/>
        <w:rPr>
          <w:rFonts w:ascii="Palatino Linotype" w:hAnsi="Palatino Linotype" w:cs="Tahoma"/>
          <w:iCs/>
          <w:sz w:val="22"/>
          <w:szCs w:val="22"/>
          <w:lang w:val="es-ES"/>
        </w:rPr>
      </w:pPr>
      <w:r w:rsidRPr="0073408A">
        <w:rPr>
          <w:rFonts w:ascii="Palatino Linotype" w:hAnsi="Palatino Linotype" w:cs="Tahoma"/>
          <w:iCs/>
          <w:sz w:val="22"/>
          <w:szCs w:val="22"/>
          <w:lang w:val="es-ES"/>
        </w:rPr>
        <w:t>De esta manera, el derecho de acceso a la información pública se satisface en aquellos</w:t>
      </w:r>
      <w:r>
        <w:rPr>
          <w:rFonts w:ascii="Palatino Linotype" w:hAnsi="Palatino Linotype" w:cs="Tahoma"/>
          <w:iCs/>
          <w:sz w:val="22"/>
          <w:szCs w:val="22"/>
          <w:lang w:val="es-ES"/>
        </w:rPr>
        <w:t xml:space="preserve"> </w:t>
      </w:r>
      <w:r w:rsidRPr="0073408A">
        <w:rPr>
          <w:rFonts w:ascii="Palatino Linotype" w:hAnsi="Palatino Linotype" w:cs="Tahoma"/>
          <w:iCs/>
          <w:sz w:val="22"/>
          <w:szCs w:val="22"/>
          <w:lang w:val="es-ES"/>
        </w:rPr>
        <w:t>casos en que se entregue el soporte documental en el que conste la información solicitada,</w:t>
      </w:r>
      <w:r>
        <w:rPr>
          <w:rFonts w:ascii="Palatino Linotype" w:hAnsi="Palatino Linotype" w:cs="Tahoma"/>
          <w:iCs/>
          <w:sz w:val="22"/>
          <w:szCs w:val="22"/>
          <w:lang w:val="es-ES"/>
        </w:rPr>
        <w:t xml:space="preserve"> </w:t>
      </w:r>
      <w:r w:rsidRPr="0073408A">
        <w:rPr>
          <w:rFonts w:ascii="Palatino Linotype" w:hAnsi="Palatino Linotype" w:cs="Tahoma"/>
          <w:iCs/>
          <w:sz w:val="22"/>
          <w:szCs w:val="22"/>
          <w:lang w:val="es-ES"/>
        </w:rPr>
        <w:t>sin necesidad de elaborar documentos ad hoc; lo cual, toma sustento en el artículo 160 de la</w:t>
      </w:r>
      <w:r>
        <w:rPr>
          <w:rFonts w:ascii="Palatino Linotype" w:hAnsi="Palatino Linotype" w:cs="Tahoma"/>
          <w:iCs/>
          <w:sz w:val="22"/>
          <w:szCs w:val="22"/>
          <w:lang w:val="es-ES"/>
        </w:rPr>
        <w:t xml:space="preserve"> </w:t>
      </w:r>
      <w:r w:rsidRPr="0073408A">
        <w:rPr>
          <w:rFonts w:ascii="Palatino Linotype" w:hAnsi="Palatino Linotype" w:cs="Tahoma"/>
          <w:iCs/>
          <w:sz w:val="22"/>
          <w:szCs w:val="22"/>
          <w:lang w:val="es-ES"/>
        </w:rPr>
        <w:t>Ley de</w:t>
      </w:r>
      <w:r>
        <w:rPr>
          <w:rFonts w:ascii="Palatino Linotype" w:hAnsi="Palatino Linotype" w:cs="Tahoma"/>
          <w:iCs/>
          <w:sz w:val="22"/>
          <w:szCs w:val="22"/>
          <w:lang w:val="es-ES"/>
        </w:rPr>
        <w:t xml:space="preserve"> </w:t>
      </w:r>
      <w:r w:rsidRPr="0073408A">
        <w:rPr>
          <w:rFonts w:ascii="Palatino Linotype" w:hAnsi="Palatino Linotype" w:cs="Tahoma"/>
          <w:iCs/>
          <w:sz w:val="22"/>
          <w:szCs w:val="22"/>
          <w:lang w:val="es-ES"/>
        </w:rPr>
        <w:t>Transparencia y Acceso a la Información Pública del Estado de México y Municipios,</w:t>
      </w:r>
      <w:r>
        <w:rPr>
          <w:rFonts w:ascii="Palatino Linotype" w:hAnsi="Palatino Linotype" w:cs="Tahoma"/>
          <w:iCs/>
          <w:sz w:val="22"/>
          <w:szCs w:val="22"/>
          <w:lang w:val="es-ES"/>
        </w:rPr>
        <w:t xml:space="preserve"> </w:t>
      </w:r>
      <w:r w:rsidRPr="0073408A">
        <w:rPr>
          <w:rFonts w:ascii="Palatino Linotype" w:hAnsi="Palatino Linotype" w:cs="Tahoma"/>
          <w:iCs/>
          <w:sz w:val="22"/>
          <w:szCs w:val="22"/>
          <w:lang w:val="es-ES"/>
        </w:rPr>
        <w:t>el cual refiere que los sujetos obligados deberán entregar la información que obre en sus</w:t>
      </w:r>
      <w:r>
        <w:rPr>
          <w:rFonts w:ascii="Palatino Linotype" w:hAnsi="Palatino Linotype" w:cs="Tahoma"/>
          <w:iCs/>
          <w:sz w:val="22"/>
          <w:szCs w:val="22"/>
          <w:lang w:val="es-ES"/>
        </w:rPr>
        <w:t xml:space="preserve"> </w:t>
      </w:r>
      <w:r w:rsidRPr="0073408A">
        <w:rPr>
          <w:rFonts w:ascii="Palatino Linotype" w:hAnsi="Palatino Linotype" w:cs="Tahoma"/>
          <w:iCs/>
          <w:sz w:val="22"/>
          <w:szCs w:val="22"/>
          <w:lang w:val="es-ES"/>
        </w:rPr>
        <w:t>archivos.</w:t>
      </w:r>
    </w:p>
    <w:p w:rsidR="0073408A" w:rsidP="0073408A" w:rsidRDefault="0073408A" w14:paraId="41DA4C08" w14:textId="6EA3B76E">
      <w:pPr>
        <w:spacing w:line="360" w:lineRule="auto"/>
        <w:jc w:val="both"/>
        <w:rPr>
          <w:rFonts w:ascii="Palatino Linotype" w:hAnsi="Palatino Linotype" w:cs="Tahoma"/>
          <w:iCs/>
          <w:sz w:val="22"/>
          <w:szCs w:val="22"/>
          <w:lang w:val="es-ES"/>
        </w:rPr>
      </w:pPr>
    </w:p>
    <w:p w:rsidR="0073408A" w:rsidP="0073408A" w:rsidRDefault="0073408A" w14:paraId="19C0DFB7" w14:textId="63C8C8FB">
      <w:pPr>
        <w:spacing w:line="360" w:lineRule="auto"/>
        <w:jc w:val="both"/>
        <w:rPr>
          <w:rFonts w:ascii="Palatino Linotype" w:hAnsi="Palatino Linotype" w:cs="Tahoma"/>
          <w:iCs/>
          <w:sz w:val="22"/>
          <w:szCs w:val="22"/>
          <w:lang w:val="es-ES"/>
        </w:rPr>
      </w:pPr>
      <w:r w:rsidRPr="0073408A">
        <w:rPr>
          <w:rFonts w:ascii="Palatino Linotype" w:hAnsi="Palatino Linotype" w:cs="Tahoma"/>
          <w:iCs/>
          <w:sz w:val="22"/>
          <w:szCs w:val="22"/>
          <w:lang w:val="es-ES"/>
        </w:rPr>
        <w:t>De tales circunstancias, se concluye que los sujetos obligados únicamente se encuentran</w:t>
      </w:r>
      <w:r>
        <w:rPr>
          <w:rFonts w:ascii="Palatino Linotype" w:hAnsi="Palatino Linotype" w:cs="Tahoma"/>
          <w:iCs/>
          <w:sz w:val="22"/>
          <w:szCs w:val="22"/>
          <w:lang w:val="es-ES"/>
        </w:rPr>
        <w:t xml:space="preserve"> </w:t>
      </w:r>
      <w:r w:rsidRPr="0073408A">
        <w:rPr>
          <w:rFonts w:ascii="Palatino Linotype" w:hAnsi="Palatino Linotype" w:cs="Tahoma"/>
          <w:iCs/>
          <w:sz w:val="22"/>
          <w:szCs w:val="22"/>
          <w:lang w:val="es-ES"/>
        </w:rPr>
        <w:t>constreñidos a proporcionar los documentos que den cuenta de la información solicitada,</w:t>
      </w:r>
      <w:r>
        <w:rPr>
          <w:rFonts w:ascii="Palatino Linotype" w:hAnsi="Palatino Linotype" w:cs="Tahoma"/>
          <w:iCs/>
          <w:sz w:val="22"/>
          <w:szCs w:val="22"/>
          <w:lang w:val="es-ES"/>
        </w:rPr>
        <w:t xml:space="preserve"> </w:t>
      </w:r>
      <w:r w:rsidRPr="0073408A">
        <w:rPr>
          <w:rFonts w:ascii="Palatino Linotype" w:hAnsi="Palatino Linotype" w:cs="Tahoma"/>
          <w:iCs/>
          <w:sz w:val="22"/>
          <w:szCs w:val="22"/>
          <w:lang w:val="es-ES"/>
        </w:rPr>
        <w:t>como obren en sus archivos, sin tener que elaborarlos a las necesidades del Recurrente; por</w:t>
      </w:r>
      <w:r>
        <w:rPr>
          <w:rFonts w:ascii="Palatino Linotype" w:hAnsi="Palatino Linotype" w:cs="Tahoma"/>
          <w:iCs/>
          <w:sz w:val="22"/>
          <w:szCs w:val="22"/>
          <w:lang w:val="es-ES"/>
        </w:rPr>
        <w:t xml:space="preserve"> </w:t>
      </w:r>
      <w:r w:rsidRPr="0073408A">
        <w:rPr>
          <w:rFonts w:ascii="Palatino Linotype" w:hAnsi="Palatino Linotype" w:cs="Tahoma"/>
          <w:iCs/>
          <w:sz w:val="22"/>
          <w:szCs w:val="22"/>
          <w:lang w:val="es-ES"/>
        </w:rPr>
        <w:t>lo que, en el presente caso, el Ente Recurrido, deberá entregar aquellas expresiones</w:t>
      </w:r>
      <w:r>
        <w:rPr>
          <w:rFonts w:ascii="Palatino Linotype" w:hAnsi="Palatino Linotype" w:cs="Tahoma"/>
          <w:iCs/>
          <w:sz w:val="22"/>
          <w:szCs w:val="22"/>
          <w:lang w:val="es-ES"/>
        </w:rPr>
        <w:t xml:space="preserve"> </w:t>
      </w:r>
      <w:r w:rsidRPr="0073408A">
        <w:rPr>
          <w:rFonts w:ascii="Palatino Linotype" w:hAnsi="Palatino Linotype" w:cs="Tahoma"/>
          <w:iCs/>
          <w:sz w:val="22"/>
          <w:szCs w:val="22"/>
          <w:lang w:val="es-ES"/>
        </w:rPr>
        <w:t>documentales donde obre la información peticionada.</w:t>
      </w:r>
    </w:p>
    <w:p w:rsidR="0073408A" w:rsidP="003B411A" w:rsidRDefault="0073408A" w14:paraId="2B50DA63" w14:textId="77777777">
      <w:pPr>
        <w:spacing w:line="360" w:lineRule="auto"/>
        <w:jc w:val="both"/>
        <w:rPr>
          <w:rFonts w:ascii="Palatino Linotype" w:hAnsi="Palatino Linotype" w:cs="Tahoma"/>
          <w:iCs/>
          <w:sz w:val="22"/>
          <w:szCs w:val="22"/>
          <w:lang w:val="es-ES"/>
        </w:rPr>
      </w:pPr>
    </w:p>
    <w:p w:rsidR="003B411A" w:rsidP="003B411A" w:rsidRDefault="003B411A" w14:paraId="505C33DE" w14:textId="38810B01">
      <w:pPr>
        <w:spacing w:line="360" w:lineRule="auto"/>
        <w:jc w:val="both"/>
        <w:rPr>
          <w:rFonts w:ascii="Palatino Linotype" w:hAnsi="Palatino Linotype" w:cs="Tahoma"/>
          <w:iCs/>
          <w:sz w:val="22"/>
          <w:szCs w:val="22"/>
          <w:lang w:val="es-ES"/>
        </w:rPr>
      </w:pPr>
      <w:r w:rsidRPr="0073408A">
        <w:rPr>
          <w:rFonts w:ascii="Palatino Linotype" w:hAnsi="Palatino Linotype" w:cs="Tahoma"/>
          <w:iCs/>
          <w:sz w:val="22"/>
          <w:szCs w:val="22"/>
          <w:lang w:val="es-ES"/>
        </w:rPr>
        <w:t xml:space="preserve">De esta forma es </w:t>
      </w:r>
      <w:r w:rsidR="009924DF">
        <w:rPr>
          <w:rFonts w:ascii="Palatino Linotype" w:hAnsi="Palatino Linotype" w:cs="Tahoma"/>
          <w:iCs/>
          <w:sz w:val="22"/>
          <w:szCs w:val="22"/>
          <w:lang w:val="es-ES"/>
        </w:rPr>
        <w:t>necesario identificar las partes de la solicitud que quedaron atendidas, de la Dirección de Cultura</w:t>
      </w:r>
    </w:p>
    <w:p w:rsidRPr="009924DF" w:rsidR="009924DF" w:rsidP="009924DF" w:rsidRDefault="009924DF" w14:paraId="61F80754" w14:textId="635BC19C">
      <w:pPr>
        <w:autoSpaceDE w:val="0"/>
        <w:autoSpaceDN w:val="0"/>
        <w:adjustRightInd w:val="0"/>
        <w:spacing w:line="360" w:lineRule="auto"/>
        <w:ind w:right="-28"/>
        <w:jc w:val="both"/>
        <w:rPr>
          <w:rFonts w:ascii="Palatino Linotype" w:hAnsi="Palatino Linotype" w:eastAsia="Calibri" w:cs="Tahoma"/>
          <w:color w:val="000000"/>
          <w:lang w:val="es-ES" w:eastAsia="es-MX"/>
        </w:rPr>
      </w:pPr>
    </w:p>
    <w:tbl>
      <w:tblPr>
        <w:tblStyle w:val="Tablaconcuadrcula"/>
        <w:tblW w:w="0" w:type="auto"/>
        <w:tblLayout w:type="fixed"/>
        <w:tblLook w:val="04A0" w:firstRow="1" w:lastRow="0" w:firstColumn="1" w:lastColumn="0" w:noHBand="0" w:noVBand="1"/>
      </w:tblPr>
      <w:tblGrid>
        <w:gridCol w:w="1980"/>
        <w:gridCol w:w="2536"/>
        <w:gridCol w:w="2850"/>
        <w:gridCol w:w="1668"/>
      </w:tblGrid>
      <w:tr w:rsidR="009924DF" w:rsidTr="00650235" w14:paraId="406D0E88" w14:textId="77777777">
        <w:tc>
          <w:tcPr>
            <w:tcW w:w="1980" w:type="dxa"/>
            <w:shd w:val="clear" w:color="auto" w:fill="F2F2F2" w:themeFill="background1" w:themeFillShade="F2"/>
          </w:tcPr>
          <w:p w:rsidRPr="007D2815" w:rsidR="009924DF" w:rsidP="007D2815" w:rsidRDefault="009924DF" w14:paraId="5D5713F3" w14:textId="7E6DFC40">
            <w:pPr>
              <w:tabs>
                <w:tab w:val="right" w:pos="2042"/>
              </w:tabs>
              <w:spacing w:line="360" w:lineRule="auto"/>
              <w:jc w:val="center"/>
              <w:rPr>
                <w:rFonts w:ascii="Palatino Linotype" w:hAnsi="Palatino Linotype" w:cs="Tahoma"/>
                <w:b/>
                <w:iCs/>
                <w:sz w:val="22"/>
                <w:szCs w:val="22"/>
              </w:rPr>
            </w:pPr>
            <w:r w:rsidRPr="007D2815">
              <w:rPr>
                <w:rFonts w:ascii="Palatino Linotype" w:hAnsi="Palatino Linotype" w:cs="Tahoma"/>
                <w:b/>
                <w:iCs/>
                <w:sz w:val="22"/>
                <w:szCs w:val="22"/>
              </w:rPr>
              <w:t>Solicitud</w:t>
            </w:r>
          </w:p>
        </w:tc>
        <w:tc>
          <w:tcPr>
            <w:tcW w:w="2536" w:type="dxa"/>
            <w:shd w:val="clear" w:color="auto" w:fill="F2F2F2" w:themeFill="background1" w:themeFillShade="F2"/>
          </w:tcPr>
          <w:p w:rsidRPr="007D2815" w:rsidR="009924DF" w:rsidP="007D2815" w:rsidRDefault="009924DF" w14:paraId="70A53C80" w14:textId="36CC0AE8">
            <w:pPr>
              <w:spacing w:line="360" w:lineRule="auto"/>
              <w:jc w:val="center"/>
              <w:rPr>
                <w:rFonts w:ascii="Palatino Linotype" w:hAnsi="Palatino Linotype" w:cs="Tahoma"/>
                <w:b/>
                <w:iCs/>
                <w:sz w:val="22"/>
                <w:szCs w:val="22"/>
              </w:rPr>
            </w:pPr>
            <w:r w:rsidRPr="007D2815">
              <w:rPr>
                <w:rFonts w:ascii="Palatino Linotype" w:hAnsi="Palatino Linotype" w:cs="Tahoma"/>
                <w:b/>
                <w:iCs/>
                <w:sz w:val="22"/>
                <w:szCs w:val="22"/>
              </w:rPr>
              <w:t>Respuesta</w:t>
            </w:r>
          </w:p>
        </w:tc>
        <w:tc>
          <w:tcPr>
            <w:tcW w:w="2850" w:type="dxa"/>
            <w:shd w:val="clear" w:color="auto" w:fill="F2F2F2" w:themeFill="background1" w:themeFillShade="F2"/>
          </w:tcPr>
          <w:p w:rsidRPr="007D2815" w:rsidR="009924DF" w:rsidP="007D2815" w:rsidRDefault="009924DF" w14:paraId="0E0EE893" w14:textId="2BF4BC1C">
            <w:pPr>
              <w:spacing w:line="360" w:lineRule="auto"/>
              <w:jc w:val="center"/>
              <w:rPr>
                <w:rFonts w:ascii="Palatino Linotype" w:hAnsi="Palatino Linotype" w:cs="Tahoma"/>
                <w:b/>
                <w:iCs/>
                <w:sz w:val="22"/>
                <w:szCs w:val="22"/>
              </w:rPr>
            </w:pPr>
            <w:r w:rsidRPr="007D2815">
              <w:rPr>
                <w:rFonts w:ascii="Palatino Linotype" w:hAnsi="Palatino Linotype" w:cs="Tahoma"/>
                <w:b/>
                <w:iCs/>
                <w:sz w:val="22"/>
                <w:szCs w:val="22"/>
              </w:rPr>
              <w:t>Observaciones</w:t>
            </w:r>
          </w:p>
        </w:tc>
        <w:tc>
          <w:tcPr>
            <w:tcW w:w="1668" w:type="dxa"/>
            <w:shd w:val="clear" w:color="auto" w:fill="F2F2F2" w:themeFill="background1" w:themeFillShade="F2"/>
          </w:tcPr>
          <w:p w:rsidRPr="007D2815" w:rsidR="009924DF" w:rsidP="007D2815" w:rsidRDefault="007D2815" w14:paraId="6CFCFC6F" w14:textId="4A57518A">
            <w:pPr>
              <w:spacing w:line="360" w:lineRule="auto"/>
              <w:jc w:val="center"/>
              <w:rPr>
                <w:rFonts w:ascii="Palatino Linotype" w:hAnsi="Palatino Linotype" w:cs="Tahoma"/>
                <w:b/>
                <w:iCs/>
                <w:sz w:val="22"/>
                <w:szCs w:val="22"/>
              </w:rPr>
            </w:pPr>
            <w:r>
              <w:rPr>
                <w:rFonts w:ascii="Palatino Linotype" w:hAnsi="Palatino Linotype" w:cs="Tahoma"/>
                <w:b/>
                <w:iCs/>
                <w:sz w:val="22"/>
                <w:szCs w:val="22"/>
              </w:rPr>
              <w:t>Recurso</w:t>
            </w:r>
          </w:p>
        </w:tc>
      </w:tr>
      <w:tr w:rsidR="009924DF" w:rsidTr="00650235" w14:paraId="54CE72CE" w14:textId="77777777">
        <w:tc>
          <w:tcPr>
            <w:tcW w:w="1980" w:type="dxa"/>
          </w:tcPr>
          <w:p w:rsidRPr="009924DF" w:rsidR="009924DF" w:rsidP="009924DF" w:rsidRDefault="009924DF" w14:paraId="1739E95E" w14:textId="77777777">
            <w:pPr>
              <w:autoSpaceDE w:val="0"/>
              <w:autoSpaceDN w:val="0"/>
              <w:adjustRightInd w:val="0"/>
              <w:spacing w:line="360" w:lineRule="auto"/>
              <w:ind w:right="-28"/>
              <w:rPr>
                <w:rFonts w:ascii="Palatino Linotype" w:hAnsi="Palatino Linotype" w:eastAsia="Calibri" w:cs="Tahoma"/>
                <w:color w:val="000000"/>
                <w:lang w:eastAsia="es-MX"/>
              </w:rPr>
            </w:pPr>
            <w:r w:rsidRPr="009924DF">
              <w:rPr>
                <w:rFonts w:ascii="Palatino Linotype" w:hAnsi="Palatino Linotype" w:eastAsia="Calibri" w:cs="Tahoma"/>
                <w:color w:val="000000"/>
                <w:lang w:eastAsia="es-MX"/>
              </w:rPr>
              <w:t>Presupuesto dos mil veintidós;</w:t>
            </w:r>
          </w:p>
          <w:p w:rsidR="009924DF" w:rsidP="009924DF" w:rsidRDefault="009924DF" w14:paraId="32D359F0" w14:textId="77777777">
            <w:pPr>
              <w:spacing w:line="360" w:lineRule="auto"/>
              <w:rPr>
                <w:rFonts w:ascii="Palatino Linotype" w:hAnsi="Palatino Linotype" w:cs="Tahoma"/>
                <w:iCs/>
                <w:sz w:val="22"/>
                <w:szCs w:val="22"/>
              </w:rPr>
            </w:pPr>
          </w:p>
        </w:tc>
        <w:tc>
          <w:tcPr>
            <w:tcW w:w="2536" w:type="dxa"/>
          </w:tcPr>
          <w:p w:rsidR="009924DF" w:rsidP="009924DF" w:rsidRDefault="009924DF" w14:paraId="712E208E" w14:textId="5CB4A172">
            <w:pPr>
              <w:spacing w:line="360" w:lineRule="auto"/>
              <w:rPr>
                <w:rFonts w:ascii="Palatino Linotype" w:hAnsi="Palatino Linotype" w:cs="Tahoma"/>
                <w:iCs/>
                <w:sz w:val="22"/>
                <w:szCs w:val="22"/>
              </w:rPr>
            </w:pPr>
            <w:r>
              <w:rPr>
                <w:rFonts w:ascii="Palatino Linotype" w:hAnsi="Palatino Linotype" w:cs="Tahoma"/>
                <w:iCs/>
                <w:sz w:val="22"/>
                <w:szCs w:val="22"/>
              </w:rPr>
              <w:t>$14,003,192.37</w:t>
            </w:r>
          </w:p>
        </w:tc>
        <w:tc>
          <w:tcPr>
            <w:tcW w:w="2850" w:type="dxa"/>
          </w:tcPr>
          <w:p w:rsidR="009924DF" w:rsidP="009924DF" w:rsidRDefault="009924DF" w14:paraId="11A3D5A9" w14:textId="29499575">
            <w:pPr>
              <w:spacing w:line="360" w:lineRule="auto"/>
              <w:jc w:val="both"/>
              <w:rPr>
                <w:rFonts w:ascii="Palatino Linotype" w:hAnsi="Palatino Linotype" w:cs="Tahoma"/>
                <w:iCs/>
                <w:sz w:val="22"/>
                <w:szCs w:val="22"/>
              </w:rPr>
            </w:pPr>
            <w:r>
              <w:rPr>
                <w:rFonts w:ascii="Palatino Linotype" w:hAnsi="Palatino Linotype" w:cs="Tahoma"/>
                <w:iCs/>
                <w:sz w:val="22"/>
                <w:szCs w:val="22"/>
              </w:rPr>
              <w:t>Se entregó la información.</w:t>
            </w:r>
          </w:p>
        </w:tc>
        <w:tc>
          <w:tcPr>
            <w:tcW w:w="1668" w:type="dxa"/>
          </w:tcPr>
          <w:p w:rsidR="009924DF" w:rsidP="009924DF" w:rsidRDefault="009924DF" w14:paraId="5548616D" w14:textId="5F90A2FC">
            <w:pPr>
              <w:spacing w:line="360" w:lineRule="auto"/>
              <w:jc w:val="both"/>
              <w:rPr>
                <w:rFonts w:ascii="Palatino Linotype" w:hAnsi="Palatino Linotype" w:cs="Tahoma"/>
                <w:iCs/>
                <w:sz w:val="22"/>
                <w:szCs w:val="22"/>
              </w:rPr>
            </w:pPr>
            <w:r>
              <w:rPr>
                <w:rFonts w:ascii="Palatino Linotype" w:hAnsi="Palatino Linotype" w:cs="Tahoma"/>
                <w:iCs/>
                <w:sz w:val="22"/>
                <w:szCs w:val="22"/>
              </w:rPr>
              <w:t>No hay inconformidad.</w:t>
            </w:r>
          </w:p>
        </w:tc>
      </w:tr>
      <w:tr w:rsidR="009924DF" w:rsidTr="00650235" w14:paraId="262CCFBE" w14:textId="77777777">
        <w:tc>
          <w:tcPr>
            <w:tcW w:w="1980" w:type="dxa"/>
          </w:tcPr>
          <w:p w:rsidR="009924DF" w:rsidP="009924DF" w:rsidRDefault="009924DF" w14:paraId="0F172B5F" w14:textId="466B1059">
            <w:pPr>
              <w:spacing w:line="360" w:lineRule="auto"/>
              <w:rPr>
                <w:rFonts w:ascii="Palatino Linotype" w:hAnsi="Palatino Linotype" w:cs="Tahoma"/>
                <w:iCs/>
                <w:sz w:val="22"/>
                <w:szCs w:val="22"/>
              </w:rPr>
            </w:pPr>
            <w:r>
              <w:rPr>
                <w:rFonts w:ascii="Palatino Linotype" w:hAnsi="Palatino Linotype" w:eastAsia="Calibri" w:cs="Tahoma"/>
                <w:color w:val="000000"/>
                <w:lang w:eastAsia="es-MX"/>
              </w:rPr>
              <w:t xml:space="preserve">Gastos del primer trimestre, consistentes en pagos de nómina, eventos, infraestructura, lonas, sonido, </w:t>
            </w:r>
            <w:r>
              <w:rPr>
                <w:rFonts w:ascii="Palatino Linotype" w:hAnsi="Palatino Linotype" w:eastAsia="Calibri" w:cs="Tahoma"/>
                <w:color w:val="000000"/>
                <w:lang w:eastAsia="es-MX"/>
              </w:rPr>
              <w:lastRenderedPageBreak/>
              <w:t>s</w:t>
            </w:r>
            <w:r w:rsidRPr="006F18D3">
              <w:rPr>
                <w:rFonts w:ascii="Palatino Linotype" w:hAnsi="Palatino Linotype" w:eastAsia="Calibri" w:cs="Tahoma"/>
                <w:color w:val="000000"/>
                <w:lang w:eastAsia="es-MX"/>
              </w:rPr>
              <w:t>er</w:t>
            </w:r>
            <w:r>
              <w:rPr>
                <w:rFonts w:ascii="Palatino Linotype" w:hAnsi="Palatino Linotype" w:eastAsia="Calibri" w:cs="Tahoma"/>
                <w:color w:val="000000"/>
                <w:lang w:eastAsia="es-MX"/>
              </w:rPr>
              <w:t>vicio de cafetería y transporte</w:t>
            </w:r>
          </w:p>
        </w:tc>
        <w:tc>
          <w:tcPr>
            <w:tcW w:w="2536" w:type="dxa"/>
          </w:tcPr>
          <w:p w:rsidR="009924DF" w:rsidP="007D2815" w:rsidRDefault="007D2815" w14:paraId="06E78986" w14:textId="5A4C06F8">
            <w:pPr>
              <w:spacing w:line="360" w:lineRule="auto"/>
              <w:jc w:val="both"/>
              <w:rPr>
                <w:rFonts w:ascii="Palatino Linotype" w:hAnsi="Palatino Linotype" w:cs="Tahoma"/>
                <w:iCs/>
                <w:sz w:val="22"/>
                <w:szCs w:val="22"/>
              </w:rPr>
            </w:pPr>
            <w:r>
              <w:rPr>
                <w:rFonts w:ascii="Palatino Linotype" w:hAnsi="Palatino Linotype" w:cs="Tahoma"/>
                <w:iCs/>
                <w:sz w:val="22"/>
                <w:szCs w:val="22"/>
              </w:rPr>
              <w:lastRenderedPageBreak/>
              <w:t xml:space="preserve">Remitió gastos del primer trimestre consistentes en premios y recompensas, materiales de oficina, combustibles, lubricantes y aditivos, </w:t>
            </w:r>
            <w:r>
              <w:rPr>
                <w:rFonts w:ascii="Palatino Linotype" w:hAnsi="Palatino Linotype" w:cs="Tahoma"/>
                <w:iCs/>
                <w:sz w:val="22"/>
                <w:szCs w:val="22"/>
              </w:rPr>
              <w:lastRenderedPageBreak/>
              <w:t>energía eléctrica, espectáculos, servicios menores, ceremonias oficiales y orden social.</w:t>
            </w:r>
          </w:p>
        </w:tc>
        <w:tc>
          <w:tcPr>
            <w:tcW w:w="2850" w:type="dxa"/>
          </w:tcPr>
          <w:p w:rsidR="009924DF" w:rsidP="007D2815" w:rsidRDefault="007D2815" w14:paraId="05AED851" w14:textId="77777777">
            <w:pPr>
              <w:spacing w:line="360" w:lineRule="auto"/>
              <w:jc w:val="both"/>
              <w:rPr>
                <w:rFonts w:ascii="Palatino Linotype" w:hAnsi="Palatino Linotype" w:cs="Tahoma"/>
                <w:iCs/>
                <w:sz w:val="22"/>
                <w:szCs w:val="22"/>
              </w:rPr>
            </w:pPr>
            <w:r>
              <w:rPr>
                <w:rFonts w:ascii="Palatino Linotype" w:hAnsi="Palatino Linotype" w:cs="Tahoma"/>
                <w:iCs/>
                <w:sz w:val="22"/>
                <w:szCs w:val="22"/>
              </w:rPr>
              <w:lastRenderedPageBreak/>
              <w:t xml:space="preserve">El Sujeto Obligado precisó que entregaba todos los gastos del trimestre, si bien no coinciden con los solicitados por el Particular, tales como cafetería o lonas, lo cierto </w:t>
            </w:r>
            <w:r>
              <w:rPr>
                <w:rFonts w:ascii="Palatino Linotype" w:hAnsi="Palatino Linotype" w:cs="Tahoma"/>
                <w:iCs/>
                <w:sz w:val="22"/>
                <w:szCs w:val="22"/>
              </w:rPr>
              <w:lastRenderedPageBreak/>
              <w:t>es que no está obligado a realizar los gastos indicados y entregó todo lo que gastó aunque se tratara de conceptos no precisados por el ahora Recurrente como premios.</w:t>
            </w:r>
          </w:p>
          <w:p w:rsidR="007D2815" w:rsidP="007D2815" w:rsidRDefault="007D2815" w14:paraId="1FAD4922" w14:textId="77777777">
            <w:pPr>
              <w:spacing w:line="360" w:lineRule="auto"/>
              <w:jc w:val="both"/>
              <w:rPr>
                <w:rFonts w:ascii="Palatino Linotype" w:hAnsi="Palatino Linotype" w:cs="Tahoma"/>
                <w:iCs/>
                <w:sz w:val="22"/>
                <w:szCs w:val="22"/>
              </w:rPr>
            </w:pPr>
          </w:p>
          <w:p w:rsidR="007D2815" w:rsidP="007D2815" w:rsidRDefault="007D2815" w14:paraId="7B937B05" w14:textId="43A782DD">
            <w:pPr>
              <w:spacing w:line="360" w:lineRule="auto"/>
              <w:jc w:val="both"/>
              <w:rPr>
                <w:rFonts w:ascii="Palatino Linotype" w:hAnsi="Palatino Linotype" w:cs="Tahoma"/>
                <w:iCs/>
                <w:sz w:val="22"/>
                <w:szCs w:val="22"/>
              </w:rPr>
            </w:pPr>
            <w:r>
              <w:rPr>
                <w:rFonts w:ascii="Palatino Linotype" w:hAnsi="Palatino Linotype" w:cs="Tahoma"/>
                <w:iCs/>
                <w:sz w:val="22"/>
                <w:szCs w:val="22"/>
              </w:rPr>
              <w:t>El único gasto que no se reportó, pero sí se erogó es la nómina.</w:t>
            </w:r>
          </w:p>
        </w:tc>
        <w:tc>
          <w:tcPr>
            <w:tcW w:w="1668" w:type="dxa"/>
          </w:tcPr>
          <w:p w:rsidR="009924DF" w:rsidP="00C50C6D" w:rsidRDefault="007D2815" w14:paraId="63E36880" w14:textId="0C8920EE">
            <w:pPr>
              <w:spacing w:line="360" w:lineRule="auto"/>
              <w:jc w:val="both"/>
              <w:rPr>
                <w:rFonts w:ascii="Palatino Linotype" w:hAnsi="Palatino Linotype" w:cs="Tahoma"/>
                <w:iCs/>
                <w:sz w:val="22"/>
                <w:szCs w:val="22"/>
              </w:rPr>
            </w:pPr>
            <w:r>
              <w:rPr>
                <w:rFonts w:ascii="Palatino Linotype" w:hAnsi="Palatino Linotype" w:cs="Tahoma"/>
                <w:iCs/>
                <w:sz w:val="22"/>
                <w:szCs w:val="22"/>
              </w:rPr>
              <w:lastRenderedPageBreak/>
              <w:t>Sólo se tiene por no atendido el monto de la nómina.</w:t>
            </w:r>
          </w:p>
        </w:tc>
      </w:tr>
      <w:tr w:rsidR="009924DF" w:rsidTr="00650235" w14:paraId="0CC8A24D" w14:textId="77777777">
        <w:tc>
          <w:tcPr>
            <w:tcW w:w="1980" w:type="dxa"/>
          </w:tcPr>
          <w:p w:rsidR="009924DF" w:rsidP="00C50C6D" w:rsidRDefault="00C50C6D" w14:paraId="202A6C50" w14:textId="2F3619C4">
            <w:pPr>
              <w:spacing w:line="360" w:lineRule="auto"/>
              <w:jc w:val="both"/>
              <w:rPr>
                <w:rFonts w:ascii="Palatino Linotype" w:hAnsi="Palatino Linotype" w:cs="Tahoma"/>
                <w:iCs/>
                <w:sz w:val="22"/>
                <w:szCs w:val="22"/>
              </w:rPr>
            </w:pPr>
            <w:r>
              <w:rPr>
                <w:rFonts w:ascii="Palatino Linotype" w:hAnsi="Palatino Linotype" w:eastAsia="Calibri" w:cs="Tahoma"/>
                <w:color w:val="000000"/>
                <w:lang w:eastAsia="es-MX"/>
              </w:rPr>
              <w:t>D</w:t>
            </w:r>
            <w:r w:rsidRPr="009924DF" w:rsidR="009924DF">
              <w:rPr>
                <w:rFonts w:ascii="Palatino Linotype" w:hAnsi="Palatino Linotype" w:eastAsia="Calibri" w:cs="Tahoma"/>
                <w:color w:val="000000"/>
                <w:lang w:eastAsia="es-MX"/>
              </w:rPr>
              <w:t>ocumentación soporte</w:t>
            </w:r>
            <w:r w:rsidR="009924DF">
              <w:rPr>
                <w:rFonts w:ascii="Palatino Linotype" w:hAnsi="Palatino Linotype" w:eastAsia="Calibri" w:cs="Tahoma"/>
                <w:color w:val="000000"/>
                <w:lang w:eastAsia="es-MX"/>
              </w:rPr>
              <w:t xml:space="preserve"> de los gastos del primer trimestre.</w:t>
            </w:r>
          </w:p>
        </w:tc>
        <w:tc>
          <w:tcPr>
            <w:tcW w:w="2536" w:type="dxa"/>
          </w:tcPr>
          <w:p w:rsidR="009924DF" w:rsidP="009924DF" w:rsidRDefault="00C50C6D" w14:paraId="168A0D0F" w14:textId="638DF2E9">
            <w:pPr>
              <w:spacing w:line="360" w:lineRule="auto"/>
              <w:rPr>
                <w:rFonts w:ascii="Palatino Linotype" w:hAnsi="Palatino Linotype" w:cs="Tahoma"/>
                <w:iCs/>
                <w:sz w:val="22"/>
                <w:szCs w:val="22"/>
              </w:rPr>
            </w:pPr>
            <w:r>
              <w:rPr>
                <w:rFonts w:ascii="Palatino Linotype" w:hAnsi="Palatino Linotype" w:cs="Tahoma"/>
                <w:iCs/>
                <w:sz w:val="22"/>
                <w:szCs w:val="22"/>
              </w:rPr>
              <w:t>Omiso.</w:t>
            </w:r>
          </w:p>
        </w:tc>
        <w:tc>
          <w:tcPr>
            <w:tcW w:w="2850" w:type="dxa"/>
          </w:tcPr>
          <w:p w:rsidR="009924DF" w:rsidP="00C50C6D" w:rsidRDefault="00C50C6D" w14:paraId="4923C3AD" w14:textId="7A022F31">
            <w:pPr>
              <w:spacing w:line="360" w:lineRule="auto"/>
              <w:jc w:val="both"/>
              <w:rPr>
                <w:rFonts w:ascii="Palatino Linotype" w:hAnsi="Palatino Linotype" w:cs="Tahoma"/>
                <w:iCs/>
                <w:sz w:val="22"/>
                <w:szCs w:val="22"/>
              </w:rPr>
            </w:pPr>
            <w:r>
              <w:rPr>
                <w:rFonts w:ascii="Palatino Linotype" w:hAnsi="Palatino Linotype" w:cs="Tahoma"/>
                <w:iCs/>
                <w:sz w:val="22"/>
                <w:szCs w:val="22"/>
              </w:rPr>
              <w:t>Faltó la entrega de la documentación soporte de las erogaciones.</w:t>
            </w:r>
          </w:p>
        </w:tc>
        <w:tc>
          <w:tcPr>
            <w:tcW w:w="1668" w:type="dxa"/>
          </w:tcPr>
          <w:p w:rsidR="009924DF" w:rsidP="00650235" w:rsidRDefault="00650235" w14:paraId="7C16ABC5" w14:textId="5D4C8ECB">
            <w:pPr>
              <w:spacing w:line="360" w:lineRule="auto"/>
              <w:jc w:val="both"/>
              <w:rPr>
                <w:rFonts w:ascii="Palatino Linotype" w:hAnsi="Palatino Linotype" w:cs="Tahoma"/>
                <w:iCs/>
                <w:sz w:val="22"/>
                <w:szCs w:val="22"/>
              </w:rPr>
            </w:pPr>
            <w:r>
              <w:rPr>
                <w:rFonts w:ascii="Palatino Linotype" w:hAnsi="Palatino Linotype" w:cs="Tahoma"/>
                <w:iCs/>
                <w:sz w:val="22"/>
                <w:szCs w:val="22"/>
              </w:rPr>
              <w:t>Recurrido en la totalidad.</w:t>
            </w:r>
          </w:p>
        </w:tc>
      </w:tr>
    </w:tbl>
    <w:p w:rsidRPr="0073408A" w:rsidR="009924DF" w:rsidP="003B411A" w:rsidRDefault="009924DF" w14:paraId="6C452048" w14:textId="77777777">
      <w:pPr>
        <w:spacing w:line="360" w:lineRule="auto"/>
        <w:jc w:val="both"/>
        <w:rPr>
          <w:rFonts w:ascii="Palatino Linotype" w:hAnsi="Palatino Linotype" w:cs="Tahoma"/>
          <w:iCs/>
          <w:sz w:val="22"/>
          <w:szCs w:val="22"/>
          <w:lang w:val="es-ES"/>
        </w:rPr>
      </w:pPr>
    </w:p>
    <w:p w:rsidR="006D77DF" w:rsidP="00253343" w:rsidRDefault="007F3B13" w14:paraId="5D83A551" w14:textId="2AFFC4E4">
      <w:pPr>
        <w:spacing w:line="360" w:lineRule="auto"/>
        <w:jc w:val="both"/>
        <w:rPr>
          <w:rFonts w:ascii="Palatino Linotype" w:hAnsi="Palatino Linotype" w:cs="Tahoma"/>
          <w:iCs/>
          <w:sz w:val="22"/>
          <w:szCs w:val="22"/>
          <w:lang w:val="es-ES"/>
        </w:rPr>
      </w:pPr>
      <w:r>
        <w:rPr>
          <w:rFonts w:ascii="Palatino Linotype" w:hAnsi="Palatino Linotype" w:cs="Tahoma"/>
          <w:iCs/>
          <w:sz w:val="22"/>
          <w:szCs w:val="22"/>
          <w:lang w:val="es-ES"/>
        </w:rPr>
        <w:t>En este sentido</w:t>
      </w:r>
      <w:r w:rsidR="00253343">
        <w:rPr>
          <w:rFonts w:ascii="Palatino Linotype" w:hAnsi="Palatino Linotype" w:cs="Tahoma"/>
          <w:iCs/>
          <w:sz w:val="22"/>
          <w:szCs w:val="22"/>
          <w:lang w:val="es-ES"/>
        </w:rPr>
        <w:t>,</w:t>
      </w:r>
      <w:r>
        <w:rPr>
          <w:rFonts w:ascii="Palatino Linotype" w:hAnsi="Palatino Linotype" w:cs="Tahoma"/>
          <w:iCs/>
          <w:sz w:val="22"/>
          <w:szCs w:val="22"/>
          <w:lang w:val="es-ES"/>
        </w:rPr>
        <w:t xml:space="preserve"> resulta importante señalar que,</w:t>
      </w:r>
      <w:r w:rsidR="00253343">
        <w:rPr>
          <w:rFonts w:ascii="Palatino Linotype" w:hAnsi="Palatino Linotype" w:cs="Tahoma"/>
          <w:iCs/>
          <w:sz w:val="22"/>
          <w:szCs w:val="22"/>
          <w:lang w:val="es-ES"/>
        </w:rPr>
        <w:t xml:space="preserve"> </w:t>
      </w:r>
      <w:r w:rsidR="00414CEC">
        <w:rPr>
          <w:rFonts w:ascii="Palatino Linotype" w:hAnsi="Palatino Linotype" w:cs="Tahoma"/>
          <w:iCs/>
          <w:sz w:val="22"/>
          <w:szCs w:val="22"/>
          <w:lang w:val="es-ES"/>
        </w:rPr>
        <w:t>e</w:t>
      </w:r>
      <w:r w:rsidR="00253343">
        <w:rPr>
          <w:rFonts w:ascii="Palatino Linotype" w:hAnsi="Palatino Linotype" w:cs="Tahoma"/>
          <w:iCs/>
          <w:sz w:val="22"/>
          <w:szCs w:val="22"/>
          <w:lang w:val="es-ES"/>
        </w:rPr>
        <w:t xml:space="preserve">l artículo </w:t>
      </w:r>
      <w:r w:rsidR="00414CEC">
        <w:rPr>
          <w:rFonts w:ascii="Palatino Linotype" w:hAnsi="Palatino Linotype" w:cs="Tahoma"/>
          <w:iCs/>
          <w:sz w:val="22"/>
          <w:szCs w:val="22"/>
          <w:lang w:val="es-ES"/>
        </w:rPr>
        <w:t>122 del Bando Municipal dos mil veintidós establece que, la Dirección de Cultura, asume como elemento central de su política las tradiciones e identidad del municipio, siendo la cultura una</w:t>
      </w:r>
      <w:r w:rsidR="00A11875">
        <w:rPr>
          <w:rFonts w:ascii="Palatino Linotype" w:hAnsi="Palatino Linotype" w:cs="Tahoma"/>
          <w:iCs/>
          <w:sz w:val="22"/>
          <w:szCs w:val="22"/>
          <w:lang w:val="es-ES"/>
        </w:rPr>
        <w:t xml:space="preserve"> un tema transversal entre las diferentes áreas de la administración pública municipal. </w:t>
      </w:r>
      <w:r w:rsidR="0045099B">
        <w:rPr>
          <w:rFonts w:ascii="Palatino Linotype" w:hAnsi="Palatino Linotype" w:cs="Tahoma"/>
          <w:iCs/>
          <w:sz w:val="22"/>
          <w:szCs w:val="22"/>
          <w:lang w:val="es-ES"/>
        </w:rPr>
        <w:t>Lo anterior se colige con base en los artículos 3.96 y 3.97 del</w:t>
      </w:r>
      <w:r w:rsidR="00253343">
        <w:rPr>
          <w:rFonts w:ascii="Palatino Linotype" w:hAnsi="Palatino Linotype" w:cs="Tahoma"/>
          <w:iCs/>
          <w:sz w:val="22"/>
          <w:szCs w:val="22"/>
          <w:lang w:val="es-ES"/>
        </w:rPr>
        <w:t xml:space="preserve"> del Código de Reglamentación Municipal de Metepec d</w:t>
      </w:r>
      <w:r w:rsidR="009924DF">
        <w:rPr>
          <w:rFonts w:ascii="Palatino Linotype" w:hAnsi="Palatino Linotype" w:cs="Tahoma"/>
          <w:iCs/>
          <w:sz w:val="22"/>
          <w:szCs w:val="22"/>
          <w:lang w:val="es-ES"/>
        </w:rPr>
        <w:t>os mil veintidós, precisan que, l</w:t>
      </w:r>
      <w:r w:rsidR="0045099B">
        <w:rPr>
          <w:rFonts w:ascii="Palatino Linotype" w:hAnsi="Palatino Linotype" w:cs="Tahoma"/>
          <w:iCs/>
          <w:sz w:val="22"/>
          <w:szCs w:val="22"/>
          <w:lang w:val="es-ES"/>
        </w:rPr>
        <w:t>a Dirección de Cultura es la encargada de planear, desarrollar, ejecutar y evaluar los programas, acciones y políticas públicas orientados a promover, de manera permanente, la creación artística y la realización de actividades culturales que permitan el involucramiento de la comunidad para acceder a las distintas expresiones artísticas</w:t>
      </w:r>
      <w:r w:rsidR="00831033">
        <w:rPr>
          <w:rFonts w:ascii="Palatino Linotype" w:hAnsi="Palatino Linotype" w:cs="Tahoma"/>
          <w:iCs/>
          <w:sz w:val="22"/>
          <w:szCs w:val="22"/>
          <w:lang w:val="es-ES"/>
        </w:rPr>
        <w:t>, con base en sus facultades y atribuciones conferidas.</w:t>
      </w:r>
      <w:r w:rsidR="00253343">
        <w:rPr>
          <w:rFonts w:ascii="Palatino Linotype" w:hAnsi="Palatino Linotype" w:cs="Tahoma"/>
          <w:iCs/>
          <w:sz w:val="22"/>
          <w:szCs w:val="22"/>
          <w:lang w:val="es-ES"/>
        </w:rPr>
        <w:t xml:space="preserve"> </w:t>
      </w:r>
    </w:p>
    <w:p w:rsidR="00847A10" w:rsidP="00253343" w:rsidRDefault="00847A10" w14:paraId="2A19AF6F" w14:textId="366BFB4F">
      <w:pPr>
        <w:spacing w:line="360" w:lineRule="auto"/>
        <w:jc w:val="both"/>
        <w:rPr>
          <w:rFonts w:ascii="Palatino Linotype" w:hAnsi="Palatino Linotype" w:cs="Tahoma"/>
          <w:iCs/>
          <w:sz w:val="22"/>
          <w:szCs w:val="22"/>
          <w:lang w:val="es-ES"/>
        </w:rPr>
      </w:pPr>
    </w:p>
    <w:p w:rsidR="00847A10" w:rsidP="00253343" w:rsidRDefault="00847A10" w14:paraId="6794D233" w14:textId="61D10ECD">
      <w:pPr>
        <w:spacing w:line="360" w:lineRule="auto"/>
        <w:jc w:val="both"/>
        <w:rPr>
          <w:rFonts w:ascii="Palatino Linotype" w:hAnsi="Palatino Linotype" w:cs="Tahoma"/>
          <w:iCs/>
          <w:sz w:val="22"/>
          <w:szCs w:val="22"/>
          <w:lang w:val="es-ES"/>
        </w:rPr>
      </w:pPr>
      <w:r>
        <w:rPr>
          <w:rFonts w:ascii="Palatino Linotype" w:hAnsi="Palatino Linotype" w:cs="Tahoma"/>
          <w:iCs/>
          <w:sz w:val="22"/>
          <w:szCs w:val="22"/>
          <w:lang w:val="es-ES"/>
        </w:rPr>
        <w:lastRenderedPageBreak/>
        <w:t xml:space="preserve">Además, </w:t>
      </w:r>
      <w:r w:rsidR="00B0720C">
        <w:rPr>
          <w:rFonts w:ascii="Palatino Linotype" w:hAnsi="Palatino Linotype" w:cs="Tahoma"/>
          <w:iCs/>
          <w:sz w:val="22"/>
          <w:szCs w:val="22"/>
          <w:lang w:val="es-ES"/>
        </w:rPr>
        <w:t xml:space="preserve">en </w:t>
      </w:r>
      <w:r>
        <w:rPr>
          <w:rFonts w:ascii="Palatino Linotype" w:hAnsi="Palatino Linotype" w:cs="Tahoma"/>
          <w:iCs/>
          <w:sz w:val="22"/>
          <w:szCs w:val="22"/>
          <w:lang w:val="es-ES"/>
        </w:rPr>
        <w:t>los artículo</w:t>
      </w:r>
      <w:r w:rsidR="00B0720C">
        <w:rPr>
          <w:rFonts w:ascii="Palatino Linotype" w:hAnsi="Palatino Linotype" w:cs="Tahoma"/>
          <w:iCs/>
          <w:sz w:val="22"/>
          <w:szCs w:val="22"/>
          <w:lang w:val="es-ES"/>
        </w:rPr>
        <w:t>s</w:t>
      </w:r>
      <w:r>
        <w:rPr>
          <w:rFonts w:ascii="Palatino Linotype" w:hAnsi="Palatino Linotype" w:cs="Tahoma"/>
          <w:iCs/>
          <w:sz w:val="22"/>
          <w:szCs w:val="22"/>
          <w:lang w:val="es-ES"/>
        </w:rPr>
        <w:t xml:space="preserve"> 34 y 35 del citado Bando Municipal de Metepec, </w:t>
      </w:r>
      <w:r w:rsidR="00A14093">
        <w:rPr>
          <w:rFonts w:ascii="Palatino Linotype" w:hAnsi="Palatino Linotype" w:cs="Tahoma"/>
          <w:iCs/>
          <w:sz w:val="22"/>
          <w:szCs w:val="22"/>
          <w:lang w:val="es-ES"/>
        </w:rPr>
        <w:t>en relación con los artículos 3.47, 3.48 fracción XXVII</w:t>
      </w:r>
      <w:r w:rsidR="00073F89">
        <w:rPr>
          <w:rFonts w:ascii="Palatino Linotype" w:hAnsi="Palatino Linotype" w:cs="Tahoma"/>
          <w:iCs/>
          <w:sz w:val="22"/>
          <w:szCs w:val="22"/>
          <w:lang w:val="es-ES"/>
        </w:rPr>
        <w:t>, 3.72 y 3.73 fracciones I y VI</w:t>
      </w:r>
      <w:r w:rsidR="00A14093">
        <w:rPr>
          <w:rFonts w:ascii="Palatino Linotype" w:hAnsi="Palatino Linotype" w:cs="Tahoma"/>
          <w:iCs/>
          <w:sz w:val="22"/>
          <w:szCs w:val="22"/>
          <w:lang w:val="es-ES"/>
        </w:rPr>
        <w:t xml:space="preserve"> del Código de Reglamentación del mismo municipio, </w:t>
      </w:r>
      <w:r w:rsidR="00713FDE">
        <w:rPr>
          <w:rFonts w:ascii="Palatino Linotype" w:hAnsi="Palatino Linotype" w:cs="Tahoma"/>
          <w:iCs/>
          <w:sz w:val="22"/>
          <w:szCs w:val="22"/>
          <w:lang w:val="es-ES"/>
        </w:rPr>
        <w:t xml:space="preserve">en los cuales </w:t>
      </w:r>
      <w:r w:rsidR="00B0720C">
        <w:rPr>
          <w:rFonts w:ascii="Palatino Linotype" w:hAnsi="Palatino Linotype" w:cs="Tahoma"/>
          <w:iCs/>
          <w:sz w:val="22"/>
          <w:szCs w:val="22"/>
          <w:lang w:val="es-ES"/>
        </w:rPr>
        <w:t>se establece que</w:t>
      </w:r>
      <w:r w:rsidR="000A6BB5">
        <w:rPr>
          <w:rFonts w:ascii="Palatino Linotype" w:hAnsi="Palatino Linotype" w:cs="Tahoma"/>
          <w:iCs/>
          <w:sz w:val="22"/>
          <w:szCs w:val="22"/>
          <w:lang w:val="es-ES"/>
        </w:rPr>
        <w:t>,</w:t>
      </w:r>
      <w:r w:rsidR="00B0720C">
        <w:rPr>
          <w:rFonts w:ascii="Palatino Linotype" w:hAnsi="Palatino Linotype" w:cs="Tahoma"/>
          <w:iCs/>
          <w:sz w:val="22"/>
          <w:szCs w:val="22"/>
          <w:lang w:val="es-ES"/>
        </w:rPr>
        <w:t xml:space="preserve"> </w:t>
      </w:r>
      <w:r>
        <w:rPr>
          <w:rFonts w:ascii="Palatino Linotype" w:hAnsi="Palatino Linotype" w:cs="Tahoma"/>
          <w:iCs/>
          <w:sz w:val="22"/>
          <w:szCs w:val="22"/>
          <w:lang w:val="es-ES"/>
        </w:rPr>
        <w:t>para el despacho de los asuntos municipales</w:t>
      </w:r>
      <w:r w:rsidR="00B0720C">
        <w:rPr>
          <w:rFonts w:ascii="Palatino Linotype" w:hAnsi="Palatino Linotype" w:cs="Tahoma"/>
          <w:iCs/>
          <w:sz w:val="22"/>
          <w:szCs w:val="22"/>
          <w:lang w:val="es-ES"/>
        </w:rPr>
        <w:t xml:space="preserve">, el Ayuntamiento se auxiliarán entre otras de las siguientes dependencias administrativas: </w:t>
      </w:r>
    </w:p>
    <w:p w:rsidR="00B0720C" w:rsidP="00253343" w:rsidRDefault="00B0720C" w14:paraId="08922B72" w14:textId="6A995E39">
      <w:pPr>
        <w:spacing w:line="360" w:lineRule="auto"/>
        <w:jc w:val="both"/>
        <w:rPr>
          <w:rFonts w:ascii="Palatino Linotype" w:hAnsi="Palatino Linotype" w:cs="Tahoma"/>
          <w:iCs/>
          <w:sz w:val="22"/>
          <w:szCs w:val="22"/>
          <w:lang w:val="es-ES"/>
        </w:rPr>
      </w:pPr>
    </w:p>
    <w:p w:rsidR="00713FDE" w:rsidP="00B0720C" w:rsidRDefault="00B0720C" w14:paraId="7D5C4188" w14:textId="77777777">
      <w:pPr>
        <w:pStyle w:val="Prrafodelista"/>
        <w:numPr>
          <w:ilvl w:val="0"/>
          <w:numId w:val="8"/>
        </w:numPr>
        <w:spacing w:line="360" w:lineRule="auto"/>
        <w:jc w:val="both"/>
        <w:rPr>
          <w:rFonts w:ascii="Palatino Linotype" w:hAnsi="Palatino Linotype" w:cs="Tahoma"/>
          <w:iCs/>
          <w:szCs w:val="22"/>
          <w:lang w:val="es-ES"/>
        </w:rPr>
      </w:pPr>
      <w:r w:rsidRPr="00713FDE">
        <w:rPr>
          <w:rFonts w:ascii="Palatino Linotype" w:hAnsi="Palatino Linotype" w:cs="Tahoma"/>
          <w:b/>
          <w:bCs/>
          <w:iCs/>
          <w:szCs w:val="22"/>
          <w:lang w:val="es-ES"/>
        </w:rPr>
        <w:t>Tesorería Municipal:</w:t>
      </w:r>
      <w:r>
        <w:rPr>
          <w:rFonts w:ascii="Palatino Linotype" w:hAnsi="Palatino Linotype" w:cs="Tahoma"/>
          <w:iCs/>
          <w:szCs w:val="22"/>
          <w:lang w:val="es-ES"/>
        </w:rPr>
        <w:t xml:space="preserve"> </w:t>
      </w:r>
      <w:r w:rsidR="00A14093">
        <w:rPr>
          <w:rFonts w:ascii="Palatino Linotype" w:hAnsi="Palatino Linotype" w:cs="Tahoma"/>
          <w:iCs/>
          <w:szCs w:val="22"/>
          <w:lang w:val="es-ES"/>
        </w:rPr>
        <w:t xml:space="preserve">La cual tendrá como atribuciones entre otras </w:t>
      </w:r>
      <w:r w:rsidR="00073F89">
        <w:rPr>
          <w:rFonts w:ascii="Palatino Linotype" w:hAnsi="Palatino Linotype" w:cs="Tahoma"/>
          <w:iCs/>
          <w:szCs w:val="22"/>
          <w:lang w:val="es-ES"/>
        </w:rPr>
        <w:t>la de; Autorizar la suficiencia presupuestal para la adquisición de bienes y servicios requeridos por las áreas, de conformidad con su presupuesto autorizado, para cada ejercicio.</w:t>
      </w:r>
    </w:p>
    <w:p w:rsidR="00B0720C" w:rsidP="00713FDE" w:rsidRDefault="00073F89" w14:paraId="18C09830" w14:textId="438C6DC7">
      <w:pPr>
        <w:pStyle w:val="Prrafodelista"/>
        <w:spacing w:line="360" w:lineRule="auto"/>
        <w:jc w:val="both"/>
        <w:rPr>
          <w:rFonts w:ascii="Palatino Linotype" w:hAnsi="Palatino Linotype" w:cs="Tahoma"/>
          <w:iCs/>
          <w:szCs w:val="22"/>
          <w:lang w:val="es-ES"/>
        </w:rPr>
      </w:pPr>
      <w:r>
        <w:rPr>
          <w:rFonts w:ascii="Palatino Linotype" w:hAnsi="Palatino Linotype" w:cs="Tahoma"/>
          <w:iCs/>
          <w:szCs w:val="22"/>
          <w:lang w:val="es-ES"/>
        </w:rPr>
        <w:t xml:space="preserve"> </w:t>
      </w:r>
    </w:p>
    <w:p w:rsidRPr="00713FDE" w:rsidR="00B0720C" w:rsidP="00B0720C" w:rsidRDefault="00B0720C" w14:paraId="48522052" w14:textId="0D99F06C">
      <w:pPr>
        <w:pStyle w:val="Prrafodelista"/>
        <w:numPr>
          <w:ilvl w:val="0"/>
          <w:numId w:val="8"/>
        </w:numPr>
        <w:spacing w:line="360" w:lineRule="auto"/>
        <w:jc w:val="both"/>
        <w:rPr>
          <w:rFonts w:ascii="Palatino Linotype" w:hAnsi="Palatino Linotype" w:cs="Tahoma"/>
          <w:b/>
          <w:bCs/>
          <w:iCs/>
          <w:szCs w:val="22"/>
          <w:lang w:val="es-ES"/>
        </w:rPr>
      </w:pPr>
      <w:r w:rsidRPr="00713FDE">
        <w:rPr>
          <w:rFonts w:ascii="Palatino Linotype" w:hAnsi="Palatino Linotype" w:cs="Tahoma"/>
          <w:b/>
          <w:bCs/>
          <w:iCs/>
          <w:szCs w:val="22"/>
          <w:lang w:val="es-ES"/>
        </w:rPr>
        <w:t xml:space="preserve">Consejería Jurídica: </w:t>
      </w:r>
      <w:r w:rsidR="00713FDE">
        <w:rPr>
          <w:rFonts w:ascii="Palatino Linotype" w:hAnsi="Palatino Linotype" w:cs="Tahoma"/>
          <w:iCs/>
          <w:szCs w:val="22"/>
          <w:lang w:val="es-ES"/>
        </w:rPr>
        <w:t>Es el órgano encargado de representar jurídicamente y ser apoderado legal del Municipio, de los demás integrantes del ayuntamiento y de todas y cada una de las unidades administrativas</w:t>
      </w:r>
      <w:r w:rsidR="000A6BB5">
        <w:rPr>
          <w:rFonts w:ascii="Palatino Linotype" w:hAnsi="Palatino Linotype" w:cs="Tahoma"/>
          <w:iCs/>
          <w:szCs w:val="22"/>
          <w:lang w:val="es-ES"/>
        </w:rPr>
        <w:t xml:space="preserve">, en el ámbito de sus funciones, entre sus atribuciones tendrá la de; elaborar contratos y convenios que celebre el ayuntamiento en donde se requiera la firma de la o el presidente, o su opinión en caso contrario. </w:t>
      </w:r>
    </w:p>
    <w:p w:rsidRPr="006D77DF" w:rsidR="006D77DF" w:rsidP="006D77DF" w:rsidRDefault="006D77DF" w14:paraId="11DF0CF0" w14:textId="77777777">
      <w:pPr>
        <w:spacing w:line="360" w:lineRule="auto"/>
        <w:jc w:val="both"/>
        <w:rPr>
          <w:rFonts w:ascii="Palatino Linotype" w:hAnsi="Palatino Linotype" w:eastAsia="Calibri" w:cs="Tahoma"/>
          <w:bCs/>
          <w:sz w:val="22"/>
          <w:szCs w:val="22"/>
          <w:lang w:eastAsia="en-US"/>
        </w:rPr>
      </w:pPr>
    </w:p>
    <w:p w:rsidRPr="006D77DF" w:rsidR="006D77DF" w:rsidP="006D77DF" w:rsidRDefault="000A6BB5" w14:paraId="35001307" w14:textId="641B1483">
      <w:pPr>
        <w:spacing w:line="360" w:lineRule="auto"/>
        <w:jc w:val="both"/>
        <w:rPr>
          <w:rFonts w:ascii="Palatino Linotype" w:hAnsi="Palatino Linotype" w:eastAsia="Calibri" w:cs="Tahoma"/>
          <w:sz w:val="22"/>
          <w:szCs w:val="22"/>
        </w:rPr>
      </w:pPr>
      <w:r>
        <w:rPr>
          <w:rFonts w:ascii="Palatino Linotype" w:hAnsi="Palatino Linotype" w:eastAsia="Calibri"/>
          <w:sz w:val="22"/>
          <w:szCs w:val="22"/>
        </w:rPr>
        <w:t>Ahora bien, s</w:t>
      </w:r>
      <w:r w:rsidRPr="006D77DF" w:rsidR="006D77DF">
        <w:rPr>
          <w:rFonts w:ascii="Palatino Linotype" w:hAnsi="Palatino Linotype" w:eastAsia="Calibri"/>
          <w:sz w:val="22"/>
          <w:szCs w:val="22"/>
        </w:rPr>
        <w:t xml:space="preserve">obre la información peticionada, </w:t>
      </w:r>
      <w:r w:rsidRPr="006D77DF" w:rsidR="006D77DF">
        <w:rPr>
          <w:rFonts w:ascii="Palatino Linotype" w:hAnsi="Palatino Linotype" w:eastAsia="Calibri" w:cs="Tahoma"/>
          <w:sz w:val="22"/>
          <w:szCs w:val="22"/>
        </w:rPr>
        <w:t xml:space="preserve">los artículos 1°, fracción III, y 4° de la Ley de la de Contratación Pública del Estado de México y Municipios, especifica que los Ayuntamientos, serán los encargados de realizar los actos relativos a la planeación, programación, presupuestación, ejecución y control de la adquisición (bienes muebles e inmuebles), arrendamiento (bienes muebles e inmuebles), y </w:t>
      </w:r>
      <w:r w:rsidRPr="006D77DF" w:rsidR="006D77DF">
        <w:rPr>
          <w:rFonts w:ascii="Palatino Linotype" w:hAnsi="Palatino Linotype" w:eastAsia="Calibri" w:cs="Tahoma"/>
          <w:b/>
          <w:bCs/>
          <w:sz w:val="22"/>
          <w:szCs w:val="22"/>
        </w:rPr>
        <w:t>la contratación de servicios de cualquier naturaleza,</w:t>
      </w:r>
      <w:r w:rsidRPr="006D77DF" w:rsidR="006D77DF">
        <w:rPr>
          <w:rFonts w:ascii="Palatino Linotype" w:hAnsi="Palatino Linotype" w:eastAsia="Calibri" w:cs="Tahoma"/>
          <w:sz w:val="22"/>
          <w:szCs w:val="22"/>
        </w:rPr>
        <w:t xml:space="preserve"> que realicen los Ayuntamientos de los Municipios. </w:t>
      </w:r>
    </w:p>
    <w:p w:rsidRPr="006D77DF" w:rsidR="006D77DF" w:rsidP="006D77DF" w:rsidRDefault="006D77DF" w14:paraId="5EE6D275" w14:textId="77777777">
      <w:pPr>
        <w:spacing w:line="360" w:lineRule="auto"/>
        <w:jc w:val="both"/>
        <w:rPr>
          <w:rFonts w:ascii="Palatino Linotype" w:hAnsi="Palatino Linotype" w:eastAsia="Calibri" w:cs="Tahoma"/>
          <w:sz w:val="22"/>
          <w:szCs w:val="22"/>
        </w:rPr>
      </w:pPr>
    </w:p>
    <w:p w:rsidRPr="006D77DF" w:rsidR="006D77DF" w:rsidP="006D77DF" w:rsidRDefault="006D77DF" w14:paraId="5824B987" w14:textId="77777777">
      <w:pPr>
        <w:spacing w:line="360" w:lineRule="auto"/>
        <w:jc w:val="both"/>
        <w:rPr>
          <w:rFonts w:ascii="Palatino Linotype" w:hAnsi="Palatino Linotype" w:eastAsia="Calibri" w:cs="Tahoma"/>
          <w:b/>
          <w:bCs/>
          <w:sz w:val="22"/>
          <w:szCs w:val="22"/>
        </w:rPr>
      </w:pPr>
      <w:r w:rsidRPr="006D77DF">
        <w:rPr>
          <w:rFonts w:ascii="Palatino Linotype" w:hAnsi="Palatino Linotype" w:eastAsia="Calibri" w:cs="Tahoma"/>
          <w:sz w:val="22"/>
          <w:szCs w:val="22"/>
        </w:rPr>
        <w:t xml:space="preserve">Además, conforme a los artículos 26 y 27 de dicho ordenamiento jurídico, las adquisiciones, arrendamientos y servicios, se adjudicarán a través de procedimientos de </w:t>
      </w:r>
      <w:r w:rsidRPr="006D77DF">
        <w:rPr>
          <w:rFonts w:ascii="Palatino Linotype" w:hAnsi="Palatino Linotype" w:eastAsia="Calibri" w:cs="Tahoma"/>
          <w:b/>
          <w:bCs/>
          <w:sz w:val="22"/>
          <w:szCs w:val="22"/>
        </w:rPr>
        <w:t>licitación pública, invitación restringida y adjudicación directa.</w:t>
      </w:r>
    </w:p>
    <w:p w:rsidRPr="006D77DF" w:rsidR="006D77DF" w:rsidP="006D77DF" w:rsidRDefault="006D77DF" w14:paraId="13EE66E2" w14:textId="77777777">
      <w:pPr>
        <w:spacing w:line="360" w:lineRule="auto"/>
        <w:jc w:val="both"/>
        <w:rPr>
          <w:rFonts w:ascii="Palatino Linotype" w:hAnsi="Palatino Linotype" w:eastAsia="Calibri" w:cs="Tahoma"/>
          <w:b/>
          <w:bCs/>
          <w:sz w:val="22"/>
          <w:szCs w:val="22"/>
        </w:rPr>
      </w:pPr>
    </w:p>
    <w:p w:rsidRPr="006D77DF" w:rsidR="006D77DF" w:rsidP="006D77DF" w:rsidRDefault="006D77DF" w14:paraId="3BEDA2BA" w14:textId="77777777">
      <w:pPr>
        <w:spacing w:line="360" w:lineRule="auto"/>
        <w:jc w:val="both"/>
        <w:rPr>
          <w:rFonts w:ascii="Palatino Linotype" w:hAnsi="Palatino Linotype" w:cs="Tahoma" w:eastAsiaTheme="minorHAnsi"/>
          <w:sz w:val="22"/>
          <w:szCs w:val="22"/>
          <w:lang w:val="es-ES"/>
        </w:rPr>
      </w:pPr>
      <w:r w:rsidRPr="006D77DF">
        <w:rPr>
          <w:rFonts w:ascii="Palatino Linotype" w:hAnsi="Palatino Linotype" w:cs="Tahoma"/>
          <w:sz w:val="22"/>
          <w:szCs w:val="22"/>
          <w:lang w:val="es-ES"/>
        </w:rPr>
        <w:lastRenderedPageBreak/>
        <w:t xml:space="preserve">En ese orden de ideas, conforme al artículo 65 de la Ley de Contratación Pública del Estado de México y Municipios, la adjudicación de un procedimiento de </w:t>
      </w:r>
      <w:r w:rsidRPr="006D77DF">
        <w:rPr>
          <w:rFonts w:ascii="Palatino Linotype" w:hAnsi="Palatino Linotype" w:cs="Tahoma"/>
          <w:b/>
          <w:bCs/>
          <w:sz w:val="22"/>
          <w:szCs w:val="22"/>
          <w:lang w:val="es-ES"/>
        </w:rPr>
        <w:t>adquisición y arrendamiento de bienes y contratación de servicios,</w:t>
      </w:r>
      <w:r w:rsidRPr="006D77DF">
        <w:rPr>
          <w:rFonts w:ascii="Palatino Linotype" w:hAnsi="Palatino Linotype" w:cs="Tahoma"/>
          <w:sz w:val="22"/>
          <w:szCs w:val="22"/>
          <w:lang w:val="es-ES"/>
        </w:rPr>
        <w:t xml:space="preserve"> se realizará mediante la suscripción de un contrato, entre el Ayuntamiento y la persona a la cual haya ganado el procedimiento respectivo, dentro de los diez días hábiles siguientes a la notificación del fallo.</w:t>
      </w:r>
    </w:p>
    <w:p w:rsidRPr="006D77DF" w:rsidR="006D77DF" w:rsidP="006D77DF" w:rsidRDefault="006D77DF" w14:paraId="26887D02" w14:textId="77777777">
      <w:pPr>
        <w:spacing w:line="360" w:lineRule="auto"/>
        <w:jc w:val="both"/>
        <w:rPr>
          <w:rFonts w:ascii="Palatino Linotype" w:hAnsi="Palatino Linotype" w:eastAsia="Calibri" w:cs="Tahoma"/>
          <w:bCs/>
          <w:sz w:val="22"/>
          <w:szCs w:val="22"/>
        </w:rPr>
      </w:pPr>
    </w:p>
    <w:p w:rsidR="006D77DF" w:rsidP="001A7ABD" w:rsidRDefault="006D77DF" w14:paraId="6D725ADF" w14:textId="732E2F6B">
      <w:pPr>
        <w:widowControl w:val="0"/>
        <w:spacing w:line="360" w:lineRule="auto"/>
        <w:jc w:val="both"/>
        <w:rPr>
          <w:rFonts w:ascii="Palatino Linotype" w:hAnsi="Palatino Linotype" w:cs="Tahoma"/>
          <w:sz w:val="22"/>
          <w:szCs w:val="22"/>
          <w:lang w:eastAsia="es-MX"/>
        </w:rPr>
      </w:pPr>
      <w:r w:rsidRPr="006D77DF">
        <w:rPr>
          <w:rFonts w:ascii="Palatino Linotype" w:hAnsi="Palatino Linotype" w:eastAsia="Calibri" w:cs="Tahoma"/>
          <w:bCs/>
          <w:sz w:val="22"/>
          <w:szCs w:val="22"/>
        </w:rPr>
        <w:t>Conforme a lo anterior, se logra observar que el Sujeto Obligado tiene facultades para contratar la prestación de servicios en materia de</w:t>
      </w:r>
      <w:r w:rsidR="00E027ED">
        <w:rPr>
          <w:rFonts w:ascii="Palatino Linotype" w:hAnsi="Palatino Linotype" w:eastAsia="Calibri" w:cs="Tahoma"/>
          <w:bCs/>
          <w:sz w:val="22"/>
          <w:szCs w:val="22"/>
        </w:rPr>
        <w:t xml:space="preserve"> adquisición, arrendamiento de bienes y contratación de servicios para la realización de eventos de la entidad administrativa</w:t>
      </w:r>
      <w:r w:rsidRPr="006D77DF">
        <w:rPr>
          <w:rFonts w:ascii="Palatino Linotype" w:hAnsi="Palatino Linotype" w:eastAsia="Calibri" w:cs="Tahoma"/>
          <w:bCs/>
          <w:sz w:val="22"/>
          <w:szCs w:val="22"/>
        </w:rPr>
        <w:t xml:space="preserve">; situación que toma relevancia, con el artículo 92, </w:t>
      </w:r>
      <w:r w:rsidRPr="006D77DF">
        <w:rPr>
          <w:rFonts w:ascii="Palatino Linotype" w:hAnsi="Palatino Linotype" w:cs="Tahoma"/>
          <w:sz w:val="22"/>
          <w:szCs w:val="22"/>
          <w:lang w:eastAsia="es-MX"/>
        </w:rPr>
        <w:t>fracciones X</w:t>
      </w:r>
      <w:r w:rsidR="00C70396">
        <w:rPr>
          <w:rFonts w:ascii="Palatino Linotype" w:hAnsi="Palatino Linotype" w:cs="Tahoma"/>
          <w:sz w:val="22"/>
          <w:szCs w:val="22"/>
          <w:lang w:eastAsia="es-MX"/>
        </w:rPr>
        <w:t>I</w:t>
      </w:r>
      <w:r w:rsidRPr="006D77DF">
        <w:rPr>
          <w:rFonts w:ascii="Palatino Linotype" w:hAnsi="Palatino Linotype" w:cs="Tahoma"/>
          <w:sz w:val="22"/>
          <w:szCs w:val="22"/>
          <w:lang w:eastAsia="es-MX"/>
        </w:rPr>
        <w:t>, XXIX y XXXII, de la Ley de Transparencia y Acceso a la información Pública del Estado de México y Municipios, refiere que la información relacionada con</w:t>
      </w:r>
      <w:r w:rsidR="00464311">
        <w:rPr>
          <w:rFonts w:ascii="Palatino Linotype" w:hAnsi="Palatino Linotype" w:cs="Tahoma"/>
          <w:sz w:val="22"/>
          <w:szCs w:val="22"/>
          <w:lang w:eastAsia="es-MX"/>
        </w:rPr>
        <w:t xml:space="preserve"> el proceso y resultado de</w:t>
      </w:r>
      <w:r w:rsidR="003E7147">
        <w:rPr>
          <w:rFonts w:ascii="Palatino Linotype" w:hAnsi="Palatino Linotype" w:cs="Tahoma"/>
          <w:sz w:val="22"/>
          <w:szCs w:val="22"/>
          <w:lang w:eastAsia="es-MX"/>
        </w:rPr>
        <w:t xml:space="preserve"> </w:t>
      </w:r>
      <w:r w:rsidR="00464311">
        <w:rPr>
          <w:rFonts w:ascii="Palatino Linotype" w:hAnsi="Palatino Linotype" w:cs="Tahoma"/>
          <w:sz w:val="22"/>
          <w:szCs w:val="22"/>
          <w:lang w:eastAsia="es-MX"/>
        </w:rPr>
        <w:t xml:space="preserve">las concesiones, </w:t>
      </w:r>
      <w:r w:rsidR="003E7147">
        <w:rPr>
          <w:rFonts w:ascii="Palatino Linotype" w:hAnsi="Palatino Linotype" w:cs="Tahoma"/>
          <w:sz w:val="22"/>
          <w:szCs w:val="22"/>
          <w:lang w:eastAsia="es-MX"/>
        </w:rPr>
        <w:t>contrat</w:t>
      </w:r>
      <w:r w:rsidR="00464311">
        <w:rPr>
          <w:rFonts w:ascii="Palatino Linotype" w:hAnsi="Palatino Linotype" w:cs="Tahoma"/>
          <w:sz w:val="22"/>
          <w:szCs w:val="22"/>
          <w:lang w:eastAsia="es-MX"/>
        </w:rPr>
        <w:t>os, etc.</w:t>
      </w:r>
      <w:r w:rsidRPr="006D77DF">
        <w:rPr>
          <w:rFonts w:ascii="Palatino Linotype" w:hAnsi="Palatino Linotype" w:cs="Tahoma"/>
          <w:sz w:val="22"/>
          <w:szCs w:val="22"/>
          <w:lang w:eastAsia="es-MX"/>
        </w:rPr>
        <w:t>, constituye una obligación de transparencia común para los sujetos obligados.</w:t>
      </w:r>
    </w:p>
    <w:p w:rsidR="001A7ABD" w:rsidP="001A7ABD" w:rsidRDefault="001A7ABD" w14:paraId="4DDE0B97" w14:textId="5A6F7319">
      <w:pPr>
        <w:widowControl w:val="0"/>
        <w:spacing w:line="360" w:lineRule="auto"/>
        <w:jc w:val="both"/>
        <w:rPr>
          <w:rFonts w:ascii="Palatino Linotype" w:hAnsi="Palatino Linotype" w:cs="Tahoma"/>
          <w:sz w:val="22"/>
          <w:szCs w:val="22"/>
          <w:lang w:eastAsia="es-MX"/>
        </w:rPr>
      </w:pPr>
    </w:p>
    <w:p w:rsidRPr="001A7ABD" w:rsidR="001A7ABD" w:rsidP="001A7ABD" w:rsidRDefault="001A7ABD" w14:paraId="009F7EB9" w14:textId="7B7C7C2B">
      <w:pPr>
        <w:spacing w:line="360" w:lineRule="auto"/>
        <w:jc w:val="both"/>
        <w:rPr>
          <w:rFonts w:ascii="Palatino Linotype" w:hAnsi="Palatino Linotype" w:cs="Tahoma"/>
          <w:sz w:val="22"/>
          <w:szCs w:val="22"/>
        </w:rPr>
      </w:pPr>
      <w:r w:rsidRPr="003B2FA9">
        <w:rPr>
          <w:rFonts w:ascii="Palatino Linotype" w:hAnsi="Palatino Linotype" w:cs="Tahoma"/>
          <w:sz w:val="22"/>
          <w:szCs w:val="22"/>
        </w:rPr>
        <w:t>Ahora bien, por lo que hace al término factura, la Resolución Miscelánea Fiscal para el 2019,</w:t>
      </w:r>
      <w:r>
        <w:rPr>
          <w:rFonts w:ascii="Palatino Linotype" w:hAnsi="Palatino Linotype" w:cs="Tahoma"/>
          <w:sz w:val="22"/>
          <w:szCs w:val="22"/>
        </w:rPr>
        <w:t xml:space="preserve"> </w:t>
      </w:r>
      <w:r w:rsidRPr="003B2FA9">
        <w:rPr>
          <w:rFonts w:ascii="Palatino Linotype" w:hAnsi="Palatino Linotype" w:cs="Tahoma"/>
          <w:sz w:val="22"/>
          <w:szCs w:val="22"/>
        </w:rPr>
        <w:t>establece que la factura es lo mismo, que un Comprobante Fiscal Digital por Internet, por lo</w:t>
      </w:r>
      <w:r>
        <w:rPr>
          <w:rFonts w:ascii="Palatino Linotype" w:hAnsi="Palatino Linotype" w:cs="Tahoma"/>
          <w:sz w:val="22"/>
          <w:szCs w:val="22"/>
        </w:rPr>
        <w:t xml:space="preserve"> </w:t>
      </w:r>
      <w:r w:rsidRPr="003B2FA9">
        <w:rPr>
          <w:rFonts w:ascii="Palatino Linotype" w:hAnsi="Palatino Linotype" w:cs="Tahoma"/>
          <w:sz w:val="22"/>
          <w:szCs w:val="22"/>
        </w:rPr>
        <w:t>que, se puede considerar como el documento que comprueba la realización de una</w:t>
      </w:r>
      <w:r>
        <w:rPr>
          <w:rFonts w:ascii="Palatino Linotype" w:hAnsi="Palatino Linotype" w:cs="Tahoma"/>
          <w:sz w:val="22"/>
          <w:szCs w:val="22"/>
        </w:rPr>
        <w:t xml:space="preserve"> </w:t>
      </w:r>
      <w:r w:rsidRPr="003B2FA9">
        <w:rPr>
          <w:rFonts w:ascii="Palatino Linotype" w:hAnsi="Palatino Linotype" w:cs="Tahoma"/>
          <w:sz w:val="22"/>
          <w:szCs w:val="22"/>
        </w:rPr>
        <w:t>transacción comercial, entre un comprador y un vendedor, mediante el cual, el primero</w:t>
      </w:r>
      <w:r>
        <w:rPr>
          <w:rFonts w:ascii="Palatino Linotype" w:hAnsi="Palatino Linotype" w:cs="Tahoma"/>
          <w:sz w:val="22"/>
          <w:szCs w:val="22"/>
        </w:rPr>
        <w:t xml:space="preserve"> </w:t>
      </w:r>
      <w:r w:rsidRPr="003B2FA9">
        <w:rPr>
          <w:rFonts w:ascii="Palatino Linotype" w:hAnsi="Palatino Linotype" w:cs="Tahoma"/>
          <w:sz w:val="22"/>
          <w:szCs w:val="22"/>
        </w:rPr>
        <w:t>queda obligado a realizar un pago, mientras que el segundo, a entregar o brindar un</w:t>
      </w:r>
      <w:r>
        <w:rPr>
          <w:rFonts w:ascii="Palatino Linotype" w:hAnsi="Palatino Linotype" w:cs="Tahoma"/>
          <w:sz w:val="22"/>
          <w:szCs w:val="22"/>
        </w:rPr>
        <w:t xml:space="preserve"> </w:t>
      </w:r>
      <w:r w:rsidRPr="003B2FA9">
        <w:rPr>
          <w:rFonts w:ascii="Palatino Linotype" w:hAnsi="Palatino Linotype" w:cs="Tahoma"/>
          <w:sz w:val="22"/>
          <w:szCs w:val="22"/>
        </w:rPr>
        <w:t>producto o servicio.</w:t>
      </w:r>
      <w:r>
        <w:rPr>
          <w:rFonts w:ascii="Palatino Linotype" w:hAnsi="Palatino Linotype" w:cs="Tahoma"/>
          <w:sz w:val="22"/>
          <w:szCs w:val="22"/>
        </w:rPr>
        <w:t xml:space="preserve"> </w:t>
      </w:r>
      <w:r>
        <w:rPr>
          <w:rFonts w:ascii="Palatino Linotype" w:hAnsi="Palatino Linotype" w:cs="Tahoma"/>
          <w:iCs/>
          <w:sz w:val="22"/>
          <w:szCs w:val="22"/>
          <w:lang w:val="es-ES"/>
        </w:rPr>
        <w:t xml:space="preserve">Conforme a lo anterior, se desprende que, en el presente caso, se está solicitando las facturas, acuses o comprobantes de pago realizados por la Dirección de Cultura del Ayuntamiento de Metepec. </w:t>
      </w:r>
    </w:p>
    <w:p w:rsidR="006D77DF" w:rsidP="00357F61" w:rsidRDefault="006D77DF" w14:paraId="60A13234" w14:textId="77777777">
      <w:pPr>
        <w:spacing w:line="360" w:lineRule="auto"/>
        <w:jc w:val="both"/>
        <w:rPr>
          <w:rFonts w:ascii="Palatino Linotype" w:hAnsi="Palatino Linotype"/>
          <w:bCs/>
          <w:sz w:val="22"/>
          <w:szCs w:val="22"/>
        </w:rPr>
      </w:pPr>
    </w:p>
    <w:p w:rsidRPr="00357F61" w:rsidR="00357F61" w:rsidP="00357F61" w:rsidRDefault="00357F61" w14:paraId="09C5F549" w14:textId="57152109">
      <w:pPr>
        <w:spacing w:line="360" w:lineRule="auto"/>
        <w:jc w:val="both"/>
        <w:rPr>
          <w:rFonts w:ascii="Palatino Linotype" w:hAnsi="Palatino Linotype"/>
          <w:bCs/>
          <w:sz w:val="22"/>
          <w:szCs w:val="22"/>
        </w:rPr>
      </w:pPr>
      <w:r w:rsidRPr="00357F61">
        <w:rPr>
          <w:rFonts w:ascii="Palatino Linotype" w:hAnsi="Palatino Linotype"/>
          <w:bCs/>
          <w:sz w:val="22"/>
          <w:szCs w:val="22"/>
        </w:rPr>
        <w:t xml:space="preserve">Sobre el pago de nómina, es necesario traer a colación el artículo el artículo 147 de la Constitución Política del Estado Libre y Soberano de México, que establece que los trabajadores al servicio del Estado, como los miembros de los Ayuntamientos, recibirán una </w:t>
      </w:r>
      <w:r w:rsidRPr="00357F61">
        <w:rPr>
          <w:rFonts w:ascii="Palatino Linotype" w:hAnsi="Palatino Linotype"/>
          <w:bCs/>
          <w:sz w:val="22"/>
          <w:szCs w:val="22"/>
        </w:rPr>
        <w:lastRenderedPageBreak/>
        <w:t xml:space="preserve">remuneración adecuada e irrenunciable por el desempeño de su empleo, cargo o comisión, que será determinada en el presupuesto de egresos que corresponda. </w:t>
      </w:r>
    </w:p>
    <w:p w:rsidRPr="00357F61" w:rsidR="00357F61" w:rsidP="00357F61" w:rsidRDefault="00357F61" w14:paraId="0A5FAEAA" w14:textId="77777777">
      <w:pPr>
        <w:spacing w:line="360" w:lineRule="auto"/>
        <w:jc w:val="both"/>
        <w:rPr>
          <w:rFonts w:ascii="Palatino Linotype" w:hAnsi="Palatino Linotype"/>
          <w:bCs/>
          <w:sz w:val="22"/>
          <w:szCs w:val="22"/>
        </w:rPr>
      </w:pPr>
    </w:p>
    <w:p w:rsidRPr="00357F61" w:rsidR="00357F61" w:rsidP="00357F61" w:rsidRDefault="00357F61" w14:paraId="13BC6BA1" w14:textId="77777777">
      <w:pPr>
        <w:spacing w:line="360" w:lineRule="auto"/>
        <w:jc w:val="both"/>
        <w:rPr>
          <w:rFonts w:ascii="Palatino Linotype" w:hAnsi="Palatino Linotype"/>
          <w:bCs/>
          <w:sz w:val="22"/>
          <w:szCs w:val="22"/>
        </w:rPr>
      </w:pPr>
      <w:r w:rsidRPr="00357F61">
        <w:rPr>
          <w:rFonts w:ascii="Palatino Linotype" w:hAnsi="Palatino Linotype"/>
          <w:bCs/>
          <w:sz w:val="22"/>
          <w:szCs w:val="22"/>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Pr="00357F61" w:rsidR="00357F61" w:rsidP="00357F61" w:rsidRDefault="00357F61" w14:paraId="3E79B7FC" w14:textId="77777777">
      <w:pPr>
        <w:spacing w:line="360" w:lineRule="auto"/>
        <w:jc w:val="both"/>
        <w:rPr>
          <w:rFonts w:ascii="Palatino Linotype" w:hAnsi="Palatino Linotype"/>
          <w:bCs/>
          <w:sz w:val="22"/>
          <w:szCs w:val="22"/>
        </w:rPr>
      </w:pPr>
    </w:p>
    <w:p w:rsidRPr="00357F61" w:rsidR="00357F61" w:rsidP="00357F61" w:rsidRDefault="00357F61" w14:paraId="5E9416BC" w14:textId="77777777">
      <w:pPr>
        <w:spacing w:line="360" w:lineRule="auto"/>
        <w:jc w:val="both"/>
        <w:rPr>
          <w:rFonts w:ascii="Palatino Linotype" w:hAnsi="Palatino Linotype"/>
          <w:bCs/>
          <w:iCs/>
          <w:sz w:val="22"/>
          <w:szCs w:val="22"/>
          <w:lang w:val="es-ES"/>
        </w:rPr>
      </w:pPr>
      <w:r w:rsidRPr="00357F61">
        <w:rPr>
          <w:rFonts w:ascii="Palatino Linotype" w:hAnsi="Palatino Linotype"/>
          <w:bCs/>
          <w:iCs/>
          <w:sz w:val="22"/>
          <w:szCs w:val="22"/>
          <w:lang w:val="es-ES"/>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rsidRPr="00357F61" w:rsidR="00357F61" w:rsidP="00357F61" w:rsidRDefault="00357F61" w14:paraId="14ECB003" w14:textId="77777777">
      <w:pPr>
        <w:spacing w:line="360" w:lineRule="auto"/>
        <w:jc w:val="both"/>
        <w:rPr>
          <w:rFonts w:ascii="Palatino Linotype" w:hAnsi="Palatino Linotype"/>
          <w:bCs/>
          <w:iCs/>
          <w:sz w:val="22"/>
          <w:szCs w:val="22"/>
          <w:lang w:val="es-ES"/>
        </w:rPr>
      </w:pPr>
    </w:p>
    <w:p w:rsidRPr="00357F61" w:rsidR="00357F61" w:rsidP="00357F61" w:rsidRDefault="00357F61" w14:paraId="57292926" w14:textId="77777777">
      <w:pPr>
        <w:spacing w:line="360" w:lineRule="auto"/>
        <w:jc w:val="both"/>
        <w:rPr>
          <w:rFonts w:ascii="Palatino Linotype" w:hAnsi="Palatino Linotype" w:eastAsia="Calibri"/>
          <w:bCs/>
          <w:sz w:val="22"/>
          <w:szCs w:val="22"/>
        </w:rPr>
      </w:pPr>
      <w:r w:rsidRPr="00357F61">
        <w:rPr>
          <w:rFonts w:ascii="Palatino Linotype" w:hAnsi="Palatino Linotype" w:eastAsia="Calibri"/>
          <w:bCs/>
          <w:sz w:val="22"/>
          <w:szCs w:val="22"/>
        </w:rPr>
        <w:t xml:space="preserve">Ahora bien, respecto al documento solicitado, la Ley del Trabajo de los Servidores Públicos del Estado y Municipios, en su artículo 220 K, fracciones II y IV, establece los documentos que tiene la obligación de conservar el Sujeto Obligado, entre los que se encuentra los </w:t>
      </w:r>
      <w:r w:rsidRPr="00357F61">
        <w:rPr>
          <w:rFonts w:ascii="Palatino Linotype" w:hAnsi="Palatino Linotype" w:eastAsia="Calibri"/>
          <w:b/>
          <w:bCs/>
          <w:sz w:val="22"/>
          <w:szCs w:val="22"/>
        </w:rPr>
        <w:t>recibos de pago de salarios o las</w:t>
      </w:r>
      <w:r w:rsidRPr="00357F61">
        <w:rPr>
          <w:rFonts w:ascii="Palatino Linotype" w:hAnsi="Palatino Linotype" w:eastAsia="Calibri"/>
          <w:bCs/>
          <w:sz w:val="22"/>
          <w:szCs w:val="22"/>
        </w:rPr>
        <w:t xml:space="preserve"> </w:t>
      </w:r>
      <w:r w:rsidRPr="00357F61">
        <w:rPr>
          <w:rFonts w:ascii="Palatino Linotype" w:hAnsi="Palatino Linotype" w:eastAsia="Calibri"/>
          <w:b/>
          <w:bCs/>
          <w:sz w:val="22"/>
          <w:szCs w:val="22"/>
        </w:rPr>
        <w:t xml:space="preserve">constancias documentales del pago de sueldos, </w:t>
      </w:r>
      <w:r w:rsidRPr="00357F61">
        <w:rPr>
          <w:rFonts w:ascii="Palatino Linotype" w:hAnsi="Palatino Linotype" w:eastAsia="Calibri"/>
          <w:bCs/>
          <w:sz w:val="22"/>
          <w:szCs w:val="22"/>
        </w:rPr>
        <w:t>cuando sea por depósito o mediante información electrónica; así como los recibos o constancias de depósito o del medio de información magnética o electrónica que sean utilizadas para el pago de salarios, prima vacacional, aguinaldo y demás prestaciones.</w:t>
      </w:r>
    </w:p>
    <w:p w:rsidRPr="00357F61" w:rsidR="00357F61" w:rsidP="00357F61" w:rsidRDefault="00357F61" w14:paraId="611C6A46" w14:textId="77777777">
      <w:pPr>
        <w:spacing w:line="360" w:lineRule="auto"/>
        <w:jc w:val="both"/>
        <w:rPr>
          <w:rFonts w:ascii="Palatino Linotype" w:hAnsi="Palatino Linotype" w:eastAsia="Calibri"/>
          <w:bCs/>
          <w:sz w:val="22"/>
          <w:szCs w:val="22"/>
        </w:rPr>
      </w:pPr>
    </w:p>
    <w:p w:rsidRPr="00357F61" w:rsidR="00357F61" w:rsidP="00357F61" w:rsidRDefault="00357F61" w14:paraId="1A25E69C" w14:textId="77777777">
      <w:pPr>
        <w:spacing w:line="360" w:lineRule="auto"/>
        <w:jc w:val="both"/>
        <w:rPr>
          <w:rFonts w:ascii="Palatino Linotype" w:hAnsi="Palatino Linotype" w:eastAsia="Calibri"/>
          <w:bCs/>
          <w:sz w:val="22"/>
          <w:szCs w:val="22"/>
        </w:rPr>
      </w:pPr>
      <w:r w:rsidRPr="00357F61">
        <w:rPr>
          <w:rFonts w:ascii="Palatino Linotype" w:hAnsi="Palatino Linotype" w:eastAsia="Calibri"/>
          <w:bCs/>
          <w:sz w:val="22"/>
          <w:szCs w:val="22"/>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rsidRPr="00357F61" w:rsidR="00357F61" w:rsidP="00357F61" w:rsidRDefault="00357F61" w14:paraId="3B0CA6B8" w14:textId="77777777">
      <w:pPr>
        <w:spacing w:line="360" w:lineRule="auto"/>
        <w:jc w:val="both"/>
        <w:rPr>
          <w:rFonts w:ascii="Palatino Linotype" w:hAnsi="Palatino Linotype" w:eastAsia="Calibri"/>
          <w:bCs/>
          <w:sz w:val="22"/>
          <w:szCs w:val="22"/>
        </w:rPr>
      </w:pPr>
    </w:p>
    <w:p w:rsidRPr="00357F61" w:rsidR="00357F61" w:rsidP="00357F61" w:rsidRDefault="00357F61" w14:paraId="6F64B596" w14:textId="77777777">
      <w:pPr>
        <w:spacing w:line="360" w:lineRule="auto"/>
        <w:ind w:left="567" w:right="567"/>
        <w:jc w:val="both"/>
        <w:rPr>
          <w:rFonts w:ascii="Palatino Linotype" w:hAnsi="Palatino Linotype" w:eastAsia="Calibri"/>
          <w:bCs/>
          <w:i/>
          <w:iCs/>
          <w:sz w:val="22"/>
          <w:szCs w:val="22"/>
          <w:lang w:val="es-ES"/>
        </w:rPr>
      </w:pPr>
      <w:r w:rsidRPr="00357F61">
        <w:rPr>
          <w:rFonts w:ascii="Palatino Linotype" w:hAnsi="Palatino Linotype" w:eastAsia="Calibri"/>
          <w:b/>
          <w:bCs/>
          <w:i/>
          <w:iCs/>
          <w:sz w:val="22"/>
          <w:szCs w:val="22"/>
          <w:lang w:val="es-ES"/>
        </w:rPr>
        <w:t>“RECIBOS DE PAGO</w:t>
      </w:r>
      <w:r w:rsidRPr="00357F61">
        <w:rPr>
          <w:rFonts w:ascii="Palatino Linotype" w:hAnsi="Palatino Linotype" w:eastAsia="Calibri"/>
          <w:bCs/>
          <w:i/>
          <w:iCs/>
          <w:sz w:val="22"/>
          <w:szCs w:val="22"/>
          <w:lang w:val="es-ES"/>
        </w:rPr>
        <w:t xml:space="preserve"> </w:t>
      </w:r>
      <w:r w:rsidRPr="00357F61">
        <w:rPr>
          <w:rFonts w:ascii="Palatino Linotype" w:hAnsi="Palatino Linotype" w:eastAsia="Calibri"/>
          <w:b/>
          <w:bCs/>
          <w:i/>
          <w:iCs/>
          <w:sz w:val="22"/>
          <w:szCs w:val="22"/>
          <w:lang w:val="es-E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357F61">
        <w:rPr>
          <w:rFonts w:ascii="Palatino Linotype" w:hAnsi="Palatino Linotype" w:eastAsia="Calibri"/>
          <w:bCs/>
          <w:i/>
          <w:iCs/>
          <w:sz w:val="22"/>
          <w:szCs w:val="22"/>
          <w:lang w:val="es-ES"/>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rsidRPr="00357F61" w:rsidR="00357F61" w:rsidP="00357F61" w:rsidRDefault="00357F61" w14:paraId="0597260B" w14:textId="77777777">
      <w:pPr>
        <w:spacing w:line="360" w:lineRule="auto"/>
        <w:jc w:val="both"/>
        <w:rPr>
          <w:rFonts w:ascii="Palatino Linotype" w:hAnsi="Palatino Linotype" w:eastAsia="Calibri"/>
          <w:b/>
          <w:bCs/>
          <w:i/>
          <w:iCs/>
          <w:sz w:val="22"/>
          <w:szCs w:val="22"/>
          <w:lang w:val="es-ES"/>
        </w:rPr>
      </w:pPr>
    </w:p>
    <w:p w:rsidRPr="00357F61" w:rsidR="00357F61" w:rsidP="00357F61" w:rsidRDefault="00357F61" w14:paraId="129B32DD" w14:textId="77777777">
      <w:pPr>
        <w:spacing w:line="360" w:lineRule="auto"/>
        <w:jc w:val="both"/>
        <w:rPr>
          <w:rFonts w:ascii="Palatino Linotype" w:hAnsi="Palatino Linotype" w:eastAsia="Calibri"/>
          <w:bCs/>
          <w:sz w:val="22"/>
          <w:szCs w:val="22"/>
          <w:lang w:val="es-ES"/>
        </w:rPr>
      </w:pPr>
      <w:r w:rsidRPr="00357F61">
        <w:rPr>
          <w:rFonts w:ascii="Palatino Linotype" w:hAnsi="Palatino Linotype" w:eastAsia="Calibri"/>
          <w:bCs/>
          <w:sz w:val="22"/>
          <w:szCs w:val="22"/>
          <w:lang w:val="es-ES"/>
        </w:rPr>
        <w:t xml:space="preserve">De la tesis transcrita, se desprende que </w:t>
      </w:r>
      <w:r w:rsidRPr="00357F61">
        <w:rPr>
          <w:rFonts w:ascii="Palatino Linotype" w:hAnsi="Palatino Linotype" w:eastAsia="Calibri"/>
          <w:b/>
          <w:bCs/>
          <w:sz w:val="22"/>
          <w:szCs w:val="22"/>
          <w:lang w:val="es-ES"/>
        </w:rPr>
        <w:t>en materia burocrática</w:t>
      </w:r>
      <w:r w:rsidRPr="00357F61">
        <w:rPr>
          <w:rFonts w:ascii="Palatino Linotype" w:hAnsi="Palatino Linotype" w:eastAsia="Calibri"/>
          <w:bCs/>
          <w:sz w:val="22"/>
          <w:szCs w:val="22"/>
          <w:lang w:val="es-ES"/>
        </w:rPr>
        <w:t xml:space="preserve"> </w:t>
      </w:r>
      <w:r w:rsidRPr="00357F61">
        <w:rPr>
          <w:rFonts w:ascii="Palatino Linotype" w:hAnsi="Palatino Linotype" w:eastAsia="Calibri"/>
          <w:b/>
          <w:bCs/>
          <w:sz w:val="22"/>
          <w:szCs w:val="22"/>
          <w:lang w:val="es-ES"/>
        </w:rPr>
        <w:t>los recibos de pago acreditan los conceptos y montos que en ellos se insertan</w:t>
      </w:r>
      <w:r w:rsidRPr="00357F61">
        <w:rPr>
          <w:rFonts w:ascii="Palatino Linotype" w:hAnsi="Palatino Linotype" w:eastAsia="Calibri"/>
          <w:bCs/>
          <w:sz w:val="22"/>
          <w:szCs w:val="22"/>
          <w:lang w:val="es-ES"/>
        </w:rPr>
        <w:t xml:space="preserve">, y constituyen prueba para demostrar las percepciones y montos que reciben los servidores públicos. </w:t>
      </w:r>
    </w:p>
    <w:p w:rsidRPr="00357F61" w:rsidR="00357F61" w:rsidP="00357F61" w:rsidRDefault="00357F61" w14:paraId="66FB0AF8" w14:textId="77777777">
      <w:pPr>
        <w:spacing w:line="360" w:lineRule="auto"/>
        <w:jc w:val="both"/>
        <w:rPr>
          <w:rFonts w:ascii="Palatino Linotype" w:hAnsi="Palatino Linotype"/>
          <w:bCs/>
          <w:iCs/>
          <w:sz w:val="22"/>
          <w:szCs w:val="22"/>
          <w:lang w:val="es-ES"/>
        </w:rPr>
      </w:pPr>
    </w:p>
    <w:p w:rsidRPr="00357F61" w:rsidR="00357F61" w:rsidP="00357F61" w:rsidRDefault="00357F61" w14:paraId="47E0BF42" w14:textId="77777777">
      <w:pPr>
        <w:spacing w:line="360" w:lineRule="auto"/>
        <w:jc w:val="both"/>
        <w:rPr>
          <w:rFonts w:ascii="Palatino Linotype" w:hAnsi="Palatino Linotype"/>
          <w:b/>
          <w:bCs/>
          <w:iCs/>
          <w:sz w:val="22"/>
          <w:szCs w:val="22"/>
          <w:lang w:val="es-ES"/>
        </w:rPr>
      </w:pPr>
      <w:r w:rsidRPr="00357F61">
        <w:rPr>
          <w:rFonts w:ascii="Palatino Linotype" w:hAnsi="Palatino Linotype"/>
          <w:bCs/>
          <w:iCs/>
          <w:sz w:val="22"/>
          <w:szCs w:val="22"/>
          <w:lang w:val="es-ES"/>
        </w:rPr>
        <w:t xml:space="preserve">Además, 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w:t>
      </w:r>
      <w:r w:rsidRPr="00357F61">
        <w:rPr>
          <w:rFonts w:ascii="Palatino Linotype" w:hAnsi="Palatino Linotype"/>
          <w:bCs/>
          <w:iCs/>
          <w:sz w:val="22"/>
          <w:szCs w:val="22"/>
          <w:lang w:val="es-ES"/>
        </w:rPr>
        <w:lastRenderedPageBreak/>
        <w:t xml:space="preserve">se encuentra el </w:t>
      </w:r>
      <w:r w:rsidRPr="00357F61">
        <w:rPr>
          <w:rFonts w:ascii="Palatino Linotype" w:hAnsi="Palatino Linotype"/>
          <w:b/>
          <w:bCs/>
          <w:iCs/>
          <w:sz w:val="22"/>
          <w:szCs w:val="22"/>
          <w:lang w:val="es-ES"/>
        </w:rPr>
        <w:t>1000 Servicios Personales</w:t>
      </w:r>
      <w:r w:rsidRPr="00357F61">
        <w:rPr>
          <w:rFonts w:ascii="Palatino Linotype" w:hAnsi="Palatino Linotype"/>
          <w:bCs/>
          <w:iCs/>
          <w:sz w:val="22"/>
          <w:szCs w:val="22"/>
          <w:lang w:val="es-ES"/>
        </w:rPr>
        <w:t>,</w:t>
      </w:r>
      <w:r w:rsidRPr="00357F61">
        <w:rPr>
          <w:rFonts w:ascii="Palatino Linotype" w:hAnsi="Palatino Linotype"/>
          <w:b/>
          <w:bCs/>
          <w:iCs/>
          <w:sz w:val="22"/>
          <w:szCs w:val="22"/>
          <w:lang w:val="es-ES"/>
        </w:rPr>
        <w:t xml:space="preserve"> que agrupa las remuneraciones del personal al servicio de los entes públicos, tales como el sueldo, salarios, dietas, honorarios, prestaciones, obligaciones laborales, entre otras.</w:t>
      </w:r>
    </w:p>
    <w:p w:rsidRPr="00357F61" w:rsidR="00357F61" w:rsidP="00357F61" w:rsidRDefault="00357F61" w14:paraId="141627C9" w14:textId="77777777">
      <w:pPr>
        <w:spacing w:line="360" w:lineRule="auto"/>
        <w:jc w:val="both"/>
        <w:rPr>
          <w:rFonts w:ascii="Palatino Linotype" w:hAnsi="Palatino Linotype"/>
          <w:bCs/>
          <w:sz w:val="22"/>
          <w:szCs w:val="22"/>
        </w:rPr>
      </w:pPr>
    </w:p>
    <w:p w:rsidRPr="00357F61" w:rsidR="00357F61" w:rsidP="00357F61" w:rsidRDefault="00357F61" w14:paraId="31011792" w14:textId="77777777">
      <w:pPr>
        <w:spacing w:line="360" w:lineRule="auto"/>
        <w:jc w:val="both"/>
        <w:rPr>
          <w:rFonts w:ascii="Palatino Linotype" w:hAnsi="Palatino Linotype"/>
          <w:bCs/>
          <w:sz w:val="22"/>
          <w:szCs w:val="22"/>
        </w:rPr>
      </w:pPr>
      <w:r w:rsidRPr="00357F61">
        <w:rPr>
          <w:rFonts w:ascii="Palatino Linotype" w:hAnsi="Palatino Linotype"/>
          <w:bCs/>
          <w:sz w:val="22"/>
          <w:szCs w:val="22"/>
        </w:rPr>
        <w:t xml:space="preserve">Ahora bien, respecto a los documento solicitado, la Ley del Trabajo de los Servidores Públicos del Estado y Municipios, en su artículo 220 K, fracciones II y IV, establece los documentos que tiene la obligación de conservar el Sujeto Obligado, entre los que se encuentra los </w:t>
      </w:r>
      <w:r w:rsidRPr="00357F61">
        <w:rPr>
          <w:rFonts w:ascii="Palatino Linotype" w:hAnsi="Palatino Linotype"/>
          <w:b/>
          <w:bCs/>
          <w:sz w:val="22"/>
          <w:szCs w:val="22"/>
        </w:rPr>
        <w:t>recibos de pago de salarios o las</w:t>
      </w:r>
      <w:r w:rsidRPr="00357F61">
        <w:rPr>
          <w:rFonts w:ascii="Palatino Linotype" w:hAnsi="Palatino Linotype"/>
          <w:bCs/>
          <w:sz w:val="22"/>
          <w:szCs w:val="22"/>
        </w:rPr>
        <w:t xml:space="preserve"> </w:t>
      </w:r>
      <w:r w:rsidRPr="00357F61">
        <w:rPr>
          <w:rFonts w:ascii="Palatino Linotype" w:hAnsi="Palatino Linotype"/>
          <w:b/>
          <w:bCs/>
          <w:sz w:val="22"/>
          <w:szCs w:val="22"/>
        </w:rPr>
        <w:t xml:space="preserve">constancias documentales del pago de sueldos, </w:t>
      </w:r>
      <w:r w:rsidRPr="00357F61">
        <w:rPr>
          <w:rFonts w:ascii="Palatino Linotype" w:hAnsi="Palatino Linotype"/>
          <w:bCs/>
          <w:sz w:val="22"/>
          <w:szCs w:val="22"/>
        </w:rPr>
        <w:t>cuando sea por depósito o mediante información electrónica; así como los recibos o constancias de depósito o del medio de información magnética o electrónica que sean utilizadas para el pago de salarios, prima vacacional, aguinaldo y demás prestaciones.</w:t>
      </w:r>
    </w:p>
    <w:p w:rsidRPr="00357F61" w:rsidR="00357F61" w:rsidP="00357F61" w:rsidRDefault="00357F61" w14:paraId="11F215CE" w14:textId="77777777">
      <w:pPr>
        <w:spacing w:line="360" w:lineRule="auto"/>
        <w:jc w:val="both"/>
        <w:rPr>
          <w:rFonts w:ascii="Palatino Linotype" w:hAnsi="Palatino Linotype"/>
          <w:bCs/>
          <w:sz w:val="22"/>
          <w:szCs w:val="22"/>
        </w:rPr>
      </w:pPr>
    </w:p>
    <w:p w:rsidRPr="00357F61" w:rsidR="00357F61" w:rsidP="00357F61" w:rsidRDefault="00357F61" w14:paraId="0F3B4A8B" w14:textId="77777777">
      <w:pPr>
        <w:spacing w:line="360" w:lineRule="auto"/>
        <w:jc w:val="both"/>
        <w:rPr>
          <w:rFonts w:ascii="Palatino Linotype" w:hAnsi="Palatino Linotype"/>
          <w:sz w:val="22"/>
          <w:szCs w:val="22"/>
        </w:rPr>
      </w:pPr>
      <w:r w:rsidRPr="00357F61">
        <w:rPr>
          <w:rFonts w:ascii="Palatino Linotype" w:hAnsi="Palatino Linotype" w:cs="Tahoma"/>
          <w:bCs/>
          <w:sz w:val="22"/>
          <w:szCs w:val="22"/>
        </w:rPr>
        <w:t xml:space="preserve">En ese orden de ideas, </w:t>
      </w:r>
      <w:r w:rsidRPr="00357F61">
        <w:rPr>
          <w:rFonts w:ascii="Palatino Linotype" w:hAnsi="Palatino Linotype" w:eastAsia="Calibri"/>
          <w:bCs/>
          <w:sz w:val="22"/>
          <w:szCs w:val="22"/>
        </w:rPr>
        <w:t>Lineamientos para la Integración y Entrega del Informe Trimestral Municipal, dos mil veintidós, emitidos por el Órgano Superior de Fiscalización del Estado de México</w:t>
      </w:r>
      <w:r w:rsidRPr="00357F61">
        <w:rPr>
          <w:rFonts w:ascii="Palatino Linotype" w:hAnsi="Palatino Linotype" w:eastAsia="Calibri"/>
          <w:bCs/>
          <w:sz w:val="22"/>
          <w:szCs w:val="22"/>
          <w:lang w:val="es-ES_tradnl"/>
        </w:rPr>
        <w:t>,</w:t>
      </w:r>
      <w:r w:rsidRPr="00357F61">
        <w:rPr>
          <w:rFonts w:ascii="Palatino Linotype" w:hAnsi="Palatino Linotype" w:cs="Tahoma"/>
          <w:bCs/>
          <w:sz w:val="22"/>
          <w:szCs w:val="22"/>
        </w:rPr>
        <w:t xml:space="preserve"> </w:t>
      </w:r>
      <w:r w:rsidRPr="00357F61">
        <w:rPr>
          <w:rFonts w:ascii="Palatino Linotype" w:hAnsi="Palatino Linotype" w:eastAsia="Calibri"/>
          <w:bCs/>
          <w:sz w:val="22"/>
          <w:szCs w:val="22"/>
        </w:rPr>
        <w:t xml:space="preserve">entre los formatos que maneja en el </w:t>
      </w:r>
      <w:r w:rsidRPr="00357F61">
        <w:rPr>
          <w:rFonts w:ascii="Palatino Linotype" w:hAnsi="Palatino Linotype" w:eastAsia="Calibri"/>
          <w:b/>
          <w:bCs/>
          <w:sz w:val="22"/>
          <w:szCs w:val="22"/>
        </w:rPr>
        <w:t>Módulo 4</w:t>
      </w:r>
      <w:r w:rsidRPr="00357F61">
        <w:rPr>
          <w:rFonts w:ascii="Palatino Linotype" w:hAnsi="Palatino Linotype" w:eastAsia="Calibri"/>
          <w:bCs/>
          <w:sz w:val="22"/>
          <w:szCs w:val="22"/>
        </w:rPr>
        <w:t xml:space="preserve">, se advierte que se encuentran los </w:t>
      </w:r>
      <w:r w:rsidRPr="00357F61">
        <w:rPr>
          <w:rFonts w:ascii="Palatino Linotype" w:hAnsi="Palatino Linotype" w:eastAsia="Calibri"/>
          <w:b/>
          <w:bCs/>
          <w:sz w:val="22"/>
          <w:szCs w:val="22"/>
          <w:lang w:val="es-ES_tradnl"/>
        </w:rPr>
        <w:t>Comprobantes Fiscales Digitales por Internet por concepto de nómina</w:t>
      </w:r>
      <w:r w:rsidRPr="00357F61">
        <w:rPr>
          <w:rFonts w:ascii="Palatino Linotype" w:hAnsi="Palatino Linotype" w:eastAsia="Calibri"/>
          <w:bCs/>
          <w:sz w:val="22"/>
          <w:szCs w:val="22"/>
        </w:rPr>
        <w:t xml:space="preserve">, </w:t>
      </w:r>
      <w:r w:rsidRPr="00357F61">
        <w:rPr>
          <w:rFonts w:ascii="Palatino Linotype" w:hAnsi="Palatino Linotype"/>
          <w:bCs/>
          <w:sz w:val="22"/>
          <w:szCs w:val="22"/>
        </w:rPr>
        <w:t>mismos que serán entregados a la autoridad fiscalizadora y que contienen todas las percepciones y deducciones que recibe cada servidor público.</w:t>
      </w:r>
    </w:p>
    <w:p w:rsidRPr="00357F61" w:rsidR="00357F61" w:rsidP="00357F61" w:rsidRDefault="00357F61" w14:paraId="70A76DA4" w14:textId="77777777">
      <w:pPr>
        <w:spacing w:line="360" w:lineRule="auto"/>
        <w:jc w:val="both"/>
        <w:rPr>
          <w:rFonts w:ascii="Palatino Linotype" w:hAnsi="Palatino Linotype"/>
          <w:iCs/>
          <w:sz w:val="22"/>
          <w:szCs w:val="22"/>
          <w:lang w:val="es-ES"/>
        </w:rPr>
      </w:pPr>
    </w:p>
    <w:p w:rsidRPr="001A7ABD" w:rsidR="00253343" w:rsidP="001A7ABD" w:rsidRDefault="00357F61" w14:paraId="53C4F3C5" w14:textId="504176CE">
      <w:pPr>
        <w:tabs>
          <w:tab w:val="left" w:pos="4962"/>
        </w:tabs>
        <w:spacing w:line="360" w:lineRule="auto"/>
        <w:jc w:val="both"/>
        <w:rPr>
          <w:rFonts w:ascii="Palatino Linotype" w:hAnsi="Palatino Linotype" w:cs="Tahoma"/>
          <w:b/>
          <w:bCs/>
          <w:sz w:val="22"/>
          <w:szCs w:val="22"/>
          <w:lang w:val="es-ES_tradnl"/>
        </w:rPr>
      </w:pPr>
      <w:r w:rsidRPr="00357F61">
        <w:rPr>
          <w:rFonts w:ascii="Palatino Linotype" w:hAnsi="Palatino Linotype" w:cs="Tahoma"/>
          <w:sz w:val="22"/>
          <w:szCs w:val="22"/>
        </w:rPr>
        <w:t xml:space="preserve">Conforme a lo anterior, se logra vislumbrar que </w:t>
      </w:r>
      <w:r w:rsidRPr="00357F61">
        <w:rPr>
          <w:rFonts w:ascii="Palatino Linotype" w:hAnsi="Palatino Linotype" w:cs="Tahoma"/>
          <w:bCs/>
          <w:sz w:val="22"/>
          <w:szCs w:val="22"/>
          <w:lang w:val="es-ES_tradnl"/>
        </w:rPr>
        <w:t xml:space="preserve">el Sujeto Obligado </w:t>
      </w:r>
      <w:r w:rsidRPr="00357F61">
        <w:rPr>
          <w:rFonts w:ascii="Palatino Linotype" w:hAnsi="Palatino Linotype" w:cs="Tahoma"/>
          <w:b/>
          <w:bCs/>
          <w:sz w:val="22"/>
          <w:szCs w:val="22"/>
          <w:lang w:val="es-ES_tradnl"/>
        </w:rPr>
        <w:t>tiene competencia para conocer de la información solicitada, pues el Ayuntamiento debe de entregar al ente fiscalizador, los recibos</w:t>
      </w:r>
      <w:r>
        <w:rPr>
          <w:rFonts w:ascii="Palatino Linotype" w:hAnsi="Palatino Linotype" w:cs="Tahoma"/>
          <w:b/>
          <w:bCs/>
          <w:sz w:val="22"/>
          <w:szCs w:val="22"/>
          <w:lang w:val="es-ES_tradnl"/>
        </w:rPr>
        <w:t xml:space="preserve"> o pagos</w:t>
      </w:r>
      <w:r w:rsidRPr="00357F61">
        <w:rPr>
          <w:rFonts w:ascii="Palatino Linotype" w:hAnsi="Palatino Linotype" w:cs="Tahoma"/>
          <w:b/>
          <w:bCs/>
          <w:sz w:val="22"/>
          <w:szCs w:val="22"/>
          <w:lang w:val="es-ES_tradnl"/>
        </w:rPr>
        <w:t xml:space="preserve"> de nómina emitidos.</w:t>
      </w:r>
    </w:p>
    <w:p w:rsidR="00253343" w:rsidP="00253343" w:rsidRDefault="00253343" w14:paraId="4EEB4E2F" w14:textId="77777777">
      <w:pPr>
        <w:spacing w:line="360" w:lineRule="auto"/>
        <w:jc w:val="both"/>
        <w:rPr>
          <w:rFonts w:ascii="Palatino Linotype" w:hAnsi="Palatino Linotype" w:cs="Tahoma"/>
          <w:bCs/>
          <w:sz w:val="22"/>
          <w:szCs w:val="22"/>
        </w:rPr>
      </w:pPr>
    </w:p>
    <w:p w:rsidR="002B1811" w:rsidP="002B1811" w:rsidRDefault="002B1811" w14:paraId="04F37168" w14:textId="44A00898">
      <w:pPr>
        <w:tabs>
          <w:tab w:val="left" w:pos="4962"/>
        </w:tabs>
        <w:spacing w:line="360" w:lineRule="auto"/>
        <w:jc w:val="both"/>
        <w:rPr>
          <w:rFonts w:ascii="Palatino Linotype" w:hAnsi="Palatino Linotype" w:eastAsia="Calibri" w:cs="Tahoma"/>
          <w:bCs/>
          <w:sz w:val="22"/>
          <w:szCs w:val="22"/>
        </w:rPr>
      </w:pPr>
      <w:r w:rsidRPr="002B1811">
        <w:rPr>
          <w:rFonts w:ascii="Palatino Linotype" w:hAnsi="Palatino Linotype" w:cs="Tahoma"/>
          <w:sz w:val="22"/>
          <w:szCs w:val="22"/>
        </w:rPr>
        <w:t xml:space="preserve">Conforme a lo anterior, se logra vislumbrar que </w:t>
      </w:r>
      <w:bookmarkStart w:name="_Hlk76480431" w:id="1"/>
      <w:r w:rsidRPr="002B1811">
        <w:rPr>
          <w:rFonts w:ascii="Palatino Linotype" w:hAnsi="Palatino Linotype" w:cs="Tahoma"/>
          <w:bCs/>
          <w:sz w:val="22"/>
          <w:szCs w:val="22"/>
          <w:lang w:val="es-ES_tradnl"/>
        </w:rPr>
        <w:t xml:space="preserve">el Sujeto Obligado </w:t>
      </w:r>
      <w:r w:rsidRPr="002B1811">
        <w:rPr>
          <w:rFonts w:ascii="Palatino Linotype" w:hAnsi="Palatino Linotype" w:cs="Tahoma"/>
          <w:b/>
          <w:bCs/>
          <w:sz w:val="22"/>
          <w:szCs w:val="22"/>
          <w:lang w:val="es-ES_tradnl"/>
        </w:rPr>
        <w:t>tiene competencia para conocer de la información solicitada</w:t>
      </w:r>
      <w:r w:rsidRPr="002B1811">
        <w:rPr>
          <w:rFonts w:ascii="Palatino Linotype" w:hAnsi="Palatino Linotype" w:eastAsia="Calibri" w:cs="Tahoma"/>
          <w:bCs/>
          <w:sz w:val="22"/>
          <w:szCs w:val="22"/>
        </w:rPr>
        <w:t>; por lo que</w:t>
      </w:r>
      <w:r w:rsidRPr="002B1811">
        <w:rPr>
          <w:rFonts w:ascii="Palatino Linotype" w:hAnsi="Palatino Linotype" w:cs="Tahoma"/>
          <w:bCs/>
          <w:sz w:val="22"/>
          <w:szCs w:val="22"/>
          <w:lang w:val="es-ES_tradnl"/>
        </w:rPr>
        <w:t xml:space="preserve">, </w:t>
      </w:r>
      <w:r w:rsidRPr="002B1811">
        <w:rPr>
          <w:rFonts w:ascii="Palatino Linotype" w:hAnsi="Palatino Linotype" w:cs="Tahoma"/>
          <w:bCs/>
          <w:iCs/>
          <w:sz w:val="22"/>
          <w:szCs w:val="22"/>
        </w:rPr>
        <w:t xml:space="preserve">se considera que, para atender al requerimiento en análisis, el Sujeto Obligado, deberá realizar una búsqueda exhaustiva y razonable en todas sus áreas competentes, en términos del artículo 162 de la Ley de </w:t>
      </w:r>
      <w:r w:rsidRPr="006E763E">
        <w:rPr>
          <w:rFonts w:ascii="Palatino Linotype" w:hAnsi="Palatino Linotype" w:cs="Tahoma"/>
          <w:bCs/>
          <w:iCs/>
          <w:sz w:val="22"/>
          <w:szCs w:val="22"/>
        </w:rPr>
        <w:lastRenderedPageBreak/>
        <w:t>Transparencia y Acceso a la Información Pública del Estado de México y Municipios,</w:t>
      </w:r>
      <w:r w:rsidRPr="006E763E">
        <w:rPr>
          <w:rFonts w:ascii="Palatino Linotype" w:hAnsi="Palatino Linotype" w:eastAsia="Calibri" w:cs="Tahoma"/>
          <w:bCs/>
          <w:sz w:val="22"/>
          <w:szCs w:val="22"/>
        </w:rPr>
        <w:t xml:space="preserve"> a efecto de que dé la respuesta que a derecho corresponda y, en su caso, proporcione los documentos que den cuen</w:t>
      </w:r>
      <w:r w:rsidRPr="006E763E" w:rsidR="00BD3E0B">
        <w:rPr>
          <w:rFonts w:ascii="Palatino Linotype" w:hAnsi="Palatino Linotype" w:eastAsia="Calibri" w:cs="Tahoma"/>
          <w:bCs/>
          <w:sz w:val="22"/>
          <w:szCs w:val="22"/>
        </w:rPr>
        <w:t>ta de la información solicitada, los cuales pueden ser recibos, facturas, pólizas, contratos e incluso la nómina de personal.</w:t>
      </w:r>
    </w:p>
    <w:p w:rsidR="00BD3E0B" w:rsidP="002B1811" w:rsidRDefault="00BD3E0B" w14:paraId="6D04E8D3" w14:textId="77777777">
      <w:pPr>
        <w:tabs>
          <w:tab w:val="left" w:pos="4962"/>
        </w:tabs>
        <w:spacing w:line="360" w:lineRule="auto"/>
        <w:jc w:val="both"/>
        <w:rPr>
          <w:rFonts w:ascii="Palatino Linotype" w:hAnsi="Palatino Linotype" w:eastAsia="Calibri" w:cs="Tahoma"/>
          <w:bCs/>
          <w:sz w:val="22"/>
          <w:szCs w:val="22"/>
        </w:rPr>
      </w:pPr>
    </w:p>
    <w:p w:rsidRPr="00BD3E0B" w:rsidR="00BD3E0B" w:rsidP="00BD3E0B" w:rsidRDefault="00BD3E0B" w14:paraId="40366694" w14:textId="4B12777E">
      <w:pPr>
        <w:spacing w:line="360" w:lineRule="auto"/>
        <w:jc w:val="both"/>
        <w:rPr>
          <w:rFonts w:ascii="Palatino Linotype" w:hAnsi="Palatino Linotype"/>
          <w:b/>
          <w:noProof/>
          <w:szCs w:val="22"/>
          <w:lang w:eastAsia="es-MX"/>
        </w:rPr>
      </w:pPr>
      <w:r>
        <w:rPr>
          <w:rFonts w:ascii="Palatino Linotype" w:hAnsi="Palatino Linotype"/>
          <w:b/>
          <w:caps/>
          <w:noProof/>
          <w:szCs w:val="22"/>
          <w:lang w:eastAsia="es-MX"/>
        </w:rPr>
        <w:t>V</w:t>
      </w:r>
      <w:r>
        <w:rPr>
          <w:rFonts w:ascii="Palatino Linotype" w:hAnsi="Palatino Linotype"/>
          <w:b/>
          <w:noProof/>
          <w:szCs w:val="22"/>
          <w:lang w:eastAsia="es-MX"/>
        </w:rPr>
        <w:t>ersión pública.</w:t>
      </w:r>
    </w:p>
    <w:p w:rsidRPr="00331DCC" w:rsidR="00BD3E0B" w:rsidP="00BD3E0B" w:rsidRDefault="00BD3E0B" w14:paraId="020A11B6" w14:textId="77777777">
      <w:pPr>
        <w:spacing w:line="360" w:lineRule="auto"/>
        <w:jc w:val="both"/>
        <w:rPr>
          <w:rFonts w:ascii="Palatino Linotype" w:hAnsi="Palatino Linotype"/>
          <w:b/>
          <w:caps/>
          <w:noProof/>
          <w:szCs w:val="22"/>
          <w:lang w:eastAsia="es-MX"/>
        </w:rPr>
      </w:pPr>
    </w:p>
    <w:p w:rsidR="00B81E97" w:rsidP="00BD3E0B" w:rsidRDefault="00B81E97" w14:paraId="27F88F6C" w14:textId="58233CC8">
      <w:pPr>
        <w:spacing w:line="360" w:lineRule="auto"/>
        <w:ind w:right="-93"/>
        <w:jc w:val="both"/>
        <w:rPr>
          <w:rFonts w:ascii="Palatino Linotype" w:hAnsi="Palatino Linotype" w:cs="Tahoma"/>
          <w:bCs/>
          <w:iCs/>
          <w:sz w:val="22"/>
          <w:szCs w:val="22"/>
        </w:rPr>
      </w:pPr>
      <w:r>
        <w:rPr>
          <w:rFonts w:ascii="Palatino Linotype" w:hAnsi="Palatino Linotype" w:cs="Tahoma"/>
          <w:bCs/>
          <w:iCs/>
          <w:sz w:val="22"/>
          <w:szCs w:val="22"/>
        </w:rPr>
        <w:t>Es de advertir que los documentos que dan cuenta de las erogaciones del trimestre, pueden contener datos personales confidenciales e información reservada por lo que, para ello, se deberán elaborar las versiones públicas respectivas, conforme a lo que a continuación se indica.</w:t>
      </w:r>
    </w:p>
    <w:p w:rsidRPr="00331DCC" w:rsidR="00BD3E0B" w:rsidP="00BD3E0B" w:rsidRDefault="00BD3E0B" w14:paraId="575633B4" w14:textId="05A2F87B">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Para determinar la publicidad o clasificación de datos personales, resulta conveniente traer a colación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Pr="00331DCC" w:rsidR="00BD3E0B" w:rsidP="00BD3E0B" w:rsidRDefault="00BD3E0B" w14:paraId="210A7043" w14:textId="77777777">
      <w:pPr>
        <w:spacing w:line="360" w:lineRule="auto"/>
        <w:ind w:right="-93"/>
        <w:jc w:val="both"/>
        <w:rPr>
          <w:rFonts w:ascii="Palatino Linotype" w:hAnsi="Palatino Linotype" w:cs="Tahoma"/>
          <w:bCs/>
          <w:iCs/>
          <w:sz w:val="22"/>
          <w:szCs w:val="22"/>
        </w:rPr>
      </w:pPr>
    </w:p>
    <w:p w:rsidRPr="00331DCC" w:rsidR="00BD3E0B" w:rsidP="00BD3E0B" w:rsidRDefault="00BD3E0B" w14:paraId="28818C17" w14:textId="77777777">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Pr="00331DCC" w:rsidR="00BD3E0B" w:rsidP="00BD3E0B" w:rsidRDefault="00BD3E0B" w14:paraId="0CE8085A" w14:textId="77777777">
      <w:pPr>
        <w:spacing w:line="360" w:lineRule="auto"/>
        <w:ind w:right="-93"/>
        <w:jc w:val="both"/>
        <w:rPr>
          <w:rFonts w:ascii="Palatino Linotype" w:hAnsi="Palatino Linotype" w:cs="Tahoma"/>
          <w:bCs/>
          <w:iCs/>
          <w:sz w:val="22"/>
          <w:szCs w:val="22"/>
        </w:rPr>
      </w:pPr>
    </w:p>
    <w:p w:rsidRPr="00331DCC" w:rsidR="00BD3E0B" w:rsidP="00BD3E0B" w:rsidRDefault="00BD3E0B" w14:paraId="3C952ECD" w14:textId="77777777">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 xml:space="preserve">De la misma manera, el artículo 5°, fracciones I y II de la Constitución Política del Estado Libre y Soberano de México, prevé que toda la información en posesión de los Sujetos Obligados será </w:t>
      </w:r>
      <w:r w:rsidRPr="00331DCC">
        <w:rPr>
          <w:rFonts w:ascii="Palatino Linotype" w:hAnsi="Palatino Linotype" w:cs="Tahoma"/>
          <w:bCs/>
          <w:iCs/>
          <w:sz w:val="22"/>
          <w:szCs w:val="22"/>
        </w:rPr>
        <w:lastRenderedPageBreak/>
        <w:t>pública; no obstante, aquella referente a la intimidad de la vida privada y la imagen de las personas, será protegida a través de un marco jurídico rígido, de tratamiento y manejo de datos personales.</w:t>
      </w:r>
    </w:p>
    <w:p w:rsidRPr="00331DCC" w:rsidR="00BD3E0B" w:rsidP="00BD3E0B" w:rsidRDefault="00BD3E0B" w14:paraId="42313A9A" w14:textId="77777777">
      <w:pPr>
        <w:spacing w:line="360" w:lineRule="auto"/>
        <w:ind w:right="-93"/>
        <w:jc w:val="both"/>
        <w:rPr>
          <w:rFonts w:ascii="Palatino Linotype" w:hAnsi="Palatino Linotype" w:cs="Tahoma"/>
          <w:bCs/>
          <w:iCs/>
          <w:sz w:val="22"/>
          <w:szCs w:val="22"/>
        </w:rPr>
      </w:pPr>
    </w:p>
    <w:p w:rsidRPr="00331DCC" w:rsidR="00BD3E0B" w:rsidP="00BD3E0B" w:rsidRDefault="00BD3E0B" w14:paraId="75A1EE66" w14:textId="77777777">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331DCC" w:rsidR="00BD3E0B" w:rsidP="00BD3E0B" w:rsidRDefault="00BD3E0B" w14:paraId="6043B1B1" w14:textId="77777777">
      <w:pPr>
        <w:spacing w:line="360" w:lineRule="auto"/>
        <w:ind w:right="-93"/>
        <w:jc w:val="both"/>
        <w:rPr>
          <w:rFonts w:ascii="Palatino Linotype" w:hAnsi="Palatino Linotype" w:cs="Tahoma"/>
          <w:bCs/>
          <w:iCs/>
          <w:sz w:val="22"/>
          <w:szCs w:val="22"/>
        </w:rPr>
      </w:pPr>
    </w:p>
    <w:p w:rsidRPr="00331DCC" w:rsidR="00BD3E0B" w:rsidP="00BD3E0B" w:rsidRDefault="00BD3E0B" w14:paraId="2004D035" w14:textId="77777777">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331DCC" w:rsidR="00BD3E0B" w:rsidP="00BD3E0B" w:rsidRDefault="00BD3E0B" w14:paraId="73B45339" w14:textId="77777777">
      <w:pPr>
        <w:spacing w:line="360" w:lineRule="auto"/>
        <w:ind w:right="-93"/>
        <w:jc w:val="both"/>
        <w:rPr>
          <w:rFonts w:ascii="Palatino Linotype" w:hAnsi="Palatino Linotype" w:cs="Tahoma"/>
          <w:bCs/>
          <w:iCs/>
          <w:sz w:val="22"/>
          <w:szCs w:val="22"/>
        </w:rPr>
      </w:pPr>
    </w:p>
    <w:p w:rsidRPr="00331DCC" w:rsidR="00BD3E0B" w:rsidP="00BD3E0B" w:rsidRDefault="00BD3E0B" w14:paraId="67E9A6F8" w14:textId="77777777">
      <w:pPr>
        <w:spacing w:line="360" w:lineRule="auto"/>
        <w:ind w:right="-93"/>
        <w:jc w:val="both"/>
        <w:rPr>
          <w:rFonts w:ascii="Palatino Linotype" w:hAnsi="Palatino Linotype" w:cs="Tahoma"/>
          <w:bCs/>
          <w:iCs/>
          <w:sz w:val="22"/>
          <w:szCs w:val="22"/>
          <w:lang w:val="es-ES"/>
        </w:rPr>
      </w:pPr>
      <w:r w:rsidRPr="00331DCC">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w:t>
      </w:r>
      <w:r w:rsidRPr="00331DCC">
        <w:rPr>
          <w:rFonts w:ascii="Palatino Linotype" w:hAnsi="Palatino Linotype" w:cs="Tahoma"/>
          <w:bCs/>
          <w:iCs/>
          <w:sz w:val="22"/>
          <w:szCs w:val="22"/>
          <w:lang w:val="es-ES"/>
        </w:rPr>
        <w:t>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331DCC" w:rsidR="00BD3E0B" w:rsidP="00BD3E0B" w:rsidRDefault="00BD3E0B" w14:paraId="09B75C47" w14:textId="77777777">
      <w:pPr>
        <w:spacing w:line="360" w:lineRule="auto"/>
        <w:ind w:right="-93"/>
        <w:jc w:val="both"/>
        <w:rPr>
          <w:rFonts w:ascii="Palatino Linotype" w:hAnsi="Palatino Linotype" w:cs="Tahoma"/>
          <w:bCs/>
          <w:iCs/>
          <w:sz w:val="22"/>
          <w:szCs w:val="22"/>
        </w:rPr>
      </w:pPr>
    </w:p>
    <w:p w:rsidRPr="00331DCC" w:rsidR="00BD3E0B" w:rsidP="00BD3E0B" w:rsidRDefault="00BD3E0B" w14:paraId="5A5BBDA6" w14:textId="77777777">
      <w:pPr>
        <w:spacing w:line="360" w:lineRule="auto"/>
        <w:ind w:right="-93"/>
        <w:jc w:val="both"/>
        <w:rPr>
          <w:rFonts w:ascii="Palatino Linotype" w:hAnsi="Palatino Linotype" w:cs="Tahoma"/>
          <w:bCs/>
          <w:iCs/>
          <w:sz w:val="22"/>
          <w:szCs w:val="22"/>
          <w:lang w:val="es-ES"/>
        </w:rPr>
      </w:pPr>
      <w:r w:rsidRPr="00331DCC">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rsidRPr="00331DCC" w:rsidR="00BD3E0B" w:rsidP="00BD3E0B" w:rsidRDefault="00BD3E0B" w14:paraId="0C876971" w14:textId="77777777">
      <w:pPr>
        <w:spacing w:line="360" w:lineRule="auto"/>
        <w:ind w:right="-93"/>
        <w:jc w:val="both"/>
        <w:rPr>
          <w:rFonts w:ascii="Palatino Linotype" w:hAnsi="Palatino Linotype" w:cs="Tahoma"/>
          <w:bCs/>
          <w:iCs/>
          <w:sz w:val="22"/>
          <w:szCs w:val="22"/>
          <w:lang w:val="es-ES"/>
        </w:rPr>
      </w:pPr>
    </w:p>
    <w:p w:rsidRPr="00331DCC" w:rsidR="00BD3E0B" w:rsidP="00BD3E0B" w:rsidRDefault="00BD3E0B" w14:paraId="41E4C940" w14:textId="77777777">
      <w:pPr>
        <w:numPr>
          <w:ilvl w:val="0"/>
          <w:numId w:val="9"/>
        </w:numPr>
        <w:spacing w:line="360" w:lineRule="auto"/>
        <w:ind w:right="-93"/>
        <w:jc w:val="both"/>
        <w:rPr>
          <w:rFonts w:ascii="Palatino Linotype" w:hAnsi="Palatino Linotype" w:cs="Tahoma"/>
          <w:bCs/>
          <w:iCs/>
          <w:sz w:val="22"/>
          <w:szCs w:val="22"/>
          <w:lang w:val="es-ES"/>
        </w:rPr>
      </w:pPr>
      <w:r w:rsidRPr="00331DCC">
        <w:rPr>
          <w:rFonts w:ascii="Palatino Linotype" w:hAnsi="Palatino Linotype" w:cs="Tahoma"/>
          <w:bCs/>
          <w:iCs/>
          <w:sz w:val="22"/>
          <w:szCs w:val="22"/>
          <w:lang w:val="es-ES"/>
        </w:rPr>
        <w:t xml:space="preserve">Se trate de datos personales o información privada; esto es, información concerniente a una persona física o jurídico colectiva y que esta sea identificada o identificable. </w:t>
      </w:r>
    </w:p>
    <w:p w:rsidRPr="00331DCC" w:rsidR="00BD3E0B" w:rsidP="00BD3E0B" w:rsidRDefault="00BD3E0B" w14:paraId="010974BF" w14:textId="77777777">
      <w:pPr>
        <w:spacing w:line="360" w:lineRule="auto"/>
        <w:ind w:right="-93"/>
        <w:jc w:val="both"/>
        <w:rPr>
          <w:rFonts w:ascii="Palatino Linotype" w:hAnsi="Palatino Linotype" w:cs="Tahoma"/>
          <w:bCs/>
          <w:iCs/>
          <w:sz w:val="22"/>
          <w:szCs w:val="22"/>
          <w:lang w:val="es-ES"/>
        </w:rPr>
      </w:pPr>
    </w:p>
    <w:p w:rsidRPr="00331DCC" w:rsidR="00BD3E0B" w:rsidP="00BD3E0B" w:rsidRDefault="00BD3E0B" w14:paraId="62D0645A" w14:textId="77777777">
      <w:pPr>
        <w:numPr>
          <w:ilvl w:val="0"/>
          <w:numId w:val="9"/>
        </w:numPr>
        <w:spacing w:line="360" w:lineRule="auto"/>
        <w:ind w:right="-93"/>
        <w:jc w:val="both"/>
        <w:rPr>
          <w:rFonts w:ascii="Palatino Linotype" w:hAnsi="Palatino Linotype" w:cs="Tahoma"/>
          <w:bCs/>
          <w:iCs/>
          <w:sz w:val="22"/>
          <w:szCs w:val="22"/>
          <w:lang w:val="es-ES"/>
        </w:rPr>
      </w:pPr>
      <w:r w:rsidRPr="00331DCC">
        <w:rPr>
          <w:rFonts w:ascii="Palatino Linotype" w:hAnsi="Palatino Linotype" w:cs="Tahoma"/>
          <w:bCs/>
          <w:iCs/>
          <w:sz w:val="22"/>
          <w:szCs w:val="22"/>
          <w:lang w:val="es-ES"/>
        </w:rPr>
        <w:t xml:space="preserve">Para la difusión de los datos, se requiera el consentimiento del titular. </w:t>
      </w:r>
    </w:p>
    <w:p w:rsidRPr="00331DCC" w:rsidR="00BD3E0B" w:rsidP="00BD3E0B" w:rsidRDefault="00BD3E0B" w14:paraId="6FA6CDE6" w14:textId="77777777">
      <w:pPr>
        <w:spacing w:line="360" w:lineRule="auto"/>
        <w:ind w:right="-93"/>
        <w:jc w:val="both"/>
        <w:rPr>
          <w:rFonts w:ascii="Palatino Linotype" w:hAnsi="Palatino Linotype" w:cs="Tahoma"/>
          <w:bCs/>
          <w:iCs/>
          <w:sz w:val="22"/>
          <w:szCs w:val="22"/>
        </w:rPr>
      </w:pPr>
    </w:p>
    <w:p w:rsidRPr="00331DCC" w:rsidR="00BD3E0B" w:rsidP="00BD3E0B" w:rsidRDefault="00BD3E0B" w14:paraId="6D35E9DC" w14:textId="77777777">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Pr="00331DCC" w:rsidR="00BD3E0B" w:rsidP="00BD3E0B" w:rsidRDefault="00BD3E0B" w14:paraId="4859A01F" w14:textId="77777777">
      <w:pPr>
        <w:spacing w:line="360" w:lineRule="auto"/>
        <w:ind w:right="-93"/>
        <w:jc w:val="both"/>
        <w:rPr>
          <w:rFonts w:ascii="Palatino Linotype" w:hAnsi="Palatino Linotype" w:cs="Tahoma"/>
          <w:bCs/>
          <w:iCs/>
          <w:sz w:val="22"/>
          <w:szCs w:val="22"/>
        </w:rPr>
      </w:pPr>
    </w:p>
    <w:p w:rsidRPr="00331DCC" w:rsidR="00BD3E0B" w:rsidP="00BD3E0B" w:rsidRDefault="00BD3E0B" w14:paraId="3160A133" w14:textId="77777777">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Además, en el artículo 5° de dicho ordenamiento jurídico, establece que es la Ley aplicable para todo tratamiento de datos personales.</w:t>
      </w:r>
    </w:p>
    <w:p w:rsidRPr="00331DCC" w:rsidR="00BD3E0B" w:rsidP="00BD3E0B" w:rsidRDefault="00BD3E0B" w14:paraId="6314F67F" w14:textId="77777777">
      <w:pPr>
        <w:spacing w:line="360" w:lineRule="auto"/>
        <w:ind w:right="-93"/>
        <w:jc w:val="both"/>
        <w:rPr>
          <w:rFonts w:ascii="Palatino Linotype" w:hAnsi="Palatino Linotype" w:cs="Tahoma"/>
          <w:bCs/>
          <w:iCs/>
          <w:sz w:val="22"/>
          <w:szCs w:val="22"/>
        </w:rPr>
      </w:pPr>
    </w:p>
    <w:p w:rsidRPr="00331DCC" w:rsidR="00BD3E0B" w:rsidP="00BD3E0B" w:rsidRDefault="00BD3E0B" w14:paraId="36413F3A" w14:textId="77777777">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331DCC" w:rsidR="00BD3E0B" w:rsidP="00BD3E0B" w:rsidRDefault="00BD3E0B" w14:paraId="00236CCA" w14:textId="77777777">
      <w:pPr>
        <w:spacing w:line="360" w:lineRule="auto"/>
        <w:ind w:right="-93"/>
        <w:jc w:val="both"/>
        <w:rPr>
          <w:rFonts w:ascii="Palatino Linotype" w:hAnsi="Palatino Linotype" w:cs="Tahoma"/>
          <w:bCs/>
          <w:iCs/>
          <w:sz w:val="22"/>
          <w:szCs w:val="22"/>
        </w:rPr>
      </w:pPr>
    </w:p>
    <w:p w:rsidRPr="00331DCC" w:rsidR="00BD3E0B" w:rsidP="00BD3E0B" w:rsidRDefault="00BD3E0B" w14:paraId="6A113741" w14:textId="77777777">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 xml:space="preserve">Por tales situaciones, un dato personal es cualquier información que pueda hacer a una persona física identificada e identificable, </w:t>
      </w:r>
      <w:r w:rsidRPr="00331DCC">
        <w:rPr>
          <w:rFonts w:ascii="Palatino Linotype" w:hAnsi="Palatino Linotype" w:cs="Tahoma"/>
          <w:b/>
          <w:bCs/>
          <w:iCs/>
          <w:sz w:val="22"/>
          <w:szCs w:val="22"/>
        </w:rPr>
        <w:t>como su nombre</w:t>
      </w:r>
      <w:r w:rsidRPr="00331DCC">
        <w:rPr>
          <w:rFonts w:ascii="Palatino Linotype" w:hAnsi="Palatino Linotype" w:cs="Tahoma"/>
          <w:bCs/>
          <w:iCs/>
          <w:sz w:val="22"/>
          <w:szCs w:val="22"/>
        </w:rPr>
        <w:t xml:space="preserve"> o imagen. Asimismo, la doctrina desarrollada a nivel internacional, respecto del tema de datos personales, establece que también las preferencias, gustos, cualidades, opiniones y creencias, constituyen datos personales. En </w:t>
      </w:r>
      <w:r w:rsidRPr="00331DCC">
        <w:rPr>
          <w:rFonts w:ascii="Palatino Linotype" w:hAnsi="Palatino Linotype" w:cs="Tahoma"/>
          <w:bCs/>
          <w:iCs/>
          <w:sz w:val="22"/>
          <w:szCs w:val="22"/>
        </w:rPr>
        <w:lastRenderedPageBreak/>
        <w:t>este sentido, cualquier información que por sí sola o relacionada con otra permita hacer identificable a una persona, es un dato personal, susceptible de ser clasificado.</w:t>
      </w:r>
    </w:p>
    <w:p w:rsidRPr="00331DCC" w:rsidR="00BD3E0B" w:rsidP="00BD3E0B" w:rsidRDefault="00BD3E0B" w14:paraId="3181A975" w14:textId="77777777">
      <w:pPr>
        <w:spacing w:line="360" w:lineRule="auto"/>
        <w:ind w:right="-93"/>
        <w:jc w:val="both"/>
        <w:rPr>
          <w:rFonts w:ascii="Palatino Linotype" w:hAnsi="Palatino Linotype" w:cs="Tahoma"/>
          <w:bCs/>
          <w:iCs/>
          <w:sz w:val="22"/>
          <w:szCs w:val="22"/>
        </w:rPr>
      </w:pPr>
    </w:p>
    <w:p w:rsidRPr="00331DCC" w:rsidR="00BD3E0B" w:rsidP="00BD3E0B" w:rsidRDefault="00BD3E0B" w14:paraId="564EC47F" w14:textId="77777777">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331DCC" w:rsidR="00BD3E0B" w:rsidP="00BD3E0B" w:rsidRDefault="00BD3E0B" w14:paraId="26D5118F" w14:textId="77777777">
      <w:pPr>
        <w:spacing w:line="360" w:lineRule="auto"/>
        <w:ind w:right="-93"/>
        <w:jc w:val="both"/>
        <w:rPr>
          <w:rFonts w:ascii="Palatino Linotype" w:hAnsi="Palatino Linotype" w:cs="Tahoma"/>
          <w:bCs/>
          <w:iCs/>
          <w:sz w:val="22"/>
          <w:szCs w:val="22"/>
        </w:rPr>
      </w:pPr>
    </w:p>
    <w:p w:rsidRPr="00331DCC" w:rsidR="00BD3E0B" w:rsidP="00BD3E0B" w:rsidRDefault="00BD3E0B" w14:paraId="570F511F" w14:textId="77777777">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rsidRPr="00331DCC" w:rsidR="00BD3E0B" w:rsidP="00BD3E0B" w:rsidRDefault="00BD3E0B" w14:paraId="01A7F89E" w14:textId="77777777">
      <w:pPr>
        <w:spacing w:line="360" w:lineRule="auto"/>
        <w:ind w:right="-93"/>
        <w:jc w:val="both"/>
        <w:rPr>
          <w:rFonts w:ascii="Palatino Linotype" w:hAnsi="Palatino Linotype" w:cs="Tahoma"/>
          <w:bCs/>
          <w:iCs/>
          <w:sz w:val="22"/>
          <w:szCs w:val="22"/>
        </w:rPr>
      </w:pPr>
    </w:p>
    <w:p w:rsidRPr="00331DCC" w:rsidR="00BD3E0B" w:rsidP="00BD3E0B" w:rsidRDefault="00BD3E0B" w14:paraId="23F97D86" w14:textId="77777777">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Pr="00331DCC" w:rsidR="00BD3E0B" w:rsidP="00BD3E0B" w:rsidRDefault="00BD3E0B" w14:paraId="35513308" w14:textId="77777777">
      <w:pPr>
        <w:spacing w:line="360" w:lineRule="auto"/>
        <w:ind w:right="-93"/>
        <w:jc w:val="both"/>
        <w:rPr>
          <w:rFonts w:ascii="Palatino Linotype" w:hAnsi="Palatino Linotype" w:cs="Tahoma"/>
          <w:bCs/>
          <w:iCs/>
          <w:sz w:val="22"/>
          <w:szCs w:val="22"/>
        </w:rPr>
      </w:pPr>
    </w:p>
    <w:p w:rsidRPr="00D257B4" w:rsidR="00BD3E0B" w:rsidP="00BD3E0B" w:rsidRDefault="00BD3E0B" w14:paraId="071F857A" w14:textId="77777777">
      <w:pPr>
        <w:spacing w:line="360" w:lineRule="auto"/>
        <w:ind w:right="-93"/>
        <w:jc w:val="both"/>
        <w:rPr>
          <w:rFonts w:ascii="Palatino Linotype" w:hAnsi="Palatino Linotype"/>
          <w:noProof/>
          <w:sz w:val="22"/>
          <w:szCs w:val="22"/>
          <w:lang w:eastAsia="es-MX"/>
        </w:rPr>
      </w:pPr>
      <w:r w:rsidRPr="00331DCC">
        <w:rPr>
          <w:rFonts w:ascii="Palatino Linotype" w:hAnsi="Palatino Linotype" w:cs="Tahoma"/>
          <w:bCs/>
          <w:iCs/>
          <w:sz w:val="22"/>
          <w:szCs w:val="22"/>
        </w:rPr>
        <w:t>Bajo este esquema,</w:t>
      </w:r>
      <w:r w:rsidRPr="00331DCC">
        <w:rPr>
          <w:rFonts w:ascii="Palatino Linotype" w:hAnsi="Palatino Linotype"/>
          <w:sz w:val="22"/>
          <w:szCs w:val="22"/>
        </w:rPr>
        <w:t xml:space="preserve"> se analizan los</w:t>
      </w:r>
      <w:r>
        <w:rPr>
          <w:rFonts w:ascii="Palatino Linotype" w:hAnsi="Palatino Linotype"/>
          <w:sz w:val="22"/>
          <w:szCs w:val="22"/>
        </w:rPr>
        <w:t xml:space="preserve"> datos personales eliminados por el Sujeto Obligado en los recibos de nómina enviados en informe justificado</w:t>
      </w:r>
      <w:r>
        <w:rPr>
          <w:rFonts w:ascii="Palatino Linotype" w:hAnsi="Palatino Linotype"/>
          <w:noProof/>
          <w:sz w:val="22"/>
          <w:szCs w:val="22"/>
          <w:lang w:eastAsia="es-MX"/>
        </w:rPr>
        <w:t>.</w:t>
      </w:r>
    </w:p>
    <w:p w:rsidR="00BD3E0B" w:rsidP="00BD3E0B" w:rsidRDefault="00BD3E0B" w14:paraId="5F5040B2" w14:textId="77777777">
      <w:pPr>
        <w:spacing w:line="360" w:lineRule="auto"/>
        <w:ind w:right="-93"/>
        <w:jc w:val="both"/>
        <w:rPr>
          <w:rFonts w:ascii="Palatino Linotype" w:hAnsi="Palatino Linotype"/>
          <w:b/>
          <w:sz w:val="22"/>
          <w:szCs w:val="22"/>
        </w:rPr>
      </w:pPr>
    </w:p>
    <w:p w:rsidRPr="00422697" w:rsidR="00BD3E0B" w:rsidP="00BD3E0B" w:rsidRDefault="00BD3E0B" w14:paraId="24CEC4AB" w14:textId="77777777">
      <w:pPr>
        <w:pStyle w:val="Prrafodelista"/>
        <w:numPr>
          <w:ilvl w:val="0"/>
          <w:numId w:val="12"/>
        </w:numPr>
        <w:spacing w:line="360" w:lineRule="auto"/>
        <w:ind w:right="-93"/>
        <w:jc w:val="both"/>
        <w:rPr>
          <w:rFonts w:ascii="Palatino Linotype" w:hAnsi="Palatino Linotype" w:eastAsia="Calibri" w:cs="Tahoma"/>
          <w:bCs/>
          <w:szCs w:val="22"/>
          <w:lang w:val="es-ES" w:eastAsia="en-US"/>
        </w:rPr>
      </w:pPr>
      <w:r w:rsidRPr="00422697">
        <w:rPr>
          <w:rFonts w:ascii="Palatino Linotype" w:hAnsi="Palatino Linotype"/>
          <w:b/>
          <w:noProof/>
          <w:szCs w:val="22"/>
          <w:lang w:eastAsia="es-MX"/>
        </w:rPr>
        <w:t xml:space="preserve">Sello digital CFDI, sello digital del SAT, </w:t>
      </w:r>
      <w:r>
        <w:rPr>
          <w:rFonts w:ascii="Palatino Linotype" w:hAnsi="Palatino Linotype"/>
          <w:b/>
          <w:noProof/>
          <w:szCs w:val="22"/>
          <w:lang w:eastAsia="es-MX"/>
        </w:rPr>
        <w:t>Cadena Original del SAT</w:t>
      </w:r>
    </w:p>
    <w:p w:rsidRPr="00422697" w:rsidR="00BD3E0B" w:rsidP="00BD3E0B" w:rsidRDefault="00BD3E0B" w14:paraId="2B5BA7BE" w14:textId="77777777">
      <w:pPr>
        <w:pStyle w:val="Prrafodelista"/>
        <w:spacing w:line="360" w:lineRule="auto"/>
        <w:ind w:right="-93"/>
        <w:jc w:val="both"/>
        <w:rPr>
          <w:rFonts w:ascii="Palatino Linotype" w:hAnsi="Palatino Linotype" w:eastAsia="Calibri" w:cs="Tahoma"/>
          <w:bCs/>
          <w:szCs w:val="22"/>
          <w:lang w:val="es-ES" w:eastAsia="en-US"/>
        </w:rPr>
      </w:pPr>
    </w:p>
    <w:p w:rsidR="00BD3E0B" w:rsidP="00BD3E0B" w:rsidRDefault="00BD3E0B" w14:paraId="763EF2C5" w14:textId="77777777">
      <w:pPr>
        <w:spacing w:line="360" w:lineRule="auto"/>
        <w:ind w:right="-91"/>
        <w:jc w:val="both"/>
        <w:rPr>
          <w:rFonts w:ascii="Palatino Linotype" w:hAnsi="Palatino Linotype" w:eastAsia="Calibri" w:cs="Tahoma"/>
          <w:bCs/>
          <w:sz w:val="22"/>
          <w:szCs w:val="22"/>
          <w:lang w:val="es-ES" w:eastAsia="en-US"/>
        </w:rPr>
      </w:pPr>
      <w:r w:rsidRPr="00D00D35">
        <w:rPr>
          <w:rFonts w:ascii="Palatino Linotype" w:hAnsi="Palatino Linotype" w:eastAsia="Calibri" w:cs="Tahoma"/>
          <w:bCs/>
          <w:sz w:val="22"/>
          <w:szCs w:val="22"/>
          <w:lang w:val="es-ES" w:eastAsia="en-US"/>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rsidR="00BD3E0B" w:rsidP="00BD3E0B" w:rsidRDefault="00BD3E0B" w14:paraId="67F46C18" w14:textId="77777777">
      <w:pPr>
        <w:spacing w:line="360" w:lineRule="auto"/>
        <w:ind w:right="-91"/>
        <w:jc w:val="both"/>
        <w:rPr>
          <w:rFonts w:ascii="Palatino Linotype" w:hAnsi="Palatino Linotype" w:eastAsia="Calibri" w:cs="Tahoma"/>
          <w:bCs/>
          <w:sz w:val="22"/>
          <w:szCs w:val="22"/>
          <w:lang w:val="es-ES" w:eastAsia="en-US"/>
        </w:rPr>
      </w:pPr>
    </w:p>
    <w:p w:rsidRPr="00D00D35" w:rsidR="00BD3E0B" w:rsidP="00BD3E0B" w:rsidRDefault="00BD3E0B" w14:paraId="26E3D0BA" w14:textId="77777777">
      <w:pPr>
        <w:spacing w:line="360" w:lineRule="auto"/>
        <w:ind w:right="-91"/>
        <w:jc w:val="both"/>
        <w:rPr>
          <w:rFonts w:ascii="Palatino Linotype" w:hAnsi="Palatino Linotype" w:eastAsia="Calibri" w:cs="Tahoma"/>
          <w:bCs/>
          <w:sz w:val="22"/>
          <w:szCs w:val="22"/>
          <w:lang w:val="es-ES" w:eastAsia="en-US"/>
        </w:rPr>
      </w:pPr>
      <w:r w:rsidRPr="0073132C">
        <w:rPr>
          <w:rFonts w:ascii="Palatino Linotype" w:hAnsi="Palatino Linotype" w:eastAsia="Calibri" w:cs="Tahoma"/>
          <w:b/>
          <w:bCs/>
          <w:sz w:val="22"/>
          <w:szCs w:val="22"/>
          <w:lang w:val="es-ES" w:eastAsia="en-US"/>
        </w:rPr>
        <w:t>Las cadenas originales y sellos</w:t>
      </w:r>
      <w:r w:rsidRPr="00D00D35">
        <w:rPr>
          <w:rFonts w:ascii="Palatino Linotype" w:hAnsi="Palatino Linotype" w:eastAsia="Calibri" w:cs="Tahoma"/>
          <w:bCs/>
          <w:sz w:val="22"/>
          <w:szCs w:val="22"/>
          <w:lang w:val="es-ES" w:eastAsia="en-US"/>
        </w:rPr>
        <w:t xml:space="preserve">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Pr="00D00D35" w:rsidR="00BD3E0B" w:rsidP="00BD3E0B" w:rsidRDefault="00BD3E0B" w14:paraId="0CCB3AA7" w14:textId="77777777">
      <w:pPr>
        <w:spacing w:line="360" w:lineRule="auto"/>
        <w:ind w:right="-91"/>
        <w:jc w:val="both"/>
        <w:rPr>
          <w:rFonts w:ascii="Palatino Linotype" w:hAnsi="Palatino Linotype" w:eastAsia="Calibri" w:cs="Tahoma"/>
          <w:bCs/>
          <w:sz w:val="22"/>
          <w:szCs w:val="22"/>
          <w:lang w:val="es-ES" w:eastAsia="en-US"/>
        </w:rPr>
      </w:pPr>
    </w:p>
    <w:p w:rsidRPr="00CD4130" w:rsidR="00BD3E0B" w:rsidP="00BD3E0B" w:rsidRDefault="00BD3E0B" w14:paraId="6B95CC4B" w14:textId="77777777">
      <w:pPr>
        <w:spacing w:line="360" w:lineRule="auto"/>
        <w:ind w:left="567" w:right="539"/>
        <w:jc w:val="both"/>
        <w:rPr>
          <w:rFonts w:ascii="Palatino Linotype" w:hAnsi="Palatino Linotype" w:eastAsia="Calibri" w:cs="Tahoma"/>
          <w:bCs/>
          <w:i/>
          <w:lang w:val="es-ES" w:eastAsia="en-US"/>
        </w:rPr>
      </w:pPr>
      <w:r w:rsidRPr="00CD4130">
        <w:rPr>
          <w:rFonts w:ascii="Palatino Linotype" w:hAnsi="Palatino Linotype" w:eastAsia="Calibri" w:cs="Tahoma"/>
          <w:bCs/>
          <w:i/>
          <w:lang w:val="es-ES" w:eastAsia="en-US"/>
        </w:rPr>
        <w:t>“Elementos utilizados en la generación de Sellos Digitales:</w:t>
      </w:r>
    </w:p>
    <w:p w:rsidRPr="00CD4130" w:rsidR="00BD3E0B" w:rsidP="00BD3E0B" w:rsidRDefault="00BD3E0B" w14:paraId="6CCB38DA" w14:textId="77777777">
      <w:pPr>
        <w:spacing w:line="360" w:lineRule="auto"/>
        <w:ind w:left="567" w:right="539"/>
        <w:jc w:val="both"/>
        <w:rPr>
          <w:rFonts w:ascii="Palatino Linotype" w:hAnsi="Palatino Linotype" w:eastAsia="Calibri" w:cs="Tahoma"/>
          <w:bCs/>
          <w:i/>
          <w:lang w:val="es-ES" w:eastAsia="en-US"/>
        </w:rPr>
      </w:pPr>
      <w:r w:rsidRPr="00CD4130">
        <w:rPr>
          <w:rFonts w:ascii="Palatino Linotype" w:hAnsi="Palatino Linotype" w:eastAsia="Calibri" w:cs="Tahoma"/>
          <w:bCs/>
          <w:i/>
          <w:lang w:val="es-ES" w:eastAsia="en-US"/>
        </w:rPr>
        <w:t>•</w:t>
      </w:r>
      <w:r w:rsidRPr="00CD4130">
        <w:rPr>
          <w:rFonts w:ascii="Palatino Linotype" w:hAnsi="Palatino Linotype" w:eastAsia="Calibri" w:cs="Tahoma"/>
          <w:bCs/>
          <w:i/>
          <w:lang w:val="es-ES" w:eastAsia="en-US"/>
        </w:rPr>
        <w:tab/>
      </w:r>
      <w:r w:rsidRPr="00CD4130">
        <w:rPr>
          <w:rFonts w:ascii="Palatino Linotype" w:hAnsi="Palatino Linotype" w:eastAsia="Calibri" w:cs="Tahoma"/>
          <w:bCs/>
          <w:i/>
          <w:lang w:val="es-ES" w:eastAsia="en-US"/>
        </w:rPr>
        <w:t>Cadena Original, el elemento a sellar, en este caso de un comprobante fiscal digital a través de Internet.</w:t>
      </w:r>
    </w:p>
    <w:p w:rsidRPr="00CD4130" w:rsidR="00BD3E0B" w:rsidP="00BD3E0B" w:rsidRDefault="00BD3E0B" w14:paraId="4B50FAB5" w14:textId="77777777">
      <w:pPr>
        <w:spacing w:line="360" w:lineRule="auto"/>
        <w:ind w:left="567" w:right="539"/>
        <w:jc w:val="both"/>
        <w:rPr>
          <w:rFonts w:ascii="Palatino Linotype" w:hAnsi="Palatino Linotype" w:eastAsia="Calibri" w:cs="Tahoma"/>
          <w:bCs/>
          <w:i/>
          <w:lang w:val="es-ES" w:eastAsia="en-US"/>
        </w:rPr>
      </w:pPr>
      <w:r w:rsidRPr="00CD4130">
        <w:rPr>
          <w:rFonts w:ascii="Palatino Linotype" w:hAnsi="Palatino Linotype" w:eastAsia="Calibri" w:cs="Tahoma"/>
          <w:bCs/>
          <w:i/>
          <w:lang w:val="es-ES" w:eastAsia="en-US"/>
        </w:rPr>
        <w:t>•</w:t>
      </w:r>
      <w:r w:rsidRPr="00CD4130">
        <w:rPr>
          <w:rFonts w:ascii="Palatino Linotype" w:hAnsi="Palatino Linotype" w:eastAsia="Calibri" w:cs="Tahoma"/>
          <w:bCs/>
          <w:i/>
          <w:lang w:val="es-ES" w:eastAsia="en-US"/>
        </w:rPr>
        <w:tab/>
      </w:r>
      <w:r w:rsidRPr="00CD4130">
        <w:rPr>
          <w:rFonts w:ascii="Palatino Linotype" w:hAnsi="Palatino Linotype" w:eastAsia="Calibri" w:cs="Tahoma"/>
          <w:bCs/>
          <w:i/>
          <w:lang w:val="es-ES" w:eastAsia="en-US"/>
        </w:rPr>
        <w:t>Certificado de Sello Digital y su correspondiente clave privada.</w:t>
      </w:r>
    </w:p>
    <w:p w:rsidRPr="00CD4130" w:rsidR="00BD3E0B" w:rsidP="00BD3E0B" w:rsidRDefault="00BD3E0B" w14:paraId="7CAEC0CD" w14:textId="77777777">
      <w:pPr>
        <w:spacing w:line="360" w:lineRule="auto"/>
        <w:ind w:left="567" w:right="539"/>
        <w:jc w:val="both"/>
        <w:rPr>
          <w:rFonts w:ascii="Palatino Linotype" w:hAnsi="Palatino Linotype" w:eastAsia="Calibri" w:cs="Tahoma"/>
          <w:bCs/>
          <w:i/>
          <w:lang w:val="es-ES" w:eastAsia="en-US"/>
        </w:rPr>
      </w:pPr>
      <w:r w:rsidRPr="00CD4130">
        <w:rPr>
          <w:rFonts w:ascii="Palatino Linotype" w:hAnsi="Palatino Linotype" w:eastAsia="Calibri" w:cs="Tahoma"/>
          <w:bCs/>
          <w:i/>
          <w:lang w:val="es-ES" w:eastAsia="en-US"/>
        </w:rPr>
        <w:t>•</w:t>
      </w:r>
      <w:r w:rsidRPr="00CD4130">
        <w:rPr>
          <w:rFonts w:ascii="Palatino Linotype" w:hAnsi="Palatino Linotype" w:eastAsia="Calibri" w:cs="Tahoma"/>
          <w:bCs/>
          <w:i/>
          <w:lang w:val="es-ES" w:eastAsia="en-US"/>
        </w:rPr>
        <w:tab/>
      </w:r>
      <w:r w:rsidRPr="00CD4130">
        <w:rPr>
          <w:rFonts w:ascii="Palatino Linotype" w:hAnsi="Palatino Linotype" w:eastAsia="Calibri" w:cs="Tahoma"/>
          <w:bCs/>
          <w:i/>
          <w:lang w:val="es-ES" w:eastAsia="en-US"/>
        </w:rPr>
        <w:t>Algoritmos de criptografía de clave pública para firma electrónica avanzada.</w:t>
      </w:r>
    </w:p>
    <w:p w:rsidRPr="00CD4130" w:rsidR="00BD3E0B" w:rsidP="00BD3E0B" w:rsidRDefault="00BD3E0B" w14:paraId="57276A83" w14:textId="77777777">
      <w:pPr>
        <w:spacing w:line="360" w:lineRule="auto"/>
        <w:ind w:left="567" w:right="539"/>
        <w:jc w:val="both"/>
        <w:rPr>
          <w:rFonts w:ascii="Palatino Linotype" w:hAnsi="Palatino Linotype" w:eastAsia="Calibri" w:cs="Tahoma"/>
          <w:bCs/>
          <w:i/>
          <w:lang w:val="es-ES" w:eastAsia="en-US"/>
        </w:rPr>
      </w:pPr>
      <w:r w:rsidRPr="00CD4130">
        <w:rPr>
          <w:rFonts w:ascii="Palatino Linotype" w:hAnsi="Palatino Linotype" w:eastAsia="Calibri" w:cs="Tahoma"/>
          <w:bCs/>
          <w:i/>
          <w:lang w:val="es-ES" w:eastAsia="en-US"/>
        </w:rPr>
        <w:t>•</w:t>
      </w:r>
      <w:r w:rsidRPr="00CD4130">
        <w:rPr>
          <w:rFonts w:ascii="Palatino Linotype" w:hAnsi="Palatino Linotype" w:eastAsia="Calibri" w:cs="Tahoma"/>
          <w:bCs/>
          <w:i/>
          <w:lang w:val="es-ES" w:eastAsia="en-US"/>
        </w:rPr>
        <w:tab/>
      </w:r>
      <w:r w:rsidRPr="00CD4130">
        <w:rPr>
          <w:rFonts w:ascii="Palatino Linotype" w:hAnsi="Palatino Linotype" w:eastAsia="Calibri" w:cs="Tahoma"/>
          <w:bCs/>
          <w:i/>
          <w:lang w:val="es-ES" w:eastAsia="en-US"/>
        </w:rPr>
        <w:t>Especificaciones de conversión de la firma electrónica avanzada a Base 64.</w:t>
      </w:r>
    </w:p>
    <w:p w:rsidRPr="00CD4130" w:rsidR="00BD3E0B" w:rsidP="00BD3E0B" w:rsidRDefault="00BD3E0B" w14:paraId="1E2E0F1D" w14:textId="77777777">
      <w:pPr>
        <w:spacing w:line="360" w:lineRule="auto"/>
        <w:ind w:left="567" w:right="539"/>
        <w:jc w:val="both"/>
        <w:rPr>
          <w:rFonts w:ascii="Palatino Linotype" w:hAnsi="Palatino Linotype" w:eastAsia="Calibri" w:cs="Tahoma"/>
          <w:bCs/>
          <w:i/>
          <w:lang w:val="es-ES" w:eastAsia="en-US"/>
        </w:rPr>
      </w:pPr>
      <w:r w:rsidRPr="00CD4130">
        <w:rPr>
          <w:rFonts w:ascii="Palatino Linotype" w:hAnsi="Palatino Linotype" w:eastAsia="Calibri" w:cs="Tahoma"/>
          <w:bCs/>
          <w:i/>
          <w:lang w:val="es-ES" w:eastAsia="en-US"/>
        </w:rPr>
        <w:t>Para la generación de sellos digitales se utiliza criptografía de clave pública aplicada a una cadena original.</w:t>
      </w:r>
    </w:p>
    <w:p w:rsidRPr="00CD4130" w:rsidR="00BD3E0B" w:rsidP="00BD3E0B" w:rsidRDefault="00BD3E0B" w14:paraId="6806981C" w14:textId="77777777">
      <w:pPr>
        <w:spacing w:line="360" w:lineRule="auto"/>
        <w:ind w:left="567" w:right="539"/>
        <w:jc w:val="both"/>
        <w:rPr>
          <w:rFonts w:ascii="Palatino Linotype" w:hAnsi="Palatino Linotype" w:eastAsia="Calibri" w:cs="Tahoma"/>
          <w:bCs/>
          <w:i/>
          <w:sz w:val="24"/>
          <w:lang w:val="es-ES" w:eastAsia="en-US"/>
        </w:rPr>
      </w:pPr>
    </w:p>
    <w:p w:rsidRPr="00CD4130" w:rsidR="00BD3E0B" w:rsidP="00BD3E0B" w:rsidRDefault="00BD3E0B" w14:paraId="60065C70" w14:textId="77777777">
      <w:pPr>
        <w:spacing w:line="360" w:lineRule="auto"/>
        <w:ind w:left="567" w:right="539"/>
        <w:jc w:val="both"/>
        <w:rPr>
          <w:rFonts w:ascii="Palatino Linotype" w:hAnsi="Palatino Linotype" w:eastAsia="Calibri" w:cs="Tahoma"/>
          <w:bCs/>
          <w:i/>
          <w:lang w:val="es-ES" w:eastAsia="en-US"/>
        </w:rPr>
      </w:pPr>
      <w:r w:rsidRPr="00CD4130">
        <w:rPr>
          <w:rFonts w:ascii="Palatino Linotype" w:hAnsi="Palatino Linotype" w:eastAsia="Calibri" w:cs="Tahoma"/>
          <w:bCs/>
          <w:i/>
          <w:lang w:val="es-ES" w:eastAsia="en-US"/>
        </w:rPr>
        <w:t>Criptografía de la Clave Pública</w:t>
      </w:r>
    </w:p>
    <w:p w:rsidRPr="00CD4130" w:rsidR="00BD3E0B" w:rsidP="00BD3E0B" w:rsidRDefault="00BD3E0B" w14:paraId="6F150E99" w14:textId="77777777">
      <w:pPr>
        <w:spacing w:line="360" w:lineRule="auto"/>
        <w:ind w:left="567" w:right="539"/>
        <w:jc w:val="both"/>
        <w:rPr>
          <w:rFonts w:ascii="Palatino Linotype" w:hAnsi="Palatino Linotype" w:eastAsia="Calibri" w:cs="Tahoma"/>
          <w:bCs/>
          <w:i/>
          <w:lang w:val="es-ES" w:eastAsia="en-US"/>
        </w:rPr>
      </w:pPr>
      <w:r w:rsidRPr="00CD4130">
        <w:rPr>
          <w:rFonts w:ascii="Palatino Linotype" w:hAnsi="Palatino Linotype" w:eastAsia="Calibri" w:cs="Tahoma"/>
          <w:bCs/>
          <w:i/>
          <w:lang w:val="es-ES" w:eastAsia="en-US"/>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rsidRPr="00D00D35" w:rsidR="00BD3E0B" w:rsidP="00BD3E0B" w:rsidRDefault="00BD3E0B" w14:paraId="15DE0297" w14:textId="77777777">
      <w:pPr>
        <w:spacing w:line="360" w:lineRule="auto"/>
        <w:ind w:right="-91"/>
        <w:jc w:val="both"/>
        <w:rPr>
          <w:rFonts w:ascii="Palatino Linotype" w:hAnsi="Palatino Linotype" w:eastAsia="Calibri" w:cs="Tahoma"/>
          <w:bCs/>
          <w:sz w:val="22"/>
          <w:szCs w:val="22"/>
          <w:lang w:val="es-ES" w:eastAsia="en-US"/>
        </w:rPr>
      </w:pPr>
    </w:p>
    <w:p w:rsidRPr="00D00D35" w:rsidR="00BD3E0B" w:rsidP="00BD3E0B" w:rsidRDefault="00BD3E0B" w14:paraId="011609D7" w14:textId="77777777">
      <w:pPr>
        <w:spacing w:line="360" w:lineRule="auto"/>
        <w:jc w:val="both"/>
        <w:rPr>
          <w:rFonts w:ascii="Palatino Linotype" w:hAnsi="Palatino Linotype" w:eastAsia="Calibri" w:cs="Tahoma"/>
          <w:bCs/>
          <w:sz w:val="22"/>
          <w:szCs w:val="22"/>
          <w:lang w:val="es-ES" w:eastAsia="en-US"/>
        </w:rPr>
      </w:pPr>
      <w:r w:rsidRPr="00D00D35">
        <w:rPr>
          <w:rFonts w:ascii="Palatino Linotype" w:hAnsi="Palatino Linotype" w:eastAsia="Calibri" w:cs="Tahoma"/>
          <w:bCs/>
          <w:sz w:val="22"/>
          <w:szCs w:val="22"/>
          <w:lang w:val="es-ES" w:eastAsia="en-US"/>
        </w:rPr>
        <w:t xml:space="preserve">Es decir, por sí solos las cadenas originales y los sellos originales no contienen datos personales confidenciales, por lo que se considera que </w:t>
      </w:r>
      <w:r w:rsidRPr="002D0CE8">
        <w:rPr>
          <w:rFonts w:ascii="Palatino Linotype" w:hAnsi="Palatino Linotype" w:eastAsia="Calibri" w:cs="Tahoma"/>
          <w:b/>
          <w:bCs/>
          <w:sz w:val="22"/>
          <w:szCs w:val="22"/>
          <w:lang w:val="es-ES" w:eastAsia="en-US"/>
        </w:rPr>
        <w:t>no actualizan en supuesto de confidencialidad</w:t>
      </w:r>
      <w:r w:rsidRPr="00D00D35">
        <w:rPr>
          <w:rFonts w:ascii="Palatino Linotype" w:hAnsi="Palatino Linotype" w:eastAsia="Calibri" w:cs="Tahoma"/>
          <w:bCs/>
          <w:sz w:val="22"/>
          <w:szCs w:val="22"/>
          <w:lang w:val="es-ES" w:eastAsia="en-US"/>
        </w:rPr>
        <w:t xml:space="preserve">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00BD3E0B" w:rsidP="00BD3E0B" w:rsidRDefault="00BD3E0B" w14:paraId="45842C4F" w14:textId="77777777">
      <w:pPr>
        <w:spacing w:line="360" w:lineRule="auto"/>
        <w:jc w:val="both"/>
        <w:rPr>
          <w:rFonts w:ascii="Palatino Linotype" w:hAnsi="Palatino Linotype" w:eastAsia="Calibri" w:cs="Tahoma"/>
          <w:bCs/>
          <w:sz w:val="22"/>
          <w:szCs w:val="22"/>
          <w:lang w:val="es-ES" w:eastAsia="en-US"/>
        </w:rPr>
      </w:pPr>
    </w:p>
    <w:p w:rsidRPr="00D00D35" w:rsidR="00BD3E0B" w:rsidP="00BD3E0B" w:rsidRDefault="00BD3E0B" w14:paraId="7AA4BD2C" w14:textId="77777777">
      <w:pPr>
        <w:spacing w:line="360" w:lineRule="auto"/>
        <w:jc w:val="both"/>
        <w:rPr>
          <w:rFonts w:ascii="Palatino Linotype" w:hAnsi="Palatino Linotype" w:eastAsia="Calibri" w:cs="Tahoma"/>
          <w:bCs/>
          <w:sz w:val="22"/>
          <w:szCs w:val="22"/>
          <w:lang w:val="es-ES" w:eastAsia="en-US"/>
        </w:rPr>
      </w:pPr>
      <w:r w:rsidRPr="00D00D35">
        <w:rPr>
          <w:rFonts w:ascii="Palatino Linotype" w:hAnsi="Palatino Linotype" w:eastAsia="Calibri" w:cs="Tahoma"/>
          <w:bCs/>
          <w:sz w:val="22"/>
          <w:szCs w:val="22"/>
          <w:lang w:val="es-ES" w:eastAsia="en-US"/>
        </w:rPr>
        <w:t xml:space="preserve">Como se logra observar, </w:t>
      </w:r>
      <w:r>
        <w:rPr>
          <w:rFonts w:ascii="Palatino Linotype" w:hAnsi="Palatino Linotype" w:eastAsia="Calibri" w:cs="Tahoma"/>
          <w:bCs/>
          <w:sz w:val="22"/>
          <w:szCs w:val="22"/>
          <w:lang w:val="es-ES" w:eastAsia="en-US"/>
        </w:rPr>
        <w:t xml:space="preserve">las cadenas y sellos </w:t>
      </w:r>
      <w:r w:rsidRPr="00D00D35">
        <w:rPr>
          <w:rFonts w:ascii="Palatino Linotype" w:hAnsi="Palatino Linotype" w:eastAsia="Calibri" w:cs="Tahoma"/>
          <w:bCs/>
          <w:sz w:val="22"/>
          <w:szCs w:val="22"/>
          <w:lang w:val="es-ES" w:eastAsia="en-US"/>
        </w:rPr>
        <w:t>digital</w:t>
      </w:r>
      <w:r>
        <w:rPr>
          <w:rFonts w:ascii="Palatino Linotype" w:hAnsi="Palatino Linotype" w:eastAsia="Calibri" w:cs="Tahoma"/>
          <w:bCs/>
          <w:sz w:val="22"/>
          <w:szCs w:val="22"/>
          <w:lang w:val="es-ES" w:eastAsia="en-US"/>
        </w:rPr>
        <w:t>es</w:t>
      </w:r>
      <w:r w:rsidRPr="00D00D35">
        <w:rPr>
          <w:rFonts w:ascii="Palatino Linotype" w:hAnsi="Palatino Linotype" w:eastAsia="Calibri" w:cs="Tahoma"/>
          <w:bCs/>
          <w:sz w:val="22"/>
          <w:szCs w:val="22"/>
          <w:lang w:val="es-ES" w:eastAsia="en-US"/>
        </w:rPr>
        <w:t xml:space="preserve"> no contiene datos personales y con dichos dígitos tampoco se puede obtener información de carácter confidencial, por lo que, </w:t>
      </w:r>
      <w:r w:rsidRPr="002D0CE8">
        <w:rPr>
          <w:rFonts w:ascii="Palatino Linotype" w:hAnsi="Palatino Linotype" w:eastAsia="Calibri" w:cs="Tahoma"/>
          <w:b/>
          <w:bCs/>
          <w:sz w:val="22"/>
          <w:szCs w:val="22"/>
          <w:lang w:val="es-ES" w:eastAsia="en-US"/>
        </w:rPr>
        <w:t>tampoco actualizan la causal de clasificación</w:t>
      </w:r>
      <w:r w:rsidRPr="00D00D35">
        <w:rPr>
          <w:rFonts w:ascii="Palatino Linotype" w:hAnsi="Palatino Linotype" w:eastAsia="Calibri" w:cs="Tahoma"/>
          <w:bCs/>
          <w:sz w:val="22"/>
          <w:szCs w:val="22"/>
          <w:lang w:val="es-ES" w:eastAsia="en-US"/>
        </w:rPr>
        <w:t xml:space="preserve">, establecida en el artículo 143, fracción I, de la Ley de Transparencia y Acceso a la Información Pública del Estado de México y Municipios. </w:t>
      </w:r>
      <w:r w:rsidRPr="00D00D35">
        <w:rPr>
          <w:rFonts w:ascii="Palatino Linotype" w:hAnsi="Palatino Linotype" w:eastAsia="Calibri" w:cs="Tahoma"/>
          <w:b/>
          <w:bCs/>
          <w:sz w:val="22"/>
          <w:szCs w:val="22"/>
          <w:lang w:val="es-ES" w:eastAsia="en-US"/>
        </w:rPr>
        <w:t>Máxime que permite corroborar la legitimidad a la factura, pues amparan la utilización de los certificados de sellos digitales válidos.</w:t>
      </w:r>
    </w:p>
    <w:p w:rsidR="00BD3E0B" w:rsidP="00BD3E0B" w:rsidRDefault="00BD3E0B" w14:paraId="1CFA2A90" w14:textId="77777777">
      <w:pPr>
        <w:spacing w:line="360" w:lineRule="auto"/>
        <w:jc w:val="both"/>
        <w:rPr>
          <w:rFonts w:ascii="Palatino Linotype" w:hAnsi="Palatino Linotype" w:eastAsia="Calibri" w:cs="Tahoma"/>
          <w:bCs/>
          <w:sz w:val="22"/>
          <w:szCs w:val="22"/>
          <w:lang w:eastAsia="en-US"/>
        </w:rPr>
      </w:pPr>
    </w:p>
    <w:p w:rsidRPr="00DF36FF" w:rsidR="00BD3E0B" w:rsidP="00BD3E0B" w:rsidRDefault="00BD3E0B" w14:paraId="443F873E" w14:textId="77777777">
      <w:pPr>
        <w:numPr>
          <w:ilvl w:val="0"/>
          <w:numId w:val="11"/>
        </w:num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b/>
          <w:sz w:val="22"/>
          <w:szCs w:val="22"/>
          <w:lang w:eastAsia="es-MX"/>
        </w:rPr>
        <w:t>Número de empleado.</w:t>
      </w:r>
    </w:p>
    <w:p w:rsidRPr="00DF36FF" w:rsidR="00BD3E0B" w:rsidP="00BD3E0B" w:rsidRDefault="00BD3E0B" w14:paraId="54342073" w14:textId="77777777">
      <w:pPr>
        <w:spacing w:line="360" w:lineRule="auto"/>
        <w:contextualSpacing/>
        <w:jc w:val="both"/>
        <w:rPr>
          <w:rFonts w:ascii="Palatino Linotype" w:hAnsi="Palatino Linotype" w:cs="Tahoma"/>
          <w:b/>
          <w:sz w:val="22"/>
          <w:szCs w:val="22"/>
          <w:lang w:eastAsia="es-MX"/>
        </w:rPr>
      </w:pPr>
    </w:p>
    <w:p w:rsidRPr="00DF36FF" w:rsidR="00BD3E0B" w:rsidP="00BD3E0B" w:rsidRDefault="00BD3E0B" w14:paraId="6ECDCE31"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rsidRPr="00DF36FF" w:rsidR="00BD3E0B" w:rsidP="00BD3E0B" w:rsidRDefault="00BD3E0B" w14:paraId="686C15A6"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lastRenderedPageBreak/>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rsidRPr="00DF36FF" w:rsidR="00BD3E0B" w:rsidP="00BD3E0B" w:rsidRDefault="00BD3E0B" w14:paraId="15877838" w14:textId="77777777">
      <w:pPr>
        <w:spacing w:line="360" w:lineRule="auto"/>
        <w:contextualSpacing/>
        <w:jc w:val="both"/>
        <w:rPr>
          <w:rFonts w:ascii="Palatino Linotype" w:hAnsi="Palatino Linotype" w:cs="Tahoma"/>
          <w:sz w:val="22"/>
          <w:szCs w:val="22"/>
          <w:lang w:eastAsia="es-MX"/>
        </w:rPr>
      </w:pPr>
    </w:p>
    <w:p w:rsidRPr="00DF36FF" w:rsidR="00BD3E0B" w:rsidP="00BD3E0B" w:rsidRDefault="00BD3E0B" w14:paraId="091BB9F0"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Lo anterior, se robustece con el Criterio 03/14, emitido por el Pleno del entonces Instituto Federal de Acceso a la Información y Protección de Datos, que establece lo siguiente:</w:t>
      </w:r>
    </w:p>
    <w:p w:rsidRPr="00DF36FF" w:rsidR="00BD3E0B" w:rsidP="00BD3E0B" w:rsidRDefault="00BD3E0B" w14:paraId="07B8EB81" w14:textId="77777777">
      <w:pPr>
        <w:spacing w:line="360" w:lineRule="auto"/>
        <w:contextualSpacing/>
        <w:jc w:val="both"/>
        <w:rPr>
          <w:rFonts w:ascii="Palatino Linotype" w:hAnsi="Palatino Linotype" w:cs="Tahoma"/>
          <w:sz w:val="22"/>
          <w:szCs w:val="22"/>
          <w:lang w:eastAsia="es-MX"/>
        </w:rPr>
      </w:pPr>
    </w:p>
    <w:p w:rsidRPr="006D28A9" w:rsidR="00BD3E0B" w:rsidP="00BD3E0B" w:rsidRDefault="00BD3E0B" w14:paraId="5C2F79FF" w14:textId="77777777">
      <w:pPr>
        <w:spacing w:line="360" w:lineRule="auto"/>
        <w:ind w:left="567" w:right="539"/>
        <w:contextualSpacing/>
        <w:jc w:val="both"/>
        <w:rPr>
          <w:rFonts w:ascii="Palatino Linotype" w:hAnsi="Palatino Linotype" w:cs="Tahoma"/>
          <w:lang w:eastAsia="es-MX"/>
        </w:rPr>
      </w:pPr>
      <w:r w:rsidRPr="006D28A9">
        <w:rPr>
          <w:rFonts w:ascii="Palatino Linotype" w:hAnsi="Palatino Linotype" w:cs="Tahoma"/>
          <w:b/>
          <w:i/>
          <w:lang w:eastAsia="es-MX"/>
        </w:rPr>
        <w:t>Número de empleado, o su equivalente, si se integra con datos personales del trabajador o permite acceder a éstos sin necesidad de una contraseña, constituye información confidencial.</w:t>
      </w:r>
      <w:r w:rsidRPr="006D28A9">
        <w:rPr>
          <w:rFonts w:ascii="Palatino Linotype" w:hAnsi="Palatino Linotype" w:cs="Tahoma"/>
          <w:i/>
          <w:lang w:eastAsia="es-MX"/>
        </w:rPr>
        <w:t xml:space="preserve"> El número de empleado, con independencia del nombre que reciba, constituye un instrumento de control interno que permite a las dependencias y entidades identificar a sus trabajadores, y a éstos les facilita la realización de gestiones en su carácter de empleado. En este sentido, cuando el número de empleado, o su equivalente, se integra con datos personales de los trabajadores; o funciona como una clave de acceso que no requiere adicionalmente de una contraseña para ingresar a sistemas o bases en las que obran datos personales, procede su clasificación en términos de lo previsto en el artículo 18, fracción II de la Ley Federal de Transparencia y Acceso a la Información Pública Gubernamental, en relación con el artículo 3, fracción II de ese mismo ordenamiento. Sin embargo, cuando el número de empleado es un elemento que requiere de una contraseña para acceder a sistemas de datos o su conformación no revela datos personales, no reviste el carácter de confidencial, ya que por sí solo no permite el acceso a los datos personales de los servidores públicos.</w:t>
      </w:r>
    </w:p>
    <w:p w:rsidRPr="00DF36FF" w:rsidR="00BD3E0B" w:rsidP="00BD3E0B" w:rsidRDefault="00BD3E0B" w14:paraId="24680614" w14:textId="77777777">
      <w:pPr>
        <w:spacing w:line="360" w:lineRule="auto"/>
        <w:contextualSpacing/>
        <w:jc w:val="both"/>
        <w:rPr>
          <w:rFonts w:ascii="Palatino Linotype" w:hAnsi="Palatino Linotype" w:cs="Tahoma"/>
          <w:sz w:val="22"/>
          <w:szCs w:val="22"/>
          <w:lang w:eastAsia="es-MX"/>
        </w:rPr>
      </w:pPr>
    </w:p>
    <w:p w:rsidR="00BD3E0B" w:rsidP="00BD3E0B" w:rsidRDefault="00BD3E0B" w14:paraId="45BDE9F5"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Conforme a lo anterior, se advierte que </w:t>
      </w:r>
      <w:r w:rsidRPr="00C8135A">
        <w:rPr>
          <w:rFonts w:ascii="Palatino Linotype" w:hAnsi="Palatino Linotype" w:cs="Tahoma"/>
          <w:b/>
          <w:bCs/>
          <w:sz w:val="22"/>
          <w:szCs w:val="22"/>
          <w:u w:val="single"/>
          <w:lang w:eastAsia="es-MX"/>
        </w:rPr>
        <w:t xml:space="preserve">solamente procederá la clasificación del número de empleado, cuando se integre con datos personales de los servidores públicos o funcione </w:t>
      </w:r>
      <w:r w:rsidRPr="00C8135A">
        <w:rPr>
          <w:rFonts w:ascii="Palatino Linotype" w:hAnsi="Palatino Linotype" w:cs="Tahoma"/>
          <w:b/>
          <w:bCs/>
          <w:sz w:val="22"/>
          <w:szCs w:val="22"/>
          <w:u w:val="single"/>
          <w:lang w:eastAsia="es-MX"/>
        </w:rPr>
        <w:lastRenderedPageBreak/>
        <w:t>como clave de acceso que no requiera una contraseña para ingresar a sistemas o bases de datos</w:t>
      </w:r>
      <w:r w:rsidRPr="00DF36FF">
        <w:rPr>
          <w:rFonts w:ascii="Palatino Linotype" w:hAnsi="Palatino Linotype" w:cs="Tahoma"/>
          <w:sz w:val="22"/>
          <w:szCs w:val="22"/>
          <w:lang w:eastAsia="es-MX"/>
        </w:rPr>
        <w:t>.</w:t>
      </w:r>
    </w:p>
    <w:p w:rsidRPr="00DF36FF" w:rsidR="00BD3E0B" w:rsidP="00BD3E0B" w:rsidRDefault="00BD3E0B" w14:paraId="21C53ACA" w14:textId="77777777">
      <w:pPr>
        <w:spacing w:line="360" w:lineRule="auto"/>
        <w:contextualSpacing/>
        <w:jc w:val="both"/>
        <w:rPr>
          <w:rFonts w:ascii="Palatino Linotype" w:hAnsi="Palatino Linotype" w:cs="Tahoma"/>
          <w:b/>
          <w:bCs/>
          <w:sz w:val="22"/>
          <w:szCs w:val="22"/>
          <w:lang w:eastAsia="es-MX"/>
        </w:rPr>
      </w:pPr>
    </w:p>
    <w:p w:rsidRPr="00DF36FF" w:rsidR="00BD3E0B" w:rsidP="00BD3E0B" w:rsidRDefault="00BD3E0B" w14:paraId="266D289B" w14:textId="77777777">
      <w:pPr>
        <w:spacing w:line="360" w:lineRule="auto"/>
        <w:contextualSpacing/>
        <w:jc w:val="both"/>
        <w:rPr>
          <w:rFonts w:ascii="Palatino Linotype" w:hAnsi="Palatino Linotype" w:cs="Tahoma"/>
          <w:bCs/>
          <w:sz w:val="22"/>
          <w:szCs w:val="22"/>
          <w:lang w:eastAsia="es-MX"/>
        </w:rPr>
      </w:pPr>
      <w:r w:rsidRPr="00DF36FF">
        <w:rPr>
          <w:rFonts w:ascii="Palatino Linotype" w:hAnsi="Palatino Linotype" w:cs="Tahoma"/>
          <w:bCs/>
          <w:sz w:val="22"/>
          <w:szCs w:val="22"/>
          <w:lang w:eastAsia="es-MX"/>
        </w:rPr>
        <w:t>De tales circunstancias y toda vez que el Sujeto Obligado no precisó como se conformaba el número de empleado, se considera que deberá proporcionarlo,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rsidR="00BD3E0B" w:rsidP="00BD3E0B" w:rsidRDefault="00BD3E0B" w14:paraId="44BB9840" w14:textId="77777777">
      <w:pPr>
        <w:spacing w:line="360" w:lineRule="auto"/>
        <w:jc w:val="both"/>
        <w:rPr>
          <w:rFonts w:ascii="Palatino Linotype" w:hAnsi="Palatino Linotype" w:eastAsia="Calibri" w:cs="Tahoma"/>
          <w:bCs/>
          <w:sz w:val="22"/>
          <w:szCs w:val="22"/>
          <w:lang w:eastAsia="en-US"/>
        </w:rPr>
      </w:pPr>
    </w:p>
    <w:p w:rsidRPr="00DF36FF" w:rsidR="00BD3E0B" w:rsidP="00BD3E0B" w:rsidRDefault="00BD3E0B" w14:paraId="6BCCB633" w14:textId="77777777">
      <w:pPr>
        <w:numPr>
          <w:ilvl w:val="0"/>
          <w:numId w:val="11"/>
        </w:numPr>
        <w:spacing w:line="360" w:lineRule="auto"/>
        <w:contextualSpacing/>
        <w:jc w:val="both"/>
        <w:rPr>
          <w:rFonts w:ascii="Palatino Linotype" w:hAnsi="Palatino Linotype" w:cs="Tahoma"/>
          <w:bCs/>
          <w:sz w:val="22"/>
          <w:szCs w:val="22"/>
          <w:lang w:eastAsia="es-MX"/>
        </w:rPr>
      </w:pPr>
      <w:r w:rsidRPr="00DF36FF">
        <w:rPr>
          <w:rFonts w:ascii="Palatino Linotype" w:hAnsi="Palatino Linotype" w:cs="Tahoma"/>
          <w:b/>
          <w:bCs/>
          <w:iCs/>
          <w:sz w:val="22"/>
          <w:szCs w:val="22"/>
          <w:lang w:eastAsia="es-MX"/>
        </w:rPr>
        <w:t>Préstamos o descuentos que se le hagan al servidor público.</w:t>
      </w:r>
    </w:p>
    <w:p w:rsidRPr="00DF36FF" w:rsidR="00BD3E0B" w:rsidP="00BD3E0B" w:rsidRDefault="00BD3E0B" w14:paraId="2776B266" w14:textId="77777777">
      <w:pPr>
        <w:spacing w:line="360" w:lineRule="auto"/>
        <w:contextualSpacing/>
        <w:jc w:val="both"/>
        <w:rPr>
          <w:rFonts w:ascii="Palatino Linotype" w:hAnsi="Palatino Linotype" w:cs="Tahoma"/>
          <w:b/>
          <w:sz w:val="22"/>
          <w:szCs w:val="22"/>
          <w:lang w:eastAsia="es-MX"/>
        </w:rPr>
      </w:pPr>
    </w:p>
    <w:p w:rsidRPr="00DF36FF" w:rsidR="00BD3E0B" w:rsidP="00BD3E0B" w:rsidRDefault="00BD3E0B" w14:paraId="0FA6ADE0"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Existen deducciones que se generan con motivo de una decisión libre y voluntaria de los servidores públicos, como son: contratar seguros de vida, de gastos médicos mayores (potenciación) o de automóvil.</w:t>
      </w:r>
    </w:p>
    <w:p w:rsidRPr="00DF36FF" w:rsidR="00BD3E0B" w:rsidP="00BD3E0B" w:rsidRDefault="00BD3E0B" w14:paraId="08693468" w14:textId="77777777">
      <w:pPr>
        <w:spacing w:line="360" w:lineRule="auto"/>
        <w:contextualSpacing/>
        <w:jc w:val="both"/>
        <w:rPr>
          <w:rFonts w:ascii="Palatino Linotype" w:hAnsi="Palatino Linotype" w:cs="Tahoma"/>
          <w:sz w:val="22"/>
          <w:szCs w:val="22"/>
          <w:lang w:eastAsia="es-MX"/>
        </w:rPr>
      </w:pPr>
    </w:p>
    <w:p w:rsidRPr="00DF36FF" w:rsidR="00BD3E0B" w:rsidP="00BD3E0B" w:rsidRDefault="00BD3E0B" w14:paraId="470C3EF1"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 Asimismo, pueden existir deducciones que se generan con motivo de una sentencia judicial, como es la pensión alimenticia que periódicamente se retira de la cuenta de un empleado, a efecto de que sea entregado a un tercero.  </w:t>
      </w:r>
    </w:p>
    <w:p w:rsidRPr="00DF36FF" w:rsidR="00BD3E0B" w:rsidP="00BD3E0B" w:rsidRDefault="00BD3E0B" w14:paraId="3BD77021" w14:textId="77777777">
      <w:pPr>
        <w:spacing w:line="360" w:lineRule="auto"/>
        <w:contextualSpacing/>
        <w:jc w:val="both"/>
        <w:rPr>
          <w:rFonts w:ascii="Palatino Linotype" w:hAnsi="Palatino Linotype" w:cs="Tahoma"/>
          <w:sz w:val="22"/>
          <w:szCs w:val="22"/>
          <w:lang w:eastAsia="es-MX"/>
        </w:rPr>
      </w:pPr>
    </w:p>
    <w:p w:rsidRPr="00DF36FF" w:rsidR="00BD3E0B" w:rsidP="00BD3E0B" w:rsidRDefault="00BD3E0B" w14:paraId="52F56DE4"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Por lo anterior, dichas deducciones reflejan el destino que un servidor público da a su patrimonio. </w:t>
      </w:r>
    </w:p>
    <w:p w:rsidRPr="00DF36FF" w:rsidR="00BD3E0B" w:rsidP="00BD3E0B" w:rsidRDefault="00BD3E0B" w14:paraId="2C859DBE" w14:textId="77777777">
      <w:pPr>
        <w:spacing w:line="360" w:lineRule="auto"/>
        <w:contextualSpacing/>
        <w:jc w:val="both"/>
        <w:rPr>
          <w:rFonts w:ascii="Palatino Linotype" w:hAnsi="Palatino Linotype" w:cs="Tahoma"/>
          <w:sz w:val="22"/>
          <w:szCs w:val="22"/>
          <w:lang w:eastAsia="es-MX"/>
        </w:rPr>
      </w:pPr>
    </w:p>
    <w:p w:rsidR="00BD3E0B" w:rsidP="00BD3E0B" w:rsidRDefault="00BD3E0B" w14:paraId="1D015AAB" w14:textId="77777777">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 xml:space="preserve">No obstante, el Sujeto Obligado también clasifico los descuentos relacionados con los impuestos que se le retienen a los servidores públicos, tal como el ISR, ya que la Ley del Impuesto sobre la renta en su artículo primero fracción I, establece que las personas físicas y morales están obligados al pago del impuesto sobre la renta en el caso de los residentes en México </w:t>
      </w:r>
      <w:r w:rsidRPr="00541FED">
        <w:rPr>
          <w:rFonts w:ascii="Palatino Linotype" w:hAnsi="Palatino Linotype" w:cs="Tahoma"/>
          <w:sz w:val="22"/>
          <w:szCs w:val="22"/>
          <w:lang w:eastAsia="es-MX"/>
        </w:rPr>
        <w:t>respecto de todos sus ingresos, cualquiera que sea la ubicación de</w:t>
      </w:r>
      <w:r>
        <w:rPr>
          <w:rFonts w:ascii="Palatino Linotype" w:hAnsi="Palatino Linotype" w:cs="Tahoma"/>
          <w:sz w:val="22"/>
          <w:szCs w:val="22"/>
          <w:lang w:eastAsia="es-MX"/>
        </w:rPr>
        <w:t xml:space="preserve"> </w:t>
      </w:r>
      <w:r w:rsidRPr="00541FED">
        <w:rPr>
          <w:rFonts w:ascii="Palatino Linotype" w:hAnsi="Palatino Linotype" w:cs="Tahoma"/>
          <w:sz w:val="22"/>
          <w:szCs w:val="22"/>
          <w:lang w:eastAsia="es-MX"/>
        </w:rPr>
        <w:t>la fuente de riqueza de donde procedan</w:t>
      </w:r>
      <w:r>
        <w:rPr>
          <w:rFonts w:ascii="Palatino Linotype" w:hAnsi="Palatino Linotype" w:cs="Tahoma"/>
          <w:sz w:val="22"/>
          <w:szCs w:val="22"/>
          <w:lang w:eastAsia="es-MX"/>
        </w:rPr>
        <w:t>, razón por la cual no procede su clasificación ya que con este dato se verifica que cumplen con su obligación establecida en la Ley, los únicos descuentos que se deben clasificar como ya se estableció son los personales</w:t>
      </w:r>
      <w:r w:rsidRPr="00541FED">
        <w:rPr>
          <w:rFonts w:ascii="Palatino Linotype" w:hAnsi="Palatino Linotype" w:cs="Tahoma"/>
          <w:sz w:val="22"/>
          <w:szCs w:val="22"/>
          <w:lang w:eastAsia="es-MX"/>
        </w:rPr>
        <w:t xml:space="preserve"> </w:t>
      </w:r>
      <w:r w:rsidRPr="00DF36FF">
        <w:rPr>
          <w:rFonts w:ascii="Palatino Linotype" w:hAnsi="Palatino Linotype" w:cs="Tahoma"/>
          <w:sz w:val="22"/>
          <w:szCs w:val="22"/>
          <w:lang w:eastAsia="es-MX"/>
        </w:rPr>
        <w:t>en términos del artículo 143, fracción I de la Ley de Transparencia y Acceso a la Información Pública del Estado de México y Municipios</w:t>
      </w:r>
    </w:p>
    <w:p w:rsidR="00BD3E0B" w:rsidP="00BD3E0B" w:rsidRDefault="00BD3E0B" w14:paraId="58000106" w14:textId="77777777">
      <w:pPr>
        <w:spacing w:line="360" w:lineRule="auto"/>
        <w:jc w:val="both"/>
        <w:rPr>
          <w:rFonts w:ascii="Palatino Linotype" w:hAnsi="Palatino Linotype" w:cs="Tahoma"/>
          <w:sz w:val="22"/>
          <w:szCs w:val="22"/>
          <w:lang w:eastAsia="es-MX"/>
        </w:rPr>
      </w:pPr>
    </w:p>
    <w:p w:rsidR="00BD3E0B" w:rsidP="00BD3E0B" w:rsidRDefault="00BD3E0B" w14:paraId="13343825" w14:textId="77777777">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 xml:space="preserve">Bajo este esquema a continuación se analizan los datos personales </w:t>
      </w:r>
      <w:r>
        <w:rPr>
          <w:rFonts w:ascii="Palatino Linotype" w:hAnsi="Palatino Linotype" w:cs="Tahoma"/>
          <w:bCs/>
          <w:iCs/>
          <w:sz w:val="22"/>
          <w:szCs w:val="22"/>
        </w:rPr>
        <w:t xml:space="preserve">que si son </w:t>
      </w:r>
      <w:r w:rsidRPr="00875058">
        <w:rPr>
          <w:rFonts w:ascii="Palatino Linotype" w:hAnsi="Palatino Linotype" w:cs="Tahoma"/>
          <w:bCs/>
          <w:iCs/>
          <w:sz w:val="22"/>
          <w:szCs w:val="22"/>
        </w:rPr>
        <w:t xml:space="preserve">susceptibles de clasificación que podrían estar contenidos en los </w:t>
      </w:r>
      <w:r>
        <w:rPr>
          <w:rFonts w:ascii="Palatino Linotype" w:hAnsi="Palatino Linotype" w:cs="Tahoma"/>
          <w:bCs/>
          <w:iCs/>
          <w:sz w:val="22"/>
          <w:szCs w:val="22"/>
        </w:rPr>
        <w:t>documentos que se ordenan entregar</w:t>
      </w:r>
      <w:r w:rsidRPr="00875058">
        <w:rPr>
          <w:rFonts w:ascii="Palatino Linotype" w:hAnsi="Palatino Linotype" w:cs="Tahoma"/>
          <w:bCs/>
          <w:iCs/>
          <w:sz w:val="22"/>
          <w:szCs w:val="22"/>
        </w:rPr>
        <w:t xml:space="preserve">, tales como el </w:t>
      </w:r>
      <w:r w:rsidRPr="00875058">
        <w:rPr>
          <w:rFonts w:ascii="Palatino Linotype" w:hAnsi="Palatino Linotype" w:cs="Tahoma"/>
          <w:b/>
          <w:bCs/>
          <w:iCs/>
          <w:sz w:val="22"/>
          <w:szCs w:val="22"/>
        </w:rPr>
        <w:t>Registro Federal de Contribuyentes</w:t>
      </w:r>
      <w:r w:rsidRPr="00875058">
        <w:rPr>
          <w:rFonts w:ascii="Palatino Linotype" w:hAnsi="Palatino Linotype" w:cs="Tahoma"/>
          <w:bCs/>
          <w:iCs/>
          <w:sz w:val="22"/>
          <w:szCs w:val="22"/>
        </w:rPr>
        <w:t xml:space="preserve"> (RFC), la </w:t>
      </w:r>
      <w:r w:rsidRPr="00875058">
        <w:rPr>
          <w:rFonts w:ascii="Palatino Linotype" w:hAnsi="Palatino Linotype" w:cs="Tahoma"/>
          <w:b/>
          <w:bCs/>
          <w:iCs/>
          <w:sz w:val="22"/>
          <w:szCs w:val="22"/>
        </w:rPr>
        <w:t>Clave Única de Registro de Población</w:t>
      </w:r>
      <w:r w:rsidRPr="00875058">
        <w:rPr>
          <w:rFonts w:ascii="Palatino Linotype" w:hAnsi="Palatino Linotype" w:cs="Tahoma"/>
          <w:bCs/>
          <w:iCs/>
          <w:sz w:val="22"/>
          <w:szCs w:val="22"/>
        </w:rPr>
        <w:t xml:space="preserve"> (CURP), la </w:t>
      </w:r>
      <w:r w:rsidRPr="00875058">
        <w:rPr>
          <w:rFonts w:ascii="Palatino Linotype" w:hAnsi="Palatino Linotype" w:cs="Tahoma"/>
          <w:b/>
          <w:bCs/>
          <w:iCs/>
          <w:sz w:val="22"/>
          <w:szCs w:val="22"/>
        </w:rPr>
        <w:t>Clave de cualquier tipo de seguridad social</w:t>
      </w:r>
      <w:r w:rsidRPr="00875058">
        <w:rPr>
          <w:rFonts w:ascii="Palatino Linotype" w:hAnsi="Palatino Linotype" w:cs="Tahoma"/>
          <w:bCs/>
          <w:iCs/>
          <w:sz w:val="22"/>
          <w:szCs w:val="22"/>
        </w:rPr>
        <w:t xml:space="preserve"> (ISSEMYM, u otros)</w:t>
      </w:r>
      <w:r>
        <w:rPr>
          <w:rFonts w:ascii="Palatino Linotype" w:hAnsi="Palatino Linotype" w:cs="Tahoma"/>
          <w:bCs/>
          <w:iCs/>
          <w:sz w:val="22"/>
          <w:szCs w:val="22"/>
        </w:rPr>
        <w:t xml:space="preserve"> </w:t>
      </w:r>
      <w:r w:rsidRPr="00875058">
        <w:rPr>
          <w:rFonts w:ascii="Palatino Linotype" w:hAnsi="Palatino Linotype" w:cs="Tahoma"/>
          <w:bCs/>
          <w:iCs/>
          <w:sz w:val="22"/>
          <w:szCs w:val="22"/>
        </w:rPr>
        <w:t>y la clave interbancaria de depósito.</w:t>
      </w:r>
    </w:p>
    <w:p w:rsidRPr="00875058" w:rsidR="00BD3E0B" w:rsidP="00BD3E0B" w:rsidRDefault="00BD3E0B" w14:paraId="555AABAC" w14:textId="77777777">
      <w:pPr>
        <w:spacing w:line="360" w:lineRule="auto"/>
        <w:ind w:right="-93"/>
        <w:jc w:val="both"/>
        <w:rPr>
          <w:rFonts w:ascii="Palatino Linotype" w:hAnsi="Palatino Linotype" w:cs="Tahoma"/>
          <w:bCs/>
          <w:iCs/>
          <w:sz w:val="22"/>
          <w:szCs w:val="22"/>
        </w:rPr>
      </w:pPr>
    </w:p>
    <w:p w:rsidRPr="007D586F" w:rsidR="00BD3E0B" w:rsidP="00BD3E0B" w:rsidRDefault="00BD3E0B" w14:paraId="1278C339" w14:textId="77777777">
      <w:pPr>
        <w:pStyle w:val="Prrafodelista"/>
        <w:numPr>
          <w:ilvl w:val="0"/>
          <w:numId w:val="10"/>
        </w:numPr>
        <w:spacing w:line="360" w:lineRule="auto"/>
        <w:ind w:right="-93"/>
        <w:jc w:val="both"/>
        <w:rPr>
          <w:rFonts w:ascii="Palatino Linotype" w:hAnsi="Palatino Linotype" w:cs="Tahoma"/>
          <w:b/>
          <w:bCs/>
          <w:iCs/>
          <w:szCs w:val="22"/>
        </w:rPr>
      </w:pPr>
      <w:r w:rsidRPr="006059BC">
        <w:rPr>
          <w:rFonts w:ascii="Palatino Linotype" w:hAnsi="Palatino Linotype" w:cs="Tahoma"/>
          <w:b/>
          <w:bCs/>
          <w:iCs/>
          <w:szCs w:val="22"/>
        </w:rPr>
        <w:t>Registro Federal de Contribuyentes</w:t>
      </w:r>
      <w:r w:rsidRPr="007D586F">
        <w:rPr>
          <w:rFonts w:ascii="Palatino Linotype" w:hAnsi="Palatino Linotype" w:cs="Tahoma"/>
          <w:b/>
          <w:bCs/>
          <w:iCs/>
          <w:szCs w:val="22"/>
        </w:rPr>
        <w:t xml:space="preserve"> (RFC)</w:t>
      </w:r>
      <w:r>
        <w:rPr>
          <w:rFonts w:ascii="Palatino Linotype" w:hAnsi="Palatino Linotype" w:cs="Tahoma"/>
          <w:b/>
          <w:bCs/>
          <w:iCs/>
          <w:szCs w:val="22"/>
        </w:rPr>
        <w:t>.</w:t>
      </w:r>
    </w:p>
    <w:p w:rsidRPr="00875058" w:rsidR="00BD3E0B" w:rsidP="00BD3E0B" w:rsidRDefault="00BD3E0B" w14:paraId="3DE61E1A" w14:textId="77777777">
      <w:pPr>
        <w:spacing w:line="360" w:lineRule="auto"/>
        <w:ind w:left="360" w:right="-93"/>
        <w:jc w:val="both"/>
        <w:rPr>
          <w:rFonts w:ascii="Palatino Linotype" w:hAnsi="Palatino Linotype" w:cs="Tahoma"/>
          <w:bCs/>
          <w:iCs/>
          <w:sz w:val="22"/>
          <w:szCs w:val="22"/>
        </w:rPr>
      </w:pPr>
    </w:p>
    <w:p w:rsidRPr="00875058" w:rsidR="00BD3E0B" w:rsidP="00BD3E0B" w:rsidRDefault="00BD3E0B" w14:paraId="401D8E5B" w14:textId="77777777">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rsidRPr="00875058" w:rsidR="00BD3E0B" w:rsidP="00BD3E0B" w:rsidRDefault="00BD3E0B" w14:paraId="48EB1AC4" w14:textId="77777777">
      <w:pPr>
        <w:spacing w:line="360" w:lineRule="auto"/>
        <w:ind w:right="-93"/>
        <w:jc w:val="both"/>
        <w:rPr>
          <w:rFonts w:ascii="Palatino Linotype" w:hAnsi="Palatino Linotype" w:cs="Tahoma"/>
          <w:bCs/>
          <w:iCs/>
          <w:sz w:val="22"/>
          <w:szCs w:val="22"/>
        </w:rPr>
      </w:pPr>
    </w:p>
    <w:p w:rsidRPr="00875058" w:rsidR="00BD3E0B" w:rsidP="00BD3E0B" w:rsidRDefault="00BD3E0B" w14:paraId="7E6EA5A5" w14:textId="77777777">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lastRenderedPageBreak/>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Pr="00875058" w:rsidR="00BD3E0B" w:rsidP="00BD3E0B" w:rsidRDefault="00BD3E0B" w14:paraId="75D59FFA" w14:textId="77777777">
      <w:pPr>
        <w:spacing w:line="360" w:lineRule="auto"/>
        <w:ind w:right="-93"/>
        <w:jc w:val="both"/>
        <w:rPr>
          <w:rFonts w:ascii="Palatino Linotype" w:hAnsi="Palatino Linotype" w:cs="Tahoma"/>
          <w:bCs/>
          <w:iCs/>
          <w:sz w:val="22"/>
          <w:szCs w:val="22"/>
        </w:rPr>
      </w:pPr>
    </w:p>
    <w:p w:rsidRPr="00875058" w:rsidR="00BD3E0B" w:rsidP="00BD3E0B" w:rsidRDefault="00BD3E0B" w14:paraId="1F672F89" w14:textId="77777777">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Pr="00875058" w:rsidR="00BD3E0B" w:rsidP="00BD3E0B" w:rsidRDefault="00BD3E0B" w14:paraId="54975C08" w14:textId="77777777">
      <w:pPr>
        <w:spacing w:line="360" w:lineRule="auto"/>
        <w:ind w:right="-93"/>
        <w:jc w:val="both"/>
        <w:rPr>
          <w:rFonts w:ascii="Palatino Linotype" w:hAnsi="Palatino Linotype" w:cs="Tahoma"/>
          <w:bCs/>
          <w:iCs/>
          <w:sz w:val="22"/>
          <w:szCs w:val="22"/>
        </w:rPr>
      </w:pPr>
    </w:p>
    <w:p w:rsidRPr="00875058" w:rsidR="00BD3E0B" w:rsidP="00BD3E0B" w:rsidRDefault="00BD3E0B" w14:paraId="4DB280C3" w14:textId="77777777">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Pr="00875058" w:rsidR="00BD3E0B" w:rsidP="00BD3E0B" w:rsidRDefault="00BD3E0B" w14:paraId="54029B38" w14:textId="77777777">
      <w:pPr>
        <w:spacing w:line="360" w:lineRule="auto"/>
        <w:ind w:right="-93"/>
        <w:jc w:val="both"/>
        <w:rPr>
          <w:rFonts w:ascii="Palatino Linotype" w:hAnsi="Palatino Linotype" w:cs="Tahoma"/>
          <w:bCs/>
          <w:iCs/>
          <w:sz w:val="22"/>
          <w:szCs w:val="22"/>
        </w:rPr>
      </w:pPr>
    </w:p>
    <w:p w:rsidRPr="00875058" w:rsidR="00BD3E0B" w:rsidP="00BD3E0B" w:rsidRDefault="00BD3E0B" w14:paraId="0309A025" w14:textId="77777777">
      <w:pPr>
        <w:spacing w:line="360" w:lineRule="auto"/>
        <w:ind w:right="-93"/>
        <w:jc w:val="both"/>
        <w:rPr>
          <w:rFonts w:ascii="Palatino Linotype" w:hAnsi="Palatino Linotype" w:cs="Tahoma"/>
          <w:bCs/>
          <w:iCs/>
          <w:sz w:val="22"/>
          <w:szCs w:val="22"/>
        </w:rPr>
      </w:pPr>
      <w:r>
        <w:rPr>
          <w:rFonts w:ascii="Palatino Linotype" w:hAnsi="Palatino Linotype" w:cs="Tahoma"/>
          <w:bCs/>
          <w:iCs/>
          <w:sz w:val="22"/>
          <w:szCs w:val="22"/>
        </w:rPr>
        <w:t>Esto</w:t>
      </w:r>
      <w:r w:rsidRPr="00875058">
        <w:rPr>
          <w:rFonts w:ascii="Palatino Linotype" w:hAnsi="Palatino Linotype" w:cs="Tahoma"/>
          <w:bCs/>
          <w:iCs/>
          <w:sz w:val="22"/>
          <w:szCs w:val="22"/>
        </w:rPr>
        <w:t>, resulta congruente con el Criterio 19/17 emitido por el Instituto Nacional de Transparencia, Acceso a la Información y Protección de Datos Personales, en el cual se señala lo siguiente:</w:t>
      </w:r>
    </w:p>
    <w:p w:rsidRPr="00875058" w:rsidR="00BD3E0B" w:rsidP="00BD3E0B" w:rsidRDefault="00BD3E0B" w14:paraId="23515507" w14:textId="77777777">
      <w:pPr>
        <w:spacing w:line="360" w:lineRule="auto"/>
        <w:ind w:right="-93"/>
        <w:jc w:val="both"/>
        <w:rPr>
          <w:rFonts w:ascii="Palatino Linotype" w:hAnsi="Palatino Linotype" w:cs="Tahoma"/>
          <w:bCs/>
          <w:iCs/>
          <w:sz w:val="22"/>
          <w:szCs w:val="22"/>
        </w:rPr>
      </w:pPr>
    </w:p>
    <w:p w:rsidRPr="007D586F" w:rsidR="00BD3E0B" w:rsidP="00BD3E0B" w:rsidRDefault="00BD3E0B" w14:paraId="0237C01F" w14:textId="77777777">
      <w:pPr>
        <w:spacing w:line="360" w:lineRule="auto"/>
        <w:ind w:left="567" w:right="539"/>
        <w:jc w:val="both"/>
        <w:rPr>
          <w:rFonts w:ascii="Palatino Linotype" w:hAnsi="Palatino Linotype" w:cs="Tahoma"/>
          <w:bCs/>
          <w:i/>
          <w:iCs/>
        </w:rPr>
      </w:pPr>
      <w:r w:rsidRPr="007D586F">
        <w:rPr>
          <w:rFonts w:ascii="Palatino Linotype" w:hAnsi="Palatino Linotype" w:cs="Tahoma"/>
          <w:bCs/>
          <w:i/>
          <w:iCs/>
        </w:rPr>
        <w:t>“</w:t>
      </w:r>
      <w:r w:rsidRPr="007D586F">
        <w:rPr>
          <w:rFonts w:ascii="Palatino Linotype" w:hAnsi="Palatino Linotype" w:cs="Tahoma"/>
          <w:b/>
          <w:bCs/>
          <w:i/>
          <w:iCs/>
        </w:rPr>
        <w:t>Registro Federal de Contribuyentes (RFC) de personas físicas</w:t>
      </w:r>
      <w:r w:rsidRPr="007D586F">
        <w:rPr>
          <w:rFonts w:ascii="Palatino Linotype" w:hAnsi="Palatino Linotype" w:cs="Tahoma"/>
          <w:bCs/>
          <w:i/>
          <w:iCs/>
        </w:rPr>
        <w:t>. El RFC es una clave de carácter fiscal, única e irrepetible, que permite identificar al titular, su edad y fecha de nacimiento, por lo que es un dato personal de carácter confidencial.”</w:t>
      </w:r>
    </w:p>
    <w:p w:rsidRPr="00875058" w:rsidR="00BD3E0B" w:rsidP="00BD3E0B" w:rsidRDefault="00BD3E0B" w14:paraId="2FD20FD3" w14:textId="77777777">
      <w:pPr>
        <w:spacing w:line="360" w:lineRule="auto"/>
        <w:ind w:right="-93"/>
        <w:jc w:val="both"/>
        <w:rPr>
          <w:rFonts w:ascii="Palatino Linotype" w:hAnsi="Palatino Linotype" w:cs="Tahoma"/>
          <w:bCs/>
          <w:iCs/>
          <w:sz w:val="22"/>
          <w:szCs w:val="22"/>
        </w:rPr>
      </w:pPr>
    </w:p>
    <w:p w:rsidR="00BD3E0B" w:rsidP="00BD3E0B" w:rsidRDefault="00BD3E0B" w14:paraId="28B5CBBA" w14:textId="77777777">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lastRenderedPageBreak/>
        <w:t>De tal suerte, el Registro Federal de Contribuyentes de los servidores públicos no guarda relación con la transparencia de los recursos públicos</w:t>
      </w:r>
      <w:r>
        <w:rPr>
          <w:rFonts w:ascii="Palatino Linotype" w:hAnsi="Palatino Linotype" w:cs="Tahoma"/>
          <w:bCs/>
          <w:iCs/>
          <w:sz w:val="22"/>
          <w:szCs w:val="22"/>
        </w:rPr>
        <w:t xml:space="preserve"> ni el Código Qr ya que este último da cuenta del primero</w:t>
      </w:r>
      <w:r w:rsidRPr="00875058">
        <w:rPr>
          <w:rFonts w:ascii="Palatino Linotype" w:hAnsi="Palatino Linotype" w:cs="Tahoma"/>
          <w:bCs/>
          <w:iCs/>
          <w:sz w:val="22"/>
          <w:szCs w:val="22"/>
        </w:rPr>
        <w:t>,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Pr="00875058" w:rsidR="00BD3E0B" w:rsidP="00BD3E0B" w:rsidRDefault="00BD3E0B" w14:paraId="61556048" w14:textId="77777777">
      <w:pPr>
        <w:spacing w:line="360" w:lineRule="auto"/>
        <w:ind w:right="-93"/>
        <w:jc w:val="both"/>
        <w:rPr>
          <w:rFonts w:ascii="Palatino Linotype" w:hAnsi="Palatino Linotype" w:cs="Tahoma"/>
          <w:bCs/>
          <w:iCs/>
          <w:sz w:val="22"/>
          <w:szCs w:val="22"/>
        </w:rPr>
      </w:pPr>
    </w:p>
    <w:p w:rsidR="00BD3E0B" w:rsidP="00BD3E0B" w:rsidRDefault="00BD3E0B" w14:paraId="235B8F76" w14:textId="77777777">
      <w:pPr>
        <w:pStyle w:val="Prrafodelista"/>
        <w:numPr>
          <w:ilvl w:val="0"/>
          <w:numId w:val="14"/>
        </w:numPr>
        <w:spacing w:line="360" w:lineRule="auto"/>
        <w:jc w:val="both"/>
        <w:rPr>
          <w:rFonts w:ascii="Palatino Linotype" w:hAnsi="Palatino Linotype" w:cs="Tahoma"/>
          <w:b/>
          <w:szCs w:val="22"/>
        </w:rPr>
      </w:pPr>
      <w:r w:rsidRPr="00875058">
        <w:rPr>
          <w:rFonts w:ascii="Palatino Linotype" w:hAnsi="Palatino Linotype" w:cs="Tahoma"/>
          <w:b/>
          <w:szCs w:val="22"/>
        </w:rPr>
        <w:t xml:space="preserve">Clave </w:t>
      </w:r>
      <w:r w:rsidRPr="00875058">
        <w:rPr>
          <w:rFonts w:ascii="Palatino Linotype" w:hAnsi="Palatino Linotype" w:cs="Tahoma"/>
          <w:b/>
          <w:caps/>
          <w:szCs w:val="22"/>
        </w:rPr>
        <w:t>ú</w:t>
      </w:r>
      <w:r w:rsidRPr="00875058">
        <w:rPr>
          <w:rFonts w:ascii="Palatino Linotype" w:hAnsi="Palatino Linotype" w:cs="Tahoma"/>
          <w:b/>
          <w:szCs w:val="22"/>
        </w:rPr>
        <w:t>nica de Registro de Población –CURP-.</w:t>
      </w:r>
    </w:p>
    <w:p w:rsidRPr="00875058" w:rsidR="00BD3E0B" w:rsidP="00BD3E0B" w:rsidRDefault="00BD3E0B" w14:paraId="0A9B6B86" w14:textId="77777777">
      <w:pPr>
        <w:pStyle w:val="Prrafodelista"/>
        <w:spacing w:line="360" w:lineRule="auto"/>
        <w:jc w:val="both"/>
        <w:rPr>
          <w:rFonts w:ascii="Palatino Linotype" w:hAnsi="Palatino Linotype" w:cs="Tahoma"/>
          <w:b/>
          <w:szCs w:val="22"/>
        </w:rPr>
      </w:pPr>
    </w:p>
    <w:p w:rsidRPr="00875058" w:rsidR="00BD3E0B" w:rsidP="00BD3E0B" w:rsidRDefault="00BD3E0B" w14:paraId="0778BC5D" w14:textId="77777777">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rsidRPr="00875058" w:rsidR="00BD3E0B" w:rsidP="00BD3E0B" w:rsidRDefault="00BD3E0B" w14:paraId="3DDEF69B" w14:textId="77777777">
      <w:pPr>
        <w:spacing w:line="360" w:lineRule="auto"/>
        <w:contextualSpacing/>
        <w:jc w:val="both"/>
        <w:rPr>
          <w:rFonts w:ascii="Palatino Linotype" w:hAnsi="Palatino Linotype" w:cs="Tahoma"/>
          <w:sz w:val="22"/>
          <w:szCs w:val="22"/>
          <w:lang w:eastAsia="es-MX"/>
        </w:rPr>
      </w:pPr>
    </w:p>
    <w:p w:rsidRPr="00875058" w:rsidR="00BD3E0B" w:rsidP="00BD3E0B" w:rsidRDefault="00BD3E0B" w14:paraId="2DA76257" w14:textId="77777777">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rsidRPr="00875058" w:rsidR="00BD3E0B" w:rsidP="00BD3E0B" w:rsidRDefault="00BD3E0B" w14:paraId="097468C5" w14:textId="77777777">
      <w:pPr>
        <w:spacing w:line="360" w:lineRule="auto"/>
        <w:contextualSpacing/>
        <w:jc w:val="both"/>
        <w:rPr>
          <w:rFonts w:ascii="Palatino Linotype" w:hAnsi="Palatino Linotype" w:cs="Tahoma"/>
          <w:sz w:val="22"/>
          <w:szCs w:val="22"/>
          <w:lang w:eastAsia="es-MX"/>
        </w:rPr>
      </w:pPr>
    </w:p>
    <w:p w:rsidRPr="00875058" w:rsidR="00BD3E0B" w:rsidP="00BD3E0B" w:rsidRDefault="00BD3E0B" w14:paraId="51E3F3C7" w14:textId="77777777">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Acorde con lo </w:t>
      </w:r>
      <w:r>
        <w:rPr>
          <w:rFonts w:ascii="Palatino Linotype" w:hAnsi="Palatino Linotype" w:cs="Tahoma"/>
          <w:sz w:val="22"/>
          <w:szCs w:val="22"/>
          <w:lang w:eastAsia="es-MX"/>
        </w:rPr>
        <w:t>argumentado</w:t>
      </w:r>
      <w:r w:rsidRPr="00875058">
        <w:rPr>
          <w:rFonts w:ascii="Palatino Linotype" w:hAnsi="Palatino Linotype" w:cs="Tahoma"/>
          <w:sz w:val="22"/>
          <w:szCs w:val="22"/>
          <w:lang w:eastAsia="es-MX"/>
        </w:rPr>
        <w:t>,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Pr="00875058" w:rsidR="00BD3E0B" w:rsidP="00BD3E0B" w:rsidRDefault="00BD3E0B" w14:paraId="310C0B8F" w14:textId="77777777">
      <w:pPr>
        <w:spacing w:line="360" w:lineRule="auto"/>
        <w:contextualSpacing/>
        <w:jc w:val="both"/>
        <w:rPr>
          <w:rFonts w:ascii="Palatino Linotype" w:hAnsi="Palatino Linotype" w:cs="Tahoma"/>
          <w:b/>
          <w:sz w:val="22"/>
          <w:szCs w:val="22"/>
          <w:lang w:eastAsia="es-MX"/>
        </w:rPr>
      </w:pPr>
    </w:p>
    <w:p w:rsidRPr="00875058" w:rsidR="00BD3E0B" w:rsidP="00BD3E0B" w:rsidRDefault="00BD3E0B" w14:paraId="362446DD" w14:textId="77777777">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De conformidad con lo precisado por la propia Secretaría de Gobernación en la dirección </w:t>
      </w:r>
      <w:hyperlink w:history="1" r:id="rId8">
        <w:r w:rsidRPr="00875058">
          <w:rPr>
            <w:rStyle w:val="Hipervnculo"/>
            <w:rFonts w:ascii="Palatino Linotype" w:hAnsi="Palatino Linotype" w:cs="Tahoma"/>
            <w:sz w:val="22"/>
            <w:szCs w:val="22"/>
            <w:lang w:eastAsia="es-MX"/>
          </w:rPr>
          <w:t>https://consultas.curp.gob.mx/CurpSP/html/informacionecurpPS.html</w:t>
        </w:r>
      </w:hyperlink>
      <w:r w:rsidRPr="00875058">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875058">
        <w:rPr>
          <w:rFonts w:ascii="Palatino Linotype" w:hAnsi="Palatino Linotype" w:cs="Tahoma"/>
          <w:b/>
          <w:sz w:val="22"/>
          <w:szCs w:val="22"/>
          <w:lang w:eastAsia="es-MX"/>
        </w:rPr>
        <w:t xml:space="preserve">se generan a partir </w:t>
      </w:r>
      <w:r w:rsidRPr="00875058">
        <w:rPr>
          <w:rFonts w:ascii="Palatino Linotype" w:hAnsi="Palatino Linotype" w:cs="Tahoma"/>
          <w:b/>
          <w:sz w:val="22"/>
          <w:szCs w:val="22"/>
          <w:lang w:eastAsia="es-MX"/>
        </w:rPr>
        <w:lastRenderedPageBreak/>
        <w:t xml:space="preserve">de los datos contenidos en el documento probatorio de la identidad del interesado </w:t>
      </w:r>
      <w:r w:rsidRPr="00875058">
        <w:rPr>
          <w:rFonts w:ascii="Palatino Linotype" w:hAnsi="Palatino Linotype" w:cs="Tahoma"/>
          <w:sz w:val="22"/>
          <w:szCs w:val="22"/>
          <w:lang w:eastAsia="es-MX"/>
        </w:rPr>
        <w:t>(acta de nacimiento, carta de naturalización o documento migratorio) de la siguiente forma:</w:t>
      </w:r>
    </w:p>
    <w:p w:rsidRPr="00875058" w:rsidR="00BD3E0B" w:rsidP="00BD3E0B" w:rsidRDefault="00BD3E0B" w14:paraId="28BF64ED" w14:textId="77777777">
      <w:pPr>
        <w:spacing w:line="360" w:lineRule="auto"/>
        <w:contextualSpacing/>
        <w:jc w:val="both"/>
        <w:rPr>
          <w:rFonts w:ascii="Palatino Linotype" w:hAnsi="Palatino Linotype" w:cs="Tahoma"/>
          <w:sz w:val="22"/>
          <w:szCs w:val="22"/>
          <w:lang w:eastAsia="es-MX"/>
        </w:rPr>
      </w:pPr>
    </w:p>
    <w:p w:rsidRPr="00875058" w:rsidR="00BD3E0B" w:rsidP="00BD3E0B" w:rsidRDefault="00BD3E0B" w14:paraId="518FAD5E" w14:textId="77777777">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 • El primero y segundo apellidos, así como al nombre de pila.</w:t>
      </w:r>
    </w:p>
    <w:p w:rsidRPr="00875058" w:rsidR="00BD3E0B" w:rsidP="00BD3E0B" w:rsidRDefault="00BD3E0B" w14:paraId="0FFABDC0" w14:textId="77777777">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 • La fecha de nacimiento.</w:t>
      </w:r>
    </w:p>
    <w:p w:rsidRPr="00875058" w:rsidR="00BD3E0B" w:rsidP="00BD3E0B" w:rsidRDefault="00BD3E0B" w14:paraId="214E36FC" w14:textId="77777777">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 • El sexo.</w:t>
      </w:r>
    </w:p>
    <w:p w:rsidRPr="00875058" w:rsidR="00BD3E0B" w:rsidP="00BD3E0B" w:rsidRDefault="00BD3E0B" w14:paraId="50A018EB" w14:textId="77777777">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 • La entidad federativa de nacimiento.</w:t>
      </w:r>
    </w:p>
    <w:p w:rsidRPr="00875058" w:rsidR="00BD3E0B" w:rsidP="00BD3E0B" w:rsidRDefault="00BD3E0B" w14:paraId="28E8D221" w14:textId="77777777">
      <w:pPr>
        <w:spacing w:line="360" w:lineRule="auto"/>
        <w:contextualSpacing/>
        <w:jc w:val="both"/>
        <w:rPr>
          <w:rFonts w:ascii="Palatino Linotype" w:hAnsi="Palatino Linotype" w:cs="Tahoma"/>
          <w:sz w:val="22"/>
          <w:szCs w:val="22"/>
          <w:lang w:eastAsia="es-MX"/>
        </w:rPr>
      </w:pPr>
    </w:p>
    <w:p w:rsidRPr="00875058" w:rsidR="00BD3E0B" w:rsidP="00BD3E0B" w:rsidRDefault="00BD3E0B" w14:paraId="06D1FEE7" w14:textId="77777777">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Los dos últimos elementos de la CURP evitan la duplicidad de la Clave y garantizan su correcta integración.</w:t>
      </w:r>
    </w:p>
    <w:p w:rsidRPr="00875058" w:rsidR="00BD3E0B" w:rsidP="00BD3E0B" w:rsidRDefault="00BD3E0B" w14:paraId="412C9F43" w14:textId="77777777">
      <w:pPr>
        <w:spacing w:line="360" w:lineRule="auto"/>
        <w:contextualSpacing/>
        <w:jc w:val="both"/>
        <w:rPr>
          <w:rFonts w:ascii="Palatino Linotype" w:hAnsi="Palatino Linotype" w:cs="Tahoma"/>
          <w:sz w:val="22"/>
          <w:szCs w:val="22"/>
          <w:lang w:eastAsia="es-MX"/>
        </w:rPr>
      </w:pPr>
    </w:p>
    <w:p w:rsidRPr="00875058" w:rsidR="00BD3E0B" w:rsidP="00BD3E0B" w:rsidRDefault="00BD3E0B" w14:paraId="67E6A1C8" w14:textId="77777777">
      <w:pPr>
        <w:spacing w:line="360" w:lineRule="auto"/>
        <w:contextualSpacing/>
        <w:jc w:val="both"/>
        <w:rPr>
          <w:rFonts w:ascii="Palatino Linotype" w:hAnsi="Palatino Linotype" w:cs="Tahoma"/>
          <w:sz w:val="22"/>
          <w:szCs w:val="22"/>
        </w:rPr>
      </w:pPr>
      <w:r w:rsidRPr="00875058">
        <w:rPr>
          <w:rFonts w:ascii="Palatino Linotype" w:hAnsi="Palatino Linotype" w:cs="Tahoma"/>
          <w:sz w:val="22"/>
          <w:szCs w:val="22"/>
        </w:rPr>
        <w:t xml:space="preserve">Como se desprende de lo </w:t>
      </w:r>
      <w:r>
        <w:rPr>
          <w:rFonts w:ascii="Palatino Linotype" w:hAnsi="Palatino Linotype" w:cs="Tahoma"/>
          <w:sz w:val="22"/>
          <w:szCs w:val="22"/>
        </w:rPr>
        <w:t>analizado</w:t>
      </w:r>
      <w:r w:rsidRPr="00875058">
        <w:rPr>
          <w:rFonts w:ascii="Palatino Linotype" w:hAnsi="Palatino Linotype" w:cs="Tahoma"/>
          <w:sz w:val="22"/>
          <w:szCs w:val="22"/>
        </w:rPr>
        <w:t>,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Pr="00875058" w:rsidR="00BD3E0B" w:rsidP="00BD3E0B" w:rsidRDefault="00BD3E0B" w14:paraId="15D96AB2" w14:textId="77777777">
      <w:pPr>
        <w:spacing w:line="360" w:lineRule="auto"/>
        <w:contextualSpacing/>
        <w:jc w:val="both"/>
        <w:rPr>
          <w:rFonts w:ascii="Palatino Linotype" w:hAnsi="Palatino Linotype" w:cs="Tahoma"/>
          <w:sz w:val="22"/>
          <w:szCs w:val="22"/>
        </w:rPr>
      </w:pPr>
    </w:p>
    <w:p w:rsidRPr="00875058" w:rsidR="00BD3E0B" w:rsidP="00BD3E0B" w:rsidRDefault="00BD3E0B" w14:paraId="50DEFDDD" w14:textId="77777777">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Resulta aplicable en la especie, como argumento orientador, el Criterio 3/10, emitido por el INAI.</w:t>
      </w:r>
    </w:p>
    <w:p w:rsidRPr="00875058" w:rsidR="00BD3E0B" w:rsidP="00BD3E0B" w:rsidRDefault="00BD3E0B" w14:paraId="15BDE0E7" w14:textId="77777777">
      <w:pPr>
        <w:spacing w:line="360" w:lineRule="auto"/>
        <w:contextualSpacing/>
        <w:jc w:val="both"/>
        <w:rPr>
          <w:rFonts w:ascii="Palatino Linotype" w:hAnsi="Palatino Linotype" w:cs="Tahoma"/>
          <w:sz w:val="22"/>
          <w:szCs w:val="22"/>
        </w:rPr>
      </w:pPr>
    </w:p>
    <w:p w:rsidRPr="007D586F" w:rsidR="00BD3E0B" w:rsidP="00BD3E0B" w:rsidRDefault="00BD3E0B" w14:paraId="3069BAB0" w14:textId="77777777">
      <w:pPr>
        <w:autoSpaceDE w:val="0"/>
        <w:autoSpaceDN w:val="0"/>
        <w:adjustRightInd w:val="0"/>
        <w:spacing w:line="360" w:lineRule="auto"/>
        <w:ind w:left="567" w:right="567"/>
        <w:jc w:val="both"/>
        <w:rPr>
          <w:rFonts w:ascii="Palatino Linotype" w:hAnsi="Palatino Linotype" w:eastAsia="Calibri" w:cs="Tahoma"/>
          <w:i/>
          <w:color w:val="000000"/>
        </w:rPr>
      </w:pPr>
      <w:r w:rsidRPr="007D586F">
        <w:rPr>
          <w:rFonts w:ascii="Palatino Linotype" w:hAnsi="Palatino Linotype" w:eastAsia="Calibri" w:cs="Tahoma"/>
          <w:b/>
          <w:bCs/>
          <w:i/>
          <w:color w:val="000000"/>
        </w:rPr>
        <w:t xml:space="preserve">“Clave Única de Registro de Población (CURP) es un dato personal confidencial. </w:t>
      </w:r>
      <w:r w:rsidRPr="007D586F">
        <w:rPr>
          <w:rFonts w:ascii="Palatino Linotype" w:hAnsi="Palatino Linotype" w:eastAsia="Calibri" w:cs="Tahoma"/>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w:t>
      </w:r>
      <w:r w:rsidRPr="007D586F">
        <w:rPr>
          <w:rFonts w:ascii="Palatino Linotype" w:hAnsi="Palatino Linotype" w:eastAsia="Calibri" w:cs="Tahoma"/>
          <w:i/>
          <w:color w:val="000000"/>
        </w:rPr>
        <w:lastRenderedPageBreak/>
        <w:t>información que lo distingue plenamente del resto de los habitantes, por lo que es de carácter confidencial, en términos de lo dispuesto en el artículos anteriormente señalados.</w:t>
      </w:r>
      <w:r>
        <w:rPr>
          <w:rFonts w:ascii="Palatino Linotype" w:hAnsi="Palatino Linotype" w:eastAsia="Calibri" w:cs="Tahoma"/>
          <w:i/>
          <w:color w:val="000000"/>
        </w:rPr>
        <w:t xml:space="preserve"> “</w:t>
      </w:r>
    </w:p>
    <w:p w:rsidR="00BD3E0B" w:rsidP="00BD3E0B" w:rsidRDefault="00BD3E0B" w14:paraId="632BB153" w14:textId="77777777">
      <w:pPr>
        <w:spacing w:line="360" w:lineRule="auto"/>
        <w:jc w:val="both"/>
        <w:rPr>
          <w:rFonts w:ascii="Palatino Linotype" w:hAnsi="Palatino Linotype" w:cs="Tahoma"/>
          <w:sz w:val="22"/>
          <w:szCs w:val="22"/>
        </w:rPr>
      </w:pPr>
    </w:p>
    <w:p w:rsidR="00BD3E0B" w:rsidP="00BD3E0B" w:rsidRDefault="00BD3E0B" w14:paraId="1E3EB09F" w14:textId="77777777">
      <w:pPr>
        <w:spacing w:line="360" w:lineRule="auto"/>
        <w:jc w:val="both"/>
        <w:rPr>
          <w:rFonts w:ascii="Palatino Linotype" w:hAnsi="Palatino Linotype" w:cs="Tahoma"/>
          <w:sz w:val="22"/>
          <w:szCs w:val="22"/>
        </w:rPr>
      </w:pPr>
      <w:r w:rsidRPr="00875058">
        <w:rPr>
          <w:rFonts w:ascii="Palatino Linotype" w:hAnsi="Palatino Linotype" w:cs="Tahoma"/>
          <w:sz w:val="22"/>
          <w:szCs w:val="22"/>
        </w:rPr>
        <w:t>D</w:t>
      </w:r>
      <w:r>
        <w:rPr>
          <w:rFonts w:ascii="Palatino Linotype" w:hAnsi="Palatino Linotype" w:cs="Tahoma"/>
          <w:sz w:val="22"/>
          <w:szCs w:val="22"/>
        </w:rPr>
        <w:t>e acuerdo con el criterio</w:t>
      </w:r>
      <w:r w:rsidRPr="00875058">
        <w:rPr>
          <w:rFonts w:ascii="Palatino Linotype" w:hAnsi="Palatino Linotype" w:cs="Tahoma"/>
          <w:sz w:val="22"/>
          <w:szCs w:val="22"/>
        </w:rPr>
        <w:t>, se la clave CURP, es un dato personal confidencial, en términos del artículo 143, fracción I de la Ley de Transparencia y Acceso a la Información Pública del Estado de México y Municipios.</w:t>
      </w:r>
    </w:p>
    <w:p w:rsidRPr="00875058" w:rsidR="00BD3E0B" w:rsidP="00BD3E0B" w:rsidRDefault="00BD3E0B" w14:paraId="660A73B7" w14:textId="77777777">
      <w:pPr>
        <w:spacing w:line="360" w:lineRule="auto"/>
        <w:jc w:val="both"/>
        <w:rPr>
          <w:rFonts w:ascii="Palatino Linotype" w:hAnsi="Palatino Linotype" w:cs="Tahoma"/>
          <w:sz w:val="22"/>
          <w:szCs w:val="22"/>
        </w:rPr>
      </w:pPr>
    </w:p>
    <w:p w:rsidRPr="00875058" w:rsidR="00BD3E0B" w:rsidP="00BD3E0B" w:rsidRDefault="00BD3E0B" w14:paraId="3A0616E9" w14:textId="77777777">
      <w:pPr>
        <w:pStyle w:val="Prrafodelista"/>
        <w:numPr>
          <w:ilvl w:val="0"/>
          <w:numId w:val="13"/>
        </w:numPr>
        <w:spacing w:line="360" w:lineRule="auto"/>
        <w:jc w:val="both"/>
        <w:rPr>
          <w:rFonts w:ascii="Palatino Linotype" w:hAnsi="Palatino Linotype" w:cs="Tahoma"/>
          <w:b/>
          <w:szCs w:val="22"/>
          <w:lang w:eastAsia="es-MX"/>
        </w:rPr>
      </w:pPr>
      <w:r w:rsidRPr="00875058">
        <w:rPr>
          <w:rFonts w:ascii="Palatino Linotype" w:hAnsi="Palatino Linotype" w:cs="Tahoma"/>
          <w:b/>
          <w:szCs w:val="22"/>
        </w:rPr>
        <w:t>Clave de seguridad social ISSEMYM.</w:t>
      </w:r>
    </w:p>
    <w:p w:rsidRPr="00875058" w:rsidR="00BD3E0B" w:rsidP="00BD3E0B" w:rsidRDefault="00BD3E0B" w14:paraId="16A9C3E9" w14:textId="77777777">
      <w:pPr>
        <w:pStyle w:val="Prrafodelista"/>
        <w:spacing w:line="360" w:lineRule="auto"/>
        <w:jc w:val="both"/>
        <w:rPr>
          <w:rFonts w:ascii="Palatino Linotype" w:hAnsi="Palatino Linotype" w:cs="Tahoma"/>
          <w:szCs w:val="22"/>
          <w:lang w:eastAsia="es-MX"/>
        </w:rPr>
      </w:pPr>
    </w:p>
    <w:p w:rsidRPr="00875058" w:rsidR="00BD3E0B" w:rsidP="00BD3E0B" w:rsidRDefault="00BD3E0B" w14:paraId="09CD7E44" w14:textId="77777777">
      <w:pPr>
        <w:spacing w:line="360" w:lineRule="auto"/>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Pr="00875058" w:rsidR="00BD3E0B" w:rsidP="00BD3E0B" w:rsidRDefault="00BD3E0B" w14:paraId="2B71A828" w14:textId="77777777">
      <w:pPr>
        <w:spacing w:line="360" w:lineRule="auto"/>
        <w:jc w:val="both"/>
        <w:rPr>
          <w:rFonts w:ascii="Palatino Linotype" w:hAnsi="Palatino Linotype" w:cs="Tahoma"/>
          <w:sz w:val="22"/>
          <w:szCs w:val="22"/>
          <w:lang w:eastAsia="es-MX"/>
        </w:rPr>
      </w:pPr>
    </w:p>
    <w:p w:rsidRPr="00875058" w:rsidR="00BD3E0B" w:rsidP="00BD3E0B" w:rsidRDefault="00BD3E0B" w14:paraId="424CDBE0" w14:textId="77777777">
      <w:pPr>
        <w:spacing w:line="360" w:lineRule="auto"/>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875058">
        <w:rPr>
          <w:rFonts w:ascii="Palatino Linotype" w:hAnsi="Palatino Linotype" w:cs="Tahoma"/>
          <w:sz w:val="22"/>
          <w:szCs w:val="22"/>
          <w:u w:val="single"/>
          <w:lang w:eastAsia="es-MX"/>
        </w:rPr>
        <w:t>se le asigna una clave para hacer identificable al trabajador con el objetivo de poder proporcionar los servicios que brinda el ISSEMYM.</w:t>
      </w:r>
    </w:p>
    <w:p w:rsidRPr="00875058" w:rsidR="00BD3E0B" w:rsidP="00BD3E0B" w:rsidRDefault="00BD3E0B" w14:paraId="199BF5F2" w14:textId="77777777">
      <w:pPr>
        <w:pStyle w:val="Prrafodelista"/>
        <w:spacing w:line="360" w:lineRule="auto"/>
        <w:jc w:val="both"/>
        <w:rPr>
          <w:rFonts w:ascii="Palatino Linotype" w:hAnsi="Palatino Linotype" w:cs="Tahoma"/>
          <w:szCs w:val="22"/>
          <w:lang w:eastAsia="es-MX"/>
        </w:rPr>
      </w:pPr>
    </w:p>
    <w:p w:rsidRPr="00875058" w:rsidR="00BD3E0B" w:rsidP="00BD3E0B" w:rsidRDefault="00BD3E0B" w14:paraId="0F370907" w14:textId="77777777">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Como se advierte, la clave ISSEMYM es un dato personal que permite identificar que una persona ya trabajó o trabaja en alguna institución pública del Estado de México, por la que tiene o tuvo derecho a esta prestación de seguridad social; es de destacar que la clave </w:t>
      </w:r>
      <w:r w:rsidRPr="00875058">
        <w:rPr>
          <w:rFonts w:ascii="Palatino Linotype" w:hAnsi="Palatino Linotype" w:cs="Tahoma"/>
          <w:sz w:val="22"/>
          <w:szCs w:val="22"/>
          <w:lang w:eastAsia="es-MX"/>
        </w:rPr>
        <w:lastRenderedPageBreak/>
        <w:t>ISSEMYM no cambia, aunque el trabajador se dé de baja y alta en diversas ocasiones, con motivo de haber trabajado en diferentes instituciones públicas de la Entidad.</w:t>
      </w:r>
    </w:p>
    <w:p w:rsidRPr="00875058" w:rsidR="00BD3E0B" w:rsidP="00BD3E0B" w:rsidRDefault="00BD3E0B" w14:paraId="4D62094A" w14:textId="77777777">
      <w:pPr>
        <w:pStyle w:val="Prrafodelista"/>
        <w:spacing w:line="360" w:lineRule="auto"/>
        <w:jc w:val="both"/>
        <w:rPr>
          <w:rFonts w:ascii="Palatino Linotype" w:hAnsi="Palatino Linotype" w:cs="Tahoma"/>
          <w:szCs w:val="22"/>
          <w:lang w:eastAsia="es-MX"/>
        </w:rPr>
      </w:pPr>
    </w:p>
    <w:p w:rsidRPr="00875058" w:rsidR="00BD3E0B" w:rsidP="00BD3E0B" w:rsidRDefault="00BD3E0B" w14:paraId="450B3B1E" w14:textId="77777777">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rsidRPr="00875058" w:rsidR="00BD3E0B" w:rsidP="00BD3E0B" w:rsidRDefault="00BD3E0B" w14:paraId="5AE7C291" w14:textId="77777777">
      <w:pPr>
        <w:spacing w:line="360" w:lineRule="auto"/>
        <w:contextualSpacing/>
        <w:jc w:val="both"/>
        <w:rPr>
          <w:rFonts w:ascii="Palatino Linotype" w:hAnsi="Palatino Linotype" w:cs="Tahoma"/>
          <w:b/>
          <w:sz w:val="22"/>
          <w:szCs w:val="22"/>
        </w:rPr>
      </w:pPr>
    </w:p>
    <w:p w:rsidRPr="00875058" w:rsidR="00BD3E0B" w:rsidP="00BD3E0B" w:rsidRDefault="00BD3E0B" w14:paraId="08201842" w14:textId="77777777">
      <w:pPr>
        <w:pStyle w:val="Prrafodelista"/>
        <w:numPr>
          <w:ilvl w:val="0"/>
          <w:numId w:val="10"/>
        </w:numPr>
        <w:spacing w:line="360" w:lineRule="auto"/>
        <w:ind w:right="-93"/>
        <w:jc w:val="both"/>
        <w:rPr>
          <w:rFonts w:ascii="Palatino Linotype" w:hAnsi="Palatino Linotype" w:cs="Tahoma"/>
          <w:b/>
          <w:szCs w:val="22"/>
        </w:rPr>
      </w:pPr>
      <w:r w:rsidRPr="00875058">
        <w:rPr>
          <w:rFonts w:ascii="Palatino Linotype" w:hAnsi="Palatino Linotype" w:cs="Tahoma"/>
          <w:b/>
          <w:bCs/>
          <w:iCs/>
          <w:szCs w:val="22"/>
        </w:rPr>
        <w:t>Número de cuenta bancario.</w:t>
      </w:r>
    </w:p>
    <w:p w:rsidRPr="00875058" w:rsidR="00BD3E0B" w:rsidP="00BD3E0B" w:rsidRDefault="00BD3E0B" w14:paraId="524F5ED0" w14:textId="77777777">
      <w:pPr>
        <w:spacing w:line="360" w:lineRule="auto"/>
        <w:ind w:right="-93"/>
        <w:jc w:val="both"/>
        <w:rPr>
          <w:rFonts w:ascii="Palatino Linotype" w:hAnsi="Palatino Linotype" w:cs="Tahoma"/>
          <w:sz w:val="22"/>
          <w:szCs w:val="22"/>
        </w:rPr>
      </w:pPr>
    </w:p>
    <w:p w:rsidRPr="00875058" w:rsidR="00BD3E0B" w:rsidP="00BD3E0B" w:rsidRDefault="00BD3E0B" w14:paraId="49F52C4D" w14:textId="77777777">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rPr>
        <w:t>Como se precisó anteriormente, uno de los requisitos que indica la nómina del OSFEM que se deben agregar es el número de cuenta bancario al que se deposita</w:t>
      </w:r>
      <w:r w:rsidRPr="00875058">
        <w:rPr>
          <w:rFonts w:ascii="Palatino Linotype" w:hAnsi="Palatino Linotype" w:cs="Tahoma"/>
          <w:sz w:val="22"/>
          <w:szCs w:val="22"/>
          <w:lang w:eastAsia="es-MX"/>
        </w:rPr>
        <w:t xml:space="preserve"> el sueldo del servidor público; esto quiere decir, que no necesariamente el pago del salario se realiza de manera directa y en efectivo al trabajador, sino que se cubre mediante un depósito bancario realizado a la cuenta personal del trabajador.</w:t>
      </w:r>
    </w:p>
    <w:p w:rsidRPr="00875058" w:rsidR="00BD3E0B" w:rsidP="00BD3E0B" w:rsidRDefault="00BD3E0B" w14:paraId="5DB15E89" w14:textId="77777777">
      <w:pPr>
        <w:spacing w:line="360" w:lineRule="auto"/>
        <w:contextualSpacing/>
        <w:jc w:val="both"/>
        <w:rPr>
          <w:rFonts w:ascii="Palatino Linotype" w:hAnsi="Palatino Linotype" w:cs="Tahoma"/>
          <w:sz w:val="22"/>
          <w:szCs w:val="22"/>
          <w:lang w:eastAsia="es-MX"/>
        </w:rPr>
      </w:pPr>
    </w:p>
    <w:p w:rsidRPr="00875058" w:rsidR="00BD3E0B" w:rsidP="00BD3E0B" w:rsidRDefault="00BD3E0B" w14:paraId="7884A26E" w14:textId="77777777">
      <w:pPr>
        <w:shd w:val="clear" w:color="auto" w:fill="FFFFFF" w:themeFill="background1"/>
        <w:spacing w:line="360" w:lineRule="auto"/>
        <w:jc w:val="both"/>
        <w:rPr>
          <w:rFonts w:ascii="Palatino Linotype" w:hAnsi="Palatino Linotype" w:cs="Tahoma"/>
          <w:sz w:val="22"/>
          <w:szCs w:val="22"/>
        </w:rPr>
      </w:pPr>
      <w:r w:rsidRPr="00875058">
        <w:rPr>
          <w:rFonts w:ascii="Palatino Linotype" w:hAnsi="Palatino Linotype" w:cs="Tahoma"/>
          <w:sz w:val="22"/>
          <w:szCs w:val="22"/>
        </w:rPr>
        <w:t>Al respecto, en el Criterio 10/17 emitido por el Pleno del Instituto Nacional de Transparencia, Acceso a la Información y Protección de Datos Personales  se establece lo siguiente:</w:t>
      </w:r>
    </w:p>
    <w:p w:rsidRPr="00875058" w:rsidR="00BD3E0B" w:rsidP="00BD3E0B" w:rsidRDefault="00BD3E0B" w14:paraId="13584F0C" w14:textId="77777777">
      <w:pPr>
        <w:shd w:val="clear" w:color="auto" w:fill="FFFFFF" w:themeFill="background1"/>
        <w:spacing w:line="360" w:lineRule="auto"/>
        <w:ind w:left="567" w:right="567"/>
        <w:jc w:val="both"/>
        <w:rPr>
          <w:rFonts w:ascii="Palatino Linotype" w:hAnsi="Palatino Linotype" w:cs="Tahoma"/>
          <w:sz w:val="22"/>
          <w:szCs w:val="22"/>
        </w:rPr>
      </w:pPr>
    </w:p>
    <w:p w:rsidRPr="007D586F" w:rsidR="00BD3E0B" w:rsidP="00BD3E0B" w:rsidRDefault="00BD3E0B" w14:paraId="3DDD4737" w14:textId="77777777">
      <w:pPr>
        <w:shd w:val="clear" w:color="auto" w:fill="FFFFFF" w:themeFill="background1"/>
        <w:spacing w:line="360" w:lineRule="auto"/>
        <w:ind w:left="567" w:right="567"/>
        <w:jc w:val="both"/>
        <w:rPr>
          <w:rFonts w:ascii="Palatino Linotype" w:hAnsi="Palatino Linotype" w:cs="Tahoma"/>
          <w:i/>
        </w:rPr>
      </w:pPr>
      <w:r w:rsidRPr="007D586F">
        <w:rPr>
          <w:rFonts w:ascii="Palatino Linotype" w:hAnsi="Palatino Linotype" w:cs="Tahoma"/>
          <w:i/>
        </w:rPr>
        <w:t>“</w:t>
      </w:r>
      <w:r w:rsidRPr="007D586F">
        <w:rPr>
          <w:rFonts w:ascii="Palatino Linotype" w:hAnsi="Palatino Linotype" w:cs="Tahoma"/>
          <w:b/>
          <w:i/>
        </w:rPr>
        <w:t>Cuentas bancarias y/o CLABE interbancaria de personas físicas y morales privadas.</w:t>
      </w:r>
      <w:r w:rsidRPr="007D586F">
        <w:rPr>
          <w:rFonts w:ascii="Palatino Linotype" w:hAnsi="Palatino Linotype" w:cs="Tahoma"/>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Pr="00875058" w:rsidR="00BD3E0B" w:rsidP="00BD3E0B" w:rsidRDefault="00BD3E0B" w14:paraId="7D83F727" w14:textId="77777777">
      <w:pPr>
        <w:spacing w:line="360" w:lineRule="auto"/>
        <w:ind w:right="-93"/>
        <w:jc w:val="both"/>
        <w:rPr>
          <w:rFonts w:ascii="Palatino Linotype" w:hAnsi="Palatino Linotype" w:cs="Tahoma"/>
          <w:sz w:val="22"/>
          <w:szCs w:val="22"/>
        </w:rPr>
      </w:pPr>
      <w:r w:rsidRPr="00875058">
        <w:rPr>
          <w:rFonts w:ascii="Palatino Linotype" w:hAnsi="Palatino Linotype" w:cs="Tahoma"/>
          <w:sz w:val="22"/>
          <w:szCs w:val="22"/>
          <w:lang w:eastAsia="es-MX"/>
        </w:rPr>
        <w:lastRenderedPageBreak/>
        <w:t xml:space="preserve">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w:t>
      </w:r>
      <w:r w:rsidRPr="00875058">
        <w:rPr>
          <w:rFonts w:ascii="Palatino Linotype" w:hAnsi="Palatino Linotype" w:cs="Tahoma"/>
          <w:sz w:val="22"/>
          <w:szCs w:val="22"/>
        </w:rPr>
        <w:t>artículo 143, fracción I</w:t>
      </w:r>
      <w:r>
        <w:rPr>
          <w:rFonts w:ascii="Palatino Linotype" w:hAnsi="Palatino Linotype" w:cs="Tahoma"/>
          <w:sz w:val="22"/>
          <w:szCs w:val="22"/>
        </w:rPr>
        <w:t>,</w:t>
      </w:r>
      <w:r w:rsidRPr="00875058">
        <w:rPr>
          <w:rFonts w:ascii="Palatino Linotype" w:hAnsi="Palatino Linotype" w:cs="Tahoma"/>
          <w:sz w:val="22"/>
          <w:szCs w:val="22"/>
        </w:rPr>
        <w:t xml:space="preserve"> de la Ley de Transparencia y Acceso a la Información Pública del Estado de México y Municipios.</w:t>
      </w:r>
    </w:p>
    <w:p w:rsidRPr="00875058" w:rsidR="00BD3E0B" w:rsidP="00BD3E0B" w:rsidRDefault="00BD3E0B" w14:paraId="4AADA102" w14:textId="77777777">
      <w:pPr>
        <w:spacing w:line="360" w:lineRule="auto"/>
        <w:contextualSpacing/>
        <w:jc w:val="both"/>
        <w:rPr>
          <w:rFonts w:ascii="Palatino Linotype" w:hAnsi="Palatino Linotype" w:cs="Tahoma"/>
          <w:sz w:val="22"/>
          <w:szCs w:val="22"/>
          <w:lang w:eastAsia="es-MX"/>
        </w:rPr>
      </w:pPr>
    </w:p>
    <w:p w:rsidRPr="00875058" w:rsidR="00BD3E0B" w:rsidP="00BD3E0B" w:rsidRDefault="00BD3E0B" w14:paraId="02069DBA" w14:textId="77777777">
      <w:pPr>
        <w:spacing w:line="360" w:lineRule="auto"/>
        <w:ind w:right="-93"/>
        <w:jc w:val="both"/>
        <w:rPr>
          <w:rFonts w:ascii="Palatino Linotype" w:hAnsi="Palatino Linotype" w:cs="Tahoma"/>
          <w:sz w:val="22"/>
          <w:szCs w:val="22"/>
        </w:rPr>
      </w:pPr>
      <w:r w:rsidRPr="00875058">
        <w:rPr>
          <w:rFonts w:ascii="Palatino Linotype" w:hAnsi="Palatino Linotype" w:cs="Tahoma"/>
          <w:sz w:val="22"/>
          <w:szCs w:val="22"/>
        </w:rPr>
        <w:t>Ahora bien, en armonía entre los principios constitucionales de máxima publicidad y de protección de datos personales, se debe entregar la documentación señalada en versión pública en la que se suprima aquella información relacionada con la vida privada de los particulares.</w:t>
      </w:r>
    </w:p>
    <w:p w:rsidR="00BD3E0B" w:rsidP="00BD3E0B" w:rsidRDefault="00BD3E0B" w14:paraId="52DD8D6F" w14:textId="77777777">
      <w:pPr>
        <w:spacing w:line="360" w:lineRule="auto"/>
        <w:jc w:val="both"/>
        <w:rPr>
          <w:rFonts w:ascii="Palatino Linotype" w:hAnsi="Palatino Linotype" w:eastAsia="Calibri" w:cs="Tahoma"/>
          <w:bCs/>
          <w:sz w:val="22"/>
          <w:szCs w:val="22"/>
          <w:lang w:eastAsia="en-US"/>
        </w:rPr>
      </w:pPr>
    </w:p>
    <w:p w:rsidRPr="001E0D8F" w:rsidR="00BD3E0B" w:rsidP="00BD3E0B" w:rsidRDefault="00BD3E0B" w14:paraId="1887C341" w14:textId="77777777">
      <w:pPr>
        <w:spacing w:line="360" w:lineRule="auto"/>
        <w:ind w:right="-93"/>
        <w:jc w:val="both"/>
        <w:rPr>
          <w:rFonts w:ascii="Palatino Linotype" w:hAnsi="Palatino Linotype" w:eastAsia="Calibri" w:cs="Tahoma"/>
          <w:bCs/>
          <w:sz w:val="22"/>
          <w:szCs w:val="22"/>
          <w:lang w:eastAsia="en-US"/>
        </w:rPr>
      </w:pPr>
      <w:r w:rsidRPr="001E0D8F">
        <w:rPr>
          <w:rFonts w:ascii="Palatino Linotype" w:hAnsi="Palatino Linotype" w:cs="Tahoma"/>
          <w:sz w:val="22"/>
          <w:szCs w:val="22"/>
        </w:rPr>
        <w:t>En el caso en estudio,</w:t>
      </w:r>
      <w:r>
        <w:rPr>
          <w:rFonts w:ascii="Palatino Linotype" w:hAnsi="Palatino Linotype" w:cs="Tahoma"/>
          <w:sz w:val="22"/>
          <w:szCs w:val="22"/>
        </w:rPr>
        <w:t xml:space="preserve"> es de recordar que el Particular al momento de interponer su Recurso de Revisión manifestó como razones o motivos de inconformidad que el Órgano interno de Control de este Instituto sancionara a los servidores públicos por no entregarle la información, al respecto es preciso referir que</w:t>
      </w:r>
      <w:r w:rsidRPr="001E0D8F">
        <w:rPr>
          <w:rFonts w:ascii="Palatino Linotype" w:hAnsi="Palatino Linotype" w:cs="Tahoma"/>
          <w:sz w:val="22"/>
          <w:szCs w:val="22"/>
        </w:rPr>
        <w:t>, el artículo 36, fracción X, de</w:t>
      </w:r>
      <w:r>
        <w:rPr>
          <w:rFonts w:ascii="Palatino Linotype" w:hAnsi="Palatino Linotype" w:cs="Tahoma"/>
          <w:sz w:val="22"/>
          <w:szCs w:val="22"/>
        </w:rPr>
        <w:t xml:space="preserve"> </w:t>
      </w:r>
      <w:r w:rsidRPr="001E0D8F">
        <w:rPr>
          <w:rFonts w:ascii="Palatino Linotype" w:hAnsi="Palatino Linotype" w:cs="Tahoma"/>
          <w:sz w:val="22"/>
          <w:szCs w:val="22"/>
        </w:rPr>
        <w:t>l</w:t>
      </w:r>
      <w:r>
        <w:rPr>
          <w:rFonts w:ascii="Palatino Linotype" w:hAnsi="Palatino Linotype" w:cs="Tahoma"/>
          <w:sz w:val="22"/>
          <w:szCs w:val="22"/>
        </w:rPr>
        <w:t>a Ley de Transparencia y Acceso a la Información Pública del Estado de México</w:t>
      </w:r>
      <w:r w:rsidRPr="001E0D8F">
        <w:rPr>
          <w:rFonts w:ascii="Palatino Linotype" w:hAnsi="Palatino Linotype" w:cs="Tahoma"/>
          <w:sz w:val="22"/>
          <w:szCs w:val="22"/>
        </w:rPr>
        <w:t>, establece que es atribución de este Instituto hacer del conocimiento del Órgano Interno de Control o equivalente de cada Sujeto Obligado las infracciones a esta Ley.</w:t>
      </w:r>
      <w:r>
        <w:rPr>
          <w:rFonts w:ascii="Palatino Linotype" w:hAnsi="Palatino Linotype" w:cs="Tahoma"/>
          <w:sz w:val="22"/>
          <w:szCs w:val="22"/>
        </w:rPr>
        <w:t xml:space="preserve"> </w:t>
      </w:r>
      <w:r w:rsidRPr="001E0D8F">
        <w:rPr>
          <w:rFonts w:ascii="Palatino Linotype" w:hAnsi="Palatino Linotype" w:eastAsia="Calibri" w:cs="Tahoma"/>
          <w:bCs/>
          <w:sz w:val="22"/>
          <w:szCs w:val="22"/>
          <w:lang w:eastAsia="en-US"/>
        </w:rPr>
        <w:t xml:space="preserve">Sobre el particular, la presente resolución no tiene por objetivo investigar </w:t>
      </w:r>
      <w:r>
        <w:rPr>
          <w:rFonts w:ascii="Palatino Linotype" w:hAnsi="Palatino Linotype" w:eastAsia="Calibri" w:cs="Tahoma"/>
          <w:bCs/>
          <w:sz w:val="22"/>
          <w:szCs w:val="22"/>
          <w:lang w:eastAsia="en-US"/>
        </w:rPr>
        <w:t>ni</w:t>
      </w:r>
      <w:r w:rsidRPr="001E0D8F">
        <w:rPr>
          <w:rFonts w:ascii="Palatino Linotype" w:hAnsi="Palatino Linotype" w:eastAsia="Calibri" w:cs="Tahoma"/>
          <w:bCs/>
          <w:sz w:val="22"/>
          <w:szCs w:val="22"/>
          <w:lang w:eastAsia="en-US"/>
        </w:rPr>
        <w:t xml:space="preserve"> determinar posibles violaciones al derecho de acceso a la información, toda vez que este Organismo Autónomo, </w:t>
      </w:r>
      <w:r>
        <w:rPr>
          <w:rFonts w:ascii="Palatino Linotype" w:hAnsi="Palatino Linotype" w:eastAsia="Calibri" w:cs="Tahoma"/>
          <w:bCs/>
          <w:sz w:val="22"/>
          <w:szCs w:val="22"/>
          <w:lang w:eastAsia="en-US"/>
        </w:rPr>
        <w:t xml:space="preserve">no </w:t>
      </w:r>
      <w:r w:rsidRPr="001E0D8F">
        <w:rPr>
          <w:rFonts w:ascii="Palatino Linotype" w:hAnsi="Palatino Linotype" w:eastAsia="Calibri" w:cs="Tahoma"/>
          <w:bCs/>
          <w:sz w:val="22"/>
          <w:szCs w:val="22"/>
          <w:lang w:eastAsia="en-US"/>
        </w:rPr>
        <w:t xml:space="preserve">advirtió </w:t>
      </w:r>
      <w:r>
        <w:rPr>
          <w:rFonts w:ascii="Palatino Linotype" w:hAnsi="Palatino Linotype" w:eastAsia="Calibri" w:cs="Tahoma"/>
          <w:bCs/>
          <w:sz w:val="22"/>
          <w:szCs w:val="22"/>
          <w:lang w:eastAsia="en-US"/>
        </w:rPr>
        <w:t xml:space="preserve">una </w:t>
      </w:r>
      <w:r w:rsidRPr="001E0D8F">
        <w:rPr>
          <w:rFonts w:ascii="Palatino Linotype" w:hAnsi="Palatino Linotype" w:eastAsia="Calibri" w:cs="Tahoma"/>
          <w:bCs/>
          <w:sz w:val="22"/>
          <w:szCs w:val="22"/>
          <w:lang w:eastAsia="en-US"/>
        </w:rPr>
        <w:t xml:space="preserve">falta de respuesta del Sujeto Obligado, </w:t>
      </w:r>
      <w:r>
        <w:rPr>
          <w:rFonts w:ascii="Palatino Linotype" w:hAnsi="Palatino Linotype" w:eastAsia="Calibri" w:cs="Tahoma"/>
          <w:bCs/>
          <w:sz w:val="22"/>
          <w:szCs w:val="22"/>
          <w:lang w:eastAsia="en-US"/>
        </w:rPr>
        <w:t xml:space="preserve">sino que solo se encontraba incompleta por lo que no procede </w:t>
      </w:r>
      <w:r w:rsidRPr="001E0D8F">
        <w:rPr>
          <w:rFonts w:ascii="Palatino Linotype" w:hAnsi="Palatino Linotype" w:eastAsia="Calibri" w:cs="Tahoma"/>
          <w:bCs/>
          <w:sz w:val="22"/>
          <w:szCs w:val="22"/>
          <w:lang w:eastAsia="en-US"/>
        </w:rPr>
        <w:t xml:space="preserve">dar vista </w:t>
      </w:r>
      <w:r w:rsidRPr="001E0D8F">
        <w:rPr>
          <w:rFonts w:ascii="Palatino Linotype" w:hAnsi="Palatino Linotype" w:eastAsia="Calibri" w:cs="Tahoma"/>
          <w:bCs/>
          <w:sz w:val="22"/>
          <w:szCs w:val="22"/>
          <w:lang w:val="es-ES_tradnl" w:eastAsia="en-US"/>
        </w:rPr>
        <w:t>al Contralor Interno y Titular del Órgano de Control y Vigilancia de este Instituto</w:t>
      </w:r>
      <w:r w:rsidRPr="001E0D8F">
        <w:rPr>
          <w:rFonts w:ascii="Palatino Linotype" w:hAnsi="Palatino Linotype" w:eastAsia="Calibri" w:cs="Tahoma"/>
          <w:bCs/>
          <w:sz w:val="22"/>
          <w:szCs w:val="22"/>
          <w:lang w:eastAsia="en-US"/>
        </w:rPr>
        <w:t>.</w:t>
      </w:r>
    </w:p>
    <w:p w:rsidRPr="002B1811" w:rsidR="00BD3E0B" w:rsidP="002B1811" w:rsidRDefault="00BD3E0B" w14:paraId="3CB67F17" w14:textId="77777777">
      <w:pPr>
        <w:tabs>
          <w:tab w:val="left" w:pos="4962"/>
        </w:tabs>
        <w:spacing w:line="360" w:lineRule="auto"/>
        <w:jc w:val="both"/>
        <w:rPr>
          <w:rFonts w:ascii="Palatino Linotype" w:hAnsi="Palatino Linotype" w:cs="Tahoma"/>
          <w:bCs/>
          <w:sz w:val="22"/>
          <w:szCs w:val="22"/>
          <w:lang w:val="es-ES_tradnl"/>
        </w:rPr>
      </w:pPr>
    </w:p>
    <w:p w:rsidRPr="002B1811" w:rsidR="002B1811" w:rsidP="002B1811" w:rsidRDefault="002B1811" w14:paraId="0A525164" w14:textId="77777777">
      <w:pPr>
        <w:shd w:val="clear" w:color="auto" w:fill="FFFFFF"/>
        <w:spacing w:line="360" w:lineRule="auto"/>
        <w:jc w:val="both"/>
        <w:rPr>
          <w:rFonts w:ascii="Palatino Linotype" w:hAnsi="Palatino Linotype"/>
          <w:color w:val="000000"/>
          <w:sz w:val="22"/>
          <w:szCs w:val="22"/>
          <w:lang w:val="es-ES_tradnl" w:eastAsia="es-MX"/>
        </w:rPr>
      </w:pPr>
    </w:p>
    <w:p w:rsidR="00253343" w:rsidP="00253343" w:rsidRDefault="002B1811" w14:paraId="5BA62883" w14:textId="4AE2224B">
      <w:pPr>
        <w:spacing w:line="360" w:lineRule="auto"/>
        <w:jc w:val="both"/>
        <w:rPr>
          <w:rFonts w:ascii="Palatino Linotype" w:hAnsi="Palatino Linotype" w:cs="Tahoma"/>
          <w:bCs/>
          <w:iCs/>
          <w:sz w:val="22"/>
          <w:szCs w:val="22"/>
          <w:lang w:val="es-ES"/>
        </w:rPr>
      </w:pPr>
      <w:r w:rsidRPr="002B1811">
        <w:rPr>
          <w:rFonts w:ascii="Palatino Linotype" w:hAnsi="Palatino Linotype" w:cs="Tahoma"/>
          <w:bCs/>
          <w:iCs/>
          <w:sz w:val="22"/>
          <w:szCs w:val="22"/>
          <w:lang w:val="es-ES_tradnl"/>
        </w:rPr>
        <w:lastRenderedPageBreak/>
        <w:t>No pasa desapercibido para este Instituto que los documentos que den cuenta de lo solicitado, pudieran contener datos o información clasificada; a</w:t>
      </w:r>
      <w:r w:rsidRPr="002B1811">
        <w:rPr>
          <w:rFonts w:ascii="Palatino Linotype" w:hAnsi="Palatino Linotype" w:cs="Tahoma"/>
          <w:bCs/>
          <w:iCs/>
          <w:sz w:val="22"/>
          <w:szCs w:val="22"/>
          <w:lang w:val="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1"/>
    </w:p>
    <w:p w:rsidR="006E763E" w:rsidP="00253343" w:rsidRDefault="006E763E" w14:paraId="42BA28BF" w14:textId="77777777">
      <w:pPr>
        <w:spacing w:line="360" w:lineRule="auto"/>
        <w:jc w:val="both"/>
        <w:rPr>
          <w:rFonts w:ascii="Palatino Linotype" w:hAnsi="Palatino Linotype" w:cs="Tahoma"/>
          <w:bCs/>
          <w:iCs/>
          <w:sz w:val="22"/>
          <w:szCs w:val="22"/>
          <w:lang w:val="es-ES"/>
        </w:rPr>
      </w:pPr>
    </w:p>
    <w:p w:rsidRPr="000F0D67" w:rsidR="00253343" w:rsidP="00253343" w:rsidRDefault="00253343" w14:paraId="106D04A2" w14:textId="182BDD44">
      <w:pPr>
        <w:spacing w:line="360" w:lineRule="auto"/>
        <w:jc w:val="both"/>
        <w:rPr>
          <w:rFonts w:ascii="Palatino Linotype" w:hAnsi="Palatino Linotype" w:eastAsia="Calibri" w:cs="Tahoma"/>
          <w:b/>
          <w:sz w:val="22"/>
          <w:szCs w:val="22"/>
          <w:lang w:eastAsia="en-US"/>
        </w:rPr>
      </w:pPr>
      <w:r w:rsidRPr="000F0D67">
        <w:rPr>
          <w:rFonts w:ascii="Palatino Linotype" w:hAnsi="Palatino Linotype" w:eastAsia="Calibri" w:cs="Tahoma"/>
          <w:b/>
          <w:sz w:val="22"/>
          <w:szCs w:val="22"/>
          <w:lang w:eastAsia="en-US"/>
        </w:rPr>
        <w:t xml:space="preserve">SEXTO. Decisión. </w:t>
      </w:r>
    </w:p>
    <w:p w:rsidRPr="000F0D67" w:rsidR="00253343" w:rsidP="00253343" w:rsidRDefault="00253343" w14:paraId="41576290" w14:textId="77777777">
      <w:pPr>
        <w:spacing w:line="360" w:lineRule="auto"/>
        <w:jc w:val="both"/>
        <w:rPr>
          <w:rFonts w:ascii="Palatino Linotype" w:hAnsi="Palatino Linotype" w:eastAsia="Calibri" w:cs="Tahoma"/>
          <w:b/>
          <w:sz w:val="22"/>
          <w:szCs w:val="22"/>
          <w:lang w:eastAsia="en-US"/>
        </w:rPr>
      </w:pPr>
    </w:p>
    <w:p w:rsidRPr="0049370B" w:rsidR="00253343" w:rsidP="00253343" w:rsidRDefault="00253343" w14:paraId="506D127E" w14:textId="6CECAB76">
      <w:pPr>
        <w:spacing w:line="360" w:lineRule="auto"/>
        <w:jc w:val="both"/>
        <w:rPr>
          <w:rFonts w:ascii="Palatino Linotype" w:hAnsi="Palatino Linotype" w:eastAsia="Calibri" w:cs="Tahoma"/>
          <w:bCs/>
          <w:iCs/>
          <w:sz w:val="22"/>
          <w:szCs w:val="22"/>
        </w:rPr>
      </w:pPr>
      <w:r w:rsidRPr="0049370B">
        <w:rPr>
          <w:rFonts w:ascii="Palatino Linotype" w:hAnsi="Palatino Linotype" w:eastAsia="Calibri" w:cs="Tahoma"/>
          <w:sz w:val="22"/>
          <w:szCs w:val="22"/>
        </w:rPr>
        <w:t xml:space="preserve">Con fundamento en el artículo 186, fracciones III y IV de la Ley de Transparencia y Acceso a la Información Pública del Estado de México y Municipios, </w:t>
      </w:r>
      <w:r w:rsidRPr="0049370B" w:rsidR="000A6BB5">
        <w:rPr>
          <w:rFonts w:ascii="Palatino Linotype" w:hAnsi="Palatino Linotype" w:eastAsia="Calibri" w:cs="Tahoma"/>
          <w:sz w:val="22"/>
          <w:szCs w:val="22"/>
        </w:rPr>
        <w:t xml:space="preserve">además de las consideraciones precisadas en el estudio de la presente resolución, </w:t>
      </w:r>
      <w:r w:rsidRPr="0049370B">
        <w:rPr>
          <w:rFonts w:ascii="Palatino Linotype" w:hAnsi="Palatino Linotype" w:eastAsia="Calibri" w:cs="Tahoma"/>
          <w:sz w:val="22"/>
          <w:szCs w:val="22"/>
        </w:rPr>
        <w:t xml:space="preserve">este Instituto considera procedente </w:t>
      </w:r>
      <w:r w:rsidRPr="0049370B">
        <w:rPr>
          <w:rFonts w:ascii="Palatino Linotype" w:hAnsi="Palatino Linotype" w:eastAsia="Calibri" w:cs="Tahoma"/>
          <w:b/>
          <w:bCs/>
          <w:sz w:val="22"/>
          <w:szCs w:val="22"/>
        </w:rPr>
        <w:t xml:space="preserve">MODIFICAR </w:t>
      </w:r>
      <w:r w:rsidRPr="0049370B">
        <w:rPr>
          <w:rFonts w:ascii="Palatino Linotype" w:hAnsi="Palatino Linotype" w:eastAsia="Calibri" w:cs="Tahoma"/>
          <w:sz w:val="22"/>
          <w:szCs w:val="22"/>
        </w:rPr>
        <w:t xml:space="preserve">la respuesta proporcionada y en consecuencia </w:t>
      </w:r>
      <w:r w:rsidRPr="0049370B">
        <w:rPr>
          <w:rFonts w:ascii="Palatino Linotype" w:hAnsi="Palatino Linotype" w:eastAsia="Calibri" w:cs="Tahoma"/>
          <w:b/>
          <w:bCs/>
          <w:iCs/>
          <w:sz w:val="22"/>
          <w:szCs w:val="22"/>
          <w:lang w:val="es-ES_tradnl"/>
        </w:rPr>
        <w:t xml:space="preserve">ORDENAR </w:t>
      </w:r>
      <w:r w:rsidRPr="0049370B">
        <w:rPr>
          <w:rFonts w:ascii="Palatino Linotype" w:hAnsi="Palatino Linotype" w:eastAsia="Calibri" w:cs="Tahoma"/>
          <w:bCs/>
          <w:iCs/>
          <w:sz w:val="22"/>
          <w:szCs w:val="22"/>
          <w:lang w:val="es-ES_tradnl"/>
        </w:rPr>
        <w:t xml:space="preserve">al Sujeto Obligado, </w:t>
      </w:r>
      <w:r w:rsidRPr="0049370B">
        <w:rPr>
          <w:rFonts w:ascii="Palatino Linotype" w:hAnsi="Palatino Linotype" w:eastAsia="Calibri" w:cs="Tahoma"/>
          <w:sz w:val="22"/>
          <w:szCs w:val="22"/>
        </w:rPr>
        <w:t>a efecto de que, previa búsqueda exhaustiva y razonable, en todas las unidades administrativas competentes</w:t>
      </w:r>
      <w:r w:rsidRPr="0049370B">
        <w:rPr>
          <w:rFonts w:ascii="Palatino Linotype" w:hAnsi="Palatino Linotype" w:eastAsia="Calibri" w:cs="Tahoma"/>
          <w:bCs/>
          <w:iCs/>
          <w:sz w:val="22"/>
          <w:szCs w:val="22"/>
        </w:rPr>
        <w:t xml:space="preserve">, entregue, a través, del Sistema de Acceso a la Información Mexiquense (SAIMEX), en su caso, en versión pública, los documentos </w:t>
      </w:r>
      <w:r w:rsidRPr="0049370B" w:rsidR="00A34355">
        <w:rPr>
          <w:rFonts w:ascii="Palatino Linotype" w:hAnsi="Palatino Linotype" w:eastAsia="Calibri" w:cs="Tahoma"/>
          <w:bCs/>
          <w:iCs/>
          <w:sz w:val="22"/>
          <w:szCs w:val="22"/>
        </w:rPr>
        <w:t xml:space="preserve">requeridos. </w:t>
      </w:r>
    </w:p>
    <w:p w:rsidRPr="000F0D67" w:rsidR="00253343" w:rsidP="00253343" w:rsidRDefault="00253343" w14:paraId="69F51857" w14:textId="77777777">
      <w:pPr>
        <w:tabs>
          <w:tab w:val="left" w:pos="4962"/>
        </w:tabs>
        <w:spacing w:line="360" w:lineRule="auto"/>
        <w:jc w:val="both"/>
        <w:rPr>
          <w:rFonts w:ascii="Palatino Linotype" w:hAnsi="Palatino Linotype" w:cs="Tahoma"/>
          <w:szCs w:val="22"/>
        </w:rPr>
      </w:pPr>
    </w:p>
    <w:p w:rsidRPr="000F0D67" w:rsidR="00253343" w:rsidP="00253343" w:rsidRDefault="00253343" w14:paraId="7AB3C075" w14:textId="77777777">
      <w:pPr>
        <w:spacing w:line="360" w:lineRule="auto"/>
        <w:jc w:val="both"/>
        <w:rPr>
          <w:rFonts w:ascii="Palatino Linotype" w:hAnsi="Palatino Linotype" w:eastAsia="Calibri" w:cs="Tahoma"/>
          <w:b/>
          <w:bCs/>
          <w:sz w:val="22"/>
          <w:szCs w:val="22"/>
          <w:lang w:eastAsia="en-US"/>
        </w:rPr>
      </w:pPr>
      <w:r w:rsidRPr="000F0D67">
        <w:rPr>
          <w:rFonts w:ascii="Palatino Linotype" w:hAnsi="Palatino Linotype" w:eastAsia="Calibri" w:cs="Tahoma"/>
          <w:b/>
          <w:bCs/>
          <w:sz w:val="22"/>
          <w:szCs w:val="22"/>
          <w:lang w:eastAsia="en-US"/>
        </w:rPr>
        <w:t>Términos de la Resolución para conocimiento del Particular.</w:t>
      </w:r>
    </w:p>
    <w:p w:rsidRPr="002911D9" w:rsidR="00253343" w:rsidP="00253343" w:rsidRDefault="00253343" w14:paraId="615918FE" w14:textId="77777777">
      <w:pPr>
        <w:autoSpaceDE w:val="0"/>
        <w:autoSpaceDN w:val="0"/>
        <w:adjustRightInd w:val="0"/>
        <w:spacing w:line="360" w:lineRule="auto"/>
        <w:rPr>
          <w:rFonts w:eastAsia="Calibri" w:cs="Tahoma"/>
          <w:b/>
          <w:bCs/>
          <w:iCs/>
          <w:lang w:val="es-ES"/>
        </w:rPr>
      </w:pPr>
    </w:p>
    <w:p w:rsidRPr="00B60877" w:rsidR="00253343" w:rsidP="00253343" w:rsidRDefault="00253343" w14:paraId="3220AD0E" w14:textId="15531308">
      <w:pPr>
        <w:widowControl w:val="0"/>
        <w:autoSpaceDE w:val="0"/>
        <w:autoSpaceDN w:val="0"/>
        <w:adjustRightInd w:val="0"/>
        <w:spacing w:line="360" w:lineRule="auto"/>
        <w:jc w:val="both"/>
        <w:rPr>
          <w:rFonts w:ascii="Palatino Linotype" w:hAnsi="Palatino Linotype" w:eastAsia="Calibri" w:cs="Tahoma"/>
          <w:bCs/>
          <w:iCs/>
          <w:sz w:val="22"/>
          <w:szCs w:val="22"/>
          <w:lang w:val="es-ES"/>
        </w:rPr>
      </w:pPr>
      <w:r w:rsidRPr="00B60877">
        <w:rPr>
          <w:rFonts w:ascii="Palatino Linotype" w:hAnsi="Palatino Linotype" w:eastAsia="Calibri" w:cs="Tahoma"/>
          <w:bCs/>
          <w:iCs/>
          <w:sz w:val="22"/>
          <w:szCs w:val="22"/>
          <w:lang w:val="es-ES"/>
        </w:rPr>
        <w:t xml:space="preserve">Se le hace del conocimiento al Particular, que, en el presente caso, se le da la razón, pues el Ente Recurrido proporcionó la información </w:t>
      </w:r>
      <w:r w:rsidR="006E763E">
        <w:rPr>
          <w:rFonts w:ascii="Palatino Linotype" w:hAnsi="Palatino Linotype" w:eastAsia="Calibri" w:cs="Tahoma"/>
          <w:bCs/>
          <w:iCs/>
          <w:sz w:val="22"/>
          <w:szCs w:val="22"/>
          <w:lang w:val="es-ES"/>
        </w:rPr>
        <w:t xml:space="preserve">solicitada de manera incompleta, por lo que </w:t>
      </w:r>
      <w:r w:rsidR="006E763E">
        <w:rPr>
          <w:rFonts w:ascii="Palatino Linotype" w:hAnsi="Palatino Linotype" w:eastAsia="Calibri" w:cs="Tahoma"/>
          <w:bCs/>
          <w:iCs/>
          <w:sz w:val="22"/>
          <w:szCs w:val="22"/>
          <w:lang w:val="es-ES"/>
        </w:rPr>
        <w:lastRenderedPageBreak/>
        <w:t xml:space="preserve">procede entregarle la información de la nómina y los documentos soporte de las erogaciones del </w:t>
      </w:r>
      <w:r w:rsidR="00D2343C">
        <w:rPr>
          <w:rFonts w:ascii="Palatino Linotype" w:hAnsi="Palatino Linotype" w:eastAsia="Calibri" w:cs="Tahoma"/>
          <w:bCs/>
          <w:iCs/>
          <w:sz w:val="22"/>
          <w:szCs w:val="22"/>
          <w:lang w:val="es-ES"/>
        </w:rPr>
        <w:t xml:space="preserve">primer </w:t>
      </w:r>
      <w:r w:rsidR="006E763E">
        <w:rPr>
          <w:rFonts w:ascii="Palatino Linotype" w:hAnsi="Palatino Linotype" w:eastAsia="Calibri" w:cs="Tahoma"/>
          <w:bCs/>
          <w:iCs/>
          <w:sz w:val="22"/>
          <w:szCs w:val="22"/>
          <w:lang w:val="es-ES"/>
        </w:rPr>
        <w:t>trimestre.</w:t>
      </w:r>
    </w:p>
    <w:p w:rsidR="00253343" w:rsidP="00253343" w:rsidRDefault="00253343" w14:paraId="2AE3CBC6" w14:textId="77777777">
      <w:pPr>
        <w:spacing w:line="360" w:lineRule="auto"/>
        <w:ind w:right="-28"/>
        <w:jc w:val="both"/>
        <w:rPr>
          <w:rFonts w:ascii="Palatino Linotype" w:hAnsi="Palatino Linotype" w:eastAsia="Calibri" w:cs="Tahoma"/>
          <w:bCs/>
          <w:iCs/>
          <w:color w:val="000000"/>
          <w:sz w:val="22"/>
          <w:szCs w:val="22"/>
          <w:lang w:val="es-ES" w:eastAsia="es-MX"/>
        </w:rPr>
      </w:pPr>
    </w:p>
    <w:p w:rsidRPr="00B60877" w:rsidR="00253343" w:rsidP="00253343" w:rsidRDefault="00253343" w14:paraId="000D2740" w14:textId="77777777">
      <w:pPr>
        <w:spacing w:line="360" w:lineRule="auto"/>
        <w:ind w:right="-28"/>
        <w:jc w:val="both"/>
        <w:rPr>
          <w:rFonts w:ascii="Palatino Linotype" w:hAnsi="Palatino Linotype" w:eastAsia="Calibri" w:cs="Tahoma"/>
          <w:bCs/>
          <w:iCs/>
          <w:color w:val="000000"/>
          <w:sz w:val="22"/>
          <w:szCs w:val="22"/>
          <w:lang w:val="es-ES_tradnl" w:eastAsia="es-MX"/>
        </w:rPr>
      </w:pPr>
      <w:r w:rsidRPr="00B60877">
        <w:rPr>
          <w:rFonts w:ascii="Palatino Linotype" w:hAnsi="Palatino Linotype" w:eastAsia="Calibri" w:cs="Tahoma"/>
          <w:bCs/>
          <w:iCs/>
          <w:color w:val="000000"/>
          <w:sz w:val="22"/>
          <w:szCs w:val="22"/>
          <w:lang w:val="es-ES" w:eastAsia="es-MX"/>
        </w:rPr>
        <w:t>Finalmente, se le hace de su conocimiento que l</w:t>
      </w:r>
      <w:r w:rsidRPr="00B60877">
        <w:rPr>
          <w:rFonts w:ascii="Palatino Linotype" w:hAnsi="Palatino Linotype" w:eastAsia="Calibri" w:cs="Tahoma"/>
          <w:bCs/>
          <w:iCs/>
          <w:color w:val="000000"/>
          <w:sz w:val="22"/>
          <w:szCs w:val="22"/>
          <w:lang w:val="es-ES_tradnl" w:eastAsia="es-MX"/>
        </w:rPr>
        <w:t>a labor del Instituto de Transparencia, Acceso a la Información Pública y Protección de Datos Personales del Estado de México y Municipios, es apoyar a la población a acceder a la información pública y garantizar la protección de los datos personales.</w:t>
      </w:r>
    </w:p>
    <w:p w:rsidRPr="00537DE0" w:rsidR="00253343" w:rsidP="00253343" w:rsidRDefault="00253343" w14:paraId="13A77E32" w14:textId="77777777">
      <w:pPr>
        <w:spacing w:line="360" w:lineRule="auto"/>
        <w:jc w:val="both"/>
        <w:rPr>
          <w:rFonts w:ascii="Palatino Linotype" w:hAnsi="Palatino Linotype" w:eastAsia="Calibri"/>
          <w:sz w:val="22"/>
        </w:rPr>
      </w:pPr>
    </w:p>
    <w:p w:rsidRPr="00537DE0" w:rsidR="00253343" w:rsidP="00253343" w:rsidRDefault="00253343" w14:paraId="1BA103A2" w14:textId="77777777">
      <w:pPr>
        <w:spacing w:line="360" w:lineRule="auto"/>
        <w:jc w:val="both"/>
        <w:rPr>
          <w:rFonts w:ascii="Palatino Linotype" w:hAnsi="Palatino Linotype" w:eastAsia="Calibri"/>
          <w:sz w:val="22"/>
        </w:rPr>
      </w:pPr>
      <w:r w:rsidRPr="00537DE0">
        <w:rPr>
          <w:rFonts w:ascii="Palatino Linotype" w:hAnsi="Palatino Linotype" w:eastAsia="Calibri"/>
          <w:sz w:val="22"/>
        </w:rPr>
        <w:t>Por lo expuesto y fundado, este Pleno:</w:t>
      </w:r>
    </w:p>
    <w:p w:rsidR="00253343" w:rsidP="00253343" w:rsidRDefault="00253343" w14:paraId="7F487CD9" w14:textId="55FABD24">
      <w:pPr>
        <w:spacing w:line="360" w:lineRule="auto"/>
        <w:rPr>
          <w:rFonts w:ascii="Palatino Linotype" w:hAnsi="Palatino Linotype" w:eastAsia="Calibri"/>
          <w:b/>
          <w:bCs/>
          <w:sz w:val="22"/>
        </w:rPr>
      </w:pPr>
    </w:p>
    <w:p w:rsidRPr="005A60FC" w:rsidR="00253343" w:rsidP="00253343" w:rsidRDefault="00253343" w14:paraId="1AEA911D" w14:textId="77777777">
      <w:pPr>
        <w:spacing w:line="360" w:lineRule="auto"/>
        <w:jc w:val="center"/>
        <w:rPr>
          <w:rFonts w:ascii="Palatino Linotype" w:hAnsi="Palatino Linotype" w:eastAsia="Calibri"/>
          <w:b/>
          <w:bCs/>
          <w:sz w:val="22"/>
        </w:rPr>
      </w:pPr>
      <w:r w:rsidRPr="005A60FC">
        <w:rPr>
          <w:rFonts w:ascii="Palatino Linotype" w:hAnsi="Palatino Linotype" w:eastAsia="Calibri"/>
          <w:b/>
          <w:bCs/>
          <w:sz w:val="22"/>
        </w:rPr>
        <w:t>R E S U E L V E</w:t>
      </w:r>
    </w:p>
    <w:p w:rsidRPr="00537DE0" w:rsidR="00253343" w:rsidP="00253343" w:rsidRDefault="00253343" w14:paraId="33CDB7D0" w14:textId="77777777">
      <w:pPr>
        <w:spacing w:line="360" w:lineRule="auto"/>
        <w:jc w:val="both"/>
        <w:rPr>
          <w:rFonts w:ascii="Palatino Linotype" w:hAnsi="Palatino Linotype" w:eastAsia="Calibri"/>
          <w:sz w:val="22"/>
        </w:rPr>
      </w:pPr>
    </w:p>
    <w:p w:rsidRPr="0079026C" w:rsidR="00253343" w:rsidP="00253343" w:rsidRDefault="00253343" w14:paraId="76117BD4" w14:textId="337C1507">
      <w:pPr>
        <w:spacing w:line="360" w:lineRule="auto"/>
        <w:contextualSpacing/>
        <w:jc w:val="both"/>
        <w:rPr>
          <w:rFonts w:ascii="Palatino Linotype" w:hAnsi="Palatino Linotype" w:eastAsia="Calibri" w:cs="Tahoma"/>
          <w:b/>
          <w:bCs/>
          <w:iCs/>
          <w:sz w:val="22"/>
          <w:szCs w:val="22"/>
          <w:lang w:eastAsia="en-US"/>
        </w:rPr>
      </w:pPr>
      <w:r w:rsidRPr="00E16C2A">
        <w:rPr>
          <w:rFonts w:ascii="Palatino Linotype" w:hAnsi="Palatino Linotype" w:eastAsia="Calibri" w:cs="Tahoma"/>
          <w:b/>
          <w:iCs/>
          <w:sz w:val="22"/>
          <w:szCs w:val="22"/>
          <w:lang w:eastAsia="en-US"/>
        </w:rPr>
        <w:t>PRIMERO.</w:t>
      </w:r>
      <w:r>
        <w:rPr>
          <w:rFonts w:ascii="Palatino Linotype" w:hAnsi="Palatino Linotype" w:eastAsia="Calibri" w:cs="Tahoma"/>
          <w:bCs/>
          <w:iCs/>
          <w:sz w:val="22"/>
          <w:szCs w:val="22"/>
          <w:lang w:eastAsia="en-US"/>
        </w:rPr>
        <w:t xml:space="preserve"> </w:t>
      </w:r>
      <w:r w:rsidRPr="00E16C2A">
        <w:rPr>
          <w:rFonts w:ascii="Palatino Linotype" w:hAnsi="Palatino Linotype" w:eastAsia="Calibri" w:cs="Tahoma"/>
          <w:bCs/>
          <w:iCs/>
          <w:sz w:val="22"/>
          <w:szCs w:val="22"/>
          <w:lang w:eastAsia="en-US"/>
        </w:rPr>
        <w:t xml:space="preserve">Se </w:t>
      </w:r>
      <w:r>
        <w:rPr>
          <w:rFonts w:ascii="Palatino Linotype" w:hAnsi="Palatino Linotype" w:eastAsia="Calibri" w:cs="Tahoma"/>
          <w:b/>
          <w:bCs/>
          <w:iCs/>
          <w:sz w:val="22"/>
          <w:szCs w:val="22"/>
          <w:lang w:eastAsia="en-US"/>
        </w:rPr>
        <w:t>MODIFIC</w:t>
      </w:r>
      <w:r w:rsidRPr="00E16C2A">
        <w:rPr>
          <w:rFonts w:ascii="Palatino Linotype" w:hAnsi="Palatino Linotype" w:eastAsia="Calibri" w:cs="Tahoma"/>
          <w:b/>
          <w:bCs/>
          <w:iCs/>
          <w:sz w:val="22"/>
          <w:szCs w:val="22"/>
          <w:lang w:eastAsia="en-US"/>
        </w:rPr>
        <w:t xml:space="preserve">A </w:t>
      </w:r>
      <w:r w:rsidRPr="00E16C2A">
        <w:rPr>
          <w:rFonts w:ascii="Palatino Linotype" w:hAnsi="Palatino Linotype" w:eastAsia="Calibri" w:cs="Tahoma"/>
          <w:iCs/>
          <w:sz w:val="22"/>
          <w:szCs w:val="22"/>
          <w:lang w:eastAsia="en-US"/>
        </w:rPr>
        <w:t>la respuesta entregada por el Sujeto Obligado a la solic</w:t>
      </w:r>
      <w:r>
        <w:rPr>
          <w:rFonts w:ascii="Palatino Linotype" w:hAnsi="Palatino Linotype" w:eastAsia="Calibri" w:cs="Tahoma"/>
          <w:iCs/>
          <w:sz w:val="22"/>
          <w:szCs w:val="22"/>
          <w:lang w:eastAsia="en-US"/>
        </w:rPr>
        <w:t xml:space="preserve">itud de acceso a la información </w:t>
      </w:r>
      <w:r w:rsidRPr="00E53C3D">
        <w:rPr>
          <w:rFonts w:ascii="Palatino Linotype" w:hAnsi="Palatino Linotype" w:cs="Tahoma"/>
          <w:color w:val="0D0D0D" w:themeColor="text1" w:themeTint="F2"/>
          <w:sz w:val="22"/>
          <w:szCs w:val="22"/>
        </w:rPr>
        <w:t>con número de folio</w:t>
      </w:r>
      <w:r>
        <w:rPr>
          <w:rFonts w:ascii="Verdana" w:hAnsi="Verdana"/>
          <w:b/>
          <w:bCs/>
          <w:color w:val="FF0000"/>
        </w:rPr>
        <w:t> </w:t>
      </w:r>
      <w:r w:rsidRPr="00C94886" w:rsidR="00A34355">
        <w:rPr>
          <w:rFonts w:ascii="Palatino Linotype" w:hAnsi="Palatino Linotype"/>
          <w:color w:val="000000" w:themeColor="text1"/>
          <w:sz w:val="22"/>
          <w:szCs w:val="22"/>
        </w:rPr>
        <w:t>033</w:t>
      </w:r>
      <w:r w:rsidR="00A34355">
        <w:rPr>
          <w:rFonts w:ascii="Palatino Linotype" w:hAnsi="Palatino Linotype"/>
          <w:color w:val="000000" w:themeColor="text1"/>
          <w:sz w:val="22"/>
          <w:szCs w:val="22"/>
        </w:rPr>
        <w:t>56</w:t>
      </w:r>
      <w:r w:rsidRPr="00C94886" w:rsidR="00A34355">
        <w:rPr>
          <w:rFonts w:ascii="Palatino Linotype" w:hAnsi="Palatino Linotype"/>
          <w:color w:val="000000" w:themeColor="text1"/>
          <w:sz w:val="22"/>
          <w:szCs w:val="22"/>
        </w:rPr>
        <w:t>/METEPEC/IP/2022</w:t>
      </w:r>
      <w:r w:rsidRPr="00E16C2A">
        <w:rPr>
          <w:rFonts w:ascii="Palatino Linotype" w:hAnsi="Palatino Linotype" w:cs="Tahoma"/>
          <w:bCs/>
          <w:color w:val="0D0D0D" w:themeColor="text1" w:themeTint="F2"/>
          <w:sz w:val="22"/>
          <w:szCs w:val="22"/>
        </w:rPr>
        <w:t xml:space="preserve">, </w:t>
      </w:r>
      <w:r w:rsidRPr="00E16C2A">
        <w:rPr>
          <w:rFonts w:ascii="Palatino Linotype" w:hAnsi="Palatino Linotype" w:eastAsia="Calibri" w:cs="Tahoma"/>
          <w:bCs/>
          <w:iCs/>
          <w:sz w:val="22"/>
          <w:szCs w:val="22"/>
          <w:lang w:eastAsia="en-US"/>
        </w:rPr>
        <w:t xml:space="preserve">por resultar </w:t>
      </w:r>
      <w:r>
        <w:rPr>
          <w:rFonts w:ascii="Palatino Linotype" w:hAnsi="Palatino Linotype" w:eastAsia="Calibri" w:cs="Tahoma"/>
          <w:b/>
          <w:bCs/>
          <w:iCs/>
          <w:sz w:val="22"/>
          <w:szCs w:val="22"/>
          <w:lang w:eastAsia="en-US"/>
        </w:rPr>
        <w:t>FUNDADAS</w:t>
      </w:r>
      <w:r w:rsidRPr="00E16C2A">
        <w:rPr>
          <w:rFonts w:ascii="Palatino Linotype" w:hAnsi="Palatino Linotype" w:eastAsia="Calibri" w:cs="Tahoma"/>
          <w:bCs/>
          <w:iCs/>
          <w:sz w:val="22"/>
          <w:szCs w:val="22"/>
          <w:lang w:eastAsia="en-US"/>
        </w:rPr>
        <w:t xml:space="preserve"> las razones o motivos de inconformidad hechos valer por el Recurrente, en términos de los </w:t>
      </w:r>
      <w:r w:rsidRPr="00E55AEF">
        <w:rPr>
          <w:rFonts w:ascii="Palatino Linotype" w:hAnsi="Palatino Linotype" w:eastAsia="Calibri" w:cs="Tahoma"/>
          <w:bCs/>
          <w:iCs/>
          <w:sz w:val="22"/>
          <w:szCs w:val="22"/>
          <w:lang w:eastAsia="en-US"/>
        </w:rPr>
        <w:t>Considerandos QUINTO y SEXTO</w:t>
      </w:r>
      <w:r w:rsidRPr="00E16C2A">
        <w:rPr>
          <w:rFonts w:ascii="Palatino Linotype" w:hAnsi="Palatino Linotype" w:eastAsia="Calibri" w:cs="Tahoma"/>
          <w:b/>
          <w:bCs/>
          <w:iCs/>
          <w:sz w:val="22"/>
          <w:szCs w:val="22"/>
          <w:lang w:eastAsia="en-US"/>
        </w:rPr>
        <w:t xml:space="preserve"> </w:t>
      </w:r>
      <w:r w:rsidRPr="00E16C2A">
        <w:rPr>
          <w:rFonts w:ascii="Palatino Linotype" w:hAnsi="Palatino Linotype" w:eastAsia="Calibri" w:cs="Tahoma"/>
          <w:bCs/>
          <w:iCs/>
          <w:sz w:val="22"/>
          <w:szCs w:val="22"/>
          <w:lang w:eastAsia="en-US"/>
        </w:rPr>
        <w:t>de esta Resolución.</w:t>
      </w:r>
    </w:p>
    <w:p w:rsidRPr="00E16C2A" w:rsidR="00253343" w:rsidP="00253343" w:rsidRDefault="00253343" w14:paraId="17C868FB" w14:textId="77777777">
      <w:pPr>
        <w:spacing w:line="360" w:lineRule="auto"/>
        <w:contextualSpacing/>
        <w:jc w:val="both"/>
        <w:rPr>
          <w:rFonts w:ascii="Palatino Linotype" w:hAnsi="Palatino Linotype" w:eastAsia="Calibri" w:cs="Tahoma"/>
          <w:bCs/>
          <w:iCs/>
          <w:sz w:val="22"/>
          <w:szCs w:val="22"/>
          <w:lang w:eastAsia="en-US"/>
        </w:rPr>
      </w:pPr>
    </w:p>
    <w:p w:rsidRPr="0079026C" w:rsidR="00253343" w:rsidP="00253343" w:rsidRDefault="00253343" w14:paraId="7E702D7C" w14:textId="4E047F1A">
      <w:pPr>
        <w:spacing w:line="360" w:lineRule="auto"/>
        <w:jc w:val="both"/>
        <w:rPr>
          <w:rFonts w:ascii="Palatino Linotype" w:hAnsi="Palatino Linotype" w:eastAsia="Calibri" w:cs="Tahoma"/>
          <w:bCs/>
          <w:iCs/>
          <w:sz w:val="22"/>
          <w:szCs w:val="22"/>
        </w:rPr>
      </w:pPr>
      <w:r w:rsidRPr="0079026C">
        <w:rPr>
          <w:rFonts w:ascii="Palatino Linotype" w:hAnsi="Palatino Linotype" w:eastAsia="Calibri" w:cs="Tahoma"/>
          <w:b/>
          <w:bCs/>
          <w:iCs/>
          <w:sz w:val="22"/>
          <w:szCs w:val="22"/>
          <w:lang w:eastAsia="en-US"/>
        </w:rPr>
        <w:t xml:space="preserve">SEGUNDO. </w:t>
      </w:r>
      <w:r w:rsidRPr="0079026C">
        <w:rPr>
          <w:rFonts w:ascii="Palatino Linotype" w:hAnsi="Palatino Linotype" w:cs="Tahoma"/>
          <w:bCs/>
          <w:iCs/>
          <w:sz w:val="22"/>
          <w:szCs w:val="22"/>
          <w:lang w:val="es-ES_tradnl"/>
        </w:rPr>
        <w:t xml:space="preserve">Se </w:t>
      </w:r>
      <w:r w:rsidRPr="0079026C">
        <w:rPr>
          <w:rFonts w:ascii="Palatino Linotype" w:hAnsi="Palatino Linotype" w:cs="Tahoma"/>
          <w:b/>
          <w:bCs/>
          <w:iCs/>
          <w:caps/>
          <w:sz w:val="22"/>
          <w:szCs w:val="22"/>
          <w:lang w:val="es-ES_tradnl"/>
        </w:rPr>
        <w:t>ordena</w:t>
      </w:r>
      <w:r w:rsidRPr="0079026C">
        <w:rPr>
          <w:rFonts w:ascii="Palatino Linotype" w:hAnsi="Palatino Linotype" w:cs="Tahoma"/>
          <w:bCs/>
          <w:iCs/>
          <w:sz w:val="22"/>
          <w:szCs w:val="22"/>
          <w:lang w:val="es-ES_tradnl"/>
        </w:rPr>
        <w:t xml:space="preserve"> al Sujeto Obligado,</w:t>
      </w:r>
      <w:r w:rsidRPr="0079026C">
        <w:rPr>
          <w:rFonts w:ascii="Palatino Linotype" w:hAnsi="Palatino Linotype" w:cs="Tahoma"/>
          <w:bCs/>
          <w:sz w:val="22"/>
          <w:szCs w:val="22"/>
        </w:rPr>
        <w:t xml:space="preserve"> a efecto de que, previa búsqueda exhaustiva y razonable, en los archivos de todas las unidades administrativas competentes, entregue, a través del Sistema de Acceso a la Información Mexiquense (SAIMEX), </w:t>
      </w:r>
      <w:r w:rsidRPr="0079026C">
        <w:rPr>
          <w:rFonts w:ascii="Palatino Linotype" w:hAnsi="Palatino Linotype" w:eastAsia="Calibri" w:cs="Tahoma"/>
          <w:bCs/>
          <w:iCs/>
          <w:sz w:val="22"/>
          <w:szCs w:val="22"/>
        </w:rPr>
        <w:t xml:space="preserve">en su caso, en versión pública, </w:t>
      </w:r>
      <w:r w:rsidR="008166BF">
        <w:rPr>
          <w:rFonts w:ascii="Palatino Linotype" w:hAnsi="Palatino Linotype" w:eastAsia="Calibri" w:cs="Tahoma"/>
          <w:bCs/>
          <w:iCs/>
          <w:sz w:val="22"/>
          <w:szCs w:val="22"/>
        </w:rPr>
        <w:t>respecto de la Dirección de Cultura del Ayuntamiento</w:t>
      </w:r>
      <w:r w:rsidR="00097718">
        <w:rPr>
          <w:rFonts w:ascii="Palatino Linotype" w:hAnsi="Palatino Linotype" w:eastAsia="Calibri" w:cs="Tahoma"/>
          <w:bCs/>
          <w:iCs/>
          <w:sz w:val="22"/>
          <w:szCs w:val="22"/>
        </w:rPr>
        <w:t>, lo siguiente</w:t>
      </w:r>
      <w:r w:rsidRPr="0079026C">
        <w:rPr>
          <w:rFonts w:ascii="Palatino Linotype" w:hAnsi="Palatino Linotype" w:eastAsia="Calibri" w:cs="Tahoma"/>
          <w:bCs/>
          <w:iCs/>
          <w:sz w:val="22"/>
          <w:szCs w:val="22"/>
        </w:rPr>
        <w:t>:</w:t>
      </w:r>
    </w:p>
    <w:p w:rsidRPr="0079026C" w:rsidR="00253343" w:rsidP="00253343" w:rsidRDefault="00253343" w14:paraId="308DF91D" w14:textId="77777777">
      <w:pPr>
        <w:spacing w:line="360" w:lineRule="auto"/>
        <w:jc w:val="both"/>
        <w:rPr>
          <w:rFonts w:ascii="Palatino Linotype" w:hAnsi="Palatino Linotype" w:eastAsia="Calibri" w:cs="Tahoma"/>
          <w:bCs/>
          <w:iCs/>
        </w:rPr>
      </w:pPr>
    </w:p>
    <w:p w:rsidR="008166BF" w:rsidP="00A34355" w:rsidRDefault="008166BF" w14:paraId="1A62F5FD" w14:textId="77777777">
      <w:pPr>
        <w:pStyle w:val="Prrafodelista"/>
        <w:numPr>
          <w:ilvl w:val="0"/>
          <w:numId w:val="7"/>
        </w:numPr>
        <w:autoSpaceDE w:val="0"/>
        <w:autoSpaceDN w:val="0"/>
        <w:adjustRightInd w:val="0"/>
        <w:spacing w:line="360" w:lineRule="auto"/>
        <w:ind w:right="-28"/>
        <w:jc w:val="both"/>
        <w:rPr>
          <w:rFonts w:ascii="Palatino Linotype" w:hAnsi="Palatino Linotype" w:eastAsia="Calibri" w:cs="Tahoma"/>
          <w:color w:val="000000"/>
          <w:lang w:val="es-ES" w:eastAsia="es-MX"/>
        </w:rPr>
      </w:pPr>
      <w:r>
        <w:rPr>
          <w:rFonts w:ascii="Palatino Linotype" w:hAnsi="Palatino Linotype" w:eastAsia="Calibri" w:cs="Tahoma"/>
          <w:color w:val="000000"/>
          <w:lang w:val="es-ES" w:eastAsia="es-MX"/>
        </w:rPr>
        <w:t xml:space="preserve">La documentación soporte de las erogaciones realizadas durante el primer trimestre, remitidos en respuesta. </w:t>
      </w:r>
    </w:p>
    <w:p w:rsidR="00A34355" w:rsidP="00A34355" w:rsidRDefault="008166BF" w14:paraId="62D43488" w14:textId="46D57038">
      <w:pPr>
        <w:pStyle w:val="Prrafodelista"/>
        <w:numPr>
          <w:ilvl w:val="0"/>
          <w:numId w:val="7"/>
        </w:numPr>
        <w:autoSpaceDE w:val="0"/>
        <w:autoSpaceDN w:val="0"/>
        <w:adjustRightInd w:val="0"/>
        <w:spacing w:line="360" w:lineRule="auto"/>
        <w:ind w:right="-28"/>
        <w:jc w:val="both"/>
        <w:rPr>
          <w:rFonts w:ascii="Palatino Linotype" w:hAnsi="Palatino Linotype" w:eastAsia="Calibri" w:cs="Tahoma"/>
          <w:color w:val="000000"/>
          <w:lang w:val="es-ES" w:eastAsia="es-MX"/>
        </w:rPr>
      </w:pPr>
      <w:r>
        <w:rPr>
          <w:rFonts w:ascii="Palatino Linotype" w:hAnsi="Palatino Linotype" w:eastAsia="Calibri" w:cs="Tahoma"/>
          <w:color w:val="000000"/>
          <w:lang w:val="es-ES" w:eastAsia="es-MX"/>
        </w:rPr>
        <w:t>Nómina de las quincenas primera y segunda de los meses de enero, febrero y marzo de este año.</w:t>
      </w:r>
    </w:p>
    <w:p w:rsidR="00F134F1" w:rsidP="00F134F1" w:rsidRDefault="00F134F1" w14:paraId="790475A6" w14:textId="47CEB161">
      <w:pPr>
        <w:autoSpaceDE w:val="0"/>
        <w:autoSpaceDN w:val="0"/>
        <w:adjustRightInd w:val="0"/>
        <w:spacing w:line="360" w:lineRule="auto"/>
        <w:ind w:right="-28"/>
        <w:jc w:val="both"/>
        <w:rPr>
          <w:rFonts w:ascii="Palatino Linotype" w:hAnsi="Palatino Linotype" w:eastAsia="Calibri" w:cs="Tahoma"/>
          <w:color w:val="000000"/>
          <w:lang w:val="es-ES" w:eastAsia="es-MX"/>
        </w:rPr>
      </w:pPr>
    </w:p>
    <w:p w:rsidRPr="00F134F1" w:rsidR="00F134F1" w:rsidP="00F134F1" w:rsidRDefault="00F134F1" w14:paraId="5F77A895" w14:textId="79B687E4">
      <w:pPr>
        <w:autoSpaceDE w:val="0"/>
        <w:autoSpaceDN w:val="0"/>
        <w:adjustRightInd w:val="0"/>
        <w:spacing w:line="360" w:lineRule="auto"/>
        <w:ind w:right="-28"/>
        <w:jc w:val="both"/>
        <w:rPr>
          <w:rFonts w:ascii="Palatino Linotype" w:hAnsi="Palatino Linotype" w:eastAsia="Calibri" w:cs="Tahoma"/>
          <w:color w:val="000000"/>
          <w:sz w:val="22"/>
          <w:szCs w:val="22"/>
          <w:lang w:val="es-ES" w:eastAsia="es-MX"/>
        </w:rPr>
      </w:pPr>
      <w:r w:rsidRPr="00F134F1">
        <w:rPr>
          <w:rFonts w:ascii="Palatino Linotype" w:hAnsi="Palatino Linotype" w:eastAsia="Calibri" w:cs="Tahoma"/>
          <w:color w:val="000000"/>
          <w:sz w:val="22"/>
          <w:szCs w:val="22"/>
          <w:lang w:val="es-ES" w:eastAsia="es-MX"/>
        </w:rPr>
        <w:lastRenderedPageBreak/>
        <w:t>Además, deberá proporcionar el Acuerdo de Clasificación donde el Comité de</w:t>
      </w:r>
      <w:r>
        <w:rPr>
          <w:rFonts w:ascii="Palatino Linotype" w:hAnsi="Palatino Linotype" w:eastAsia="Calibri" w:cs="Tahoma"/>
          <w:color w:val="000000"/>
          <w:sz w:val="22"/>
          <w:szCs w:val="22"/>
          <w:lang w:val="es-ES" w:eastAsia="es-MX"/>
        </w:rPr>
        <w:t xml:space="preserve"> </w:t>
      </w:r>
      <w:r w:rsidRPr="00F134F1">
        <w:rPr>
          <w:rFonts w:ascii="Palatino Linotype" w:hAnsi="Palatino Linotype" w:eastAsia="Calibri" w:cs="Tahoma"/>
          <w:color w:val="000000"/>
          <w:sz w:val="22"/>
          <w:szCs w:val="22"/>
          <w:lang w:val="es-ES" w:eastAsia="es-MX"/>
        </w:rPr>
        <w:t>Transparencia, confirme la eliminación de los datos o información clasificada, en la versión</w:t>
      </w:r>
      <w:r>
        <w:rPr>
          <w:rFonts w:ascii="Palatino Linotype" w:hAnsi="Palatino Linotype" w:eastAsia="Calibri" w:cs="Tahoma"/>
          <w:color w:val="000000"/>
          <w:sz w:val="22"/>
          <w:szCs w:val="22"/>
          <w:lang w:val="es-ES" w:eastAsia="es-MX"/>
        </w:rPr>
        <w:t xml:space="preserve"> </w:t>
      </w:r>
      <w:r w:rsidRPr="00F134F1">
        <w:rPr>
          <w:rFonts w:ascii="Palatino Linotype" w:hAnsi="Palatino Linotype" w:eastAsia="Calibri" w:cs="Tahoma"/>
          <w:color w:val="000000"/>
          <w:sz w:val="22"/>
          <w:szCs w:val="22"/>
          <w:lang w:val="es-ES" w:eastAsia="es-MX"/>
        </w:rPr>
        <w:t>pública, de conformidad con los artículos 49, fracciones II y VIII y 132, fracción II de la Ley</w:t>
      </w:r>
      <w:r>
        <w:rPr>
          <w:rFonts w:ascii="Palatino Linotype" w:hAnsi="Palatino Linotype" w:eastAsia="Calibri" w:cs="Tahoma"/>
          <w:color w:val="000000"/>
          <w:sz w:val="22"/>
          <w:szCs w:val="22"/>
          <w:lang w:val="es-ES" w:eastAsia="es-MX"/>
        </w:rPr>
        <w:t xml:space="preserve"> </w:t>
      </w:r>
      <w:r w:rsidRPr="00F134F1">
        <w:rPr>
          <w:rFonts w:ascii="Palatino Linotype" w:hAnsi="Palatino Linotype" w:eastAsia="Calibri" w:cs="Tahoma"/>
          <w:color w:val="000000"/>
          <w:sz w:val="22"/>
          <w:szCs w:val="22"/>
          <w:lang w:val="es-ES" w:eastAsia="es-MX"/>
        </w:rPr>
        <w:t>de Transparencia y Acceso a la Información Pública del Estado de México y Municipios.</w:t>
      </w:r>
    </w:p>
    <w:p w:rsidR="00253343" w:rsidP="00253343" w:rsidRDefault="00253343" w14:paraId="35CBD745" w14:textId="77777777">
      <w:pPr>
        <w:spacing w:line="360" w:lineRule="auto"/>
        <w:jc w:val="both"/>
        <w:rPr>
          <w:rFonts w:ascii="Palatino Linotype" w:hAnsi="Palatino Linotype" w:eastAsia="Calibri" w:cs="Tahoma"/>
          <w:bCs/>
          <w:iCs/>
        </w:rPr>
      </w:pPr>
    </w:p>
    <w:p w:rsidRPr="00F134F1" w:rsidR="00253343" w:rsidP="00253343" w:rsidRDefault="00253343" w14:paraId="3D246BB0" w14:textId="6549E9DE">
      <w:pPr>
        <w:spacing w:line="360" w:lineRule="auto"/>
        <w:jc w:val="both"/>
        <w:rPr>
          <w:rFonts w:ascii="Palatino Linotype" w:hAnsi="Palatino Linotype" w:eastAsia="Calibri"/>
          <w:bCs/>
          <w:iCs/>
          <w:sz w:val="22"/>
          <w:szCs w:val="22"/>
        </w:rPr>
      </w:pPr>
      <w:r w:rsidRPr="0079026C">
        <w:rPr>
          <w:rFonts w:ascii="Palatino Linotype" w:hAnsi="Palatino Linotype" w:eastAsia="Calibri"/>
          <w:b/>
          <w:bCs/>
          <w:iCs/>
          <w:sz w:val="22"/>
          <w:szCs w:val="22"/>
          <w:lang w:val="es-ES"/>
        </w:rPr>
        <w:t>TERCERO</w:t>
      </w:r>
      <w:r w:rsidRPr="0079026C">
        <w:rPr>
          <w:rFonts w:ascii="Palatino Linotype" w:hAnsi="Palatino Linotype" w:eastAsia="Calibri"/>
          <w:b/>
          <w:bCs/>
          <w:sz w:val="22"/>
          <w:szCs w:val="22"/>
        </w:rPr>
        <w:t xml:space="preserve">. </w:t>
      </w:r>
      <w:r w:rsidRPr="0079026C">
        <w:rPr>
          <w:rFonts w:ascii="Palatino Linotype" w:hAnsi="Palatino Linotype" w:cs="Tahoma"/>
          <w:b/>
          <w:sz w:val="22"/>
          <w:szCs w:val="22"/>
        </w:rPr>
        <w:t xml:space="preserve">NOTIFÍQUESE </w:t>
      </w:r>
      <w:r w:rsidRPr="0079026C">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79026C" w:rsidR="00253343" w:rsidP="00253343" w:rsidRDefault="00253343" w14:paraId="394422E4" w14:textId="77777777">
      <w:pPr>
        <w:spacing w:line="360" w:lineRule="auto"/>
        <w:jc w:val="both"/>
        <w:rPr>
          <w:rFonts w:ascii="Palatino Linotype" w:hAnsi="Palatino Linotype" w:eastAsia="Calibri" w:cs="Tahoma"/>
          <w:sz w:val="22"/>
          <w:szCs w:val="22"/>
          <w:lang w:eastAsia="es-MX"/>
        </w:rPr>
      </w:pPr>
    </w:p>
    <w:p w:rsidRPr="0079026C" w:rsidR="00253343" w:rsidP="00253343" w:rsidRDefault="00F134F1" w14:paraId="05FB6A82" w14:textId="2B2B8C86">
      <w:pPr>
        <w:spacing w:line="360" w:lineRule="auto"/>
        <w:jc w:val="both"/>
        <w:rPr>
          <w:rFonts w:ascii="Palatino Linotype" w:hAnsi="Palatino Linotype" w:cs="Tahoma"/>
          <w:sz w:val="22"/>
          <w:szCs w:val="22"/>
        </w:rPr>
      </w:pPr>
      <w:r>
        <w:rPr>
          <w:rFonts w:ascii="Palatino Linotype" w:hAnsi="Palatino Linotype" w:eastAsia="Calibri" w:cs="Tahoma"/>
          <w:b/>
          <w:bCs/>
          <w:iCs/>
          <w:sz w:val="22"/>
          <w:szCs w:val="22"/>
          <w:lang w:val="es-ES"/>
        </w:rPr>
        <w:t>CUARTO</w:t>
      </w:r>
      <w:r w:rsidRPr="0079026C" w:rsidR="00253343">
        <w:rPr>
          <w:rFonts w:ascii="Palatino Linotype" w:hAnsi="Palatino Linotype" w:eastAsia="Calibri" w:cs="Tahoma"/>
          <w:bCs/>
          <w:iCs/>
          <w:sz w:val="22"/>
          <w:szCs w:val="22"/>
          <w:lang w:val="es-ES"/>
        </w:rPr>
        <w:t>.</w:t>
      </w:r>
      <w:r>
        <w:rPr>
          <w:rFonts w:ascii="Palatino Linotype" w:hAnsi="Palatino Linotype" w:eastAsia="Calibri" w:cs="Tahoma"/>
          <w:bCs/>
          <w:iCs/>
          <w:sz w:val="22"/>
          <w:szCs w:val="22"/>
          <w:lang w:val="es-ES"/>
        </w:rPr>
        <w:t xml:space="preserve"> </w:t>
      </w:r>
      <w:r w:rsidRPr="0079026C" w:rsidR="00253343">
        <w:rPr>
          <w:rFonts w:ascii="Palatino Linotype" w:hAnsi="Palatino Linotype" w:cs="Tahoma"/>
          <w:b/>
          <w:sz w:val="22"/>
          <w:szCs w:val="22"/>
        </w:rPr>
        <w:t>NOTIFÍQUESE</w:t>
      </w:r>
      <w:r w:rsidRPr="0079026C" w:rsidR="00253343">
        <w:rPr>
          <w:rFonts w:ascii="Palatino Linotype" w:hAnsi="Palatino Linotype" w:cs="Tahoma"/>
          <w:sz w:val="22"/>
          <w:szCs w:val="22"/>
        </w:rPr>
        <w:t xml:space="preserve"> a la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537DE0" w:rsidR="00253343" w:rsidP="00253343" w:rsidRDefault="00253343" w14:paraId="25207ADD" w14:textId="77777777">
      <w:pPr>
        <w:spacing w:line="360" w:lineRule="auto"/>
        <w:jc w:val="both"/>
        <w:rPr>
          <w:rFonts w:ascii="Palatino Linotype" w:hAnsi="Palatino Linotype"/>
          <w:sz w:val="22"/>
        </w:rPr>
      </w:pPr>
    </w:p>
    <w:p w:rsidRPr="00537DE0" w:rsidR="00253343" w:rsidP="00253343" w:rsidRDefault="00253343" w14:paraId="6A162CFA" w14:textId="4083B4A4">
      <w:pPr>
        <w:spacing w:line="360" w:lineRule="auto"/>
        <w:jc w:val="both"/>
        <w:rPr>
          <w:rFonts w:ascii="Palatino Linotype" w:hAnsi="Palatino Linotype" w:eastAsia="Calibri"/>
          <w:sz w:val="22"/>
        </w:rPr>
      </w:pPr>
      <w:r w:rsidRPr="00537DE0">
        <w:rPr>
          <w:rFonts w:ascii="Palatino Linotype" w:hAnsi="Palatino Linotype" w:eastAsia="Calibri"/>
          <w:sz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134F1">
        <w:rPr>
          <w:rFonts w:ascii="Palatino Linotype" w:hAnsi="Palatino Linotype" w:eastAsia="Calibri"/>
          <w:sz w:val="22"/>
        </w:rPr>
        <w:t>TRIGÉSIMA</w:t>
      </w:r>
      <w:r>
        <w:rPr>
          <w:rFonts w:ascii="Palatino Linotype" w:hAnsi="Palatino Linotype" w:eastAsia="Calibri"/>
          <w:sz w:val="22"/>
        </w:rPr>
        <w:t xml:space="preserve"> SESIÓN</w:t>
      </w:r>
      <w:r w:rsidRPr="00537DE0">
        <w:rPr>
          <w:rFonts w:ascii="Palatino Linotype" w:hAnsi="Palatino Linotype" w:eastAsia="Calibri"/>
          <w:sz w:val="22"/>
        </w:rPr>
        <w:t xml:space="preserve"> ORDINARIA, CELEBRADA EL</w:t>
      </w:r>
      <w:r>
        <w:rPr>
          <w:rFonts w:ascii="Palatino Linotype" w:hAnsi="Palatino Linotype" w:eastAsia="Calibri"/>
          <w:sz w:val="22"/>
        </w:rPr>
        <w:t xml:space="preserve"> </w:t>
      </w:r>
      <w:r w:rsidR="00F134F1">
        <w:rPr>
          <w:rFonts w:ascii="Palatino Linotype" w:hAnsi="Palatino Linotype" w:eastAsia="Calibri"/>
          <w:sz w:val="22"/>
        </w:rPr>
        <w:t>DIECISIETE</w:t>
      </w:r>
      <w:r>
        <w:rPr>
          <w:rFonts w:ascii="Palatino Linotype" w:hAnsi="Palatino Linotype" w:eastAsia="Calibri"/>
          <w:sz w:val="22"/>
        </w:rPr>
        <w:t xml:space="preserve"> AGOSTO DE </w:t>
      </w:r>
      <w:r w:rsidRPr="00537DE0">
        <w:rPr>
          <w:rFonts w:ascii="Palatino Linotype" w:hAnsi="Palatino Linotype" w:eastAsia="Calibri"/>
          <w:sz w:val="22"/>
        </w:rPr>
        <w:t>DOS MIL VEINTIDÓS, ANTE EL SECRETARIO TÉCNICO DEL PLENO, ALEXIS TAPIA RAMÍREZ.</w:t>
      </w:r>
    </w:p>
    <w:p w:rsidR="00AD73CD" w:rsidRDefault="00AD73CD" w14:paraId="4A55694D" w14:textId="7ADD3F7A">
      <w:pPr>
        <w:spacing w:after="160" w:line="259" w:lineRule="auto"/>
        <w:rPr>
          <w:rFonts w:ascii="Palatino Linotype" w:hAnsi="Palatino Linotype" w:eastAsia="Calibri"/>
          <w:sz w:val="22"/>
        </w:rPr>
      </w:pPr>
      <w:r>
        <w:rPr>
          <w:rFonts w:ascii="Palatino Linotype" w:hAnsi="Palatino Linotype" w:eastAsia="Calibri"/>
          <w:sz w:val="22"/>
        </w:rPr>
        <w:br w:type="page"/>
      </w:r>
    </w:p>
    <w:p w:rsidR="0025141D" w:rsidRDefault="0025141D" w14:paraId="14D91546" w14:textId="77777777"/>
    <w:sectPr w:rsidR="0025141D" w:rsidSect="006E763E">
      <w:headerReference w:type="even" r:id="rId9"/>
      <w:headerReference w:type="default" r:id="rId10"/>
      <w:footerReference w:type="default" r:id="rId11"/>
      <w:headerReference w:type="first" r:id="rId12"/>
      <w:footerReference w:type="first" r:id="rId13"/>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24866" w:rsidP="00E2138B" w:rsidRDefault="00924866" w14:paraId="2FC0E92B" w14:textId="77777777">
      <w:r>
        <w:separator/>
      </w:r>
    </w:p>
  </w:endnote>
  <w:endnote w:type="continuationSeparator" w:id="0">
    <w:p w:rsidR="00924866" w:rsidP="00E2138B" w:rsidRDefault="00924866" w14:paraId="0E04047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rsidR="006E763E" w:rsidRDefault="006E763E" w14:paraId="2DE9B0BF"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97718">
              <w:rPr>
                <w:b/>
                <w:bCs/>
                <w:noProof/>
              </w:rPr>
              <w:t>38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97718">
              <w:rPr>
                <w:b/>
                <w:bCs/>
                <w:noProof/>
              </w:rPr>
              <w:t>39</w:t>
            </w:r>
            <w:r>
              <w:rPr>
                <w:b/>
                <w:bCs/>
                <w:sz w:val="24"/>
                <w:szCs w:val="24"/>
              </w:rPr>
              <w:fldChar w:fldCharType="end"/>
            </w:r>
          </w:p>
        </w:sdtContent>
      </w:sdt>
    </w:sdtContent>
  </w:sdt>
  <w:p w:rsidR="006E763E" w:rsidRDefault="006E763E" w14:paraId="792E5A16"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763E" w:rsidRDefault="006E763E" w14:paraId="3900658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9771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97718">
      <w:rPr>
        <w:b/>
        <w:bCs/>
        <w:noProof/>
      </w:rPr>
      <w:t>39</w:t>
    </w:r>
    <w:r>
      <w:rPr>
        <w:b/>
        <w:bCs/>
        <w:sz w:val="24"/>
        <w:szCs w:val="24"/>
      </w:rPr>
      <w:fldChar w:fldCharType="end"/>
    </w:r>
  </w:p>
  <w:p w:rsidR="006E763E" w:rsidRDefault="006E763E" w14:paraId="5F443DD7"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24866" w:rsidP="00E2138B" w:rsidRDefault="00924866" w14:paraId="3BA13C62" w14:textId="77777777">
      <w:r>
        <w:separator/>
      </w:r>
    </w:p>
  </w:footnote>
  <w:footnote w:type="continuationSeparator" w:id="0">
    <w:p w:rsidR="00924866" w:rsidP="00E2138B" w:rsidRDefault="00924866" w14:paraId="2ACE50E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763E" w:rsidRDefault="00000000" w14:paraId="4585F3D8" w14:textId="77777777">
    <w:pPr>
      <w:pStyle w:val="Encabezado"/>
    </w:pPr>
    <w:r>
      <w:rPr>
        <w:noProof/>
        <w:lang w:eastAsia="es-MX"/>
      </w:rPr>
      <w:pict w14:anchorId="15D272A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7728;mso-position-horizontal:center;mso-position-horizontal-relative:margin;mso-position-vertical:center;mso-position-vertical-relative:margin" o:spid="_x0000_s1025"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356" w:type="dxa"/>
      <w:tblLayout w:type="fixed"/>
      <w:tblLook w:val="04A0" w:firstRow="1" w:lastRow="0" w:firstColumn="1" w:lastColumn="0" w:noHBand="0" w:noVBand="1"/>
    </w:tblPr>
    <w:tblGrid>
      <w:gridCol w:w="2127"/>
      <w:gridCol w:w="7229"/>
    </w:tblGrid>
    <w:tr w:rsidRPr="005C106F" w:rsidR="006E763E" w:rsidTr="006E763E" w14:paraId="6CA57461" w14:textId="77777777">
      <w:trPr>
        <w:trHeight w:val="1435"/>
      </w:trPr>
      <w:tc>
        <w:tcPr>
          <w:tcW w:w="2127" w:type="dxa"/>
          <w:shd w:val="clear" w:color="auto" w:fill="auto"/>
        </w:tcPr>
        <w:p w:rsidRPr="005C106F" w:rsidR="006E763E" w:rsidP="006E763E" w:rsidRDefault="006E763E" w14:paraId="7A1AD7D7" w14:textId="77777777">
          <w:pPr>
            <w:tabs>
              <w:tab w:val="right" w:pos="4273"/>
            </w:tabs>
            <w:rPr>
              <w:rFonts w:ascii="Garamond" w:hAnsi="Garamond" w:eastAsia="Calibri"/>
              <w:sz w:val="16"/>
              <w:szCs w:val="16"/>
              <w:lang w:eastAsia="en-US"/>
            </w:rPr>
          </w:pPr>
          <w:r>
            <w:rPr>
              <w:rFonts w:ascii="Garamond" w:hAnsi="Garamond" w:eastAsia="Calibri"/>
              <w:noProof/>
              <w:sz w:val="16"/>
              <w:szCs w:val="16"/>
              <w:lang w:eastAsia="es-MX"/>
            </w:rPr>
            <w:drawing>
              <wp:anchor distT="0" distB="0" distL="114300" distR="114300" simplePos="0" relativeHeight="251657728" behindDoc="1" locked="0" layoutInCell="0" allowOverlap="1" wp14:anchorId="5F1D0045" wp14:editId="76A03DA4">
                <wp:simplePos x="0" y="0"/>
                <wp:positionH relativeFrom="page">
                  <wp:posOffset>-1008380</wp:posOffset>
                </wp:positionH>
                <wp:positionV relativeFrom="page">
                  <wp:posOffset>-445770</wp:posOffset>
                </wp:positionV>
                <wp:extent cx="8426450" cy="10972800"/>
                <wp:effectExtent l="0" t="0" r="0" b="0"/>
                <wp:wrapNone/>
                <wp:docPr id="4" name="Imagen 4" descr="MARCA DE AGUA - HOJA 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CA DE AGUA - HOJA RESOLUCIÓ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7229" w:type="dxa"/>
          <w:shd w:val="clear" w:color="auto" w:fill="auto"/>
        </w:tcPr>
        <w:tbl>
          <w:tblPr>
            <w:tblStyle w:val="Tablaconcuadrcula"/>
            <w:tblW w:w="5954" w:type="dxa"/>
            <w:tblInd w:w="13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2"/>
            <w:gridCol w:w="3402"/>
          </w:tblGrid>
          <w:tr w:rsidR="006E763E" w:rsidTr="006E763E" w14:paraId="699C0FFC" w14:textId="77777777">
            <w:trPr>
              <w:trHeight w:val="144"/>
            </w:trPr>
            <w:tc>
              <w:tcPr>
                <w:tcW w:w="2552" w:type="dxa"/>
              </w:tcPr>
              <w:p w:rsidRPr="00431A70" w:rsidR="006E763E" w:rsidP="006E763E" w:rsidRDefault="006E763E" w14:paraId="72D74A63"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402" w:type="dxa"/>
              </w:tcPr>
              <w:p w:rsidRPr="00431A70" w:rsidR="006E763E" w:rsidP="006E763E" w:rsidRDefault="006E763E" w14:paraId="484DBEC3" w14:textId="1004E2C5">
                <w:pPr>
                  <w:tabs>
                    <w:tab w:val="right" w:pos="8838"/>
                  </w:tabs>
                  <w:ind w:left="-28" w:right="-102"/>
                  <w:jc w:val="both"/>
                  <w:rPr>
                    <w:rFonts w:ascii="Palatino Linotype" w:hAnsi="Palatino Linotype" w:eastAsia="Calibri" w:cs="Tahoma"/>
                    <w:b/>
                    <w:bCs/>
                    <w:sz w:val="22"/>
                    <w:szCs w:val="22"/>
                    <w:lang w:eastAsia="en-US"/>
                  </w:rPr>
                </w:pPr>
                <w:r>
                  <w:rPr>
                    <w:rFonts w:ascii="Palatino Linotype" w:hAnsi="Palatino Linotype" w:eastAsia="Calibri" w:cs="Tahoma"/>
                    <w:sz w:val="22"/>
                    <w:szCs w:val="22"/>
                    <w:lang w:val="es-MX" w:eastAsia="en-US"/>
                  </w:rPr>
                  <w:t xml:space="preserve"> </w:t>
                </w:r>
                <w:r w:rsidRPr="00B810D4">
                  <w:rPr>
                    <w:rFonts w:ascii="Palatino Linotype" w:hAnsi="Palatino Linotype" w:eastAsia="Calibri" w:cs="Tahoma"/>
                    <w:sz w:val="22"/>
                    <w:szCs w:val="22"/>
                    <w:lang w:val="es-MX" w:eastAsia="en-US"/>
                  </w:rPr>
                  <w:t>0</w:t>
                </w:r>
                <w:r>
                  <w:rPr>
                    <w:rFonts w:ascii="Palatino Linotype" w:hAnsi="Palatino Linotype" w:eastAsia="Calibri" w:cs="Tahoma"/>
                    <w:sz w:val="22"/>
                    <w:szCs w:val="22"/>
                    <w:lang w:val="es-MX" w:eastAsia="en-US"/>
                  </w:rPr>
                  <w:t>11236</w:t>
                </w:r>
                <w:r w:rsidRPr="00B810D4">
                  <w:rPr>
                    <w:rFonts w:ascii="Palatino Linotype" w:hAnsi="Palatino Linotype" w:eastAsia="Calibri" w:cs="Tahoma"/>
                    <w:sz w:val="22"/>
                    <w:szCs w:val="22"/>
                    <w:lang w:val="es-MX" w:eastAsia="en-US"/>
                  </w:rPr>
                  <w:t xml:space="preserve">/INFOEM/IP/RR/2022 </w:t>
                </w:r>
              </w:p>
            </w:tc>
          </w:tr>
          <w:tr w:rsidR="006E763E" w:rsidTr="006E763E" w14:paraId="5A574F7A" w14:textId="77777777">
            <w:trPr>
              <w:trHeight w:val="80"/>
            </w:trPr>
            <w:tc>
              <w:tcPr>
                <w:tcW w:w="2552" w:type="dxa"/>
              </w:tcPr>
              <w:p w:rsidRPr="00431A70" w:rsidR="006E763E" w:rsidP="006E763E" w:rsidRDefault="006E763E" w14:paraId="231E2BE3"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402" w:type="dxa"/>
              </w:tcPr>
              <w:p w:rsidRPr="00431A70" w:rsidR="006E763E" w:rsidP="006E763E" w:rsidRDefault="006E763E" w14:paraId="5786682C" w14:textId="77777777">
                <w:pPr>
                  <w:tabs>
                    <w:tab w:val="left" w:pos="2834"/>
                    <w:tab w:val="right" w:pos="8838"/>
                  </w:tabs>
                  <w:ind w:right="323"/>
                  <w:jc w:val="both"/>
                  <w:rPr>
                    <w:rFonts w:ascii="Palatino Linotype" w:hAnsi="Palatino Linotype" w:eastAsia="Calibri" w:cs="Tahoma"/>
                    <w:b/>
                    <w:sz w:val="22"/>
                    <w:szCs w:val="22"/>
                    <w:lang w:eastAsia="en-US"/>
                  </w:rPr>
                </w:pPr>
                <w:r>
                  <w:rPr>
                    <w:rFonts w:ascii="Palatino Linotype" w:hAnsi="Palatino Linotype" w:eastAsia="Calibri" w:cs="Tahoma"/>
                    <w:bCs/>
                    <w:sz w:val="22"/>
                    <w:szCs w:val="22"/>
                    <w:lang w:val="es-MX" w:eastAsia="en-US"/>
                  </w:rPr>
                  <w:t>Ayuntamiento</w:t>
                </w:r>
                <w:r w:rsidRPr="00B810D4">
                  <w:rPr>
                    <w:rFonts w:ascii="Palatino Linotype" w:hAnsi="Palatino Linotype" w:eastAsia="Calibri" w:cs="Tahoma"/>
                    <w:bCs/>
                    <w:sz w:val="22"/>
                    <w:szCs w:val="22"/>
                    <w:lang w:val="es-MX" w:eastAsia="en-US"/>
                  </w:rPr>
                  <w:t xml:space="preserve"> de Metepec</w:t>
                </w:r>
              </w:p>
            </w:tc>
          </w:tr>
          <w:tr w:rsidR="006E763E" w:rsidTr="006E763E" w14:paraId="61418AAC" w14:textId="77777777">
            <w:trPr>
              <w:trHeight w:val="283"/>
            </w:trPr>
            <w:tc>
              <w:tcPr>
                <w:tcW w:w="2552" w:type="dxa"/>
              </w:tcPr>
              <w:p w:rsidRPr="00431A70" w:rsidR="006E763E" w:rsidP="006E763E" w:rsidRDefault="006E763E" w14:paraId="6290DFF2"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402" w:type="dxa"/>
              </w:tcPr>
              <w:p w:rsidR="006E763E" w:rsidP="006E763E" w:rsidRDefault="006E763E" w14:paraId="6AEC44F1" w14:textId="77777777">
                <w:pPr>
                  <w:tabs>
                    <w:tab w:val="right" w:pos="8838"/>
                  </w:tabs>
                  <w:ind w:right="171"/>
                  <w:jc w:val="both"/>
                  <w:rPr>
                    <w:rFonts w:ascii="Palatino Linotype" w:hAnsi="Palatino Linotype" w:eastAsia="Calibri" w:cs="Tahoma"/>
                    <w:sz w:val="22"/>
                    <w:szCs w:val="22"/>
                    <w:lang w:eastAsia="en-US"/>
                  </w:rPr>
                </w:pPr>
                <w:r w:rsidRPr="00431A70">
                  <w:rPr>
                    <w:rFonts w:ascii="Palatino Linotype" w:hAnsi="Palatino Linotype" w:eastAsia="Calibri" w:cs="Tahoma"/>
                    <w:sz w:val="22"/>
                    <w:szCs w:val="22"/>
                    <w:lang w:eastAsia="en-US"/>
                  </w:rPr>
                  <w:t>Luis Gustavo Parra Noriega</w:t>
                </w:r>
              </w:p>
              <w:p w:rsidRPr="00431A70" w:rsidR="006E763E" w:rsidP="006E763E" w:rsidRDefault="006E763E" w14:paraId="051DBF53" w14:textId="77777777">
                <w:pPr>
                  <w:tabs>
                    <w:tab w:val="right" w:pos="8838"/>
                  </w:tabs>
                  <w:ind w:right="171"/>
                  <w:jc w:val="both"/>
                  <w:rPr>
                    <w:rFonts w:ascii="Palatino Linotype" w:hAnsi="Palatino Linotype" w:eastAsia="Calibri" w:cs="Tahoma"/>
                    <w:b/>
                    <w:sz w:val="22"/>
                    <w:szCs w:val="22"/>
                    <w:lang w:eastAsia="en-US"/>
                  </w:rPr>
                </w:pPr>
              </w:p>
            </w:tc>
          </w:tr>
        </w:tbl>
        <w:p w:rsidRPr="005C106F" w:rsidR="006E763E" w:rsidP="006E763E" w:rsidRDefault="006E763E" w14:paraId="2A71D92E" w14:textId="77777777">
          <w:pPr>
            <w:tabs>
              <w:tab w:val="right" w:pos="8838"/>
            </w:tabs>
            <w:ind w:left="-28"/>
            <w:jc w:val="both"/>
            <w:rPr>
              <w:rFonts w:ascii="Arial" w:hAnsi="Arial" w:eastAsia="Calibri" w:cs="Arial"/>
              <w:b/>
              <w:sz w:val="22"/>
              <w:szCs w:val="22"/>
              <w:lang w:eastAsia="en-US"/>
            </w:rPr>
          </w:pPr>
        </w:p>
      </w:tc>
    </w:tr>
  </w:tbl>
  <w:p w:rsidRPr="00443C6B" w:rsidR="006E763E" w:rsidP="006E763E" w:rsidRDefault="006E763E" w14:paraId="226E8FB2" w14:textId="7777777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356" w:type="dxa"/>
      <w:tblLayout w:type="fixed"/>
      <w:tblLook w:val="04A0" w:firstRow="1" w:lastRow="0" w:firstColumn="1" w:lastColumn="0" w:noHBand="0" w:noVBand="1"/>
    </w:tblPr>
    <w:tblGrid>
      <w:gridCol w:w="1985"/>
      <w:gridCol w:w="7371"/>
    </w:tblGrid>
    <w:tr w:rsidRPr="00330DA7" w:rsidR="006E763E" w:rsidTr="0F8AA77C" w14:paraId="297AD4F0" w14:textId="77777777">
      <w:trPr>
        <w:trHeight w:val="1435"/>
      </w:trPr>
      <w:tc>
        <w:tcPr>
          <w:tcW w:w="1985" w:type="dxa"/>
          <w:shd w:val="clear" w:color="auto" w:fill="auto"/>
          <w:tcMar/>
        </w:tcPr>
        <w:p w:rsidRPr="00330DA7" w:rsidR="006E763E" w:rsidP="006E763E" w:rsidRDefault="006E763E" w14:paraId="5FAB6F7F" w14:textId="77777777">
          <w:pPr>
            <w:tabs>
              <w:tab w:val="right" w:pos="4273"/>
            </w:tabs>
            <w:rPr>
              <w:rFonts w:ascii="Garamond" w:hAnsi="Garamond" w:eastAsia="Calibri"/>
              <w:sz w:val="22"/>
              <w:szCs w:val="22"/>
              <w:lang w:eastAsia="en-US"/>
            </w:rPr>
          </w:pPr>
        </w:p>
      </w:tc>
      <w:tc>
        <w:tcPr>
          <w:tcW w:w="7371" w:type="dxa"/>
          <w:shd w:val="clear" w:color="auto" w:fill="auto"/>
          <w:tcMar/>
        </w:tcPr>
        <w:tbl>
          <w:tblPr>
            <w:tblStyle w:val="Tablaconcuadrcula"/>
            <w:tblW w:w="6935" w:type="dxa"/>
            <w:tblInd w:w="3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3816"/>
            <w:gridCol w:w="3119"/>
          </w:tblGrid>
          <w:tr w:rsidRPr="00431A70" w:rsidR="006E763E" w:rsidTr="0F8AA77C" w14:paraId="44C7A4E5" w14:textId="77777777">
            <w:trPr>
              <w:trHeight w:val="144"/>
            </w:trPr>
            <w:tc>
              <w:tcPr>
                <w:tcW w:w="3816" w:type="dxa"/>
                <w:tcMar/>
              </w:tcPr>
              <w:p w:rsidRPr="00431A70" w:rsidR="006E763E" w:rsidP="006E763E" w:rsidRDefault="006E763E" w14:paraId="4EE150C7"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119" w:type="dxa"/>
                <w:tcMar/>
              </w:tcPr>
              <w:p w:rsidRPr="00B810D4" w:rsidR="006E763E" w:rsidP="006E763E" w:rsidRDefault="006E763E" w14:paraId="34E4B384" w14:textId="08C723B4">
                <w:pPr>
                  <w:tabs>
                    <w:tab w:val="right" w:pos="8838"/>
                  </w:tabs>
                  <w:ind w:left="-74" w:right="-105"/>
                  <w:jc w:val="both"/>
                  <w:rPr>
                    <w:rFonts w:ascii="Palatino Linotype" w:hAnsi="Palatino Linotype" w:eastAsia="Calibri" w:cs="Tahoma"/>
                    <w:sz w:val="22"/>
                    <w:szCs w:val="22"/>
                    <w:lang w:eastAsia="en-US"/>
                  </w:rPr>
                </w:pPr>
                <w:r w:rsidRPr="00B810D4">
                  <w:rPr>
                    <w:rFonts w:ascii="Palatino Linotype" w:hAnsi="Palatino Linotype" w:eastAsia="Calibri" w:cs="Tahoma"/>
                    <w:sz w:val="22"/>
                    <w:szCs w:val="22"/>
                    <w:lang w:eastAsia="en-US"/>
                  </w:rPr>
                  <w:t>0</w:t>
                </w:r>
                <w:r>
                  <w:rPr>
                    <w:rFonts w:ascii="Palatino Linotype" w:hAnsi="Palatino Linotype" w:eastAsia="Calibri" w:cs="Tahoma"/>
                    <w:sz w:val="22"/>
                    <w:szCs w:val="22"/>
                    <w:lang w:eastAsia="en-US"/>
                  </w:rPr>
                  <w:t>11236</w:t>
                </w:r>
                <w:r w:rsidRPr="00B810D4">
                  <w:rPr>
                    <w:rFonts w:ascii="Palatino Linotype" w:hAnsi="Palatino Linotype" w:eastAsia="Calibri" w:cs="Tahoma"/>
                    <w:sz w:val="22"/>
                    <w:szCs w:val="22"/>
                    <w:lang w:eastAsia="en-US"/>
                  </w:rPr>
                  <w:t>/INFOEM/IP/RR/2022</w:t>
                </w:r>
              </w:p>
            </w:tc>
          </w:tr>
          <w:tr w:rsidRPr="00431A70" w:rsidR="006E763E" w:rsidTr="0F8AA77C" w14:paraId="21C2D506" w14:textId="77777777">
            <w:trPr>
              <w:trHeight w:val="144"/>
            </w:trPr>
            <w:tc>
              <w:tcPr>
                <w:tcW w:w="3816" w:type="dxa"/>
                <w:tcMar/>
              </w:tcPr>
              <w:p w:rsidRPr="00431A70" w:rsidR="006E763E" w:rsidP="006E763E" w:rsidRDefault="006E763E" w14:paraId="3A0DCC25"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119" w:type="dxa"/>
                <w:tcMar/>
              </w:tcPr>
              <w:p w:rsidRPr="00B810D4" w:rsidR="006E763E" w:rsidP="006E763E" w:rsidRDefault="006E763E" w14:paraId="3E5D70F2" w14:textId="3158F421">
                <w:pPr>
                  <w:tabs>
                    <w:tab w:val="left" w:pos="3122"/>
                    <w:tab w:val="right" w:pos="8838"/>
                  </w:tabs>
                  <w:ind w:left="-74" w:right="-105"/>
                  <w:jc w:val="both"/>
                  <w:rPr>
                    <w:rFonts w:ascii="Palatino Linotype" w:hAnsi="Palatino Linotype" w:eastAsia="Calibri" w:cs="Tahoma"/>
                    <w:sz w:val="22"/>
                    <w:szCs w:val="22"/>
                    <w:lang w:eastAsia="en-US"/>
                  </w:rPr>
                </w:pPr>
                <w:r w:rsidRPr="0F8AA77C" w:rsidR="0F8AA77C">
                  <w:rPr>
                    <w:rFonts w:ascii="Palatino Linotype" w:hAnsi="Palatino Linotype" w:eastAsia="Calibri" w:cs="Tahoma"/>
                    <w:sz w:val="22"/>
                    <w:szCs w:val="22"/>
                    <w:highlight w:val="black"/>
                    <w:lang w:eastAsia="en-US"/>
                  </w:rPr>
                  <w:t>XXXX</w:t>
                </w:r>
              </w:p>
            </w:tc>
          </w:tr>
          <w:tr w:rsidRPr="000578D3" w:rsidR="006E763E" w:rsidTr="0F8AA77C" w14:paraId="11B76C0B" w14:textId="77777777">
            <w:trPr>
              <w:trHeight w:val="283"/>
            </w:trPr>
            <w:tc>
              <w:tcPr>
                <w:tcW w:w="3816" w:type="dxa"/>
                <w:tcMar/>
              </w:tcPr>
              <w:p w:rsidRPr="00431A70" w:rsidR="006E763E" w:rsidP="006E763E" w:rsidRDefault="006E763E" w14:paraId="4A730A3D"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119" w:type="dxa"/>
                <w:tcMar/>
              </w:tcPr>
              <w:p w:rsidRPr="00B810D4" w:rsidR="006E763E" w:rsidP="006E763E" w:rsidRDefault="006E763E" w14:paraId="3A5CB5CE" w14:textId="77777777">
                <w:pPr>
                  <w:tabs>
                    <w:tab w:val="left" w:pos="2834"/>
                    <w:tab w:val="right" w:pos="8838"/>
                  </w:tabs>
                  <w:ind w:left="-74" w:right="-105"/>
                  <w:jc w:val="both"/>
                  <w:rPr>
                    <w:rFonts w:ascii="Palatino Linotype" w:hAnsi="Palatino Linotype" w:eastAsia="Calibri" w:cs="Tahoma"/>
                    <w:sz w:val="22"/>
                    <w:szCs w:val="22"/>
                    <w:lang w:eastAsia="en-US"/>
                  </w:rPr>
                </w:pPr>
                <w:r>
                  <w:rPr>
                    <w:rFonts w:ascii="Palatino Linotype" w:hAnsi="Palatino Linotype"/>
                    <w:bCs/>
                    <w:color w:val="000000"/>
                    <w:sz w:val="22"/>
                    <w:szCs w:val="22"/>
                  </w:rPr>
                  <w:t>Ayuntamiento</w:t>
                </w:r>
                <w:r w:rsidRPr="00B810D4">
                  <w:rPr>
                    <w:rFonts w:ascii="Palatino Linotype" w:hAnsi="Palatino Linotype"/>
                    <w:bCs/>
                    <w:color w:val="000000"/>
                    <w:sz w:val="22"/>
                    <w:szCs w:val="22"/>
                  </w:rPr>
                  <w:t xml:space="preserve"> de Metepec</w:t>
                </w:r>
              </w:p>
            </w:tc>
          </w:tr>
          <w:tr w:rsidRPr="00431A70" w:rsidR="006E763E" w:rsidTr="0F8AA77C" w14:paraId="1327BF14" w14:textId="77777777">
            <w:trPr>
              <w:trHeight w:val="283"/>
            </w:trPr>
            <w:tc>
              <w:tcPr>
                <w:tcW w:w="3816" w:type="dxa"/>
                <w:tcMar/>
              </w:tcPr>
              <w:p w:rsidRPr="00431A70" w:rsidR="006E763E" w:rsidP="006E763E" w:rsidRDefault="006E763E" w14:paraId="44B88B0F"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119" w:type="dxa"/>
                <w:tcMar/>
              </w:tcPr>
              <w:p w:rsidRPr="00B810D4" w:rsidR="006E763E" w:rsidP="006E763E" w:rsidRDefault="006E763E" w14:paraId="76BB869A" w14:textId="77777777">
                <w:pPr>
                  <w:tabs>
                    <w:tab w:val="right" w:pos="8838"/>
                  </w:tabs>
                  <w:ind w:left="-74" w:right="-105"/>
                  <w:jc w:val="both"/>
                  <w:rPr>
                    <w:rFonts w:ascii="Palatino Linotype" w:hAnsi="Palatino Linotype" w:eastAsia="Calibri" w:cs="Tahoma"/>
                    <w:sz w:val="22"/>
                    <w:szCs w:val="22"/>
                    <w:lang w:eastAsia="en-US"/>
                  </w:rPr>
                </w:pPr>
                <w:r w:rsidRPr="00B810D4">
                  <w:rPr>
                    <w:rFonts w:ascii="Palatino Linotype" w:hAnsi="Palatino Linotype" w:eastAsia="Calibri" w:cs="Tahoma"/>
                    <w:sz w:val="22"/>
                    <w:szCs w:val="22"/>
                    <w:lang w:eastAsia="en-US"/>
                  </w:rPr>
                  <w:t>Luis Gustavo Parra Noriega</w:t>
                </w:r>
              </w:p>
            </w:tc>
          </w:tr>
        </w:tbl>
        <w:p w:rsidRPr="00330DA7" w:rsidR="006E763E" w:rsidP="006E763E" w:rsidRDefault="006E763E" w14:paraId="76DA22ED" w14:textId="77777777">
          <w:pPr>
            <w:tabs>
              <w:tab w:val="right" w:pos="8838"/>
            </w:tabs>
            <w:ind w:left="-28"/>
            <w:jc w:val="both"/>
            <w:rPr>
              <w:rFonts w:ascii="Arial" w:hAnsi="Arial" w:eastAsia="Calibri" w:cs="Arial"/>
              <w:b/>
              <w:sz w:val="22"/>
              <w:szCs w:val="22"/>
              <w:lang w:eastAsia="en-US"/>
            </w:rPr>
          </w:pPr>
        </w:p>
      </w:tc>
    </w:tr>
  </w:tbl>
  <w:p w:rsidRPr="00330DA7" w:rsidR="006E763E" w:rsidP="006E763E" w:rsidRDefault="006E763E" w14:paraId="6847B1F5" w14:textId="77777777">
    <w:pPr>
      <w:pStyle w:val="Encabezado"/>
      <w:rPr>
        <w:sz w:val="22"/>
        <w:szCs w:val="22"/>
      </w:rPr>
    </w:pPr>
    <w:r>
      <w:rPr>
        <w:rFonts w:ascii="Garamond" w:hAnsi="Garamond" w:eastAsia="Calibri"/>
        <w:noProof/>
        <w:sz w:val="16"/>
        <w:szCs w:val="16"/>
        <w:lang w:eastAsia="es-MX"/>
      </w:rPr>
      <w:drawing>
        <wp:anchor distT="0" distB="0" distL="114300" distR="114300" simplePos="0" relativeHeight="251656704" behindDoc="1" locked="0" layoutInCell="0" allowOverlap="1" wp14:anchorId="7C69AFF7" wp14:editId="7D908C70">
          <wp:simplePos x="0" y="0"/>
          <wp:positionH relativeFrom="page">
            <wp:posOffset>-164465</wp:posOffset>
          </wp:positionH>
          <wp:positionV relativeFrom="page">
            <wp:posOffset>-55245</wp:posOffset>
          </wp:positionV>
          <wp:extent cx="8426450" cy="10972800"/>
          <wp:effectExtent l="0" t="0" r="0" b="0"/>
          <wp:wrapNone/>
          <wp:docPr id="17" name="Imagen 17" descr="MARCA DE AGUA - HOJA 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CA DE AGUA - HOJA RESOLUCIÓ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6E7D"/>
    <w:multiLevelType w:val="hybridMultilevel"/>
    <w:tmpl w:val="D78A62DC"/>
    <w:lvl w:ilvl="0" w:tplc="8FF415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9470C43"/>
    <w:multiLevelType w:val="hybridMultilevel"/>
    <w:tmpl w:val="D5E2B79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9CB6C09"/>
    <w:multiLevelType w:val="hybridMultilevel"/>
    <w:tmpl w:val="D01C426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195465C8"/>
    <w:multiLevelType w:val="hybridMultilevel"/>
    <w:tmpl w:val="E7FAFC2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27896E44"/>
    <w:multiLevelType w:val="hybridMultilevel"/>
    <w:tmpl w:val="FA18237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6" w15:restartNumberingAfterBreak="0">
    <w:nsid w:val="29F96031"/>
    <w:multiLevelType w:val="hybridMultilevel"/>
    <w:tmpl w:val="7408E2D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2D344E2F"/>
    <w:multiLevelType w:val="hybridMultilevel"/>
    <w:tmpl w:val="7E88871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30BA7E48"/>
    <w:multiLevelType w:val="hybridMultilevel"/>
    <w:tmpl w:val="CD1E71B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3AAF1113"/>
    <w:multiLevelType w:val="hybridMultilevel"/>
    <w:tmpl w:val="F6362BA6"/>
    <w:lvl w:ilvl="0" w:tplc="00BEF1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497548EC"/>
    <w:multiLevelType w:val="hybridMultilevel"/>
    <w:tmpl w:val="9A344AF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C0D1D37"/>
    <w:multiLevelType w:val="hybridMultilevel"/>
    <w:tmpl w:val="C2D4F6E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640015F8"/>
    <w:multiLevelType w:val="hybridMultilevel"/>
    <w:tmpl w:val="199CFAF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653A1E77"/>
    <w:multiLevelType w:val="hybridMultilevel"/>
    <w:tmpl w:val="D98ED94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7"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7E196450"/>
    <w:multiLevelType w:val="hybridMultilevel"/>
    <w:tmpl w:val="28A4AA6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563981912">
    <w:abstractNumId w:val="0"/>
  </w:num>
  <w:num w:numId="2" w16cid:durableId="954404640">
    <w:abstractNumId w:val="9"/>
  </w:num>
  <w:num w:numId="3" w16cid:durableId="1449814922">
    <w:abstractNumId w:val="7"/>
  </w:num>
  <w:num w:numId="4" w16cid:durableId="702442286">
    <w:abstractNumId w:val="5"/>
  </w:num>
  <w:num w:numId="5" w16cid:durableId="81150667">
    <w:abstractNumId w:val="16"/>
  </w:num>
  <w:num w:numId="6" w16cid:durableId="1514611228">
    <w:abstractNumId w:val="15"/>
  </w:num>
  <w:num w:numId="7" w16cid:durableId="1781878459">
    <w:abstractNumId w:val="14"/>
  </w:num>
  <w:num w:numId="8" w16cid:durableId="84806305">
    <w:abstractNumId w:val="3"/>
  </w:num>
  <w:num w:numId="9" w16cid:durableId="1738625569">
    <w:abstractNumId w:val="10"/>
  </w:num>
  <w:num w:numId="10" w16cid:durableId="853805453">
    <w:abstractNumId w:val="13"/>
  </w:num>
  <w:num w:numId="11" w16cid:durableId="1901398282">
    <w:abstractNumId w:val="1"/>
  </w:num>
  <w:num w:numId="12" w16cid:durableId="1381057102">
    <w:abstractNumId w:val="6"/>
  </w:num>
  <w:num w:numId="13" w16cid:durableId="1143428895">
    <w:abstractNumId w:val="2"/>
  </w:num>
  <w:num w:numId="14" w16cid:durableId="1765104663">
    <w:abstractNumId w:val="4"/>
  </w:num>
  <w:num w:numId="15" w16cid:durableId="66728316">
    <w:abstractNumId w:val="17"/>
  </w:num>
  <w:num w:numId="16" w16cid:durableId="2088377659">
    <w:abstractNumId w:val="12"/>
  </w:num>
  <w:num w:numId="17" w16cid:durableId="846748605">
    <w:abstractNumId w:val="8"/>
  </w:num>
  <w:num w:numId="18" w16cid:durableId="403182097">
    <w:abstractNumId w:val="18"/>
  </w:num>
  <w:num w:numId="19" w16cid:durableId="955020015">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343"/>
    <w:rsid w:val="00010D03"/>
    <w:rsid w:val="00032FCC"/>
    <w:rsid w:val="00073F89"/>
    <w:rsid w:val="00097718"/>
    <w:rsid w:val="000A6BB5"/>
    <w:rsid w:val="001962FA"/>
    <w:rsid w:val="001A7ABD"/>
    <w:rsid w:val="00233A28"/>
    <w:rsid w:val="0025141D"/>
    <w:rsid w:val="00253343"/>
    <w:rsid w:val="00295A07"/>
    <w:rsid w:val="002B1811"/>
    <w:rsid w:val="00357F61"/>
    <w:rsid w:val="003B2FA9"/>
    <w:rsid w:val="003B411A"/>
    <w:rsid w:val="003E7147"/>
    <w:rsid w:val="00414CEC"/>
    <w:rsid w:val="0045099B"/>
    <w:rsid w:val="00464311"/>
    <w:rsid w:val="0049370B"/>
    <w:rsid w:val="0057048F"/>
    <w:rsid w:val="005C4D41"/>
    <w:rsid w:val="00650235"/>
    <w:rsid w:val="00676B9B"/>
    <w:rsid w:val="006D77DF"/>
    <w:rsid w:val="006E763E"/>
    <w:rsid w:val="006F18D3"/>
    <w:rsid w:val="00713FDE"/>
    <w:rsid w:val="0073408A"/>
    <w:rsid w:val="007D0EFC"/>
    <w:rsid w:val="007D2815"/>
    <w:rsid w:val="007E0539"/>
    <w:rsid w:val="007F3B13"/>
    <w:rsid w:val="008166BF"/>
    <w:rsid w:val="00831033"/>
    <w:rsid w:val="00847A10"/>
    <w:rsid w:val="008F514A"/>
    <w:rsid w:val="00906ED6"/>
    <w:rsid w:val="00924866"/>
    <w:rsid w:val="00925107"/>
    <w:rsid w:val="0094164F"/>
    <w:rsid w:val="009924DF"/>
    <w:rsid w:val="009F6F88"/>
    <w:rsid w:val="00A11875"/>
    <w:rsid w:val="00A14093"/>
    <w:rsid w:val="00A22292"/>
    <w:rsid w:val="00A34355"/>
    <w:rsid w:val="00AD73CD"/>
    <w:rsid w:val="00B0720C"/>
    <w:rsid w:val="00B81E97"/>
    <w:rsid w:val="00B8794B"/>
    <w:rsid w:val="00BD3E0B"/>
    <w:rsid w:val="00C50C6D"/>
    <w:rsid w:val="00C649A8"/>
    <w:rsid w:val="00C70396"/>
    <w:rsid w:val="00CA43E7"/>
    <w:rsid w:val="00D2343C"/>
    <w:rsid w:val="00D2634C"/>
    <w:rsid w:val="00DB111D"/>
    <w:rsid w:val="00DC1D1B"/>
    <w:rsid w:val="00DD7F51"/>
    <w:rsid w:val="00E027ED"/>
    <w:rsid w:val="00E2138B"/>
    <w:rsid w:val="00ED6C24"/>
    <w:rsid w:val="00F134F1"/>
    <w:rsid w:val="00FD25F8"/>
    <w:rsid w:val="0F8AA7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43FEE"/>
  <w15:chartTrackingRefBased/>
  <w15:docId w15:val="{AB8E1AF8-CBA3-4B66-8637-847CDD36828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53343"/>
    <w:pPr>
      <w:spacing w:after="0" w:line="240" w:lineRule="auto"/>
    </w:pPr>
    <w:rPr>
      <w:rFonts w:ascii="Times New Roman" w:hAnsi="Times New Roman" w:eastAsia="Times New Roman" w:cs="Times New Roman"/>
      <w:sz w:val="20"/>
      <w:szCs w:val="20"/>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253343"/>
    <w:pPr>
      <w:tabs>
        <w:tab w:val="center" w:pos="4419"/>
        <w:tab w:val="right" w:pos="8838"/>
      </w:tabs>
    </w:pPr>
  </w:style>
  <w:style w:type="character" w:styleId="EncabezadoCar" w:customStyle="1">
    <w:name w:val="Encabezado Car"/>
    <w:basedOn w:val="Fuentedeprrafopredeter"/>
    <w:link w:val="Encabezado"/>
    <w:uiPriority w:val="99"/>
    <w:rsid w:val="00253343"/>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253343"/>
    <w:pPr>
      <w:tabs>
        <w:tab w:val="center" w:pos="4419"/>
        <w:tab w:val="right" w:pos="8838"/>
      </w:tabs>
    </w:pPr>
  </w:style>
  <w:style w:type="character" w:styleId="PiedepginaCar" w:customStyle="1">
    <w:name w:val="Pie de página Car"/>
    <w:basedOn w:val="Fuentedeprrafopredeter"/>
    <w:link w:val="Piedepgina"/>
    <w:uiPriority w:val="99"/>
    <w:rsid w:val="00253343"/>
    <w:rPr>
      <w:rFonts w:ascii="Times New Roman" w:hAnsi="Times New Roman" w:eastAsia="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3343"/>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253343"/>
    <w:rPr>
      <w:rFonts w:ascii="Century Gothic" w:hAnsi="Century Gothic" w:eastAsia="Times New Roman" w:cs="Times New Roman"/>
      <w:szCs w:val="24"/>
      <w:lang w:eastAsia="es-ES"/>
    </w:rPr>
  </w:style>
  <w:style w:type="table" w:styleId="Tablaconcuadrcula">
    <w:name w:val="Table Grid"/>
    <w:basedOn w:val="Tablanormal"/>
    <w:uiPriority w:val="39"/>
    <w:rsid w:val="00253343"/>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253343"/>
    <w:pPr>
      <w:spacing w:before="100" w:beforeAutospacing="1" w:after="100" w:afterAutospacing="1"/>
    </w:pPr>
    <w:rPr>
      <w:sz w:val="24"/>
      <w:szCs w:val="24"/>
      <w:lang w:eastAsia="es-MX"/>
    </w:rPr>
  </w:style>
  <w:style w:type="character" w:styleId="normaltextrun" w:customStyle="1">
    <w:name w:val="normaltextrun"/>
    <w:basedOn w:val="Fuentedeprrafopredeter"/>
    <w:rsid w:val="00253343"/>
  </w:style>
  <w:style w:type="character" w:styleId="eop" w:customStyle="1">
    <w:name w:val="eop"/>
    <w:basedOn w:val="Fuentedeprrafopredeter"/>
    <w:rsid w:val="00253343"/>
  </w:style>
  <w:style w:type="character" w:styleId="Hipervnculo">
    <w:name w:val="Hyperlink"/>
    <w:aliases w:val="Hipervínculo1,Hipervínculo11,Hipervínculo12,Hipervínculo13,Hipervínculo14,Hipervínculo15"/>
    <w:basedOn w:val="Fuentedeprrafopredeter"/>
    <w:uiPriority w:val="99"/>
    <w:unhideWhenUsed/>
    <w:qFormat/>
    <w:rsid w:val="002533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04613">
      <w:bodyDiv w:val="1"/>
      <w:marLeft w:val="0"/>
      <w:marRight w:val="0"/>
      <w:marTop w:val="0"/>
      <w:marBottom w:val="0"/>
      <w:divBdr>
        <w:top w:val="none" w:sz="0" w:space="0" w:color="auto"/>
        <w:left w:val="none" w:sz="0" w:space="0" w:color="auto"/>
        <w:bottom w:val="none" w:sz="0" w:space="0" w:color="auto"/>
        <w:right w:val="none" w:sz="0" w:space="0" w:color="auto"/>
      </w:divBdr>
    </w:div>
    <w:div w:id="737096265">
      <w:bodyDiv w:val="1"/>
      <w:marLeft w:val="0"/>
      <w:marRight w:val="0"/>
      <w:marTop w:val="0"/>
      <w:marBottom w:val="0"/>
      <w:divBdr>
        <w:top w:val="none" w:sz="0" w:space="0" w:color="auto"/>
        <w:left w:val="none" w:sz="0" w:space="0" w:color="auto"/>
        <w:bottom w:val="none" w:sz="0" w:space="0" w:color="auto"/>
        <w:right w:val="none" w:sz="0" w:space="0" w:color="auto"/>
      </w:divBdr>
    </w:div>
    <w:div w:id="944112064">
      <w:bodyDiv w:val="1"/>
      <w:marLeft w:val="0"/>
      <w:marRight w:val="0"/>
      <w:marTop w:val="0"/>
      <w:marBottom w:val="0"/>
      <w:divBdr>
        <w:top w:val="none" w:sz="0" w:space="0" w:color="auto"/>
        <w:left w:val="none" w:sz="0" w:space="0" w:color="auto"/>
        <w:bottom w:val="none" w:sz="0" w:space="0" w:color="auto"/>
        <w:right w:val="none" w:sz="0" w:space="0" w:color="auto"/>
      </w:divBdr>
    </w:div>
    <w:div w:id="1072118060">
      <w:bodyDiv w:val="1"/>
      <w:marLeft w:val="0"/>
      <w:marRight w:val="0"/>
      <w:marTop w:val="0"/>
      <w:marBottom w:val="0"/>
      <w:divBdr>
        <w:top w:val="none" w:sz="0" w:space="0" w:color="auto"/>
        <w:left w:val="none" w:sz="0" w:space="0" w:color="auto"/>
        <w:bottom w:val="none" w:sz="0" w:space="0" w:color="auto"/>
        <w:right w:val="none" w:sz="0" w:space="0" w:color="auto"/>
      </w:divBdr>
    </w:div>
    <w:div w:id="1920167568">
      <w:bodyDiv w:val="1"/>
      <w:marLeft w:val="0"/>
      <w:marRight w:val="0"/>
      <w:marTop w:val="0"/>
      <w:marBottom w:val="0"/>
      <w:divBdr>
        <w:top w:val="none" w:sz="0" w:space="0" w:color="auto"/>
        <w:left w:val="none" w:sz="0" w:space="0" w:color="auto"/>
        <w:bottom w:val="none" w:sz="0" w:space="0" w:color="auto"/>
        <w:right w:val="none" w:sz="0" w:space="0" w:color="auto"/>
      </w:divBdr>
    </w:div>
    <w:div w:id="197768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onsultas.curp.gob.mx/CurpSP/html/informacionecurpPS.html" TargetMode="External" Id="rId8" /><Relationship Type="http://schemas.openxmlformats.org/officeDocument/2006/relationships/footer" Target="footer2.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ntTable" Target="fontTable.xml" Id="rId14" /><Relationship Type="http://schemas.openxmlformats.org/officeDocument/2006/relationships/glossaryDocument" Target="glossary/document.xml" Id="R1221597acfe74e7b"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806da3b-c61a-4745-b1d6-b7b21db9a700}"/>
      </w:docPartPr>
      <w:docPartBody>
        <w:p w14:paraId="619D54C3">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JAEL RUBIO SANCHEZ</lastModifiedBy>
  <revision>19</revision>
  <dcterms:created xsi:type="dcterms:W3CDTF">2022-08-18T17:40:00.0000000Z</dcterms:created>
  <dcterms:modified xsi:type="dcterms:W3CDTF">2022-09-08T18:21:47.2132574Z</dcterms:modified>
</coreProperties>
</file>