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EF6" w:rsidRPr="00717165" w:rsidRDefault="001E7EF6" w:rsidP="001735AF">
      <w:pPr>
        <w:shd w:val="clear" w:color="auto" w:fill="FFFFFF"/>
        <w:spacing w:after="0" w:line="360" w:lineRule="auto"/>
        <w:jc w:val="both"/>
        <w:rPr>
          <w:rFonts w:ascii="Palatino Linotype" w:eastAsia="Times New Roman" w:hAnsi="Palatino Linotype" w:cs="Arial"/>
          <w:color w:val="000000"/>
          <w:sz w:val="24"/>
          <w:szCs w:val="24"/>
          <w:lang w:eastAsia="es-MX"/>
        </w:rPr>
      </w:pPr>
      <w:r w:rsidRPr="0071716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835EE" w:rsidRPr="00717165">
        <w:rPr>
          <w:rFonts w:ascii="Palatino Linotype" w:eastAsia="Times New Roman" w:hAnsi="Palatino Linotype" w:cs="Arial"/>
          <w:color w:val="000000"/>
          <w:sz w:val="24"/>
          <w:szCs w:val="24"/>
          <w:lang w:eastAsia="es-MX"/>
        </w:rPr>
        <w:t xml:space="preserve">nueve de noviembre </w:t>
      </w:r>
      <w:r w:rsidRPr="00717165">
        <w:rPr>
          <w:rFonts w:ascii="Palatino Linotype" w:eastAsia="Times New Roman" w:hAnsi="Palatino Linotype" w:cs="Arial"/>
          <w:color w:val="000000"/>
          <w:sz w:val="24"/>
          <w:szCs w:val="24"/>
          <w:lang w:eastAsia="es-MX"/>
        </w:rPr>
        <w:t>de dos mil veintidós.</w:t>
      </w:r>
    </w:p>
    <w:p w:rsidR="001E7EF6" w:rsidRPr="00717165" w:rsidRDefault="001E7EF6" w:rsidP="001735AF">
      <w:pPr>
        <w:shd w:val="clear" w:color="auto" w:fill="FFFFFF"/>
        <w:spacing w:after="0" w:line="360" w:lineRule="auto"/>
        <w:jc w:val="both"/>
        <w:rPr>
          <w:rFonts w:ascii="Palatino Linotype" w:eastAsia="Times New Roman" w:hAnsi="Palatino Linotype" w:cs="Arial"/>
          <w:color w:val="000000"/>
          <w:sz w:val="24"/>
          <w:szCs w:val="24"/>
          <w:lang w:eastAsia="es-MX"/>
        </w:rPr>
      </w:pPr>
    </w:p>
    <w:p w:rsidR="001E7EF6" w:rsidRPr="00717165" w:rsidRDefault="001E7EF6" w:rsidP="001735AF">
      <w:pPr>
        <w:tabs>
          <w:tab w:val="left" w:pos="1701"/>
        </w:tabs>
        <w:spacing w:after="0" w:line="360" w:lineRule="auto"/>
        <w:jc w:val="both"/>
        <w:rPr>
          <w:rFonts w:ascii="Palatino Linotype" w:hAnsi="Palatino Linotype" w:cs="Arial"/>
          <w:b/>
          <w:sz w:val="24"/>
          <w:szCs w:val="24"/>
        </w:rPr>
      </w:pPr>
      <w:r w:rsidRPr="00717165">
        <w:rPr>
          <w:rFonts w:ascii="Palatino Linotype" w:eastAsia="Palatino Linotype" w:hAnsi="Palatino Linotype" w:cs="Palatino Linotype"/>
          <w:b/>
          <w:color w:val="000000"/>
          <w:sz w:val="24"/>
          <w:szCs w:val="24"/>
        </w:rPr>
        <w:t>VISTO</w:t>
      </w:r>
      <w:r w:rsidRPr="00717165">
        <w:rPr>
          <w:rFonts w:ascii="Palatino Linotype" w:eastAsia="Palatino Linotype" w:hAnsi="Palatino Linotype" w:cs="Palatino Linotype"/>
          <w:color w:val="000000"/>
          <w:sz w:val="24"/>
          <w:szCs w:val="24"/>
        </w:rPr>
        <w:t xml:space="preserve"> el expediente electrónico formado con motivo del recurso de revisión número </w:t>
      </w:r>
      <w:r w:rsidRPr="00717165">
        <w:rPr>
          <w:rFonts w:ascii="Palatino Linotype" w:eastAsia="Palatino Linotype" w:hAnsi="Palatino Linotype" w:cs="Palatino Linotype"/>
          <w:b/>
          <w:color w:val="000000"/>
          <w:sz w:val="24"/>
          <w:szCs w:val="24"/>
        </w:rPr>
        <w:t>0</w:t>
      </w:r>
      <w:r w:rsidR="00014046" w:rsidRPr="00717165">
        <w:rPr>
          <w:rFonts w:ascii="Palatino Linotype" w:eastAsia="Palatino Linotype" w:hAnsi="Palatino Linotype" w:cs="Palatino Linotype"/>
          <w:b/>
          <w:color w:val="000000"/>
          <w:sz w:val="24"/>
          <w:szCs w:val="24"/>
        </w:rPr>
        <w:t>10535</w:t>
      </w:r>
      <w:r w:rsidRPr="00717165">
        <w:rPr>
          <w:rFonts w:ascii="Palatino Linotype" w:eastAsia="Palatino Linotype" w:hAnsi="Palatino Linotype" w:cs="Palatino Linotype"/>
          <w:b/>
          <w:color w:val="000000"/>
          <w:sz w:val="24"/>
          <w:szCs w:val="24"/>
        </w:rPr>
        <w:t>/INFOEM/IP/RR/2022</w:t>
      </w:r>
      <w:r w:rsidRPr="00717165">
        <w:rPr>
          <w:rFonts w:ascii="Palatino Linotype" w:eastAsia="Palatino Linotype" w:hAnsi="Palatino Linotype" w:cs="Palatino Linotype"/>
          <w:color w:val="000000"/>
          <w:sz w:val="24"/>
          <w:szCs w:val="24"/>
        </w:rPr>
        <w:t xml:space="preserve">, interpuesto por </w:t>
      </w:r>
      <w:r w:rsidR="00BB2AC7">
        <w:rPr>
          <w:rFonts w:ascii="Palatino Linotype" w:eastAsia="Palatino Linotype" w:hAnsi="Palatino Linotype" w:cs="Palatino Linotype"/>
          <w:b/>
          <w:color w:val="000000"/>
          <w:sz w:val="24"/>
          <w:szCs w:val="24"/>
        </w:rPr>
        <w:t>XXXXXXXXXXXXXX</w:t>
      </w:r>
      <w:bookmarkStart w:id="0" w:name="_GoBack"/>
      <w:bookmarkEnd w:id="0"/>
      <w:r w:rsidRPr="00717165">
        <w:rPr>
          <w:rFonts w:ascii="Palatino Linotype" w:eastAsia="Palatino Linotype" w:hAnsi="Palatino Linotype" w:cs="Palatino Linotype"/>
          <w:color w:val="000000"/>
          <w:sz w:val="24"/>
          <w:szCs w:val="24"/>
        </w:rPr>
        <w:t xml:space="preserve">, en lo sucesivo la </w:t>
      </w:r>
      <w:r w:rsidRPr="00717165">
        <w:rPr>
          <w:rFonts w:ascii="Palatino Linotype" w:eastAsia="Palatino Linotype" w:hAnsi="Palatino Linotype" w:cs="Palatino Linotype"/>
          <w:b/>
          <w:color w:val="000000"/>
          <w:sz w:val="24"/>
          <w:szCs w:val="24"/>
        </w:rPr>
        <w:t>Recurrente</w:t>
      </w:r>
      <w:r w:rsidRPr="00717165">
        <w:rPr>
          <w:rFonts w:ascii="Palatino Linotype" w:eastAsia="Palatino Linotype" w:hAnsi="Palatino Linotype" w:cs="Palatino Linotype"/>
          <w:color w:val="000000"/>
          <w:sz w:val="24"/>
          <w:szCs w:val="24"/>
        </w:rPr>
        <w:t>, en contra de la respuesta del</w:t>
      </w:r>
      <w:r w:rsidRPr="00717165">
        <w:rPr>
          <w:rFonts w:ascii="Palatino Linotype" w:hAnsi="Palatino Linotype" w:cs="Arial"/>
          <w:sz w:val="24"/>
          <w:szCs w:val="24"/>
        </w:rPr>
        <w:t xml:space="preserve"> </w:t>
      </w:r>
      <w:r w:rsidRPr="00717165">
        <w:rPr>
          <w:rFonts w:ascii="Palatino Linotype" w:hAnsi="Palatino Linotype" w:cs="Arial"/>
          <w:b/>
          <w:sz w:val="24"/>
          <w:szCs w:val="24"/>
        </w:rPr>
        <w:t xml:space="preserve">Ayuntamiento de Tlalnepantla de Baz, </w:t>
      </w:r>
      <w:r w:rsidRPr="00717165">
        <w:rPr>
          <w:rFonts w:ascii="Palatino Linotype" w:hAnsi="Palatino Linotype" w:cs="Arial"/>
          <w:sz w:val="24"/>
          <w:szCs w:val="24"/>
        </w:rPr>
        <w:t>en lo subsecuente</w:t>
      </w:r>
      <w:r w:rsidRPr="00717165">
        <w:rPr>
          <w:rFonts w:ascii="Palatino Linotype" w:hAnsi="Palatino Linotype" w:cs="Arial"/>
          <w:b/>
          <w:sz w:val="24"/>
          <w:szCs w:val="24"/>
        </w:rPr>
        <w:t xml:space="preserve"> el Sujeto Obligado, </w:t>
      </w:r>
      <w:r w:rsidRPr="00717165">
        <w:rPr>
          <w:rFonts w:ascii="Palatino Linotype" w:hAnsi="Palatino Linotype" w:cs="Arial"/>
          <w:sz w:val="24"/>
          <w:szCs w:val="24"/>
        </w:rPr>
        <w:t>se procede a dictar la presente resolución.</w:t>
      </w:r>
    </w:p>
    <w:p w:rsidR="001E7EF6" w:rsidRPr="00717165" w:rsidRDefault="001E7EF6" w:rsidP="001735AF">
      <w:pPr>
        <w:tabs>
          <w:tab w:val="left" w:pos="6960"/>
        </w:tabs>
        <w:spacing w:after="0" w:line="360" w:lineRule="auto"/>
        <w:jc w:val="both"/>
        <w:rPr>
          <w:rFonts w:ascii="Palatino Linotype" w:hAnsi="Palatino Linotype" w:cs="Arial"/>
          <w:sz w:val="24"/>
          <w:szCs w:val="24"/>
        </w:rPr>
      </w:pPr>
    </w:p>
    <w:p w:rsidR="001E7EF6" w:rsidRPr="00717165" w:rsidRDefault="001E7EF6" w:rsidP="001735AF">
      <w:pPr>
        <w:spacing w:after="0" w:line="360" w:lineRule="auto"/>
        <w:jc w:val="center"/>
        <w:rPr>
          <w:rFonts w:ascii="Palatino Linotype" w:hAnsi="Palatino Linotype" w:cs="Arial"/>
          <w:b/>
          <w:sz w:val="28"/>
          <w:szCs w:val="24"/>
        </w:rPr>
      </w:pPr>
      <w:r w:rsidRPr="00717165">
        <w:rPr>
          <w:rFonts w:ascii="Palatino Linotype" w:hAnsi="Palatino Linotype" w:cs="Arial"/>
          <w:b/>
          <w:sz w:val="28"/>
          <w:szCs w:val="24"/>
        </w:rPr>
        <w:t>A N T E C E D E N T E S</w:t>
      </w:r>
    </w:p>
    <w:p w:rsidR="001E7EF6" w:rsidRPr="00717165" w:rsidRDefault="001E7EF6" w:rsidP="001735AF">
      <w:pPr>
        <w:spacing w:after="0" w:line="360" w:lineRule="auto"/>
        <w:rPr>
          <w:rFonts w:ascii="Palatino Linotype" w:hAnsi="Palatino Linotype" w:cs="Arial"/>
          <w:b/>
          <w:sz w:val="24"/>
          <w:szCs w:val="24"/>
        </w:rPr>
      </w:pPr>
    </w:p>
    <w:p w:rsidR="001E7EF6" w:rsidRPr="00717165" w:rsidRDefault="001E7EF6" w:rsidP="001735AF">
      <w:pPr>
        <w:tabs>
          <w:tab w:val="left" w:pos="4962"/>
        </w:tabs>
        <w:spacing w:after="0" w:line="360" w:lineRule="auto"/>
        <w:jc w:val="both"/>
        <w:rPr>
          <w:rFonts w:ascii="Palatino Linotype" w:hAnsi="Palatino Linotype" w:cs="Arial"/>
          <w:sz w:val="24"/>
          <w:szCs w:val="24"/>
        </w:rPr>
      </w:pPr>
      <w:r w:rsidRPr="00717165">
        <w:rPr>
          <w:rFonts w:ascii="Palatino Linotype" w:hAnsi="Palatino Linotype" w:cs="Arial"/>
          <w:b/>
          <w:sz w:val="28"/>
          <w:szCs w:val="28"/>
        </w:rPr>
        <w:t xml:space="preserve">PRIMERO. </w:t>
      </w:r>
      <w:r w:rsidRPr="00717165">
        <w:rPr>
          <w:rFonts w:ascii="Palatino Linotype" w:hAnsi="Palatino Linotype" w:cs="Arial"/>
          <w:sz w:val="24"/>
          <w:szCs w:val="24"/>
        </w:rPr>
        <w:t>Con fecha 06 (seis) de abril de 2022 (dos mil veintidós), la</w:t>
      </w:r>
      <w:r w:rsidRPr="00717165">
        <w:rPr>
          <w:rFonts w:ascii="Palatino Linotype" w:hAnsi="Palatino Linotype" w:cs="Arial"/>
          <w:b/>
          <w:sz w:val="24"/>
          <w:szCs w:val="24"/>
        </w:rPr>
        <w:t xml:space="preserve"> Recurrente</w:t>
      </w:r>
      <w:r w:rsidRPr="00717165">
        <w:rPr>
          <w:rFonts w:ascii="Palatino Linotype" w:hAnsi="Palatino Linotype" w:cs="Arial"/>
          <w:sz w:val="24"/>
          <w:szCs w:val="24"/>
        </w:rPr>
        <w:t xml:space="preserve"> presentó a través del Sistema de Acceso a la Información Mexiquense, en lo posterior el </w:t>
      </w:r>
      <w:r w:rsidRPr="00717165">
        <w:rPr>
          <w:rFonts w:ascii="Palatino Linotype" w:hAnsi="Palatino Linotype" w:cs="Arial"/>
          <w:b/>
          <w:sz w:val="24"/>
          <w:szCs w:val="24"/>
        </w:rPr>
        <w:t>SAIMEX</w:t>
      </w:r>
      <w:r w:rsidRPr="00717165">
        <w:rPr>
          <w:rFonts w:ascii="Palatino Linotype" w:hAnsi="Palatino Linotype" w:cs="Arial"/>
          <w:sz w:val="24"/>
          <w:szCs w:val="24"/>
        </w:rPr>
        <w:t xml:space="preserve">, ante </w:t>
      </w:r>
      <w:r w:rsidRPr="00717165">
        <w:rPr>
          <w:rFonts w:ascii="Palatino Linotype" w:hAnsi="Palatino Linotype" w:cs="Arial"/>
          <w:b/>
          <w:sz w:val="24"/>
          <w:szCs w:val="24"/>
        </w:rPr>
        <w:t>el Sujeto Obligado</w:t>
      </w:r>
      <w:r w:rsidRPr="00717165">
        <w:rPr>
          <w:rFonts w:ascii="Palatino Linotype" w:hAnsi="Palatino Linotype" w:cs="Arial"/>
          <w:sz w:val="24"/>
          <w:szCs w:val="24"/>
        </w:rPr>
        <w:t xml:space="preserve">, solicitud de acceso a la información pública, registrada bajo el número de expediente </w:t>
      </w:r>
      <w:r w:rsidRPr="00717165">
        <w:rPr>
          <w:rFonts w:ascii="Palatino Linotype" w:hAnsi="Palatino Linotype" w:cs="Arial"/>
          <w:b/>
          <w:sz w:val="24"/>
          <w:szCs w:val="24"/>
        </w:rPr>
        <w:t>00368/TLALNEPA/IP/2022</w:t>
      </w:r>
      <w:r w:rsidRPr="00717165">
        <w:rPr>
          <w:rFonts w:ascii="Palatino Linotype" w:hAnsi="Palatino Linotype" w:cs="Arial"/>
          <w:sz w:val="24"/>
          <w:szCs w:val="24"/>
          <w:lang w:eastAsia="es-MX"/>
        </w:rPr>
        <w:t>,</w:t>
      </w:r>
      <w:r w:rsidRPr="00717165">
        <w:rPr>
          <w:rFonts w:ascii="Palatino Linotype" w:hAnsi="Palatino Linotype" w:cs="Arial"/>
          <w:b/>
          <w:sz w:val="24"/>
          <w:szCs w:val="24"/>
          <w:lang w:eastAsia="es-MX"/>
        </w:rPr>
        <w:t xml:space="preserve"> </w:t>
      </w:r>
      <w:r w:rsidRPr="00717165">
        <w:rPr>
          <w:rFonts w:ascii="Palatino Linotype" w:hAnsi="Palatino Linotype" w:cs="Arial"/>
          <w:sz w:val="24"/>
          <w:szCs w:val="24"/>
        </w:rPr>
        <w:t>mediante la cual señalo lo siguiente:</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717165">
        <w:rPr>
          <w:rFonts w:ascii="Palatino Linotype" w:eastAsia="Times New Roman" w:hAnsi="Palatino Linotype" w:cs="Times New Roman"/>
          <w:i/>
          <w:szCs w:val="24"/>
          <w:lang w:val="es-ES_tradnl" w:eastAsia="es-ES"/>
        </w:rPr>
        <w:t xml:space="preserve">“1.¿Cuál es la inversión realizada por el gobierno municipal de Tlalnepantla en las 175 patrullas nuevas en total, (140 radio patrullas y 35 motos patrullas) que fueron entregadas durante el mes de marzo de este 2022, por el alcalde Marco Antonio Rodríguez Hurtado? 2.¿Cuál fue la inversión realizada por el gobierno municipal de Tlalnepantla en las 115 armas que serán distribuidas en los sectores de mayor incidencia delictiva del municipio, en marzo del 2020? 3. ¿Las patrullas y moto patrullas fueron adquiridas por el Ayuntamiento, durante la administración actual, bajo un esquema de arrendamiento? 4. ¿Por qué método se realizó la compra, de las patrullas y moto patrullas, durante la administración actual, a través de licitación o adquisición directa? 5. A través de este medio solicito los contratos celebrados por el Ayuntamiento con los proveedores de las 140 radio patrullas y 35 moto patrullas nuevas; durante la administración del alcalde Marco Antonio </w:t>
      </w:r>
      <w:r w:rsidRPr="00717165">
        <w:rPr>
          <w:rFonts w:ascii="Palatino Linotype" w:eastAsia="Times New Roman" w:hAnsi="Palatino Linotype" w:cs="Times New Roman"/>
          <w:i/>
          <w:szCs w:val="24"/>
          <w:lang w:val="es-ES_tradnl" w:eastAsia="es-ES"/>
        </w:rPr>
        <w:lastRenderedPageBreak/>
        <w:t>Rodríguez Hurtado. 6. También solicito copia del cronograma, es decir, un documento con las fechas de la convocatoria para la licitación, venta de bases, concurso, y los diferentes pasos que contempló la adquisición de las nuevas patrullas y moto patrullas, durante el actual gobierno de Marco Antonio Rodríguez Hurtado. 7. ¿Cuál fue la inversión realizada por el gobierno municipal de Tlalnepantla en la adquisición de 177 patrullas nuevas, durante la administración del ex alcalde Raciel Pérez Cruz? 8. A través de este medio solicito el contrato de arrendamiento celebrados por el Ayuntamiento con el proveedor de las 177 patrullas, adquiridas durante la administración del ex alcalde Raciel Pérez Cruz. 9. Solicito copia del cronograma, es decir, un documento con las fechas de la convocatoria para la licitación, venta de bases, concurso y los diferentes pasos que contempló la adquisición de las nuevas patrullas, durante la administración de Raciel Pérez Cruz.”</w:t>
      </w:r>
      <w:r w:rsidRPr="00717165">
        <w:rPr>
          <w:rFonts w:ascii="Palatino Linotype" w:eastAsia="Times New Roman" w:hAnsi="Palatino Linotype" w:cs="Times New Roman"/>
          <w:szCs w:val="24"/>
          <w:lang w:val="es-ES_tradnl" w:eastAsia="es-ES"/>
        </w:rPr>
        <w:t xml:space="preserve"> (sic)</w:t>
      </w:r>
    </w:p>
    <w:p w:rsidR="001E7EF6" w:rsidRPr="00717165" w:rsidRDefault="001E7EF6" w:rsidP="001735AF">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1E7EF6" w:rsidRPr="00717165" w:rsidRDefault="001E7EF6" w:rsidP="001735AF">
      <w:pPr>
        <w:tabs>
          <w:tab w:val="left" w:pos="5647"/>
        </w:tabs>
        <w:spacing w:after="0" w:line="360" w:lineRule="auto"/>
        <w:jc w:val="both"/>
        <w:rPr>
          <w:rFonts w:ascii="Palatino Linotype" w:hAnsi="Palatino Linotype"/>
          <w:color w:val="000000"/>
          <w:sz w:val="24"/>
          <w:szCs w:val="24"/>
        </w:rPr>
      </w:pPr>
      <w:r w:rsidRPr="00717165">
        <w:rPr>
          <w:rFonts w:ascii="Palatino Linotype" w:eastAsia="Times New Roman" w:hAnsi="Palatino Linotype" w:cs="Times New Roman"/>
          <w:sz w:val="24"/>
          <w:szCs w:val="24"/>
          <w:lang w:val="es-ES_tradnl" w:eastAsia="es-ES"/>
        </w:rPr>
        <w:t xml:space="preserve">Modalidad de entrega: </w:t>
      </w:r>
      <w:r w:rsidRPr="00717165">
        <w:rPr>
          <w:rFonts w:ascii="Palatino Linotype" w:hAnsi="Palatino Linotype"/>
          <w:b/>
          <w:i/>
          <w:color w:val="000000"/>
          <w:sz w:val="24"/>
          <w:szCs w:val="24"/>
        </w:rPr>
        <w:t>A través del SAIMEX</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spacing w:after="0" w:line="360" w:lineRule="auto"/>
        <w:jc w:val="both"/>
        <w:rPr>
          <w:rFonts w:ascii="Palatino Linotype" w:eastAsia="Times New Roman" w:hAnsi="Palatino Linotype" w:cs="Times New Roman"/>
          <w:sz w:val="24"/>
          <w:szCs w:val="24"/>
          <w:lang w:val="es-ES" w:eastAsia="es-ES"/>
        </w:rPr>
      </w:pPr>
      <w:r w:rsidRPr="00717165">
        <w:rPr>
          <w:rFonts w:ascii="Palatino Linotype" w:hAnsi="Palatino Linotype" w:cs="Arial"/>
          <w:b/>
          <w:sz w:val="28"/>
          <w:szCs w:val="24"/>
        </w:rPr>
        <w:t>SEGUNDO</w:t>
      </w:r>
      <w:r w:rsidRPr="00717165">
        <w:rPr>
          <w:rFonts w:ascii="Palatino Linotype" w:hAnsi="Palatino Linotype" w:cs="Arial"/>
          <w:b/>
          <w:sz w:val="24"/>
          <w:szCs w:val="24"/>
        </w:rPr>
        <w:t xml:space="preserve">. </w:t>
      </w:r>
      <w:r w:rsidRPr="00717165">
        <w:rPr>
          <w:rFonts w:ascii="Palatino Linotype" w:eastAsia="Times New Roman" w:hAnsi="Palatino Linotype" w:cs="Times New Roman"/>
          <w:sz w:val="24"/>
          <w:szCs w:val="24"/>
          <w:lang w:val="es-ES" w:eastAsia="es-ES"/>
        </w:rPr>
        <w:t>De las constancias que obran en el expediente electrónico, aperturado con motivo del ingreso de la solicitud de información, se advierte que el</w:t>
      </w:r>
      <w:r w:rsidRPr="00717165">
        <w:rPr>
          <w:rFonts w:ascii="Palatino Linotype" w:eastAsia="Times New Roman" w:hAnsi="Palatino Linotype" w:cs="Times New Roman"/>
          <w:b/>
          <w:sz w:val="24"/>
          <w:szCs w:val="24"/>
          <w:lang w:val="es-ES" w:eastAsia="es-ES"/>
        </w:rPr>
        <w:t xml:space="preserve"> Sujeto Obligado </w:t>
      </w:r>
      <w:r w:rsidRPr="00717165">
        <w:rPr>
          <w:rFonts w:ascii="Palatino Linotype" w:eastAsia="Times New Roman" w:hAnsi="Palatino Linotype" w:cs="Times New Roman"/>
          <w:sz w:val="24"/>
          <w:szCs w:val="24"/>
          <w:lang w:val="es-ES" w:eastAsia="es-ES"/>
        </w:rPr>
        <w:t>emitió respuesta el día 16 (dieciséis) de mayo de 2022 (dos mil veintidós), en los términos siguientes:</w:t>
      </w:r>
    </w:p>
    <w:p w:rsidR="001E7EF6" w:rsidRPr="00717165" w:rsidRDefault="001E7EF6" w:rsidP="001735AF">
      <w:pPr>
        <w:spacing w:after="0" w:line="360" w:lineRule="auto"/>
        <w:jc w:val="both"/>
        <w:rPr>
          <w:rFonts w:ascii="Palatino Linotype" w:hAnsi="Palatino Linotype" w:cs="Arial"/>
          <w:sz w:val="24"/>
          <w:szCs w:val="28"/>
        </w:rPr>
      </w:pPr>
    </w:p>
    <w:p w:rsidR="001E7EF6" w:rsidRPr="00717165" w:rsidRDefault="001E7EF6" w:rsidP="001735AF">
      <w:pPr>
        <w:spacing w:after="0" w:line="240" w:lineRule="auto"/>
        <w:ind w:left="567" w:right="567"/>
        <w:jc w:val="both"/>
        <w:rPr>
          <w:rFonts w:ascii="Palatino Linotype" w:hAnsi="Palatino Linotype" w:cs="Arial"/>
          <w:i/>
          <w:szCs w:val="28"/>
        </w:rPr>
      </w:pPr>
      <w:r w:rsidRPr="00717165">
        <w:rPr>
          <w:rFonts w:ascii="Palatino Linotype" w:hAnsi="Palatino Linotype" w:cs="Arial"/>
          <w:i/>
          <w:szCs w:val="2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7EF6" w:rsidRPr="00717165" w:rsidRDefault="001E7EF6" w:rsidP="001735AF">
      <w:pPr>
        <w:spacing w:after="0" w:line="240" w:lineRule="auto"/>
        <w:ind w:left="567" w:right="567"/>
        <w:jc w:val="both"/>
        <w:rPr>
          <w:rFonts w:ascii="Palatino Linotype" w:hAnsi="Palatino Linotype" w:cs="Arial"/>
          <w:i/>
          <w:szCs w:val="28"/>
        </w:rPr>
      </w:pPr>
    </w:p>
    <w:p w:rsidR="001E7EF6" w:rsidRPr="00717165" w:rsidRDefault="001E7EF6" w:rsidP="001735AF">
      <w:pPr>
        <w:spacing w:after="0" w:line="240" w:lineRule="auto"/>
        <w:ind w:left="567" w:right="567"/>
        <w:jc w:val="both"/>
        <w:rPr>
          <w:rFonts w:ascii="Palatino Linotype" w:hAnsi="Palatino Linotype" w:cs="Arial"/>
          <w:i/>
          <w:szCs w:val="28"/>
        </w:rPr>
      </w:pPr>
      <w:r w:rsidRPr="00717165">
        <w:rPr>
          <w:rFonts w:ascii="Palatino Linotype" w:hAnsi="Palatino Linotype" w:cs="Arial"/>
          <w:i/>
          <w:szCs w:val="28"/>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w:t>
      </w:r>
    </w:p>
    <w:p w:rsidR="001E7EF6" w:rsidRPr="00717165" w:rsidRDefault="001E7EF6" w:rsidP="001735AF">
      <w:pPr>
        <w:spacing w:after="0" w:line="360" w:lineRule="auto"/>
        <w:jc w:val="both"/>
        <w:rPr>
          <w:rFonts w:ascii="Palatino Linotype" w:hAnsi="Palatino Linotype" w:cs="Arial"/>
          <w:sz w:val="24"/>
          <w:szCs w:val="28"/>
        </w:rPr>
      </w:pPr>
    </w:p>
    <w:p w:rsidR="001E7EF6" w:rsidRPr="00717165" w:rsidRDefault="001E7EF6" w:rsidP="001735AF">
      <w:pPr>
        <w:spacing w:after="0" w:line="360" w:lineRule="auto"/>
        <w:jc w:val="both"/>
        <w:rPr>
          <w:rFonts w:ascii="Palatino Linotype" w:hAnsi="Palatino Linotype" w:cs="Arial"/>
          <w:sz w:val="24"/>
          <w:szCs w:val="28"/>
        </w:rPr>
      </w:pPr>
      <w:r w:rsidRPr="00717165">
        <w:rPr>
          <w:rFonts w:ascii="Palatino Linotype" w:hAnsi="Palatino Linotype" w:cs="Arial"/>
          <w:sz w:val="24"/>
          <w:szCs w:val="28"/>
        </w:rPr>
        <w:t xml:space="preserve">Se hace constar que, el </w:t>
      </w:r>
      <w:r w:rsidRPr="00717165">
        <w:rPr>
          <w:rFonts w:ascii="Palatino Linotype" w:hAnsi="Palatino Linotype" w:cs="Arial"/>
          <w:b/>
          <w:sz w:val="24"/>
          <w:szCs w:val="28"/>
        </w:rPr>
        <w:t>Sujeto Obligado</w:t>
      </w:r>
      <w:r w:rsidRPr="00717165">
        <w:rPr>
          <w:rFonts w:ascii="Palatino Linotype" w:hAnsi="Palatino Linotype" w:cs="Arial"/>
          <w:sz w:val="24"/>
          <w:szCs w:val="28"/>
        </w:rPr>
        <w:t xml:space="preserve"> adjuntó el documento electrónico denominado “</w:t>
      </w:r>
      <w:r w:rsidR="00DB2CCA" w:rsidRPr="00717165">
        <w:rPr>
          <w:rFonts w:ascii="Palatino Linotype" w:hAnsi="Palatino Linotype" w:cs="Arial"/>
          <w:b/>
          <w:i/>
          <w:sz w:val="24"/>
          <w:szCs w:val="28"/>
        </w:rPr>
        <w:t>Respuesta SAIMEX 368.zip</w:t>
      </w:r>
      <w:r w:rsidRPr="00717165">
        <w:rPr>
          <w:rFonts w:ascii="Palatino Linotype" w:hAnsi="Palatino Linotype" w:cs="Arial"/>
          <w:sz w:val="24"/>
          <w:szCs w:val="28"/>
        </w:rPr>
        <w:t xml:space="preserve">”, que al ser del conocimiento de las partes, </w:t>
      </w:r>
      <w:r w:rsidRPr="00717165">
        <w:rPr>
          <w:rFonts w:ascii="Palatino Linotype" w:hAnsi="Palatino Linotype" w:cs="Arial"/>
          <w:sz w:val="24"/>
          <w:szCs w:val="28"/>
        </w:rPr>
        <w:lastRenderedPageBreak/>
        <w:t>se omite su inserción en este apartado en obvio de repeticiones innecesarias, máxime que será objeto de estudio en párrafos posteriores.</w:t>
      </w:r>
    </w:p>
    <w:p w:rsidR="001E7EF6" w:rsidRPr="00717165" w:rsidRDefault="001E7EF6" w:rsidP="001735AF">
      <w:pPr>
        <w:spacing w:after="0" w:line="360" w:lineRule="auto"/>
        <w:jc w:val="both"/>
        <w:rPr>
          <w:rFonts w:ascii="Palatino Linotype" w:hAnsi="Palatino Linotype" w:cs="Arial"/>
          <w:sz w:val="24"/>
          <w:szCs w:val="28"/>
        </w:rPr>
      </w:pPr>
    </w:p>
    <w:p w:rsidR="001E7EF6" w:rsidRPr="00717165" w:rsidRDefault="001E7EF6" w:rsidP="001735AF">
      <w:pPr>
        <w:spacing w:after="0" w:line="360" w:lineRule="auto"/>
        <w:jc w:val="both"/>
        <w:rPr>
          <w:rFonts w:ascii="Palatino Linotype" w:hAnsi="Palatino Linotype" w:cs="Arial"/>
          <w:sz w:val="24"/>
          <w:szCs w:val="28"/>
        </w:rPr>
      </w:pP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b/>
          <w:sz w:val="28"/>
          <w:szCs w:val="28"/>
        </w:rPr>
        <w:t>TERCERO</w:t>
      </w:r>
      <w:r w:rsidRPr="00717165">
        <w:rPr>
          <w:rFonts w:ascii="Palatino Linotype" w:hAnsi="Palatino Linotype" w:cs="Arial"/>
          <w:sz w:val="24"/>
          <w:szCs w:val="24"/>
        </w:rPr>
        <w:t xml:space="preserve">. Inconforme ante la respuesta por parte del </w:t>
      </w:r>
      <w:r w:rsidRPr="00717165">
        <w:rPr>
          <w:rFonts w:ascii="Palatino Linotype" w:hAnsi="Palatino Linotype" w:cs="Arial"/>
          <w:b/>
          <w:sz w:val="24"/>
          <w:szCs w:val="24"/>
        </w:rPr>
        <w:t>Sujeto Obligado</w:t>
      </w:r>
      <w:r w:rsidRPr="00717165">
        <w:rPr>
          <w:rFonts w:ascii="Palatino Linotype" w:hAnsi="Palatino Linotype" w:cs="Arial"/>
          <w:sz w:val="24"/>
          <w:szCs w:val="24"/>
        </w:rPr>
        <w:t xml:space="preserve">, el ahora </w:t>
      </w:r>
      <w:r w:rsidRPr="00717165">
        <w:rPr>
          <w:rFonts w:ascii="Palatino Linotype" w:hAnsi="Palatino Linotype" w:cs="Arial"/>
          <w:b/>
          <w:sz w:val="24"/>
          <w:szCs w:val="24"/>
        </w:rPr>
        <w:t>Recurrente</w:t>
      </w:r>
      <w:r w:rsidRPr="00717165">
        <w:rPr>
          <w:rFonts w:ascii="Palatino Linotype" w:hAnsi="Palatino Linotype" w:cs="Arial"/>
          <w:sz w:val="24"/>
          <w:szCs w:val="24"/>
        </w:rPr>
        <w:t xml:space="preserve"> en fecha </w:t>
      </w:r>
      <w:r w:rsidR="00DB2CCA" w:rsidRPr="00717165">
        <w:rPr>
          <w:rFonts w:ascii="Palatino Linotype" w:eastAsia="Times New Roman" w:hAnsi="Palatino Linotype" w:cs="Times New Roman"/>
          <w:sz w:val="24"/>
          <w:szCs w:val="24"/>
          <w:lang w:val="es-ES" w:eastAsia="es-ES"/>
        </w:rPr>
        <w:t>06</w:t>
      </w:r>
      <w:r w:rsidRPr="00717165">
        <w:rPr>
          <w:rFonts w:ascii="Palatino Linotype" w:eastAsia="Times New Roman" w:hAnsi="Palatino Linotype" w:cs="Times New Roman"/>
          <w:sz w:val="24"/>
          <w:szCs w:val="24"/>
          <w:lang w:val="es-ES" w:eastAsia="es-ES"/>
        </w:rPr>
        <w:t xml:space="preserve"> (</w:t>
      </w:r>
      <w:r w:rsidR="00DB2CCA" w:rsidRPr="00717165">
        <w:rPr>
          <w:rFonts w:ascii="Palatino Linotype" w:eastAsia="Times New Roman" w:hAnsi="Palatino Linotype" w:cs="Times New Roman"/>
          <w:sz w:val="24"/>
          <w:szCs w:val="24"/>
          <w:lang w:val="es-ES" w:eastAsia="es-ES"/>
        </w:rPr>
        <w:t>seis</w:t>
      </w:r>
      <w:r w:rsidRPr="00717165">
        <w:rPr>
          <w:rFonts w:ascii="Palatino Linotype" w:eastAsia="Times New Roman" w:hAnsi="Palatino Linotype" w:cs="Times New Roman"/>
          <w:sz w:val="24"/>
          <w:szCs w:val="24"/>
          <w:lang w:val="es-ES" w:eastAsia="es-ES"/>
        </w:rPr>
        <w:t xml:space="preserve">) de </w:t>
      </w:r>
      <w:r w:rsidR="00DB2CCA" w:rsidRPr="00717165">
        <w:rPr>
          <w:rFonts w:ascii="Palatino Linotype" w:eastAsia="Times New Roman" w:hAnsi="Palatino Linotype" w:cs="Times New Roman"/>
          <w:sz w:val="24"/>
          <w:szCs w:val="24"/>
          <w:lang w:val="es-ES" w:eastAsia="es-ES"/>
        </w:rPr>
        <w:t>junio</w:t>
      </w:r>
      <w:r w:rsidRPr="00717165">
        <w:rPr>
          <w:rFonts w:ascii="Palatino Linotype" w:eastAsia="Times New Roman" w:hAnsi="Palatino Linotype" w:cs="Times New Roman"/>
          <w:sz w:val="24"/>
          <w:szCs w:val="24"/>
          <w:lang w:val="es-ES" w:eastAsia="es-ES"/>
        </w:rPr>
        <w:t xml:space="preserve"> de 2022 (dos mil veintidós)</w:t>
      </w:r>
      <w:r w:rsidRPr="00717165">
        <w:rPr>
          <w:rFonts w:ascii="Palatino Linotype" w:hAnsi="Palatino Linotype" w:cs="Arial"/>
          <w:sz w:val="24"/>
          <w:szCs w:val="24"/>
        </w:rPr>
        <w:t>, interpuso recurso de revisión, que fue registrado</w:t>
      </w:r>
      <w:r w:rsidRPr="00717165">
        <w:rPr>
          <w:rFonts w:ascii="Palatino Linotype" w:hAnsi="Palatino Linotype" w:cs="Arial"/>
          <w:b/>
          <w:sz w:val="24"/>
          <w:szCs w:val="24"/>
        </w:rPr>
        <w:t xml:space="preserve"> </w:t>
      </w:r>
      <w:r w:rsidRPr="00717165">
        <w:rPr>
          <w:rFonts w:ascii="Palatino Linotype" w:hAnsi="Palatino Linotype" w:cs="Arial"/>
          <w:sz w:val="24"/>
          <w:szCs w:val="24"/>
        </w:rPr>
        <w:t>en el sistema electrónico con número de expediente</w:t>
      </w:r>
      <w:r w:rsidRPr="00717165">
        <w:rPr>
          <w:rFonts w:ascii="Palatino Linotype" w:hAnsi="Palatino Linotype" w:cs="Arial"/>
          <w:b/>
          <w:bCs/>
          <w:sz w:val="24"/>
          <w:szCs w:val="24"/>
          <w:lang w:eastAsia="es-MX"/>
        </w:rPr>
        <w:t xml:space="preserve"> 0</w:t>
      </w:r>
      <w:r w:rsidR="00DB2CCA" w:rsidRPr="00717165">
        <w:rPr>
          <w:rFonts w:ascii="Palatino Linotype" w:hAnsi="Palatino Linotype" w:cs="Arial"/>
          <w:b/>
          <w:bCs/>
          <w:sz w:val="24"/>
          <w:szCs w:val="24"/>
          <w:lang w:eastAsia="es-MX"/>
        </w:rPr>
        <w:t>10535</w:t>
      </w:r>
      <w:r w:rsidRPr="00717165">
        <w:rPr>
          <w:rFonts w:ascii="Palatino Linotype" w:hAnsi="Palatino Linotype" w:cs="Arial"/>
          <w:b/>
          <w:bCs/>
          <w:sz w:val="24"/>
          <w:szCs w:val="24"/>
          <w:lang w:eastAsia="es-MX"/>
        </w:rPr>
        <w:t>/INFOEM/IP/RR/2022</w:t>
      </w:r>
      <w:r w:rsidRPr="00717165">
        <w:rPr>
          <w:rFonts w:ascii="Palatino Linotype" w:hAnsi="Palatino Linotype" w:cs="Arial"/>
          <w:sz w:val="24"/>
          <w:szCs w:val="24"/>
        </w:rPr>
        <w:t>, aduciendo como acto impugnado  y razones o motivos de inconformidad, los siguientes:</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pStyle w:val="Prrafodelista"/>
        <w:spacing w:line="360" w:lineRule="auto"/>
        <w:ind w:left="0"/>
        <w:jc w:val="both"/>
        <w:rPr>
          <w:rFonts w:ascii="Palatino Linotype" w:hAnsi="Palatino Linotype" w:cs="Arial"/>
        </w:rPr>
      </w:pPr>
      <w:r w:rsidRPr="00717165">
        <w:rPr>
          <w:rFonts w:ascii="Palatino Linotype" w:hAnsi="Palatino Linotype" w:cs="Arial"/>
          <w:b/>
        </w:rPr>
        <w:t>Acto Impugnado:</w:t>
      </w:r>
    </w:p>
    <w:p w:rsidR="001E7EF6" w:rsidRPr="00717165" w:rsidRDefault="001E7EF6" w:rsidP="001735AF">
      <w:pPr>
        <w:pStyle w:val="Prrafodelista"/>
        <w:spacing w:line="360" w:lineRule="auto"/>
        <w:ind w:left="0"/>
        <w:jc w:val="both"/>
        <w:rPr>
          <w:rFonts w:ascii="Palatino Linotype" w:hAnsi="Palatino Linotype" w:cs="Arial"/>
        </w:rPr>
      </w:pPr>
    </w:p>
    <w:p w:rsidR="001E7EF6" w:rsidRPr="00717165" w:rsidRDefault="001E7EF6" w:rsidP="001735AF">
      <w:pPr>
        <w:spacing w:after="0" w:line="240" w:lineRule="auto"/>
        <w:ind w:left="567" w:right="567"/>
        <w:jc w:val="both"/>
        <w:rPr>
          <w:rFonts w:ascii="Palatino Linotype" w:hAnsi="Palatino Linotype"/>
          <w:color w:val="000000"/>
        </w:rPr>
      </w:pPr>
      <w:r w:rsidRPr="00717165">
        <w:rPr>
          <w:rFonts w:ascii="Palatino Linotype" w:hAnsi="Palatino Linotype" w:cs="Arial"/>
          <w:i/>
        </w:rPr>
        <w:t>“</w:t>
      </w:r>
      <w:r w:rsidR="00DB2CCA" w:rsidRPr="00717165">
        <w:rPr>
          <w:rFonts w:ascii="Palatino Linotype" w:hAnsi="Palatino Linotype"/>
          <w:i/>
          <w:color w:val="000000"/>
        </w:rPr>
        <w:t>Respuesta del Ayuntamiento a solicitud de transparencia 00386/TLALNEPA/IP/2020</w:t>
      </w:r>
      <w:r w:rsidRPr="00717165">
        <w:rPr>
          <w:rFonts w:ascii="Palatino Linotype" w:hAnsi="Palatino Linotype"/>
          <w:i/>
          <w:color w:val="000000"/>
        </w:rPr>
        <w:t>” (sic)</w:t>
      </w:r>
    </w:p>
    <w:p w:rsidR="001E7EF6" w:rsidRPr="00717165" w:rsidRDefault="001E7EF6" w:rsidP="001735AF">
      <w:pPr>
        <w:spacing w:after="0" w:line="360" w:lineRule="auto"/>
        <w:ind w:right="567"/>
        <w:jc w:val="both"/>
        <w:rPr>
          <w:rFonts w:ascii="Palatino Linotype" w:hAnsi="Palatino Linotype"/>
          <w:color w:val="000000"/>
          <w:sz w:val="24"/>
        </w:rPr>
      </w:pPr>
    </w:p>
    <w:p w:rsidR="001E7EF6" w:rsidRPr="00717165" w:rsidRDefault="001E7EF6" w:rsidP="001735AF">
      <w:pPr>
        <w:pStyle w:val="Prrafodelista"/>
        <w:spacing w:line="360" w:lineRule="auto"/>
        <w:ind w:left="0"/>
        <w:jc w:val="both"/>
        <w:rPr>
          <w:rFonts w:ascii="Palatino Linotype" w:hAnsi="Palatino Linotype" w:cs="Arial"/>
        </w:rPr>
      </w:pPr>
      <w:r w:rsidRPr="00717165">
        <w:rPr>
          <w:rFonts w:ascii="Palatino Linotype" w:hAnsi="Palatino Linotype" w:cs="Arial"/>
          <w:b/>
        </w:rPr>
        <w:t>Razones o motivos de inconformidad:</w:t>
      </w:r>
    </w:p>
    <w:p w:rsidR="001E7EF6" w:rsidRPr="00717165" w:rsidRDefault="001E7EF6" w:rsidP="001735AF">
      <w:pPr>
        <w:pStyle w:val="Prrafodelista"/>
        <w:spacing w:line="360" w:lineRule="auto"/>
        <w:ind w:left="0"/>
        <w:jc w:val="both"/>
        <w:rPr>
          <w:rFonts w:ascii="Palatino Linotype" w:hAnsi="Palatino Linotype" w:cs="Arial"/>
        </w:rPr>
      </w:pPr>
    </w:p>
    <w:p w:rsidR="001E7EF6" w:rsidRPr="00717165" w:rsidRDefault="001E7EF6" w:rsidP="001735AF">
      <w:pPr>
        <w:spacing w:after="0" w:line="240" w:lineRule="auto"/>
        <w:ind w:left="567" w:right="567"/>
        <w:jc w:val="both"/>
        <w:rPr>
          <w:rFonts w:ascii="Palatino Linotype" w:hAnsi="Palatino Linotype"/>
          <w:color w:val="000000"/>
        </w:rPr>
      </w:pPr>
      <w:r w:rsidRPr="00717165">
        <w:rPr>
          <w:rFonts w:ascii="Palatino Linotype" w:hAnsi="Palatino Linotype" w:cs="Arial"/>
          <w:i/>
        </w:rPr>
        <w:t>“</w:t>
      </w:r>
      <w:r w:rsidR="00DB2CCA" w:rsidRPr="00717165">
        <w:rPr>
          <w:rFonts w:ascii="Palatino Linotype" w:hAnsi="Palatino Linotype"/>
          <w:i/>
          <w:color w:val="000000"/>
        </w:rPr>
        <w:t>En la solicitud de información con el folio, 00386/TLALNEPA/IP/2020 que presenté con fecha del 06 de abril del presente año, me responden que no se adquirieron 175 patrullas por parte del Ayuntamiento, durante la administración actual, encabezada por el alcalde Marco Antonio Rodríguez Hurtado, sin embargo, en redes sociales el Ayuntamiento difundió la adquisición de patrullas nuevas, mismas que fueron también difundidas por el área de comunicación social entre los diferentes medios de comunicación, el 30 de marzo del presente año. En la siguiente liga del portal oficial del Ayuntamiento de Tlalnepantla aparece la información sobre la adquisición de las patruallas; además de que redes sociales el Ayuntamiento informó a los ciudadanos sobre la "adquisición de las patrullas" el 30 de marzo del presente año; en ambos se incluyen fotografías y videos de dicha entrega. http://www.tlalnepantla.gob.mx/pages/noticias/gobierno-de-tlalnepantla-fortalece-la-seguridad-del-municipio-con-la-entrega-de-patrullas-armas-y-e</w:t>
      </w:r>
      <w:r w:rsidRPr="00717165">
        <w:rPr>
          <w:rFonts w:ascii="Palatino Linotype" w:hAnsi="Palatino Linotype"/>
          <w:i/>
          <w:color w:val="000000"/>
        </w:rPr>
        <w:t xml:space="preserve"> (sic)</w:t>
      </w:r>
    </w:p>
    <w:p w:rsidR="001E7EF6" w:rsidRPr="00717165" w:rsidRDefault="001E7EF6" w:rsidP="001735AF">
      <w:pPr>
        <w:spacing w:after="0" w:line="360" w:lineRule="auto"/>
        <w:ind w:right="49"/>
        <w:jc w:val="both"/>
        <w:rPr>
          <w:rFonts w:ascii="Palatino Linotype" w:eastAsia="Times New Roman" w:hAnsi="Palatino Linotype" w:cs="Arial"/>
          <w:sz w:val="24"/>
          <w:lang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_tradnl" w:eastAsia="es-ES"/>
        </w:rPr>
      </w:pPr>
      <w:r w:rsidRPr="00717165">
        <w:rPr>
          <w:rFonts w:ascii="Palatino Linotype" w:eastAsia="Times New Roman" w:hAnsi="Palatino Linotype" w:cs="Arial"/>
          <w:b/>
          <w:sz w:val="28"/>
          <w:lang w:eastAsia="es-ES"/>
        </w:rPr>
        <w:lastRenderedPageBreak/>
        <w:t xml:space="preserve">CUARTO. </w:t>
      </w:r>
      <w:r w:rsidRPr="00717165">
        <w:rPr>
          <w:rFonts w:ascii="Palatino Linotype" w:eastAsia="Times New Roman" w:hAnsi="Palatino Linotype" w:cs="Arial"/>
          <w:sz w:val="24"/>
          <w:szCs w:val="24"/>
          <w:lang w:val="es-ES" w:eastAsia="es-ES"/>
        </w:rPr>
        <w:t xml:space="preserve">En fecha </w:t>
      </w:r>
      <w:r w:rsidR="00DB2CCA" w:rsidRPr="00717165">
        <w:rPr>
          <w:rFonts w:ascii="Palatino Linotype" w:eastAsia="Times New Roman" w:hAnsi="Palatino Linotype" w:cs="Arial"/>
          <w:sz w:val="24"/>
          <w:szCs w:val="24"/>
          <w:lang w:val="es-ES" w:eastAsia="es-ES"/>
        </w:rPr>
        <w:t>06</w:t>
      </w:r>
      <w:r w:rsidRPr="00717165">
        <w:rPr>
          <w:rFonts w:ascii="Palatino Linotype" w:eastAsia="Times New Roman" w:hAnsi="Palatino Linotype" w:cs="Arial"/>
          <w:sz w:val="24"/>
          <w:szCs w:val="24"/>
          <w:lang w:val="es-ES" w:eastAsia="es-ES"/>
        </w:rPr>
        <w:t xml:space="preserve"> (</w:t>
      </w:r>
      <w:r w:rsidR="00DB2CCA" w:rsidRPr="00717165">
        <w:rPr>
          <w:rFonts w:ascii="Palatino Linotype" w:eastAsia="Times New Roman" w:hAnsi="Palatino Linotype" w:cs="Arial"/>
          <w:sz w:val="24"/>
          <w:szCs w:val="24"/>
          <w:lang w:val="es-ES" w:eastAsia="es-ES"/>
        </w:rPr>
        <w:t>seis</w:t>
      </w:r>
      <w:r w:rsidRPr="00717165">
        <w:rPr>
          <w:rFonts w:ascii="Palatino Linotype" w:eastAsia="Times New Roman" w:hAnsi="Palatino Linotype" w:cs="Arial"/>
          <w:sz w:val="24"/>
          <w:szCs w:val="24"/>
          <w:lang w:val="es-ES" w:eastAsia="es-ES"/>
        </w:rPr>
        <w:t xml:space="preserve">) de </w:t>
      </w:r>
      <w:r w:rsidR="00DB2CCA" w:rsidRPr="00717165">
        <w:rPr>
          <w:rFonts w:ascii="Palatino Linotype" w:eastAsia="Times New Roman" w:hAnsi="Palatino Linotype" w:cs="Arial"/>
          <w:sz w:val="24"/>
          <w:szCs w:val="24"/>
          <w:lang w:val="es-ES" w:eastAsia="es-ES"/>
        </w:rPr>
        <w:t>junio</w:t>
      </w:r>
      <w:r w:rsidRPr="00717165">
        <w:rPr>
          <w:rFonts w:ascii="Palatino Linotype" w:eastAsia="Times New Roman" w:hAnsi="Palatino Linotype" w:cs="Arial"/>
          <w:sz w:val="24"/>
          <w:szCs w:val="24"/>
          <w:lang w:val="es-ES" w:eastAsia="es-ES"/>
        </w:rPr>
        <w:t xml:space="preserve"> de 2022 (dos mil veintidós), el </w:t>
      </w:r>
      <w:r w:rsidRPr="00717165">
        <w:rPr>
          <w:rFonts w:ascii="Palatino Linotype" w:eastAsia="Times New Roman" w:hAnsi="Palatino Linotype" w:cs="Arial"/>
          <w:sz w:val="24"/>
          <w:szCs w:val="24"/>
          <w:lang w:val="es-ES_tradnl" w:eastAsia="es-ES"/>
        </w:rPr>
        <w:t>recurso de que</w:t>
      </w:r>
      <w:r w:rsidRPr="00717165">
        <w:rPr>
          <w:rFonts w:ascii="Palatino Linotype" w:eastAsia="Times New Roman" w:hAnsi="Palatino Linotype" w:cs="Arial"/>
          <w:sz w:val="24"/>
          <w:szCs w:val="24"/>
          <w:lang w:val="es-ES" w:eastAsia="es-ES"/>
        </w:rPr>
        <w:t xml:space="preserve"> se trata</w:t>
      </w:r>
      <w:r w:rsidRPr="00717165">
        <w:rPr>
          <w:rFonts w:ascii="Palatino Linotype" w:eastAsia="Times New Roman" w:hAnsi="Palatino Linotype" w:cs="Arial"/>
          <w:sz w:val="24"/>
          <w:szCs w:val="24"/>
          <w:lang w:val="es-ES_tradnl" w:eastAsia="es-ES"/>
        </w:rPr>
        <w:t xml:space="preserve"> se envió electrónicamente al Instituto de </w:t>
      </w:r>
      <w:r w:rsidRPr="00717165">
        <w:rPr>
          <w:rFonts w:ascii="Palatino Linotype" w:eastAsia="Arial Unicode MS" w:hAnsi="Palatino Linotype" w:cs="Arial"/>
          <w:sz w:val="24"/>
          <w:szCs w:val="24"/>
          <w:lang w:val="es-ES" w:eastAsia="es-ES"/>
        </w:rPr>
        <w:t>Transparencia</w:t>
      </w:r>
      <w:r w:rsidRPr="0071716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717165">
        <w:rPr>
          <w:rFonts w:ascii="Palatino Linotype" w:eastAsia="Times New Roman" w:hAnsi="Palatino Linotype" w:cs="Times New Roman"/>
          <w:sz w:val="24"/>
          <w:szCs w:val="24"/>
          <w:lang w:val="es-ES" w:eastAsia="es-ES"/>
        </w:rPr>
        <w:t>Ley de Transparencia y Acceso a la Información Pública del Estado de México y Municipios</w:t>
      </w:r>
      <w:r w:rsidRPr="00717165">
        <w:rPr>
          <w:rFonts w:ascii="Palatino Linotype" w:eastAsia="Times New Roman" w:hAnsi="Palatino Linotype" w:cs="Arial"/>
          <w:sz w:val="24"/>
          <w:szCs w:val="24"/>
          <w:lang w:val="es-ES_tradnl" w:eastAsia="es-ES"/>
        </w:rPr>
        <w:t>, se turnó a través del</w:t>
      </w:r>
      <w:r w:rsidRPr="00717165">
        <w:rPr>
          <w:rFonts w:ascii="Palatino Linotype" w:eastAsia="Arial Unicode MS" w:hAnsi="Palatino Linotype" w:cs="Arial"/>
          <w:sz w:val="24"/>
          <w:szCs w:val="24"/>
          <w:lang w:val="es-ES_tradnl" w:eastAsia="es-ES"/>
        </w:rPr>
        <w:t xml:space="preserve"> </w:t>
      </w:r>
      <w:r w:rsidRPr="00717165">
        <w:rPr>
          <w:rFonts w:ascii="Palatino Linotype" w:eastAsia="Arial Unicode MS" w:hAnsi="Palatino Linotype" w:cs="Arial"/>
          <w:b/>
          <w:sz w:val="24"/>
          <w:szCs w:val="24"/>
          <w:lang w:val="es-ES_tradnl" w:eastAsia="es-ES"/>
        </w:rPr>
        <w:t>SAIMEX</w:t>
      </w:r>
      <w:r w:rsidRPr="00717165">
        <w:rPr>
          <w:rFonts w:ascii="Palatino Linotype" w:eastAsia="Times New Roman" w:hAnsi="Palatino Linotype" w:cs="Times New Roman"/>
          <w:sz w:val="24"/>
          <w:szCs w:val="24"/>
          <w:lang w:val="es-ES" w:eastAsia="es-ES"/>
        </w:rPr>
        <w:t xml:space="preserve"> al </w:t>
      </w:r>
      <w:r w:rsidRPr="00717165">
        <w:rPr>
          <w:rFonts w:ascii="Palatino Linotype" w:eastAsia="Times New Roman" w:hAnsi="Palatino Linotype" w:cs="Arial"/>
          <w:sz w:val="24"/>
          <w:szCs w:val="24"/>
          <w:lang w:val="es-ES_tradnl" w:eastAsia="es-ES"/>
        </w:rPr>
        <w:t xml:space="preserve">Comisionado Presidente </w:t>
      </w:r>
      <w:r w:rsidRPr="00717165">
        <w:rPr>
          <w:rFonts w:ascii="Palatino Linotype" w:eastAsia="Times New Roman" w:hAnsi="Palatino Linotype" w:cs="Arial"/>
          <w:b/>
          <w:sz w:val="24"/>
          <w:szCs w:val="24"/>
          <w:lang w:val="es-ES_tradnl" w:eastAsia="es-ES"/>
        </w:rPr>
        <w:t xml:space="preserve">JOSÉ MARTÍNEZ VILCHIS, </w:t>
      </w:r>
      <w:r w:rsidRPr="00717165">
        <w:rPr>
          <w:rFonts w:ascii="Palatino Linotype" w:eastAsia="Times New Roman" w:hAnsi="Palatino Linotype" w:cs="Arial"/>
          <w:sz w:val="24"/>
          <w:szCs w:val="24"/>
          <w:lang w:val="es-ES_tradnl" w:eastAsia="es-ES"/>
        </w:rPr>
        <w:t>a efecto de que decretara su admisión o desechamiento.</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_tradnl" w:eastAsia="es-ES"/>
        </w:rPr>
      </w:pPr>
    </w:p>
    <w:p w:rsidR="00DB2CCA" w:rsidRPr="00717165" w:rsidRDefault="00DB2CCA" w:rsidP="001735AF">
      <w:pPr>
        <w:spacing w:after="0" w:line="360" w:lineRule="auto"/>
        <w:ind w:right="49"/>
        <w:jc w:val="both"/>
        <w:rPr>
          <w:rFonts w:ascii="Palatino Linotype" w:eastAsia="Times New Roman" w:hAnsi="Palatino Linotype" w:cs="Arial"/>
          <w:sz w:val="24"/>
          <w:szCs w:val="24"/>
          <w:lang w:val="es-ES_tradnl"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8"/>
          <w:szCs w:val="28"/>
          <w:lang w:val="es-ES_tradnl" w:eastAsia="es-ES"/>
        </w:rPr>
        <w:t xml:space="preserve">QUINTO. </w:t>
      </w:r>
      <w:r w:rsidRPr="00717165">
        <w:rPr>
          <w:rFonts w:ascii="Palatino Linotype" w:eastAsia="Times New Roman" w:hAnsi="Palatino Linotype" w:cs="Arial"/>
          <w:sz w:val="24"/>
          <w:szCs w:val="24"/>
          <w:lang w:val="es-ES_tradnl" w:eastAsia="es-ES"/>
        </w:rPr>
        <w:t>E</w:t>
      </w:r>
      <w:r w:rsidRPr="00717165">
        <w:rPr>
          <w:rFonts w:ascii="Palatino Linotype" w:eastAsia="Times New Roman" w:hAnsi="Palatino Linotype" w:cs="Arial"/>
          <w:sz w:val="24"/>
          <w:szCs w:val="24"/>
          <w:lang w:val="es-ES" w:eastAsia="es-ES"/>
        </w:rPr>
        <w:t xml:space="preserve">n fecha </w:t>
      </w:r>
      <w:r w:rsidR="00DB2CCA" w:rsidRPr="00717165">
        <w:rPr>
          <w:rFonts w:ascii="Palatino Linotype" w:eastAsia="Times New Roman" w:hAnsi="Palatino Linotype" w:cs="Arial"/>
          <w:sz w:val="24"/>
          <w:szCs w:val="24"/>
          <w:lang w:val="es-ES" w:eastAsia="es-ES"/>
        </w:rPr>
        <w:t>09</w:t>
      </w:r>
      <w:r w:rsidRPr="00717165">
        <w:rPr>
          <w:rFonts w:ascii="Palatino Linotype" w:eastAsia="Times New Roman" w:hAnsi="Palatino Linotype" w:cs="Arial"/>
          <w:sz w:val="24"/>
          <w:szCs w:val="24"/>
          <w:lang w:val="es-ES" w:eastAsia="es-ES"/>
        </w:rPr>
        <w:t xml:space="preserve"> (</w:t>
      </w:r>
      <w:r w:rsidR="00DB2CCA" w:rsidRPr="00717165">
        <w:rPr>
          <w:rFonts w:ascii="Palatino Linotype" w:eastAsia="Times New Roman" w:hAnsi="Palatino Linotype" w:cs="Arial"/>
          <w:sz w:val="24"/>
          <w:szCs w:val="24"/>
          <w:lang w:val="es-ES" w:eastAsia="es-ES"/>
        </w:rPr>
        <w:t>nueve</w:t>
      </w:r>
      <w:r w:rsidRPr="00717165">
        <w:rPr>
          <w:rFonts w:ascii="Palatino Linotype" w:eastAsia="Times New Roman" w:hAnsi="Palatino Linotype" w:cs="Arial"/>
          <w:sz w:val="24"/>
          <w:szCs w:val="24"/>
          <w:lang w:val="es-ES" w:eastAsia="es-ES"/>
        </w:rPr>
        <w:t xml:space="preserve">) de </w:t>
      </w:r>
      <w:r w:rsidR="00DB2CCA" w:rsidRPr="00717165">
        <w:rPr>
          <w:rFonts w:ascii="Palatino Linotype" w:eastAsia="Times New Roman" w:hAnsi="Palatino Linotype" w:cs="Arial"/>
          <w:sz w:val="24"/>
          <w:szCs w:val="24"/>
          <w:lang w:val="es-ES" w:eastAsia="es-ES"/>
        </w:rPr>
        <w:t>junio</w:t>
      </w:r>
      <w:r w:rsidRPr="00717165">
        <w:rPr>
          <w:rFonts w:ascii="Palatino Linotype" w:eastAsia="Times New Roman" w:hAnsi="Palatino Linotype" w:cs="Arial"/>
          <w:sz w:val="24"/>
          <w:szCs w:val="24"/>
          <w:lang w:val="es-ES" w:eastAsia="es-ES"/>
        </w:rPr>
        <w:t xml:space="preserve"> de 2022 (dos mil veintidós), atento a lo dispuesto en el </w:t>
      </w:r>
      <w:r w:rsidRPr="00717165">
        <w:rPr>
          <w:rFonts w:ascii="Palatino Linotype" w:eastAsia="Times New Roman" w:hAnsi="Palatino Linotype" w:cs="Arial"/>
          <w:sz w:val="24"/>
          <w:szCs w:val="24"/>
          <w:lang w:val="es-ES_tradnl" w:eastAsia="es-ES"/>
        </w:rPr>
        <w:t>artículo</w:t>
      </w:r>
      <w:r w:rsidRPr="00717165">
        <w:rPr>
          <w:rFonts w:ascii="Palatino Linotype" w:eastAsia="Times New Roman" w:hAnsi="Palatino Linotype" w:cs="Arial"/>
          <w:sz w:val="24"/>
          <w:szCs w:val="24"/>
          <w:lang w:val="es-ES" w:eastAsia="es-ES"/>
        </w:rPr>
        <w:t xml:space="preserve"> 185 fracciones I, II y IV </w:t>
      </w:r>
      <w:r w:rsidRPr="00717165">
        <w:rPr>
          <w:rFonts w:ascii="Palatino Linotype" w:eastAsia="Times New Roman" w:hAnsi="Palatino Linotype" w:cs="Arial"/>
          <w:sz w:val="24"/>
          <w:szCs w:val="24"/>
          <w:lang w:val="es-ES_tradnl" w:eastAsia="es-ES"/>
        </w:rPr>
        <w:t xml:space="preserve">de la </w:t>
      </w:r>
      <w:r w:rsidRPr="00717165">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717165">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b/>
          <w:sz w:val="28"/>
          <w:szCs w:val="28"/>
        </w:rPr>
        <w:t xml:space="preserve">SEXTO. </w:t>
      </w:r>
      <w:r w:rsidRPr="00717165">
        <w:rPr>
          <w:rFonts w:ascii="Palatino Linotype" w:hAnsi="Palatino Linotype" w:cs="Arial"/>
          <w:sz w:val="24"/>
          <w:szCs w:val="24"/>
        </w:rPr>
        <w:t xml:space="preserve">Una vez abierta la etapa de instrucción, se advierte que el </w:t>
      </w:r>
      <w:r w:rsidRPr="00717165">
        <w:rPr>
          <w:rFonts w:ascii="Palatino Linotype" w:hAnsi="Palatino Linotype" w:cs="Arial"/>
          <w:b/>
          <w:sz w:val="24"/>
          <w:szCs w:val="24"/>
        </w:rPr>
        <w:t>Sujeto Obligado</w:t>
      </w:r>
      <w:r w:rsidRPr="00717165">
        <w:rPr>
          <w:rFonts w:ascii="Palatino Linotype" w:hAnsi="Palatino Linotype" w:cs="Arial"/>
          <w:sz w:val="24"/>
          <w:szCs w:val="24"/>
        </w:rPr>
        <w:t xml:space="preserve"> </w:t>
      </w:r>
      <w:r w:rsidR="00DB2CCA" w:rsidRPr="00717165">
        <w:rPr>
          <w:rFonts w:ascii="Palatino Linotype" w:hAnsi="Palatino Linotype" w:cs="Arial"/>
          <w:sz w:val="24"/>
          <w:szCs w:val="24"/>
        </w:rPr>
        <w:t>rindió su informe justificado por medio de los documentos electrónicos “</w:t>
      </w:r>
      <w:r w:rsidR="00DB2CCA" w:rsidRPr="00717165">
        <w:rPr>
          <w:rFonts w:ascii="Palatino Linotype" w:hAnsi="Palatino Linotype" w:cs="Arial"/>
          <w:b/>
          <w:i/>
          <w:sz w:val="24"/>
          <w:szCs w:val="24"/>
        </w:rPr>
        <w:t>RR 10535 REGISTRO 3531.pdf, RR 10535 FOLIO 4073.pdf, RR 10535 SM.03797-2022.pdf</w:t>
      </w:r>
      <w:r w:rsidR="00DB2CCA" w:rsidRPr="00717165">
        <w:rPr>
          <w:rFonts w:ascii="Palatino Linotype" w:hAnsi="Palatino Linotype" w:cs="Arial"/>
          <w:sz w:val="24"/>
          <w:szCs w:val="24"/>
        </w:rPr>
        <w:t xml:space="preserve"> y</w:t>
      </w:r>
      <w:r w:rsidR="00DB2CCA" w:rsidRPr="00717165">
        <w:rPr>
          <w:rFonts w:ascii="Palatino Linotype" w:hAnsi="Palatino Linotype" w:cs="Arial"/>
          <w:b/>
          <w:i/>
          <w:sz w:val="24"/>
          <w:szCs w:val="24"/>
        </w:rPr>
        <w:t xml:space="preserve"> RR 10535 ADMINISTRACIÓN.pdf</w:t>
      </w:r>
      <w:r w:rsidR="00DB2CCA" w:rsidRPr="00717165">
        <w:rPr>
          <w:rFonts w:ascii="Palatino Linotype" w:hAnsi="Palatino Linotype" w:cs="Arial"/>
          <w:sz w:val="24"/>
          <w:szCs w:val="24"/>
        </w:rPr>
        <w:t xml:space="preserve">”, los cuales fueron puestos a la vista de </w:t>
      </w:r>
      <w:r w:rsidRPr="00717165">
        <w:rPr>
          <w:rFonts w:ascii="Palatino Linotype" w:hAnsi="Palatino Linotype" w:cs="Arial"/>
          <w:sz w:val="24"/>
          <w:szCs w:val="24"/>
        </w:rPr>
        <w:t xml:space="preserve">la </w:t>
      </w:r>
      <w:r w:rsidRPr="00717165">
        <w:rPr>
          <w:rFonts w:ascii="Palatino Linotype" w:hAnsi="Palatino Linotype" w:cs="Arial"/>
          <w:b/>
          <w:sz w:val="24"/>
          <w:szCs w:val="24"/>
        </w:rPr>
        <w:t>Recurrente</w:t>
      </w:r>
      <w:r w:rsidRPr="00717165">
        <w:rPr>
          <w:rFonts w:ascii="Palatino Linotype" w:hAnsi="Palatino Linotype" w:cs="Arial"/>
          <w:sz w:val="24"/>
          <w:szCs w:val="24"/>
        </w:rPr>
        <w:t xml:space="preserve"> </w:t>
      </w:r>
      <w:r w:rsidR="00DB2CCA" w:rsidRPr="00717165">
        <w:rPr>
          <w:rFonts w:ascii="Palatino Linotype" w:hAnsi="Palatino Linotype" w:cs="Arial"/>
          <w:sz w:val="24"/>
          <w:szCs w:val="24"/>
        </w:rPr>
        <w:t>a efecto que presentara las</w:t>
      </w:r>
      <w:r w:rsidRPr="00717165">
        <w:rPr>
          <w:rFonts w:ascii="Palatino Linotype" w:hAnsi="Palatino Linotype" w:cs="Arial"/>
          <w:sz w:val="24"/>
          <w:szCs w:val="24"/>
        </w:rPr>
        <w:t xml:space="preserve"> manifestaciones que a sus intereses conviniera, dentro del término </w:t>
      </w:r>
      <w:r w:rsidR="00DB2CCA" w:rsidRPr="00717165">
        <w:rPr>
          <w:rFonts w:ascii="Palatino Linotype" w:hAnsi="Palatino Linotype" w:cs="Arial"/>
          <w:sz w:val="24"/>
          <w:szCs w:val="24"/>
        </w:rPr>
        <w:t>de tres días, circunstancia que no fue desahogada.</w:t>
      </w: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lastRenderedPageBreak/>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DB2CCA" w:rsidRPr="00717165">
        <w:rPr>
          <w:rFonts w:ascii="Palatino Linotype" w:hAnsi="Palatino Linotype" w:cs="Arial"/>
          <w:sz w:val="24"/>
          <w:szCs w:val="24"/>
        </w:rPr>
        <w:t>29</w:t>
      </w:r>
      <w:r w:rsidRPr="00717165">
        <w:rPr>
          <w:rFonts w:ascii="Palatino Linotype" w:hAnsi="Palatino Linotype" w:cs="Arial"/>
          <w:sz w:val="24"/>
          <w:szCs w:val="24"/>
        </w:rPr>
        <w:t xml:space="preserve"> (</w:t>
      </w:r>
      <w:r w:rsidR="00DB2CCA" w:rsidRPr="00717165">
        <w:rPr>
          <w:rFonts w:ascii="Palatino Linotype" w:hAnsi="Palatino Linotype" w:cs="Arial"/>
          <w:sz w:val="24"/>
          <w:szCs w:val="24"/>
        </w:rPr>
        <w:t>veintinueve</w:t>
      </w:r>
      <w:r w:rsidRPr="00717165">
        <w:rPr>
          <w:rFonts w:ascii="Palatino Linotype" w:hAnsi="Palatino Linotype" w:cs="Arial"/>
          <w:sz w:val="24"/>
          <w:szCs w:val="24"/>
        </w:rPr>
        <w:t>) de junio de 2022 (dos mil veintidós), en términos del artículo 185 fracción VI de la Ley de Transparencia y Acceso a la Información Pública del Estado de México y Municipios, ordenándose turnar los expedientes a la resolución que en derecho proceda.</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DB2CCA" w:rsidP="001735AF">
      <w:pPr>
        <w:spacing w:after="0" w:line="360" w:lineRule="auto"/>
        <w:jc w:val="both"/>
        <w:rPr>
          <w:rFonts w:ascii="Palatino Linotype" w:hAnsi="Palatino Linotype" w:cs="Arial"/>
          <w:sz w:val="24"/>
          <w:szCs w:val="24"/>
        </w:rPr>
      </w:pPr>
      <w:r w:rsidRPr="00717165">
        <w:rPr>
          <w:rFonts w:ascii="Palatino Linotype" w:hAnsi="Palatino Linotype" w:cs="Arial"/>
          <w:b/>
          <w:sz w:val="28"/>
          <w:szCs w:val="28"/>
        </w:rPr>
        <w:t>SÉPTTIMO</w:t>
      </w:r>
      <w:r w:rsidR="001E7EF6" w:rsidRPr="00717165">
        <w:rPr>
          <w:rFonts w:ascii="Palatino Linotype" w:hAnsi="Palatino Linotype" w:cs="Arial"/>
          <w:b/>
          <w:sz w:val="28"/>
          <w:szCs w:val="28"/>
        </w:rPr>
        <w:t xml:space="preserve">. </w:t>
      </w:r>
      <w:r w:rsidR="001E7EF6" w:rsidRPr="00717165">
        <w:rPr>
          <w:rFonts w:ascii="Palatino Linotype" w:hAnsi="Palatino Linotype" w:cs="Arial"/>
          <w:sz w:val="24"/>
          <w:szCs w:val="24"/>
        </w:rPr>
        <w:t xml:space="preserve">De las constancias que integran el expediente electrónico , se advierte que ha transcurrido el término de Ley, para la emisión de la resolución en el presente recurso de revisión, por lo que en fecha 04 (cuatro) de </w:t>
      </w:r>
      <w:r w:rsidRPr="00717165">
        <w:rPr>
          <w:rFonts w:ascii="Palatino Linotype" w:hAnsi="Palatino Linotype" w:cs="Arial"/>
          <w:sz w:val="24"/>
          <w:szCs w:val="24"/>
        </w:rPr>
        <w:t>agosto</w:t>
      </w:r>
      <w:r w:rsidR="001E7EF6" w:rsidRPr="00717165">
        <w:rPr>
          <w:rFonts w:ascii="Palatino Linotype" w:hAnsi="Palatino Linotype" w:cs="Arial"/>
          <w:sz w:val="24"/>
          <w:szCs w:val="24"/>
        </w:rPr>
        <w:t xml:space="preserve"> de 2022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left="993" w:right="49" w:hanging="426"/>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4"/>
          <w:szCs w:val="24"/>
          <w:lang w:val="es-ES" w:eastAsia="es-ES"/>
        </w:rPr>
        <w:t xml:space="preserve">a) </w:t>
      </w:r>
      <w:r w:rsidRPr="00717165">
        <w:rPr>
          <w:rFonts w:ascii="Palatino Linotype" w:eastAsia="Times New Roman" w:hAnsi="Palatino Linotype" w:cs="Arial"/>
          <w:b/>
          <w:sz w:val="24"/>
          <w:szCs w:val="24"/>
          <w:lang w:val="es-ES" w:eastAsia="es-ES"/>
        </w:rPr>
        <w:tab/>
        <w:t>Complejidad del asunto:</w:t>
      </w:r>
      <w:r w:rsidRPr="00717165">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1E7EF6" w:rsidRPr="00717165" w:rsidRDefault="001E7EF6" w:rsidP="001735AF">
      <w:pPr>
        <w:spacing w:after="0" w:line="360" w:lineRule="auto"/>
        <w:ind w:left="993" w:right="49" w:hanging="426"/>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4"/>
          <w:szCs w:val="24"/>
          <w:lang w:val="es-ES" w:eastAsia="es-ES"/>
        </w:rPr>
        <w:t xml:space="preserve">b) </w:t>
      </w:r>
      <w:r w:rsidRPr="00717165">
        <w:rPr>
          <w:rFonts w:ascii="Palatino Linotype" w:eastAsia="Times New Roman" w:hAnsi="Palatino Linotype" w:cs="Arial"/>
          <w:b/>
          <w:sz w:val="24"/>
          <w:szCs w:val="24"/>
          <w:lang w:val="es-ES" w:eastAsia="es-ES"/>
        </w:rPr>
        <w:tab/>
        <w:t>Actividad Procesal del interesado:</w:t>
      </w:r>
      <w:r w:rsidRPr="00717165">
        <w:rPr>
          <w:rFonts w:ascii="Palatino Linotype" w:eastAsia="Times New Roman" w:hAnsi="Palatino Linotype" w:cs="Arial"/>
          <w:sz w:val="24"/>
          <w:szCs w:val="24"/>
          <w:lang w:val="es-ES" w:eastAsia="es-ES"/>
        </w:rPr>
        <w:t xml:space="preserve"> Acciones u omisiones del interesado.</w:t>
      </w:r>
    </w:p>
    <w:p w:rsidR="001E7EF6" w:rsidRPr="00717165" w:rsidRDefault="001E7EF6" w:rsidP="001735AF">
      <w:pPr>
        <w:spacing w:after="0" w:line="360" w:lineRule="auto"/>
        <w:ind w:left="993" w:right="49" w:hanging="426"/>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4"/>
          <w:szCs w:val="24"/>
          <w:lang w:val="es-ES" w:eastAsia="es-ES"/>
        </w:rPr>
        <w:lastRenderedPageBreak/>
        <w:t xml:space="preserve">c) </w:t>
      </w:r>
      <w:r w:rsidRPr="00717165">
        <w:rPr>
          <w:rFonts w:ascii="Palatino Linotype" w:eastAsia="Times New Roman" w:hAnsi="Palatino Linotype" w:cs="Arial"/>
          <w:b/>
          <w:sz w:val="24"/>
          <w:szCs w:val="24"/>
          <w:lang w:val="es-ES" w:eastAsia="es-ES"/>
        </w:rPr>
        <w:tab/>
        <w:t>Conducta de la Autoridad:</w:t>
      </w:r>
      <w:r w:rsidRPr="00717165">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1E7EF6" w:rsidRPr="00717165" w:rsidRDefault="001E7EF6" w:rsidP="001735AF">
      <w:pPr>
        <w:spacing w:after="0" w:line="360" w:lineRule="auto"/>
        <w:ind w:left="993" w:right="49" w:hanging="426"/>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4"/>
          <w:szCs w:val="24"/>
          <w:lang w:val="es-ES" w:eastAsia="es-ES"/>
        </w:rPr>
        <w:t xml:space="preserve">d) </w:t>
      </w:r>
      <w:r w:rsidRPr="00717165">
        <w:rPr>
          <w:rFonts w:ascii="Palatino Linotype" w:eastAsia="Times New Roman" w:hAnsi="Palatino Linotype" w:cs="Arial"/>
          <w:b/>
          <w:sz w:val="24"/>
          <w:szCs w:val="24"/>
          <w:lang w:val="es-ES" w:eastAsia="es-ES"/>
        </w:rPr>
        <w:tab/>
        <w:t>La afectación generada en la situación jurídica de la persona involucrada en el proceso:</w:t>
      </w:r>
      <w:r w:rsidRPr="00717165">
        <w:rPr>
          <w:rFonts w:ascii="Palatino Linotype" w:eastAsia="Times New Roman" w:hAnsi="Palatino Linotype" w:cs="Arial"/>
          <w:sz w:val="24"/>
          <w:szCs w:val="24"/>
          <w:lang w:val="es-ES" w:eastAsia="es-ES"/>
        </w:rPr>
        <w:t xml:space="preserve"> Violación a sus derechos humanos.</w:t>
      </w:r>
    </w:p>
    <w:p w:rsidR="00DB2CCA" w:rsidRPr="00717165" w:rsidRDefault="00DB2CCA"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717165">
        <w:rPr>
          <w:rFonts w:ascii="Palatino Linotype" w:eastAsia="Times New Roman" w:hAnsi="Palatino Linotype" w:cs="Arial"/>
          <w:sz w:val="24"/>
          <w:szCs w:val="24"/>
          <w:lang w:val="es-ES" w:eastAsia="es-ES"/>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B2CCA" w:rsidRPr="00717165" w:rsidRDefault="00DB2CCA"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 </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p>
    <w:p w:rsidR="001E7EF6" w:rsidRPr="00717165" w:rsidRDefault="001E7EF6" w:rsidP="001735AF">
      <w:pPr>
        <w:spacing w:after="0" w:line="360" w:lineRule="auto"/>
        <w:ind w:right="49"/>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spacing w:after="0" w:line="360" w:lineRule="auto"/>
        <w:jc w:val="center"/>
        <w:rPr>
          <w:rFonts w:ascii="Palatino Linotype" w:hAnsi="Palatino Linotype" w:cs="Arial"/>
          <w:sz w:val="24"/>
          <w:szCs w:val="24"/>
        </w:rPr>
      </w:pPr>
      <w:r w:rsidRPr="00717165">
        <w:rPr>
          <w:rFonts w:ascii="Palatino Linotype" w:hAnsi="Palatino Linotype" w:cs="Arial"/>
          <w:b/>
          <w:sz w:val="28"/>
          <w:szCs w:val="24"/>
        </w:rPr>
        <w:t xml:space="preserve">C O N S I D E R A N D O </w:t>
      </w:r>
    </w:p>
    <w:p w:rsidR="001E7EF6" w:rsidRPr="00717165" w:rsidRDefault="001E7EF6" w:rsidP="001735AF">
      <w:pPr>
        <w:spacing w:after="0" w:line="360" w:lineRule="auto"/>
        <w:jc w:val="center"/>
        <w:rPr>
          <w:rFonts w:ascii="Palatino Linotype" w:hAnsi="Palatino Linotype" w:cs="Arial"/>
          <w:sz w:val="24"/>
          <w:szCs w:val="24"/>
        </w:rPr>
      </w:pPr>
    </w:p>
    <w:p w:rsidR="001E7EF6" w:rsidRPr="00717165" w:rsidRDefault="001E7EF6" w:rsidP="001735AF">
      <w:pPr>
        <w:spacing w:after="0" w:line="360" w:lineRule="auto"/>
        <w:jc w:val="both"/>
        <w:rPr>
          <w:rFonts w:ascii="Palatino Linotype" w:hAnsi="Palatino Linotype" w:cs="Arial"/>
          <w:sz w:val="28"/>
          <w:szCs w:val="28"/>
        </w:rPr>
      </w:pPr>
      <w:r w:rsidRPr="00717165">
        <w:rPr>
          <w:rFonts w:ascii="Palatino Linotype" w:hAnsi="Palatino Linotype" w:cs="Arial"/>
          <w:b/>
          <w:sz w:val="28"/>
          <w:szCs w:val="28"/>
        </w:rPr>
        <w:lastRenderedPageBreak/>
        <w:t xml:space="preserve">PRIMERO. </w:t>
      </w:r>
      <w:r w:rsidRPr="00717165">
        <w:rPr>
          <w:rFonts w:ascii="Palatino Linotype" w:hAnsi="Palatino Linotype" w:cs="Arial"/>
          <w:b/>
          <w:sz w:val="26"/>
          <w:szCs w:val="26"/>
        </w:rPr>
        <w:t>De la competencia</w:t>
      </w:r>
      <w:r w:rsidRPr="00717165">
        <w:rPr>
          <w:rFonts w:ascii="Palatino Linotype" w:hAnsi="Palatino Linotype" w:cs="Arial"/>
          <w:sz w:val="26"/>
          <w:szCs w:val="26"/>
        </w:rPr>
        <w:t>.</w:t>
      </w: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17165">
        <w:rPr>
          <w:rFonts w:ascii="Palatino Linotype" w:hAnsi="Palatino Linotype" w:cs="Arial"/>
          <w:b/>
          <w:sz w:val="24"/>
          <w:szCs w:val="24"/>
        </w:rPr>
        <w:t>Recurrente</w:t>
      </w:r>
      <w:r w:rsidRPr="00717165">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spacing w:after="0" w:line="360" w:lineRule="auto"/>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360" w:lineRule="auto"/>
        <w:jc w:val="both"/>
        <w:rPr>
          <w:rFonts w:ascii="Palatino Linotype" w:hAnsi="Palatino Linotype" w:cs="Arial"/>
          <w:bCs/>
          <w:sz w:val="24"/>
          <w:szCs w:val="24"/>
        </w:rPr>
      </w:pPr>
      <w:r w:rsidRPr="00717165">
        <w:rPr>
          <w:rFonts w:ascii="Palatino Linotype" w:hAnsi="Palatino Linotype" w:cs="Arial"/>
          <w:b/>
          <w:sz w:val="28"/>
          <w:szCs w:val="28"/>
        </w:rPr>
        <w:t>SEGUNDO. Del alcance del recurso de revisión.</w:t>
      </w:r>
      <w:r w:rsidRPr="00717165">
        <w:rPr>
          <w:rFonts w:ascii="Palatino Linotype" w:hAnsi="Palatino Linotype" w:cs="Arial"/>
          <w:bCs/>
          <w:sz w:val="28"/>
          <w:szCs w:val="28"/>
        </w:rPr>
        <w:t xml:space="preserve"> </w:t>
      </w:r>
    </w:p>
    <w:p w:rsidR="001E7EF6" w:rsidRPr="00717165" w:rsidRDefault="001E7EF6" w:rsidP="001735AF">
      <w:pPr>
        <w:autoSpaceDE w:val="0"/>
        <w:autoSpaceDN w:val="0"/>
        <w:adjustRightInd w:val="0"/>
        <w:spacing w:after="0" w:line="360" w:lineRule="auto"/>
        <w:jc w:val="both"/>
        <w:rPr>
          <w:rFonts w:ascii="Palatino Linotype" w:hAnsi="Palatino Linotype" w:cs="Arial"/>
          <w:bCs/>
          <w:sz w:val="24"/>
          <w:szCs w:val="24"/>
        </w:rPr>
      </w:pPr>
      <w:r w:rsidRPr="00717165">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1E7EF6" w:rsidRPr="00717165" w:rsidRDefault="001E7EF6" w:rsidP="001735AF">
      <w:pPr>
        <w:autoSpaceDE w:val="0"/>
        <w:autoSpaceDN w:val="0"/>
        <w:adjustRightInd w:val="0"/>
        <w:spacing w:after="0" w:line="360" w:lineRule="auto"/>
        <w:jc w:val="both"/>
        <w:rPr>
          <w:rFonts w:ascii="Palatino Linotype" w:hAnsi="Palatino Linotype" w:cs="Arial"/>
          <w:bCs/>
          <w:sz w:val="24"/>
          <w:szCs w:val="24"/>
        </w:rPr>
      </w:pP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r w:rsidRPr="00717165">
        <w:rPr>
          <w:rFonts w:ascii="Palatino Linotype" w:hAnsi="Palatino Linotype" w:cs="Arial"/>
          <w:sz w:val="24"/>
          <w:szCs w:val="24"/>
        </w:rPr>
        <w:lastRenderedPageBreak/>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B2CCA" w:rsidRPr="00717165" w:rsidRDefault="00DB2CCA" w:rsidP="001735AF">
      <w:pPr>
        <w:autoSpaceDE w:val="0"/>
        <w:autoSpaceDN w:val="0"/>
        <w:adjustRightInd w:val="0"/>
        <w:spacing w:after="0" w:line="360" w:lineRule="auto"/>
        <w:jc w:val="both"/>
        <w:rPr>
          <w:rFonts w:ascii="Palatino Linotype" w:hAnsi="Palatino Linotype" w:cs="Arial"/>
          <w:sz w:val="24"/>
          <w:szCs w:val="24"/>
        </w:rPr>
      </w:pPr>
    </w:p>
    <w:p w:rsidR="00DB2CCA" w:rsidRPr="00717165" w:rsidRDefault="00DB2CCA" w:rsidP="001735AF">
      <w:pPr>
        <w:autoSpaceDE w:val="0"/>
        <w:autoSpaceDN w:val="0"/>
        <w:adjustRightInd w:val="0"/>
        <w:spacing w:after="0" w:line="360" w:lineRule="auto"/>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360" w:lineRule="auto"/>
        <w:jc w:val="both"/>
        <w:rPr>
          <w:rFonts w:ascii="Palatino Linotype" w:hAnsi="Palatino Linotype" w:cs="Arial"/>
          <w:b/>
          <w:sz w:val="28"/>
          <w:szCs w:val="28"/>
        </w:rPr>
      </w:pPr>
      <w:r w:rsidRPr="00717165">
        <w:rPr>
          <w:rFonts w:ascii="Palatino Linotype" w:hAnsi="Palatino Linotype" w:cs="Arial"/>
          <w:b/>
          <w:sz w:val="28"/>
          <w:szCs w:val="28"/>
        </w:rPr>
        <w:t xml:space="preserve">TERCERO. Del estudio de las causas de improcedencia. </w:t>
      </w: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r w:rsidRPr="0071716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p>
    <w:p w:rsidR="001E7EF6" w:rsidRPr="00717165" w:rsidRDefault="001E7EF6" w:rsidP="001735AF">
      <w:pPr>
        <w:spacing w:after="0" w:line="240" w:lineRule="auto"/>
        <w:ind w:left="567" w:right="567"/>
        <w:jc w:val="both"/>
        <w:rPr>
          <w:rFonts w:ascii="Palatino Linotype" w:hAnsi="Palatino Linotype" w:cs="Arial"/>
        </w:rPr>
      </w:pPr>
      <w:r w:rsidRPr="0071716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717165">
        <w:rPr>
          <w:rFonts w:ascii="Palatino Linotype" w:hAnsi="Palatino Linotype"/>
          <w:i/>
        </w:rPr>
        <w:t xml:space="preserve">Del examen de compatibilidad de los artículos </w:t>
      </w:r>
      <w:hyperlink r:id="rId7" w:history="1">
        <w:r w:rsidRPr="00717165">
          <w:rPr>
            <w:rFonts w:ascii="Palatino Linotype" w:eastAsia="Calibri" w:hAnsi="Palatino Linotype"/>
            <w:i/>
            <w:color w:val="0563C1" w:themeColor="hyperlink"/>
            <w:u w:val="single"/>
          </w:rPr>
          <w:t>73 y 74 de la Ley de Amparo</w:t>
        </w:r>
      </w:hyperlink>
      <w:r w:rsidRPr="00717165">
        <w:rPr>
          <w:rFonts w:ascii="Palatino Linotype" w:eastAsia="Calibri" w:hAnsi="Palatino Linotype"/>
          <w:i/>
          <w:color w:val="0563C1" w:themeColor="hyperlink"/>
          <w:u w:val="single"/>
        </w:rPr>
        <w:t xml:space="preserve"> </w:t>
      </w:r>
      <w:r w:rsidRPr="00717165">
        <w:rPr>
          <w:rFonts w:ascii="Palatino Linotype" w:hAnsi="Palatino Linotype"/>
          <w:i/>
        </w:rPr>
        <w:t xml:space="preserve">con el artículo </w:t>
      </w:r>
      <w:hyperlink r:id="rId8" w:history="1">
        <w:r w:rsidRPr="00717165">
          <w:rPr>
            <w:rFonts w:ascii="Palatino Linotype" w:eastAsia="Calibri" w:hAnsi="Palatino Linotype"/>
            <w:i/>
            <w:color w:val="0563C1" w:themeColor="hyperlink"/>
            <w:u w:val="single"/>
          </w:rPr>
          <w:t>25.1 de la Convención Americana sobre Derechos Humanos</w:t>
        </w:r>
      </w:hyperlink>
      <w:r w:rsidRPr="00717165">
        <w:rPr>
          <w:rFonts w:ascii="Palatino Linotype" w:hAnsi="Palatino Linotype"/>
          <w:i/>
        </w:rPr>
        <w:t xml:space="preserve"> </w:t>
      </w:r>
      <w:r w:rsidRPr="00717165">
        <w:rPr>
          <w:rFonts w:ascii="Palatino Linotype" w:hAnsi="Palatino Linotype"/>
          <w:b/>
          <w:i/>
          <w:u w:val="single"/>
        </w:rPr>
        <w:t xml:space="preserve">no se advierte </w:t>
      </w:r>
      <w:r w:rsidRPr="00717165">
        <w:rPr>
          <w:rFonts w:ascii="Palatino Linotype" w:hAnsi="Palatino Linotype"/>
          <w:b/>
          <w:i/>
          <w:u w:val="single"/>
        </w:rPr>
        <w:lastRenderedPageBreak/>
        <w:t>que el derecho interno desatienda los estándares que pretenden proteger los derechos humanos en dicho tratado, por regular causas de improcedencia y sobreseimiento que impiden abordar el estudio de fondo del asunto en el juicio de amparo,</w:t>
      </w:r>
      <w:r w:rsidRPr="0071716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r w:rsidRPr="00717165">
        <w:rPr>
          <w:rFonts w:ascii="Palatino Linotype" w:hAnsi="Palatino Linotype" w:cs="Arial"/>
          <w:sz w:val="24"/>
          <w:szCs w:val="24"/>
        </w:rPr>
        <w:t>Por lo que una vez que se analizó el expediente en estudio se cae en la cuenta de que no se actualiza ninguna de las casuales a continuación transcritas:</w:t>
      </w: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i/>
          <w:lang w:val="es-ES" w:eastAsia="es-ES"/>
        </w:rPr>
        <w:t>“</w:t>
      </w:r>
      <w:r w:rsidRPr="00717165">
        <w:rPr>
          <w:rFonts w:ascii="Palatino Linotype" w:eastAsia="Times New Roman" w:hAnsi="Palatino Linotype" w:cs="Arial"/>
          <w:b/>
          <w:i/>
          <w:lang w:val="es-ES" w:eastAsia="es-ES"/>
        </w:rPr>
        <w:t>Artículo 191</w:t>
      </w:r>
      <w:r w:rsidRPr="00717165">
        <w:rPr>
          <w:rFonts w:ascii="Palatino Linotype" w:eastAsia="Times New Roman" w:hAnsi="Palatino Linotype" w:cs="Arial"/>
          <w:i/>
          <w:lang w:val="es-ES" w:eastAsia="es-ES"/>
        </w:rPr>
        <w:t xml:space="preserve">. El recurso será desechado por improcedente cuando: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I</w:t>
      </w:r>
      <w:r w:rsidRPr="00717165">
        <w:rPr>
          <w:rFonts w:ascii="Palatino Linotype" w:eastAsia="Times New Roman" w:hAnsi="Palatino Linotype" w:cs="Arial"/>
          <w:i/>
          <w:lang w:val="es-ES" w:eastAsia="es-ES"/>
        </w:rPr>
        <w:t xml:space="preserve">. Sea extemporáneo por haber transcurrido el plazo establecido en la presente Ley, a partir de la respuesta;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II</w:t>
      </w:r>
      <w:r w:rsidRPr="00717165">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III</w:t>
      </w:r>
      <w:r w:rsidRPr="00717165">
        <w:rPr>
          <w:rFonts w:ascii="Palatino Linotype" w:eastAsia="Times New Roman" w:hAnsi="Palatino Linotype" w:cs="Arial"/>
          <w:i/>
          <w:lang w:val="es-ES" w:eastAsia="es-ES"/>
        </w:rPr>
        <w:t xml:space="preserve">. No actualice alguno de los supuestos previstos en la presente Ley;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IV</w:t>
      </w:r>
      <w:r w:rsidRPr="00717165">
        <w:rPr>
          <w:rFonts w:ascii="Palatino Linotype" w:eastAsia="Times New Roman" w:hAnsi="Palatino Linotype" w:cs="Arial"/>
          <w:i/>
          <w:lang w:val="es-ES" w:eastAsia="es-ES"/>
        </w:rPr>
        <w:t xml:space="preserve">. No se haya desahogado la prevención en los términos establecidos en la presente Ley;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V</w:t>
      </w:r>
      <w:r w:rsidRPr="00717165">
        <w:rPr>
          <w:rFonts w:ascii="Palatino Linotype" w:eastAsia="Times New Roman" w:hAnsi="Palatino Linotype" w:cs="Arial"/>
          <w:i/>
          <w:lang w:val="es-ES" w:eastAsia="es-ES"/>
        </w:rPr>
        <w:t xml:space="preserve">. Se impugne la veracidad de la información proporcionada;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VI</w:t>
      </w:r>
      <w:r w:rsidRPr="00717165">
        <w:rPr>
          <w:rFonts w:ascii="Palatino Linotype" w:eastAsia="Times New Roman" w:hAnsi="Palatino Linotype" w:cs="Arial"/>
          <w:i/>
          <w:lang w:val="es-ES" w:eastAsia="es-ES"/>
        </w:rPr>
        <w:t xml:space="preserve">. Se trate de una consulta, o trámite en específico; y  </w:t>
      </w:r>
    </w:p>
    <w:p w:rsidR="001E7EF6" w:rsidRPr="00717165" w:rsidRDefault="001E7EF6" w:rsidP="001735AF">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717165">
        <w:rPr>
          <w:rFonts w:ascii="Palatino Linotype" w:eastAsia="Times New Roman" w:hAnsi="Palatino Linotype" w:cs="Arial"/>
          <w:b/>
          <w:i/>
          <w:lang w:val="es-ES" w:eastAsia="es-ES"/>
        </w:rPr>
        <w:t>VII</w:t>
      </w:r>
      <w:r w:rsidRPr="00717165">
        <w:rPr>
          <w:rFonts w:ascii="Palatino Linotype" w:eastAsia="Times New Roman" w:hAnsi="Palatino Linotype" w:cs="Arial"/>
          <w:i/>
          <w:lang w:val="es-ES" w:eastAsia="es-ES"/>
        </w:rPr>
        <w:t>. El recurrente amplíe su solicitud en el recurso de revisión, únicamente respecto de los nuevos contenidos.”</w:t>
      </w: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r w:rsidRPr="00717165">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717165">
        <w:rPr>
          <w:rFonts w:ascii="Palatino Linotype" w:hAnsi="Palatino Linotype" w:cs="Arial"/>
          <w:b/>
          <w:sz w:val="24"/>
          <w:szCs w:val="24"/>
        </w:rPr>
        <w:t>el recurrente</w:t>
      </w:r>
      <w:r w:rsidRPr="00717165">
        <w:rPr>
          <w:rFonts w:ascii="Palatino Linotype" w:hAnsi="Palatino Linotype" w:cs="Arial"/>
          <w:sz w:val="24"/>
          <w:szCs w:val="24"/>
        </w:rPr>
        <w:t xml:space="preserve"> amplíe su solicitud en el recurso de revisión, por lo que al no existir </w:t>
      </w:r>
      <w:r w:rsidRPr="00717165">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1E7EF6" w:rsidRPr="00717165" w:rsidRDefault="001E7EF6" w:rsidP="001735A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717165">
        <w:rPr>
          <w:rFonts w:ascii="Palatino Linotype" w:eastAsia="Times New Roman" w:hAnsi="Palatino Linotype" w:cs="Arial"/>
          <w:b/>
          <w:sz w:val="28"/>
          <w:szCs w:val="28"/>
          <w:lang w:val="es-ES" w:eastAsia="es-ES"/>
        </w:rPr>
        <w:t xml:space="preserve">CUARTO. </w:t>
      </w:r>
      <w:r w:rsidRPr="00717165">
        <w:rPr>
          <w:rFonts w:ascii="Palatino Linotype" w:eastAsia="Times New Roman" w:hAnsi="Palatino Linotype" w:cs="Arial"/>
          <w:b/>
          <w:sz w:val="26"/>
          <w:szCs w:val="26"/>
          <w:lang w:val="es-ES" w:eastAsia="es-ES"/>
        </w:rPr>
        <w:t>Estudio y resolución del recurso de revisión.</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sz w:val="24"/>
          <w:szCs w:val="24"/>
          <w:lang w:val="es-ES" w:eastAsia="es-ES"/>
        </w:rPr>
        <w:t xml:space="preserve">Atentos a la redacción de la solicitud, se puede apreciar que la </w:t>
      </w:r>
      <w:r w:rsidRPr="00717165">
        <w:rPr>
          <w:rFonts w:ascii="Palatino Linotype" w:eastAsia="Times New Roman" w:hAnsi="Palatino Linotype" w:cs="Arial"/>
          <w:b/>
          <w:sz w:val="24"/>
          <w:szCs w:val="24"/>
          <w:lang w:val="es-ES" w:eastAsia="es-ES"/>
        </w:rPr>
        <w:t>Recurrente</w:t>
      </w:r>
      <w:r w:rsidRPr="00717165">
        <w:rPr>
          <w:rFonts w:ascii="Palatino Linotype" w:eastAsia="Times New Roman" w:hAnsi="Palatino Linotype" w:cs="Arial"/>
          <w:sz w:val="24"/>
          <w:szCs w:val="24"/>
          <w:lang w:val="es-ES" w:eastAsia="es-ES"/>
        </w:rPr>
        <w:t xml:space="preserve"> peticiona </w:t>
      </w:r>
      <w:r w:rsidR="0067092D" w:rsidRPr="00717165">
        <w:rPr>
          <w:rFonts w:ascii="Palatino Linotype" w:eastAsia="Times New Roman" w:hAnsi="Palatino Linotype" w:cs="Arial"/>
          <w:sz w:val="24"/>
          <w:szCs w:val="24"/>
          <w:lang w:val="es-ES" w:eastAsia="es-ES"/>
        </w:rPr>
        <w:t>objetivamente</w:t>
      </w:r>
      <w:r w:rsidRPr="00717165">
        <w:rPr>
          <w:rFonts w:ascii="Palatino Linotype" w:eastAsia="Times New Roman" w:hAnsi="Palatino Linotype" w:cs="Arial"/>
          <w:sz w:val="24"/>
          <w:szCs w:val="24"/>
          <w:lang w:val="es-ES" w:eastAsia="es-ES"/>
        </w:rPr>
        <w:t>, lo siguiente:</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¿Cuál es la inversión realizada por el gobierno municipal de Tlalnepantla en las 175 patrullas nuevas en total, (140 radio patrullas y 35 motos patrullas) que fueron entregadas durante el mes de marzo de este 2022, por el alcalde Marco Antonio Rodríguez Hurtado?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¿Cuál fue la inversión realizada por el gobierno municipal de Tlalnepantla en las 115 armas que serán distribuidas en los sectores de mayor incidencia delictiva del municipio, en marzo del 2020?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lastRenderedPageBreak/>
        <w:t xml:space="preserve">¿Las patrullas y moto patrullas fueron adquiridas por el Ayuntamiento, durante la administración actual, bajo un esquema de arrendamiento?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¿Por qué método se realizó la compra, de las patrullas y moto patrullas, durante la administración actual, a través de licitación o adquisición directa? </w:t>
      </w:r>
    </w:p>
    <w:p w:rsidR="0067092D" w:rsidRPr="00717165" w:rsidRDefault="00871F65"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L</w:t>
      </w:r>
      <w:r w:rsidR="00DB2CCA" w:rsidRPr="00717165">
        <w:rPr>
          <w:rFonts w:ascii="Palatino Linotype" w:hAnsi="Palatino Linotype" w:cs="Arial"/>
        </w:rPr>
        <w:t xml:space="preserve">os contratos celebrados por el Ayuntamiento con los proveedores de las 140 radio patrullas y 35 moto patrullas nuevas; durante la administración del alcalde Marco Antonio Rodríguez Hurtado.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También solicito copia del cronograma, es decir, un documento con las fechas de la convocatoria para la licitación, venta de bases, concurso, y los diferentes pasos que contempló la adquisición de las nuevas patrullas y moto patrullas, durante el actual gobierno de Marco Antonio Rodríguez Hurtado.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¿Cuál fue la inversión realizada por el gobierno municipal de Tlalnepantla en la adquisición de 177 patrullas nuevas, durante la administración del ex alcalde Raciel Pérez Cruz? </w:t>
      </w:r>
    </w:p>
    <w:p w:rsidR="0067092D" w:rsidRPr="00717165" w:rsidRDefault="00DB2CCA" w:rsidP="001735AF">
      <w:pPr>
        <w:pStyle w:val="Prrafodelista"/>
        <w:numPr>
          <w:ilvl w:val="0"/>
          <w:numId w:val="4"/>
        </w:numPr>
        <w:spacing w:line="360" w:lineRule="auto"/>
        <w:jc w:val="both"/>
        <w:rPr>
          <w:rFonts w:ascii="Palatino Linotype" w:hAnsi="Palatino Linotype" w:cs="Arial"/>
        </w:rPr>
      </w:pPr>
      <w:r w:rsidRPr="00717165">
        <w:rPr>
          <w:rFonts w:ascii="Palatino Linotype" w:hAnsi="Palatino Linotype" w:cs="Arial"/>
        </w:rPr>
        <w:t xml:space="preserve">A través de este medio solicito el contrato de arrendamiento celebrados por el Ayuntamiento con el proveedor de las 177 patrullas, adquiridas durante la administración del ex alcalde Raciel Pérez Cruz. </w:t>
      </w:r>
    </w:p>
    <w:p w:rsidR="001E7EF6" w:rsidRPr="00717165" w:rsidRDefault="00DB2CCA" w:rsidP="001735AF">
      <w:pPr>
        <w:pStyle w:val="Prrafodelista"/>
        <w:numPr>
          <w:ilvl w:val="0"/>
          <w:numId w:val="4"/>
        </w:numPr>
        <w:spacing w:line="360" w:lineRule="auto"/>
        <w:jc w:val="both"/>
        <w:rPr>
          <w:rFonts w:ascii="Palatino Linotype" w:hAnsi="Palatino Linotype" w:cs="Arial"/>
          <w:lang w:val="es-ES_tradnl"/>
        </w:rPr>
      </w:pPr>
      <w:r w:rsidRPr="00717165">
        <w:rPr>
          <w:rFonts w:ascii="Palatino Linotype" w:hAnsi="Palatino Linotype" w:cs="Arial"/>
        </w:rPr>
        <w:t>Solicito copia del cronograma, es decir, un documento con las fechas de la convocatoria para la licitación, venta de bases, concurso y los diferentes pasos que contempló la adquisición de las nuevas patrullas, durante la administración de Raciel Pérez Cruz.</w:t>
      </w:r>
    </w:p>
    <w:p w:rsidR="00DB2CCA" w:rsidRPr="00717165" w:rsidRDefault="00DB2CCA" w:rsidP="001735AF">
      <w:pPr>
        <w:pBdr>
          <w:top w:val="nil"/>
          <w:left w:val="nil"/>
          <w:bottom w:val="nil"/>
          <w:right w:val="nil"/>
          <w:between w:val="nil"/>
        </w:pBdr>
        <w:spacing w:after="0" w:line="360" w:lineRule="auto"/>
        <w:contextualSpacing/>
        <w:jc w:val="both"/>
        <w:rPr>
          <w:rFonts w:ascii="Palatino Linotype" w:eastAsia="Calibri" w:hAnsi="Palatino Linotype" w:cs="Times New Roman"/>
          <w:sz w:val="24"/>
          <w:szCs w:val="24"/>
          <w:lang w:val="es-ES_tradnl" w:eastAsia="es-ES"/>
        </w:rPr>
      </w:pP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r w:rsidRPr="00717165">
        <w:rPr>
          <w:rFonts w:ascii="Palatino Linotype" w:hAnsi="Palatino Linotype" w:cs="Arial"/>
          <w:sz w:val="24"/>
        </w:rPr>
        <w:t xml:space="preserve">En primer lugar, de la redacción de los requerimientos de información, podemos advertir que el </w:t>
      </w:r>
      <w:r w:rsidRPr="00717165">
        <w:rPr>
          <w:rFonts w:ascii="Palatino Linotype" w:hAnsi="Palatino Linotype" w:cs="Arial"/>
          <w:b/>
          <w:sz w:val="24"/>
        </w:rPr>
        <w:t>Recurrente</w:t>
      </w:r>
      <w:r w:rsidRPr="00717165">
        <w:rPr>
          <w:rFonts w:ascii="Palatino Linotype" w:hAnsi="Palatino Linotype" w:cs="Arial"/>
          <w:sz w:val="24"/>
        </w:rPr>
        <w:t xml:space="preserve"> no desea acceder a un documento en específico, al formularlos en forma de cuestionamientos, </w:t>
      </w:r>
      <w:r w:rsidR="00265F9F" w:rsidRPr="00717165">
        <w:rPr>
          <w:rFonts w:ascii="Palatino Linotype" w:hAnsi="Palatino Linotype" w:cs="Arial"/>
          <w:sz w:val="24"/>
        </w:rPr>
        <w:t xml:space="preserve">aunado que en los numerales 6 y 9, </w:t>
      </w:r>
      <w:r w:rsidR="00265F9F" w:rsidRPr="00717165">
        <w:rPr>
          <w:rFonts w:ascii="Palatino Linotype" w:hAnsi="Palatino Linotype" w:cs="Arial"/>
          <w:sz w:val="24"/>
        </w:rPr>
        <w:lastRenderedPageBreak/>
        <w:t xml:space="preserve">requiere que se elabore un documento de tipo específico (ad hoc) que contenga desagregados distintos elementos; </w:t>
      </w:r>
      <w:r w:rsidRPr="00717165">
        <w:rPr>
          <w:rFonts w:ascii="Palatino Linotype" w:hAnsi="Palatino Linotype" w:cs="Arial"/>
          <w:sz w:val="24"/>
        </w:rPr>
        <w:t xml:space="preserve">por ello, </w:t>
      </w:r>
      <w:r w:rsidRPr="00717165">
        <w:rPr>
          <w:rFonts w:ascii="Palatino Linotype" w:eastAsia="Calibri" w:hAnsi="Palatino Linotype" w:cs="Times New Roman"/>
          <w:sz w:val="24"/>
          <w:szCs w:val="24"/>
          <w:lang w:val="es-ES_tradnl" w:eastAsia="es-ES"/>
        </w:rPr>
        <w:t xml:space="preserve">resulta necesario hacerle del conocimiento que el derecho de acceso a la información, se satisface con la entrega del soporte documental en el cual obre la información, no así en hacer que el </w:t>
      </w:r>
      <w:r w:rsidRPr="00717165">
        <w:rPr>
          <w:rFonts w:ascii="Palatino Linotype" w:eastAsia="Calibri" w:hAnsi="Palatino Linotype" w:cs="Times New Roman"/>
          <w:b/>
          <w:sz w:val="24"/>
          <w:szCs w:val="24"/>
          <w:lang w:val="es-ES_tradnl" w:eastAsia="es-ES"/>
        </w:rPr>
        <w:t>Sujeto Obligado</w:t>
      </w:r>
      <w:r w:rsidRPr="00717165">
        <w:rPr>
          <w:rFonts w:ascii="Palatino Linotype" w:eastAsia="Calibri" w:hAnsi="Palatino Linotype" w:cs="Times New Roman"/>
          <w:sz w:val="24"/>
          <w:szCs w:val="24"/>
          <w:lang w:val="es-ES_tradnl" w:eastAsia="es-ES"/>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r w:rsidRPr="00717165">
        <w:rPr>
          <w:rFonts w:ascii="Palatino Linotype" w:eastAsia="Calibri" w:hAnsi="Palatino Linotype" w:cs="Times New Roman"/>
          <w:sz w:val="24"/>
          <w:szCs w:val="24"/>
          <w:lang w:val="es-ES_tradnl" w:eastAsia="es-ES"/>
        </w:rPr>
        <w:t xml:space="preserve">La entrega de una razón o un razonamiento por el </w:t>
      </w:r>
      <w:r w:rsidRPr="00717165">
        <w:rPr>
          <w:rFonts w:ascii="Palatino Linotype" w:eastAsia="Calibri" w:hAnsi="Palatino Linotype" w:cs="Times New Roman"/>
          <w:b/>
          <w:sz w:val="24"/>
          <w:szCs w:val="24"/>
          <w:lang w:val="es-ES_tradnl" w:eastAsia="es-ES"/>
        </w:rPr>
        <w:t>Sujeto Obligado</w:t>
      </w:r>
      <w:r w:rsidRPr="00717165">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spacing w:after="0" w:line="360" w:lineRule="auto"/>
        <w:jc w:val="both"/>
        <w:rPr>
          <w:rFonts w:ascii="Palatino Linotype" w:eastAsia="MS Mincho" w:hAnsi="Palatino Linotype" w:cs="Arial"/>
          <w:sz w:val="24"/>
          <w:szCs w:val="28"/>
          <w:lang w:eastAsia="es-ES"/>
        </w:rPr>
      </w:pPr>
      <w:r w:rsidRPr="00717165">
        <w:rPr>
          <w:rFonts w:ascii="Palatino Linotype" w:hAnsi="Palatino Linotype" w:cs="Arial"/>
          <w:sz w:val="24"/>
          <w:szCs w:val="24"/>
          <w:lang w:val="es-ES"/>
        </w:rPr>
        <w:t xml:space="preserve">En el mismo orden de ideas, si bien, corresponden a cuestionamientos atendibles mediante el derecho de petición, también lo es que </w:t>
      </w:r>
      <w:r w:rsidRPr="00717165">
        <w:rPr>
          <w:rFonts w:ascii="Palatino Linotype" w:eastAsia="Times New Roman" w:hAnsi="Palatino Linotype" w:cs="Arial"/>
          <w:bCs/>
          <w:iCs/>
          <w:color w:val="000000"/>
          <w:sz w:val="24"/>
          <w:szCs w:val="28"/>
          <w:lang w:eastAsia="es-ES"/>
        </w:rPr>
        <w:t xml:space="preserve">de conformidad con el </w:t>
      </w:r>
      <w:r w:rsidRPr="00717165">
        <w:rPr>
          <w:rFonts w:ascii="Palatino Linotype" w:eastAsia="MS Mincho" w:hAnsi="Palatino Linotype" w:cs="Times New Roman"/>
          <w:sz w:val="24"/>
          <w:szCs w:val="28"/>
          <w:lang w:eastAsia="es-ES"/>
        </w:rPr>
        <w:t>Criterio</w:t>
      </w:r>
      <w:r w:rsidRPr="00717165">
        <w:rPr>
          <w:rFonts w:ascii="Palatino Linotype" w:eastAsia="MS Mincho" w:hAnsi="Palatino Linotype" w:cs="Arial"/>
          <w:sz w:val="24"/>
          <w:szCs w:val="28"/>
          <w:lang w:eastAsia="es-ES"/>
        </w:rPr>
        <w:t xml:space="preserve"> </w:t>
      </w:r>
      <w:r w:rsidRPr="00717165">
        <w:rPr>
          <w:rFonts w:ascii="Palatino Linotype" w:eastAsia="MS Mincho" w:hAnsi="Palatino Linotype" w:cs="Times New Roman"/>
          <w:b/>
          <w:sz w:val="24"/>
          <w:szCs w:val="28"/>
          <w:lang w:eastAsia="es-ES"/>
        </w:rPr>
        <w:t>028</w:t>
      </w:r>
      <w:r w:rsidRPr="00717165">
        <w:rPr>
          <w:rFonts w:ascii="Palatino Linotype" w:eastAsia="MS Mincho" w:hAnsi="Palatino Linotype" w:cs="Arial"/>
          <w:b/>
          <w:sz w:val="24"/>
          <w:szCs w:val="28"/>
          <w:lang w:eastAsia="es-ES"/>
        </w:rPr>
        <w:t>-</w:t>
      </w:r>
      <w:r w:rsidRPr="00717165">
        <w:rPr>
          <w:rFonts w:ascii="Palatino Linotype" w:eastAsia="MS Mincho" w:hAnsi="Palatino Linotype" w:cs="Times New Roman"/>
          <w:b/>
          <w:sz w:val="24"/>
          <w:szCs w:val="28"/>
          <w:lang w:eastAsia="es-ES"/>
        </w:rPr>
        <w:t>10</w:t>
      </w:r>
      <w:r w:rsidRPr="00717165">
        <w:rPr>
          <w:rFonts w:ascii="Palatino Linotype" w:eastAsia="MS Mincho" w:hAnsi="Palatino Linotype" w:cs="Arial"/>
          <w:sz w:val="24"/>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717165">
        <w:rPr>
          <w:rFonts w:ascii="Palatino Linotype" w:eastAsia="MS Mincho" w:hAnsi="Palatino Linotype" w:cs="Arial"/>
          <w:b/>
          <w:sz w:val="24"/>
          <w:szCs w:val="28"/>
          <w:lang w:eastAsia="es-ES"/>
        </w:rPr>
        <w:t>IFAI</w:t>
      </w:r>
      <w:r w:rsidRPr="00717165">
        <w:rPr>
          <w:rFonts w:ascii="Palatino Linotype" w:eastAsia="MS Mincho" w:hAnsi="Palatino Linotype" w:cs="Arial"/>
          <w:sz w:val="24"/>
          <w:szCs w:val="28"/>
          <w:lang w:eastAsia="es-ES"/>
        </w:rPr>
        <w:t xml:space="preserve">,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w:t>
      </w:r>
      <w:r w:rsidRPr="00717165">
        <w:rPr>
          <w:rFonts w:ascii="Palatino Linotype" w:eastAsia="MS Mincho" w:hAnsi="Palatino Linotype" w:cs="Arial"/>
          <w:sz w:val="24"/>
          <w:szCs w:val="28"/>
          <w:lang w:eastAsia="es-ES"/>
        </w:rPr>
        <w:lastRenderedPageBreak/>
        <w:t>o la actividad de los sujetos obligados sin importar su fuente o fecha de elaboración criterio que para mayor referencia se cita a continuación:</w:t>
      </w:r>
    </w:p>
    <w:p w:rsidR="00014046" w:rsidRPr="00717165" w:rsidRDefault="00014046" w:rsidP="001735AF">
      <w:pPr>
        <w:tabs>
          <w:tab w:val="left" w:pos="851"/>
        </w:tabs>
        <w:spacing w:after="0" w:line="360" w:lineRule="auto"/>
        <w:ind w:right="49"/>
        <w:contextualSpacing/>
        <w:jc w:val="both"/>
        <w:rPr>
          <w:rFonts w:ascii="Palatino Linotype" w:eastAsia="MS Mincho" w:hAnsi="Palatino Linotype" w:cs="Arial"/>
          <w:sz w:val="24"/>
          <w:szCs w:val="28"/>
          <w:lang w:eastAsia="es-ES"/>
        </w:rPr>
      </w:pPr>
    </w:p>
    <w:p w:rsidR="00014046" w:rsidRPr="00717165" w:rsidRDefault="00014046" w:rsidP="001735AF">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r w:rsidRPr="00717165">
        <w:rPr>
          <w:rFonts w:ascii="Palatino Linotype" w:eastAsia="Times New Roman" w:hAnsi="Palatino Linotype" w:cs="Arial"/>
          <w:b/>
          <w:bCs/>
          <w:i/>
          <w:iCs/>
          <w:color w:val="222222"/>
          <w:lang w:val="es-ES_tradnl" w:eastAsia="es-MX"/>
        </w:rPr>
        <w:t>“Cuando en una solicitud de información no se identifique un documento en específico, si ésta tiene una expresión documental, el sujeto obligado deberá entregar al particular el documento en específico.</w:t>
      </w:r>
      <w:r w:rsidRPr="00717165">
        <w:rPr>
          <w:rFonts w:ascii="Palatino Linotype" w:eastAsia="Times New Roman" w:hAnsi="Palatino Linotype" w:cs="Arial"/>
          <w:i/>
          <w:iCs/>
          <w:color w:val="222222"/>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717165">
        <w:rPr>
          <w:rFonts w:ascii="Palatino Linotype" w:eastAsia="Times New Roman" w:hAnsi="Palatino Linotype" w:cs="Arial"/>
          <w:i/>
          <w:iCs/>
          <w:color w:val="222222"/>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717165">
        <w:rPr>
          <w:rFonts w:ascii="Palatino Linotype" w:eastAsia="Times New Roman" w:hAnsi="Palatino Linotype" w:cs="Arial"/>
          <w:i/>
          <w:iCs/>
          <w:color w:val="222222"/>
          <w:lang w:val="es-ES_tradnl" w:eastAsia="es-MX"/>
        </w:rPr>
        <w:t>. Es decir, si la respuesta a la solicitud obra en algún documento en poder de la autoridad, pero el particular no hace referencia específica a tal documento, se deberá hacer entrega del mismo al solicitante.”</w:t>
      </w:r>
    </w:p>
    <w:p w:rsidR="00014046" w:rsidRPr="00717165" w:rsidRDefault="00014046" w:rsidP="001735AF">
      <w:pPr>
        <w:shd w:val="clear" w:color="auto" w:fill="FFFFFF"/>
        <w:spacing w:after="0" w:line="240" w:lineRule="auto"/>
        <w:ind w:left="567" w:right="616"/>
        <w:jc w:val="both"/>
        <w:rPr>
          <w:rFonts w:ascii="Palatino Linotype" w:eastAsia="Times New Roman" w:hAnsi="Palatino Linotype" w:cs="Arial"/>
          <w:iCs/>
          <w:color w:val="222222"/>
          <w:lang w:val="es-ES_tradnl" w:eastAsia="es-MX"/>
        </w:rPr>
      </w:pPr>
    </w:p>
    <w:p w:rsidR="00014046" w:rsidRPr="00717165" w:rsidRDefault="00014046" w:rsidP="001735AF">
      <w:pPr>
        <w:shd w:val="clear" w:color="auto" w:fill="FFFFFF"/>
        <w:spacing w:after="0" w:line="240" w:lineRule="auto"/>
        <w:ind w:left="567" w:right="616"/>
        <w:jc w:val="right"/>
        <w:rPr>
          <w:rFonts w:ascii="Palatino Linotype" w:eastAsia="Times New Roman" w:hAnsi="Palatino Linotype" w:cs="Arial"/>
          <w:color w:val="222222"/>
          <w:lang w:eastAsia="es-MX"/>
        </w:rPr>
      </w:pPr>
      <w:r w:rsidRPr="00717165">
        <w:rPr>
          <w:rFonts w:ascii="Palatino Linotype" w:eastAsia="Times New Roman" w:hAnsi="Palatino Linotype" w:cs="Arial"/>
          <w:bCs/>
          <w:iCs/>
          <w:color w:val="222222"/>
          <w:lang w:val="es-ES_tradnl" w:eastAsia="es-MX"/>
        </w:rPr>
        <w:t>(Énfasis añadido)</w:t>
      </w:r>
    </w:p>
    <w:p w:rsidR="00014046" w:rsidRPr="00717165" w:rsidRDefault="00014046" w:rsidP="001735AF">
      <w:pPr>
        <w:spacing w:after="0" w:line="360" w:lineRule="auto"/>
        <w:ind w:right="49"/>
        <w:contextualSpacing/>
        <w:jc w:val="both"/>
        <w:rPr>
          <w:rFonts w:ascii="Palatino Linotype" w:eastAsia="MS Mincho" w:hAnsi="Palatino Linotype" w:cs="Arial"/>
          <w:sz w:val="24"/>
          <w:szCs w:val="24"/>
          <w:lang w:val="es-ES" w:eastAsia="es-ES"/>
        </w:rPr>
      </w:pPr>
    </w:p>
    <w:p w:rsidR="00014046" w:rsidRPr="00717165" w:rsidRDefault="00014046" w:rsidP="001735AF">
      <w:pPr>
        <w:spacing w:after="0" w:line="360" w:lineRule="auto"/>
        <w:ind w:right="49"/>
        <w:contextualSpacing/>
        <w:jc w:val="both"/>
        <w:rPr>
          <w:rFonts w:ascii="Palatino Linotype" w:eastAsia="MS Mincho" w:hAnsi="Palatino Linotype" w:cs="Arial"/>
          <w:sz w:val="24"/>
          <w:szCs w:val="24"/>
          <w:lang w:eastAsia="es-ES"/>
        </w:rPr>
      </w:pPr>
      <w:r w:rsidRPr="00717165">
        <w:rPr>
          <w:rFonts w:ascii="Palatino Linotype" w:eastAsia="MS Mincho" w:hAnsi="Palatino Linotype" w:cs="Arial"/>
          <w:sz w:val="24"/>
          <w:szCs w:val="24"/>
          <w:lang w:val="es-ES" w:eastAsia="es-ES"/>
        </w:rPr>
        <w:t xml:space="preserve">Robustece lo anterior </w:t>
      </w:r>
      <w:r w:rsidRPr="00717165">
        <w:rPr>
          <w:rFonts w:ascii="Palatino Linotype" w:eastAsia="MS Mincho" w:hAnsi="Palatino Linotype" w:cs="Arial"/>
          <w:sz w:val="24"/>
          <w:szCs w:val="24"/>
          <w:lang w:eastAsia="es-ES"/>
        </w:rPr>
        <w:t xml:space="preserve">el Criterio Orientador </w:t>
      </w:r>
      <w:r w:rsidRPr="00717165">
        <w:rPr>
          <w:rFonts w:ascii="Palatino Linotype" w:eastAsia="MS Mincho" w:hAnsi="Palatino Linotype" w:cs="Arial"/>
          <w:b/>
          <w:sz w:val="24"/>
          <w:szCs w:val="24"/>
          <w:lang w:eastAsia="es-ES"/>
        </w:rPr>
        <w:t>16/17</w:t>
      </w:r>
      <w:r w:rsidRPr="00717165">
        <w:rPr>
          <w:rFonts w:ascii="Palatino Linotype" w:eastAsia="MS Mincho" w:hAnsi="Palatino Linotype" w:cs="Arial"/>
          <w:sz w:val="24"/>
          <w:szCs w:val="24"/>
          <w:lang w:eastAsia="es-ES"/>
        </w:rPr>
        <w:t xml:space="preserve"> emitido de igual forma por el Instituto Nacional de Transparencia, Acceso a la Información y Protección de Datos Personales que a la literalidad prevé:</w:t>
      </w:r>
    </w:p>
    <w:p w:rsidR="00014046" w:rsidRPr="00717165" w:rsidRDefault="00014046" w:rsidP="001735AF">
      <w:pPr>
        <w:spacing w:after="0" w:line="360" w:lineRule="auto"/>
        <w:ind w:right="49"/>
        <w:contextualSpacing/>
        <w:jc w:val="both"/>
        <w:rPr>
          <w:rFonts w:ascii="Palatino Linotype" w:eastAsia="MS Mincho" w:hAnsi="Palatino Linotype" w:cs="Arial"/>
          <w:lang w:eastAsia="es-ES"/>
        </w:rPr>
      </w:pPr>
    </w:p>
    <w:p w:rsidR="00014046" w:rsidRPr="00717165" w:rsidRDefault="00014046" w:rsidP="001735AF">
      <w:pPr>
        <w:spacing w:after="0" w:line="240" w:lineRule="auto"/>
        <w:ind w:left="567" w:right="616"/>
        <w:jc w:val="both"/>
        <w:rPr>
          <w:rFonts w:ascii="Palatino Linotype" w:eastAsia="MS Mincho" w:hAnsi="Palatino Linotype" w:cs="Arial"/>
          <w:i/>
          <w:lang w:eastAsia="es-ES"/>
        </w:rPr>
      </w:pPr>
      <w:r w:rsidRPr="00717165">
        <w:rPr>
          <w:rFonts w:ascii="Palatino Linotype" w:eastAsia="MS Mincho" w:hAnsi="Palatino Linotype" w:cs="Arial"/>
          <w:b/>
          <w:i/>
          <w:lang w:eastAsia="es-ES"/>
        </w:rPr>
        <w:t>“Expresión documental</w:t>
      </w:r>
      <w:r w:rsidRPr="00717165">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14046" w:rsidRPr="00717165" w:rsidRDefault="00014046" w:rsidP="001735AF">
      <w:pPr>
        <w:spacing w:after="0" w:line="240" w:lineRule="auto"/>
        <w:ind w:left="567" w:right="567"/>
        <w:jc w:val="both"/>
        <w:rPr>
          <w:rFonts w:ascii="Palatino Linotype" w:eastAsia="MS Mincho" w:hAnsi="Palatino Linotype" w:cs="Arial"/>
          <w:i/>
          <w:sz w:val="20"/>
          <w:lang w:eastAsia="es-ES"/>
        </w:rPr>
      </w:pPr>
      <w:r w:rsidRPr="00717165">
        <w:rPr>
          <w:rFonts w:ascii="Palatino Linotype" w:eastAsia="MS Mincho" w:hAnsi="Palatino Linotype" w:cs="Arial"/>
          <w:i/>
          <w:sz w:val="20"/>
          <w:lang w:eastAsia="es-ES"/>
        </w:rPr>
        <w:t>Resoluciones:</w:t>
      </w:r>
    </w:p>
    <w:p w:rsidR="00014046" w:rsidRPr="00717165" w:rsidRDefault="00014046" w:rsidP="001735AF">
      <w:pPr>
        <w:spacing w:after="0" w:line="240" w:lineRule="auto"/>
        <w:ind w:left="567" w:right="567"/>
        <w:jc w:val="both"/>
        <w:rPr>
          <w:rFonts w:ascii="Palatino Linotype" w:eastAsia="MS Mincho" w:hAnsi="Palatino Linotype" w:cs="Arial"/>
          <w:i/>
          <w:sz w:val="20"/>
          <w:lang w:eastAsia="es-ES"/>
        </w:rPr>
      </w:pPr>
      <w:r w:rsidRPr="00717165">
        <w:rPr>
          <w:rFonts w:ascii="Palatino Linotype" w:eastAsia="MS Mincho" w:hAnsi="Palatino Linotype" w:cs="Arial"/>
          <w:i/>
          <w:sz w:val="20"/>
          <w:lang w:eastAsia="es-ES"/>
        </w:rPr>
        <w:t>•</w:t>
      </w:r>
      <w:r w:rsidRPr="00717165">
        <w:rPr>
          <w:rFonts w:ascii="Palatino Linotype" w:eastAsia="MS Mincho" w:hAnsi="Palatino Linotype" w:cs="Arial"/>
          <w:i/>
          <w:sz w:val="20"/>
          <w:lang w:eastAsia="es-ES"/>
        </w:rPr>
        <w:tab/>
        <w:t>RRA 0774/16. Secretaría de Salud. 31 de agosto de 2016. Por unanimidad. Comisionada Ponente María Patricia Kurczyn Villalobos.</w:t>
      </w:r>
    </w:p>
    <w:p w:rsidR="00014046" w:rsidRPr="00717165" w:rsidRDefault="00014046" w:rsidP="001735AF">
      <w:pPr>
        <w:spacing w:after="0" w:line="240" w:lineRule="auto"/>
        <w:ind w:left="567" w:right="567"/>
        <w:jc w:val="both"/>
        <w:rPr>
          <w:rFonts w:ascii="Palatino Linotype" w:eastAsia="MS Mincho" w:hAnsi="Palatino Linotype" w:cs="Arial"/>
          <w:i/>
          <w:sz w:val="20"/>
          <w:lang w:eastAsia="es-ES"/>
        </w:rPr>
      </w:pPr>
      <w:r w:rsidRPr="00717165">
        <w:rPr>
          <w:rFonts w:ascii="Palatino Linotype" w:eastAsia="MS Mincho" w:hAnsi="Palatino Linotype" w:cs="Arial"/>
          <w:i/>
          <w:sz w:val="20"/>
          <w:lang w:eastAsia="es-ES"/>
        </w:rPr>
        <w:t>•</w:t>
      </w:r>
      <w:r w:rsidRPr="00717165">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rsidR="00014046" w:rsidRPr="00717165" w:rsidRDefault="00014046" w:rsidP="001735AF">
      <w:pPr>
        <w:spacing w:after="0" w:line="240" w:lineRule="auto"/>
        <w:ind w:left="567" w:right="567"/>
        <w:jc w:val="both"/>
        <w:rPr>
          <w:rFonts w:ascii="Palatino Linotype" w:eastAsia="MS Mincho" w:hAnsi="Palatino Linotype" w:cs="Arial"/>
          <w:i/>
          <w:sz w:val="20"/>
          <w:lang w:eastAsia="es-ES"/>
        </w:rPr>
      </w:pPr>
      <w:r w:rsidRPr="00717165">
        <w:rPr>
          <w:rFonts w:ascii="Palatino Linotype" w:eastAsia="MS Mincho" w:hAnsi="Palatino Linotype" w:cs="Arial"/>
          <w:i/>
          <w:sz w:val="20"/>
          <w:lang w:eastAsia="es-ES"/>
        </w:rPr>
        <w:lastRenderedPageBreak/>
        <w:t>•</w:t>
      </w:r>
      <w:r w:rsidRPr="00717165">
        <w:rPr>
          <w:rFonts w:ascii="Palatino Linotype" w:eastAsia="MS Mincho" w:hAnsi="Palatino Linotype" w:cs="Arial"/>
          <w:i/>
          <w:sz w:val="20"/>
          <w:lang w:eastAsia="es-ES"/>
        </w:rPr>
        <w:tab/>
        <w:t>RRA 0540/17. Secretaría de Economía. 08 de marzo del 2017. Por unanimidad. Comisionado Ponente Francisco Javier Acuña Llamas”</w:t>
      </w:r>
    </w:p>
    <w:p w:rsidR="00014046" w:rsidRPr="00717165" w:rsidRDefault="00014046" w:rsidP="001735AF">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rsidR="00014046" w:rsidRPr="00717165" w:rsidRDefault="00014046" w:rsidP="001735AF">
      <w:pPr>
        <w:spacing w:after="0" w:line="360" w:lineRule="auto"/>
        <w:jc w:val="both"/>
        <w:rPr>
          <w:rFonts w:ascii="Palatino Linotype" w:eastAsia="Times New Roman" w:hAnsi="Palatino Linotype" w:cs="Times New Roman"/>
          <w:sz w:val="24"/>
          <w:szCs w:val="24"/>
          <w:lang w:val="es-ES" w:eastAsia="es-ES"/>
        </w:rPr>
      </w:pPr>
      <w:r w:rsidRPr="00717165">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rsidR="00014046" w:rsidRPr="00717165" w:rsidRDefault="00014046" w:rsidP="001735AF">
      <w:pPr>
        <w:pBdr>
          <w:top w:val="nil"/>
          <w:left w:val="nil"/>
          <w:bottom w:val="nil"/>
          <w:right w:val="nil"/>
          <w:between w:val="nil"/>
        </w:pBdr>
        <w:spacing w:after="0" w:line="360" w:lineRule="auto"/>
        <w:contextualSpacing/>
        <w:jc w:val="both"/>
        <w:rPr>
          <w:rFonts w:ascii="Palatino Linotype" w:eastAsia="Calibri" w:hAnsi="Palatino Linotype" w:cs="Times New Roman"/>
          <w:sz w:val="24"/>
          <w:szCs w:val="24"/>
          <w:lang w:val="es-ES" w:eastAsia="es-ES"/>
        </w:rPr>
      </w:pPr>
    </w:p>
    <w:p w:rsidR="001E7EF6" w:rsidRPr="00717165" w:rsidRDefault="00014046" w:rsidP="001735AF">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r w:rsidRPr="00717165">
        <w:rPr>
          <w:rFonts w:ascii="Palatino Linotype" w:eastAsia="Calibri" w:hAnsi="Palatino Linotype" w:cs="Times New Roman"/>
          <w:sz w:val="24"/>
          <w:szCs w:val="24"/>
          <w:lang w:val="es-ES_tradnl" w:eastAsia="es-ES"/>
        </w:rPr>
        <w:t>P</w:t>
      </w:r>
      <w:r w:rsidR="001E7EF6" w:rsidRPr="00717165">
        <w:rPr>
          <w:rFonts w:ascii="Palatino Linotype" w:eastAsia="Calibri" w:hAnsi="Palatino Linotype" w:cs="Times New Roman"/>
          <w:sz w:val="24"/>
          <w:szCs w:val="24"/>
          <w:lang w:val="es-ES_tradnl" w:eastAsia="es-ES"/>
        </w:rPr>
        <w:t xml:space="preserve">or ello resulta necesario hacerle del conocimiento que de conformidad con </w:t>
      </w:r>
      <w:r w:rsidR="001E7EF6" w:rsidRPr="00717165">
        <w:rPr>
          <w:rFonts w:ascii="Palatino Linotype" w:eastAsia="Calibri" w:hAnsi="Palatino Linotype" w:cs="Calibri"/>
          <w:sz w:val="24"/>
          <w:szCs w:val="24"/>
          <w:lang w:eastAsia="es-MX"/>
        </w:rPr>
        <w:t>el artículo 4, párrafo segundo, de la Ley de Transparencia y Acceso a la Información Pública del Estado de México y Municipios, el cual dispone:</w:t>
      </w:r>
    </w:p>
    <w:p w:rsidR="001E7EF6" w:rsidRPr="00717165" w:rsidRDefault="001E7EF6" w:rsidP="001735AF">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1E7EF6" w:rsidRPr="00717165" w:rsidRDefault="001E7EF6" w:rsidP="001735AF">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717165">
        <w:rPr>
          <w:rFonts w:ascii="Palatino Linotype" w:eastAsia="Calibri" w:hAnsi="Palatino Linotype" w:cs="Calibri"/>
          <w:b/>
          <w:i/>
          <w:lang w:eastAsia="es-MX"/>
        </w:rPr>
        <w:t>Artículo 4. (</w:t>
      </w:r>
      <w:r w:rsidRPr="00717165">
        <w:rPr>
          <w:rFonts w:ascii="Palatino Linotype" w:eastAsia="Calibri" w:hAnsi="Palatino Linotype" w:cs="Calibri"/>
          <w:i/>
          <w:lang w:eastAsia="es-MX"/>
        </w:rPr>
        <w:t>…)</w:t>
      </w:r>
    </w:p>
    <w:p w:rsidR="001E7EF6" w:rsidRPr="00717165" w:rsidRDefault="001E7EF6" w:rsidP="001735AF">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717165">
        <w:rPr>
          <w:rFonts w:ascii="Palatino Linotype" w:eastAsia="Calibri" w:hAnsi="Palatino Linotype" w:cs="Calibri"/>
          <w:i/>
          <w:lang w:eastAsia="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265F9F" w:rsidRPr="00717165" w:rsidRDefault="00265F9F" w:rsidP="001735AF">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p>
    <w:p w:rsidR="001E7EF6" w:rsidRPr="00717165" w:rsidRDefault="001E7EF6" w:rsidP="001735AF">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717165">
        <w:rPr>
          <w:rFonts w:ascii="Palatino Linotype" w:eastAsia="Calibri" w:hAnsi="Palatino Linotype" w:cs="Calibri"/>
          <w:i/>
          <w:lang w:eastAsia="es-MX"/>
        </w:rPr>
        <w:t>Solo podrá ser clasificada excepcionalmente como reservada temporalmente por razones de interés público, en los términos de las causas legítimas y estrictamente necesarias previstas por esta Ley.</w:t>
      </w:r>
    </w:p>
    <w:p w:rsidR="001E7EF6" w:rsidRPr="00717165" w:rsidRDefault="001E7EF6" w:rsidP="001735AF">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1E7EF6" w:rsidRPr="00717165" w:rsidRDefault="001E7EF6" w:rsidP="001735AF">
      <w:pPr>
        <w:spacing w:after="0" w:line="360" w:lineRule="auto"/>
        <w:jc w:val="both"/>
        <w:rPr>
          <w:rFonts w:ascii="Palatino Linotype" w:eastAsia="Calibri" w:hAnsi="Palatino Linotype" w:cs="Arial"/>
          <w:sz w:val="24"/>
          <w:lang w:eastAsia="es-MX"/>
        </w:rPr>
      </w:pPr>
      <w:r w:rsidRPr="00717165">
        <w:rPr>
          <w:rFonts w:ascii="Palatino Linotype" w:eastAsia="Calibri" w:hAnsi="Palatino Linotype" w:cs="Arial"/>
          <w:sz w:val="24"/>
          <w:lang w:eastAsia="es-MX"/>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1E7EF6" w:rsidRPr="00717165" w:rsidRDefault="001E7EF6" w:rsidP="001735AF">
      <w:pPr>
        <w:spacing w:after="0" w:line="360" w:lineRule="auto"/>
        <w:jc w:val="both"/>
        <w:rPr>
          <w:rFonts w:ascii="Palatino Linotype" w:eastAsia="Calibri" w:hAnsi="Palatino Linotype" w:cs="Arial"/>
          <w:sz w:val="24"/>
          <w:lang w:eastAsia="es-MX"/>
        </w:rPr>
      </w:pPr>
    </w:p>
    <w:p w:rsidR="001E7EF6" w:rsidRPr="00717165" w:rsidRDefault="001E7EF6" w:rsidP="001735AF">
      <w:pPr>
        <w:spacing w:after="0" w:line="360" w:lineRule="auto"/>
        <w:jc w:val="both"/>
        <w:rPr>
          <w:rFonts w:ascii="Palatino Linotype" w:eastAsia="Calibri" w:hAnsi="Palatino Linotype" w:cs="Arial"/>
          <w:sz w:val="24"/>
          <w:szCs w:val="24"/>
          <w:lang w:eastAsia="es-MX"/>
        </w:rPr>
      </w:pPr>
      <w:r w:rsidRPr="00717165">
        <w:rPr>
          <w:rFonts w:ascii="Palatino Linotype" w:eastAsia="Calibri" w:hAnsi="Palatino Linotype" w:cs="Arial"/>
          <w:sz w:val="24"/>
          <w:lang w:eastAsia="es-MX"/>
        </w:rPr>
        <w:lastRenderedPageBreak/>
        <w:t xml:space="preserve">Por su parte, el artículo 12, de la Ley de la materia establece que los Sujetos Obligados sólo proporcionarán la información que generen, recopilen, administren, manejen, procesen, archiven o conserven, y </w:t>
      </w:r>
      <w:r w:rsidRPr="00717165">
        <w:rPr>
          <w:rFonts w:ascii="Palatino Linotype" w:eastAsia="Calibri" w:hAnsi="Palatino Linotype" w:cs="Arial"/>
          <w:b/>
          <w:sz w:val="24"/>
          <w:lang w:eastAsia="es-MX"/>
        </w:rPr>
        <w:t>sólo facilitarán las que se les requiera y obre en sus archivos, en el estado en el que se encuentre</w:t>
      </w:r>
      <w:r w:rsidRPr="00717165">
        <w:rPr>
          <w:rFonts w:ascii="Palatino Linotype" w:eastAsia="Calibri" w:hAnsi="Palatino Linotype" w:cs="Arial"/>
          <w:sz w:val="24"/>
          <w:lang w:eastAsia="es-MX"/>
        </w:rPr>
        <w:t xml:space="preserve">, sin la obligación de generarla, resumirla, efectuar cálculos o practicar investigaciones; tal y como se señala a continuación: </w:t>
      </w:r>
    </w:p>
    <w:p w:rsidR="001E7EF6" w:rsidRPr="00717165" w:rsidRDefault="001E7EF6" w:rsidP="001735AF">
      <w:pPr>
        <w:spacing w:after="0"/>
        <w:ind w:right="567"/>
        <w:jc w:val="both"/>
        <w:rPr>
          <w:rFonts w:ascii="Palatino Linotype" w:eastAsia="Calibri" w:hAnsi="Palatino Linotype" w:cs="Arial"/>
          <w:sz w:val="24"/>
          <w:szCs w:val="24"/>
          <w:lang w:eastAsia="es-MX"/>
        </w:rPr>
      </w:pP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b/>
          <w:i/>
          <w:color w:val="000000"/>
          <w:lang w:eastAsia="es-MX"/>
        </w:rPr>
        <w:t>“Artículo 12.</w:t>
      </w:r>
      <w:r w:rsidRPr="00717165">
        <w:rPr>
          <w:rFonts w:ascii="Palatino Linotype" w:eastAsia="Calibri" w:hAnsi="Palatino Linotype" w:cs="Arial"/>
          <w:i/>
          <w:color w:val="000000"/>
          <w:lang w:eastAsia="es-MX"/>
        </w:rPr>
        <w:t xml:space="preserve"> Quienes generen, recopilen, administren, manejen, procesen, archiven o conserven información pública serán responsables de la misma en los términos de las disposiciones jurídicas aplicables.</w:t>
      </w:r>
    </w:p>
    <w:p w:rsidR="00265F9F" w:rsidRPr="00717165" w:rsidRDefault="00265F9F" w:rsidP="001735AF">
      <w:pPr>
        <w:spacing w:after="0" w:line="240" w:lineRule="auto"/>
        <w:ind w:left="567" w:right="567"/>
        <w:jc w:val="both"/>
        <w:rPr>
          <w:rFonts w:ascii="Palatino Linotype" w:eastAsia="Calibri" w:hAnsi="Palatino Linotype" w:cs="Arial"/>
          <w:i/>
          <w:color w:val="000000"/>
          <w:lang w:eastAsia="es-MX"/>
        </w:rPr>
      </w:pPr>
    </w:p>
    <w:p w:rsidR="001E7EF6" w:rsidRPr="00717165" w:rsidRDefault="001E7EF6" w:rsidP="001735AF">
      <w:pPr>
        <w:spacing w:after="0" w:line="240" w:lineRule="auto"/>
        <w:ind w:left="567" w:right="567"/>
        <w:jc w:val="both"/>
        <w:rPr>
          <w:rFonts w:ascii="Palatino Linotype" w:eastAsia="Calibri" w:hAnsi="Palatino Linotype" w:cs="Arial"/>
          <w:color w:val="000000"/>
          <w:lang w:eastAsia="es-MX"/>
        </w:rPr>
      </w:pPr>
      <w:r w:rsidRPr="00717165">
        <w:rPr>
          <w:rFonts w:ascii="Palatino Linotype" w:eastAsia="Calibri" w:hAnsi="Palatino Linotype" w:cs="Arial"/>
          <w:i/>
          <w:color w:val="000000"/>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14046" w:rsidRPr="00717165" w:rsidRDefault="00014046" w:rsidP="001735AF">
      <w:pPr>
        <w:spacing w:after="0" w:line="360" w:lineRule="auto"/>
        <w:jc w:val="both"/>
        <w:rPr>
          <w:rFonts w:ascii="Palatino Linotype" w:eastAsia="Calibri" w:hAnsi="Palatino Linotype" w:cs="Arial"/>
          <w:color w:val="000000"/>
          <w:sz w:val="24"/>
          <w:lang w:eastAsia="es-MX"/>
        </w:rPr>
      </w:pPr>
    </w:p>
    <w:p w:rsidR="001E7EF6" w:rsidRPr="00717165" w:rsidRDefault="001E7EF6" w:rsidP="001735AF">
      <w:pPr>
        <w:spacing w:after="0" w:line="360" w:lineRule="auto"/>
        <w:jc w:val="both"/>
        <w:rPr>
          <w:rFonts w:ascii="Palatino Linotype" w:eastAsia="Calibri" w:hAnsi="Palatino Linotype" w:cs="Arial"/>
          <w:color w:val="000000"/>
          <w:sz w:val="24"/>
          <w:lang w:eastAsia="es-MX"/>
        </w:rPr>
      </w:pPr>
      <w:r w:rsidRPr="00717165">
        <w:rPr>
          <w:rFonts w:ascii="Palatino Linotype" w:eastAsia="Calibri" w:hAnsi="Palatino Linotype" w:cs="Arial"/>
          <w:color w:val="000000"/>
          <w:sz w:val="24"/>
          <w:lang w:eastAsia="es-MX"/>
        </w:rPr>
        <w:t>En síntesis, el derecho de acceso a la información pública se satisface en aquellos casos en que se entregue el soporte documental en que conste la información pública, toda vez que, los Sujetos Obligados</w:t>
      </w:r>
      <w:r w:rsidRPr="00717165">
        <w:rPr>
          <w:rFonts w:ascii="Palatino Linotype" w:eastAsia="Calibri" w:hAnsi="Palatino Linotype" w:cs="Arial"/>
          <w:b/>
          <w:color w:val="000000"/>
          <w:sz w:val="24"/>
          <w:lang w:eastAsia="es-MX"/>
        </w:rPr>
        <w:t xml:space="preserve"> </w:t>
      </w:r>
      <w:r w:rsidRPr="00717165">
        <w:rPr>
          <w:rFonts w:ascii="Palatino Linotype" w:eastAsia="Calibri" w:hAnsi="Palatino Linotype" w:cs="Arial"/>
          <w:color w:val="000000"/>
          <w:sz w:val="24"/>
          <w:lang w:eastAsia="es-MX"/>
        </w:rPr>
        <w:t xml:space="preserve">no tienen el deber de generar, poseer o administrar la información pública con el grado de detalle solicitado; esto es, que no tienen el deber de generar un documento </w:t>
      </w:r>
      <w:r w:rsidRPr="00717165">
        <w:rPr>
          <w:rFonts w:ascii="Palatino Linotype" w:eastAsia="Calibri" w:hAnsi="Palatino Linotype" w:cs="Arial"/>
          <w:i/>
          <w:color w:val="000000"/>
          <w:sz w:val="24"/>
          <w:lang w:eastAsia="es-MX"/>
        </w:rPr>
        <w:t>ad hoc</w:t>
      </w:r>
      <w:r w:rsidRPr="00717165">
        <w:rPr>
          <w:rFonts w:ascii="Palatino Linotype" w:eastAsia="Calibri" w:hAnsi="Palatino Linotype" w:cs="Arial"/>
          <w:color w:val="000000"/>
          <w:sz w:val="24"/>
          <w:lang w:eastAsia="es-MX"/>
        </w:rPr>
        <w:t>, para satisfacer el derecho de acceso a la información pública.</w:t>
      </w:r>
    </w:p>
    <w:p w:rsidR="001E7EF6" w:rsidRPr="00717165" w:rsidRDefault="001E7EF6" w:rsidP="001735AF">
      <w:pPr>
        <w:spacing w:after="0" w:line="360" w:lineRule="auto"/>
        <w:jc w:val="both"/>
        <w:rPr>
          <w:rFonts w:ascii="Palatino Linotype" w:eastAsia="Calibri" w:hAnsi="Palatino Linotype" w:cs="Arial"/>
          <w:color w:val="000000"/>
          <w:sz w:val="24"/>
          <w:lang w:eastAsia="es-MX"/>
        </w:rPr>
      </w:pPr>
    </w:p>
    <w:p w:rsidR="001E7EF6" w:rsidRPr="00717165" w:rsidRDefault="001E7EF6" w:rsidP="001735AF">
      <w:pPr>
        <w:spacing w:after="0" w:line="360" w:lineRule="auto"/>
        <w:jc w:val="both"/>
        <w:rPr>
          <w:rFonts w:ascii="Palatino Linotype" w:eastAsia="Calibri" w:hAnsi="Palatino Linotype" w:cs="Calibri"/>
          <w:b/>
          <w:bCs/>
          <w:color w:val="000000"/>
          <w:sz w:val="24"/>
          <w:lang w:eastAsia="es-MX"/>
        </w:rPr>
      </w:pPr>
      <w:r w:rsidRPr="00717165">
        <w:rPr>
          <w:rFonts w:ascii="Palatino Linotype" w:eastAsia="Calibri" w:hAnsi="Palatino Linotype" w:cs="Arial"/>
          <w:color w:val="000000"/>
          <w:sz w:val="24"/>
          <w:lang w:eastAsia="es-MX"/>
        </w:rPr>
        <w:t xml:space="preserve">Como apoyo a lo anterior, es aplicable el Criterio 03-17, emitido por </w:t>
      </w:r>
      <w:r w:rsidRPr="00717165">
        <w:rPr>
          <w:rFonts w:ascii="Palatino Linotype" w:eastAsia="Arial Unicode MS" w:hAnsi="Palatino Linotype" w:cs="Arial"/>
          <w:color w:val="000000"/>
          <w:sz w:val="24"/>
          <w:lang w:eastAsia="es-MX"/>
        </w:rPr>
        <w:t>el Instituto Nacional de Transparencia, Acceso a la Información y Protección de Datos Personales,</w:t>
      </w:r>
      <w:r w:rsidRPr="00717165">
        <w:rPr>
          <w:rFonts w:ascii="Palatino Linotype" w:eastAsia="Calibri" w:hAnsi="Palatino Linotype" w:cs="Calibri"/>
          <w:bCs/>
          <w:color w:val="000000"/>
          <w:sz w:val="24"/>
          <w:lang w:eastAsia="es-MX"/>
        </w:rPr>
        <w:t xml:space="preserve"> que dice:</w:t>
      </w:r>
      <w:r w:rsidRPr="00717165">
        <w:rPr>
          <w:rFonts w:ascii="Palatino Linotype" w:eastAsia="Calibri" w:hAnsi="Palatino Linotype" w:cs="Calibri"/>
          <w:b/>
          <w:bCs/>
          <w:color w:val="000000"/>
          <w:sz w:val="24"/>
          <w:lang w:eastAsia="es-MX"/>
        </w:rPr>
        <w:t xml:space="preserve"> </w:t>
      </w:r>
    </w:p>
    <w:p w:rsidR="001E7EF6" w:rsidRPr="00717165" w:rsidRDefault="001E7EF6" w:rsidP="001735AF">
      <w:pPr>
        <w:spacing w:after="0" w:line="240" w:lineRule="auto"/>
        <w:rPr>
          <w:rFonts w:ascii="Palatino Linotype" w:eastAsia="Times New Roman" w:hAnsi="Palatino Linotype" w:cs="Times New Roman"/>
          <w:sz w:val="24"/>
          <w:szCs w:val="24"/>
          <w:lang w:eastAsia="es-ES"/>
        </w:rPr>
      </w:pPr>
    </w:p>
    <w:p w:rsidR="001E7EF6" w:rsidRPr="00717165" w:rsidRDefault="001E7EF6" w:rsidP="001735AF">
      <w:pPr>
        <w:spacing w:after="0"/>
        <w:ind w:left="851" w:right="850"/>
        <w:jc w:val="both"/>
        <w:rPr>
          <w:rFonts w:ascii="Palatino Linotype" w:eastAsia="Calibri" w:hAnsi="Palatino Linotype" w:cs="Arial"/>
          <w:color w:val="000000"/>
          <w:sz w:val="2"/>
          <w:lang w:eastAsia="es-MX"/>
        </w:rPr>
      </w:pP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b/>
          <w:i/>
          <w:color w:val="000000"/>
          <w:lang w:eastAsia="es-MX"/>
        </w:rPr>
        <w:lastRenderedPageBreak/>
        <w:t>“No existe obligación de elaborar documentos ad hoc para atender las solicitudes de acceso a la información.</w:t>
      </w:r>
      <w:r w:rsidRPr="00717165">
        <w:rPr>
          <w:rFonts w:ascii="Palatino Linotype" w:eastAsia="Calibri" w:hAnsi="Palatino Linotype" w:cs="Arial"/>
          <w:i/>
          <w:color w:val="000000"/>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E7EF6" w:rsidRPr="00717165" w:rsidRDefault="001E7EF6" w:rsidP="001735AF">
      <w:pPr>
        <w:spacing w:after="0" w:line="240" w:lineRule="auto"/>
        <w:ind w:left="567" w:right="567"/>
        <w:jc w:val="both"/>
        <w:rPr>
          <w:rFonts w:ascii="Palatino Linotype" w:eastAsia="Calibri" w:hAnsi="Palatino Linotype" w:cs="Arial"/>
          <w:i/>
          <w:color w:val="000000"/>
          <w:sz w:val="2"/>
          <w:lang w:eastAsia="es-MX"/>
        </w:rPr>
      </w:pPr>
    </w:p>
    <w:p w:rsidR="001E7EF6" w:rsidRPr="00717165" w:rsidRDefault="001E7EF6" w:rsidP="001735AF">
      <w:pPr>
        <w:spacing w:after="0" w:line="360" w:lineRule="auto"/>
        <w:jc w:val="both"/>
        <w:rPr>
          <w:rFonts w:ascii="Palatino Linotype" w:eastAsia="Calibri" w:hAnsi="Palatino Linotype" w:cs="Arial"/>
          <w:color w:val="000000" w:themeColor="text1"/>
          <w:sz w:val="24"/>
          <w:lang w:eastAsia="es-MX"/>
        </w:rPr>
      </w:pPr>
    </w:p>
    <w:p w:rsidR="001E7EF6" w:rsidRPr="00717165" w:rsidRDefault="001E7EF6" w:rsidP="001735AF">
      <w:pPr>
        <w:spacing w:after="0" w:line="360" w:lineRule="auto"/>
        <w:jc w:val="both"/>
        <w:rPr>
          <w:rFonts w:ascii="Palatino Linotype" w:eastAsia="Calibri" w:hAnsi="Palatino Linotype" w:cs="Arial"/>
          <w:color w:val="000000" w:themeColor="text1"/>
          <w:sz w:val="24"/>
          <w:lang w:eastAsia="es-MX"/>
        </w:rPr>
      </w:pPr>
      <w:r w:rsidRPr="00717165">
        <w:rPr>
          <w:rFonts w:ascii="Palatino Linotype" w:eastAsia="Calibri" w:hAnsi="Palatino Linotype" w:cs="Arial"/>
          <w:color w:val="000000" w:themeColor="text1"/>
          <w:sz w:val="24"/>
          <w:lang w:eastAsia="es-MX"/>
        </w:rPr>
        <w:t xml:space="preserve">Asimismo, el artículo 24, de la Ley de la materia, dispone que los Sujetos Obligados sólo proporcionarán la información pública que </w:t>
      </w:r>
      <w:r w:rsidRPr="00717165">
        <w:rPr>
          <w:rFonts w:ascii="Palatino Linotype" w:eastAsia="Calibri" w:hAnsi="Palatino Linotype" w:cs="Arial"/>
          <w:sz w:val="24"/>
          <w:lang w:eastAsia="es-MX"/>
        </w:rPr>
        <w:t>generen</w:t>
      </w:r>
      <w:r w:rsidRPr="00717165">
        <w:rPr>
          <w:rFonts w:ascii="Palatino Linotype" w:eastAsia="Calibri" w:hAnsi="Palatino Linotype" w:cs="Arial"/>
          <w:color w:val="000000" w:themeColor="text1"/>
          <w:sz w:val="24"/>
          <w:lang w:eastAsia="es-MX"/>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E7EF6" w:rsidRPr="00717165" w:rsidRDefault="001E7EF6" w:rsidP="001735AF">
      <w:pPr>
        <w:spacing w:after="0" w:line="360" w:lineRule="auto"/>
        <w:jc w:val="both"/>
        <w:rPr>
          <w:rFonts w:ascii="Palatino Linotype" w:eastAsia="Calibri" w:hAnsi="Palatino Linotype" w:cs="Arial"/>
          <w:color w:val="000000" w:themeColor="text1"/>
          <w:sz w:val="24"/>
          <w:lang w:eastAsia="es-MX"/>
        </w:rPr>
      </w:pPr>
    </w:p>
    <w:p w:rsidR="001E7EF6" w:rsidRPr="00717165" w:rsidRDefault="001E7EF6" w:rsidP="001735AF">
      <w:pPr>
        <w:spacing w:after="0" w:line="360" w:lineRule="auto"/>
        <w:jc w:val="both"/>
        <w:rPr>
          <w:rFonts w:ascii="Palatino Linotype" w:eastAsia="Calibri" w:hAnsi="Palatino Linotype" w:cs="Arial"/>
          <w:color w:val="000000" w:themeColor="text1"/>
          <w:sz w:val="24"/>
          <w:lang w:eastAsia="es-MX"/>
        </w:rPr>
      </w:pPr>
      <w:r w:rsidRPr="00717165">
        <w:rPr>
          <w:rFonts w:ascii="Palatino Linotype" w:eastAsia="Calibri" w:hAnsi="Palatino Linotype" w:cs="Arial"/>
          <w:color w:val="000000" w:themeColor="text1"/>
          <w:sz w:val="24"/>
          <w:lang w:eastAsia="es-MX"/>
        </w:rPr>
        <w:t xml:space="preserve">En esta misma tesitura, es de subrayar que el derecho de acceso a la información pública, consiste en que la información solicitada conste en un soporte documental en cualquiera de sus formas, a saber: </w:t>
      </w:r>
      <w:r w:rsidRPr="00717165">
        <w:rPr>
          <w:rFonts w:ascii="Palatino Linotype" w:eastAsia="Calibri" w:hAnsi="Palatino Linotype" w:cs="Arial"/>
          <w:sz w:val="24"/>
          <w:lang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17165">
        <w:rPr>
          <w:rFonts w:ascii="Palatino Linotype" w:eastAsia="Calibri" w:hAnsi="Palatino Linotype" w:cs="Arial"/>
          <w:color w:val="000000" w:themeColor="text1"/>
          <w:sz w:val="24"/>
          <w:lang w:eastAsia="es-MX"/>
        </w:rPr>
        <w:t xml:space="preserve">; los que, </w:t>
      </w:r>
      <w:r w:rsidRPr="00717165">
        <w:rPr>
          <w:rFonts w:ascii="Palatino Linotype" w:eastAsia="Calibri" w:hAnsi="Palatino Linotype" w:cs="Arial"/>
          <w:sz w:val="24"/>
          <w:lang w:eastAsia="es-MX"/>
        </w:rPr>
        <w:t>podrán estar en cualquier medio, sea escrito, impreso, sonoro, visual, electrónico, informático u holográfico</w:t>
      </w:r>
      <w:r w:rsidRPr="00717165">
        <w:rPr>
          <w:rFonts w:ascii="Palatino Linotype" w:eastAsia="Calibri" w:hAnsi="Palatino Linotype" w:cs="Arial"/>
          <w:color w:val="000000" w:themeColor="text1"/>
          <w:sz w:val="24"/>
          <w:lang w:eastAsia="es-MX"/>
        </w:rPr>
        <w:t xml:space="preserve">, de conformidad con el artículo 3, fracción XI, de la Ley de la materia, el cual dispone lo siguiente: </w:t>
      </w:r>
    </w:p>
    <w:p w:rsidR="001E7EF6" w:rsidRPr="00717165" w:rsidRDefault="001E7EF6" w:rsidP="001735AF">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b/>
          <w:i/>
          <w:color w:val="000000"/>
          <w:lang w:eastAsia="es-MX"/>
        </w:rPr>
        <w:t xml:space="preserve">Artículo 3. </w:t>
      </w:r>
      <w:r w:rsidRPr="00717165">
        <w:rPr>
          <w:rFonts w:ascii="Palatino Linotype" w:eastAsia="Calibri" w:hAnsi="Palatino Linotype" w:cs="Arial"/>
          <w:i/>
          <w:color w:val="000000"/>
          <w:lang w:eastAsia="es-MX"/>
        </w:rPr>
        <w:t>Para los efectos de la presente Ley se entenderá por:</w:t>
      </w: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i/>
          <w:color w:val="000000"/>
          <w:lang w:eastAsia="es-MX"/>
        </w:rPr>
        <w:t>(…)</w:t>
      </w: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b/>
          <w:i/>
          <w:color w:val="000000"/>
          <w:lang w:eastAsia="es-MX"/>
        </w:rPr>
        <w:lastRenderedPageBreak/>
        <w:t>XI. Documento:</w:t>
      </w:r>
      <w:r w:rsidRPr="00717165">
        <w:rPr>
          <w:rFonts w:ascii="Palatino Linotype" w:eastAsia="Calibri" w:hAnsi="Palatino Linotype" w:cs="Arial"/>
          <w:i/>
          <w:color w:val="000000"/>
          <w:lang w:eastAsia="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E7EF6" w:rsidRPr="00717165" w:rsidRDefault="001E7EF6" w:rsidP="001735AF">
      <w:pPr>
        <w:spacing w:after="0" w:line="240" w:lineRule="auto"/>
        <w:ind w:left="567" w:right="567"/>
        <w:jc w:val="both"/>
        <w:rPr>
          <w:rFonts w:ascii="Palatino Linotype" w:eastAsia="Calibri" w:hAnsi="Palatino Linotype" w:cs="Arial"/>
          <w:i/>
          <w:color w:val="000000"/>
          <w:lang w:eastAsia="es-MX"/>
        </w:rPr>
      </w:pPr>
      <w:r w:rsidRPr="00717165">
        <w:rPr>
          <w:rFonts w:ascii="Palatino Linotype" w:eastAsia="Calibri" w:hAnsi="Palatino Linotype" w:cs="Arial"/>
          <w:i/>
          <w:color w:val="000000"/>
          <w:lang w:eastAsia="es-MX"/>
        </w:rPr>
        <w:t>(…)</w:t>
      </w:r>
    </w:p>
    <w:p w:rsidR="001E7EF6" w:rsidRPr="00717165" w:rsidRDefault="001E7EF6" w:rsidP="001735AF">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1E7EF6" w:rsidRPr="00717165" w:rsidRDefault="001E7EF6" w:rsidP="001735AF">
      <w:pPr>
        <w:autoSpaceDE w:val="0"/>
        <w:autoSpaceDN w:val="0"/>
        <w:adjustRightInd w:val="0"/>
        <w:spacing w:after="0" w:line="360" w:lineRule="auto"/>
        <w:jc w:val="both"/>
        <w:rPr>
          <w:rFonts w:ascii="Palatino Linotype" w:eastAsia="Calibri" w:hAnsi="Palatino Linotype" w:cs="Arial"/>
          <w:sz w:val="24"/>
          <w:lang w:eastAsia="es-MX"/>
        </w:rPr>
      </w:pPr>
      <w:r w:rsidRPr="00717165">
        <w:rPr>
          <w:rFonts w:ascii="Palatino Linotype" w:eastAsia="Calibri" w:hAnsi="Palatino Linotype" w:cs="Arial"/>
          <w:sz w:val="24"/>
          <w:lang w:eastAsia="es-MX"/>
        </w:rPr>
        <w:t xml:space="preserve">Siendo aplicable el Criterio </w:t>
      </w:r>
      <w:r w:rsidRPr="00717165">
        <w:rPr>
          <w:rFonts w:ascii="Palatino Linotype" w:eastAsia="Calibri" w:hAnsi="Palatino Linotype" w:cs="Arial"/>
          <w:bCs/>
          <w:sz w:val="24"/>
          <w:lang w:eastAsia="es-MX"/>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17165">
        <w:rPr>
          <w:rFonts w:ascii="Palatino Linotype" w:eastAsia="Calibri" w:hAnsi="Palatino Linotype" w:cs="Arial"/>
          <w:sz w:val="24"/>
          <w:lang w:eastAsia="es-MX"/>
        </w:rPr>
        <w:t>cuyo rubro y texto dispone:</w:t>
      </w:r>
    </w:p>
    <w:p w:rsidR="001E7EF6" w:rsidRPr="00717165" w:rsidRDefault="001E7EF6" w:rsidP="001735AF">
      <w:pPr>
        <w:spacing w:after="0" w:line="240" w:lineRule="auto"/>
        <w:rPr>
          <w:rFonts w:ascii="Palatino Linotype" w:eastAsia="Times New Roman" w:hAnsi="Palatino Linotype" w:cs="Times New Roman"/>
          <w:sz w:val="24"/>
          <w:szCs w:val="24"/>
          <w:lang w:eastAsia="es-ES"/>
        </w:rPr>
      </w:pPr>
    </w:p>
    <w:p w:rsidR="001E7EF6" w:rsidRPr="00717165" w:rsidRDefault="001E7EF6" w:rsidP="001735AF">
      <w:pPr>
        <w:spacing w:after="0"/>
        <w:ind w:left="567" w:right="567"/>
        <w:jc w:val="both"/>
        <w:rPr>
          <w:rFonts w:ascii="Palatino Linotype" w:eastAsia="Calibri" w:hAnsi="Palatino Linotype" w:cs="Arial"/>
          <w:sz w:val="2"/>
          <w:lang w:eastAsia="es-MX"/>
        </w:rPr>
      </w:pPr>
    </w:p>
    <w:p w:rsidR="001E7EF6" w:rsidRPr="00717165" w:rsidRDefault="001E7EF6" w:rsidP="001735AF">
      <w:pPr>
        <w:spacing w:after="0" w:line="240" w:lineRule="auto"/>
        <w:ind w:left="567" w:right="567"/>
        <w:jc w:val="both"/>
        <w:rPr>
          <w:rFonts w:ascii="Palatino Linotype" w:eastAsia="Calibri" w:hAnsi="Palatino Linotype" w:cs="Arial"/>
          <w:i/>
          <w:lang w:eastAsia="es-MX"/>
        </w:rPr>
      </w:pPr>
      <w:r w:rsidRPr="00717165">
        <w:rPr>
          <w:rFonts w:ascii="Palatino Linotype" w:eastAsia="Calibri" w:hAnsi="Palatino Linotype" w:cs="Arial"/>
          <w:b/>
          <w:i/>
          <w:lang w:eastAsia="es-MX"/>
        </w:rPr>
        <w:t xml:space="preserve">INFORMACIÓN PÚBLICA, CONCEPTO DE, EN MATERIA DE TRANSPARENCIA. INTERPRETACIÓN SISTEMÁTICA DE LOS ARTÍCULOS 2°, FRACCIÓN </w:t>
      </w:r>
      <w:r w:rsidRPr="00717165">
        <w:rPr>
          <w:rFonts w:ascii="Palatino Linotype" w:eastAsia="Calibri" w:hAnsi="Palatino Linotype" w:cs="Arial"/>
          <w:b/>
          <w:bCs/>
          <w:i/>
          <w:lang w:eastAsia="es-MX"/>
        </w:rPr>
        <w:t xml:space="preserve">V, XV, Y XVI, </w:t>
      </w:r>
      <w:r w:rsidRPr="00717165">
        <w:rPr>
          <w:rFonts w:ascii="Palatino Linotype" w:eastAsia="Calibri" w:hAnsi="Palatino Linotype" w:cs="Arial"/>
          <w:b/>
          <w:i/>
          <w:lang w:eastAsia="es-MX"/>
        </w:rPr>
        <w:t>3°, 4°, 11 Y 41.</w:t>
      </w:r>
      <w:r w:rsidRPr="00717165">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E7EF6" w:rsidRPr="00717165" w:rsidRDefault="001E7EF6" w:rsidP="001735AF">
      <w:pPr>
        <w:spacing w:after="0" w:line="240" w:lineRule="auto"/>
        <w:ind w:left="567" w:right="567"/>
        <w:jc w:val="both"/>
        <w:rPr>
          <w:rFonts w:ascii="Palatino Linotype" w:eastAsia="Calibri" w:hAnsi="Palatino Linotype" w:cs="Arial"/>
          <w:i/>
          <w:lang w:eastAsia="es-MX"/>
        </w:rPr>
      </w:pPr>
      <w:r w:rsidRPr="00717165">
        <w:rPr>
          <w:rFonts w:ascii="Palatino Linotype" w:eastAsia="Calibri" w:hAnsi="Palatino Linotype" w:cs="Arial"/>
          <w:i/>
          <w:lang w:eastAsia="es-MX"/>
        </w:rPr>
        <w:t>En consecuencia el acceso a la información se refiere a que se cumplan cualquiera de los siguientes tres supuestos:</w:t>
      </w:r>
    </w:p>
    <w:p w:rsidR="001E7EF6" w:rsidRPr="00717165" w:rsidRDefault="001E7EF6" w:rsidP="001735AF">
      <w:pPr>
        <w:spacing w:after="0" w:line="240" w:lineRule="auto"/>
        <w:ind w:left="567" w:right="567"/>
        <w:jc w:val="both"/>
        <w:rPr>
          <w:rFonts w:ascii="Palatino Linotype" w:eastAsia="Calibri" w:hAnsi="Palatino Linotype" w:cs="Arial"/>
          <w:b/>
          <w:i/>
          <w:lang w:eastAsia="es-MX"/>
        </w:rPr>
      </w:pPr>
    </w:p>
    <w:p w:rsidR="001E7EF6" w:rsidRPr="00717165" w:rsidRDefault="001E7EF6" w:rsidP="001735AF">
      <w:pPr>
        <w:spacing w:after="0" w:line="240" w:lineRule="auto"/>
        <w:ind w:left="567" w:right="567"/>
        <w:jc w:val="both"/>
        <w:rPr>
          <w:rFonts w:ascii="Palatino Linotype" w:eastAsia="Calibri" w:hAnsi="Palatino Linotype" w:cs="Arial"/>
          <w:b/>
          <w:i/>
          <w:lang w:eastAsia="es-MX"/>
        </w:rPr>
      </w:pPr>
      <w:r w:rsidRPr="00717165">
        <w:rPr>
          <w:rFonts w:ascii="Palatino Linotype" w:eastAsia="Calibri" w:hAnsi="Palatino Linotype" w:cs="Arial"/>
          <w:b/>
          <w:i/>
          <w:lang w:eastAsia="es-MX"/>
        </w:rPr>
        <w:t xml:space="preserve">1) </w:t>
      </w:r>
      <w:r w:rsidRPr="00717165">
        <w:rPr>
          <w:rFonts w:ascii="Palatino Linotype" w:eastAsia="Calibri" w:hAnsi="Palatino Linotype" w:cs="Arial"/>
          <w:b/>
          <w:i/>
          <w:u w:val="single"/>
          <w:lang w:eastAsia="es-MX"/>
        </w:rPr>
        <w:t>Que se trate de información registrada en cualquier soporte documental, que en ejercicio de las atribuciones conferidas, sea generada por los Sujetos Obligados;</w:t>
      </w:r>
    </w:p>
    <w:p w:rsidR="001E7EF6" w:rsidRPr="00717165" w:rsidRDefault="001E7EF6" w:rsidP="001735AF">
      <w:pPr>
        <w:spacing w:after="0" w:line="240" w:lineRule="auto"/>
        <w:ind w:left="567" w:right="567"/>
        <w:jc w:val="both"/>
        <w:rPr>
          <w:rFonts w:ascii="Palatino Linotype" w:eastAsia="Calibri" w:hAnsi="Palatino Linotype" w:cs="Arial"/>
          <w:i/>
          <w:lang w:eastAsia="es-MX"/>
        </w:rPr>
      </w:pPr>
      <w:r w:rsidRPr="00717165">
        <w:rPr>
          <w:rFonts w:ascii="Palatino Linotype" w:eastAsia="Calibri" w:hAnsi="Palatino Linotype" w:cs="Arial"/>
          <w:i/>
          <w:lang w:eastAsia="es-MX"/>
        </w:rPr>
        <w:t>2) Que se trate de información registrada en cualquier soporte documental, que en ejercicio de las atribuciones conferidas, sea administrada por los Sujetos Obligados, y</w:t>
      </w:r>
    </w:p>
    <w:p w:rsidR="001E7EF6" w:rsidRPr="00717165" w:rsidRDefault="001E7EF6" w:rsidP="001735AF">
      <w:pPr>
        <w:spacing w:after="0" w:line="240" w:lineRule="auto"/>
        <w:ind w:left="567" w:right="567"/>
        <w:jc w:val="both"/>
        <w:rPr>
          <w:rFonts w:ascii="Palatino Linotype" w:eastAsia="Calibri" w:hAnsi="Palatino Linotype" w:cs="Arial"/>
          <w:i/>
          <w:sz w:val="18"/>
          <w:lang w:eastAsia="es-MX"/>
        </w:rPr>
      </w:pPr>
      <w:r w:rsidRPr="00717165">
        <w:rPr>
          <w:rFonts w:ascii="Palatino Linotype" w:eastAsia="Calibri" w:hAnsi="Palatino Linotype" w:cs="Arial"/>
          <w:i/>
          <w:lang w:eastAsia="es-MX"/>
        </w:rPr>
        <w:t>3) Que se trate de información registrada en cualquier soporte documental, que en ejercicio de las atribuciones conferidas, se encuentre en posesión de los Sujetos Obligados.</w:t>
      </w:r>
    </w:p>
    <w:p w:rsidR="001E7EF6" w:rsidRPr="00717165" w:rsidRDefault="001E7EF6" w:rsidP="001735AF">
      <w:pPr>
        <w:spacing w:after="0" w:line="360" w:lineRule="auto"/>
        <w:jc w:val="both"/>
        <w:rPr>
          <w:rFonts w:ascii="Palatino Linotype" w:eastAsia="Calibri" w:hAnsi="Palatino Linotype" w:cs="Arial"/>
          <w:sz w:val="24"/>
          <w:lang w:eastAsia="es-MX"/>
        </w:rPr>
      </w:pPr>
    </w:p>
    <w:p w:rsidR="001E7EF6" w:rsidRPr="00717165" w:rsidRDefault="001E7EF6" w:rsidP="001735AF">
      <w:pPr>
        <w:spacing w:after="0" w:line="360" w:lineRule="auto"/>
        <w:jc w:val="both"/>
        <w:rPr>
          <w:rFonts w:ascii="Palatino Linotype" w:hAnsi="Palatino Linotype" w:cs="Arial"/>
          <w:sz w:val="24"/>
        </w:rPr>
      </w:pPr>
      <w:r w:rsidRPr="00717165">
        <w:rPr>
          <w:rFonts w:ascii="Palatino Linotype" w:eastAsia="Calibri" w:hAnsi="Palatino Linotype" w:cs="Times New Roman"/>
          <w:sz w:val="24"/>
          <w:szCs w:val="24"/>
          <w:lang w:val="es-ES_tradnl" w:eastAsia="es-ES"/>
        </w:rPr>
        <w:t xml:space="preserve">Acotado lo anterior, </w:t>
      </w:r>
      <w:r w:rsidRPr="00717165">
        <w:rPr>
          <w:rFonts w:ascii="Palatino Linotype" w:hAnsi="Palatino Linotype" w:cs="Arial"/>
          <w:sz w:val="24"/>
        </w:rPr>
        <w:t xml:space="preserve">si bien es cierto, en la solicitud se realiza en forma de requerimiento de elaboración de un documento especifico que no constituye un derecho de acceso a la información pública, también lo es que de acuerdo con el </w:t>
      </w:r>
      <w:r w:rsidRPr="00717165">
        <w:rPr>
          <w:rFonts w:ascii="Palatino Linotype" w:hAnsi="Palatino Linotype" w:cs="Arial"/>
          <w:b/>
          <w:sz w:val="24"/>
        </w:rPr>
        <w:lastRenderedPageBreak/>
        <w:t>Criterio 16/17</w:t>
      </w:r>
      <w:r w:rsidRPr="00717165">
        <w:rPr>
          <w:rFonts w:ascii="Palatino Linotype" w:hAnsi="Palatino Linotype" w:cs="Arial"/>
          <w:sz w:val="24"/>
        </w:rPr>
        <w:t xml:space="preserve"> del Instituto Nacional de Transparencia, Acceso a la Información y Protección de Datos Personales, cuando los particulares presenten solicitudes de acceso a la información en donde no se identifica de forma precisa la documentación que pudiera colmar su pretensión, el </w:t>
      </w:r>
      <w:r w:rsidRPr="00717165">
        <w:rPr>
          <w:rFonts w:ascii="Palatino Linotype" w:hAnsi="Palatino Linotype" w:cs="Arial"/>
          <w:b/>
          <w:sz w:val="24"/>
        </w:rPr>
        <w:t>Sujeto Obligado</w:t>
      </w:r>
      <w:r w:rsidRPr="00717165">
        <w:rPr>
          <w:rFonts w:ascii="Palatino Linotype" w:hAnsi="Palatino Linotype" w:cs="Arial"/>
          <w:sz w:val="24"/>
        </w:rPr>
        <w:t xml:space="preserve"> deberá otorgar una expresión documental, tal como se prevé a continuación: </w:t>
      </w:r>
    </w:p>
    <w:p w:rsidR="001E7EF6" w:rsidRPr="00717165" w:rsidRDefault="001E7EF6" w:rsidP="001735AF">
      <w:pPr>
        <w:spacing w:after="0" w:line="360" w:lineRule="auto"/>
        <w:jc w:val="both"/>
        <w:rPr>
          <w:rFonts w:ascii="Palatino Linotype" w:hAnsi="Palatino Linotype" w:cs="Arial"/>
          <w:sz w:val="24"/>
        </w:rPr>
      </w:pPr>
    </w:p>
    <w:p w:rsidR="001E7EF6" w:rsidRPr="00717165" w:rsidRDefault="001E7EF6" w:rsidP="001735AF">
      <w:pPr>
        <w:spacing w:after="0" w:line="240" w:lineRule="auto"/>
        <w:ind w:left="567" w:right="567"/>
        <w:jc w:val="both"/>
        <w:rPr>
          <w:rFonts w:ascii="Palatino Linotype" w:hAnsi="Palatino Linotype" w:cs="Arial"/>
          <w:i/>
        </w:rPr>
      </w:pPr>
      <w:r w:rsidRPr="00717165">
        <w:rPr>
          <w:rFonts w:ascii="Palatino Linotype" w:hAnsi="Palatino Linotype" w:cs="Arial"/>
          <w:i/>
        </w:rPr>
        <w:t>“</w:t>
      </w:r>
      <w:r w:rsidRPr="00717165">
        <w:rPr>
          <w:rFonts w:ascii="Palatino Linotype" w:hAnsi="Palatino Linotype" w:cs="Arial"/>
          <w:b/>
          <w:i/>
        </w:rPr>
        <w:t xml:space="preserve">Expresión documental. </w:t>
      </w:r>
      <w:r w:rsidRPr="00717165">
        <w:rPr>
          <w:rFonts w:ascii="Palatino Linotype" w:hAnsi="Palatino Linotype" w:cs="Arial"/>
          <w:i/>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E7EF6" w:rsidRPr="00717165" w:rsidRDefault="001E7EF6" w:rsidP="001735AF">
      <w:pPr>
        <w:spacing w:after="0" w:line="360" w:lineRule="auto"/>
        <w:jc w:val="both"/>
        <w:rPr>
          <w:rFonts w:ascii="Palatino Linotype" w:hAnsi="Palatino Linotype" w:cs="Arial"/>
          <w:sz w:val="24"/>
        </w:rPr>
      </w:pPr>
    </w:p>
    <w:p w:rsidR="001E7EF6" w:rsidRPr="00717165" w:rsidRDefault="001E7EF6" w:rsidP="001735AF">
      <w:pPr>
        <w:spacing w:after="0" w:line="360" w:lineRule="auto"/>
        <w:jc w:val="both"/>
        <w:rPr>
          <w:rFonts w:ascii="Palatino Linotype" w:hAnsi="Palatino Linotype" w:cs="Arial"/>
          <w:sz w:val="24"/>
        </w:rPr>
      </w:pPr>
      <w:r w:rsidRPr="00717165">
        <w:rPr>
          <w:rFonts w:ascii="Palatino Linotype" w:hAnsi="Palatino Linotype" w:cs="Arial"/>
          <w:sz w:val="24"/>
        </w:rPr>
        <w:t xml:space="preserve">Ahora bien, </w:t>
      </w:r>
      <w:r w:rsidR="00014046" w:rsidRPr="00717165">
        <w:rPr>
          <w:rFonts w:ascii="Palatino Linotype" w:hAnsi="Palatino Linotype" w:cs="Arial"/>
          <w:sz w:val="24"/>
          <w:lang w:val="es-ES_tradnl"/>
        </w:rPr>
        <w:t>de</w:t>
      </w:r>
      <w:r w:rsidRPr="00717165">
        <w:rPr>
          <w:rFonts w:ascii="Palatino Linotype" w:hAnsi="Palatino Linotype" w:cs="Arial"/>
          <w:sz w:val="24"/>
          <w:lang w:val="es-ES_tradnl"/>
        </w:rPr>
        <w:t xml:space="preserve"> conformidad con las constancias que obran en el expediente electrónico se observa que e</w:t>
      </w:r>
      <w:r w:rsidRPr="00717165">
        <w:rPr>
          <w:rFonts w:ascii="Palatino Linotype" w:hAnsi="Palatino Linotype" w:cs="Arial"/>
          <w:sz w:val="24"/>
        </w:rPr>
        <w:t xml:space="preserve">l </w:t>
      </w:r>
      <w:r w:rsidRPr="00717165">
        <w:rPr>
          <w:rFonts w:ascii="Palatino Linotype" w:hAnsi="Palatino Linotype" w:cs="Arial"/>
          <w:b/>
          <w:sz w:val="24"/>
        </w:rPr>
        <w:t>Sujeto Obligado</w:t>
      </w:r>
      <w:r w:rsidRPr="00717165">
        <w:rPr>
          <w:rFonts w:ascii="Palatino Linotype" w:hAnsi="Palatino Linotype" w:cs="Arial"/>
          <w:sz w:val="24"/>
        </w:rPr>
        <w:t xml:space="preserve"> dio respuesta por medio del documento electrónico </w:t>
      </w:r>
      <w:r w:rsidRPr="00717165">
        <w:rPr>
          <w:rFonts w:ascii="Palatino Linotype" w:hAnsi="Palatino Linotype" w:cs="Arial"/>
          <w:sz w:val="24"/>
          <w:szCs w:val="28"/>
        </w:rPr>
        <w:t>“</w:t>
      </w:r>
      <w:r w:rsidR="00014046" w:rsidRPr="00717165">
        <w:rPr>
          <w:rFonts w:ascii="Palatino Linotype" w:hAnsi="Palatino Linotype" w:cs="Arial"/>
          <w:b/>
          <w:i/>
          <w:sz w:val="24"/>
          <w:szCs w:val="28"/>
        </w:rPr>
        <w:t>Respuesta SAIMEX 368.zip</w:t>
      </w:r>
      <w:r w:rsidRPr="00717165">
        <w:rPr>
          <w:rFonts w:ascii="Palatino Linotype" w:hAnsi="Palatino Linotype" w:cs="Arial"/>
          <w:sz w:val="24"/>
          <w:szCs w:val="28"/>
        </w:rPr>
        <w:t>”</w:t>
      </w:r>
      <w:r w:rsidRPr="00717165">
        <w:rPr>
          <w:rFonts w:ascii="Palatino Linotype" w:hAnsi="Palatino Linotype" w:cs="Arial"/>
          <w:sz w:val="24"/>
        </w:rPr>
        <w:t xml:space="preserve">, consistente en </w:t>
      </w:r>
      <w:r w:rsidR="00014046" w:rsidRPr="00717165">
        <w:rPr>
          <w:rFonts w:ascii="Palatino Linotype" w:hAnsi="Palatino Linotype" w:cs="Arial"/>
          <w:sz w:val="24"/>
        </w:rPr>
        <w:t>una carpeta de tipo comprimido, la cual contiene los documentos que se describen a continuación:</w:t>
      </w:r>
    </w:p>
    <w:p w:rsidR="001E7EF6" w:rsidRPr="00717165" w:rsidRDefault="001E7EF6"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spacing w:after="0" w:line="360" w:lineRule="auto"/>
        <w:jc w:val="center"/>
        <w:rPr>
          <w:rFonts w:ascii="Palatino Linotype" w:eastAsia="Calibri" w:hAnsi="Palatino Linotype" w:cs="Times New Roman"/>
          <w:sz w:val="24"/>
          <w:szCs w:val="24"/>
          <w:lang w:val="es-ES_tradnl" w:eastAsia="es-ES"/>
        </w:rPr>
      </w:pPr>
      <w:r w:rsidRPr="00717165">
        <w:rPr>
          <w:rFonts w:ascii="Palatino Linotype" w:eastAsia="Calibri" w:hAnsi="Palatino Linotype" w:cs="Times New Roman"/>
          <w:noProof/>
          <w:sz w:val="24"/>
          <w:szCs w:val="24"/>
          <w:lang w:eastAsia="es-MX"/>
        </w:rPr>
        <w:drawing>
          <wp:inline distT="0" distB="0" distL="0" distR="0" wp14:anchorId="0CE0AA7F" wp14:editId="625C0BB7">
            <wp:extent cx="5760720" cy="21913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91385"/>
                    </a:xfrm>
                    <a:prstGeom prst="rect">
                      <a:avLst/>
                    </a:prstGeom>
                  </pic:spPr>
                </pic:pic>
              </a:graphicData>
            </a:graphic>
          </wp:inline>
        </w:drawing>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pStyle w:val="Prrafodelista"/>
        <w:numPr>
          <w:ilvl w:val="0"/>
          <w:numId w:val="5"/>
        </w:numPr>
        <w:spacing w:line="360" w:lineRule="auto"/>
        <w:jc w:val="both"/>
        <w:rPr>
          <w:rFonts w:ascii="Palatino Linotype" w:eastAsia="Calibri" w:hAnsi="Palatino Linotype"/>
          <w:lang w:val="es-ES_tradnl"/>
        </w:rPr>
      </w:pPr>
      <w:r w:rsidRPr="00717165">
        <w:rPr>
          <w:rFonts w:ascii="Palatino Linotype" w:eastAsia="Calibri" w:hAnsi="Palatino Linotype"/>
          <w:b/>
          <w:lang w:val="es-ES_tradnl"/>
        </w:rPr>
        <w:lastRenderedPageBreak/>
        <w:t>SAIMEX 368 S.M. 03009.pdf:</w:t>
      </w:r>
      <w:r w:rsidRPr="00717165">
        <w:rPr>
          <w:rFonts w:ascii="Palatino Linotype" w:eastAsia="Calibri" w:hAnsi="Palatino Linotype"/>
          <w:lang w:val="es-ES_tradnl"/>
        </w:rPr>
        <w:t xml:space="preserve"> Oficio número S.M.03009/2022 del doce de mayo de dos mil veintidós, </w:t>
      </w:r>
      <w:r w:rsidR="00523671" w:rsidRPr="00717165">
        <w:rPr>
          <w:rFonts w:ascii="Palatino Linotype" w:eastAsia="Calibri" w:hAnsi="Palatino Linotype"/>
          <w:lang w:val="es-ES_tradnl"/>
        </w:rPr>
        <w:t>signados tanto por el Secretario del Ayuntamiento y el Servidor Público Habilitado de la Secretaría del Ayuntamiento, mediante el cual notifican a la Titular de la Unidad de Transparencia y Acceso a la Información Pública Municipal, todos del Sujeto Obligado</w:t>
      </w:r>
      <w:r w:rsidRPr="00717165">
        <w:rPr>
          <w:rFonts w:ascii="Palatino Linotype" w:eastAsia="Calibri" w:hAnsi="Palatino Linotype"/>
          <w:lang w:val="es-ES_tradnl"/>
        </w:rPr>
        <w:t>, la respuesta a la solicitud de información número 00368/TLALNEPA/IP/2022, esencialmente en los términos siguientes</w:t>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“respecto de la solicitud de cuenta me permito señalar, por cuanto hace a lo solicitado en el PUNTO 3, que a la letra dice: </w:t>
      </w: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 3.</w:t>
      </w:r>
      <w:r w:rsidR="00DF684E" w:rsidRPr="00717165">
        <w:rPr>
          <w:rFonts w:ascii="Palatino Linotype" w:eastAsia="Calibri" w:hAnsi="Palatino Linotype" w:cs="Times New Roman"/>
          <w:i/>
          <w:szCs w:val="24"/>
          <w:lang w:val="es-ES_tradnl" w:eastAsia="es-ES"/>
        </w:rPr>
        <w:t xml:space="preserve"> ¿L</w:t>
      </w:r>
      <w:r w:rsidRPr="00717165">
        <w:rPr>
          <w:rFonts w:ascii="Palatino Linotype" w:eastAsia="Calibri" w:hAnsi="Palatino Linotype" w:cs="Times New Roman"/>
          <w:i/>
          <w:szCs w:val="24"/>
          <w:lang w:val="es-ES_tradnl" w:eastAsia="es-ES"/>
        </w:rPr>
        <w:t>as patrullas y moto patrullas fueron adquiridas por el</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Ayuntamiento, durante la administración actual, bajo un esquema de</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arrendamiento?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En atención a dicha solicitud, me permito señalar </w:t>
      </w:r>
      <w:r w:rsidRPr="00717165">
        <w:rPr>
          <w:rFonts w:ascii="Palatino Linotype" w:eastAsia="Calibri" w:hAnsi="Palatino Linotype" w:cs="Times New Roman"/>
          <w:b/>
          <w:i/>
          <w:szCs w:val="24"/>
          <w:lang w:val="es-ES_tradnl" w:eastAsia="es-ES"/>
        </w:rPr>
        <w:t>"NO"</w:t>
      </w:r>
      <w:r w:rsidRPr="00717165">
        <w:rPr>
          <w:rFonts w:ascii="Palatino Linotype" w:eastAsia="Calibri" w:hAnsi="Palatino Linotype" w:cs="Times New Roman"/>
          <w:i/>
          <w:szCs w:val="24"/>
          <w:lang w:val="es-ES_tradnl" w:eastAsia="es-ES"/>
        </w:rPr>
        <w:t xml:space="preserve"> ya que el AYUNTAMIENTO no ha adquirido patrullas ni moto patrullas, es de señalarse que</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conforme a lo dispuesto, por el artículo 16 de la Ley Orgánica Municipal del Estado de México, el Ayuntamiento está integrado por Presidente, Síndicos y Regidores y dentro</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de las facultades otorgadas al mismo, únicamente se encuentran las señaladas en el</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artículo 31 de la Ley Orgánica Municipal del Estado de México.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Por cuanto hace a lo solicitado en el PUNTO 4, que a la letra dice: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DF684E" w:rsidP="001735AF">
      <w:pPr>
        <w:spacing w:after="0" w:line="240" w:lineRule="auto"/>
        <w:ind w:left="567" w:right="567"/>
        <w:jc w:val="both"/>
        <w:rPr>
          <w:rFonts w:ascii="Palatino Linotype" w:eastAsia="Calibri" w:hAnsi="Palatino Linotype" w:cs="Times New Roman"/>
          <w:b/>
          <w:i/>
          <w:szCs w:val="24"/>
          <w:lang w:val="es-ES_tradnl" w:eastAsia="es-ES"/>
        </w:rPr>
      </w:pPr>
      <w:r w:rsidRPr="00717165">
        <w:rPr>
          <w:rFonts w:ascii="Palatino Linotype" w:eastAsia="Calibri" w:hAnsi="Palatino Linotype" w:cs="Times New Roman"/>
          <w:b/>
          <w:i/>
          <w:szCs w:val="24"/>
          <w:lang w:val="es-ES_tradnl" w:eastAsia="es-ES"/>
        </w:rPr>
        <w:t>…</w:t>
      </w:r>
      <w:r w:rsidR="00842263" w:rsidRPr="00717165">
        <w:rPr>
          <w:rFonts w:ascii="Palatino Linotype" w:eastAsia="Calibri" w:hAnsi="Palatino Linotype" w:cs="Times New Roman"/>
          <w:b/>
          <w:i/>
          <w:szCs w:val="24"/>
          <w:lang w:val="es-ES_tradnl" w:eastAsia="es-ES"/>
        </w:rPr>
        <w:t xml:space="preserve">" 4. </w:t>
      </w:r>
      <w:r w:rsidRPr="00717165">
        <w:rPr>
          <w:rFonts w:ascii="Palatino Linotype" w:eastAsia="Calibri" w:hAnsi="Palatino Linotype" w:cs="Times New Roman"/>
          <w:b/>
          <w:i/>
          <w:szCs w:val="24"/>
          <w:lang w:val="es-ES_tradnl" w:eastAsia="es-ES"/>
        </w:rPr>
        <w:t>¿</w:t>
      </w:r>
      <w:r w:rsidR="00842263" w:rsidRPr="00717165">
        <w:rPr>
          <w:rFonts w:ascii="Palatino Linotype" w:eastAsia="Calibri" w:hAnsi="Palatino Linotype" w:cs="Times New Roman"/>
          <w:b/>
          <w:i/>
          <w:szCs w:val="24"/>
          <w:lang w:val="es-ES_tradnl" w:eastAsia="es-ES"/>
        </w:rPr>
        <w:t>Por qué método se realizó la compra, de las patrullas y</w:t>
      </w:r>
      <w:r w:rsidRPr="00717165">
        <w:rPr>
          <w:rFonts w:ascii="Palatino Linotype" w:eastAsia="Calibri" w:hAnsi="Palatino Linotype" w:cs="Times New Roman"/>
          <w:b/>
          <w:i/>
          <w:szCs w:val="24"/>
          <w:lang w:val="es-ES_tradnl" w:eastAsia="es-ES"/>
        </w:rPr>
        <w:t xml:space="preserve"> </w:t>
      </w:r>
      <w:r w:rsidR="00842263" w:rsidRPr="00717165">
        <w:rPr>
          <w:rFonts w:ascii="Palatino Linotype" w:eastAsia="Calibri" w:hAnsi="Palatino Linotype" w:cs="Times New Roman"/>
          <w:b/>
          <w:i/>
          <w:szCs w:val="24"/>
          <w:lang w:val="es-ES_tradnl" w:eastAsia="es-ES"/>
        </w:rPr>
        <w:t>motopatrullas, durante la administración actual, a través de licitación o</w:t>
      </w:r>
      <w:r w:rsidRPr="00717165">
        <w:rPr>
          <w:rFonts w:ascii="Palatino Linotype" w:eastAsia="Calibri" w:hAnsi="Palatino Linotype" w:cs="Times New Roman"/>
          <w:b/>
          <w:i/>
          <w:szCs w:val="24"/>
          <w:lang w:val="es-ES_tradnl" w:eastAsia="es-ES"/>
        </w:rPr>
        <w:t xml:space="preserve"> </w:t>
      </w:r>
      <w:r w:rsidR="00842263" w:rsidRPr="00717165">
        <w:rPr>
          <w:rFonts w:ascii="Palatino Linotype" w:eastAsia="Calibri" w:hAnsi="Palatino Linotype" w:cs="Times New Roman"/>
          <w:b/>
          <w:i/>
          <w:szCs w:val="24"/>
          <w:lang w:val="es-ES_tradnl" w:eastAsia="es-ES"/>
        </w:rPr>
        <w:t xml:space="preserve">adquisición directa?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A lo que se precisa: Durante la presente administración no se ha realizado</w:t>
      </w:r>
      <w:r w:rsidR="00DF684E"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compra de patrullas ni motopatrullas.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Por lo que respecta a lo solicitado en el PUNTO 5, que a la letra dice: </w:t>
      </w:r>
    </w:p>
    <w:p w:rsidR="00DF684E" w:rsidRPr="00717165" w:rsidRDefault="00DF684E"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DF684E" w:rsidP="001735AF">
      <w:pPr>
        <w:spacing w:after="0" w:line="240" w:lineRule="auto"/>
        <w:ind w:left="567" w:right="567"/>
        <w:jc w:val="both"/>
        <w:rPr>
          <w:rFonts w:ascii="Palatino Linotype" w:eastAsia="Calibri" w:hAnsi="Palatino Linotype" w:cs="Times New Roman"/>
          <w:b/>
          <w:i/>
          <w:szCs w:val="24"/>
          <w:lang w:val="es-ES_tradnl" w:eastAsia="es-ES"/>
        </w:rPr>
      </w:pPr>
      <w:r w:rsidRPr="00717165">
        <w:rPr>
          <w:rFonts w:ascii="Palatino Linotype" w:eastAsia="Calibri" w:hAnsi="Palatino Linotype" w:cs="Times New Roman"/>
          <w:b/>
          <w:i/>
          <w:szCs w:val="24"/>
          <w:lang w:val="es-ES_tradnl" w:eastAsia="es-ES"/>
        </w:rPr>
        <w:t>…"5. ¿</w:t>
      </w:r>
      <w:r w:rsidR="00842263" w:rsidRPr="00717165">
        <w:rPr>
          <w:rFonts w:ascii="Palatino Linotype" w:eastAsia="Calibri" w:hAnsi="Palatino Linotype" w:cs="Times New Roman"/>
          <w:b/>
          <w:i/>
          <w:szCs w:val="24"/>
          <w:lang w:val="es-ES_tradnl" w:eastAsia="es-ES"/>
        </w:rPr>
        <w:t>A través de este medio solicito los contratos celebrados por el</w:t>
      </w:r>
      <w:r w:rsidRPr="00717165">
        <w:rPr>
          <w:rFonts w:ascii="Palatino Linotype" w:eastAsia="Calibri" w:hAnsi="Palatino Linotype" w:cs="Times New Roman"/>
          <w:b/>
          <w:i/>
          <w:szCs w:val="24"/>
          <w:lang w:val="es-ES_tradnl" w:eastAsia="es-ES"/>
        </w:rPr>
        <w:t xml:space="preserve"> </w:t>
      </w:r>
      <w:r w:rsidR="00842263" w:rsidRPr="00717165">
        <w:rPr>
          <w:rFonts w:ascii="Palatino Linotype" w:eastAsia="Calibri" w:hAnsi="Palatino Linotype" w:cs="Times New Roman"/>
          <w:b/>
          <w:i/>
          <w:szCs w:val="24"/>
          <w:lang w:val="es-ES_tradnl" w:eastAsia="es-ES"/>
        </w:rPr>
        <w:t xml:space="preserve">Ayuntamiento con los proveedores de las 140 radio patrullas y 35 moto patrullas nuevas; durante la administración del alcalde Marco Antonio Rodríguez Hurtado? </w:t>
      </w:r>
    </w:p>
    <w:p w:rsidR="00F0213F" w:rsidRPr="00717165" w:rsidRDefault="00F0213F"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lastRenderedPageBreak/>
        <w:t>En atención a dicha solicitud, me permito señalar "</w:t>
      </w:r>
      <w:r w:rsidRPr="00717165">
        <w:rPr>
          <w:rFonts w:ascii="Palatino Linotype" w:eastAsia="Calibri" w:hAnsi="Palatino Linotype" w:cs="Times New Roman"/>
          <w:b/>
          <w:i/>
          <w:szCs w:val="24"/>
          <w:lang w:val="es-ES_tradnl" w:eastAsia="es-ES"/>
        </w:rPr>
        <w:t>NO OBRA LA</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INFORMACIÓN SOLICITADA</w:t>
      </w:r>
      <w:r w:rsidRPr="00717165">
        <w:rPr>
          <w:rFonts w:ascii="Palatino Linotype" w:eastAsia="Calibri" w:hAnsi="Palatino Linotype" w:cs="Times New Roman"/>
          <w:i/>
          <w:szCs w:val="24"/>
          <w:lang w:val="es-ES_tradnl" w:eastAsia="es-ES"/>
        </w:rPr>
        <w:t>" es de señalarse que conforme</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a lo dispuesto, por el</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artículo 16 de la Ley Orgánica Municipal del Estado de México, el Ayuntamiento está</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integrado por Presidente, Síndicos y Regidores y dentro de las facultades otorgadas al mismo, únicamente se encuentran las señaladas en el artículo 31 de la Ley Orgánica</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Municipal del Estado de México, dentro de la cual NO se desprende la facultad de </w:t>
      </w:r>
      <w:r w:rsidR="00F0213F" w:rsidRPr="00717165">
        <w:rPr>
          <w:rFonts w:ascii="Palatino Linotype" w:eastAsia="Calibri" w:hAnsi="Palatino Linotype" w:cs="Times New Roman"/>
          <w:i/>
          <w:szCs w:val="24"/>
          <w:lang w:val="es-ES_tradnl" w:eastAsia="es-ES"/>
        </w:rPr>
        <w:t>celebrar contratos.</w:t>
      </w:r>
    </w:p>
    <w:p w:rsidR="00F0213F" w:rsidRPr="00717165" w:rsidRDefault="00F0213F"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b/>
          <w:i/>
          <w:szCs w:val="24"/>
          <w:lang w:val="es-ES_tradnl" w:eastAsia="es-ES"/>
        </w:rPr>
      </w:pPr>
      <w:r w:rsidRPr="00717165">
        <w:rPr>
          <w:rFonts w:ascii="Palatino Linotype" w:eastAsia="Calibri" w:hAnsi="Palatino Linotype" w:cs="Times New Roman"/>
          <w:b/>
          <w:i/>
          <w:szCs w:val="24"/>
          <w:lang w:val="es-ES_tradnl" w:eastAsia="es-ES"/>
        </w:rPr>
        <w:t>... "6. También solicito copia del cronograma, es decir, un documento</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con las fechas de la convocatoria para la licitación, venta de bases, concurso,</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y los diferentes pasos que contempló la adquisición de las nuevas patrullas</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y moto patrullas, durante el actual gobierno de Marco Antonio Rodríguez</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 xml:space="preserve">Hurtado? </w:t>
      </w:r>
    </w:p>
    <w:p w:rsidR="00F0213F" w:rsidRPr="00717165" w:rsidRDefault="00F0213F"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En atención a dicha solicitud, me permito señalar "</w:t>
      </w:r>
      <w:r w:rsidRPr="00717165">
        <w:rPr>
          <w:rFonts w:ascii="Palatino Linotype" w:eastAsia="Calibri" w:hAnsi="Palatino Linotype" w:cs="Times New Roman"/>
          <w:b/>
          <w:i/>
          <w:szCs w:val="24"/>
          <w:lang w:val="es-ES_tradnl" w:eastAsia="es-ES"/>
        </w:rPr>
        <w:t>NO OBRA LA</w:t>
      </w:r>
      <w:r w:rsidR="00F0213F" w:rsidRPr="00717165">
        <w:rPr>
          <w:rFonts w:ascii="Palatino Linotype" w:eastAsia="Calibri" w:hAnsi="Palatino Linotype" w:cs="Times New Roman"/>
          <w:b/>
          <w:i/>
          <w:szCs w:val="24"/>
          <w:lang w:val="es-ES_tradnl" w:eastAsia="es-ES"/>
        </w:rPr>
        <w:t xml:space="preserve"> </w:t>
      </w:r>
      <w:r w:rsidRPr="00717165">
        <w:rPr>
          <w:rFonts w:ascii="Palatino Linotype" w:eastAsia="Calibri" w:hAnsi="Palatino Linotype" w:cs="Times New Roman"/>
          <w:b/>
          <w:i/>
          <w:szCs w:val="24"/>
          <w:lang w:val="es-ES_tradnl" w:eastAsia="es-ES"/>
        </w:rPr>
        <w:t>INFORMACIÓN SOLICITADA</w:t>
      </w:r>
      <w:r w:rsidRPr="00717165">
        <w:rPr>
          <w:rFonts w:ascii="Palatino Linotype" w:eastAsia="Calibri" w:hAnsi="Palatino Linotype" w:cs="Times New Roman"/>
          <w:i/>
          <w:szCs w:val="24"/>
          <w:lang w:val="es-ES_tradnl" w:eastAsia="es-ES"/>
        </w:rPr>
        <w:t>", es de señalarse que conforme al artículo 6 inciso</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A, fracción I de la Constitución Política de los Estados Unidos Mexicanos, los sujetos obligados deberán documentar todo acto que derive del ejercicio de sus</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facultades, competencias o funciones, así mismo el artículo 12 de la Ley de</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Transparencia y Acceso a la Información Pública del Estado de México y Municipios, en su segundo párrafo señala que los sujetos obligados sólo proporcionarán la</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información pública que se les requiera </w:t>
      </w:r>
      <w:r w:rsidRPr="00717165">
        <w:rPr>
          <w:rFonts w:ascii="Palatino Linotype" w:eastAsia="Calibri" w:hAnsi="Palatino Linotype" w:cs="Times New Roman"/>
          <w:b/>
          <w:i/>
          <w:szCs w:val="24"/>
          <w:lang w:val="es-ES_tradnl" w:eastAsia="es-ES"/>
        </w:rPr>
        <w:t>y que obre en sus archivos</w:t>
      </w:r>
      <w:r w:rsidRPr="00717165">
        <w:rPr>
          <w:rFonts w:ascii="Palatino Linotype" w:eastAsia="Calibri" w:hAnsi="Palatino Linotype" w:cs="Times New Roman"/>
          <w:i/>
          <w:szCs w:val="24"/>
          <w:lang w:val="es-ES_tradnl" w:eastAsia="es-ES"/>
        </w:rPr>
        <w:t xml:space="preserve"> en el estado</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en que ésta se encuentre; así mismo el artículo 18 de la misma Ley, puntualiza que los sujetos obligados deberán </w:t>
      </w:r>
      <w:r w:rsidRPr="00717165">
        <w:rPr>
          <w:rFonts w:ascii="Palatino Linotype" w:eastAsia="Calibri" w:hAnsi="Palatino Linotype" w:cs="Times New Roman"/>
          <w:b/>
          <w:i/>
          <w:szCs w:val="24"/>
          <w:lang w:val="es-ES_tradnl" w:eastAsia="es-ES"/>
        </w:rPr>
        <w:t>documentar todo acto</w:t>
      </w:r>
      <w:r w:rsidRPr="00717165">
        <w:rPr>
          <w:rFonts w:ascii="Palatino Linotype" w:eastAsia="Calibri" w:hAnsi="Palatino Linotype" w:cs="Times New Roman"/>
          <w:i/>
          <w:szCs w:val="24"/>
          <w:lang w:val="es-ES_tradnl" w:eastAsia="es-ES"/>
        </w:rPr>
        <w:t xml:space="preserve"> que derive del ejercicio</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de sus facultades, competencias o funciones. En ese tenor me permito señalar que </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los Ordenamientos invocados, determinan que el sujeto obligado, deberá entregar la</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información que obre en su poder y que se haya realizado, conformado, generado en uso de sus atribuciones y facultades, así es evidente que para entregar dicha</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 xml:space="preserve">información, debe existir un acto de autoridad que se materialice en un documento sea físico o electrónico o de cualquier índole. </w:t>
      </w:r>
    </w:p>
    <w:p w:rsidR="00F0213F" w:rsidRPr="00717165" w:rsidRDefault="00F0213F" w:rsidP="001735AF">
      <w:pPr>
        <w:spacing w:after="0" w:line="240" w:lineRule="auto"/>
        <w:ind w:left="567" w:right="567"/>
        <w:jc w:val="both"/>
        <w:rPr>
          <w:rFonts w:ascii="Palatino Linotype" w:eastAsia="Calibri" w:hAnsi="Palatino Linotype" w:cs="Times New Roman"/>
          <w:i/>
          <w:szCs w:val="24"/>
          <w:lang w:val="es-ES_tradnl" w:eastAsia="es-ES"/>
        </w:rPr>
      </w:pPr>
    </w:p>
    <w:p w:rsidR="00842263" w:rsidRPr="00717165" w:rsidRDefault="00842263"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Por lo que respecta a lo solicitado en los </w:t>
      </w:r>
      <w:r w:rsidRPr="00717165">
        <w:rPr>
          <w:rFonts w:ascii="Palatino Linotype" w:eastAsia="Calibri" w:hAnsi="Palatino Linotype" w:cs="Times New Roman"/>
          <w:b/>
          <w:i/>
          <w:szCs w:val="24"/>
          <w:lang w:val="es-ES_tradnl" w:eastAsia="es-ES"/>
        </w:rPr>
        <w:t>PUNTOS 7, 8 y 9</w:t>
      </w:r>
      <w:r w:rsidRPr="00717165">
        <w:rPr>
          <w:rFonts w:ascii="Palatino Linotype" w:eastAsia="Calibri" w:hAnsi="Palatino Linotype" w:cs="Times New Roman"/>
          <w:i/>
          <w:szCs w:val="24"/>
          <w:lang w:val="es-ES_tradnl" w:eastAsia="es-ES"/>
        </w:rPr>
        <w:t>, me permito señalar</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que se clasificó la información como reservada,</w:t>
      </w:r>
      <w:r w:rsidR="00F0213F" w:rsidRPr="00717165">
        <w:rPr>
          <w:rFonts w:ascii="Palatino Linotype" w:eastAsia="Calibri" w:hAnsi="Palatino Linotype" w:cs="Times New Roman"/>
          <w:i/>
          <w:szCs w:val="24"/>
          <w:lang w:val="es-ES_tradnl" w:eastAsia="es-ES"/>
        </w:rPr>
        <w:t xml:space="preserve"> conforme el Acuerdo 12/CT/02/-</w:t>
      </w:r>
      <w:r w:rsidRPr="00717165">
        <w:rPr>
          <w:rFonts w:ascii="Palatino Linotype" w:eastAsia="Calibri" w:hAnsi="Palatino Linotype" w:cs="Times New Roman"/>
          <w:i/>
          <w:szCs w:val="24"/>
          <w:lang w:val="es-ES_tradnl" w:eastAsia="es-ES"/>
        </w:rPr>
        <w:t>0RD/2021, aprobado en la Segunda Sesión Ordinaria del Comité de Transparencia del Municipio de Tlalnepantla de Baz, Estado de México, celebrada el día 19 de enero del</w:t>
      </w:r>
      <w:r w:rsidR="00F0213F" w:rsidRPr="00717165">
        <w:rPr>
          <w:rFonts w:ascii="Palatino Linotype" w:eastAsia="Calibri" w:hAnsi="Palatino Linotype" w:cs="Times New Roman"/>
          <w:i/>
          <w:szCs w:val="24"/>
          <w:lang w:val="es-ES_tradnl" w:eastAsia="es-ES"/>
        </w:rPr>
        <w:t xml:space="preserve"> </w:t>
      </w:r>
      <w:r w:rsidRPr="00717165">
        <w:rPr>
          <w:rFonts w:ascii="Palatino Linotype" w:eastAsia="Calibri" w:hAnsi="Palatino Linotype" w:cs="Times New Roman"/>
          <w:i/>
          <w:szCs w:val="24"/>
          <w:lang w:val="es-ES_tradnl" w:eastAsia="es-ES"/>
        </w:rPr>
        <w:t>año dos mil veintiuno, la cual se anexa al presente para pronta referencia.</w:t>
      </w:r>
    </w:p>
    <w:p w:rsidR="00842263" w:rsidRPr="00717165" w:rsidRDefault="00842263"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pStyle w:val="Prrafodelista"/>
        <w:numPr>
          <w:ilvl w:val="0"/>
          <w:numId w:val="5"/>
        </w:numPr>
        <w:spacing w:line="360" w:lineRule="auto"/>
        <w:jc w:val="both"/>
        <w:rPr>
          <w:rFonts w:ascii="Palatino Linotype" w:eastAsia="Calibri" w:hAnsi="Palatino Linotype"/>
          <w:lang w:val="es-ES_tradnl"/>
        </w:rPr>
      </w:pPr>
      <w:r w:rsidRPr="00717165">
        <w:rPr>
          <w:rFonts w:ascii="Palatino Linotype" w:eastAsia="Calibri" w:hAnsi="Palatino Linotype"/>
          <w:b/>
          <w:lang w:val="es-ES_tradnl"/>
        </w:rPr>
        <w:t>SAIMEX 368 FOLIO 2325 TESORERIA.pdf:</w:t>
      </w:r>
      <w:r w:rsidRPr="00717165">
        <w:rPr>
          <w:rFonts w:ascii="Palatino Linotype" w:eastAsia="Calibri" w:hAnsi="Palatino Linotype"/>
          <w:lang w:val="es-ES_tradnl"/>
        </w:rPr>
        <w:t xml:space="preserve"> </w:t>
      </w:r>
      <w:r w:rsidR="00680824" w:rsidRPr="00717165">
        <w:rPr>
          <w:rFonts w:ascii="Palatino Linotype" w:eastAsia="Calibri" w:hAnsi="Palatino Linotype"/>
          <w:lang w:val="es-ES_tradnl"/>
        </w:rPr>
        <w:t xml:space="preserve">contiene los oficios TM/1526/2022 del veinte d abril de dos mil veintidós, remitido por el Tesorero Municipal al </w:t>
      </w:r>
      <w:r w:rsidR="00BE470F" w:rsidRPr="00717165">
        <w:rPr>
          <w:rFonts w:ascii="Palatino Linotype" w:eastAsia="Calibri" w:hAnsi="Palatino Linotype"/>
          <w:lang w:val="es-ES_tradnl"/>
        </w:rPr>
        <w:t xml:space="preserve">Titular de la Unidad de Transparencia y Acceso a la Información Pública Municipal, ambos del Sujeto Obligado, mediante el cual informa </w:t>
      </w:r>
      <w:r w:rsidR="00BE470F" w:rsidRPr="00717165">
        <w:rPr>
          <w:rFonts w:ascii="Palatino Linotype" w:eastAsia="Calibri" w:hAnsi="Palatino Linotype"/>
          <w:lang w:val="es-ES_tradnl"/>
        </w:rPr>
        <w:lastRenderedPageBreak/>
        <w:t>sustancialmente dar respuesta a los numerales 1, 2 y 7, por medio del oficio STE/438/2022 CPYS/213/2022 con número de Folio 2325, remitido por el Subtesorero de Egresos, en los términos siguientes:</w:t>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“1.- ¿Cuál es la inversión realizada por el gobierno municipal de Tlalnepantla en las 175 patrullas nuevas en total, (140 radio patrullas y 35 moto patrullas) que fueron entregadas durante el mes de marzo de este 2022, por el alcalde Marco Antonio Rodríguez Hurtado?. </w:t>
      </w: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b/>
          <w:i/>
          <w:szCs w:val="24"/>
          <w:lang w:val="es-ES_tradnl" w:eastAsia="es-ES"/>
        </w:rPr>
        <w:t>Al respecto, hago de su conocimiento que a esa fecha, no se tiene la información referente al o los contratos, celebrados para este fin.</w:t>
      </w: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2.- ¿Cuál fue la inversión realizada por el gobierno municipal de Tlalnepantla en las 115 armas que serán distribuidas en los sectores de mayor incidencia delictiva del municipio, en marzo del 2020?. </w:t>
      </w:r>
    </w:p>
    <w:p w:rsidR="00BE470F" w:rsidRPr="00717165" w:rsidRDefault="00BE470F" w:rsidP="001735AF">
      <w:pPr>
        <w:spacing w:after="0" w:line="240" w:lineRule="auto"/>
        <w:ind w:left="567" w:right="567"/>
        <w:jc w:val="both"/>
        <w:rPr>
          <w:rFonts w:ascii="Palatino Linotype" w:eastAsia="Calibri" w:hAnsi="Palatino Linotype" w:cs="Times New Roman"/>
          <w:b/>
          <w:i/>
          <w:szCs w:val="24"/>
          <w:lang w:val="es-ES_tradnl" w:eastAsia="es-ES"/>
        </w:rPr>
      </w:pPr>
      <w:r w:rsidRPr="00717165">
        <w:rPr>
          <w:rFonts w:ascii="Palatino Linotype" w:eastAsia="Calibri" w:hAnsi="Palatino Linotype" w:cs="Times New Roman"/>
          <w:b/>
          <w:i/>
          <w:szCs w:val="24"/>
          <w:lang w:val="es-ES_tradnl" w:eastAsia="es-ES"/>
        </w:rPr>
        <w:t>Referente a este punto, le informo que en el ejercicio al que hace mención en su petición, no se localizó compra alguna del armamento en cuestión.</w:t>
      </w: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p>
    <w:p w:rsidR="00BE470F" w:rsidRPr="00717165" w:rsidRDefault="00BE470F" w:rsidP="001735AF">
      <w:pPr>
        <w:spacing w:after="0" w:line="240" w:lineRule="auto"/>
        <w:ind w:left="567" w:right="567"/>
        <w:jc w:val="both"/>
        <w:rPr>
          <w:rFonts w:ascii="Palatino Linotype" w:eastAsia="Calibri" w:hAnsi="Palatino Linotype" w:cs="Times New Roman"/>
          <w:i/>
          <w:szCs w:val="24"/>
          <w:lang w:val="es-ES_tradnl" w:eastAsia="es-ES"/>
        </w:rPr>
      </w:pPr>
      <w:r w:rsidRPr="00717165">
        <w:rPr>
          <w:rFonts w:ascii="Palatino Linotype" w:eastAsia="Calibri" w:hAnsi="Palatino Linotype" w:cs="Times New Roman"/>
          <w:i/>
          <w:szCs w:val="24"/>
          <w:lang w:val="es-ES_tradnl" w:eastAsia="es-ES"/>
        </w:rPr>
        <w:t xml:space="preserve">7. ¿Cuál fue la inversión realizada por el gobierno municipal de Tlalnepantla en la adquisición de 177 patrullas nuevas, durante la administración del ex alcalde Raciel Pérez Cruz? </w:t>
      </w:r>
    </w:p>
    <w:p w:rsidR="00BE470F" w:rsidRPr="00717165" w:rsidRDefault="00BE470F" w:rsidP="001735AF">
      <w:pPr>
        <w:spacing w:after="0" w:line="240" w:lineRule="auto"/>
        <w:ind w:left="567" w:right="567"/>
        <w:jc w:val="both"/>
        <w:rPr>
          <w:rFonts w:ascii="Palatino Linotype" w:eastAsia="Calibri" w:hAnsi="Palatino Linotype" w:cs="Times New Roman"/>
          <w:b/>
          <w:i/>
          <w:szCs w:val="24"/>
          <w:lang w:val="es-ES_tradnl" w:eastAsia="es-ES"/>
        </w:rPr>
      </w:pPr>
      <w:r w:rsidRPr="00717165">
        <w:rPr>
          <w:rFonts w:ascii="Palatino Linotype" w:eastAsia="Calibri" w:hAnsi="Palatino Linotype" w:cs="Times New Roman"/>
          <w:b/>
          <w:i/>
          <w:szCs w:val="24"/>
          <w:lang w:val="es-ES_tradnl" w:eastAsia="es-ES"/>
        </w:rPr>
        <w:t>En la administración del ex alcalde Racel Pérez Cruz, le informo que no hay inversión de 177 patrullas en dicha administración.</w:t>
      </w:r>
    </w:p>
    <w:p w:rsidR="00BE470F" w:rsidRPr="00717165" w:rsidRDefault="00BE470F" w:rsidP="001735AF">
      <w:pPr>
        <w:spacing w:after="0" w:line="360" w:lineRule="auto"/>
        <w:jc w:val="both"/>
        <w:rPr>
          <w:rFonts w:ascii="Palatino Linotype" w:eastAsia="Calibri" w:hAnsi="Palatino Linotype" w:cs="Times New Roman"/>
          <w:sz w:val="24"/>
          <w:szCs w:val="24"/>
          <w:lang w:val="es-ES_tradnl" w:eastAsia="es-ES"/>
        </w:rPr>
      </w:pPr>
    </w:p>
    <w:p w:rsidR="00014046" w:rsidRPr="00717165" w:rsidRDefault="00014046" w:rsidP="001735AF">
      <w:pPr>
        <w:pStyle w:val="Prrafodelista"/>
        <w:numPr>
          <w:ilvl w:val="0"/>
          <w:numId w:val="5"/>
        </w:numPr>
        <w:spacing w:line="360" w:lineRule="auto"/>
        <w:jc w:val="both"/>
        <w:rPr>
          <w:rFonts w:ascii="Palatino Linotype" w:eastAsia="Calibri" w:hAnsi="Palatino Linotype"/>
          <w:b/>
          <w:lang w:val="es-ES_tradnl"/>
        </w:rPr>
      </w:pPr>
      <w:r w:rsidRPr="00717165">
        <w:rPr>
          <w:rFonts w:ascii="Palatino Linotype" w:eastAsia="Calibri" w:hAnsi="Palatino Linotype"/>
          <w:b/>
          <w:lang w:val="es-ES_tradnl"/>
        </w:rPr>
        <w:t>SAIMEX 368 DA-02232.pdf:</w:t>
      </w:r>
      <w:r w:rsidRPr="00717165">
        <w:rPr>
          <w:rFonts w:ascii="Palatino Linotype" w:eastAsia="Calibri" w:hAnsi="Palatino Linotype"/>
          <w:lang w:val="es-ES_tradnl"/>
        </w:rPr>
        <w:t xml:space="preserve"> </w:t>
      </w:r>
      <w:r w:rsidR="00BE470F" w:rsidRPr="00717165">
        <w:rPr>
          <w:rFonts w:ascii="Palatino Linotype" w:eastAsia="Calibri" w:hAnsi="Palatino Linotype"/>
          <w:lang w:val="es-ES_tradnl"/>
        </w:rPr>
        <w:t xml:space="preserve">oficio número </w:t>
      </w:r>
      <w:r w:rsidR="00E15A27" w:rsidRPr="00717165">
        <w:rPr>
          <w:rFonts w:ascii="Palatino Linotype" w:eastAsia="Calibri" w:hAnsi="Palatino Linotype"/>
          <w:lang w:val="es-ES_tradnl"/>
        </w:rPr>
        <w:t>DA/2232/2022 del siete de mayo de dos mil veintidós, remitido por el Director de Administración al Titular de la Unidad de Transparencia y Acceso a la Información Pública Municipal, ambos del Sujeto Obligado, mediante el cual informa objetivamente lo siguiente:</w:t>
      </w:r>
    </w:p>
    <w:p w:rsidR="00014046" w:rsidRPr="00717165" w:rsidRDefault="00014046" w:rsidP="001735AF">
      <w:pPr>
        <w:spacing w:after="0" w:line="360" w:lineRule="auto"/>
        <w:jc w:val="both"/>
        <w:rPr>
          <w:rFonts w:ascii="Palatino Linotype" w:eastAsia="Calibri" w:hAnsi="Palatino Linotype" w:cs="Times New Roman"/>
          <w:sz w:val="24"/>
          <w:szCs w:val="24"/>
          <w:lang w:val="es-ES_tradnl" w:eastAsia="es-ES"/>
        </w:rPr>
      </w:pPr>
    </w:p>
    <w:p w:rsidR="001E7EF6" w:rsidRPr="00717165" w:rsidRDefault="00E15A27" w:rsidP="001735AF">
      <w:pPr>
        <w:pStyle w:val="Prrafodelista"/>
        <w:ind w:left="567" w:right="567"/>
        <w:jc w:val="both"/>
        <w:rPr>
          <w:rFonts w:ascii="Palatino Linotype" w:eastAsia="Calibri" w:hAnsi="Palatino Linotype"/>
          <w:sz w:val="22"/>
          <w:szCs w:val="22"/>
          <w:lang w:val="es-ES_tradnl"/>
        </w:rPr>
      </w:pPr>
      <w:r w:rsidRPr="00717165">
        <w:rPr>
          <w:rFonts w:ascii="Palatino Linotype" w:eastAsia="Calibri" w:hAnsi="Palatino Linotype"/>
          <w:i/>
          <w:sz w:val="22"/>
          <w:szCs w:val="22"/>
          <w:lang w:val="es-ES_tradnl"/>
        </w:rPr>
        <w:t>“</w:t>
      </w:r>
      <w:r w:rsidRPr="00717165">
        <w:rPr>
          <w:rFonts w:ascii="Palatino Linotype" w:eastAsia="Calibri" w:hAnsi="Palatino Linotype"/>
          <w:i/>
          <w:sz w:val="22"/>
          <w:szCs w:val="22"/>
          <w:lang w:val="es-MX"/>
        </w:rPr>
        <w:t>Analizada que fue en su totalidad la petición de información requerida. Hago de su conocimiento que la adquisición referida no fue efectuada por el Comité de Adquisiciones y Servicio. No obstante lo anterior de conformidad con lo dispuesto en el acuerdo 05/CT/16-0RD/2021, emitido en Acta de la Sexta Sesión Ordinaria del Comité de Transparencia del Municipio de Tlalnepantla de Baz, Estado de México.</w:t>
      </w:r>
      <w:r w:rsidR="001E7EF6" w:rsidRPr="00717165">
        <w:rPr>
          <w:rFonts w:ascii="Palatino Linotype" w:eastAsia="Calibri" w:hAnsi="Palatino Linotype"/>
          <w:i/>
          <w:sz w:val="22"/>
          <w:szCs w:val="22"/>
          <w:lang w:val="es-ES_tradnl"/>
        </w:rPr>
        <w:t>”</w:t>
      </w:r>
    </w:p>
    <w:p w:rsidR="001E7EF6" w:rsidRPr="00717165" w:rsidRDefault="001E7EF6" w:rsidP="001735AF">
      <w:pPr>
        <w:spacing w:after="0" w:line="360" w:lineRule="auto"/>
        <w:jc w:val="both"/>
        <w:rPr>
          <w:rFonts w:ascii="Palatino Linotype" w:eastAsia="Calibri" w:hAnsi="Palatino Linotype"/>
          <w:sz w:val="24"/>
          <w:lang w:val="es-ES_tradnl"/>
        </w:rPr>
      </w:pPr>
    </w:p>
    <w:p w:rsidR="00E15A27" w:rsidRPr="00717165" w:rsidRDefault="00E15A27"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lastRenderedPageBreak/>
        <w:t xml:space="preserve">Inconforme con la respuesta, el </w:t>
      </w:r>
      <w:r w:rsidRPr="00717165">
        <w:rPr>
          <w:rFonts w:ascii="Palatino Linotype" w:eastAsia="Calibri" w:hAnsi="Palatino Linotype"/>
          <w:b/>
          <w:sz w:val="24"/>
          <w:lang w:val="es-ES_tradnl"/>
        </w:rPr>
        <w:t>Recurrente</w:t>
      </w:r>
      <w:r w:rsidRPr="00717165">
        <w:rPr>
          <w:rFonts w:ascii="Palatino Linotype" w:eastAsia="Calibri" w:hAnsi="Palatino Linotype"/>
          <w:sz w:val="24"/>
          <w:lang w:val="es-ES_tradnl"/>
        </w:rPr>
        <w:t xml:space="preserve"> interpuso el recurso de revisión haciendo valer como acto impugnado la respuesta que le fue proporcionada, y como razones o motivos de inconformidad, las siguientes:</w:t>
      </w:r>
    </w:p>
    <w:p w:rsidR="00E15A27" w:rsidRPr="00717165" w:rsidRDefault="00E15A27" w:rsidP="001735AF">
      <w:pPr>
        <w:spacing w:after="0" w:line="360" w:lineRule="auto"/>
        <w:jc w:val="both"/>
        <w:rPr>
          <w:rFonts w:ascii="Palatino Linotype" w:eastAsia="Calibri" w:hAnsi="Palatino Linotype"/>
          <w:sz w:val="24"/>
          <w:lang w:val="es-ES_tradnl"/>
        </w:rPr>
      </w:pPr>
    </w:p>
    <w:p w:rsidR="00E15A27" w:rsidRPr="00717165" w:rsidRDefault="00E15A27" w:rsidP="001735AF">
      <w:pPr>
        <w:pStyle w:val="Prrafodelista"/>
        <w:numPr>
          <w:ilvl w:val="0"/>
          <w:numId w:val="6"/>
        </w:numPr>
        <w:spacing w:line="360" w:lineRule="auto"/>
        <w:jc w:val="both"/>
        <w:rPr>
          <w:rFonts w:ascii="Palatino Linotype" w:eastAsia="Calibri" w:hAnsi="Palatino Linotype"/>
          <w:lang w:val="es-ES_tradnl"/>
        </w:rPr>
      </w:pPr>
      <w:r w:rsidRPr="00717165">
        <w:rPr>
          <w:rFonts w:ascii="Palatino Linotype" w:eastAsia="Calibri" w:hAnsi="Palatino Linotype"/>
          <w:i/>
          <w:lang w:val="es-MX"/>
        </w:rPr>
        <w:t xml:space="preserve">“…me responden que no se adquirieron 175 patrullas por parte del Ayuntamiento, durante la administración actual, …, sin embargo, en redes sociales el Ayuntamiento </w:t>
      </w:r>
      <w:r w:rsidRPr="00717165">
        <w:rPr>
          <w:rFonts w:ascii="Palatino Linotype" w:eastAsia="Calibri" w:hAnsi="Palatino Linotype"/>
          <w:i/>
          <w:u w:val="single"/>
          <w:lang w:val="es-MX"/>
        </w:rPr>
        <w:t>difundió la adquisición de patrullas nuevas</w:t>
      </w:r>
      <w:r w:rsidRPr="00717165">
        <w:rPr>
          <w:rFonts w:ascii="Palatino Linotype" w:eastAsia="Calibri" w:hAnsi="Palatino Linotype"/>
          <w:i/>
          <w:lang w:val="es-MX"/>
        </w:rPr>
        <w:t>, mismas que fueron también difundidas por el área de comunicación social entre los diferentes medios de comunicación, el 30 de marzo del presente año.</w:t>
      </w:r>
    </w:p>
    <w:p w:rsidR="00E15A27" w:rsidRPr="00717165" w:rsidRDefault="00E15A27" w:rsidP="001735AF">
      <w:pPr>
        <w:spacing w:after="0" w:line="360" w:lineRule="auto"/>
        <w:jc w:val="both"/>
        <w:rPr>
          <w:rFonts w:ascii="Palatino Linotype" w:eastAsia="Calibri" w:hAnsi="Palatino Linotype"/>
          <w:sz w:val="24"/>
          <w:lang w:val="es-ES_tradnl"/>
        </w:rPr>
      </w:pPr>
    </w:p>
    <w:p w:rsidR="00E15A27" w:rsidRPr="00717165" w:rsidRDefault="00E15A27" w:rsidP="001735AF">
      <w:pPr>
        <w:pStyle w:val="Prrafodelista"/>
        <w:numPr>
          <w:ilvl w:val="0"/>
          <w:numId w:val="6"/>
        </w:numPr>
        <w:spacing w:line="360" w:lineRule="auto"/>
        <w:jc w:val="both"/>
        <w:rPr>
          <w:rFonts w:ascii="Palatino Linotype" w:eastAsia="Calibri" w:hAnsi="Palatino Linotype"/>
          <w:lang w:val="es-ES_tradnl"/>
        </w:rPr>
      </w:pPr>
      <w:r w:rsidRPr="00717165">
        <w:rPr>
          <w:rFonts w:ascii="Palatino Linotype" w:eastAsia="Calibri" w:hAnsi="Palatino Linotype"/>
          <w:i/>
          <w:lang w:val="es-MX"/>
        </w:rPr>
        <w:t>En la siguiente liga del portal oficial del Ayuntamiento de Tlalnepantla aparece la información sobre la adquisición de las patruallas; además de que redes sociales el Ayuntamiento informó a los ciudadanos sobre la "adquisición de las patrullas" el 30 de marzo del presente año; en ambos se incluyen fotografías y videos de dicha entrega. http://www.tlalnepantla.gob.mx/pages/noticias/gobierno-de-tlalnepantla-fortalece-la-seguridad-del-municipio-con-la-entrega-de-patrullas-armas-y-e</w:t>
      </w:r>
    </w:p>
    <w:p w:rsidR="00E15A27" w:rsidRPr="00717165" w:rsidRDefault="00E15A27" w:rsidP="001735AF">
      <w:pPr>
        <w:spacing w:after="0" w:line="360" w:lineRule="auto"/>
        <w:jc w:val="both"/>
        <w:rPr>
          <w:rFonts w:ascii="Palatino Linotype" w:eastAsia="Calibri" w:hAnsi="Palatino Linotype"/>
          <w:sz w:val="24"/>
          <w:lang w:val="es-ES_tradnl"/>
        </w:rPr>
      </w:pPr>
    </w:p>
    <w:p w:rsidR="00E15A27" w:rsidRPr="00717165" w:rsidRDefault="00E15A27" w:rsidP="001735AF">
      <w:pPr>
        <w:spacing w:after="0" w:line="360" w:lineRule="auto"/>
        <w:jc w:val="both"/>
        <w:rPr>
          <w:rFonts w:ascii="Palatino Linotype" w:hAnsi="Palatino Linotype" w:cs="Arial"/>
          <w:sz w:val="24"/>
          <w:szCs w:val="24"/>
        </w:rPr>
      </w:pPr>
      <w:r w:rsidRPr="00717165">
        <w:rPr>
          <w:rFonts w:ascii="Palatino Linotype" w:eastAsia="Calibri" w:hAnsi="Palatino Linotype"/>
          <w:sz w:val="24"/>
          <w:lang w:val="es-ES_tradnl"/>
        </w:rPr>
        <w:t xml:space="preserve">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xml:space="preserve"> con motivo de la interposición del recurso de revisión, rindió su informe justificado por medio de los documentos </w:t>
      </w:r>
      <w:r w:rsidR="00863C20" w:rsidRPr="00717165">
        <w:rPr>
          <w:rFonts w:ascii="Palatino Linotype" w:hAnsi="Palatino Linotype" w:cs="Arial"/>
          <w:sz w:val="24"/>
          <w:szCs w:val="24"/>
        </w:rPr>
        <w:t>electrónicos “</w:t>
      </w:r>
      <w:r w:rsidR="00863C20" w:rsidRPr="00717165">
        <w:rPr>
          <w:rFonts w:ascii="Palatino Linotype" w:hAnsi="Palatino Linotype" w:cs="Arial"/>
          <w:b/>
          <w:i/>
          <w:sz w:val="24"/>
          <w:szCs w:val="24"/>
        </w:rPr>
        <w:t>RR 10535 REGISTRO 3531.pdf, RR 10535 FOLIO 4073.pdf</w:t>
      </w:r>
      <w:r w:rsidR="009014C2" w:rsidRPr="00717165">
        <w:rPr>
          <w:rFonts w:ascii="Palatino Linotype" w:hAnsi="Palatino Linotype" w:cs="Arial"/>
          <w:b/>
          <w:i/>
          <w:sz w:val="24"/>
          <w:szCs w:val="24"/>
        </w:rPr>
        <w:t xml:space="preserve">, </w:t>
      </w:r>
      <w:r w:rsidR="00863C20" w:rsidRPr="00717165">
        <w:rPr>
          <w:rFonts w:ascii="Palatino Linotype" w:hAnsi="Palatino Linotype" w:cs="Arial"/>
          <w:b/>
          <w:i/>
          <w:sz w:val="24"/>
          <w:szCs w:val="24"/>
        </w:rPr>
        <w:t>y RR 10535 ADMINISTRACIÓN.pdf</w:t>
      </w:r>
      <w:r w:rsidR="009014C2" w:rsidRPr="00717165">
        <w:rPr>
          <w:rFonts w:ascii="Palatino Linotype" w:hAnsi="Palatino Linotype" w:cs="Arial"/>
          <w:sz w:val="24"/>
          <w:szCs w:val="24"/>
        </w:rPr>
        <w:t xml:space="preserve"> y </w:t>
      </w:r>
      <w:r w:rsidR="009014C2" w:rsidRPr="00717165">
        <w:rPr>
          <w:rFonts w:ascii="Palatino Linotype" w:hAnsi="Palatino Linotype" w:cs="Arial"/>
          <w:b/>
          <w:i/>
          <w:sz w:val="24"/>
          <w:szCs w:val="24"/>
        </w:rPr>
        <w:t>RR 10535 SM.03797-2022.pdf</w:t>
      </w:r>
      <w:r w:rsidR="009014C2" w:rsidRPr="00717165">
        <w:rPr>
          <w:rFonts w:ascii="Palatino Linotype" w:hAnsi="Palatino Linotype" w:cs="Arial"/>
          <w:sz w:val="24"/>
          <w:szCs w:val="24"/>
        </w:rPr>
        <w:t>”, mediante los cuales, en los tres primeros, se sirvió en ratificar su respuesta primigenia, y en lo que corresponde al documento RR 10535 SM.03797-2022.pdf, amplio su respuesta en los términos siguientes:</w:t>
      </w:r>
    </w:p>
    <w:p w:rsidR="009014C2" w:rsidRPr="00717165" w:rsidRDefault="009014C2" w:rsidP="001735AF">
      <w:pPr>
        <w:spacing w:after="0" w:line="360" w:lineRule="auto"/>
        <w:jc w:val="both"/>
        <w:rPr>
          <w:rFonts w:ascii="Palatino Linotype" w:hAnsi="Palatino Linotype" w:cs="Arial"/>
          <w:sz w:val="24"/>
          <w:szCs w:val="24"/>
        </w:rPr>
      </w:pPr>
    </w:p>
    <w:p w:rsidR="009014C2" w:rsidRPr="00717165" w:rsidRDefault="009014C2" w:rsidP="001735AF">
      <w:pPr>
        <w:pStyle w:val="Prrafodelista"/>
        <w:numPr>
          <w:ilvl w:val="0"/>
          <w:numId w:val="5"/>
        </w:numPr>
        <w:spacing w:line="360" w:lineRule="auto"/>
        <w:jc w:val="both"/>
        <w:rPr>
          <w:rFonts w:ascii="Palatino Linotype" w:hAnsi="Palatino Linotype" w:cs="Arial"/>
        </w:rPr>
      </w:pPr>
      <w:r w:rsidRPr="00717165">
        <w:rPr>
          <w:rFonts w:ascii="Palatino Linotype" w:hAnsi="Palatino Linotype" w:cs="Arial"/>
          <w:b/>
        </w:rPr>
        <w:lastRenderedPageBreak/>
        <w:t>RR 10535 SM.03797-2022.pdf:</w:t>
      </w:r>
      <w:r w:rsidRPr="00717165">
        <w:rPr>
          <w:rFonts w:ascii="Palatino Linotype" w:hAnsi="Palatino Linotype" w:cs="Arial"/>
        </w:rPr>
        <w:t xml:space="preserve"> documento que contiene los siguientes documentos: </w:t>
      </w:r>
    </w:p>
    <w:p w:rsidR="001A4F3E" w:rsidRPr="00717165" w:rsidRDefault="001A4F3E" w:rsidP="001735AF">
      <w:pPr>
        <w:spacing w:after="0" w:line="360" w:lineRule="auto"/>
        <w:jc w:val="both"/>
        <w:rPr>
          <w:rFonts w:ascii="Palatino Linotype" w:hAnsi="Palatino Linotype" w:cs="Arial"/>
          <w:sz w:val="24"/>
        </w:rPr>
      </w:pPr>
    </w:p>
    <w:p w:rsidR="009014C2" w:rsidRPr="00717165" w:rsidRDefault="009014C2" w:rsidP="001735AF">
      <w:pPr>
        <w:pStyle w:val="Prrafodelista"/>
        <w:numPr>
          <w:ilvl w:val="0"/>
          <w:numId w:val="7"/>
        </w:numPr>
        <w:spacing w:line="360" w:lineRule="auto"/>
        <w:jc w:val="both"/>
        <w:rPr>
          <w:rFonts w:ascii="Palatino Linotype" w:hAnsi="Palatino Linotype" w:cs="Arial"/>
        </w:rPr>
      </w:pPr>
      <w:r w:rsidRPr="00717165">
        <w:rPr>
          <w:rFonts w:ascii="Palatino Linotype" w:hAnsi="Palatino Linotype" w:cs="Arial"/>
        </w:rPr>
        <w:t xml:space="preserve">oficio número SM. 02797/2022 del trece de junio de dos mil veintidós, </w:t>
      </w:r>
      <w:r w:rsidRPr="00717165">
        <w:rPr>
          <w:rFonts w:ascii="Palatino Linotype" w:eastAsia="Calibri" w:hAnsi="Palatino Linotype"/>
          <w:lang w:val="es-ES_tradnl"/>
        </w:rPr>
        <w:t>signados tanto por el Secretario del Ayuntamiento y el Servidor Público Habilitado de la Secretaría del Ayuntamiento, mediante el cual notifican a la Titular de la Unidad de Transparencia y Acceso a la Información Pública Municipal, todos del Sujeto Obligado, lo siguiente:</w:t>
      </w:r>
    </w:p>
    <w:p w:rsidR="009014C2" w:rsidRPr="00717165" w:rsidRDefault="009014C2" w:rsidP="001735AF">
      <w:pPr>
        <w:spacing w:after="0" w:line="360" w:lineRule="auto"/>
        <w:jc w:val="both"/>
        <w:rPr>
          <w:rFonts w:ascii="Palatino Linotype" w:hAnsi="Palatino Linotype" w:cs="Arial"/>
          <w:sz w:val="24"/>
          <w:szCs w:val="24"/>
        </w:rPr>
      </w:pPr>
    </w:p>
    <w:p w:rsidR="009014C2" w:rsidRPr="00717165" w:rsidRDefault="009014C2" w:rsidP="00265F9F">
      <w:pPr>
        <w:spacing w:after="0" w:line="240" w:lineRule="auto"/>
        <w:ind w:left="1560" w:right="567"/>
        <w:jc w:val="both"/>
        <w:rPr>
          <w:rFonts w:ascii="Palatino Linotype" w:eastAsia="Calibri" w:hAnsi="Palatino Linotype"/>
          <w:b/>
          <w:i/>
          <w:lang w:val="es-ES_tradnl"/>
        </w:rPr>
      </w:pPr>
      <w:r w:rsidRPr="00717165">
        <w:rPr>
          <w:rFonts w:ascii="Palatino Linotype" w:eastAsia="Calibri" w:hAnsi="Palatino Linotype"/>
          <w:b/>
          <w:i/>
          <w:lang w:val="es-ES_tradnl"/>
        </w:rPr>
        <w:t>“en redes sociales el ayuntamiento difundió la adquisición de patrullas nuevas, mismas que fueron también difundidas por el área de comunicación social entre los diferentes medios de comunicación, el 30 de marzo del presente año…"</w:t>
      </w:r>
    </w:p>
    <w:p w:rsidR="009014C2" w:rsidRPr="00717165" w:rsidRDefault="009014C2" w:rsidP="00265F9F">
      <w:pPr>
        <w:spacing w:after="0" w:line="240" w:lineRule="auto"/>
        <w:ind w:left="1560" w:right="567"/>
        <w:jc w:val="both"/>
        <w:rPr>
          <w:rFonts w:ascii="Palatino Linotype" w:eastAsia="Calibri" w:hAnsi="Palatino Linotype"/>
          <w:i/>
          <w:lang w:val="es-ES_tradnl"/>
        </w:rPr>
      </w:pPr>
      <w:r w:rsidRPr="00717165">
        <w:rPr>
          <w:rFonts w:ascii="Palatino Linotype" w:eastAsia="Calibri" w:hAnsi="Palatino Linotype"/>
          <w:i/>
          <w:lang w:val="es-ES_tradnl"/>
        </w:rPr>
        <w:t xml:space="preserve">En razón de dicho motivo de inconformidad, me permito precisar que </w:t>
      </w:r>
      <w:r w:rsidRPr="00717165">
        <w:rPr>
          <w:rFonts w:ascii="Palatino Linotype" w:eastAsia="Calibri" w:hAnsi="Palatino Linotype"/>
          <w:i/>
          <w:u w:val="single"/>
          <w:lang w:val="es-ES_tradnl"/>
        </w:rPr>
        <w:t>en dicha publicación NO REFIERE LA ADQUISICIÓN DE PATRULLAS NUEVAS</w:t>
      </w:r>
      <w:r w:rsidRPr="00717165">
        <w:rPr>
          <w:rFonts w:ascii="Palatino Linotype" w:eastAsia="Calibri" w:hAnsi="Palatino Linotype"/>
          <w:i/>
          <w:lang w:val="es-ES_tradnl"/>
        </w:rPr>
        <w:t xml:space="preserve">, </w:t>
      </w:r>
      <w:r w:rsidRPr="00717165">
        <w:rPr>
          <w:rFonts w:ascii="Palatino Linotype" w:eastAsia="Calibri" w:hAnsi="Palatino Linotype"/>
          <w:i/>
          <w:u w:val="single"/>
          <w:lang w:val="es-ES_tradnl"/>
        </w:rPr>
        <w:t>pero ya que es especifica su solicitud, me permito señalar que la información solicitada es RESERVADA</w:t>
      </w:r>
      <w:r w:rsidRPr="00717165">
        <w:rPr>
          <w:rFonts w:ascii="Palatino Linotype" w:eastAsia="Calibri" w:hAnsi="Palatino Linotype"/>
          <w:i/>
          <w:lang w:val="es-ES_tradnl"/>
        </w:rPr>
        <w:t>, a lo cual me permito remitir copia del el Acuerdo 009/CT/17-0RD/2022, aprobado en la Décima Séptima Sesión Ordinaria del Comité de Transparencia de Tlalnepantla de Baz, México, celebrada el diez de mayo de dos mil veintidós, referente a la solicitud de información con folio 000366/TLALNEPA/IP/2022.”</w:t>
      </w:r>
    </w:p>
    <w:p w:rsidR="009014C2" w:rsidRPr="00717165" w:rsidRDefault="009014C2" w:rsidP="00265F9F">
      <w:pPr>
        <w:spacing w:after="0" w:line="240" w:lineRule="auto"/>
        <w:ind w:left="1560" w:right="567"/>
        <w:jc w:val="right"/>
        <w:rPr>
          <w:rFonts w:ascii="Palatino Linotype" w:eastAsia="Calibri" w:hAnsi="Palatino Linotype"/>
          <w:lang w:val="es-ES_tradnl"/>
        </w:rPr>
      </w:pPr>
      <w:r w:rsidRPr="00717165">
        <w:rPr>
          <w:rFonts w:ascii="Palatino Linotype" w:eastAsia="Calibri" w:hAnsi="Palatino Linotype"/>
          <w:lang w:val="es-ES_tradnl"/>
        </w:rPr>
        <w:t>(Énfasis añadido)</w:t>
      </w:r>
    </w:p>
    <w:p w:rsidR="00E15A27" w:rsidRPr="00717165" w:rsidRDefault="00E15A27" w:rsidP="001735AF">
      <w:pPr>
        <w:spacing w:after="0" w:line="360" w:lineRule="auto"/>
        <w:jc w:val="both"/>
        <w:rPr>
          <w:rFonts w:ascii="Palatino Linotype" w:eastAsia="Calibri" w:hAnsi="Palatino Linotype"/>
          <w:sz w:val="24"/>
          <w:lang w:val="es-ES_tradnl"/>
        </w:rPr>
      </w:pPr>
    </w:p>
    <w:p w:rsidR="009014C2" w:rsidRPr="00717165" w:rsidRDefault="009014C2" w:rsidP="001735AF">
      <w:pPr>
        <w:pStyle w:val="Prrafodelista"/>
        <w:numPr>
          <w:ilvl w:val="0"/>
          <w:numId w:val="7"/>
        </w:numPr>
        <w:spacing w:line="360" w:lineRule="auto"/>
        <w:jc w:val="both"/>
        <w:rPr>
          <w:rFonts w:ascii="Palatino Linotype" w:eastAsia="Calibri" w:hAnsi="Palatino Linotype"/>
          <w:lang w:val="es-ES_tradnl"/>
        </w:rPr>
      </w:pPr>
      <w:r w:rsidRPr="00717165">
        <w:rPr>
          <w:rFonts w:ascii="Palatino Linotype" w:eastAsia="Calibri" w:hAnsi="Palatino Linotype"/>
          <w:lang w:val="es-ES_tradnl"/>
        </w:rPr>
        <w:t xml:space="preserve">Acuerdo de Reserva de información número 09/CCT/17-ORD/2022, mediante el cual se aprobó </w:t>
      </w:r>
      <w:r w:rsidR="00D64A25" w:rsidRPr="00717165">
        <w:rPr>
          <w:rFonts w:ascii="Palatino Linotype" w:eastAsia="Calibri" w:hAnsi="Palatino Linotype"/>
          <w:lang w:val="es-ES_tradnl"/>
        </w:rPr>
        <w:t>la clasificación como reservada,</w:t>
      </w:r>
      <w:r w:rsidRPr="00717165">
        <w:rPr>
          <w:rFonts w:ascii="Palatino Linotype" w:eastAsia="Calibri" w:hAnsi="Palatino Linotype"/>
          <w:lang w:val="es-ES_tradnl"/>
        </w:rPr>
        <w:t xml:space="preserve"> la </w:t>
      </w:r>
      <w:r w:rsidR="00D64A25" w:rsidRPr="00717165">
        <w:rPr>
          <w:rFonts w:ascii="Palatino Linotype" w:eastAsia="Calibri" w:hAnsi="Palatino Linotype"/>
          <w:lang w:val="es-ES_tradnl"/>
        </w:rPr>
        <w:t xml:space="preserve">información peticionada en la solicitud de información </w:t>
      </w:r>
      <w:r w:rsidR="00D64A25" w:rsidRPr="00717165">
        <w:rPr>
          <w:rFonts w:ascii="Palatino Linotype" w:eastAsia="Calibri" w:hAnsi="Palatino Linotype"/>
          <w:b/>
          <w:lang w:val="es-ES_tradnl"/>
        </w:rPr>
        <w:t>00366/LALNEPA/IP/2022.</w:t>
      </w:r>
    </w:p>
    <w:p w:rsidR="009014C2" w:rsidRPr="00717165" w:rsidRDefault="009014C2" w:rsidP="001735AF">
      <w:pPr>
        <w:spacing w:after="0" w:line="360" w:lineRule="auto"/>
        <w:jc w:val="both"/>
        <w:rPr>
          <w:rFonts w:ascii="Palatino Linotype" w:eastAsia="Calibri" w:hAnsi="Palatino Linotype"/>
          <w:sz w:val="24"/>
          <w:lang w:val="es-ES_tradnl"/>
        </w:rPr>
      </w:pPr>
    </w:p>
    <w:p w:rsidR="001A4F3E" w:rsidRPr="00717165" w:rsidRDefault="001A4F3E" w:rsidP="001735AF">
      <w:pPr>
        <w:pStyle w:val="Prrafodelista"/>
        <w:numPr>
          <w:ilvl w:val="0"/>
          <w:numId w:val="5"/>
        </w:numPr>
        <w:spacing w:line="360" w:lineRule="auto"/>
        <w:jc w:val="both"/>
        <w:rPr>
          <w:rFonts w:ascii="Palatino Linotype" w:eastAsia="Calibri" w:hAnsi="Palatino Linotype"/>
          <w:lang w:val="es-ES_tradnl"/>
        </w:rPr>
      </w:pPr>
      <w:r w:rsidRPr="00717165">
        <w:rPr>
          <w:rFonts w:ascii="Palatino Linotype" w:hAnsi="Palatino Linotype" w:cs="Arial"/>
          <w:b/>
          <w:i/>
        </w:rPr>
        <w:t>RR 10535 REGISTRO 3531.pdf:</w:t>
      </w:r>
      <w:r w:rsidRPr="00717165">
        <w:rPr>
          <w:rFonts w:ascii="Palatino Linotype" w:hAnsi="Palatino Linotype" w:cs="Arial"/>
        </w:rPr>
        <w:t xml:space="preserve"> </w:t>
      </w:r>
      <w:r w:rsidR="007102B4" w:rsidRPr="00717165">
        <w:rPr>
          <w:rFonts w:ascii="Palatino Linotype" w:hAnsi="Palatino Linotype" w:cs="Arial"/>
        </w:rPr>
        <w:t xml:space="preserve">Oficio número CGSPTM/4466/2022 del dieciséis de junio de dos mil veintidós, remitido por el Comisario General de Seguridad </w:t>
      </w:r>
      <w:r w:rsidR="007102B4" w:rsidRPr="00717165">
        <w:rPr>
          <w:rFonts w:ascii="Palatino Linotype" w:hAnsi="Palatino Linotype" w:cs="Arial"/>
        </w:rPr>
        <w:lastRenderedPageBreak/>
        <w:t>Pública y Tránsito Municipal a la Titular de la Unidad de Transparencia y Acceso a la Información Pública, ambos del Sujeto Obligado, mediante el cual informa no ser el área que cuenta con la información.</w:t>
      </w:r>
    </w:p>
    <w:p w:rsidR="001A4F3E" w:rsidRPr="00717165" w:rsidRDefault="001A4F3E" w:rsidP="001735AF">
      <w:pPr>
        <w:spacing w:after="0" w:line="360" w:lineRule="auto"/>
        <w:jc w:val="both"/>
        <w:rPr>
          <w:rFonts w:ascii="Palatino Linotype" w:eastAsia="Calibri" w:hAnsi="Palatino Linotype"/>
          <w:sz w:val="24"/>
          <w:lang w:val="es-ES_tradnl"/>
        </w:rPr>
      </w:pPr>
    </w:p>
    <w:p w:rsidR="001A4F3E" w:rsidRPr="00717165" w:rsidRDefault="007102B4" w:rsidP="001735AF">
      <w:pPr>
        <w:pStyle w:val="Prrafodelista"/>
        <w:numPr>
          <w:ilvl w:val="0"/>
          <w:numId w:val="5"/>
        </w:numPr>
        <w:spacing w:line="360" w:lineRule="auto"/>
        <w:jc w:val="both"/>
        <w:rPr>
          <w:rFonts w:ascii="Palatino Linotype" w:eastAsia="Calibri" w:hAnsi="Palatino Linotype"/>
          <w:lang w:val="es-ES_tradnl"/>
        </w:rPr>
      </w:pPr>
      <w:r w:rsidRPr="00717165">
        <w:rPr>
          <w:rFonts w:ascii="Palatino Linotype" w:hAnsi="Palatino Linotype" w:cs="Arial"/>
          <w:b/>
          <w:i/>
        </w:rPr>
        <w:t>RR 10535 FOLIO 4073.pdf:</w:t>
      </w:r>
      <w:r w:rsidRPr="00717165">
        <w:rPr>
          <w:rFonts w:ascii="Palatino Linotype" w:hAnsi="Palatino Linotype" w:cs="Arial"/>
        </w:rPr>
        <w:t xml:space="preserve"> oficio número TM/2264/2022 con folio número 4073 del catorce de junio de dos mil veintidós, mediante el cual el Tesorero Municipal ratifica su respuesta primigenia.</w:t>
      </w:r>
    </w:p>
    <w:p w:rsidR="001A4F3E" w:rsidRPr="00717165" w:rsidRDefault="001A4F3E" w:rsidP="001735AF">
      <w:pPr>
        <w:spacing w:after="0" w:line="360" w:lineRule="auto"/>
        <w:jc w:val="both"/>
        <w:rPr>
          <w:rFonts w:ascii="Palatino Linotype" w:eastAsia="Calibri" w:hAnsi="Palatino Linotype"/>
          <w:sz w:val="24"/>
          <w:lang w:val="es-ES_tradnl"/>
        </w:rPr>
      </w:pPr>
    </w:p>
    <w:p w:rsidR="007102B4" w:rsidRPr="00717165" w:rsidRDefault="007102B4" w:rsidP="001735AF">
      <w:pPr>
        <w:pStyle w:val="Prrafodelista"/>
        <w:numPr>
          <w:ilvl w:val="0"/>
          <w:numId w:val="5"/>
        </w:numPr>
        <w:spacing w:line="360" w:lineRule="auto"/>
        <w:jc w:val="both"/>
        <w:rPr>
          <w:rFonts w:ascii="Palatino Linotype" w:eastAsia="Calibri" w:hAnsi="Palatino Linotype"/>
          <w:lang w:val="es-ES_tradnl"/>
        </w:rPr>
      </w:pPr>
      <w:r w:rsidRPr="00717165">
        <w:rPr>
          <w:rFonts w:ascii="Palatino Linotype" w:hAnsi="Palatino Linotype" w:cs="Arial"/>
          <w:b/>
          <w:i/>
        </w:rPr>
        <w:t>RR 10535 ADMINISTRACIÓN.pdf:</w:t>
      </w:r>
      <w:r w:rsidRPr="00717165">
        <w:rPr>
          <w:rFonts w:ascii="Palatino Linotype" w:hAnsi="Palatino Linotype" w:cs="Arial"/>
        </w:rPr>
        <w:t xml:space="preserve"> </w:t>
      </w:r>
      <w:r w:rsidR="00F27E88" w:rsidRPr="00717165">
        <w:rPr>
          <w:rFonts w:ascii="Palatino Linotype" w:hAnsi="Palatino Linotype" w:cs="Arial"/>
        </w:rPr>
        <w:t>oficio número DA/2929/2022 del dieciséis de junio de dos mil veintidós,</w:t>
      </w:r>
      <w:r w:rsidR="001805AE" w:rsidRPr="00717165">
        <w:rPr>
          <w:rFonts w:ascii="Palatino Linotype" w:hAnsi="Palatino Linotype" w:cs="Arial"/>
        </w:rPr>
        <w:t xml:space="preserve"> mediante el cual el Director de Administración ratifica su respuesta primigenia, en el sentido que la adquisición referida no fue efectuada por el Comité de Adquisiciones y Servicios dependiente de la Subdirección de Recursos Materiales.</w:t>
      </w:r>
    </w:p>
    <w:p w:rsidR="007102B4" w:rsidRPr="00717165" w:rsidRDefault="007102B4" w:rsidP="001735AF">
      <w:pPr>
        <w:spacing w:after="0" w:line="360" w:lineRule="auto"/>
        <w:jc w:val="both"/>
        <w:rPr>
          <w:rFonts w:ascii="Palatino Linotype" w:eastAsia="Calibri" w:hAnsi="Palatino Linotype"/>
          <w:sz w:val="24"/>
          <w:lang w:val="es-ES_tradnl"/>
        </w:rPr>
      </w:pPr>
    </w:p>
    <w:p w:rsidR="00D64A25" w:rsidRPr="00717165" w:rsidRDefault="00D64A25"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Atentos a lo anterior, lo procede</w:t>
      </w:r>
      <w:r w:rsidR="00523671" w:rsidRPr="00717165">
        <w:rPr>
          <w:rFonts w:ascii="Palatino Linotype" w:eastAsia="Calibri" w:hAnsi="Palatino Linotype"/>
          <w:sz w:val="24"/>
          <w:lang w:val="es-ES_tradnl"/>
        </w:rPr>
        <w:t>nte es la realización de un cuadro comparativo que permita confrontar los requerimientos de información con las respuestas proporcionadas por las distintas áreas que integran al Sujeto Obligado, a efecto de poder estar en posibilidades de determinar si éste colma los requerimientos en cuestión, por lo que se procede en los términos siguientes:</w:t>
      </w:r>
    </w:p>
    <w:p w:rsidR="00523671" w:rsidRPr="00717165" w:rsidRDefault="00523671" w:rsidP="001735AF">
      <w:pPr>
        <w:spacing w:after="0" w:line="360" w:lineRule="auto"/>
        <w:jc w:val="both"/>
        <w:rPr>
          <w:rFonts w:ascii="Palatino Linotype" w:eastAsia="Calibri" w:hAnsi="Palatino Linotype"/>
          <w:sz w:val="24"/>
          <w:lang w:val="es-ES_tradnl"/>
        </w:rPr>
      </w:pPr>
    </w:p>
    <w:tbl>
      <w:tblPr>
        <w:tblStyle w:val="Tablaconcuadrcula"/>
        <w:tblW w:w="0" w:type="auto"/>
        <w:jc w:val="center"/>
        <w:tblLook w:val="04A0" w:firstRow="1" w:lastRow="0" w:firstColumn="1" w:lastColumn="0" w:noHBand="0" w:noVBand="1"/>
      </w:tblPr>
      <w:tblGrid>
        <w:gridCol w:w="2689"/>
        <w:gridCol w:w="2550"/>
        <w:gridCol w:w="2835"/>
      </w:tblGrid>
      <w:tr w:rsidR="001805AE" w:rsidRPr="00717165" w:rsidTr="00265F9F">
        <w:trPr>
          <w:jc w:val="center"/>
        </w:trPr>
        <w:tc>
          <w:tcPr>
            <w:tcW w:w="2689" w:type="dxa"/>
            <w:shd w:val="clear" w:color="auto" w:fill="F2F2F2" w:themeFill="background1" w:themeFillShade="F2"/>
          </w:tcPr>
          <w:p w:rsidR="001805AE" w:rsidRPr="00717165" w:rsidRDefault="001805AE" w:rsidP="001735AF">
            <w:pPr>
              <w:jc w:val="center"/>
              <w:rPr>
                <w:rFonts w:ascii="Palatino Linotype" w:eastAsia="Calibri" w:hAnsi="Palatino Linotype"/>
                <w:b/>
                <w:sz w:val="21"/>
                <w:szCs w:val="21"/>
                <w:lang w:val="es-ES_tradnl"/>
              </w:rPr>
            </w:pPr>
            <w:r w:rsidRPr="00717165">
              <w:rPr>
                <w:rFonts w:ascii="Palatino Linotype" w:eastAsia="Calibri" w:hAnsi="Palatino Linotype"/>
                <w:b/>
                <w:sz w:val="21"/>
                <w:szCs w:val="21"/>
                <w:lang w:val="es-ES_tradnl"/>
              </w:rPr>
              <w:t>Requerimientos</w:t>
            </w:r>
          </w:p>
        </w:tc>
        <w:tc>
          <w:tcPr>
            <w:tcW w:w="2550" w:type="dxa"/>
            <w:shd w:val="clear" w:color="auto" w:fill="F2F2F2" w:themeFill="background1" w:themeFillShade="F2"/>
          </w:tcPr>
          <w:p w:rsidR="001805AE" w:rsidRPr="00717165" w:rsidRDefault="001805AE" w:rsidP="001735AF">
            <w:pPr>
              <w:jc w:val="center"/>
              <w:rPr>
                <w:rFonts w:ascii="Palatino Linotype" w:eastAsia="Calibri" w:hAnsi="Palatino Linotype"/>
                <w:b/>
                <w:sz w:val="21"/>
                <w:szCs w:val="21"/>
                <w:lang w:val="es-ES_tradnl"/>
              </w:rPr>
            </w:pPr>
            <w:r w:rsidRPr="00717165">
              <w:rPr>
                <w:rFonts w:ascii="Palatino Linotype" w:eastAsia="Calibri" w:hAnsi="Palatino Linotype"/>
                <w:b/>
                <w:sz w:val="21"/>
                <w:szCs w:val="21"/>
                <w:lang w:val="es-ES_tradnl"/>
              </w:rPr>
              <w:t>Respuesta</w:t>
            </w:r>
          </w:p>
        </w:tc>
        <w:tc>
          <w:tcPr>
            <w:tcW w:w="2835" w:type="dxa"/>
            <w:shd w:val="clear" w:color="auto" w:fill="F2F2F2" w:themeFill="background1" w:themeFillShade="F2"/>
          </w:tcPr>
          <w:p w:rsidR="001805AE" w:rsidRPr="00717165" w:rsidRDefault="001805AE" w:rsidP="001735AF">
            <w:pPr>
              <w:jc w:val="center"/>
              <w:rPr>
                <w:rFonts w:ascii="Palatino Linotype" w:eastAsia="Calibri" w:hAnsi="Palatino Linotype"/>
                <w:b/>
                <w:sz w:val="21"/>
                <w:szCs w:val="21"/>
                <w:lang w:val="es-ES_tradnl"/>
              </w:rPr>
            </w:pPr>
            <w:r w:rsidRPr="00717165">
              <w:rPr>
                <w:rFonts w:ascii="Palatino Linotype" w:eastAsia="Calibri" w:hAnsi="Palatino Linotype"/>
                <w:b/>
                <w:sz w:val="21"/>
                <w:szCs w:val="21"/>
                <w:lang w:val="es-ES_tradnl"/>
              </w:rPr>
              <w:t>Informe justificado</w:t>
            </w:r>
          </w:p>
        </w:tc>
      </w:tr>
      <w:tr w:rsidR="001805AE" w:rsidRPr="00717165" w:rsidTr="00265F9F">
        <w:trPr>
          <w:jc w:val="center"/>
        </w:trPr>
        <w:tc>
          <w:tcPr>
            <w:tcW w:w="2689"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rPr>
              <w:t xml:space="preserve">1. la inversión realizada por el gobierno municipal de Tlalnepantla en las 175 patrullas nuevas en total, (140 radio patrullas y 35 motos patrullas) que fueron entregadas durante </w:t>
            </w:r>
            <w:r w:rsidRPr="00717165">
              <w:rPr>
                <w:rFonts w:ascii="Palatino Linotype" w:eastAsia="Calibri" w:hAnsi="Palatino Linotype"/>
                <w:sz w:val="21"/>
                <w:szCs w:val="21"/>
              </w:rPr>
              <w:lastRenderedPageBreak/>
              <w:t>el mes de marzo de este 2022, por el alcalde Marco Antonio Rodríguez Hurtado</w:t>
            </w:r>
          </w:p>
        </w:tc>
        <w:tc>
          <w:tcPr>
            <w:tcW w:w="2550"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b/>
                <w:i/>
                <w:sz w:val="21"/>
                <w:szCs w:val="21"/>
                <w:lang w:val="es-ES_tradnl"/>
              </w:rPr>
              <w:lastRenderedPageBreak/>
              <w:t>“…a esa fecha, no se tiene la información referente al o los contratos, celebrados para este fin”</w:t>
            </w:r>
          </w:p>
        </w:tc>
        <w:tc>
          <w:tcPr>
            <w:tcW w:w="2835" w:type="dxa"/>
            <w:shd w:val="clear" w:color="auto" w:fill="D5DCE4" w:themeFill="text2" w:themeFillTint="33"/>
          </w:tcPr>
          <w:p w:rsidR="001805AE" w:rsidRPr="00717165" w:rsidRDefault="001805AE" w:rsidP="001735AF">
            <w:pPr>
              <w:jc w:val="center"/>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Ratifica</w:t>
            </w:r>
          </w:p>
        </w:tc>
      </w:tr>
      <w:tr w:rsidR="001805AE" w:rsidRPr="00717165" w:rsidTr="00265F9F">
        <w:trPr>
          <w:jc w:val="center"/>
        </w:trPr>
        <w:tc>
          <w:tcPr>
            <w:tcW w:w="2689"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rPr>
              <w:lastRenderedPageBreak/>
              <w:t>2. la inversión realizada por el gobierno municipal de Tlalnepantla en las 115 armas que serán distribuidas en los sectores de mayor incidencia delictiva del municipio, en marzo del 2020</w:t>
            </w:r>
          </w:p>
        </w:tc>
        <w:tc>
          <w:tcPr>
            <w:tcW w:w="2550"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b/>
                <w:i/>
                <w:sz w:val="21"/>
                <w:szCs w:val="21"/>
                <w:lang w:val="es-ES_tradnl"/>
              </w:rPr>
              <w:t>“…en el ejercicio al que hace mención en su petición, no se localizó compra alguna del armamento en cuestión”</w:t>
            </w:r>
          </w:p>
        </w:tc>
        <w:tc>
          <w:tcPr>
            <w:tcW w:w="2835"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 xml:space="preserve">Ratifica </w:t>
            </w:r>
          </w:p>
        </w:tc>
      </w:tr>
      <w:tr w:rsidR="001805AE" w:rsidRPr="00717165" w:rsidTr="00265F9F">
        <w:trPr>
          <w:jc w:val="center"/>
        </w:trPr>
        <w:tc>
          <w:tcPr>
            <w:tcW w:w="2689"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3. Las patrullas y moto patrullas fueron adquiridas por el Ayuntamiento, durante la administración actual, bajo un esquema de arrendamiento</w:t>
            </w:r>
          </w:p>
        </w:tc>
        <w:tc>
          <w:tcPr>
            <w:tcW w:w="2550"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b/>
                <w:i/>
                <w:sz w:val="21"/>
                <w:szCs w:val="21"/>
                <w:lang w:val="es-ES_tradnl"/>
              </w:rPr>
              <w:t>“…"NO"</w:t>
            </w:r>
            <w:r w:rsidRPr="00717165">
              <w:rPr>
                <w:rFonts w:ascii="Palatino Linotype" w:eastAsia="Calibri" w:hAnsi="Palatino Linotype"/>
                <w:i/>
                <w:sz w:val="21"/>
                <w:szCs w:val="21"/>
                <w:lang w:val="es-ES_tradnl"/>
              </w:rPr>
              <w:t xml:space="preserve"> ya que el AYUNTAMIENTO no ha adquirido patrullas ni moto patrullas,…”</w:t>
            </w:r>
          </w:p>
        </w:tc>
        <w:tc>
          <w:tcPr>
            <w:tcW w:w="2835" w:type="dxa"/>
            <w:shd w:val="clear" w:color="auto" w:fill="D5DCE4" w:themeFill="text2" w:themeFillTint="33"/>
          </w:tcPr>
          <w:p w:rsidR="001805AE" w:rsidRPr="00717165" w:rsidRDefault="001805AE" w:rsidP="001735AF">
            <w:pPr>
              <w:jc w:val="center"/>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 xml:space="preserve">Ratifica </w:t>
            </w:r>
          </w:p>
        </w:tc>
      </w:tr>
      <w:tr w:rsidR="001805AE" w:rsidRPr="00717165" w:rsidTr="00265F9F">
        <w:trPr>
          <w:jc w:val="center"/>
        </w:trPr>
        <w:tc>
          <w:tcPr>
            <w:tcW w:w="2689"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rPr>
              <w:t xml:space="preserve">4. método se realizó la compra, de las patrullas y moto patrullas, durante la </w:t>
            </w:r>
            <w:r w:rsidRPr="00717165">
              <w:rPr>
                <w:rFonts w:ascii="Palatino Linotype" w:eastAsia="Calibri" w:hAnsi="Palatino Linotype"/>
                <w:b/>
                <w:sz w:val="21"/>
                <w:szCs w:val="21"/>
              </w:rPr>
              <w:t>administración actual</w:t>
            </w:r>
            <w:r w:rsidRPr="00717165">
              <w:rPr>
                <w:rFonts w:ascii="Palatino Linotype" w:eastAsia="Calibri" w:hAnsi="Palatino Linotype"/>
                <w:sz w:val="21"/>
                <w:szCs w:val="21"/>
              </w:rPr>
              <w:t>, a través de licitación o adquisición directa</w:t>
            </w:r>
          </w:p>
        </w:tc>
        <w:tc>
          <w:tcPr>
            <w:tcW w:w="2550"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i/>
                <w:sz w:val="21"/>
                <w:szCs w:val="21"/>
                <w:lang w:val="es-ES_tradnl"/>
              </w:rPr>
              <w:t>“…Durante la presente administración no se ha realizado compra de patrullas ni motopatrullas.”</w:t>
            </w:r>
          </w:p>
        </w:tc>
        <w:tc>
          <w:tcPr>
            <w:tcW w:w="2835" w:type="dxa"/>
            <w:shd w:val="clear" w:color="auto" w:fill="F2F2F2" w:themeFill="background1" w:themeFillShade="F2"/>
          </w:tcPr>
          <w:p w:rsidR="001805AE" w:rsidRPr="00717165" w:rsidRDefault="001805AE" w:rsidP="001735AF">
            <w:pPr>
              <w:jc w:val="center"/>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Ratifica</w:t>
            </w:r>
          </w:p>
        </w:tc>
      </w:tr>
      <w:tr w:rsidR="001805AE" w:rsidRPr="00717165" w:rsidTr="00265F9F">
        <w:trPr>
          <w:jc w:val="center"/>
        </w:trPr>
        <w:tc>
          <w:tcPr>
            <w:tcW w:w="2689"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rPr>
              <w:t>5. los contratos celebrados por el Ayuntamiento con los proveedores de las 140 radio patrullas y 35 moto patrullas nuevas; durante la administración del alcalde Marco Antonio Rodríguez Hurtado</w:t>
            </w:r>
          </w:p>
        </w:tc>
        <w:tc>
          <w:tcPr>
            <w:tcW w:w="2550"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i/>
                <w:sz w:val="21"/>
                <w:szCs w:val="21"/>
                <w:lang w:val="es-ES_tradnl"/>
              </w:rPr>
              <w:t>“…"</w:t>
            </w:r>
            <w:r w:rsidRPr="00717165">
              <w:rPr>
                <w:rFonts w:ascii="Palatino Linotype" w:eastAsia="Calibri" w:hAnsi="Palatino Linotype"/>
                <w:b/>
                <w:i/>
                <w:sz w:val="21"/>
                <w:szCs w:val="21"/>
                <w:lang w:val="es-ES_tradnl"/>
              </w:rPr>
              <w:t>NO OBRA LA INFORMACIÓN SOLICITADA</w:t>
            </w:r>
            <w:r w:rsidRPr="00717165">
              <w:rPr>
                <w:rFonts w:ascii="Palatino Linotype" w:eastAsia="Calibri" w:hAnsi="Palatino Linotype"/>
                <w:i/>
                <w:sz w:val="21"/>
                <w:szCs w:val="21"/>
                <w:lang w:val="es-ES_tradnl"/>
              </w:rPr>
              <w:t xml:space="preserve">" es de señalarse que conforme a lo dispuesto, por el artículo 16 de la Ley Orgánica Municipal del Estado de México, el Ayuntamiento está integrado por Presidente, Síndicos y Regidores y dentro de las facultades otorgadas al mismo, únicamente se encuentran las señaladas en el artículo 31 de la Ley Orgánica Municipal del Estado de México, dentro de </w:t>
            </w:r>
            <w:r w:rsidRPr="00717165">
              <w:rPr>
                <w:rFonts w:ascii="Palatino Linotype" w:eastAsia="Calibri" w:hAnsi="Palatino Linotype"/>
                <w:i/>
                <w:sz w:val="21"/>
                <w:szCs w:val="21"/>
                <w:lang w:val="es-ES_tradnl"/>
              </w:rPr>
              <w:lastRenderedPageBreak/>
              <w:t>la cual NO se desprende la facultad de celebrar contratos.”</w:t>
            </w:r>
          </w:p>
        </w:tc>
        <w:tc>
          <w:tcPr>
            <w:tcW w:w="2835" w:type="dxa"/>
            <w:shd w:val="clear" w:color="auto" w:fill="D5DCE4" w:themeFill="text2" w:themeFillTint="33"/>
          </w:tcPr>
          <w:p w:rsidR="001805AE" w:rsidRPr="00717165" w:rsidRDefault="001805AE" w:rsidP="001735AF">
            <w:pPr>
              <w:jc w:val="center"/>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 xml:space="preserve">Ratifica </w:t>
            </w:r>
          </w:p>
        </w:tc>
      </w:tr>
      <w:tr w:rsidR="001805AE" w:rsidRPr="00717165" w:rsidTr="00265F9F">
        <w:trPr>
          <w:jc w:val="center"/>
        </w:trPr>
        <w:tc>
          <w:tcPr>
            <w:tcW w:w="2689"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sz w:val="21"/>
                <w:szCs w:val="21"/>
              </w:rPr>
              <w:lastRenderedPageBreak/>
              <w:t>6. cronograma, es decir, un documento con las fechas de la convocatoria para la licitación, venta de bases, concurso, y los diferentes pasos que contempló la adquisición de las nuevas patrullas y moto patrullas, durante el actual gobierno de Marco Antonio Rodríguez Hurtado</w:t>
            </w:r>
          </w:p>
        </w:tc>
        <w:tc>
          <w:tcPr>
            <w:tcW w:w="2550" w:type="dxa"/>
            <w:shd w:val="clear" w:color="auto" w:fill="F2F2F2" w:themeFill="background1" w:themeFillShade="F2"/>
          </w:tcPr>
          <w:p w:rsidR="001805AE" w:rsidRPr="00717165" w:rsidRDefault="001805AE" w:rsidP="00265F9F">
            <w:pPr>
              <w:jc w:val="both"/>
              <w:rPr>
                <w:rFonts w:ascii="Palatino Linotype" w:eastAsia="Calibri" w:hAnsi="Palatino Linotype"/>
                <w:sz w:val="21"/>
                <w:szCs w:val="21"/>
                <w:lang w:val="es-ES_tradnl"/>
              </w:rPr>
            </w:pPr>
            <w:r w:rsidRPr="00717165">
              <w:rPr>
                <w:rFonts w:ascii="Palatino Linotype" w:eastAsia="Calibri" w:hAnsi="Palatino Linotype"/>
                <w:i/>
                <w:sz w:val="21"/>
                <w:szCs w:val="21"/>
                <w:lang w:val="es-ES_tradnl"/>
              </w:rPr>
              <w:t>“…"</w:t>
            </w:r>
            <w:r w:rsidRPr="00717165">
              <w:rPr>
                <w:rFonts w:ascii="Palatino Linotype" w:eastAsia="Calibri" w:hAnsi="Palatino Linotype"/>
                <w:b/>
                <w:i/>
                <w:sz w:val="21"/>
                <w:szCs w:val="21"/>
                <w:lang w:val="es-ES_tradnl"/>
              </w:rPr>
              <w:t>NO OBRA LA INFORMACIÓN SOLICITADA</w:t>
            </w:r>
            <w:r w:rsidRPr="00717165">
              <w:rPr>
                <w:rFonts w:ascii="Palatino Linotype" w:eastAsia="Calibri" w:hAnsi="Palatino Linotype"/>
                <w:i/>
                <w:sz w:val="21"/>
                <w:szCs w:val="21"/>
                <w:lang w:val="es-ES_tradnl"/>
              </w:rPr>
              <w:t xml:space="preserve">", </w:t>
            </w:r>
            <w:r w:rsidR="00265F9F" w:rsidRPr="00717165">
              <w:rPr>
                <w:rFonts w:ascii="Palatino Linotype" w:eastAsia="Calibri" w:hAnsi="Palatino Linotype"/>
                <w:i/>
                <w:sz w:val="21"/>
                <w:szCs w:val="21"/>
                <w:lang w:val="es-ES_tradnl"/>
              </w:rPr>
              <w:t>…</w:t>
            </w:r>
            <w:r w:rsidRPr="00717165">
              <w:rPr>
                <w:rFonts w:ascii="Palatino Linotype" w:eastAsia="Calibri" w:hAnsi="Palatino Linotype"/>
                <w:i/>
                <w:sz w:val="21"/>
                <w:szCs w:val="21"/>
                <w:lang w:val="es-ES_tradnl"/>
              </w:rPr>
              <w:t xml:space="preserve">los sujetos obligados sólo proporcionarán la información pública que se les requiera </w:t>
            </w:r>
            <w:r w:rsidRPr="00717165">
              <w:rPr>
                <w:rFonts w:ascii="Palatino Linotype" w:eastAsia="Calibri" w:hAnsi="Palatino Linotype"/>
                <w:b/>
                <w:i/>
                <w:sz w:val="21"/>
                <w:szCs w:val="21"/>
                <w:lang w:val="es-ES_tradnl"/>
              </w:rPr>
              <w:t>y que obre en sus archivos</w:t>
            </w:r>
            <w:r w:rsidRPr="00717165">
              <w:rPr>
                <w:rFonts w:ascii="Palatino Linotype" w:eastAsia="Calibri" w:hAnsi="Palatino Linotype"/>
                <w:i/>
                <w:sz w:val="21"/>
                <w:szCs w:val="21"/>
                <w:lang w:val="es-ES_tradnl"/>
              </w:rPr>
              <w:t xml:space="preserve"> en el estado en que ésta se encuentre; así mismo el artículo 18 de la misma Ley, puntualiza que los sujetos obligados deberán </w:t>
            </w:r>
            <w:r w:rsidRPr="00717165">
              <w:rPr>
                <w:rFonts w:ascii="Palatino Linotype" w:eastAsia="Calibri" w:hAnsi="Palatino Linotype"/>
                <w:b/>
                <w:i/>
                <w:sz w:val="21"/>
                <w:szCs w:val="21"/>
                <w:lang w:val="es-ES_tradnl"/>
              </w:rPr>
              <w:t>documentar todo acto</w:t>
            </w:r>
            <w:r w:rsidRPr="00717165">
              <w:rPr>
                <w:rFonts w:ascii="Palatino Linotype" w:eastAsia="Calibri" w:hAnsi="Palatino Linotype"/>
                <w:i/>
                <w:sz w:val="21"/>
                <w:szCs w:val="21"/>
                <w:lang w:val="es-ES_tradnl"/>
              </w:rPr>
              <w:t xml:space="preserve"> que derive del ejercicio de sus facultades, competencias o funciones. En ese tenor me permito señalar que  los Ordenamientos invocados, determinan que el sujeto obligado, deberá entregar la información que obre en su poder y que se haya realizado, conformado, generado en uso de sus atribuciones y facultades, así es evidente que para entregar dicha información, </w:t>
            </w:r>
            <w:r w:rsidRPr="00717165">
              <w:rPr>
                <w:rFonts w:ascii="Palatino Linotype" w:eastAsia="Calibri" w:hAnsi="Palatino Linotype"/>
                <w:i/>
                <w:sz w:val="21"/>
                <w:szCs w:val="21"/>
                <w:u w:val="single"/>
                <w:lang w:val="es-ES_tradnl"/>
              </w:rPr>
              <w:t>debe existir un acto de autoridad que se materialice en un documento sea físico o electrónico o de cualquier índole.</w:t>
            </w:r>
            <w:r w:rsidRPr="00717165">
              <w:rPr>
                <w:rFonts w:ascii="Palatino Linotype" w:eastAsia="Calibri" w:hAnsi="Palatino Linotype"/>
                <w:i/>
                <w:sz w:val="21"/>
                <w:szCs w:val="21"/>
                <w:lang w:val="es-ES_tradnl"/>
              </w:rPr>
              <w:t>”</w:t>
            </w:r>
          </w:p>
        </w:tc>
        <w:tc>
          <w:tcPr>
            <w:tcW w:w="2835"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p>
          <w:p w:rsidR="001805AE" w:rsidRPr="00717165" w:rsidRDefault="001805AE" w:rsidP="001735AF">
            <w:pPr>
              <w:jc w:val="center"/>
              <w:rPr>
                <w:rFonts w:ascii="Palatino Linotype" w:eastAsia="Calibri" w:hAnsi="Palatino Linotype"/>
                <w:sz w:val="21"/>
                <w:szCs w:val="21"/>
                <w:lang w:val="es-ES_tradnl"/>
              </w:rPr>
            </w:pPr>
            <w:r w:rsidRPr="00717165">
              <w:rPr>
                <w:rFonts w:ascii="Palatino Linotype" w:eastAsia="Calibri" w:hAnsi="Palatino Linotype"/>
                <w:sz w:val="21"/>
                <w:szCs w:val="21"/>
                <w:lang w:val="es-ES_tradnl"/>
              </w:rPr>
              <w:t>Ratifica</w:t>
            </w:r>
          </w:p>
        </w:tc>
      </w:tr>
      <w:tr w:rsidR="001805AE" w:rsidRPr="00717165" w:rsidTr="00265F9F">
        <w:trPr>
          <w:jc w:val="center"/>
        </w:trPr>
        <w:tc>
          <w:tcPr>
            <w:tcW w:w="2689"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rPr>
            </w:pPr>
            <w:r w:rsidRPr="00717165">
              <w:rPr>
                <w:rFonts w:ascii="Palatino Linotype" w:eastAsia="Calibri" w:hAnsi="Palatino Linotype"/>
                <w:sz w:val="21"/>
                <w:szCs w:val="21"/>
              </w:rPr>
              <w:t xml:space="preserve">7. la inversión realizada por el gobierno municipal de Tlalnepantla en la adquisición de 177 patrullas nuevas, durante </w:t>
            </w:r>
            <w:r w:rsidRPr="00717165">
              <w:rPr>
                <w:rFonts w:ascii="Palatino Linotype" w:eastAsia="Calibri" w:hAnsi="Palatino Linotype"/>
                <w:sz w:val="21"/>
                <w:szCs w:val="21"/>
              </w:rPr>
              <w:lastRenderedPageBreak/>
              <w:t xml:space="preserve">la </w:t>
            </w:r>
            <w:r w:rsidRPr="00717165">
              <w:rPr>
                <w:rFonts w:ascii="Palatino Linotype" w:eastAsia="Calibri" w:hAnsi="Palatino Linotype"/>
                <w:b/>
                <w:sz w:val="21"/>
                <w:szCs w:val="21"/>
              </w:rPr>
              <w:t>administración del ex alcalde Raciel Pérez Cruz</w:t>
            </w:r>
          </w:p>
        </w:tc>
        <w:tc>
          <w:tcPr>
            <w:tcW w:w="2550" w:type="dxa"/>
            <w:vMerge w:val="restart"/>
            <w:shd w:val="clear" w:color="auto" w:fill="D5DCE4" w:themeFill="text2" w:themeFillTint="33"/>
          </w:tcPr>
          <w:p w:rsidR="001805AE" w:rsidRPr="00717165" w:rsidRDefault="001805AE" w:rsidP="001735AF">
            <w:pPr>
              <w:jc w:val="both"/>
              <w:rPr>
                <w:rFonts w:ascii="Palatino Linotype" w:eastAsia="Calibri" w:hAnsi="Palatino Linotype"/>
                <w:sz w:val="21"/>
                <w:szCs w:val="21"/>
              </w:rPr>
            </w:pPr>
            <w:r w:rsidRPr="00717165">
              <w:rPr>
                <w:rFonts w:ascii="Palatino Linotype" w:eastAsia="Calibri" w:hAnsi="Palatino Linotype"/>
                <w:sz w:val="21"/>
                <w:szCs w:val="21"/>
              </w:rPr>
              <w:lastRenderedPageBreak/>
              <w:t xml:space="preserve">El Tesorero Municipal manifestó </w:t>
            </w:r>
          </w:p>
          <w:p w:rsidR="001805AE" w:rsidRPr="00717165" w:rsidRDefault="001805AE" w:rsidP="001735AF">
            <w:pPr>
              <w:jc w:val="both"/>
              <w:rPr>
                <w:rFonts w:ascii="Palatino Linotype" w:eastAsia="Calibri" w:hAnsi="Palatino Linotype"/>
                <w:i/>
                <w:sz w:val="21"/>
                <w:szCs w:val="21"/>
                <w:lang w:val="es-ES_tradnl"/>
              </w:rPr>
            </w:pPr>
          </w:p>
          <w:p w:rsidR="001805AE" w:rsidRPr="00717165" w:rsidRDefault="001805AE" w:rsidP="001735AF">
            <w:pPr>
              <w:jc w:val="both"/>
              <w:rPr>
                <w:rFonts w:ascii="Palatino Linotype" w:eastAsia="Calibri" w:hAnsi="Palatino Linotype"/>
                <w:i/>
                <w:sz w:val="21"/>
                <w:szCs w:val="21"/>
                <w:lang w:val="es-ES_tradnl"/>
              </w:rPr>
            </w:pPr>
            <w:r w:rsidRPr="00717165">
              <w:rPr>
                <w:rFonts w:ascii="Palatino Linotype" w:eastAsia="Calibri" w:hAnsi="Palatino Linotype"/>
                <w:b/>
                <w:i/>
                <w:sz w:val="21"/>
                <w:szCs w:val="21"/>
                <w:lang w:val="es-ES_tradnl"/>
              </w:rPr>
              <w:t xml:space="preserve">“…En la administración del ex alcalde Racel </w:t>
            </w:r>
            <w:r w:rsidRPr="00717165">
              <w:rPr>
                <w:rFonts w:ascii="Palatino Linotype" w:eastAsia="Calibri" w:hAnsi="Palatino Linotype"/>
                <w:b/>
                <w:i/>
                <w:sz w:val="21"/>
                <w:szCs w:val="21"/>
                <w:lang w:val="es-ES_tradnl"/>
              </w:rPr>
              <w:lastRenderedPageBreak/>
              <w:t>Pérez Cruz, le informo que no hay inversión de 177 patrullas en dicha administración….”</w:t>
            </w:r>
          </w:p>
        </w:tc>
        <w:tc>
          <w:tcPr>
            <w:tcW w:w="2835" w:type="dxa"/>
            <w:vMerge w:val="restart"/>
            <w:shd w:val="clear" w:color="auto" w:fill="D5DCE4" w:themeFill="text2" w:themeFillTint="33"/>
          </w:tcPr>
          <w:p w:rsidR="001805AE" w:rsidRPr="00717165" w:rsidRDefault="001805AE" w:rsidP="001735AF">
            <w:pPr>
              <w:jc w:val="both"/>
              <w:rPr>
                <w:rFonts w:ascii="Palatino Linotype" w:eastAsia="Calibri" w:hAnsi="Palatino Linotype"/>
                <w:i/>
                <w:sz w:val="21"/>
                <w:szCs w:val="21"/>
                <w:lang w:val="es-ES_tradnl"/>
              </w:rPr>
            </w:pPr>
          </w:p>
          <w:p w:rsidR="001805AE" w:rsidRPr="00717165" w:rsidRDefault="001805AE" w:rsidP="001735AF">
            <w:pPr>
              <w:jc w:val="both"/>
              <w:rPr>
                <w:rFonts w:ascii="Palatino Linotype" w:eastAsia="Calibri" w:hAnsi="Palatino Linotype"/>
                <w:sz w:val="21"/>
                <w:szCs w:val="21"/>
                <w:lang w:val="es-ES_tradnl"/>
              </w:rPr>
            </w:pPr>
            <w:r w:rsidRPr="00717165">
              <w:rPr>
                <w:rFonts w:ascii="Palatino Linotype" w:eastAsia="Calibri" w:hAnsi="Palatino Linotype"/>
                <w:i/>
                <w:sz w:val="21"/>
                <w:szCs w:val="21"/>
                <w:lang w:val="es-ES_tradnl"/>
              </w:rPr>
              <w:t>“</w:t>
            </w:r>
            <w:r w:rsidRPr="00717165">
              <w:rPr>
                <w:rFonts w:ascii="Palatino Linotype" w:eastAsia="Calibri" w:hAnsi="Palatino Linotype"/>
                <w:i/>
                <w:sz w:val="21"/>
                <w:szCs w:val="21"/>
                <w:u w:val="single"/>
                <w:lang w:val="es-ES_tradnl"/>
              </w:rPr>
              <w:t>en dicha publicación NO REFIERE LA ADQUISICIÓN DE PATRULLAS NUEVAS</w:t>
            </w:r>
            <w:r w:rsidRPr="00717165">
              <w:rPr>
                <w:rFonts w:ascii="Palatino Linotype" w:eastAsia="Calibri" w:hAnsi="Palatino Linotype"/>
                <w:i/>
                <w:sz w:val="21"/>
                <w:szCs w:val="21"/>
                <w:lang w:val="es-ES_tradnl"/>
              </w:rPr>
              <w:t xml:space="preserve">, </w:t>
            </w:r>
            <w:r w:rsidRPr="00717165">
              <w:rPr>
                <w:rFonts w:ascii="Palatino Linotype" w:eastAsia="Calibri" w:hAnsi="Palatino Linotype"/>
                <w:i/>
                <w:sz w:val="21"/>
                <w:szCs w:val="21"/>
                <w:u w:val="single"/>
                <w:lang w:val="es-ES_tradnl"/>
              </w:rPr>
              <w:t xml:space="preserve">pero </w:t>
            </w:r>
            <w:r w:rsidRPr="00717165">
              <w:rPr>
                <w:rFonts w:ascii="Palatino Linotype" w:eastAsia="Calibri" w:hAnsi="Palatino Linotype"/>
                <w:i/>
                <w:sz w:val="21"/>
                <w:szCs w:val="21"/>
                <w:u w:val="single"/>
                <w:lang w:val="es-ES_tradnl"/>
              </w:rPr>
              <w:lastRenderedPageBreak/>
              <w:t xml:space="preserve">ya que es especifica su solicitud, </w:t>
            </w:r>
            <w:r w:rsidRPr="00717165">
              <w:rPr>
                <w:rFonts w:ascii="Palatino Linotype" w:eastAsia="Calibri" w:hAnsi="Palatino Linotype"/>
                <w:i/>
                <w:sz w:val="21"/>
                <w:szCs w:val="21"/>
                <w:lang w:val="es-ES_tradnl"/>
              </w:rPr>
              <w:t xml:space="preserve">me permito señalar que </w:t>
            </w:r>
            <w:r w:rsidRPr="00717165">
              <w:rPr>
                <w:rFonts w:ascii="Palatino Linotype" w:eastAsia="Calibri" w:hAnsi="Palatino Linotype"/>
                <w:i/>
                <w:sz w:val="21"/>
                <w:szCs w:val="21"/>
                <w:u w:val="single"/>
                <w:lang w:val="es-ES_tradnl"/>
              </w:rPr>
              <w:t>se clasificó la información como reservada,</w:t>
            </w:r>
            <w:r w:rsidRPr="00717165">
              <w:rPr>
                <w:rFonts w:ascii="Palatino Linotype" w:eastAsia="Calibri" w:hAnsi="Palatino Linotype"/>
                <w:i/>
                <w:sz w:val="21"/>
                <w:szCs w:val="21"/>
                <w:lang w:val="es-ES_tradnl"/>
              </w:rPr>
              <w:t xml:space="preserve"> conforme el Acuerdo 12/CT/02/-0RD/2021, aprobado en la Segunda Sesión Ordinaria del Comité de Transparencia del Municipio de Tlalnepantla de Baz, Estado de México, celebrada el día 19 de enero del año dos mil veintiuno, la cual se anexa al presente para pronta referencia.”</w:t>
            </w:r>
          </w:p>
        </w:tc>
      </w:tr>
      <w:tr w:rsidR="001805AE" w:rsidRPr="00717165" w:rsidTr="00265F9F">
        <w:trPr>
          <w:jc w:val="center"/>
        </w:trPr>
        <w:tc>
          <w:tcPr>
            <w:tcW w:w="2689" w:type="dxa"/>
            <w:shd w:val="clear" w:color="auto" w:fill="F2F2F2" w:themeFill="background1" w:themeFillShade="F2"/>
          </w:tcPr>
          <w:p w:rsidR="001805AE" w:rsidRPr="00717165" w:rsidRDefault="001805AE" w:rsidP="001735AF">
            <w:pPr>
              <w:jc w:val="both"/>
              <w:rPr>
                <w:rFonts w:ascii="Palatino Linotype" w:eastAsia="Calibri" w:hAnsi="Palatino Linotype"/>
                <w:sz w:val="21"/>
                <w:szCs w:val="21"/>
              </w:rPr>
            </w:pPr>
            <w:r w:rsidRPr="00717165">
              <w:rPr>
                <w:rFonts w:ascii="Palatino Linotype" w:eastAsia="Calibri" w:hAnsi="Palatino Linotype"/>
                <w:sz w:val="21"/>
                <w:szCs w:val="21"/>
              </w:rPr>
              <w:lastRenderedPageBreak/>
              <w:t xml:space="preserve">8. el contrato de arrendamiento celebrados por el Ayuntamiento con el proveedor de las 177 patrullas, adquiridas durante la </w:t>
            </w:r>
            <w:r w:rsidRPr="00717165">
              <w:rPr>
                <w:rFonts w:ascii="Palatino Linotype" w:eastAsia="Calibri" w:hAnsi="Palatino Linotype"/>
                <w:b/>
                <w:sz w:val="21"/>
                <w:szCs w:val="21"/>
              </w:rPr>
              <w:t>administración del ex alcalde Raciel Pérez Cruz</w:t>
            </w:r>
          </w:p>
        </w:tc>
        <w:tc>
          <w:tcPr>
            <w:tcW w:w="2550" w:type="dxa"/>
            <w:vMerge/>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p>
        </w:tc>
        <w:tc>
          <w:tcPr>
            <w:tcW w:w="2835" w:type="dxa"/>
            <w:vMerge/>
            <w:shd w:val="clear" w:color="auto" w:fill="F2F2F2" w:themeFill="background1" w:themeFillShade="F2"/>
          </w:tcPr>
          <w:p w:rsidR="001805AE" w:rsidRPr="00717165" w:rsidRDefault="001805AE" w:rsidP="001735AF">
            <w:pPr>
              <w:jc w:val="both"/>
              <w:rPr>
                <w:rFonts w:ascii="Palatino Linotype" w:eastAsia="Calibri" w:hAnsi="Palatino Linotype"/>
                <w:sz w:val="21"/>
                <w:szCs w:val="21"/>
                <w:lang w:val="es-ES_tradnl"/>
              </w:rPr>
            </w:pPr>
          </w:p>
        </w:tc>
      </w:tr>
      <w:tr w:rsidR="001805AE" w:rsidRPr="00717165" w:rsidTr="00265F9F">
        <w:trPr>
          <w:jc w:val="center"/>
        </w:trPr>
        <w:tc>
          <w:tcPr>
            <w:tcW w:w="2689" w:type="dxa"/>
            <w:shd w:val="clear" w:color="auto" w:fill="D5DCE4" w:themeFill="text2" w:themeFillTint="33"/>
          </w:tcPr>
          <w:p w:rsidR="001805AE" w:rsidRPr="00717165" w:rsidRDefault="001805AE" w:rsidP="001735AF">
            <w:pPr>
              <w:jc w:val="both"/>
              <w:rPr>
                <w:rFonts w:ascii="Palatino Linotype" w:eastAsia="Calibri" w:hAnsi="Palatino Linotype"/>
                <w:sz w:val="21"/>
                <w:szCs w:val="21"/>
              </w:rPr>
            </w:pPr>
            <w:r w:rsidRPr="00717165">
              <w:rPr>
                <w:rFonts w:ascii="Palatino Linotype" w:eastAsia="Calibri" w:hAnsi="Palatino Linotype"/>
                <w:sz w:val="21"/>
                <w:szCs w:val="21"/>
              </w:rPr>
              <w:t xml:space="preserve">9 cronograma, es decir, un documento con las fechas de la convocatoria para la licitación, venta de bases, concurso y los diferentes pasos que contempló la adquisición de las nuevas patrullas, </w:t>
            </w:r>
            <w:r w:rsidRPr="00717165">
              <w:rPr>
                <w:rFonts w:ascii="Palatino Linotype" w:eastAsia="Calibri" w:hAnsi="Palatino Linotype"/>
                <w:b/>
                <w:sz w:val="21"/>
                <w:szCs w:val="21"/>
              </w:rPr>
              <w:t>durante la administración de Raciel Pérez Cruz</w:t>
            </w:r>
          </w:p>
        </w:tc>
        <w:tc>
          <w:tcPr>
            <w:tcW w:w="2550" w:type="dxa"/>
            <w:vMerge/>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p>
        </w:tc>
        <w:tc>
          <w:tcPr>
            <w:tcW w:w="2835" w:type="dxa"/>
            <w:vMerge/>
            <w:shd w:val="clear" w:color="auto" w:fill="D5DCE4" w:themeFill="text2" w:themeFillTint="33"/>
          </w:tcPr>
          <w:p w:rsidR="001805AE" w:rsidRPr="00717165" w:rsidRDefault="001805AE" w:rsidP="001735AF">
            <w:pPr>
              <w:jc w:val="both"/>
              <w:rPr>
                <w:rFonts w:ascii="Palatino Linotype" w:eastAsia="Calibri" w:hAnsi="Palatino Linotype"/>
                <w:sz w:val="21"/>
                <w:szCs w:val="21"/>
                <w:lang w:val="es-ES_tradnl"/>
              </w:rPr>
            </w:pPr>
          </w:p>
        </w:tc>
      </w:tr>
    </w:tbl>
    <w:p w:rsidR="00523671" w:rsidRPr="00717165" w:rsidRDefault="00523671" w:rsidP="001735AF">
      <w:pPr>
        <w:spacing w:after="0" w:line="360" w:lineRule="auto"/>
        <w:jc w:val="both"/>
        <w:rPr>
          <w:rFonts w:ascii="Palatino Linotype" w:eastAsia="Calibri" w:hAnsi="Palatino Linotype"/>
          <w:sz w:val="24"/>
          <w:lang w:val="es-ES_tradnl"/>
        </w:rPr>
      </w:pPr>
    </w:p>
    <w:p w:rsidR="00523671" w:rsidRPr="00717165" w:rsidRDefault="001805AE"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De conformidad con el cuadro anterior, podemos concluir que </w:t>
      </w:r>
      <w:r w:rsidR="00244BD1" w:rsidRPr="00717165">
        <w:rPr>
          <w:rFonts w:ascii="Palatino Linotype" w:eastAsia="Calibri" w:hAnsi="Palatino Linotype"/>
          <w:sz w:val="24"/>
          <w:lang w:val="es-ES_tradnl"/>
        </w:rPr>
        <w:t xml:space="preserve">en un primer momento </w:t>
      </w:r>
      <w:r w:rsidRPr="00717165">
        <w:rPr>
          <w:rFonts w:ascii="Palatino Linotype" w:eastAsia="Calibri" w:hAnsi="Palatino Linotype"/>
          <w:sz w:val="24"/>
          <w:lang w:val="es-ES_tradnl"/>
        </w:rPr>
        <w:t xml:space="preserve">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xml:space="preserve"> dio respuesta a los cuestionamientos, a través de sus distintas Unidades Administrativas, en el sentido que en la actual administración 2022 – 2024, no se han adquirido </w:t>
      </w:r>
      <w:r w:rsidR="00244BD1" w:rsidRPr="00717165">
        <w:rPr>
          <w:rFonts w:ascii="Palatino Linotype" w:eastAsia="Calibri" w:hAnsi="Palatino Linotype"/>
          <w:sz w:val="24"/>
          <w:lang w:val="es-ES_tradnl"/>
        </w:rPr>
        <w:t>patrullas, moto patrullas, radio patrullas, ya sea mediante la compra o renta de estas, sin embargo, mediante su informe justificado manifiesta que dicha información es reservada.</w:t>
      </w:r>
    </w:p>
    <w:p w:rsidR="00D64A25" w:rsidRPr="00717165" w:rsidRDefault="00D64A25" w:rsidP="001735AF">
      <w:pPr>
        <w:spacing w:after="0" w:line="360" w:lineRule="auto"/>
        <w:jc w:val="both"/>
        <w:rPr>
          <w:rFonts w:ascii="Palatino Linotype" w:eastAsia="Calibri" w:hAnsi="Palatino Linotype"/>
          <w:sz w:val="24"/>
          <w:lang w:val="es-ES_tradnl"/>
        </w:rPr>
      </w:pPr>
    </w:p>
    <w:p w:rsidR="00D64A25" w:rsidRPr="00717165" w:rsidRDefault="00244BD1"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Atentos a las manifestaciones vertidas por 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xml:space="preserve"> tanto en respuesta como en informe justificado, podemos advertir que </w:t>
      </w:r>
      <w:r w:rsidRPr="00717165">
        <w:rPr>
          <w:rFonts w:ascii="Palatino Linotype" w:eastAsia="Calibri" w:hAnsi="Palatino Linotype"/>
          <w:b/>
          <w:sz w:val="24"/>
          <w:lang w:val="es-ES_tradnl"/>
        </w:rPr>
        <w:t>no tienen una congruencia lógica</w:t>
      </w:r>
      <w:r w:rsidRPr="00717165">
        <w:rPr>
          <w:rFonts w:ascii="Palatino Linotype" w:eastAsia="Calibri" w:hAnsi="Palatino Linotype"/>
          <w:sz w:val="24"/>
          <w:lang w:val="es-ES_tradnl"/>
        </w:rPr>
        <w:t xml:space="preserve">, al manifestar en un principio que no se cuenta con la información pero posteriormente manifiesta que es información reservada, circunstancia que se materializa en una </w:t>
      </w:r>
      <w:r w:rsidRPr="00717165">
        <w:rPr>
          <w:rFonts w:ascii="Palatino Linotype" w:eastAsia="Calibri" w:hAnsi="Palatino Linotype"/>
          <w:b/>
          <w:sz w:val="24"/>
          <w:lang w:val="es-ES_tradnl"/>
        </w:rPr>
        <w:t>contradicción</w:t>
      </w:r>
      <w:r w:rsidR="002C57B6" w:rsidRPr="00717165">
        <w:rPr>
          <w:rFonts w:ascii="Palatino Linotype" w:eastAsia="Calibri" w:hAnsi="Palatino Linotype"/>
          <w:sz w:val="24"/>
          <w:lang w:val="es-ES_tradnl"/>
        </w:rPr>
        <w:t>.</w:t>
      </w:r>
    </w:p>
    <w:p w:rsidR="002C57B6" w:rsidRPr="00717165" w:rsidRDefault="002C57B6"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lastRenderedPageBreak/>
        <w:t xml:space="preserve">En ese orden de ideas, debe precisarse que la </w:t>
      </w:r>
      <w:r w:rsidRPr="00717165">
        <w:rPr>
          <w:rFonts w:ascii="Palatino Linotype" w:eastAsia="Calibri" w:hAnsi="Palatino Linotype"/>
          <w:b/>
          <w:sz w:val="24"/>
          <w:lang w:val="es-ES_tradnl"/>
        </w:rPr>
        <w:t>inexistencia de la información y su clasificación no podrán coexistir</w:t>
      </w:r>
      <w:r w:rsidRPr="00717165">
        <w:rPr>
          <w:rFonts w:ascii="Palatino Linotype" w:eastAsia="Calibri" w:hAnsi="Palatino Linotype"/>
          <w:sz w:val="24"/>
          <w:lang w:val="es-ES_tradnl"/>
        </w:rPr>
        <w:t xml:space="preserve">, sirve de sustento el Criterio orientador </w:t>
      </w:r>
      <w:r w:rsidRPr="00717165">
        <w:rPr>
          <w:rFonts w:ascii="Palatino Linotype" w:eastAsia="Calibri" w:hAnsi="Palatino Linotype"/>
          <w:b/>
          <w:sz w:val="24"/>
          <w:lang w:val="es-ES_tradnl"/>
        </w:rPr>
        <w:t>29/10</w:t>
      </w:r>
      <w:r w:rsidRPr="00717165">
        <w:rPr>
          <w:rFonts w:ascii="Palatino Linotype" w:eastAsia="Calibri" w:hAnsi="Palatino Linotype"/>
          <w:sz w:val="24"/>
          <w:lang w:val="es-ES_tradnl"/>
        </w:rPr>
        <w:t xml:space="preserve"> emitido por el Instituto Nacional de Transparencia, Acceso a la Información y Protección de Datos Personales, INAI, el cual refiere lo siguiente:</w:t>
      </w:r>
    </w:p>
    <w:p w:rsidR="002C57B6" w:rsidRPr="00717165" w:rsidRDefault="002C57B6" w:rsidP="001735AF">
      <w:pPr>
        <w:spacing w:after="0" w:line="360" w:lineRule="auto"/>
        <w:jc w:val="both"/>
        <w:rPr>
          <w:rFonts w:ascii="Palatino Linotype" w:eastAsia="Calibri" w:hAnsi="Palatino Linotype"/>
          <w:sz w:val="24"/>
          <w:lang w:val="es-ES_tradnl"/>
        </w:rPr>
      </w:pPr>
    </w:p>
    <w:p w:rsidR="002C57B6" w:rsidRPr="00717165" w:rsidRDefault="002C57B6" w:rsidP="001735AF">
      <w:pPr>
        <w:spacing w:after="0" w:line="240" w:lineRule="auto"/>
        <w:ind w:left="567" w:right="567"/>
        <w:jc w:val="both"/>
        <w:rPr>
          <w:rFonts w:ascii="Palatino Linotype" w:eastAsia="Calibri" w:hAnsi="Palatino Linotype"/>
          <w:i/>
          <w:lang w:val="es-ES_tradnl"/>
        </w:rPr>
      </w:pPr>
      <w:r w:rsidRPr="00717165">
        <w:rPr>
          <w:rFonts w:ascii="Palatino Linotype" w:eastAsia="Calibri" w:hAnsi="Palatino Linotype"/>
          <w:i/>
          <w:lang w:val="es-ES_tradnl"/>
        </w:rPr>
        <w:t>“</w:t>
      </w:r>
      <w:r w:rsidRPr="00717165">
        <w:rPr>
          <w:rFonts w:ascii="Palatino Linotype" w:eastAsia="Calibri" w:hAnsi="Palatino Linotype"/>
          <w:b/>
          <w:i/>
          <w:lang w:val="es-ES_tradnl"/>
        </w:rPr>
        <w:t>LA CLASIFICACIÓN Y LA INEXISTENCIA DE INFORMACIÓN SON CONCEPTOS QUE NO PUEDEN COEXISTIR</w:t>
      </w:r>
      <w:r w:rsidRPr="00717165">
        <w:rPr>
          <w:rFonts w:ascii="Palatino Linotype" w:eastAsia="Calibri" w:hAnsi="Palatino Linotype"/>
          <w:i/>
          <w:lang w:val="es-ES_tradnl"/>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717165">
        <w:rPr>
          <w:rFonts w:ascii="Palatino Linotype" w:eastAsia="Calibri" w:hAnsi="Palatino Linotype"/>
          <w:b/>
          <w:i/>
          <w:lang w:val="es-ES_tradnl"/>
        </w:rPr>
        <w:t xml:space="preserve">la clasificación y la inexistencia no coexisten entre sí, en virtud de que </w:t>
      </w:r>
      <w:r w:rsidRPr="00717165">
        <w:rPr>
          <w:rFonts w:ascii="Palatino Linotype" w:eastAsia="Calibri" w:hAnsi="Palatino Linotype"/>
          <w:b/>
          <w:i/>
          <w:u w:val="single"/>
          <w:lang w:val="es-ES_tradnl"/>
        </w:rPr>
        <w:t>la clasificación de información implica invariablemente la existencia de un documento o documentos determinados,</w:t>
      </w:r>
      <w:r w:rsidRPr="00717165">
        <w:rPr>
          <w:rFonts w:ascii="Palatino Linotype" w:eastAsia="Calibri" w:hAnsi="Palatino Linotype"/>
          <w:b/>
          <w:i/>
          <w:lang w:val="es-ES_tradnl"/>
        </w:rPr>
        <w:t xml:space="preserve"> mientras que la inexistencia conlleva la ausencia de los mismos en los archivos de la dependencia o entidad de que se trate</w:t>
      </w:r>
      <w:r w:rsidRPr="00717165">
        <w:rPr>
          <w:rFonts w:ascii="Palatino Linotype" w:eastAsia="Calibri" w:hAnsi="Palatino Linotype"/>
          <w:i/>
          <w:lang w:val="es-ES_tradnl"/>
        </w:rPr>
        <w:t>."</w:t>
      </w:r>
    </w:p>
    <w:p w:rsidR="002C57B6" w:rsidRPr="00717165" w:rsidRDefault="002C57B6" w:rsidP="001735AF">
      <w:pPr>
        <w:spacing w:after="0" w:line="240" w:lineRule="auto"/>
        <w:ind w:left="567" w:right="567"/>
        <w:jc w:val="right"/>
        <w:rPr>
          <w:rFonts w:ascii="Palatino Linotype" w:eastAsia="Calibri" w:hAnsi="Palatino Linotype"/>
          <w:lang w:val="es-ES_tradnl"/>
        </w:rPr>
      </w:pPr>
      <w:r w:rsidRPr="00717165">
        <w:rPr>
          <w:rFonts w:ascii="Palatino Linotype" w:eastAsia="Calibri" w:hAnsi="Palatino Linotype"/>
          <w:lang w:val="es-ES_tradnl"/>
        </w:rPr>
        <w:t>(Énfasis añadido)</w:t>
      </w:r>
    </w:p>
    <w:p w:rsidR="002C57B6" w:rsidRPr="00717165" w:rsidRDefault="002C57B6" w:rsidP="001735AF">
      <w:pPr>
        <w:spacing w:after="0" w:line="360" w:lineRule="auto"/>
        <w:jc w:val="both"/>
        <w:rPr>
          <w:rFonts w:ascii="Palatino Linotype" w:eastAsia="Calibri" w:hAnsi="Palatino Linotype"/>
          <w:sz w:val="24"/>
          <w:lang w:val="es-ES_tradnl"/>
        </w:rPr>
      </w:pPr>
    </w:p>
    <w:p w:rsidR="002C57B6" w:rsidRPr="00717165" w:rsidRDefault="002C57B6"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En tal sentido, la restricción al derecho de acceso a la información implica necesariamente una clasificación, la cual debe entenderse como el proceso mediante el cual 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xml:space="preserve"> determina que la información en su poder, actualiza alguno de los supuestos de reserva o confidencialidad, de conformidad con las normas aplicables.</w:t>
      </w:r>
    </w:p>
    <w:p w:rsidR="002C57B6" w:rsidRPr="00717165" w:rsidRDefault="002C57B6" w:rsidP="001735AF">
      <w:pPr>
        <w:spacing w:after="0" w:line="360" w:lineRule="auto"/>
        <w:jc w:val="both"/>
        <w:rPr>
          <w:rFonts w:ascii="Palatino Linotype" w:eastAsia="Calibri" w:hAnsi="Palatino Linotype"/>
          <w:sz w:val="24"/>
          <w:lang w:val="es-ES_tradnl"/>
        </w:rPr>
      </w:pPr>
    </w:p>
    <w:p w:rsidR="002C57B6" w:rsidRPr="00717165" w:rsidRDefault="002C57B6"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En efecto, para los casos en los que los </w:t>
      </w:r>
      <w:r w:rsidRPr="00717165">
        <w:rPr>
          <w:rFonts w:ascii="Palatino Linotype" w:eastAsia="Calibri" w:hAnsi="Palatino Linotype"/>
          <w:b/>
          <w:sz w:val="24"/>
          <w:lang w:val="es-ES_tradnl"/>
        </w:rPr>
        <w:t>Sujetos Obligados</w:t>
      </w:r>
      <w:r w:rsidRPr="00717165">
        <w:rPr>
          <w:rFonts w:ascii="Palatino Linotype" w:eastAsia="Calibri" w:hAnsi="Palatino Linotype"/>
          <w:sz w:val="24"/>
          <w:lang w:val="es-ES_tradnl"/>
        </w:rPr>
        <w:t xml:space="preserve"> adviertan que la información no es susceptible de entregar por estimar que sobreviene una causal de clasificación, les compete la carga de la prueba mediante la debida fundamentación y motivación en </w:t>
      </w:r>
      <w:r w:rsidRPr="00717165">
        <w:rPr>
          <w:rFonts w:ascii="Palatino Linotype" w:eastAsia="Calibri" w:hAnsi="Palatino Linotype"/>
          <w:sz w:val="24"/>
          <w:lang w:val="es-ES_tradnl"/>
        </w:rPr>
        <w:lastRenderedPageBreak/>
        <w:t xml:space="preserve">el respectivo Acuerdo de Clasificación, ello encuentra sustento en el artículo 131 de la legislación vigente en la entidad, el cual versa de la siguiente manera: </w:t>
      </w:r>
    </w:p>
    <w:p w:rsidR="002C57B6" w:rsidRPr="00717165" w:rsidRDefault="002C57B6" w:rsidP="001735AF">
      <w:pPr>
        <w:spacing w:after="0" w:line="360" w:lineRule="auto"/>
        <w:jc w:val="both"/>
        <w:rPr>
          <w:rFonts w:ascii="Palatino Linotype" w:eastAsia="Calibri" w:hAnsi="Palatino Linotype"/>
          <w:sz w:val="24"/>
          <w:lang w:val="es-ES_tradnl"/>
        </w:rPr>
      </w:pPr>
    </w:p>
    <w:p w:rsidR="002C57B6" w:rsidRPr="00717165" w:rsidRDefault="002C57B6" w:rsidP="001735AF">
      <w:pPr>
        <w:spacing w:after="0" w:line="240" w:lineRule="auto"/>
        <w:ind w:left="567" w:right="567"/>
        <w:jc w:val="both"/>
        <w:rPr>
          <w:rFonts w:ascii="Palatino Linotype" w:eastAsia="Calibri" w:hAnsi="Palatino Linotype"/>
          <w:i/>
          <w:lang w:val="es-ES_tradnl"/>
        </w:rPr>
      </w:pPr>
      <w:r w:rsidRPr="00717165">
        <w:rPr>
          <w:rFonts w:ascii="Palatino Linotype" w:eastAsia="Calibri" w:hAnsi="Palatino Linotype"/>
          <w:i/>
          <w:lang w:val="es-ES_tradnl"/>
        </w:rPr>
        <w:t>“</w:t>
      </w:r>
      <w:r w:rsidRPr="00717165">
        <w:rPr>
          <w:rFonts w:ascii="Palatino Linotype" w:eastAsia="Calibri" w:hAnsi="Palatino Linotype"/>
          <w:b/>
          <w:i/>
          <w:lang w:val="es-ES_tradnl"/>
        </w:rPr>
        <w:t>Artículo 131.</w:t>
      </w:r>
      <w:r w:rsidRPr="00717165">
        <w:rPr>
          <w:rFonts w:ascii="Palatino Linotype" w:eastAsia="Calibri" w:hAnsi="Palatino Linotype"/>
          <w:i/>
          <w:lang w:val="es-ES_tradnl"/>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244BD1" w:rsidRPr="00717165" w:rsidRDefault="00244BD1" w:rsidP="001735AF">
      <w:pPr>
        <w:spacing w:after="0" w:line="360" w:lineRule="auto"/>
        <w:jc w:val="both"/>
        <w:rPr>
          <w:rFonts w:ascii="Palatino Linotype" w:eastAsia="Calibri" w:hAnsi="Palatino Linotype"/>
          <w:sz w:val="24"/>
          <w:lang w:val="es-ES_tradnl"/>
        </w:rPr>
      </w:pPr>
    </w:p>
    <w:p w:rsidR="002C57B6" w:rsidRPr="00717165" w:rsidRDefault="002C57B6" w:rsidP="001735AF">
      <w:pPr>
        <w:spacing w:after="0" w:line="360" w:lineRule="auto"/>
        <w:jc w:val="both"/>
        <w:rPr>
          <w:rFonts w:ascii="Palatino Linotype" w:eastAsia="Calibri" w:hAnsi="Palatino Linotype" w:cs="Times New Roman"/>
          <w:sz w:val="24"/>
          <w:szCs w:val="24"/>
          <w:lang w:val="es-ES_tradnl" w:eastAsia="es-ES"/>
        </w:rPr>
      </w:pPr>
      <w:r w:rsidRPr="00717165">
        <w:rPr>
          <w:rFonts w:ascii="Palatino Linotype" w:eastAsia="Calibri" w:hAnsi="Palatino Linotype"/>
          <w:sz w:val="24"/>
          <w:lang w:val="es-ES_tradnl"/>
        </w:rPr>
        <w:t xml:space="preserve">Consideraciones de hecho y de derecho que concatenadas con los artículos </w:t>
      </w:r>
      <w:r w:rsidRPr="00717165">
        <w:rPr>
          <w:rFonts w:ascii="Palatino Linotype" w:eastAsia="Calibri" w:hAnsi="Palatino Linotype" w:cs="Times New Roman"/>
          <w:sz w:val="24"/>
          <w:szCs w:val="24"/>
          <w:lang w:val="es-ES_tradnl" w:eastAsia="es-ES"/>
        </w:rPr>
        <w:t>18 y 19 de la Ley de Transparencia y Acceso a la Información Pública del Estado de México y Municipios</w:t>
      </w:r>
      <w:r w:rsidRPr="00717165">
        <w:rPr>
          <w:rFonts w:ascii="Palatino Linotype" w:eastAsia="Calibri" w:hAnsi="Palatino Linotype" w:cs="Times New Roman"/>
          <w:sz w:val="24"/>
          <w:szCs w:val="24"/>
          <w:vertAlign w:val="superscript"/>
          <w:lang w:val="es-ES_tradnl" w:eastAsia="es-ES"/>
        </w:rPr>
        <w:footnoteReference w:id="1"/>
      </w:r>
      <w:r w:rsidRPr="00717165">
        <w:rPr>
          <w:rFonts w:ascii="Palatino Linotype" w:eastAsia="Calibri" w:hAnsi="Palatino Linotype" w:cs="Times New Roman"/>
          <w:sz w:val="24"/>
          <w:szCs w:val="24"/>
          <w:lang w:val="es-ES_tradnl" w:eastAsia="es-ES"/>
        </w:rPr>
        <w:t xml:space="preserve">, relativos a la obligación de documentar todo acto de autoridad en ejercicio de sus facultades, funciones y atribuciones, así como la presunción de la existencia del soporte documental en que consta la información en comento, sirven de sustento para tener por acreditada la existencia del soporte documental en que obre la información. </w:t>
      </w:r>
    </w:p>
    <w:p w:rsidR="002C57B6" w:rsidRPr="00717165" w:rsidRDefault="002C57B6" w:rsidP="001735AF">
      <w:pPr>
        <w:spacing w:after="0" w:line="360" w:lineRule="auto"/>
        <w:jc w:val="both"/>
        <w:rPr>
          <w:rFonts w:ascii="Palatino Linotype" w:eastAsia="Calibri" w:hAnsi="Palatino Linotype"/>
          <w:sz w:val="24"/>
          <w:lang w:val="es-ES_tradnl"/>
        </w:rPr>
      </w:pPr>
    </w:p>
    <w:p w:rsidR="002C57B6" w:rsidRPr="00717165" w:rsidRDefault="00BB7179" w:rsidP="001735AF">
      <w:pPr>
        <w:spacing w:after="0" w:line="360" w:lineRule="auto"/>
        <w:jc w:val="both"/>
        <w:rPr>
          <w:rFonts w:ascii="Palatino Linotype" w:eastAsia="Calibri" w:hAnsi="Palatino Linotype"/>
          <w:sz w:val="24"/>
        </w:rPr>
      </w:pPr>
      <w:r w:rsidRPr="00717165">
        <w:rPr>
          <w:rFonts w:ascii="Palatino Linotype" w:eastAsia="Calibri" w:hAnsi="Palatino Linotype"/>
          <w:sz w:val="24"/>
          <w:lang w:val="es-ES_tradnl"/>
        </w:rPr>
        <w:t xml:space="preserve">Ahora bien, no pasan desapercibidas las manifestaciones del </w:t>
      </w:r>
      <w:r w:rsidRPr="00717165">
        <w:rPr>
          <w:rFonts w:ascii="Palatino Linotype" w:eastAsia="Calibri" w:hAnsi="Palatino Linotype"/>
          <w:b/>
          <w:sz w:val="24"/>
          <w:lang w:val="es-ES_tradnl"/>
        </w:rPr>
        <w:t>Recurrente</w:t>
      </w:r>
      <w:r w:rsidRPr="00717165">
        <w:rPr>
          <w:rFonts w:ascii="Palatino Linotype" w:eastAsia="Calibri" w:hAnsi="Palatino Linotype"/>
          <w:sz w:val="24"/>
          <w:lang w:val="es-ES_tradnl"/>
        </w:rPr>
        <w:t xml:space="preserve"> que señalo en sus razones o motivos de inconformidad, en el sentido que en la propia página institucional del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xml:space="preserve">, se establece en la actual administración la entrega </w:t>
      </w:r>
      <w:r w:rsidRPr="00717165">
        <w:rPr>
          <w:rFonts w:ascii="Palatino Linotype" w:eastAsia="Calibri" w:hAnsi="Palatino Linotype"/>
          <w:sz w:val="24"/>
          <w:lang w:val="es-ES_tradnl"/>
        </w:rPr>
        <w:lastRenderedPageBreak/>
        <w:t xml:space="preserve">de patrullas, moto patrullas, armas y equipo táctico, en ese orden de ideas, se procedió a hacer consulta de la página electrónica </w:t>
      </w:r>
      <w:hyperlink r:id="rId10" w:history="1">
        <w:r w:rsidRPr="00717165">
          <w:rPr>
            <w:rStyle w:val="Hipervnculo"/>
            <w:rFonts w:ascii="Palatino Linotype" w:eastAsia="Calibri" w:hAnsi="Palatino Linotype"/>
            <w:sz w:val="24"/>
          </w:rPr>
          <w:t>http://www.tlalnepantla.gob.mx/pages/noticias/gobierno-de-tlalnepantla-fortalece-la-seguridad-del-municipio-con-la-entrega-de-patrullas-armas-y-e</w:t>
        </w:r>
      </w:hyperlink>
      <w:r w:rsidRPr="00717165">
        <w:rPr>
          <w:rFonts w:ascii="Palatino Linotype" w:eastAsia="Calibri" w:hAnsi="Palatino Linotype"/>
          <w:sz w:val="24"/>
        </w:rPr>
        <w:t>, de la que se advierte el contenido siguiente:</w:t>
      </w:r>
    </w:p>
    <w:p w:rsidR="00BB7179" w:rsidRPr="00717165" w:rsidRDefault="00BB7179" w:rsidP="001735AF">
      <w:pPr>
        <w:spacing w:after="0" w:line="360" w:lineRule="auto"/>
        <w:jc w:val="both"/>
        <w:rPr>
          <w:rFonts w:ascii="Palatino Linotype" w:eastAsia="Calibri" w:hAnsi="Palatino Linotype"/>
          <w:sz w:val="24"/>
        </w:rPr>
      </w:pPr>
    </w:p>
    <w:p w:rsidR="00BB7179" w:rsidRPr="00717165" w:rsidRDefault="00BB7179" w:rsidP="001735AF">
      <w:pPr>
        <w:spacing w:after="0" w:line="360" w:lineRule="auto"/>
        <w:jc w:val="center"/>
        <w:rPr>
          <w:rFonts w:ascii="Palatino Linotype" w:eastAsia="Calibri" w:hAnsi="Palatino Linotype"/>
          <w:sz w:val="24"/>
        </w:rPr>
      </w:pPr>
      <w:r w:rsidRPr="00717165">
        <w:rPr>
          <w:rFonts w:ascii="Palatino Linotype" w:eastAsia="Calibri" w:hAnsi="Palatino Linotype"/>
          <w:noProof/>
          <w:sz w:val="24"/>
          <w:lang w:eastAsia="es-MX"/>
        </w:rPr>
        <w:drawing>
          <wp:inline distT="0" distB="0" distL="0" distR="0" wp14:anchorId="7477DB4D" wp14:editId="0813A066">
            <wp:extent cx="4973740" cy="51645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8560" cy="5169537"/>
                    </a:xfrm>
                    <a:prstGeom prst="rect">
                      <a:avLst/>
                    </a:prstGeom>
                  </pic:spPr>
                </pic:pic>
              </a:graphicData>
            </a:graphic>
          </wp:inline>
        </w:drawing>
      </w:r>
    </w:p>
    <w:p w:rsidR="00BB7179" w:rsidRPr="00717165" w:rsidRDefault="00BB7179" w:rsidP="001735AF">
      <w:pPr>
        <w:spacing w:after="0" w:line="360" w:lineRule="auto"/>
        <w:jc w:val="both"/>
        <w:rPr>
          <w:rFonts w:ascii="Palatino Linotype" w:eastAsia="Calibri" w:hAnsi="Palatino Linotype"/>
          <w:sz w:val="24"/>
          <w:lang w:val="es-ES_tradnl"/>
        </w:rPr>
      </w:pPr>
    </w:p>
    <w:p w:rsidR="007266FA" w:rsidRPr="00717165" w:rsidRDefault="00BB7179"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lastRenderedPageBreak/>
        <w:t xml:space="preserve">De conformidad con el contenido de la imagen inserta, podemos tener por acreditado que el enlace electrónico proporcionado por el </w:t>
      </w:r>
      <w:r w:rsidRPr="00717165">
        <w:rPr>
          <w:rFonts w:ascii="Palatino Linotype" w:eastAsia="Calibri" w:hAnsi="Palatino Linotype"/>
          <w:b/>
          <w:sz w:val="24"/>
          <w:lang w:val="es-ES_tradnl"/>
        </w:rPr>
        <w:t>Recurrente</w:t>
      </w:r>
      <w:r w:rsidRPr="00717165">
        <w:rPr>
          <w:rFonts w:ascii="Palatino Linotype" w:eastAsia="Calibri" w:hAnsi="Palatino Linotype"/>
          <w:sz w:val="24"/>
          <w:lang w:val="es-ES_tradnl"/>
        </w:rPr>
        <w:t xml:space="preserve">, corresponde a la página electrónica del </w:t>
      </w:r>
      <w:r w:rsidRPr="00717165">
        <w:rPr>
          <w:rFonts w:ascii="Palatino Linotype" w:eastAsia="Calibri" w:hAnsi="Palatino Linotype"/>
          <w:b/>
          <w:sz w:val="24"/>
          <w:lang w:val="es-ES_tradnl"/>
        </w:rPr>
        <w:t>Sujeto Obligado</w:t>
      </w:r>
      <w:r w:rsidRPr="00717165">
        <w:rPr>
          <w:rFonts w:ascii="Palatino Linotype" w:eastAsia="Calibri" w:hAnsi="Palatino Linotype"/>
          <w:sz w:val="24"/>
          <w:lang w:val="es-ES_tradnl"/>
        </w:rPr>
        <w:t>, siendo una fuente de consulta de dominio público, en la cual consta la publicidad de la información, en particular del acto relativo a la adquisición de 175 patrullas</w:t>
      </w:r>
      <w:r w:rsidR="007266FA" w:rsidRPr="00717165">
        <w:rPr>
          <w:rFonts w:ascii="Palatino Linotype" w:eastAsia="Calibri" w:hAnsi="Palatino Linotype"/>
          <w:sz w:val="24"/>
          <w:lang w:val="es-ES_tradnl"/>
        </w:rPr>
        <w:t xml:space="preserve"> (1240 radio patrullas y 35 moto patrullas) y 115 armas, por parte del Ayuntamiento de Tlalnepantla de Baz.</w:t>
      </w:r>
      <w:r w:rsidR="001379F1" w:rsidRPr="00717165">
        <w:rPr>
          <w:rFonts w:ascii="Palatino Linotype" w:eastAsia="Calibri" w:hAnsi="Palatino Linotype"/>
          <w:sz w:val="24"/>
          <w:lang w:val="es-ES_tradnl"/>
        </w:rPr>
        <w:t xml:space="preserve"> </w:t>
      </w:r>
    </w:p>
    <w:p w:rsidR="007266FA" w:rsidRPr="00717165" w:rsidRDefault="007266FA" w:rsidP="001735AF">
      <w:pPr>
        <w:spacing w:after="0" w:line="360" w:lineRule="auto"/>
        <w:jc w:val="both"/>
        <w:rPr>
          <w:rFonts w:ascii="Palatino Linotype" w:eastAsia="Calibri" w:hAnsi="Palatino Linotype"/>
          <w:sz w:val="24"/>
          <w:lang w:val="es-ES_tradnl"/>
        </w:rPr>
      </w:pPr>
    </w:p>
    <w:p w:rsidR="00BB7179" w:rsidRPr="00717165" w:rsidRDefault="001379F1" w:rsidP="001735AF">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Ahora bien, el Sujeto Obligado mediante su informe justificado se sirvió en ampliar su respuesta primigenia, en particular que la información que obra en la publicación </w:t>
      </w:r>
      <w:r w:rsidRPr="00717165">
        <w:rPr>
          <w:rFonts w:ascii="Palatino Linotype" w:eastAsia="Calibri" w:hAnsi="Palatino Linotype"/>
          <w:i/>
          <w:sz w:val="24"/>
          <w:lang w:val="es-ES_tradnl"/>
        </w:rPr>
        <w:t>“…no refiere la adquisición de patrullas nuevas, pero ya que es especifica su solicitud, me permito señalar que se clasificó la información como reservada,</w:t>
      </w:r>
      <w:r w:rsidRPr="00717165">
        <w:t xml:space="preserve"> </w:t>
      </w:r>
      <w:r w:rsidRPr="00717165">
        <w:rPr>
          <w:rFonts w:ascii="Palatino Linotype" w:eastAsia="Calibri" w:hAnsi="Palatino Linotype"/>
          <w:i/>
          <w:sz w:val="24"/>
          <w:lang w:val="es-ES_tradnl"/>
        </w:rPr>
        <w:t>conforme el Acuerdo 12/CT/02/-0RD/2021, aprobado en la Segunda Sesión Ordinaria del Comité de Transparencia…”</w:t>
      </w:r>
      <w:r w:rsidRPr="00717165">
        <w:rPr>
          <w:rFonts w:ascii="Palatino Linotype" w:eastAsia="Calibri" w:hAnsi="Palatino Linotype"/>
          <w:sz w:val="24"/>
          <w:lang w:val="es-ES_tradnl"/>
        </w:rPr>
        <w:t>; atentos a ello, se procede a analizar el acuerdo de reserva 09/CT/|17-ORD/2022 de la Décimo Séptima Sesión Ordinaria, a efecto de poder determinar si la clasificación como reservada, se encuentra apegada a derecho, por lo que se procede en los términos siguientes:</w:t>
      </w:r>
    </w:p>
    <w:p w:rsidR="001379F1" w:rsidRPr="00717165" w:rsidRDefault="001379F1" w:rsidP="001735AF">
      <w:pPr>
        <w:spacing w:after="0" w:line="360" w:lineRule="auto"/>
        <w:jc w:val="both"/>
        <w:rPr>
          <w:rFonts w:ascii="Palatino Linotype" w:eastAsia="Calibri" w:hAnsi="Palatino Linotype"/>
          <w:sz w:val="24"/>
          <w:lang w:val="es-ES_tradnl"/>
        </w:rPr>
      </w:pPr>
    </w:p>
    <w:p w:rsidR="001735AF" w:rsidRPr="00717165" w:rsidRDefault="001735AF"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t xml:space="preserve">Es óbice señalar que la información requerida es susceptible de clasificación, concebida como el acto administrativo mediante el cual los </w:t>
      </w:r>
      <w:r w:rsidRPr="00717165">
        <w:rPr>
          <w:rFonts w:ascii="Palatino Linotype" w:hAnsi="Palatino Linotype"/>
          <w:b/>
          <w:sz w:val="24"/>
          <w:szCs w:val="24"/>
        </w:rPr>
        <w:t xml:space="preserve">Sujetos Obligados </w:t>
      </w:r>
      <w:r w:rsidRPr="00717165">
        <w:rPr>
          <w:rFonts w:ascii="Palatino Linotype" w:hAnsi="Palatino Linotype"/>
          <w:sz w:val="24"/>
          <w:szCs w:val="24"/>
        </w:rPr>
        <w:t xml:space="preserve">determinan que la información requerida actualiza alguno de los supuestos de confidencialidad </w:t>
      </w:r>
      <w:r w:rsidRPr="00717165">
        <w:rPr>
          <w:rFonts w:ascii="Palatino Linotype" w:hAnsi="Palatino Linotype"/>
          <w:b/>
          <w:sz w:val="24"/>
          <w:szCs w:val="24"/>
        </w:rPr>
        <w:t xml:space="preserve">o </w:t>
      </w:r>
      <w:r w:rsidRPr="00717165">
        <w:rPr>
          <w:rFonts w:ascii="Palatino Linotype" w:hAnsi="Palatino Linotype"/>
          <w:b/>
          <w:sz w:val="24"/>
          <w:szCs w:val="24"/>
          <w:u w:val="single"/>
        </w:rPr>
        <w:t>reserva,</w:t>
      </w:r>
      <w:r w:rsidRPr="00717165">
        <w:rPr>
          <w:rFonts w:ascii="Palatino Linotype" w:hAnsi="Palatino Linotype"/>
          <w:b/>
          <w:sz w:val="24"/>
          <w:szCs w:val="24"/>
        </w:rPr>
        <w:t xml:space="preserve"> </w:t>
      </w:r>
      <w:r w:rsidRPr="00717165">
        <w:rPr>
          <w:rFonts w:ascii="Palatino Linotype" w:hAnsi="Palatino Linotype"/>
          <w:sz w:val="24"/>
          <w:szCs w:val="24"/>
        </w:rPr>
        <w:t xml:space="preserve">de acuerdo con las bases y los principios inmersos en la normatividad aplicable. </w:t>
      </w:r>
    </w:p>
    <w:p w:rsidR="001735AF" w:rsidRPr="00717165" w:rsidRDefault="001735AF" w:rsidP="001735AF">
      <w:pPr>
        <w:autoSpaceDE w:val="0"/>
        <w:autoSpaceDN w:val="0"/>
        <w:adjustRightInd w:val="0"/>
        <w:spacing w:after="0" w:line="360" w:lineRule="auto"/>
        <w:jc w:val="both"/>
        <w:rPr>
          <w:rFonts w:ascii="Palatino Linotype" w:hAnsi="Palatino Linotype" w:cs="Arial"/>
          <w:sz w:val="24"/>
          <w:szCs w:val="24"/>
        </w:rPr>
      </w:pPr>
    </w:p>
    <w:p w:rsidR="001735AF" w:rsidRPr="00717165" w:rsidRDefault="001735AF" w:rsidP="001735AF">
      <w:pPr>
        <w:autoSpaceDE w:val="0"/>
        <w:autoSpaceDN w:val="0"/>
        <w:adjustRightInd w:val="0"/>
        <w:spacing w:after="0" w:line="360" w:lineRule="auto"/>
        <w:jc w:val="both"/>
        <w:rPr>
          <w:rFonts w:ascii="Palatino Linotype" w:hAnsi="Palatino Linotype"/>
          <w:b/>
          <w:sz w:val="24"/>
          <w:szCs w:val="24"/>
        </w:rPr>
      </w:pPr>
      <w:r w:rsidRPr="00717165">
        <w:rPr>
          <w:rFonts w:ascii="Palatino Linotype" w:hAnsi="Palatino Linotype" w:cs="Arial"/>
          <w:sz w:val="24"/>
          <w:szCs w:val="24"/>
        </w:rPr>
        <w:t xml:space="preserve">Luego entonces, </w:t>
      </w:r>
      <w:r w:rsidRPr="00717165">
        <w:rPr>
          <w:rFonts w:ascii="Palatino Linotype" w:hAnsi="Palatino Linotype"/>
          <w:sz w:val="24"/>
          <w:szCs w:val="24"/>
        </w:rPr>
        <w:t xml:space="preserve">para realizar la reserva de la información, no basta con invocar alguna de las causales previstas en la Ley de transparencia local. En sentido contrario, dicha </w:t>
      </w:r>
      <w:r w:rsidRPr="00717165">
        <w:rPr>
          <w:rFonts w:ascii="Palatino Linotype" w:hAnsi="Palatino Linotype"/>
          <w:sz w:val="24"/>
          <w:szCs w:val="24"/>
        </w:rPr>
        <w:lastRenderedPageBreak/>
        <w:t xml:space="preserve">valoración debe realizarse a través de lo que se conoce como </w:t>
      </w:r>
      <w:r w:rsidRPr="00717165">
        <w:rPr>
          <w:rFonts w:ascii="Palatino Linotype" w:hAnsi="Palatino Linotype"/>
          <w:b/>
          <w:i/>
          <w:sz w:val="24"/>
          <w:szCs w:val="24"/>
        </w:rPr>
        <w:t xml:space="preserve">“prueba de daño”, </w:t>
      </w:r>
      <w:r w:rsidRPr="00717165">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717165">
        <w:rPr>
          <w:sz w:val="24"/>
          <w:szCs w:val="24"/>
          <w:vertAlign w:val="superscript"/>
        </w:rPr>
        <w:footnoteReference w:id="2"/>
      </w:r>
      <w:r w:rsidRPr="00717165">
        <w:rPr>
          <w:rFonts w:ascii="Palatino Linotype" w:hAnsi="Palatino Linotype"/>
          <w:sz w:val="24"/>
          <w:szCs w:val="24"/>
        </w:rPr>
        <w:t>. Asimismo, ésta no debe basarse en meras especulaciones o suposiciones, sino en elementos objetivos que deban evaluar que existe un riego actual e inminente</w:t>
      </w:r>
      <w:r w:rsidRPr="00717165">
        <w:rPr>
          <w:sz w:val="24"/>
          <w:szCs w:val="24"/>
          <w:vertAlign w:val="superscript"/>
        </w:rPr>
        <w:footnoteReference w:id="3"/>
      </w:r>
      <w:r w:rsidRPr="00717165">
        <w:rPr>
          <w:rFonts w:ascii="Palatino Linotype" w:hAnsi="Palatino Linotype"/>
          <w:sz w:val="24"/>
          <w:szCs w:val="24"/>
        </w:rPr>
        <w:t>.</w:t>
      </w:r>
    </w:p>
    <w:p w:rsidR="001735AF" w:rsidRPr="00717165" w:rsidRDefault="001735AF"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spacing w:after="0" w:line="360" w:lineRule="auto"/>
        <w:jc w:val="both"/>
        <w:rPr>
          <w:rFonts w:ascii="Palatino Linotype" w:hAnsi="Palatino Linotype"/>
          <w:color w:val="000000" w:themeColor="text1"/>
          <w:sz w:val="24"/>
          <w:szCs w:val="24"/>
        </w:rPr>
      </w:pPr>
      <w:r w:rsidRPr="00717165">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717165">
        <w:rPr>
          <w:rFonts w:ascii="Palatino Linotype" w:hAnsi="Palatino Linotype"/>
          <w:b/>
          <w:color w:val="000000" w:themeColor="text1"/>
          <w:sz w:val="24"/>
          <w:szCs w:val="24"/>
          <w:u w:val="single"/>
        </w:rPr>
        <w:t>sino de cada uno de los documentos que lo integran</w:t>
      </w:r>
      <w:r w:rsidRPr="00717165">
        <w:rPr>
          <w:rFonts w:ascii="Palatino Linotype" w:hAnsi="Palatino Linotype"/>
          <w:color w:val="000000" w:themeColor="text1"/>
          <w:sz w:val="24"/>
          <w:szCs w:val="24"/>
        </w:rPr>
        <w:t>.</w:t>
      </w:r>
    </w:p>
    <w:p w:rsidR="001735AF" w:rsidRPr="00717165" w:rsidRDefault="001735AF"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spacing w:after="0" w:line="360" w:lineRule="auto"/>
        <w:jc w:val="both"/>
        <w:rPr>
          <w:rFonts w:ascii="Palatino Linotype" w:hAnsi="Palatino Linotype"/>
          <w:color w:val="000000" w:themeColor="text1"/>
          <w:sz w:val="24"/>
          <w:szCs w:val="24"/>
        </w:rPr>
      </w:pPr>
      <w:r w:rsidRPr="00717165">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rsidR="001735AF" w:rsidRPr="00717165" w:rsidRDefault="001735AF"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717165">
        <w:rPr>
          <w:rFonts w:ascii="Palatino Linotype" w:hAnsi="Palatino Linotype" w:cs="Bookman Old Style"/>
          <w:bCs/>
          <w:color w:val="000000" w:themeColor="text1"/>
          <w:sz w:val="24"/>
          <w:szCs w:val="24"/>
          <w:lang w:val="es-ES_tradnl"/>
        </w:rPr>
        <w:t xml:space="preserve">I. </w:t>
      </w:r>
      <w:r w:rsidRPr="00717165">
        <w:rPr>
          <w:rFonts w:ascii="Palatino Linotype" w:hAnsi="Palatino Linotype" w:cs="Bookman Old Style"/>
          <w:color w:val="000000" w:themeColor="text1"/>
          <w:sz w:val="24"/>
          <w:szCs w:val="24"/>
          <w:lang w:val="es-ES_tradnl"/>
        </w:rPr>
        <w:t xml:space="preserve">La divulgación de la información representa un </w:t>
      </w:r>
      <w:r w:rsidRPr="00717165">
        <w:rPr>
          <w:rFonts w:ascii="Palatino Linotype" w:hAnsi="Palatino Linotype" w:cs="Bookman Old Style"/>
          <w:b/>
          <w:color w:val="000000" w:themeColor="text1"/>
          <w:sz w:val="24"/>
          <w:szCs w:val="24"/>
          <w:lang w:val="es-ES_tradnl"/>
        </w:rPr>
        <w:t>riesgo real, demostrable e identificable</w:t>
      </w:r>
      <w:r w:rsidRPr="00717165">
        <w:rPr>
          <w:rFonts w:ascii="Palatino Linotype" w:hAnsi="Palatino Linotype" w:cs="Bookman Old Style"/>
          <w:color w:val="000000" w:themeColor="text1"/>
          <w:sz w:val="24"/>
          <w:szCs w:val="24"/>
          <w:lang w:val="es-ES_tradnl"/>
        </w:rPr>
        <w:t xml:space="preserve"> del perjuicio significativo al interés público o a la seguridad pública; </w:t>
      </w:r>
    </w:p>
    <w:p w:rsidR="001735AF" w:rsidRPr="00717165" w:rsidRDefault="001735AF" w:rsidP="001735AF">
      <w:pPr>
        <w:widowControl w:val="0"/>
        <w:autoSpaceDE w:val="0"/>
        <w:autoSpaceDN w:val="0"/>
        <w:adjustRightInd w:val="0"/>
        <w:spacing w:after="0" w:line="360" w:lineRule="auto"/>
        <w:ind w:left="567"/>
        <w:jc w:val="both"/>
        <w:rPr>
          <w:rFonts w:ascii="Palatino Linotype" w:hAnsi="Palatino Linotype" w:cs="Bookman Old Style"/>
          <w:color w:val="000000" w:themeColor="text1"/>
          <w:sz w:val="24"/>
          <w:szCs w:val="24"/>
          <w:lang w:val="es-ES_tradnl"/>
        </w:rPr>
      </w:pPr>
      <w:r w:rsidRPr="00717165">
        <w:rPr>
          <w:rFonts w:ascii="Palatino Linotype" w:hAnsi="Palatino Linotype" w:cs="Bookman Old Style"/>
          <w:bCs/>
          <w:color w:val="000000" w:themeColor="text1"/>
          <w:sz w:val="24"/>
          <w:szCs w:val="24"/>
          <w:lang w:val="es-ES_tradnl"/>
        </w:rPr>
        <w:lastRenderedPageBreak/>
        <w:t xml:space="preserve">II. </w:t>
      </w:r>
      <w:r w:rsidRPr="00717165">
        <w:rPr>
          <w:rFonts w:ascii="Palatino Linotype" w:hAnsi="Palatino Linotype" w:cs="Bookman Old Style"/>
          <w:b/>
          <w:color w:val="000000" w:themeColor="text1"/>
          <w:sz w:val="24"/>
          <w:szCs w:val="24"/>
          <w:lang w:val="es-ES_tradnl"/>
        </w:rPr>
        <w:t>El riesgo</w:t>
      </w:r>
      <w:r w:rsidRPr="00717165">
        <w:rPr>
          <w:rFonts w:ascii="Palatino Linotype" w:hAnsi="Palatino Linotype" w:cs="Bookman Old Style"/>
          <w:color w:val="000000" w:themeColor="text1"/>
          <w:sz w:val="24"/>
          <w:szCs w:val="24"/>
          <w:lang w:val="es-ES_tradnl"/>
        </w:rPr>
        <w:t xml:space="preserve"> de perjuicio que supondría la divulgación </w:t>
      </w:r>
      <w:r w:rsidRPr="00717165">
        <w:rPr>
          <w:rFonts w:ascii="Palatino Linotype" w:hAnsi="Palatino Linotype" w:cs="Bookman Old Style"/>
          <w:b/>
          <w:color w:val="000000" w:themeColor="text1"/>
          <w:sz w:val="24"/>
          <w:szCs w:val="24"/>
          <w:lang w:val="es-ES_tradnl"/>
        </w:rPr>
        <w:t>supera el interés público</w:t>
      </w:r>
      <w:r w:rsidRPr="00717165">
        <w:rPr>
          <w:rFonts w:ascii="Palatino Linotype" w:hAnsi="Palatino Linotype" w:cs="Bookman Old Style"/>
          <w:color w:val="000000" w:themeColor="text1"/>
          <w:sz w:val="24"/>
          <w:szCs w:val="24"/>
          <w:lang w:val="es-ES_tradnl"/>
        </w:rPr>
        <w:t xml:space="preserve"> general de que se difunda; y </w:t>
      </w:r>
    </w:p>
    <w:p w:rsidR="001735AF" w:rsidRPr="00717165" w:rsidRDefault="001735AF" w:rsidP="001735AF">
      <w:pPr>
        <w:widowControl w:val="0"/>
        <w:autoSpaceDE w:val="0"/>
        <w:autoSpaceDN w:val="0"/>
        <w:adjustRightInd w:val="0"/>
        <w:spacing w:after="0" w:line="360" w:lineRule="auto"/>
        <w:ind w:left="567"/>
        <w:jc w:val="both"/>
        <w:rPr>
          <w:rFonts w:ascii="Palatino Linotype" w:hAnsi="Palatino Linotype" w:cs="Times"/>
          <w:color w:val="000000" w:themeColor="text1"/>
          <w:sz w:val="24"/>
          <w:szCs w:val="24"/>
          <w:lang w:val="es-ES_tradnl"/>
        </w:rPr>
      </w:pPr>
    </w:p>
    <w:p w:rsidR="001735AF" w:rsidRPr="00717165" w:rsidRDefault="001735AF" w:rsidP="001735AF">
      <w:pPr>
        <w:widowControl w:val="0"/>
        <w:autoSpaceDE w:val="0"/>
        <w:autoSpaceDN w:val="0"/>
        <w:adjustRightInd w:val="0"/>
        <w:spacing w:after="0" w:line="360" w:lineRule="auto"/>
        <w:ind w:left="567"/>
        <w:jc w:val="both"/>
        <w:rPr>
          <w:rFonts w:ascii="Palatino Linotype" w:hAnsi="Palatino Linotype" w:cs="Times"/>
          <w:color w:val="000000" w:themeColor="text1"/>
          <w:sz w:val="24"/>
          <w:szCs w:val="24"/>
          <w:lang w:val="es-ES_tradnl"/>
        </w:rPr>
      </w:pPr>
      <w:r w:rsidRPr="00717165">
        <w:rPr>
          <w:rFonts w:ascii="Palatino Linotype" w:hAnsi="Palatino Linotype" w:cs="Bookman Old Style"/>
          <w:bCs/>
          <w:color w:val="000000" w:themeColor="text1"/>
          <w:sz w:val="24"/>
          <w:szCs w:val="24"/>
          <w:lang w:val="es-ES_tradnl"/>
        </w:rPr>
        <w:t xml:space="preserve">III. </w:t>
      </w:r>
      <w:r w:rsidRPr="00717165">
        <w:rPr>
          <w:rFonts w:ascii="Palatino Linotype" w:hAnsi="Palatino Linotype" w:cs="Bookman Old Style"/>
          <w:b/>
          <w:color w:val="000000" w:themeColor="text1"/>
          <w:sz w:val="24"/>
          <w:szCs w:val="24"/>
          <w:lang w:val="es-ES_tradnl"/>
        </w:rPr>
        <w:t>La limitación se adecua al principio de proporcionalidad</w:t>
      </w:r>
      <w:r w:rsidRPr="00717165">
        <w:rPr>
          <w:rFonts w:ascii="Palatino Linotype" w:hAnsi="Palatino Linotype" w:cs="Bookman Old Style"/>
          <w:color w:val="000000" w:themeColor="text1"/>
          <w:sz w:val="24"/>
          <w:szCs w:val="24"/>
          <w:lang w:val="es-ES_tradnl"/>
        </w:rPr>
        <w:t xml:space="preserve"> y representa el medio menos restrictivo disponible para evitar el perjuicio. </w:t>
      </w:r>
    </w:p>
    <w:p w:rsidR="001735AF" w:rsidRPr="00717165" w:rsidRDefault="001735AF"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spacing w:after="0" w:line="360" w:lineRule="auto"/>
        <w:jc w:val="both"/>
        <w:rPr>
          <w:rFonts w:ascii="Palatino Linotype" w:hAnsi="Palatino Linotype"/>
          <w:color w:val="000000" w:themeColor="text1"/>
          <w:sz w:val="24"/>
          <w:szCs w:val="24"/>
        </w:rPr>
      </w:pPr>
      <w:r w:rsidRPr="00717165">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1735AF" w:rsidRPr="00717165" w:rsidRDefault="001735AF"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spacing w:after="0" w:line="360" w:lineRule="auto"/>
        <w:jc w:val="both"/>
        <w:rPr>
          <w:rFonts w:ascii="Palatino Linotype" w:hAnsi="Palatino Linotype"/>
          <w:color w:val="000000" w:themeColor="text1"/>
          <w:sz w:val="24"/>
          <w:szCs w:val="24"/>
        </w:rPr>
      </w:pPr>
      <w:r w:rsidRPr="00717165">
        <w:rPr>
          <w:rFonts w:ascii="Palatino Linotype" w:hAnsi="Palatino Linotype"/>
          <w:color w:val="000000" w:themeColor="text1"/>
          <w:sz w:val="24"/>
          <w:szCs w:val="24"/>
        </w:rPr>
        <w:t>Identificado ese riesgo, se debe demostrar que el mismo supera el interés público general porque se difunda dicha información. Y, por último, que la limitación es acorde con el principio de proporcionalidad, para ello, se sugiere emplear los tres juicios propuestos por la Corte Constitucional Colombiana</w:t>
      </w:r>
      <w:r w:rsidRPr="00717165">
        <w:rPr>
          <w:rStyle w:val="Refdenotaalpie"/>
          <w:rFonts w:ascii="Palatino Linotype" w:hAnsi="Palatino Linotype"/>
          <w:color w:val="000000" w:themeColor="text1"/>
        </w:rPr>
        <w:footnoteReference w:id="4"/>
      </w:r>
      <w:r w:rsidRPr="00717165">
        <w:rPr>
          <w:rFonts w:ascii="Palatino Linotype" w:hAnsi="Palatino Linotype"/>
          <w:color w:val="000000" w:themeColor="text1"/>
          <w:sz w:val="24"/>
          <w:szCs w:val="24"/>
        </w:rPr>
        <w:t xml:space="preserve">, siguiendo el principio de </w:t>
      </w:r>
      <w:r w:rsidRPr="00717165">
        <w:rPr>
          <w:rFonts w:ascii="Palatino Linotype" w:hAnsi="Palatino Linotype"/>
          <w:color w:val="000000" w:themeColor="text1"/>
          <w:sz w:val="24"/>
          <w:szCs w:val="24"/>
        </w:rPr>
        <w:lastRenderedPageBreak/>
        <w:t>ponderación propuesto por el Tribunal Constitucional Alemán,</w:t>
      </w:r>
      <w:r w:rsidRPr="00717165">
        <w:rPr>
          <w:rStyle w:val="Refdenotaalpie"/>
          <w:rFonts w:ascii="Palatino Linotype" w:hAnsi="Palatino Linotype"/>
          <w:color w:val="000000" w:themeColor="text1"/>
        </w:rPr>
        <w:footnoteReference w:id="5"/>
      </w:r>
      <w:r w:rsidRPr="00717165">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DB7B7E" w:rsidRPr="00717165" w:rsidRDefault="00DB7B7E" w:rsidP="001735AF">
      <w:pPr>
        <w:spacing w:after="0" w:line="360" w:lineRule="auto"/>
        <w:jc w:val="both"/>
        <w:rPr>
          <w:rFonts w:ascii="Palatino Linotype" w:hAnsi="Palatino Linotype"/>
          <w:color w:val="000000" w:themeColor="text1"/>
          <w:sz w:val="24"/>
          <w:szCs w:val="24"/>
        </w:rPr>
      </w:pPr>
    </w:p>
    <w:p w:rsidR="001735AF" w:rsidRPr="00717165" w:rsidRDefault="001735AF" w:rsidP="001735AF">
      <w:pPr>
        <w:spacing w:after="0" w:line="360" w:lineRule="auto"/>
        <w:jc w:val="both"/>
        <w:rPr>
          <w:rFonts w:ascii="Palatino Linotype" w:hAnsi="Palatino Linotype"/>
          <w:color w:val="000000" w:themeColor="text1"/>
          <w:sz w:val="24"/>
          <w:szCs w:val="24"/>
        </w:rPr>
      </w:pPr>
      <w:r w:rsidRPr="00717165">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rsidR="00DB7B7E" w:rsidRPr="00717165" w:rsidRDefault="00DB7B7E" w:rsidP="001735AF">
      <w:pPr>
        <w:spacing w:after="0" w:line="360" w:lineRule="auto"/>
        <w:jc w:val="both"/>
        <w:rPr>
          <w:rFonts w:ascii="Palatino Linotype" w:hAnsi="Palatino Linotype"/>
          <w:sz w:val="24"/>
          <w:szCs w:val="24"/>
          <w:lang w:val="es-ES"/>
        </w:rPr>
      </w:pPr>
    </w:p>
    <w:p w:rsidR="001735AF" w:rsidRPr="00717165" w:rsidRDefault="001735AF"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t>En virtud de lo anterior, se desprende que los Acuerdos de Reserva deberán de cumplir parámetros de forma y fondo, los cuales se abordan a continuación:</w:t>
      </w:r>
    </w:p>
    <w:p w:rsidR="00DB7B7E" w:rsidRPr="00717165" w:rsidRDefault="00DB7B7E" w:rsidP="001735AF">
      <w:pPr>
        <w:spacing w:after="0" w:line="360" w:lineRule="auto"/>
        <w:jc w:val="both"/>
        <w:rPr>
          <w:rFonts w:ascii="Palatino Linotype" w:hAnsi="Palatino Linotype"/>
          <w:sz w:val="24"/>
          <w:szCs w:val="24"/>
        </w:rPr>
      </w:pPr>
    </w:p>
    <w:tbl>
      <w:tblPr>
        <w:tblStyle w:val="Tablaconcuadrcula"/>
        <w:tblW w:w="9072" w:type="dxa"/>
        <w:tblLayout w:type="fixed"/>
        <w:tblLook w:val="04A0" w:firstRow="1" w:lastRow="0" w:firstColumn="1" w:lastColumn="0" w:noHBand="0" w:noVBand="1"/>
      </w:tblPr>
      <w:tblGrid>
        <w:gridCol w:w="1560"/>
        <w:gridCol w:w="1417"/>
        <w:gridCol w:w="6095"/>
      </w:tblGrid>
      <w:tr w:rsidR="001735AF" w:rsidRPr="00717165" w:rsidTr="00871F65">
        <w:tc>
          <w:tcPr>
            <w:tcW w:w="1560" w:type="dxa"/>
            <w:tcBorders>
              <w:top w:val="nil"/>
              <w:left w:val="nil"/>
            </w:tcBorders>
          </w:tcPr>
          <w:p w:rsidR="001735AF" w:rsidRPr="00717165" w:rsidRDefault="001735AF" w:rsidP="001735AF">
            <w:pPr>
              <w:pStyle w:val="Prrafodelista"/>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1735AF" w:rsidRPr="00717165" w:rsidRDefault="001735AF" w:rsidP="001735AF">
            <w:pPr>
              <w:pStyle w:val="Prrafodelista"/>
              <w:ind w:left="47"/>
              <w:jc w:val="center"/>
              <w:rPr>
                <w:rFonts w:ascii="Palatino Linotype" w:hAnsi="Palatino Linotype"/>
                <w:b/>
                <w:sz w:val="20"/>
                <w:szCs w:val="20"/>
              </w:rPr>
            </w:pPr>
            <w:r w:rsidRPr="00717165">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1735AF" w:rsidRPr="00717165" w:rsidRDefault="001735AF" w:rsidP="001735AF">
            <w:pPr>
              <w:pStyle w:val="Prrafodelista"/>
              <w:ind w:left="47"/>
              <w:jc w:val="center"/>
              <w:rPr>
                <w:rFonts w:ascii="Palatino Linotype" w:hAnsi="Palatino Linotype"/>
                <w:b/>
              </w:rPr>
            </w:pPr>
            <w:r w:rsidRPr="00717165">
              <w:rPr>
                <w:rFonts w:ascii="Palatino Linotype" w:hAnsi="Palatino Linotype"/>
                <w:b/>
              </w:rPr>
              <w:t>Contenido</w:t>
            </w:r>
          </w:p>
        </w:tc>
      </w:tr>
      <w:tr w:rsidR="001735AF" w:rsidRPr="00717165" w:rsidTr="00265F9F">
        <w:tc>
          <w:tcPr>
            <w:tcW w:w="1560" w:type="dxa"/>
            <w:shd w:val="clear" w:color="auto" w:fill="D5DCE4" w:themeFill="text2" w:themeFillTint="33"/>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Número de folio de la solicitud</w:t>
            </w:r>
          </w:p>
        </w:tc>
        <w:tc>
          <w:tcPr>
            <w:tcW w:w="1417" w:type="dxa"/>
            <w:tcBorders>
              <w:top w:val="single" w:sz="4" w:space="0" w:color="auto"/>
            </w:tcBorders>
            <w:shd w:val="clear" w:color="auto" w:fill="D5DCE4" w:themeFill="text2" w:themeFillTint="33"/>
            <w:vAlign w:val="center"/>
          </w:tcPr>
          <w:p w:rsidR="001735AF" w:rsidRPr="00717165" w:rsidRDefault="00DB7B7E" w:rsidP="001735AF">
            <w:pPr>
              <w:ind w:left="47"/>
              <w:jc w:val="center"/>
              <w:rPr>
                <w:rFonts w:ascii="Palatino Linotype" w:hAnsi="Palatino Linotype"/>
                <w:b/>
              </w:rPr>
            </w:pPr>
            <w:r w:rsidRPr="00717165">
              <w:rPr>
                <w:rFonts w:ascii="Palatino Linotype" w:hAnsi="Palatino Linotype"/>
                <w:b/>
              </w:rPr>
              <w:t>No</w:t>
            </w:r>
          </w:p>
        </w:tc>
        <w:tc>
          <w:tcPr>
            <w:tcW w:w="6095" w:type="dxa"/>
            <w:tcBorders>
              <w:top w:val="single" w:sz="4" w:space="0" w:color="auto"/>
            </w:tcBorders>
            <w:shd w:val="clear" w:color="auto" w:fill="D5DCE4" w:themeFill="text2" w:themeFillTint="33"/>
            <w:vAlign w:val="center"/>
          </w:tcPr>
          <w:p w:rsidR="001735AF" w:rsidRPr="00717165" w:rsidRDefault="00DB7B7E" w:rsidP="00DB7B7E">
            <w:pPr>
              <w:ind w:left="-115"/>
              <w:jc w:val="both"/>
              <w:rPr>
                <w:rFonts w:ascii="Palatino Linotype" w:hAnsi="Palatino Linotype"/>
              </w:rPr>
            </w:pPr>
            <w:r w:rsidRPr="00717165">
              <w:rPr>
                <w:rFonts w:ascii="Palatino Linotype" w:hAnsi="Palatino Linotype"/>
              </w:rPr>
              <w:t xml:space="preserve">“…la solicitud de información con número de folio SAIMEX </w:t>
            </w:r>
            <w:r w:rsidRPr="00717165">
              <w:rPr>
                <w:rFonts w:ascii="Palatino Linotype" w:hAnsi="Palatino Linotype"/>
                <w:b/>
              </w:rPr>
              <w:t>00366/TLALNEPA/IP/2022</w:t>
            </w:r>
            <w:r w:rsidRPr="00717165">
              <w:rPr>
                <w:rFonts w:ascii="Palatino Linotype" w:hAnsi="Palatino Linotype"/>
              </w:rPr>
              <w:t>, consistente en:…”</w:t>
            </w:r>
          </w:p>
        </w:tc>
      </w:tr>
      <w:tr w:rsidR="001735AF" w:rsidRPr="00717165" w:rsidTr="00265F9F">
        <w:tc>
          <w:tcPr>
            <w:tcW w:w="1560" w:type="dxa"/>
            <w:shd w:val="clear" w:color="auto" w:fill="F2F2F2" w:themeFill="background1" w:themeFillShade="F2"/>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Referencia de la información solicitada</w:t>
            </w:r>
          </w:p>
        </w:tc>
        <w:tc>
          <w:tcPr>
            <w:tcW w:w="1417" w:type="dxa"/>
            <w:shd w:val="clear" w:color="auto" w:fill="F2F2F2" w:themeFill="background1" w:themeFillShade="F2"/>
            <w:vAlign w:val="center"/>
          </w:tcPr>
          <w:p w:rsidR="001735AF" w:rsidRPr="00717165" w:rsidRDefault="00DB7B7E" w:rsidP="001735AF">
            <w:pPr>
              <w:ind w:left="47"/>
              <w:jc w:val="center"/>
              <w:rPr>
                <w:rFonts w:ascii="Palatino Linotype" w:hAnsi="Palatino Linotype"/>
                <w:b/>
              </w:rPr>
            </w:pPr>
            <w:r w:rsidRPr="00717165">
              <w:rPr>
                <w:rFonts w:ascii="Palatino Linotype" w:hAnsi="Palatino Linotype"/>
                <w:b/>
              </w:rPr>
              <w:t>parcial</w:t>
            </w:r>
          </w:p>
        </w:tc>
        <w:tc>
          <w:tcPr>
            <w:tcW w:w="6095" w:type="dxa"/>
            <w:shd w:val="clear" w:color="auto" w:fill="F2F2F2" w:themeFill="background1" w:themeFillShade="F2"/>
            <w:vAlign w:val="center"/>
          </w:tcPr>
          <w:p w:rsidR="001735AF" w:rsidRPr="00717165" w:rsidRDefault="00DB7B7E" w:rsidP="00DB7B7E">
            <w:pPr>
              <w:jc w:val="both"/>
              <w:rPr>
                <w:rFonts w:ascii="Palatino Linotype" w:hAnsi="Palatino Linotype"/>
                <w:b/>
              </w:rPr>
            </w:pPr>
            <w:r w:rsidRPr="00717165">
              <w:rPr>
                <w:rFonts w:ascii="Palatino Linotype" w:hAnsi="Palatino Linotype"/>
                <w:b/>
              </w:rPr>
              <w:t>“…Requiero la documental pública –CONTRATO-que acredita la compra y/|o arrendamiento de las patrullas y unidades que utilizara el municipio y en la que se describan el nombre del o los proveedores que vendieron y/o arrendaron dichas unidades, descripción de cada unidad, y monto por el que fueron adquiridas y en su caso arrendadas, de igual forma requiero la documental pública que acredite con qué recursos se pagara esta compra o arrendamiento…”</w:t>
            </w:r>
          </w:p>
        </w:tc>
      </w:tr>
      <w:tr w:rsidR="001735AF" w:rsidRPr="00717165" w:rsidTr="00265F9F">
        <w:tc>
          <w:tcPr>
            <w:tcW w:w="1560" w:type="dxa"/>
            <w:shd w:val="clear" w:color="auto" w:fill="D5DCE4" w:themeFill="text2" w:themeFillTint="33"/>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shd w:val="clear" w:color="auto" w:fill="D5DCE4" w:themeFill="text2" w:themeFillTint="33"/>
            <w:vAlign w:val="center"/>
          </w:tcPr>
          <w:p w:rsidR="001735AF" w:rsidRPr="00717165" w:rsidRDefault="001735AF" w:rsidP="001735AF">
            <w:pPr>
              <w:ind w:left="47"/>
              <w:jc w:val="center"/>
              <w:rPr>
                <w:rFonts w:ascii="Palatino Linotype" w:hAnsi="Palatino Linotype"/>
                <w:b/>
                <w:sz w:val="18"/>
                <w:szCs w:val="18"/>
              </w:rPr>
            </w:pPr>
            <w:r w:rsidRPr="00717165">
              <w:rPr>
                <w:rFonts w:ascii="Palatino Linotype" w:hAnsi="Palatino Linotype"/>
                <w:b/>
                <w:sz w:val="18"/>
                <w:szCs w:val="18"/>
              </w:rPr>
              <w:t xml:space="preserve">Parcialmente, </w:t>
            </w:r>
          </w:p>
          <w:p w:rsidR="001735AF" w:rsidRPr="00717165" w:rsidRDefault="001735AF" w:rsidP="001735AF">
            <w:pPr>
              <w:ind w:left="47"/>
              <w:jc w:val="center"/>
              <w:rPr>
                <w:rFonts w:ascii="Palatino Linotype" w:hAnsi="Palatino Linotype"/>
                <w:sz w:val="18"/>
                <w:szCs w:val="18"/>
              </w:rPr>
            </w:pPr>
            <w:r w:rsidRPr="00717165">
              <w:rPr>
                <w:rFonts w:ascii="Palatino Linotype" w:hAnsi="Palatino Linotype"/>
                <w:sz w:val="18"/>
                <w:szCs w:val="18"/>
              </w:rPr>
              <w:t>Resultan faltantes las fracciones VII y XIII del artículo 113 de la Ley General de Transparencia</w:t>
            </w:r>
          </w:p>
        </w:tc>
        <w:tc>
          <w:tcPr>
            <w:tcW w:w="6095" w:type="dxa"/>
            <w:shd w:val="clear" w:color="auto" w:fill="D5DCE4" w:themeFill="text2" w:themeFillTint="33"/>
            <w:vAlign w:val="center"/>
          </w:tcPr>
          <w:p w:rsidR="001735AF" w:rsidRPr="00717165" w:rsidRDefault="00DB7B7E" w:rsidP="00EF6048">
            <w:pPr>
              <w:jc w:val="both"/>
              <w:rPr>
                <w:rFonts w:ascii="Palatino Linotype" w:hAnsi="Palatino Linotype"/>
                <w:b/>
                <w:noProof/>
                <w:lang w:eastAsia="es-MX"/>
              </w:rPr>
            </w:pPr>
            <w:r w:rsidRPr="00717165">
              <w:rPr>
                <w:rFonts w:ascii="Palatino Linotype" w:hAnsi="Palatino Linotype"/>
                <w:b/>
                <w:noProof/>
                <w:lang w:eastAsia="es-MX"/>
              </w:rPr>
              <w:t>La información se considera reservada en términos de los ar</w:t>
            </w:r>
            <w:r w:rsidR="00EF6048" w:rsidRPr="00717165">
              <w:rPr>
                <w:rFonts w:ascii="Palatino Linotype" w:hAnsi="Palatino Linotype"/>
                <w:b/>
                <w:noProof/>
                <w:lang w:eastAsia="es-MX"/>
              </w:rPr>
              <w:t>tí</w:t>
            </w:r>
            <w:r w:rsidRPr="00717165">
              <w:rPr>
                <w:rFonts w:ascii="Palatino Linotype" w:hAnsi="Palatino Linotype"/>
                <w:b/>
                <w:noProof/>
                <w:lang w:eastAsia="es-MX"/>
              </w:rPr>
              <w:t>culos 113, fracción I de la Ley General de Transparencia y Acceso a la Información Pública; 140, fracción I de la Ley de Transparencia y Acceso a la Información Pública del Estado de México 'y Municipios y el Décimo Octavo de los Lineamientos Generales en materia de clasificación y desclasificación de la información, así como para la elaboración de versiones públicas.</w:t>
            </w:r>
          </w:p>
        </w:tc>
      </w:tr>
      <w:tr w:rsidR="001735AF" w:rsidRPr="00717165" w:rsidTr="00265F9F">
        <w:tc>
          <w:tcPr>
            <w:tcW w:w="1560" w:type="dxa"/>
            <w:shd w:val="clear" w:color="auto" w:fill="F2F2F2" w:themeFill="background1" w:themeFillShade="F2"/>
            <w:vAlign w:val="center"/>
          </w:tcPr>
          <w:p w:rsidR="001735AF" w:rsidRPr="00717165" w:rsidRDefault="001735AF" w:rsidP="001735AF">
            <w:pPr>
              <w:tabs>
                <w:tab w:val="left" w:pos="317"/>
              </w:tabs>
              <w:jc w:val="center"/>
              <w:rPr>
                <w:rFonts w:ascii="Palatino Linotype" w:hAnsi="Palatino Linotype"/>
                <w:b/>
                <w:sz w:val="16"/>
                <w:szCs w:val="16"/>
              </w:rPr>
            </w:pPr>
            <w:r w:rsidRPr="00717165">
              <w:rPr>
                <w:rFonts w:ascii="Palatino Linotype" w:hAnsi="Palatino Linotype"/>
                <w:b/>
                <w:sz w:val="16"/>
                <w:szCs w:val="16"/>
              </w:rPr>
              <w:t>Fundamento y Motivación Legal</w:t>
            </w:r>
          </w:p>
        </w:tc>
        <w:tc>
          <w:tcPr>
            <w:tcW w:w="1417" w:type="dxa"/>
            <w:shd w:val="clear" w:color="auto" w:fill="F2F2F2" w:themeFill="background1" w:themeFillShade="F2"/>
            <w:vAlign w:val="center"/>
          </w:tcPr>
          <w:p w:rsidR="001735AF" w:rsidRPr="00717165" w:rsidRDefault="001735AF" w:rsidP="001735AF">
            <w:pPr>
              <w:ind w:left="47"/>
              <w:jc w:val="center"/>
              <w:rPr>
                <w:rFonts w:ascii="Palatino Linotype" w:hAnsi="Palatino Linotype"/>
                <w:b/>
                <w:sz w:val="18"/>
                <w:szCs w:val="18"/>
              </w:rPr>
            </w:pPr>
            <w:r w:rsidRPr="00717165">
              <w:rPr>
                <w:rFonts w:ascii="Palatino Linotype" w:hAnsi="Palatino Linotype"/>
                <w:b/>
                <w:sz w:val="18"/>
                <w:szCs w:val="18"/>
              </w:rPr>
              <w:t>Parcialmente</w:t>
            </w:r>
          </w:p>
          <w:p w:rsidR="001735AF" w:rsidRPr="00717165" w:rsidRDefault="001735AF" w:rsidP="001735AF">
            <w:pPr>
              <w:ind w:left="47"/>
              <w:jc w:val="center"/>
              <w:rPr>
                <w:rFonts w:ascii="Palatino Linotype" w:hAnsi="Palatino Linotype"/>
                <w:b/>
                <w:sz w:val="18"/>
                <w:szCs w:val="18"/>
              </w:rPr>
            </w:pPr>
          </w:p>
          <w:p w:rsidR="001735AF" w:rsidRPr="00717165" w:rsidRDefault="001735AF" w:rsidP="001735AF">
            <w:pPr>
              <w:ind w:left="47"/>
              <w:jc w:val="center"/>
              <w:rPr>
                <w:rFonts w:ascii="Palatino Linotype" w:hAnsi="Palatino Linotype"/>
                <w:sz w:val="18"/>
                <w:szCs w:val="18"/>
              </w:rPr>
            </w:pPr>
            <w:r w:rsidRPr="00717165">
              <w:rPr>
                <w:rFonts w:ascii="Palatino Linotype" w:hAnsi="Palatino Linotype"/>
                <w:sz w:val="18"/>
                <w:szCs w:val="18"/>
              </w:rPr>
              <w:t xml:space="preserve">Resulta faltante la fracción VI del artículo 140 de la Ley Local de Transparencia </w:t>
            </w:r>
          </w:p>
        </w:tc>
        <w:tc>
          <w:tcPr>
            <w:tcW w:w="6095" w:type="dxa"/>
            <w:shd w:val="clear" w:color="auto" w:fill="F2F2F2" w:themeFill="background1" w:themeFillShade="F2"/>
            <w:vAlign w:val="center"/>
          </w:tcPr>
          <w:p w:rsidR="001735AF" w:rsidRPr="00717165" w:rsidRDefault="00EF6048" w:rsidP="00EF6048">
            <w:pPr>
              <w:ind w:left="47"/>
              <w:jc w:val="both"/>
              <w:rPr>
                <w:rFonts w:ascii="Palatino Linotype" w:hAnsi="Palatino Linotype"/>
                <w:b/>
              </w:rPr>
            </w:pPr>
            <w:r w:rsidRPr="00717165">
              <w:rPr>
                <w:rFonts w:ascii="Palatino Linotype" w:hAnsi="Palatino Linotype"/>
                <w:b/>
              </w:rPr>
              <w:t>La información se considera reservada en términos de los artículos 113, fracción I de la Ley General de Transparencia y Acceso a la Información Pública; 140, fracción I de la Ley de Transparencia y Acceso a la Información Pública del Estado de México 'y Municipios y el Décimo Octavo de los Lineamientos Generales en materia de clasificación y desclasificación de la información, así como para la elaboración de versiones públicas.</w:t>
            </w:r>
          </w:p>
        </w:tc>
      </w:tr>
      <w:tr w:rsidR="001735AF" w:rsidRPr="00717165" w:rsidTr="00265F9F">
        <w:tc>
          <w:tcPr>
            <w:tcW w:w="1560" w:type="dxa"/>
            <w:shd w:val="clear" w:color="auto" w:fill="D5DCE4" w:themeFill="text2" w:themeFillTint="33"/>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Conexión entre los fundamentos y motivos que dieron origen a la Reserva de la información</w:t>
            </w:r>
          </w:p>
        </w:tc>
        <w:tc>
          <w:tcPr>
            <w:tcW w:w="1417" w:type="dxa"/>
            <w:shd w:val="clear" w:color="auto" w:fill="D5DCE4" w:themeFill="text2" w:themeFillTint="33"/>
            <w:vAlign w:val="center"/>
          </w:tcPr>
          <w:p w:rsidR="001735AF" w:rsidRPr="00717165" w:rsidRDefault="001735AF" w:rsidP="001735AF">
            <w:pPr>
              <w:pStyle w:val="Prrafodelista"/>
              <w:ind w:left="29" w:firstLine="18"/>
              <w:jc w:val="center"/>
              <w:rPr>
                <w:rFonts w:ascii="Palatino Linotype" w:hAnsi="Palatino Linotype"/>
                <w:b/>
                <w:sz w:val="18"/>
                <w:szCs w:val="18"/>
              </w:rPr>
            </w:pPr>
            <w:r w:rsidRPr="00717165">
              <w:rPr>
                <w:rFonts w:ascii="Palatino Linotype" w:hAnsi="Palatino Linotype"/>
                <w:b/>
                <w:sz w:val="18"/>
                <w:szCs w:val="18"/>
              </w:rPr>
              <w:t>Parcialmente</w:t>
            </w:r>
          </w:p>
        </w:tc>
        <w:tc>
          <w:tcPr>
            <w:tcW w:w="6095" w:type="dxa"/>
            <w:shd w:val="clear" w:color="auto" w:fill="D5DCE4" w:themeFill="text2" w:themeFillTint="33"/>
            <w:vAlign w:val="center"/>
          </w:tcPr>
          <w:p w:rsidR="00EF6048" w:rsidRPr="00717165" w:rsidRDefault="00EF6048" w:rsidP="001735AF">
            <w:pPr>
              <w:pStyle w:val="Prrafodelista"/>
              <w:ind w:left="29" w:firstLine="18"/>
              <w:jc w:val="center"/>
              <w:rPr>
                <w:sz w:val="2"/>
              </w:rPr>
            </w:pPr>
          </w:p>
          <w:p w:rsidR="00EF6048" w:rsidRPr="00717165" w:rsidRDefault="00EF6048" w:rsidP="001735AF">
            <w:pPr>
              <w:pStyle w:val="Prrafodelista"/>
              <w:ind w:left="29" w:firstLine="18"/>
              <w:jc w:val="center"/>
              <w:rPr>
                <w:sz w:val="2"/>
              </w:rPr>
            </w:pPr>
          </w:p>
          <w:p w:rsidR="00EF6048" w:rsidRPr="00717165" w:rsidRDefault="00EF6048" w:rsidP="001735AF">
            <w:pPr>
              <w:pStyle w:val="Prrafodelista"/>
              <w:ind w:left="29" w:firstLine="18"/>
              <w:jc w:val="center"/>
              <w:rPr>
                <w:sz w:val="2"/>
              </w:rPr>
            </w:pPr>
          </w:p>
          <w:p w:rsidR="00EF6048" w:rsidRPr="00717165" w:rsidRDefault="00EF6048" w:rsidP="001735AF">
            <w:pPr>
              <w:pStyle w:val="Prrafodelista"/>
              <w:ind w:left="29" w:firstLine="18"/>
              <w:jc w:val="center"/>
              <w:rPr>
                <w:sz w:val="2"/>
              </w:rPr>
            </w:pPr>
          </w:p>
          <w:p w:rsidR="00EF6048" w:rsidRPr="00717165" w:rsidRDefault="00EF6048" w:rsidP="001735AF">
            <w:pPr>
              <w:pStyle w:val="Prrafodelista"/>
              <w:ind w:left="29" w:firstLine="18"/>
              <w:jc w:val="center"/>
              <w:rPr>
                <w:sz w:val="2"/>
              </w:rPr>
            </w:pPr>
          </w:p>
          <w:p w:rsidR="001735AF" w:rsidRPr="00717165" w:rsidRDefault="00EF6048" w:rsidP="00EF6048">
            <w:pPr>
              <w:pStyle w:val="Prrafodelista"/>
              <w:ind w:left="29" w:firstLine="18"/>
              <w:jc w:val="center"/>
              <w:rPr>
                <w:sz w:val="2"/>
              </w:rPr>
            </w:pPr>
            <w:r w:rsidRPr="00717165">
              <w:rPr>
                <w:noProof/>
                <w:sz w:val="2"/>
                <w:lang w:val="es-MX" w:eastAsia="es-MX"/>
              </w:rPr>
              <w:drawing>
                <wp:inline distT="0" distB="0" distL="0" distR="0" wp14:anchorId="055FAA24" wp14:editId="420ECA1B">
                  <wp:extent cx="3733165" cy="110934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109345"/>
                          </a:xfrm>
                          <a:prstGeom prst="rect">
                            <a:avLst/>
                          </a:prstGeom>
                        </pic:spPr>
                      </pic:pic>
                    </a:graphicData>
                  </a:graphic>
                </wp:inline>
              </w:drawing>
            </w:r>
            <w:r w:rsidRPr="00717165">
              <w:rPr>
                <w:noProof/>
                <w:sz w:val="2"/>
                <w:lang w:val="es-MX" w:eastAsia="es-MX"/>
              </w:rPr>
              <w:drawing>
                <wp:inline distT="0" distB="0" distL="0" distR="0" wp14:anchorId="6C635B06" wp14:editId="68731387">
                  <wp:extent cx="3606393" cy="13231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9430" cy="1324296"/>
                          </a:xfrm>
                          <a:prstGeom prst="rect">
                            <a:avLst/>
                          </a:prstGeom>
                        </pic:spPr>
                      </pic:pic>
                    </a:graphicData>
                  </a:graphic>
                </wp:inline>
              </w:drawing>
            </w:r>
          </w:p>
          <w:p w:rsidR="00EF6048" w:rsidRPr="00717165" w:rsidRDefault="00EF6048" w:rsidP="00EF6048">
            <w:pPr>
              <w:pStyle w:val="Prrafodelista"/>
              <w:ind w:left="29" w:firstLine="18"/>
              <w:jc w:val="center"/>
              <w:rPr>
                <w:sz w:val="2"/>
              </w:rPr>
            </w:pPr>
          </w:p>
          <w:p w:rsidR="00EF6048" w:rsidRPr="00717165" w:rsidRDefault="00EF6048" w:rsidP="00EF6048">
            <w:pPr>
              <w:pStyle w:val="Prrafodelista"/>
              <w:ind w:left="29" w:firstLine="18"/>
              <w:jc w:val="center"/>
              <w:rPr>
                <w:sz w:val="2"/>
              </w:rPr>
            </w:pPr>
          </w:p>
          <w:p w:rsidR="00EF6048" w:rsidRPr="00717165" w:rsidRDefault="00EF6048" w:rsidP="00EF6048">
            <w:pPr>
              <w:pStyle w:val="Prrafodelista"/>
              <w:ind w:left="29" w:firstLine="18"/>
              <w:jc w:val="center"/>
              <w:rPr>
                <w:sz w:val="2"/>
              </w:rPr>
            </w:pPr>
          </w:p>
          <w:p w:rsidR="00EF6048" w:rsidRPr="00717165" w:rsidRDefault="00EF6048" w:rsidP="00EF6048">
            <w:pPr>
              <w:pStyle w:val="Prrafodelista"/>
              <w:ind w:left="29" w:firstLine="18"/>
              <w:jc w:val="center"/>
              <w:rPr>
                <w:sz w:val="2"/>
              </w:rPr>
            </w:pPr>
          </w:p>
          <w:p w:rsidR="00EF6048" w:rsidRPr="00717165" w:rsidRDefault="00EF6048" w:rsidP="00EF6048">
            <w:pPr>
              <w:pStyle w:val="Prrafodelista"/>
              <w:ind w:left="29" w:firstLine="18"/>
              <w:jc w:val="center"/>
              <w:rPr>
                <w:sz w:val="2"/>
              </w:rPr>
            </w:pPr>
            <w:r w:rsidRPr="00717165">
              <w:rPr>
                <w:noProof/>
                <w:sz w:val="2"/>
                <w:lang w:val="es-MX" w:eastAsia="es-MX"/>
              </w:rPr>
              <w:drawing>
                <wp:inline distT="0" distB="0" distL="0" distR="0" wp14:anchorId="6BFF9D2B" wp14:editId="4DABD38A">
                  <wp:extent cx="3733165" cy="145478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1454785"/>
                          </a:xfrm>
                          <a:prstGeom prst="rect">
                            <a:avLst/>
                          </a:prstGeom>
                        </pic:spPr>
                      </pic:pic>
                    </a:graphicData>
                  </a:graphic>
                </wp:inline>
              </w:drawing>
            </w:r>
          </w:p>
        </w:tc>
      </w:tr>
      <w:tr w:rsidR="001735AF" w:rsidRPr="00717165" w:rsidTr="00871F65">
        <w:tc>
          <w:tcPr>
            <w:tcW w:w="9072" w:type="dxa"/>
            <w:gridSpan w:val="3"/>
            <w:shd w:val="clear" w:color="auto" w:fill="D9D9D9" w:themeFill="background1" w:themeFillShade="D9"/>
            <w:vAlign w:val="center"/>
          </w:tcPr>
          <w:p w:rsidR="001735AF" w:rsidRPr="00717165" w:rsidRDefault="001735AF" w:rsidP="001735AF">
            <w:pPr>
              <w:pStyle w:val="Prrafodelista"/>
              <w:ind w:left="29" w:firstLine="18"/>
              <w:jc w:val="center"/>
              <w:rPr>
                <w:rFonts w:ascii="Palatino Linotype" w:hAnsi="Palatino Linotype"/>
              </w:rPr>
            </w:pPr>
            <w:r w:rsidRPr="00717165">
              <w:rPr>
                <w:rFonts w:ascii="Palatino Linotype" w:hAnsi="Palatino Linotype"/>
                <w:b/>
              </w:rPr>
              <w:lastRenderedPageBreak/>
              <w:t>Prueba de Daño</w:t>
            </w:r>
          </w:p>
        </w:tc>
      </w:tr>
      <w:tr w:rsidR="001735AF" w:rsidRPr="00717165" w:rsidTr="00265F9F">
        <w:tc>
          <w:tcPr>
            <w:tcW w:w="1560" w:type="dxa"/>
            <w:shd w:val="clear" w:color="auto" w:fill="F2F2F2" w:themeFill="background1" w:themeFillShade="F2"/>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Riesgo Real, Demostrable e Identificable</w:t>
            </w:r>
          </w:p>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(Modo, Tiempo y Lugar)</w:t>
            </w:r>
          </w:p>
        </w:tc>
        <w:tc>
          <w:tcPr>
            <w:tcW w:w="1417" w:type="dxa"/>
            <w:shd w:val="clear" w:color="auto" w:fill="F2F2F2" w:themeFill="background1" w:themeFillShade="F2"/>
            <w:vAlign w:val="center"/>
          </w:tcPr>
          <w:p w:rsidR="001735AF" w:rsidRPr="00717165" w:rsidRDefault="001735AF" w:rsidP="001735AF">
            <w:pPr>
              <w:pStyle w:val="Prrafodelista"/>
              <w:ind w:left="29" w:firstLine="18"/>
              <w:jc w:val="center"/>
              <w:rPr>
                <w:rFonts w:ascii="Palatino Linotype" w:hAnsi="Palatino Linotype"/>
                <w:b/>
                <w:sz w:val="18"/>
                <w:szCs w:val="18"/>
              </w:rPr>
            </w:pPr>
            <w:r w:rsidRPr="00717165">
              <w:rPr>
                <w:rFonts w:ascii="Palatino Linotype" w:hAnsi="Palatino Linotype"/>
                <w:b/>
                <w:sz w:val="18"/>
                <w:szCs w:val="18"/>
              </w:rPr>
              <w:t>Parcialmente</w:t>
            </w:r>
          </w:p>
        </w:tc>
        <w:tc>
          <w:tcPr>
            <w:tcW w:w="6095" w:type="dxa"/>
            <w:shd w:val="clear" w:color="auto" w:fill="F2F2F2" w:themeFill="background1" w:themeFillShade="F2"/>
            <w:vAlign w:val="center"/>
          </w:tcPr>
          <w:p w:rsidR="001735AF" w:rsidRPr="00717165" w:rsidRDefault="00EF6048" w:rsidP="00EF6048">
            <w:pPr>
              <w:pStyle w:val="Prrafodelista"/>
              <w:ind w:left="29" w:firstLine="18"/>
              <w:jc w:val="center"/>
              <w:rPr>
                <w:rFonts w:ascii="Palatino Linotype" w:hAnsi="Palatino Linotype"/>
                <w:sz w:val="2"/>
              </w:rPr>
            </w:pPr>
            <w:r w:rsidRPr="00717165">
              <w:rPr>
                <w:rFonts w:ascii="Palatino Linotype" w:hAnsi="Palatino Linotype"/>
                <w:noProof/>
                <w:sz w:val="2"/>
                <w:lang w:val="es-MX" w:eastAsia="es-MX"/>
              </w:rPr>
              <w:drawing>
                <wp:inline distT="0" distB="0" distL="0" distR="0" wp14:anchorId="07D2C2C3" wp14:editId="77801844">
                  <wp:extent cx="3401568" cy="12839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5245" cy="1289067"/>
                          </a:xfrm>
                          <a:prstGeom prst="rect">
                            <a:avLst/>
                          </a:prstGeom>
                        </pic:spPr>
                      </pic:pic>
                    </a:graphicData>
                  </a:graphic>
                </wp:inline>
              </w:drawing>
            </w:r>
          </w:p>
          <w:p w:rsidR="00EF6048" w:rsidRPr="00717165" w:rsidRDefault="00EF6048" w:rsidP="00EF6048">
            <w:pPr>
              <w:pStyle w:val="Prrafodelista"/>
              <w:ind w:left="29" w:firstLine="18"/>
              <w:jc w:val="center"/>
              <w:rPr>
                <w:rFonts w:ascii="Palatino Linotype" w:hAnsi="Palatino Linotype"/>
                <w:sz w:val="2"/>
              </w:rPr>
            </w:pPr>
          </w:p>
          <w:p w:rsidR="00EF6048" w:rsidRPr="00717165" w:rsidRDefault="00EF6048" w:rsidP="00EF6048">
            <w:pPr>
              <w:pStyle w:val="Prrafodelista"/>
              <w:ind w:left="29" w:firstLine="18"/>
              <w:jc w:val="center"/>
              <w:rPr>
                <w:rFonts w:ascii="Palatino Linotype" w:hAnsi="Palatino Linotype"/>
                <w:sz w:val="2"/>
              </w:rPr>
            </w:pPr>
            <w:r w:rsidRPr="00717165">
              <w:rPr>
                <w:rFonts w:ascii="Palatino Linotype" w:hAnsi="Palatino Linotype"/>
                <w:noProof/>
                <w:sz w:val="2"/>
                <w:lang w:val="es-MX" w:eastAsia="es-MX"/>
              </w:rPr>
              <w:drawing>
                <wp:inline distT="0" distB="0" distL="0" distR="0" wp14:anchorId="43AE3AF2" wp14:editId="4C845935">
                  <wp:extent cx="3733165" cy="274447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2744470"/>
                          </a:xfrm>
                          <a:prstGeom prst="rect">
                            <a:avLst/>
                          </a:prstGeom>
                        </pic:spPr>
                      </pic:pic>
                    </a:graphicData>
                  </a:graphic>
                </wp:inline>
              </w:drawing>
            </w:r>
          </w:p>
          <w:p w:rsidR="00EF6048" w:rsidRPr="00717165" w:rsidRDefault="00EF6048" w:rsidP="00EF6048">
            <w:pPr>
              <w:pStyle w:val="Prrafodelista"/>
              <w:ind w:left="29" w:firstLine="18"/>
              <w:jc w:val="center"/>
              <w:rPr>
                <w:rFonts w:ascii="Palatino Linotype" w:hAnsi="Palatino Linotype"/>
                <w:sz w:val="2"/>
              </w:rPr>
            </w:pPr>
          </w:p>
          <w:p w:rsidR="00EF6048" w:rsidRPr="00717165" w:rsidRDefault="00EF6048" w:rsidP="00EF6048">
            <w:pPr>
              <w:pStyle w:val="Prrafodelista"/>
              <w:ind w:left="29" w:firstLine="18"/>
              <w:jc w:val="center"/>
              <w:rPr>
                <w:rFonts w:ascii="Palatino Linotype" w:hAnsi="Palatino Linotype"/>
                <w:sz w:val="2"/>
              </w:rPr>
            </w:pPr>
          </w:p>
          <w:p w:rsidR="00EF6048" w:rsidRPr="00717165" w:rsidRDefault="00EF6048" w:rsidP="00EF6048">
            <w:pPr>
              <w:pStyle w:val="Prrafodelista"/>
              <w:ind w:left="29" w:firstLine="18"/>
              <w:jc w:val="center"/>
              <w:rPr>
                <w:rFonts w:ascii="Palatino Linotype" w:hAnsi="Palatino Linotype"/>
                <w:sz w:val="2"/>
              </w:rPr>
            </w:pPr>
          </w:p>
          <w:p w:rsidR="00EF6048" w:rsidRPr="00717165" w:rsidRDefault="00EF6048" w:rsidP="00EF6048">
            <w:pPr>
              <w:pStyle w:val="Prrafodelista"/>
              <w:ind w:left="29" w:firstLine="18"/>
              <w:jc w:val="center"/>
              <w:rPr>
                <w:rFonts w:ascii="Palatino Linotype" w:hAnsi="Palatino Linotype"/>
                <w:sz w:val="2"/>
              </w:rPr>
            </w:pPr>
          </w:p>
        </w:tc>
      </w:tr>
      <w:tr w:rsidR="001735AF" w:rsidRPr="00717165" w:rsidTr="00265F9F">
        <w:tc>
          <w:tcPr>
            <w:tcW w:w="1560" w:type="dxa"/>
            <w:shd w:val="clear" w:color="auto" w:fill="D5DCE4" w:themeFill="text2" w:themeFillTint="33"/>
            <w:vAlign w:val="center"/>
          </w:tcPr>
          <w:p w:rsidR="001735AF" w:rsidRPr="00717165" w:rsidRDefault="001735AF" w:rsidP="001735AF">
            <w:pPr>
              <w:jc w:val="center"/>
              <w:rPr>
                <w:rFonts w:ascii="Palatino Linotype" w:hAnsi="Palatino Linotype"/>
                <w:b/>
                <w:sz w:val="16"/>
                <w:szCs w:val="16"/>
              </w:rPr>
            </w:pPr>
            <w:r w:rsidRPr="00717165">
              <w:rPr>
                <w:rFonts w:ascii="Palatino Linotype" w:hAnsi="Palatino Linotype"/>
                <w:b/>
                <w:sz w:val="16"/>
                <w:szCs w:val="16"/>
              </w:rPr>
              <w:t>Temporalidad de la Reserva de la información</w:t>
            </w:r>
          </w:p>
        </w:tc>
        <w:tc>
          <w:tcPr>
            <w:tcW w:w="1417" w:type="dxa"/>
            <w:shd w:val="clear" w:color="auto" w:fill="D5DCE4" w:themeFill="text2" w:themeFillTint="33"/>
            <w:vAlign w:val="center"/>
          </w:tcPr>
          <w:p w:rsidR="001735AF" w:rsidRPr="00717165" w:rsidRDefault="001735AF" w:rsidP="001735AF">
            <w:pPr>
              <w:pStyle w:val="Prrafodelista"/>
              <w:ind w:left="29" w:firstLine="18"/>
              <w:jc w:val="center"/>
              <w:rPr>
                <w:rFonts w:ascii="Palatino Linotype" w:hAnsi="Palatino Linotype"/>
                <w:b/>
              </w:rPr>
            </w:pPr>
            <w:r w:rsidRPr="00717165">
              <w:rPr>
                <w:rFonts w:ascii="Palatino Linotype" w:hAnsi="Palatino Linotype"/>
                <w:b/>
              </w:rPr>
              <w:t>Sí</w:t>
            </w:r>
          </w:p>
        </w:tc>
        <w:tc>
          <w:tcPr>
            <w:tcW w:w="6095" w:type="dxa"/>
            <w:shd w:val="clear" w:color="auto" w:fill="D5DCE4" w:themeFill="text2" w:themeFillTint="33"/>
            <w:vAlign w:val="center"/>
          </w:tcPr>
          <w:p w:rsidR="001735AF" w:rsidRPr="00717165" w:rsidRDefault="00EF6048" w:rsidP="001735AF">
            <w:pPr>
              <w:pStyle w:val="Prrafodelista"/>
              <w:ind w:left="29" w:firstLine="18"/>
              <w:jc w:val="center"/>
              <w:rPr>
                <w:rFonts w:ascii="Palatino Linotype" w:hAnsi="Palatino Linotype"/>
              </w:rPr>
            </w:pPr>
            <w:r w:rsidRPr="00717165">
              <w:rPr>
                <w:rFonts w:ascii="Palatino Linotype" w:hAnsi="Palatino Linotype"/>
                <w:noProof/>
                <w:lang w:val="es-MX" w:eastAsia="es-MX"/>
              </w:rPr>
              <w:drawing>
                <wp:inline distT="0" distB="0" distL="0" distR="0" wp14:anchorId="3CBA87D9" wp14:editId="4808C1D7">
                  <wp:extent cx="3733165" cy="44259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442595"/>
                          </a:xfrm>
                          <a:prstGeom prst="rect">
                            <a:avLst/>
                          </a:prstGeom>
                        </pic:spPr>
                      </pic:pic>
                    </a:graphicData>
                  </a:graphic>
                </wp:inline>
              </w:drawing>
            </w:r>
          </w:p>
        </w:tc>
      </w:tr>
      <w:tr w:rsidR="001735AF" w:rsidRPr="00717165" w:rsidTr="00265F9F">
        <w:trPr>
          <w:trHeight w:val="3517"/>
        </w:trPr>
        <w:tc>
          <w:tcPr>
            <w:tcW w:w="1560" w:type="dxa"/>
            <w:shd w:val="clear" w:color="auto" w:fill="F2F2F2" w:themeFill="background1" w:themeFillShade="F2"/>
            <w:vAlign w:val="center"/>
          </w:tcPr>
          <w:p w:rsidR="001735AF" w:rsidRPr="00717165" w:rsidRDefault="001735AF" w:rsidP="001735AF">
            <w:pPr>
              <w:tabs>
                <w:tab w:val="left" w:pos="317"/>
              </w:tabs>
              <w:jc w:val="center"/>
              <w:rPr>
                <w:rFonts w:ascii="Palatino Linotype" w:hAnsi="Palatino Linotype"/>
                <w:b/>
                <w:sz w:val="16"/>
                <w:szCs w:val="16"/>
              </w:rPr>
            </w:pPr>
            <w:r w:rsidRPr="00717165">
              <w:rPr>
                <w:rFonts w:ascii="Palatino Linotype" w:hAnsi="Palatino Linotype"/>
                <w:b/>
                <w:sz w:val="16"/>
                <w:szCs w:val="16"/>
              </w:rPr>
              <w:t>Autoridades competentes.</w:t>
            </w:r>
          </w:p>
        </w:tc>
        <w:tc>
          <w:tcPr>
            <w:tcW w:w="1417" w:type="dxa"/>
            <w:shd w:val="clear" w:color="auto" w:fill="F2F2F2" w:themeFill="background1" w:themeFillShade="F2"/>
            <w:vAlign w:val="center"/>
          </w:tcPr>
          <w:p w:rsidR="001735AF" w:rsidRPr="00717165" w:rsidRDefault="001735AF" w:rsidP="001735AF">
            <w:pPr>
              <w:pStyle w:val="Prrafodelista"/>
              <w:ind w:left="29" w:firstLine="18"/>
              <w:jc w:val="center"/>
              <w:rPr>
                <w:rFonts w:ascii="Palatino Linotype" w:hAnsi="Palatino Linotype"/>
                <w:b/>
              </w:rPr>
            </w:pPr>
            <w:r w:rsidRPr="00717165">
              <w:rPr>
                <w:rFonts w:ascii="Palatino Linotype" w:hAnsi="Palatino Linotype"/>
                <w:b/>
              </w:rPr>
              <w:t>Sí</w:t>
            </w:r>
          </w:p>
        </w:tc>
        <w:tc>
          <w:tcPr>
            <w:tcW w:w="6095" w:type="dxa"/>
            <w:shd w:val="clear" w:color="auto" w:fill="F2F2F2" w:themeFill="background1" w:themeFillShade="F2"/>
          </w:tcPr>
          <w:p w:rsidR="001735AF" w:rsidRPr="00717165" w:rsidRDefault="00EF6048" w:rsidP="001735AF">
            <w:r w:rsidRPr="00717165">
              <w:rPr>
                <w:noProof/>
                <w:lang w:eastAsia="es-MX"/>
              </w:rPr>
              <w:drawing>
                <wp:inline distT="0" distB="0" distL="0" distR="0" wp14:anchorId="79DD8348" wp14:editId="0D2D4D82">
                  <wp:extent cx="3733165" cy="259524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2595245"/>
                          </a:xfrm>
                          <a:prstGeom prst="rect">
                            <a:avLst/>
                          </a:prstGeom>
                        </pic:spPr>
                      </pic:pic>
                    </a:graphicData>
                  </a:graphic>
                </wp:inline>
              </w:drawing>
            </w:r>
          </w:p>
        </w:tc>
      </w:tr>
    </w:tbl>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lastRenderedPageBreak/>
        <w:t xml:space="preserve">En razón de lo anterior, se destaca que la pauta metodológica necesaria para clasificar la información como reservada se desprende inicialmente de identificar las causales aplicables, por ello, resulta oportuno realizar un análisis sistemático entre el numeral 140 de la Ley de Transparencia y Acceso a la Información Pública del Estado de México y Municipios, así como el artículo 81 de la Ley de Seguridad del Estado de México, porciones normativas que disponen a la literalidad lo siguiente: </w:t>
      </w:r>
    </w:p>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pStyle w:val="Citas"/>
        <w:spacing w:before="0" w:after="0" w:line="240" w:lineRule="auto"/>
        <w:ind w:left="567" w:right="567"/>
        <w:jc w:val="center"/>
        <w:rPr>
          <w:b/>
        </w:rPr>
      </w:pPr>
      <w:r w:rsidRPr="00717165">
        <w:rPr>
          <w:b/>
        </w:rPr>
        <w:t xml:space="preserve">Ley de Transparencia y Acceso a la Información Pública del Estado de México y Municipios </w:t>
      </w:r>
    </w:p>
    <w:p w:rsidR="001735AF" w:rsidRPr="00717165" w:rsidRDefault="001735AF" w:rsidP="001735AF">
      <w:pPr>
        <w:pStyle w:val="Citas"/>
        <w:spacing w:before="0" w:after="0" w:line="240" w:lineRule="auto"/>
        <w:ind w:left="567" w:right="567"/>
        <w:jc w:val="center"/>
        <w:rPr>
          <w:b/>
        </w:rPr>
      </w:pPr>
    </w:p>
    <w:p w:rsidR="001735AF" w:rsidRPr="00717165" w:rsidRDefault="001735AF" w:rsidP="001735AF">
      <w:pPr>
        <w:pStyle w:val="Citas"/>
        <w:spacing w:before="0" w:after="0" w:line="240" w:lineRule="auto"/>
        <w:ind w:left="567" w:right="567"/>
      </w:pPr>
      <w:r w:rsidRPr="00717165">
        <w:t xml:space="preserve">“Artículo 140. El acceso a la información pública será restringido excepcionalmente, cuando por razones de interés público, ésta sea clasificada como reservada, conforme a los criterios siguientes: </w:t>
      </w:r>
    </w:p>
    <w:p w:rsidR="001735AF" w:rsidRPr="00717165" w:rsidRDefault="001735AF" w:rsidP="001735AF">
      <w:pPr>
        <w:pStyle w:val="Citas"/>
        <w:spacing w:before="0" w:after="0" w:line="240" w:lineRule="auto"/>
        <w:ind w:left="567" w:right="567"/>
        <w:rPr>
          <w:b/>
          <w:u w:val="single"/>
        </w:rPr>
      </w:pPr>
      <w:r w:rsidRPr="00717165">
        <w:rPr>
          <w:b/>
          <w:u w:val="single"/>
        </w:rPr>
        <w:t xml:space="preserve">I. Comprometa la seguridad pública y cuente con un propósito genuino y un efecto demostrable; </w:t>
      </w:r>
    </w:p>
    <w:p w:rsidR="001735AF" w:rsidRPr="00717165" w:rsidRDefault="001735AF" w:rsidP="001735AF">
      <w:pPr>
        <w:pStyle w:val="Citas"/>
        <w:spacing w:before="0" w:after="0" w:line="240" w:lineRule="auto"/>
        <w:ind w:left="567" w:right="567"/>
      </w:pPr>
      <w:r w:rsidRPr="00717165">
        <w:t xml:space="preserve">II. Pueda menoscabar la conducción de las negociaciones y relaciones internacionales; </w:t>
      </w:r>
    </w:p>
    <w:p w:rsidR="001735AF" w:rsidRPr="00717165" w:rsidRDefault="001735AF" w:rsidP="001735AF">
      <w:pPr>
        <w:pStyle w:val="Citas"/>
        <w:spacing w:before="0" w:after="0" w:line="240" w:lineRule="auto"/>
        <w:ind w:left="567" w:right="567"/>
      </w:pPr>
      <w:r w:rsidRPr="00717165">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1735AF" w:rsidRPr="00717165" w:rsidRDefault="001735AF" w:rsidP="001735AF">
      <w:pPr>
        <w:pStyle w:val="Citas"/>
        <w:spacing w:before="0" w:after="0" w:line="240" w:lineRule="auto"/>
        <w:ind w:left="567" w:right="567"/>
      </w:pPr>
      <w:r w:rsidRPr="00717165">
        <w:t xml:space="preserve">IV. Ponga en riesgo la vida, la seguridad o la salud de una persona física; </w:t>
      </w:r>
    </w:p>
    <w:p w:rsidR="001735AF" w:rsidRPr="00717165" w:rsidRDefault="001735AF" w:rsidP="001735AF">
      <w:pPr>
        <w:pStyle w:val="Citas"/>
        <w:spacing w:before="0" w:after="0" w:line="240" w:lineRule="auto"/>
        <w:ind w:left="567" w:right="567"/>
      </w:pPr>
      <w:r w:rsidRPr="00717165">
        <w:t xml:space="preserve">V. Aquella cuya divulgación obstruya o pueda causar un serio perjuicio a: </w:t>
      </w:r>
    </w:p>
    <w:p w:rsidR="001735AF" w:rsidRPr="00717165" w:rsidRDefault="001735AF" w:rsidP="001735AF">
      <w:pPr>
        <w:pStyle w:val="Citas"/>
        <w:spacing w:before="0" w:after="0" w:line="240" w:lineRule="auto"/>
        <w:ind w:left="567" w:right="567"/>
      </w:pPr>
      <w:r w:rsidRPr="00717165">
        <w:t xml:space="preserve">1. Las actividades de fiscalización, verificación, inspección, comprobación y auditoría sobre el cumplimiento de las Leyes; o </w:t>
      </w:r>
    </w:p>
    <w:p w:rsidR="001735AF" w:rsidRPr="00717165" w:rsidRDefault="001735AF" w:rsidP="001735AF">
      <w:pPr>
        <w:pStyle w:val="Citas"/>
        <w:spacing w:before="0" w:after="0" w:line="240" w:lineRule="auto"/>
        <w:ind w:left="567" w:right="567"/>
      </w:pPr>
      <w:r w:rsidRPr="00717165">
        <w:t xml:space="preserve">2. La recaudación de las contribuciones. </w:t>
      </w:r>
    </w:p>
    <w:p w:rsidR="001735AF" w:rsidRPr="00717165" w:rsidRDefault="001735AF" w:rsidP="001735AF">
      <w:pPr>
        <w:pStyle w:val="Citas"/>
        <w:spacing w:before="0" w:after="0" w:line="240" w:lineRule="auto"/>
        <w:ind w:left="567" w:right="567"/>
      </w:pPr>
      <w:r w:rsidRPr="00717165">
        <w:rPr>
          <w:b/>
          <w:u w:val="single"/>
        </w:rPr>
        <w:t>VI. Pueda causar daño u obstruya la prevención o persecución de los delitos,</w:t>
      </w:r>
      <w:r w:rsidRPr="00717165">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1735AF" w:rsidRPr="00717165" w:rsidRDefault="001735AF" w:rsidP="001735AF">
      <w:pPr>
        <w:pStyle w:val="Citas"/>
        <w:spacing w:before="0" w:after="0" w:line="240" w:lineRule="auto"/>
        <w:ind w:left="567" w:right="567"/>
      </w:pPr>
      <w:r w:rsidRPr="00717165">
        <w:t xml:space="preserve">VII. La que contengan las opiniones, recomendaciones o puntos de vista que formen parte del proceso deliberativo de los servidores públicos, hasta en tanto sea adoptada la decisión definitiva, la cual deberá estar documentada; </w:t>
      </w:r>
    </w:p>
    <w:p w:rsidR="001735AF" w:rsidRPr="00717165" w:rsidRDefault="001735AF" w:rsidP="001735AF">
      <w:pPr>
        <w:pStyle w:val="Citas"/>
        <w:spacing w:before="0" w:after="0" w:line="240" w:lineRule="auto"/>
        <w:ind w:left="567" w:right="567"/>
      </w:pPr>
      <w:r w:rsidRPr="00717165">
        <w:t xml:space="preserve">VIII. Vulnere la conducción de los expedientes judiciales o de los procedimientos administrativos seguidos en forma de juicio, en tanto no hayan quedado firmes; </w:t>
      </w:r>
    </w:p>
    <w:p w:rsidR="001735AF" w:rsidRPr="00717165" w:rsidRDefault="001735AF" w:rsidP="001735AF">
      <w:pPr>
        <w:pStyle w:val="Citas"/>
        <w:spacing w:before="0" w:after="0" w:line="240" w:lineRule="auto"/>
        <w:ind w:left="567" w:right="567"/>
      </w:pPr>
      <w:r w:rsidRPr="00717165">
        <w:lastRenderedPageBreak/>
        <w:t xml:space="preserve">IX. Se encuentre contenida dentro de las investigaciones de hechos que la Ley señale como delitos y se tramiten ante el Ministerio Público; </w:t>
      </w:r>
    </w:p>
    <w:p w:rsidR="001735AF" w:rsidRPr="00717165" w:rsidRDefault="001735AF" w:rsidP="001735AF">
      <w:pPr>
        <w:pStyle w:val="Citas"/>
        <w:spacing w:before="0" w:after="0" w:line="240" w:lineRule="auto"/>
        <w:ind w:left="567" w:right="567"/>
      </w:pPr>
      <w:r w:rsidRPr="00717165">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1735AF" w:rsidRPr="00717165" w:rsidRDefault="001735AF" w:rsidP="001735AF">
      <w:pPr>
        <w:pStyle w:val="Citas"/>
        <w:spacing w:before="0" w:after="0" w:line="240" w:lineRule="auto"/>
        <w:ind w:left="567" w:right="567"/>
      </w:pPr>
      <w:r w:rsidRPr="00717165">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1735AF" w:rsidRPr="00717165" w:rsidRDefault="001735AF" w:rsidP="001735AF">
      <w:pPr>
        <w:pStyle w:val="Citas"/>
        <w:spacing w:before="0" w:after="0" w:line="240" w:lineRule="auto"/>
        <w:ind w:left="567" w:right="567"/>
        <w:rPr>
          <w:sz w:val="24"/>
          <w:szCs w:val="24"/>
        </w:rPr>
      </w:pPr>
      <w:r w:rsidRPr="00717165">
        <w:t>XI. Las que por disposición expresa de una ley tengan tal carácter, siempre que sean acordes con las bases, principios y disposiciones establecidos en esta Ley y no la contravengan; así como las previstas en tratados internacionales.” (Sic)</w:t>
      </w:r>
    </w:p>
    <w:p w:rsidR="001735AF" w:rsidRPr="00717165" w:rsidRDefault="001735AF" w:rsidP="001735AF">
      <w:pPr>
        <w:spacing w:after="0" w:line="240" w:lineRule="auto"/>
        <w:ind w:left="567" w:right="567"/>
        <w:jc w:val="both"/>
        <w:rPr>
          <w:rFonts w:ascii="Palatino Linotype" w:hAnsi="Palatino Linotype"/>
          <w:sz w:val="24"/>
          <w:szCs w:val="24"/>
        </w:rPr>
      </w:pPr>
      <w:r w:rsidRPr="00717165">
        <w:rPr>
          <w:rFonts w:ascii="Palatino Linotype" w:hAnsi="Palatino Linotype"/>
          <w:sz w:val="24"/>
          <w:szCs w:val="24"/>
        </w:rPr>
        <w:t xml:space="preserve"> </w:t>
      </w:r>
    </w:p>
    <w:p w:rsidR="001735AF" w:rsidRPr="00717165" w:rsidRDefault="001735AF" w:rsidP="001735AF">
      <w:pPr>
        <w:pStyle w:val="Citas"/>
        <w:spacing w:before="0" w:after="0" w:line="240" w:lineRule="auto"/>
        <w:ind w:left="567" w:right="567"/>
        <w:jc w:val="center"/>
        <w:rPr>
          <w:b/>
        </w:rPr>
      </w:pPr>
      <w:r w:rsidRPr="00717165">
        <w:rPr>
          <w:b/>
        </w:rPr>
        <w:t>Ley de Seguridad del Estado de México</w:t>
      </w:r>
    </w:p>
    <w:p w:rsidR="00EF6048" w:rsidRPr="00717165" w:rsidRDefault="00EF6048" w:rsidP="001735AF">
      <w:pPr>
        <w:pStyle w:val="Citas"/>
        <w:spacing w:before="0" w:after="0" w:line="240" w:lineRule="auto"/>
        <w:ind w:left="567" w:right="567"/>
      </w:pPr>
    </w:p>
    <w:p w:rsidR="001735AF" w:rsidRPr="00717165" w:rsidRDefault="001735AF" w:rsidP="001735AF">
      <w:pPr>
        <w:pStyle w:val="Citas"/>
        <w:spacing w:before="0" w:after="0" w:line="240" w:lineRule="auto"/>
        <w:ind w:left="567" w:right="567"/>
      </w:pPr>
      <w:r w:rsidRPr="00717165">
        <w:t>“</w:t>
      </w:r>
      <w:r w:rsidRPr="00717165">
        <w:rPr>
          <w:b/>
        </w:rPr>
        <w:t>Artículo 81.</w:t>
      </w:r>
      <w:r w:rsidRPr="00717165">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1735AF" w:rsidRPr="00717165" w:rsidRDefault="001735AF" w:rsidP="001735AF">
      <w:pPr>
        <w:pStyle w:val="Citas"/>
        <w:spacing w:before="0" w:after="0" w:line="240" w:lineRule="auto"/>
        <w:ind w:left="567" w:right="567"/>
        <w:rPr>
          <w:b/>
          <w:u w:val="single"/>
        </w:rPr>
      </w:pPr>
      <w:r w:rsidRPr="00717165">
        <w:rPr>
          <w:b/>
          <w:u w:val="single"/>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rsidR="001735AF" w:rsidRPr="00717165" w:rsidRDefault="001735AF" w:rsidP="001735AF">
      <w:pPr>
        <w:pStyle w:val="Citas"/>
        <w:spacing w:before="0" w:after="0" w:line="240" w:lineRule="auto"/>
        <w:ind w:left="567" w:right="567"/>
        <w:rPr>
          <w:b/>
        </w:rPr>
      </w:pPr>
      <w:r w:rsidRPr="00717165">
        <w:t xml:space="preserve">(…)” </w:t>
      </w:r>
      <w:r w:rsidRPr="00717165">
        <w:rPr>
          <w:b/>
        </w:rPr>
        <w:t>(Sic)</w:t>
      </w:r>
    </w:p>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t>Luego entonces, esta Ponencia Resolutora estima que la información requerida es susceptible de actualizar las causales de procedencia de reserva de la información inmersas en</w:t>
      </w:r>
      <w:r w:rsidR="00EF6048" w:rsidRPr="00717165">
        <w:rPr>
          <w:rFonts w:ascii="Palatino Linotype" w:hAnsi="Palatino Linotype"/>
          <w:sz w:val="24"/>
          <w:szCs w:val="24"/>
        </w:rPr>
        <w:t xml:space="preserve"> las fracciones I, </w:t>
      </w:r>
      <w:r w:rsidRPr="00717165">
        <w:rPr>
          <w:rFonts w:ascii="Palatino Linotype" w:hAnsi="Palatino Linotype"/>
          <w:sz w:val="24"/>
          <w:szCs w:val="24"/>
        </w:rPr>
        <w:t xml:space="preserve">VI </w:t>
      </w:r>
      <w:r w:rsidR="00EF6048" w:rsidRPr="00717165">
        <w:rPr>
          <w:rFonts w:ascii="Palatino Linotype" w:hAnsi="Palatino Linotype"/>
          <w:sz w:val="24"/>
          <w:szCs w:val="24"/>
        </w:rPr>
        <w:t>y</w:t>
      </w:r>
      <w:r w:rsidRPr="00717165">
        <w:rPr>
          <w:rFonts w:ascii="Palatino Linotype" w:hAnsi="Palatino Linotype"/>
          <w:sz w:val="24"/>
          <w:szCs w:val="24"/>
        </w:rPr>
        <w:t xml:space="preserve"> XI del artículo 140 de la Ley de Transparencia local (numeral 113, fracciones I, VII y XIII de la Ley General de Transparencia), al tomar en consideración que: </w:t>
      </w:r>
    </w:p>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pStyle w:val="Prrafodelista"/>
        <w:numPr>
          <w:ilvl w:val="0"/>
          <w:numId w:val="8"/>
        </w:numPr>
        <w:spacing w:line="360" w:lineRule="auto"/>
        <w:jc w:val="both"/>
        <w:rPr>
          <w:rFonts w:ascii="Palatino Linotype" w:hAnsi="Palatino Linotype"/>
        </w:rPr>
      </w:pPr>
      <w:r w:rsidRPr="00717165">
        <w:rPr>
          <w:rFonts w:ascii="Palatino Linotype" w:hAnsi="Palatino Linotype"/>
        </w:rPr>
        <w:t xml:space="preserve">Revelar la información requerida es susceptible de comprometer la seguridad pública pues se darían a conocer </w:t>
      </w:r>
      <w:r w:rsidR="00EF6048" w:rsidRPr="00717165">
        <w:rPr>
          <w:rFonts w:ascii="Palatino Linotype" w:hAnsi="Palatino Linotype"/>
        </w:rPr>
        <w:t>la cantidad de unidades policiacas (patrullas)</w:t>
      </w:r>
      <w:r w:rsidR="00645103" w:rsidRPr="00717165">
        <w:rPr>
          <w:rFonts w:ascii="Palatino Linotype" w:hAnsi="Palatino Linotype"/>
        </w:rPr>
        <w:t xml:space="preserve">, </w:t>
      </w:r>
      <w:r w:rsidR="00645103" w:rsidRPr="00717165">
        <w:rPr>
          <w:rFonts w:ascii="Palatino Linotype" w:hAnsi="Palatino Linotype"/>
        </w:rPr>
        <w:lastRenderedPageBreak/>
        <w:t xml:space="preserve">así como las especificaciones técnicas de los vehículos </w:t>
      </w:r>
      <w:r w:rsidR="00EF6048" w:rsidRPr="00717165">
        <w:rPr>
          <w:rFonts w:ascii="Palatino Linotype" w:hAnsi="Palatino Linotype"/>
        </w:rPr>
        <w:t>con las que cuenta el Sujeto Obligado para la debida atención de la seguridad pública</w:t>
      </w:r>
    </w:p>
    <w:p w:rsidR="001735AF" w:rsidRPr="00717165" w:rsidRDefault="001735AF" w:rsidP="001735AF">
      <w:pPr>
        <w:pStyle w:val="Prrafodelista"/>
        <w:numPr>
          <w:ilvl w:val="0"/>
          <w:numId w:val="8"/>
        </w:numPr>
        <w:spacing w:line="360" w:lineRule="auto"/>
        <w:jc w:val="both"/>
        <w:rPr>
          <w:rFonts w:ascii="Palatino Linotype" w:hAnsi="Palatino Linotype"/>
        </w:rPr>
      </w:pPr>
      <w:r w:rsidRPr="00717165">
        <w:rPr>
          <w:rFonts w:ascii="Palatino Linotype" w:hAnsi="Palatino Linotype"/>
        </w:rPr>
        <w:t xml:space="preserve">Que el requerimiento formulado mediante la solicitud de información </w:t>
      </w:r>
      <w:r w:rsidRPr="00717165">
        <w:rPr>
          <w:rFonts w:ascii="Palatino Linotype" w:hAnsi="Palatino Linotype"/>
          <w:b/>
        </w:rPr>
        <w:t>00</w:t>
      </w:r>
      <w:r w:rsidR="00EF6048" w:rsidRPr="00717165">
        <w:rPr>
          <w:rFonts w:ascii="Palatino Linotype" w:hAnsi="Palatino Linotype"/>
          <w:b/>
        </w:rPr>
        <w:t>36</w:t>
      </w:r>
      <w:r w:rsidR="001E2AEC" w:rsidRPr="00717165">
        <w:rPr>
          <w:rFonts w:ascii="Palatino Linotype" w:hAnsi="Palatino Linotype"/>
          <w:b/>
        </w:rPr>
        <w:t>6</w:t>
      </w:r>
      <w:r w:rsidRPr="00717165">
        <w:rPr>
          <w:rFonts w:ascii="Palatino Linotype" w:hAnsi="Palatino Linotype"/>
          <w:b/>
        </w:rPr>
        <w:t>/</w:t>
      </w:r>
      <w:r w:rsidR="00EF6048" w:rsidRPr="00717165">
        <w:rPr>
          <w:rFonts w:ascii="Palatino Linotype" w:hAnsi="Palatino Linotype"/>
          <w:b/>
        </w:rPr>
        <w:t>TLALNEPA</w:t>
      </w:r>
      <w:r w:rsidRPr="00717165">
        <w:rPr>
          <w:rFonts w:ascii="Palatino Linotype" w:hAnsi="Palatino Linotype"/>
          <w:b/>
        </w:rPr>
        <w:t>/IP/2022</w:t>
      </w:r>
      <w:r w:rsidRPr="00717165">
        <w:rPr>
          <w:rFonts w:ascii="Palatino Linotype" w:hAnsi="Palatino Linotype"/>
        </w:rPr>
        <w:t xml:space="preserve"> guarda una relación</w:t>
      </w:r>
      <w:r w:rsidR="001E2AEC" w:rsidRPr="00717165">
        <w:rPr>
          <w:rFonts w:ascii="Palatino Linotype" w:hAnsi="Palatino Linotype"/>
        </w:rPr>
        <w:t xml:space="preserve"> parcial con la información peticionada en la solicitud de información </w:t>
      </w:r>
      <w:r w:rsidR="001E2AEC" w:rsidRPr="00717165">
        <w:rPr>
          <w:rFonts w:ascii="Palatino Linotype" w:hAnsi="Palatino Linotype"/>
          <w:b/>
        </w:rPr>
        <w:t>00368/TLALNEPA/IP/2022</w:t>
      </w:r>
      <w:r w:rsidRPr="00717165">
        <w:rPr>
          <w:rFonts w:ascii="Palatino Linotype" w:hAnsi="Palatino Linotype"/>
        </w:rPr>
        <w:t xml:space="preserve"> con la prevención de delitos al estribar en </w:t>
      </w:r>
      <w:r w:rsidR="001E2AEC" w:rsidRPr="00717165">
        <w:rPr>
          <w:rFonts w:ascii="Palatino Linotype" w:hAnsi="Palatino Linotype"/>
        </w:rPr>
        <w:t>la cantidad de unidades (patrullas) con las que puede implementar operativos de seguridad,</w:t>
      </w:r>
      <w:r w:rsidRPr="00717165">
        <w:rPr>
          <w:rFonts w:ascii="Palatino Linotype" w:hAnsi="Palatino Linotype"/>
        </w:rPr>
        <w:t xml:space="preserve"> –fracción VI-, hipótesis normativa ausente en el acuerdo remitido por El Sujeto Obligado mediante respuesta primigenia.</w:t>
      </w:r>
    </w:p>
    <w:p w:rsidR="001735AF" w:rsidRPr="00717165" w:rsidRDefault="001735AF" w:rsidP="001735AF">
      <w:pPr>
        <w:pStyle w:val="Prrafodelista"/>
        <w:numPr>
          <w:ilvl w:val="0"/>
          <w:numId w:val="8"/>
        </w:numPr>
        <w:spacing w:line="360" w:lineRule="auto"/>
        <w:jc w:val="both"/>
        <w:rPr>
          <w:rFonts w:ascii="Palatino Linotype" w:hAnsi="Palatino Linotype"/>
        </w:rPr>
      </w:pPr>
      <w:r w:rsidRPr="00717165">
        <w:rPr>
          <w:rFonts w:ascii="Palatino Linotype" w:hAnsi="Palatino Linotype"/>
        </w:rPr>
        <w:t xml:space="preserve">Finalmente, con relación a la fracción XI del artículo 140 de la Ley de Transparencia local, se destaca que se prevé como causal de procedencia de reserva de la información, hipótesis normativa que se tiene por actualizada derivado de un análisis sistemático, armónico y congruente con el numeral 81, fracción I de la Ley de Seguridad del Estado de México (revelación de normas, procedimientos, métodos u otros insumos útiles para la generación de inteligencia para la seguridad pública). </w:t>
      </w:r>
    </w:p>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t xml:space="preserve">Bajo este contexto, para delimitar las fronteras conceptuales entre </w:t>
      </w:r>
      <w:r w:rsidRPr="00717165">
        <w:rPr>
          <w:rFonts w:ascii="Palatino Linotype" w:hAnsi="Palatino Linotype"/>
          <w:b/>
          <w:sz w:val="24"/>
          <w:szCs w:val="24"/>
          <w:u w:val="single"/>
        </w:rPr>
        <w:t>falta</w:t>
      </w:r>
      <w:r w:rsidRPr="00717165">
        <w:rPr>
          <w:rFonts w:ascii="Palatino Linotype" w:hAnsi="Palatino Linotype"/>
          <w:sz w:val="24"/>
          <w:szCs w:val="24"/>
        </w:rPr>
        <w:t xml:space="preserve"> e indebida fundamentación y motivación, cobra particular relevancia la corriente que emana del Tercer Tribunal Colegiado en Materia Civil del Primer Circuito, a través de la jurisprudencia con número de registro digital </w:t>
      </w:r>
      <w:r w:rsidRPr="00717165">
        <w:rPr>
          <w:rFonts w:ascii="Palatino Linotype" w:hAnsi="Palatino Linotype"/>
          <w:b/>
          <w:sz w:val="24"/>
          <w:szCs w:val="24"/>
        </w:rPr>
        <w:t xml:space="preserve">170307 </w:t>
      </w:r>
      <w:r w:rsidRPr="00717165">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rsidR="001735AF" w:rsidRPr="00717165" w:rsidRDefault="001735AF" w:rsidP="001735AF">
      <w:pPr>
        <w:spacing w:after="0" w:line="360" w:lineRule="auto"/>
        <w:jc w:val="both"/>
        <w:rPr>
          <w:rFonts w:ascii="Palatino Linotype" w:hAnsi="Palatino Linotype"/>
          <w:sz w:val="24"/>
          <w:szCs w:val="24"/>
        </w:rPr>
      </w:pPr>
    </w:p>
    <w:p w:rsidR="001735AF" w:rsidRPr="00717165" w:rsidRDefault="001735AF" w:rsidP="001735AF">
      <w:pPr>
        <w:pStyle w:val="Citas"/>
        <w:spacing w:before="0" w:after="0" w:line="240" w:lineRule="auto"/>
        <w:ind w:left="567" w:right="567"/>
        <w:rPr>
          <w:b/>
        </w:rPr>
      </w:pPr>
      <w:r w:rsidRPr="00717165">
        <w:rPr>
          <w:b/>
        </w:rPr>
        <w:lastRenderedPageBreak/>
        <w:t>“</w:t>
      </w:r>
      <w:r w:rsidR="001E2AEC" w:rsidRPr="00717165">
        <w:rPr>
          <w:b/>
        </w:rPr>
        <w:t>FUNDAMENTACIÓN</w:t>
      </w:r>
      <w:r w:rsidR="00645103" w:rsidRPr="00717165">
        <w:rPr>
          <w:b/>
        </w:rPr>
        <w:t xml:space="preserve"> </w:t>
      </w:r>
      <w:r w:rsidR="001E2AEC" w:rsidRPr="00717165">
        <w:rPr>
          <w:b/>
        </w:rPr>
        <w:t>Y</w:t>
      </w:r>
      <w:r w:rsidR="00645103" w:rsidRPr="00717165">
        <w:rPr>
          <w:b/>
        </w:rPr>
        <w:t xml:space="preserve"> </w:t>
      </w:r>
      <w:r w:rsidR="001E2AEC" w:rsidRPr="00717165">
        <w:rPr>
          <w:b/>
        </w:rPr>
        <w:t xml:space="preserve">MOTIVACIÓN. </w:t>
      </w:r>
      <w:r w:rsidRPr="00717165">
        <w:rPr>
          <w:b/>
        </w:rPr>
        <w:t>LA</w:t>
      </w:r>
      <w:r w:rsidR="001E2AEC" w:rsidRPr="00717165">
        <w:rPr>
          <w:b/>
        </w:rPr>
        <w:t xml:space="preserve"> </w:t>
      </w:r>
      <w:r w:rsidRPr="00717165">
        <w:rPr>
          <w:b/>
        </w:rPr>
        <w:t>DIFERENCIA</w:t>
      </w:r>
      <w:r w:rsidR="001E2AEC" w:rsidRPr="00717165">
        <w:rPr>
          <w:b/>
        </w:rPr>
        <w:t xml:space="preserve"> </w:t>
      </w:r>
      <w:r w:rsidRPr="00717165">
        <w:rPr>
          <w:b/>
        </w:rPr>
        <w:t>ENTRE LA</w:t>
      </w:r>
      <w:r w:rsidR="001E2AEC" w:rsidRPr="00717165">
        <w:rPr>
          <w:b/>
        </w:rPr>
        <w:t xml:space="preserve"> </w:t>
      </w:r>
      <w:r w:rsidRPr="00717165">
        <w:rPr>
          <w:b/>
        </w:rPr>
        <w:t>FALTA</w:t>
      </w:r>
      <w:r w:rsidR="001E2AEC" w:rsidRPr="00717165">
        <w:rPr>
          <w:b/>
        </w:rPr>
        <w:t xml:space="preserve"> Y LA INDEBIDA </w:t>
      </w:r>
      <w:r w:rsidRPr="00717165">
        <w:rPr>
          <w:b/>
        </w:rPr>
        <w:t>SATISFACCIÓN DE AMBOS REQUISITOS CONSTITUCIONALES TRASCIENDE AL ORDEN EN QUE DEBEN ESTUDIARSE LOS CONCEPTOS DE VIOLACIÓN Y A LOS EFECTOS DEL FALLO PROTECTOR.</w:t>
      </w:r>
    </w:p>
    <w:p w:rsidR="001735AF" w:rsidRPr="00717165" w:rsidRDefault="001735AF" w:rsidP="001735AF">
      <w:pPr>
        <w:pStyle w:val="Citas"/>
        <w:spacing w:before="0" w:after="0" w:line="240" w:lineRule="auto"/>
        <w:ind w:left="567" w:right="567"/>
      </w:pPr>
      <w:r w:rsidRPr="00717165">
        <w:t>La</w:t>
      </w:r>
      <w:r w:rsidR="001E2AEC" w:rsidRPr="00717165">
        <w:t xml:space="preserve"> </w:t>
      </w:r>
      <w:r w:rsidRPr="00717165">
        <w:t>falta</w:t>
      </w:r>
      <w:r w:rsidR="001E2AEC" w:rsidRPr="00717165">
        <w:t xml:space="preserve"> </w:t>
      </w:r>
      <w:r w:rsidRPr="00717165">
        <w:t>de</w:t>
      </w:r>
      <w:r w:rsidR="001E2AEC" w:rsidRPr="00717165">
        <w:t xml:space="preserve"> </w:t>
      </w:r>
      <w:r w:rsidRPr="00717165">
        <w:t>fundamentación</w:t>
      </w:r>
      <w:r w:rsidR="001E2AEC" w:rsidRPr="00717165">
        <w:t xml:space="preserve"> </w:t>
      </w:r>
      <w:r w:rsidRPr="00717165">
        <w:t>y motivación es una violación formal diversa a la</w:t>
      </w:r>
      <w:r w:rsidR="001E2AEC" w:rsidRPr="00717165">
        <w:t xml:space="preserve"> </w:t>
      </w:r>
      <w:r w:rsidRPr="00717165">
        <w:t>indebida</w:t>
      </w:r>
      <w:r w:rsidR="001E2AEC" w:rsidRPr="00717165">
        <w:t xml:space="preserve"> </w:t>
      </w:r>
      <w:r w:rsidRPr="00717165">
        <w:t>o incorrecta</w:t>
      </w:r>
      <w:r w:rsidR="001E2AEC" w:rsidRPr="00717165">
        <w:t xml:space="preserve"> </w:t>
      </w:r>
      <w:r w:rsidRPr="00717165">
        <w:t>fundamentación</w:t>
      </w:r>
      <w:r w:rsidR="001E2AEC" w:rsidRPr="00717165">
        <w:t xml:space="preserve"> </w:t>
      </w:r>
      <w:r w:rsidRPr="00717165">
        <w:t>y motivación, que es una violación material o de fondo, siendo distintos los efectos que genera la existencia de una u otra, por lo que el estudio de aquella omisión debe hacerse de manera previa. En efecto, el artículo</w:t>
      </w:r>
      <w:r w:rsidR="001E2AEC" w:rsidRPr="00717165">
        <w:t xml:space="preserve"> </w:t>
      </w:r>
      <w:hyperlink r:id="rId19" w:history="1">
        <w:r w:rsidRPr="00717165">
          <w:t>16 constitucional</w:t>
        </w:r>
      </w:hyperlink>
      <w:r w:rsidR="001E2AEC" w:rsidRPr="00717165">
        <w:t xml:space="preserve"> </w:t>
      </w:r>
      <w:r w:rsidRPr="00717165">
        <w:t>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w:t>
      </w:r>
      <w:r w:rsidR="001E2AEC" w:rsidRPr="00717165">
        <w:t xml:space="preserve"> </w:t>
      </w:r>
      <w:r w:rsidRPr="00717165">
        <w:t>falta, y la correspondiente a su incorrección. Se produce la</w:t>
      </w:r>
      <w:r w:rsidR="001E2AEC" w:rsidRPr="00717165">
        <w:t xml:space="preserve"> </w:t>
      </w:r>
      <w:r w:rsidRPr="00717165">
        <w:t>falta</w:t>
      </w:r>
      <w:r w:rsidR="001E2AEC" w:rsidRPr="00717165">
        <w:t xml:space="preserve"> </w:t>
      </w:r>
      <w:r w:rsidRPr="00717165">
        <w:t>de</w:t>
      </w:r>
      <w:r w:rsidR="001E2AEC" w:rsidRPr="00717165">
        <w:t xml:space="preserve"> </w:t>
      </w:r>
      <w:r w:rsidRPr="00717165">
        <w:t>fundamentación</w:t>
      </w:r>
      <w:r w:rsidR="001E2AEC" w:rsidRPr="00717165">
        <w:t xml:space="preserve"> </w:t>
      </w:r>
      <w:r w:rsidRPr="00717165">
        <w:t>y motivación, cuando se omite expresar el dispositivo legal aplicable al asunto y las razones que se hayan considerado para estimar que el caso puede subsumirse en la hipótesis prevista en esa norma jurídica. En cambio, hay una</w:t>
      </w:r>
      <w:r w:rsidR="001E2AEC" w:rsidRPr="00717165">
        <w:t xml:space="preserve"> </w:t>
      </w:r>
      <w:r w:rsidRPr="00717165">
        <w:t>indebida</w:t>
      </w:r>
      <w:r w:rsidR="001E2AEC" w:rsidRPr="00717165">
        <w:t xml:space="preserve"> </w:t>
      </w:r>
      <w:r w:rsidRPr="00717165">
        <w:t>fundamentación</w:t>
      </w:r>
      <w:r w:rsidR="001E2AEC" w:rsidRPr="00717165">
        <w:t xml:space="preserve"> </w:t>
      </w:r>
      <w:r w:rsidRPr="00717165">
        <w:t>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w:t>
      </w:r>
      <w:r w:rsidR="001E2AEC" w:rsidRPr="00717165">
        <w:t xml:space="preserve"> </w:t>
      </w:r>
      <w:r w:rsidRPr="00717165">
        <w:t>falta</w:t>
      </w:r>
      <w:r w:rsidR="001E2AEC" w:rsidRPr="00717165">
        <w:t xml:space="preserve"> </w:t>
      </w:r>
      <w:r w:rsidRPr="00717165">
        <w:t>de</w:t>
      </w:r>
      <w:r w:rsidR="001E2AEC" w:rsidRPr="00717165">
        <w:t xml:space="preserve"> </w:t>
      </w:r>
      <w:r w:rsidRPr="00717165">
        <w:t>fundamentación</w:t>
      </w:r>
      <w:r w:rsidR="001E2AEC" w:rsidRPr="00717165">
        <w:t xml:space="preserve"> </w:t>
      </w:r>
      <w:r w:rsidRPr="00717165">
        <w:t>y motivación significa la carencia o ausencia de tales requisitos, mientras que la</w:t>
      </w:r>
      <w:r w:rsidR="001E2AEC" w:rsidRPr="00717165">
        <w:t xml:space="preserve"> </w:t>
      </w:r>
      <w:r w:rsidRPr="00717165">
        <w:t>indebida</w:t>
      </w:r>
      <w:r w:rsidR="001E2AEC" w:rsidRPr="00717165">
        <w:t xml:space="preserve"> </w:t>
      </w:r>
      <w:r w:rsidRPr="00717165">
        <w:t>o incorrecta</w:t>
      </w:r>
      <w:r w:rsidR="001E2AEC" w:rsidRPr="00717165">
        <w:t xml:space="preserve"> </w:t>
      </w:r>
      <w:r w:rsidRPr="00717165">
        <w:t>fundamentación</w:t>
      </w:r>
      <w:r w:rsidR="001E2AEC" w:rsidRPr="00717165">
        <w:t xml:space="preserve"> </w:t>
      </w:r>
      <w:r w:rsidRPr="00717165">
        <w:t>y motivación entraña la presencia de ambos requisitos constitucionales, pero con un desajuste entre la aplicación de normas y los razonamientos formulados por la autoridad con el caso concreto. La</w:t>
      </w:r>
      <w:r w:rsidR="001E2AEC" w:rsidRPr="00717165">
        <w:t xml:space="preserve"> </w:t>
      </w:r>
      <w:r w:rsidRPr="00717165">
        <w:t>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w:t>
      </w:r>
      <w:r w:rsidR="001E2AEC" w:rsidRPr="00717165">
        <w:t xml:space="preserve">ad expresando la fundamentación </w:t>
      </w:r>
      <w:r w:rsidRPr="00717165">
        <w:t>y motivación antes ausente, y en el segundo para que aporte fundamentos y motivos diferentes a los que formuló prev</w:t>
      </w:r>
      <w:r w:rsidR="001E2AEC" w:rsidRPr="00717165">
        <w:t xml:space="preserve">iamente. La apuntada diferencia </w:t>
      </w:r>
      <w:r w:rsidRPr="00717165">
        <w:t xml:space="preserve">trasciende, igualmente, al orden en que se deberán estudiar los argumentos que hagan valer los quejosos, ya que si en un caso se advierte la carencia de los requisitos constitucionales </w:t>
      </w:r>
      <w:r w:rsidRPr="00717165">
        <w:lastRenderedPageBreak/>
        <w:t>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w:t>
      </w:r>
      <w:r w:rsidR="001E2AEC" w:rsidRPr="00717165">
        <w:t xml:space="preserve"> </w:t>
      </w:r>
      <w:r w:rsidRPr="00717165">
        <w:t>indebida</w:t>
      </w:r>
      <w:r w:rsidR="001E2AEC" w:rsidRPr="00717165">
        <w:t xml:space="preserve"> </w:t>
      </w:r>
      <w:r w:rsidRPr="00717165">
        <w:t>fundamentación</w:t>
      </w:r>
      <w:r w:rsidR="001E2AEC" w:rsidRPr="00717165">
        <w:t xml:space="preserve"> </w:t>
      </w:r>
      <w:r w:rsidRPr="00717165">
        <w:t>y motivación, esto es, de la violación material o de fondo.</w:t>
      </w:r>
    </w:p>
    <w:p w:rsidR="001735AF" w:rsidRPr="00717165" w:rsidRDefault="001735AF" w:rsidP="001735AF">
      <w:pPr>
        <w:pStyle w:val="Citas"/>
        <w:spacing w:before="0" w:after="0" w:line="240" w:lineRule="auto"/>
        <w:ind w:left="567" w:right="567"/>
      </w:pPr>
      <w:r w:rsidRPr="00717165">
        <w:t>TERCER TRIBUNAL COLEGIADO EN MATERIA CIVIL DEL PRIMER CIRCUITO.</w:t>
      </w:r>
    </w:p>
    <w:p w:rsidR="001735AF" w:rsidRPr="00717165" w:rsidRDefault="001735AF" w:rsidP="001735AF">
      <w:pPr>
        <w:pStyle w:val="Citas"/>
        <w:spacing w:before="0" w:after="0" w:line="240" w:lineRule="auto"/>
        <w:ind w:left="567" w:right="567"/>
      </w:pPr>
      <w:r w:rsidRPr="00717165">
        <w:t>Amparo directo 551/2005. Jorge Luis Almaral Mendívil. 20 de octubre de 2005. Unanimidad de votos. Ponente: Neófito López Ramos. Secretario: Raúl Alfaro Telpalo.</w:t>
      </w:r>
    </w:p>
    <w:p w:rsidR="001735AF" w:rsidRPr="00717165" w:rsidRDefault="001735AF" w:rsidP="001735AF">
      <w:pPr>
        <w:pStyle w:val="Citas"/>
        <w:spacing w:before="0" w:after="0" w:line="240" w:lineRule="auto"/>
        <w:ind w:left="567" w:right="567"/>
      </w:pPr>
      <w:r w:rsidRPr="00717165">
        <w:t>Amparo directo 66/2007. Juan Ramón Jaime Alcántara. 15 de febrero de 2007. Unanimidad de votos. Ponente: Neófito López Ramos. Secretario: Raúl Alfaro Telpalo.</w:t>
      </w:r>
    </w:p>
    <w:p w:rsidR="001735AF" w:rsidRPr="00717165" w:rsidRDefault="001735AF" w:rsidP="001735AF">
      <w:pPr>
        <w:pStyle w:val="Citas"/>
        <w:spacing w:before="0" w:after="0" w:line="240" w:lineRule="auto"/>
        <w:ind w:left="567" w:right="567"/>
      </w:pPr>
      <w:r w:rsidRPr="00717165">
        <w:t>Amparo directo 364/2007. Guadalupe Rodríguez Daniel. 6 de julio de 2007. Unanimidad de votos. Ponente: Neófito López Ramos. Secretaria: Greta Lozada Amezcua.</w:t>
      </w:r>
    </w:p>
    <w:p w:rsidR="001735AF" w:rsidRPr="00717165" w:rsidRDefault="001735AF" w:rsidP="001735AF">
      <w:pPr>
        <w:pStyle w:val="Citas"/>
        <w:spacing w:before="0" w:after="0" w:line="240" w:lineRule="auto"/>
        <w:ind w:left="567" w:right="567"/>
      </w:pPr>
      <w:r w:rsidRPr="00717165">
        <w:t>Amparo directo 513/2007. Autofinanciamiento México, S.A. de C.V. 4 de octubre de 2007. Unanimidad de votos. Ponente: Neófito López Ramos. Secretario: Raúl Alfaro Telpalo.</w:t>
      </w:r>
    </w:p>
    <w:p w:rsidR="001735AF" w:rsidRPr="00717165" w:rsidRDefault="001735AF" w:rsidP="001735AF">
      <w:pPr>
        <w:pStyle w:val="Citas"/>
        <w:spacing w:before="0" w:after="0" w:line="240" w:lineRule="auto"/>
        <w:ind w:left="567" w:right="567"/>
        <w:rPr>
          <w:b/>
        </w:rPr>
      </w:pPr>
      <w:r w:rsidRPr="00717165">
        <w:t xml:space="preserve">Amparo directo 562/2007. Arenas y Gravas Xaltepec, S.A. 11 de octubre de 2007. Unanimidad de votos. Ponente: Neófito López Ramos. Secretario: Raúl Alfaro Telpalo.” </w:t>
      </w:r>
      <w:r w:rsidRPr="00717165">
        <w:rPr>
          <w:b/>
        </w:rPr>
        <w:t>(Sic)</w:t>
      </w:r>
    </w:p>
    <w:p w:rsidR="001735AF" w:rsidRPr="00717165" w:rsidRDefault="001735AF" w:rsidP="001735AF">
      <w:pPr>
        <w:spacing w:after="0" w:line="360" w:lineRule="auto"/>
        <w:jc w:val="both"/>
        <w:rPr>
          <w:rFonts w:ascii="Palatino Linotype" w:hAnsi="Palatino Linotype" w:cs="Arial"/>
          <w:noProof/>
          <w:color w:val="000000"/>
          <w:sz w:val="24"/>
          <w:lang w:eastAsia="es-MX"/>
        </w:rPr>
      </w:pPr>
    </w:p>
    <w:p w:rsidR="001735AF" w:rsidRPr="00717165" w:rsidRDefault="001735AF" w:rsidP="001735AF">
      <w:pPr>
        <w:spacing w:after="0" w:line="360" w:lineRule="auto"/>
        <w:jc w:val="both"/>
        <w:rPr>
          <w:rFonts w:ascii="Palatino Linotype" w:hAnsi="Palatino Linotype" w:cs="Arial"/>
          <w:sz w:val="24"/>
          <w:szCs w:val="24"/>
        </w:rPr>
      </w:pPr>
      <w:r w:rsidRPr="00717165">
        <w:rPr>
          <w:rFonts w:ascii="Palatino Linotype" w:hAnsi="Palatino Linotype" w:cs="Arial"/>
          <w:noProof/>
          <w:color w:val="000000"/>
          <w:sz w:val="24"/>
          <w:szCs w:val="24"/>
          <w:lang w:eastAsia="es-MX"/>
        </w:rPr>
        <w:t xml:space="preserve">Con base en lo anteriormente expuesto, se arriba a la conclusión de que </w:t>
      </w:r>
      <w:r w:rsidRPr="00717165">
        <w:rPr>
          <w:rFonts w:ascii="Palatino Linotype" w:hAnsi="Palatino Linotype" w:cs="Arial"/>
          <w:b/>
          <w:noProof/>
          <w:color w:val="000000"/>
          <w:sz w:val="24"/>
          <w:szCs w:val="24"/>
          <w:lang w:eastAsia="es-MX"/>
        </w:rPr>
        <w:t>el acuerdo de clasificación remitido no cumple con la pauta metodologica</w:t>
      </w:r>
      <w:r w:rsidRPr="00717165">
        <w:rPr>
          <w:rFonts w:ascii="Palatino Linotype" w:hAnsi="Palatino Linotype" w:cs="Arial"/>
          <w:noProof/>
          <w:color w:val="000000"/>
          <w:sz w:val="24"/>
          <w:szCs w:val="24"/>
          <w:lang w:eastAsia="es-MX"/>
        </w:rPr>
        <w:t xml:space="preserve"> prevista en los </w:t>
      </w:r>
      <w:r w:rsidRPr="00717165">
        <w:rPr>
          <w:rFonts w:ascii="Palatino Linotype" w:hAnsi="Palatino Linotype" w:cs="Arial"/>
          <w:sz w:val="24"/>
          <w:szCs w:val="24"/>
        </w:rPr>
        <w:t>Lineamientos Generales en Materia de Clasificación y Desclasificación de la Información, así como para la Elaboración de Versiones Públicas, y demás normatividad aplicable, lo anterior al tomar en consideración que el acuerdo remitido refleja falta de</w:t>
      </w:r>
      <w:r w:rsidR="001E2AEC" w:rsidRPr="00717165">
        <w:rPr>
          <w:rFonts w:ascii="Palatino Linotype" w:hAnsi="Palatino Linotype" w:cs="Arial"/>
          <w:sz w:val="24"/>
          <w:szCs w:val="24"/>
        </w:rPr>
        <w:t xml:space="preserve"> la debida</w:t>
      </w:r>
      <w:r w:rsidRPr="00717165">
        <w:rPr>
          <w:rFonts w:ascii="Palatino Linotype" w:hAnsi="Palatino Linotype" w:cs="Arial"/>
          <w:sz w:val="24"/>
          <w:szCs w:val="24"/>
        </w:rPr>
        <w:t xml:space="preserve"> fundamentación y </w:t>
      </w:r>
      <w:r w:rsidR="001E2AEC" w:rsidRPr="00717165">
        <w:rPr>
          <w:rFonts w:ascii="Palatino Linotype" w:hAnsi="Palatino Linotype" w:cs="Arial"/>
          <w:sz w:val="24"/>
          <w:szCs w:val="24"/>
        </w:rPr>
        <w:t>motivación, aunado que la solicitud de información que dio origen al acuerdo analizado es diversa a la solicitud de información origen del recurso de revisión que se resuelve mediante la presente resolución.</w:t>
      </w:r>
    </w:p>
    <w:p w:rsidR="001735AF" w:rsidRPr="00717165" w:rsidRDefault="001735AF" w:rsidP="001735AF">
      <w:pPr>
        <w:spacing w:after="0" w:line="360" w:lineRule="auto"/>
        <w:jc w:val="both"/>
        <w:rPr>
          <w:rFonts w:ascii="Palatino Linotype" w:eastAsia="Calibri" w:hAnsi="Palatino Linotype"/>
          <w:sz w:val="24"/>
        </w:rPr>
      </w:pPr>
    </w:p>
    <w:p w:rsidR="001735AF" w:rsidRPr="00717165" w:rsidRDefault="001E2AEC" w:rsidP="00EB7941">
      <w:pPr>
        <w:spacing w:after="0" w:line="360" w:lineRule="auto"/>
        <w:jc w:val="both"/>
        <w:rPr>
          <w:rFonts w:ascii="Palatino Linotype" w:eastAsia="Calibri" w:hAnsi="Palatino Linotype"/>
          <w:sz w:val="24"/>
          <w:lang w:val="es-ES_tradnl"/>
        </w:rPr>
      </w:pPr>
      <w:r w:rsidRPr="00717165">
        <w:rPr>
          <w:rFonts w:ascii="Palatino Linotype" w:eastAsia="Calibri" w:hAnsi="Palatino Linotype"/>
          <w:sz w:val="24"/>
          <w:lang w:val="es-ES_tradnl"/>
        </w:rPr>
        <w:t xml:space="preserve">Finalmente, no pasa desapercibido para este Órgano Garante que </w:t>
      </w:r>
      <w:r w:rsidR="00EB7941" w:rsidRPr="00717165">
        <w:rPr>
          <w:rFonts w:ascii="Palatino Linotype" w:eastAsia="Calibri" w:hAnsi="Palatino Linotype"/>
          <w:sz w:val="24"/>
          <w:lang w:val="es-ES_tradnl"/>
        </w:rPr>
        <w:t xml:space="preserve">algunos de los requerimientos de información, corresponden a obligaciones de transparencia común, establecidas en la fracción XXIX del artículo 92 de la Ley de Transparencia Local, relativa a los procedimientos de adjudicación directa, invitación restringida y licitación </w:t>
      </w:r>
      <w:r w:rsidR="00EB7941" w:rsidRPr="00717165">
        <w:rPr>
          <w:rFonts w:ascii="Palatino Linotype" w:eastAsia="Calibri" w:hAnsi="Palatino Linotype"/>
          <w:sz w:val="24"/>
          <w:lang w:val="es-ES_tradnl"/>
        </w:rPr>
        <w:lastRenderedPageBreak/>
        <w:t>de cualquier naturaleza, circunstancia que no permite la clasificación total como reservada del soporte documental, se cita a continuación el ordenamiento para pronta referencia:</w:t>
      </w:r>
    </w:p>
    <w:p w:rsidR="00EB7941" w:rsidRPr="00717165" w:rsidRDefault="00EB7941" w:rsidP="00EB7941">
      <w:pPr>
        <w:spacing w:after="0" w:line="360" w:lineRule="auto"/>
        <w:jc w:val="both"/>
        <w:rPr>
          <w:rFonts w:ascii="Palatino Linotype" w:eastAsia="Calibri" w:hAnsi="Palatino Linotype"/>
          <w:sz w:val="24"/>
          <w:lang w:val="es-ES_tradnl"/>
        </w:rPr>
      </w:pPr>
    </w:p>
    <w:p w:rsidR="00EB7941" w:rsidRPr="00717165" w:rsidRDefault="00EB7941" w:rsidP="00EB7941">
      <w:pPr>
        <w:spacing w:after="0" w:line="240" w:lineRule="auto"/>
        <w:ind w:left="567" w:right="567"/>
        <w:jc w:val="both"/>
        <w:rPr>
          <w:rFonts w:ascii="Palatino Linotype" w:eastAsia="Calibri" w:hAnsi="Palatino Linotype"/>
          <w:i/>
          <w:lang w:val="es-ES_tradnl"/>
        </w:rPr>
      </w:pPr>
      <w:r w:rsidRPr="00717165">
        <w:rPr>
          <w:rFonts w:ascii="Palatino Linotype" w:eastAsia="Calibri" w:hAnsi="Palatino Linotype"/>
          <w:i/>
          <w:lang w:val="es-ES_tradnl"/>
        </w:rPr>
        <w:t>“</w:t>
      </w:r>
      <w:r w:rsidRPr="00717165">
        <w:rPr>
          <w:rFonts w:ascii="Palatino Linotype" w:eastAsia="Calibri" w:hAnsi="Palatino Linotype"/>
          <w:b/>
          <w:i/>
        </w:rPr>
        <w:t>Artículo 92.</w:t>
      </w:r>
      <w:r w:rsidRPr="00717165">
        <w:rPr>
          <w:rFonts w:ascii="Palatino Linotype" w:eastAsia="Calibri"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B7941" w:rsidRPr="00717165" w:rsidRDefault="00EB7941" w:rsidP="00EB7941">
      <w:pPr>
        <w:spacing w:after="0" w:line="240" w:lineRule="auto"/>
        <w:ind w:left="567" w:right="567"/>
        <w:jc w:val="both"/>
        <w:rPr>
          <w:rFonts w:ascii="Palatino Linotype" w:eastAsia="Calibri" w:hAnsi="Palatino Linotype"/>
          <w:i/>
          <w:lang w:val="es-ES_tradnl"/>
        </w:rPr>
      </w:pPr>
      <w:r w:rsidRPr="00717165">
        <w:rPr>
          <w:rFonts w:ascii="Palatino Linotype" w:eastAsia="Calibri" w:hAnsi="Palatino Linotype"/>
          <w:i/>
          <w:lang w:val="es-ES_tradnl"/>
        </w:rPr>
        <w:t>…</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b/>
          <w:i/>
        </w:rPr>
        <w:t>XXIX.</w:t>
      </w:r>
      <w:r w:rsidRPr="00717165">
        <w:rPr>
          <w:rFonts w:ascii="Palatino Linotype" w:eastAsia="Calibri" w:hAnsi="Palatino Linotype"/>
          <w:i/>
        </w:rPr>
        <w:t xml:space="preserve"> La información sobre los procesos y resultados sobre </w:t>
      </w:r>
      <w:r w:rsidRPr="00717165">
        <w:rPr>
          <w:rFonts w:ascii="Palatino Linotype" w:eastAsia="Calibri" w:hAnsi="Palatino Linotype"/>
          <w:i/>
          <w:u w:val="single"/>
        </w:rPr>
        <w:t>procedimientos de adjudicación directa, invitación restringida y licitación de cualquier naturaleza, incluyendo la versión pública del expediente respectivo y de los contratos celebrados</w:t>
      </w:r>
      <w:r w:rsidRPr="00717165">
        <w:rPr>
          <w:rFonts w:ascii="Palatino Linotype" w:eastAsia="Calibri" w:hAnsi="Palatino Linotype"/>
          <w:i/>
        </w:rPr>
        <w:t xml:space="preserve">, que deberán contener, por los menos, lo siguiente: </w:t>
      </w:r>
    </w:p>
    <w:p w:rsidR="00EB7941" w:rsidRPr="00717165" w:rsidRDefault="00EB7941" w:rsidP="00EB7941">
      <w:pPr>
        <w:spacing w:after="0" w:line="240" w:lineRule="auto"/>
        <w:ind w:left="567" w:right="567"/>
        <w:jc w:val="both"/>
        <w:rPr>
          <w:rFonts w:ascii="Palatino Linotype" w:eastAsia="Calibri" w:hAnsi="Palatino Linotype"/>
          <w:b/>
          <w:i/>
        </w:rPr>
      </w:pPr>
      <w:r w:rsidRPr="00717165">
        <w:rPr>
          <w:rFonts w:ascii="Palatino Linotype" w:eastAsia="Calibri" w:hAnsi="Palatino Linotype"/>
          <w:b/>
          <w:i/>
        </w:rPr>
        <w:t xml:space="preserve">a) De licitaciones públicas o procedimientos de invitación restringida: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 La convocatoria o invitación emitida, así como los fundamentos legales aplicados para llevarla a cabo;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2) Los nombres de los participantes o invitados;</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3) El nombre del ganador y las razones que lo justifican;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4) El área solicitante y la responsable de su ejecución;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5) Las convocatorias e invitaciones emitidas;</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6) Los dictámenes y fallo de adjudicación;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7) El contrato y, en su caso, sus anexos;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8) Los mecanismos de vigilancia y supervisión, incluyendo en su caso, los estudios de impacto urbano y ambiental, según corresponda;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9) La partida presupuestal, de conformidad con el clasificador por objeto del gasto, en el caso de ser aplicable;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10) Origen de los recursos especificando si son federales, estatales o municipales, así como el tipo de fondo de participación o aportación respectiva;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11) Los convenios modificatorios que, en su caso, sean firmados, precisando el objeto y la fecha de celebración;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12) Los informes de avance físico y financiero sobre las obras o servicios contratados;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13) El convenio de terminación; y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14) El finiquito. </w:t>
      </w:r>
    </w:p>
    <w:p w:rsidR="00EB7941" w:rsidRPr="00717165" w:rsidRDefault="00EB7941" w:rsidP="00EB7941">
      <w:pPr>
        <w:spacing w:after="0" w:line="240" w:lineRule="auto"/>
        <w:ind w:left="567" w:right="567"/>
        <w:jc w:val="both"/>
        <w:rPr>
          <w:rFonts w:ascii="Palatino Linotype" w:eastAsia="Calibri" w:hAnsi="Palatino Linotype"/>
          <w:b/>
          <w:i/>
        </w:rPr>
      </w:pPr>
      <w:r w:rsidRPr="00717165">
        <w:rPr>
          <w:rFonts w:ascii="Palatino Linotype" w:eastAsia="Calibri" w:hAnsi="Palatino Linotype"/>
          <w:b/>
          <w:i/>
        </w:rPr>
        <w:t xml:space="preserve">b) De las adjudicaciones directas: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 La propuesta enviada por el participante;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2) Los motivos y fundamentos legales aplicados para llevarla a cabo;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3) La autorización del ejercicio de la opción;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lastRenderedPageBreak/>
        <w:t xml:space="preserve">4) En su caso, las cotizaciones consideradas, especificando los nombres de los proveedores y sus montos;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5) El nombre de la persona física o jurídica colectiva adjudicada;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6) La unidad administrativa solicitante y la responsable de su ejecución;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7) El número, fecha, el monto del contrato y el plazo de entrega o de ejecución de los servicios u obra;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8) Los mecanismos de vigilancia y supervisión, incluyendo, en su caso, los estudios de impacto urbano y ambiental, según corresponda;</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9) Los informes de avance sobre las obras o servicios contratados; </w:t>
      </w:r>
    </w:p>
    <w:p w:rsidR="00EB7941" w:rsidRPr="00717165" w:rsidRDefault="00EB7941" w:rsidP="00EB7941">
      <w:pPr>
        <w:spacing w:after="0" w:line="240" w:lineRule="auto"/>
        <w:ind w:left="567" w:right="567"/>
        <w:jc w:val="both"/>
        <w:rPr>
          <w:rFonts w:ascii="Palatino Linotype" w:eastAsia="Calibri" w:hAnsi="Palatino Linotype"/>
          <w:i/>
        </w:rPr>
      </w:pPr>
      <w:r w:rsidRPr="00717165">
        <w:rPr>
          <w:rFonts w:ascii="Palatino Linotype" w:eastAsia="Calibri" w:hAnsi="Palatino Linotype"/>
          <w:i/>
        </w:rPr>
        <w:t xml:space="preserve">10) El convenio de terminación; y </w:t>
      </w:r>
    </w:p>
    <w:p w:rsidR="00EB7941" w:rsidRPr="00717165" w:rsidRDefault="00EB7941" w:rsidP="00EB7941">
      <w:pPr>
        <w:spacing w:after="0" w:line="240" w:lineRule="auto"/>
        <w:ind w:left="567" w:right="567"/>
        <w:jc w:val="both"/>
        <w:rPr>
          <w:rFonts w:ascii="Palatino Linotype" w:eastAsia="Calibri" w:hAnsi="Palatino Linotype"/>
        </w:rPr>
      </w:pPr>
      <w:r w:rsidRPr="00717165">
        <w:rPr>
          <w:rFonts w:ascii="Palatino Linotype" w:eastAsia="Calibri" w:hAnsi="Palatino Linotype"/>
          <w:i/>
        </w:rPr>
        <w:t>11) El finiquito.”</w:t>
      </w:r>
    </w:p>
    <w:p w:rsidR="00EB7941" w:rsidRPr="00717165" w:rsidRDefault="00EB7941" w:rsidP="00EB7941">
      <w:pPr>
        <w:spacing w:after="0" w:line="240" w:lineRule="auto"/>
        <w:ind w:left="567" w:right="567"/>
        <w:jc w:val="right"/>
        <w:rPr>
          <w:rFonts w:ascii="Palatino Linotype" w:eastAsia="Calibri" w:hAnsi="Palatino Linotype"/>
          <w:lang w:val="es-ES_tradnl"/>
        </w:rPr>
      </w:pPr>
      <w:r w:rsidRPr="00717165">
        <w:rPr>
          <w:rFonts w:ascii="Palatino Linotype" w:eastAsia="Calibri" w:hAnsi="Palatino Linotype"/>
        </w:rPr>
        <w:t>(Énfasis añadido)</w:t>
      </w:r>
    </w:p>
    <w:p w:rsidR="001735AF" w:rsidRPr="00717165" w:rsidRDefault="001735AF" w:rsidP="001735AF">
      <w:pPr>
        <w:spacing w:after="0" w:line="360" w:lineRule="auto"/>
        <w:jc w:val="both"/>
        <w:rPr>
          <w:rFonts w:ascii="Palatino Linotype" w:eastAsia="Calibri" w:hAnsi="Palatino Linotype"/>
          <w:sz w:val="24"/>
          <w:lang w:val="es-ES_tradnl"/>
        </w:rPr>
      </w:pPr>
    </w:p>
    <w:p w:rsidR="001E7EF6" w:rsidRPr="00717165" w:rsidRDefault="00EB7941" w:rsidP="001735AF">
      <w:pPr>
        <w:spacing w:after="0" w:line="360" w:lineRule="auto"/>
        <w:jc w:val="both"/>
        <w:rPr>
          <w:rFonts w:ascii="Palatino Linotype" w:eastAsia="Calibri" w:hAnsi="Palatino Linotype" w:cs="Times New Roman"/>
          <w:sz w:val="24"/>
          <w:szCs w:val="24"/>
          <w:lang w:val="es-ES_tradnl" w:eastAsia="es-ES"/>
        </w:rPr>
      </w:pPr>
      <w:r w:rsidRPr="00717165">
        <w:rPr>
          <w:rFonts w:ascii="Palatino Linotype" w:eastAsia="Calibri" w:hAnsi="Palatino Linotype" w:cs="Times New Roman"/>
          <w:sz w:val="24"/>
          <w:szCs w:val="24"/>
          <w:lang w:val="es-ES_tradnl" w:eastAsia="es-ES"/>
        </w:rPr>
        <w:t xml:space="preserve">Es con base en las consideraciones de hecho y de derecho señaladas previamente, que se puede concluir que el </w:t>
      </w:r>
      <w:r w:rsidRPr="00717165">
        <w:rPr>
          <w:rFonts w:ascii="Palatino Linotype" w:eastAsia="Calibri" w:hAnsi="Palatino Linotype" w:cs="Times New Roman"/>
          <w:b/>
          <w:sz w:val="24"/>
          <w:szCs w:val="24"/>
          <w:lang w:val="es-ES_tradnl" w:eastAsia="es-ES"/>
        </w:rPr>
        <w:t>Sujeto Obligado</w:t>
      </w:r>
      <w:r w:rsidRPr="00717165">
        <w:rPr>
          <w:rFonts w:ascii="Palatino Linotype" w:eastAsia="Calibri" w:hAnsi="Palatino Linotype" w:cs="Times New Roman"/>
          <w:sz w:val="24"/>
          <w:szCs w:val="24"/>
          <w:lang w:val="es-ES_tradnl" w:eastAsia="es-ES"/>
        </w:rPr>
        <w:t xml:space="preserve"> no satisface los requerimientos de información del </w:t>
      </w:r>
      <w:r w:rsidRPr="00717165">
        <w:rPr>
          <w:rFonts w:ascii="Palatino Linotype" w:eastAsia="Calibri" w:hAnsi="Palatino Linotype" w:cs="Times New Roman"/>
          <w:b/>
          <w:sz w:val="24"/>
          <w:szCs w:val="24"/>
          <w:lang w:val="es-ES_tradnl" w:eastAsia="es-ES"/>
        </w:rPr>
        <w:t>Recurrente</w:t>
      </w:r>
      <w:r w:rsidRPr="00717165">
        <w:rPr>
          <w:rFonts w:ascii="Palatino Linotype" w:eastAsia="Calibri" w:hAnsi="Palatino Linotype" w:cs="Times New Roman"/>
          <w:sz w:val="24"/>
          <w:szCs w:val="24"/>
          <w:lang w:val="es-ES_tradnl" w:eastAsia="es-ES"/>
        </w:rPr>
        <w:t xml:space="preserve">, al </w:t>
      </w:r>
      <w:r w:rsidR="00E74C8B" w:rsidRPr="00717165">
        <w:rPr>
          <w:rFonts w:ascii="Palatino Linotype" w:eastAsia="Calibri" w:hAnsi="Palatino Linotype" w:cs="Times New Roman"/>
          <w:sz w:val="24"/>
          <w:szCs w:val="24"/>
          <w:lang w:val="es-ES_tradnl" w:eastAsia="es-ES"/>
        </w:rPr>
        <w:t>contradecirse en un primer momento y posteriormente pretender clasificar como reservada la información, a pesar que algunos de los requerimientos corresponden a información pública de oficio, consecuentemente, resulta dable ordenar su entrega debiendo observar lo relativo a la información de carácter sensible y confidencial.</w:t>
      </w:r>
    </w:p>
    <w:p w:rsidR="00EB7941" w:rsidRPr="00717165" w:rsidRDefault="00EB7941" w:rsidP="001735AF">
      <w:pPr>
        <w:spacing w:after="0" w:line="360" w:lineRule="auto"/>
        <w:jc w:val="both"/>
        <w:rPr>
          <w:rFonts w:ascii="Palatino Linotype" w:eastAsia="Calibri" w:hAnsi="Palatino Linotype" w:cs="Times New Roman"/>
          <w:sz w:val="24"/>
          <w:szCs w:val="24"/>
          <w:lang w:val="es-ES_tradnl" w:eastAsia="es-ES"/>
        </w:rPr>
      </w:pPr>
    </w:p>
    <w:p w:rsidR="001E7EF6" w:rsidRPr="00717165" w:rsidRDefault="001E7EF6" w:rsidP="001735AF">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717165">
        <w:rPr>
          <w:rFonts w:ascii="Palatino Linotype" w:eastAsia="Times New Roman" w:hAnsi="Palatino Linotype" w:cs="Arial"/>
          <w:b/>
          <w:i/>
          <w:sz w:val="28"/>
          <w:szCs w:val="24"/>
          <w:lang w:val="es-ES" w:eastAsia="es-ES"/>
        </w:rPr>
        <w:t>De la versión pública</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w:t>
      </w:r>
      <w:r w:rsidRPr="00717165">
        <w:rPr>
          <w:rFonts w:ascii="Palatino Linotype" w:hAnsi="Palatino Linotype" w:cs="Arial"/>
          <w:sz w:val="24"/>
          <w:szCs w:val="24"/>
        </w:rPr>
        <w:lastRenderedPageBreak/>
        <w:t>y XLV; 4, 51, 91, 137 y 143 de la Ley de Transparencia y Acceso a la Información Pública del Estado de México y Municipios.</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505"/>
        </w:tabs>
        <w:spacing w:after="0" w:line="240" w:lineRule="auto"/>
        <w:ind w:left="567" w:right="567"/>
        <w:jc w:val="both"/>
        <w:rPr>
          <w:rFonts w:ascii="Palatino Linotype" w:hAnsi="Palatino Linotype" w:cs="Arial"/>
          <w:bCs/>
          <w:i/>
        </w:rPr>
      </w:pPr>
      <w:r w:rsidRPr="00717165">
        <w:rPr>
          <w:rFonts w:ascii="Palatino Linotype" w:hAnsi="Palatino Linotype" w:cs="Arial"/>
          <w:bCs/>
          <w:i/>
        </w:rPr>
        <w:t>“</w:t>
      </w:r>
      <w:r w:rsidRPr="00717165">
        <w:rPr>
          <w:rFonts w:ascii="Palatino Linotype" w:hAnsi="Palatino Linotype" w:cs="Arial"/>
          <w:b/>
          <w:bCs/>
          <w:i/>
        </w:rPr>
        <w:t>Cuarto</w:t>
      </w:r>
      <w:r w:rsidRPr="00717165">
        <w:rPr>
          <w:rFonts w:ascii="Palatino Linotype" w:hAnsi="Palatino Linotype" w:cs="Arial"/>
          <w:bCs/>
          <w:i/>
        </w:rPr>
        <w:t xml:space="preserve">. </w:t>
      </w:r>
      <w:r w:rsidRPr="00717165">
        <w:rPr>
          <w:rFonts w:ascii="Palatino Linotype" w:hAnsi="Palatino Linotype" w:cs="Arial"/>
          <w:b/>
          <w:bCs/>
          <w:i/>
          <w:u w:val="single"/>
        </w:rPr>
        <w:t>Para clasificar la información como reservada o confidencial,</w:t>
      </w:r>
      <w:r w:rsidRPr="00717165">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717165">
        <w:rPr>
          <w:rFonts w:ascii="Palatino Linotype" w:hAnsi="Palatino Linotype" w:cs="Arial"/>
          <w:bCs/>
          <w:i/>
        </w:rPr>
        <w:lastRenderedPageBreak/>
        <w:t>de sus respectivas competencias, en tanto estas últimas no contravengan lo dispuesto en la Ley General.</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Los sujetos obligados deberán aplicar, de manera estricta, las excepciones al derecho de acceso a la información y sólo podrán invocarlas cuando acrediten su procedencia.</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
          <w:bCs/>
          <w:i/>
        </w:rPr>
        <w:t>Quinto</w:t>
      </w:r>
      <w:r w:rsidRPr="00717165">
        <w:rPr>
          <w:rFonts w:ascii="Palatino Linotype" w:hAnsi="Palatino Linotype" w:cs="Arial"/>
          <w:bCs/>
          <w:i/>
        </w:rPr>
        <w:t xml:space="preserve">. </w:t>
      </w:r>
      <w:r w:rsidRPr="00717165">
        <w:rPr>
          <w:rFonts w:ascii="Palatino Linotype" w:hAnsi="Palatino Linotype" w:cs="Arial"/>
          <w:b/>
          <w:bCs/>
          <w:i/>
        </w:rPr>
        <w:t xml:space="preserve">La carga de la prueba para justificar toda negativa de acceso a la información, </w:t>
      </w:r>
      <w:r w:rsidRPr="00717165">
        <w:rPr>
          <w:rFonts w:ascii="Palatino Linotype" w:hAnsi="Palatino Linotype" w:cs="Arial"/>
          <w:bCs/>
          <w:i/>
        </w:rPr>
        <w:t>por actualizarse cualquiera de los supuestos de clasificación previstos en la Ley General, la Ley Federal y leyes estatales, corresponderá</w:t>
      </w:r>
      <w:r w:rsidRPr="00717165">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717165">
        <w:rPr>
          <w:rFonts w:ascii="Palatino Linotype" w:hAnsi="Palatino Linotype" w:cs="Arial"/>
          <w:bCs/>
          <w:i/>
        </w:rPr>
        <w:t>, observando lo dispuesto en la Ley General y las demás disposiciones aplicables en la materia.</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
          <w:bCs/>
          <w:i/>
        </w:rPr>
        <w:t>Octavo</w:t>
      </w:r>
      <w:r w:rsidRPr="00717165">
        <w:rPr>
          <w:rFonts w:ascii="Palatino Linotype" w:hAnsi="Palatino Linotype" w:cs="Arial"/>
          <w:bCs/>
          <w:i/>
        </w:rPr>
        <w:t xml:space="preserve">. </w:t>
      </w:r>
      <w:r w:rsidRPr="00717165">
        <w:rPr>
          <w:rFonts w:ascii="Palatino Linotype" w:hAnsi="Palatino Linotype" w:cs="Arial"/>
          <w:bCs/>
          <w:i/>
          <w:u w:val="single"/>
        </w:rPr>
        <w:t>Para fundar la clasificación de la información se debe señalar el artículo, fracción, inciso, párrafo o numeral de la ley o tratado internacional</w:t>
      </w:r>
      <w:r w:rsidRPr="00717165">
        <w:rPr>
          <w:rFonts w:ascii="Palatino Linotype" w:hAnsi="Palatino Linotype" w:cs="Arial"/>
          <w:bCs/>
          <w:i/>
        </w:rPr>
        <w:t xml:space="preserve"> suscrito por el Estado mexicano que expresamente le otorga el carácter de reservada o confidencial.</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w:t>
      </w:r>
    </w:p>
    <w:p w:rsidR="001E7EF6" w:rsidRPr="00717165" w:rsidRDefault="001E7EF6" w:rsidP="001735AF">
      <w:pPr>
        <w:tabs>
          <w:tab w:val="left" w:pos="8647"/>
        </w:tabs>
        <w:spacing w:after="0" w:line="240" w:lineRule="auto"/>
        <w:ind w:left="567" w:right="567"/>
        <w:jc w:val="both"/>
        <w:rPr>
          <w:rFonts w:ascii="Palatino Linotype" w:hAnsi="Palatino Linotype" w:cs="Arial"/>
          <w:b/>
          <w:bCs/>
          <w:i/>
        </w:rPr>
      </w:pPr>
      <w:r w:rsidRPr="00717165">
        <w:rPr>
          <w:rFonts w:ascii="Palatino Linotype" w:hAnsi="Palatino Linotype" w:cs="Arial"/>
          <w:b/>
          <w:bCs/>
          <w:i/>
        </w:rPr>
        <w:t>DE LA INFORMACIÓN CONFIDENCIAL</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
          <w:bCs/>
          <w:i/>
        </w:rPr>
        <w:t xml:space="preserve">Trigésimo octavo. </w:t>
      </w:r>
      <w:r w:rsidRPr="00717165">
        <w:rPr>
          <w:rFonts w:ascii="Palatino Linotype" w:hAnsi="Palatino Linotype" w:cs="Arial"/>
          <w:bCs/>
          <w:i/>
        </w:rPr>
        <w:t>Se considera información confidencial:</w:t>
      </w:r>
    </w:p>
    <w:p w:rsidR="001E7EF6" w:rsidRPr="00717165" w:rsidRDefault="001E7EF6" w:rsidP="001735AF">
      <w:pPr>
        <w:tabs>
          <w:tab w:val="left" w:pos="8647"/>
        </w:tabs>
        <w:spacing w:after="0" w:line="240" w:lineRule="auto"/>
        <w:ind w:left="567" w:right="567"/>
        <w:jc w:val="both"/>
        <w:rPr>
          <w:rFonts w:ascii="Palatino Linotype" w:hAnsi="Palatino Linotype" w:cs="Arial"/>
          <w:b/>
          <w:bCs/>
          <w:i/>
        </w:rPr>
      </w:pPr>
      <w:r w:rsidRPr="00717165">
        <w:rPr>
          <w:rFonts w:ascii="Palatino Linotype" w:hAnsi="Palatino Linotype" w:cs="Arial"/>
          <w:bCs/>
          <w:i/>
        </w:rPr>
        <w:t xml:space="preserve">I. </w:t>
      </w:r>
      <w:r w:rsidRPr="00717165">
        <w:rPr>
          <w:rFonts w:ascii="Palatino Linotype" w:hAnsi="Palatino Linotype" w:cs="Arial"/>
          <w:b/>
          <w:bCs/>
          <w:i/>
          <w:u w:val="single"/>
        </w:rPr>
        <w:t>Los datos personales en los términos de la norma aplicable</w:t>
      </w:r>
      <w:r w:rsidRPr="00717165">
        <w:rPr>
          <w:rFonts w:ascii="Palatino Linotype" w:hAnsi="Palatino Linotype" w:cs="Arial"/>
          <w:b/>
          <w:bCs/>
          <w:i/>
        </w:rPr>
        <w:t>;</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III …</w:t>
      </w:r>
    </w:p>
    <w:p w:rsidR="001E7EF6" w:rsidRPr="00717165" w:rsidRDefault="001E7EF6" w:rsidP="001735AF">
      <w:pPr>
        <w:tabs>
          <w:tab w:val="left" w:pos="8647"/>
        </w:tabs>
        <w:spacing w:after="0" w:line="240" w:lineRule="auto"/>
        <w:ind w:left="567" w:right="567"/>
        <w:jc w:val="both"/>
        <w:rPr>
          <w:rFonts w:ascii="Palatino Linotype" w:hAnsi="Palatino Linotype" w:cs="Arial"/>
          <w:bCs/>
          <w:i/>
        </w:rPr>
      </w:pPr>
      <w:r w:rsidRPr="00717165">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1E7EF6" w:rsidRPr="00717165" w:rsidRDefault="001E7EF6" w:rsidP="001735AF">
      <w:pPr>
        <w:tabs>
          <w:tab w:val="left" w:pos="8647"/>
        </w:tabs>
        <w:spacing w:after="0" w:line="240" w:lineRule="auto"/>
        <w:ind w:left="567" w:right="567"/>
        <w:jc w:val="right"/>
        <w:rPr>
          <w:rFonts w:ascii="Palatino Linotype" w:hAnsi="Palatino Linotype" w:cs="Arial"/>
          <w:bCs/>
        </w:rPr>
      </w:pPr>
      <w:r w:rsidRPr="00717165">
        <w:rPr>
          <w:rFonts w:ascii="Palatino Linotype" w:hAnsi="Palatino Linotype" w:cs="Arial"/>
          <w:bCs/>
        </w:rPr>
        <w:t>(Énfasis añadido)</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r w:rsidRPr="00717165">
        <w:rPr>
          <w:rFonts w:ascii="Palatino Linotype" w:hAnsi="Palatino Linotype" w:cs="Arial"/>
          <w:sz w:val="24"/>
          <w:szCs w:val="24"/>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7EF6" w:rsidRPr="00717165" w:rsidRDefault="001E7EF6" w:rsidP="001735AF">
      <w:pPr>
        <w:tabs>
          <w:tab w:val="left" w:pos="8647"/>
        </w:tabs>
        <w:spacing w:after="0" w:line="360" w:lineRule="auto"/>
        <w:ind w:right="51"/>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360" w:lineRule="auto"/>
        <w:contextualSpacing/>
        <w:jc w:val="both"/>
        <w:rPr>
          <w:rFonts w:ascii="Palatino Linotype" w:hAnsi="Palatino Linotype" w:cs="Arial"/>
          <w:sz w:val="24"/>
          <w:lang w:val="es-ES"/>
        </w:rPr>
      </w:pPr>
      <w:r w:rsidRPr="00717165">
        <w:rPr>
          <w:rFonts w:ascii="Palatino Linotype" w:eastAsia="Times New Roman" w:hAnsi="Palatino Linotype" w:cs="Arial"/>
          <w:sz w:val="24"/>
          <w:szCs w:val="24"/>
          <w:lang w:val="es-ES" w:eastAsia="es-ES"/>
        </w:rPr>
        <w:t xml:space="preserve">Entonces, el </w:t>
      </w:r>
      <w:r w:rsidRPr="00717165">
        <w:rPr>
          <w:rFonts w:ascii="Palatino Linotype" w:eastAsia="Times New Roman" w:hAnsi="Palatino Linotype" w:cs="Arial"/>
          <w:b/>
          <w:sz w:val="24"/>
          <w:szCs w:val="24"/>
          <w:lang w:val="es-ES" w:eastAsia="es-ES"/>
        </w:rPr>
        <w:t>Sujeto Obligado</w:t>
      </w:r>
      <w:r w:rsidRPr="00717165">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17165">
        <w:rPr>
          <w:rFonts w:ascii="Palatino Linotype" w:eastAsia="Times New Roman" w:hAnsi="Palatino Linotype" w:cs="Arial"/>
          <w:i/>
          <w:iCs/>
          <w:sz w:val="24"/>
          <w:szCs w:val="24"/>
          <w:lang w:val="es-ES" w:eastAsia="es-ES"/>
        </w:rPr>
        <w:t>.</w:t>
      </w:r>
    </w:p>
    <w:p w:rsidR="001E7EF6" w:rsidRPr="00717165" w:rsidRDefault="001E7EF6" w:rsidP="001735AF">
      <w:pPr>
        <w:spacing w:after="0" w:line="360" w:lineRule="auto"/>
        <w:jc w:val="both"/>
        <w:rPr>
          <w:rFonts w:ascii="Palatino Linotype" w:hAnsi="Palatino Linotype" w:cs="Arial"/>
          <w:sz w:val="24"/>
          <w:szCs w:val="24"/>
          <w:lang w:val="es-ES"/>
        </w:rPr>
      </w:pPr>
    </w:p>
    <w:p w:rsidR="001E7EF6" w:rsidRPr="00717165" w:rsidRDefault="001E7EF6" w:rsidP="001735AF">
      <w:pPr>
        <w:spacing w:after="0" w:line="360" w:lineRule="auto"/>
        <w:jc w:val="both"/>
        <w:rPr>
          <w:rFonts w:ascii="Palatino Linotype" w:hAnsi="Palatino Linotype"/>
          <w:sz w:val="24"/>
          <w:szCs w:val="24"/>
        </w:rPr>
      </w:pPr>
      <w:r w:rsidRPr="00717165">
        <w:rPr>
          <w:rFonts w:ascii="Palatino Linotype" w:hAnsi="Palatino Linotype"/>
          <w:sz w:val="24"/>
          <w:szCs w:val="24"/>
        </w:rPr>
        <w:t xml:space="preserve">En mérito de lo expuesto en líneas anteriores, al resultar fundados los motivos de inconformidad vertidos por la Recurrente, con fundamento en la primera hipótesis del artículo 186 fracción III de la Ley de Transparencia y Acceso a la Información Pública del Estado de México y Municipios, se </w:t>
      </w:r>
      <w:r w:rsidRPr="00717165">
        <w:rPr>
          <w:rFonts w:ascii="Palatino Linotype" w:hAnsi="Palatino Linotype"/>
          <w:b/>
          <w:sz w:val="24"/>
          <w:szCs w:val="24"/>
        </w:rPr>
        <w:t xml:space="preserve">REVOCA </w:t>
      </w:r>
      <w:r w:rsidRPr="00717165">
        <w:rPr>
          <w:rFonts w:ascii="Palatino Linotype" w:hAnsi="Palatino Linotype"/>
          <w:sz w:val="24"/>
          <w:szCs w:val="24"/>
        </w:rPr>
        <w:t xml:space="preserve">la respuesta emitida a la solicitud de información </w:t>
      </w:r>
      <w:r w:rsidRPr="00717165">
        <w:rPr>
          <w:rFonts w:ascii="Palatino Linotype" w:hAnsi="Palatino Linotype" w:cs="Arial"/>
          <w:b/>
          <w:sz w:val="24"/>
          <w:szCs w:val="24"/>
        </w:rPr>
        <w:t>00368/TLALNEPA/IP/2022</w:t>
      </w:r>
      <w:r w:rsidRPr="00717165">
        <w:rPr>
          <w:rFonts w:ascii="Palatino Linotype" w:hAnsi="Palatino Linotype" w:cs="Arial"/>
          <w:sz w:val="24"/>
          <w:szCs w:val="24"/>
        </w:rPr>
        <w:t xml:space="preserve">, </w:t>
      </w:r>
      <w:r w:rsidRPr="00717165">
        <w:rPr>
          <w:rFonts w:ascii="Palatino Linotype" w:hAnsi="Palatino Linotype"/>
          <w:sz w:val="24"/>
          <w:szCs w:val="24"/>
        </w:rPr>
        <w:t>que ha sido materia del presente fallo.</w:t>
      </w: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p>
    <w:p w:rsidR="001E7EF6" w:rsidRPr="00717165" w:rsidRDefault="001E7EF6" w:rsidP="001735AF">
      <w:pPr>
        <w:autoSpaceDE w:val="0"/>
        <w:autoSpaceDN w:val="0"/>
        <w:adjustRightInd w:val="0"/>
        <w:spacing w:after="0" w:line="360" w:lineRule="auto"/>
        <w:jc w:val="both"/>
        <w:rPr>
          <w:rFonts w:ascii="Palatino Linotype" w:hAnsi="Palatino Linotype" w:cs="Arial"/>
          <w:sz w:val="24"/>
          <w:szCs w:val="24"/>
        </w:rPr>
      </w:pPr>
      <w:r w:rsidRPr="00717165">
        <w:rPr>
          <w:rFonts w:ascii="Palatino Linotype" w:hAnsi="Palatino Linotype" w:cs="Arial"/>
          <w:sz w:val="24"/>
          <w:szCs w:val="24"/>
        </w:rPr>
        <w:t>Por lo antes expuesto y fundado es de resolverse y,</w:t>
      </w:r>
    </w:p>
    <w:p w:rsidR="001E7EF6" w:rsidRPr="00717165" w:rsidRDefault="001E7EF6" w:rsidP="001735AF">
      <w:pPr>
        <w:spacing w:after="0" w:line="360" w:lineRule="auto"/>
        <w:ind w:left="426"/>
        <w:jc w:val="center"/>
        <w:rPr>
          <w:rFonts w:ascii="Palatino Linotype" w:eastAsia="Times New Roman" w:hAnsi="Palatino Linotype" w:cs="Times New Roman"/>
          <w:b/>
          <w:color w:val="000000"/>
          <w:sz w:val="28"/>
          <w:szCs w:val="24"/>
          <w:lang w:val="es-ES" w:eastAsia="es-ES"/>
        </w:rPr>
      </w:pPr>
      <w:r w:rsidRPr="00717165">
        <w:rPr>
          <w:rFonts w:ascii="Palatino Linotype" w:eastAsia="Times New Roman" w:hAnsi="Palatino Linotype" w:cs="Times New Roman"/>
          <w:b/>
          <w:color w:val="000000"/>
          <w:sz w:val="28"/>
          <w:szCs w:val="24"/>
          <w:lang w:val="es-ES" w:eastAsia="es-ES"/>
        </w:rPr>
        <w:lastRenderedPageBreak/>
        <w:t>SE    RESUELVE</w:t>
      </w:r>
    </w:p>
    <w:p w:rsidR="001E7EF6" w:rsidRPr="00717165" w:rsidRDefault="001E7EF6" w:rsidP="001735AF">
      <w:pPr>
        <w:spacing w:after="0" w:line="360" w:lineRule="auto"/>
        <w:ind w:left="426"/>
        <w:jc w:val="center"/>
        <w:rPr>
          <w:rFonts w:ascii="Palatino Linotype" w:eastAsia="Times New Roman" w:hAnsi="Palatino Linotype" w:cs="Times New Roman"/>
          <w:b/>
          <w:color w:val="000000"/>
          <w:sz w:val="24"/>
          <w:szCs w:val="24"/>
          <w:lang w:val="es-ES" w:eastAsia="es-ES"/>
        </w:rPr>
      </w:pPr>
    </w:p>
    <w:p w:rsidR="001E7EF6" w:rsidRPr="00717165" w:rsidRDefault="001E7EF6" w:rsidP="001735AF">
      <w:pPr>
        <w:spacing w:after="0" w:line="360" w:lineRule="auto"/>
        <w:jc w:val="both"/>
        <w:rPr>
          <w:rFonts w:ascii="Palatino Linotype" w:eastAsia="Times New Roman" w:hAnsi="Palatino Linotype" w:cs="Arial"/>
          <w:sz w:val="24"/>
          <w:szCs w:val="24"/>
          <w:lang w:eastAsia="es-ES"/>
        </w:rPr>
      </w:pPr>
      <w:r w:rsidRPr="00717165">
        <w:rPr>
          <w:rFonts w:ascii="Palatino Linotype" w:eastAsia="Times New Roman" w:hAnsi="Palatino Linotype" w:cs="Arial"/>
          <w:b/>
          <w:sz w:val="28"/>
          <w:szCs w:val="24"/>
          <w:lang w:eastAsia="es-ES"/>
        </w:rPr>
        <w:t>PRIMERO</w:t>
      </w:r>
      <w:r w:rsidRPr="00717165">
        <w:rPr>
          <w:rFonts w:ascii="Palatino Linotype" w:eastAsia="Times New Roman" w:hAnsi="Palatino Linotype" w:cs="Arial"/>
          <w:b/>
          <w:sz w:val="24"/>
          <w:szCs w:val="24"/>
          <w:lang w:eastAsia="es-ES"/>
        </w:rPr>
        <w:t xml:space="preserve">. </w:t>
      </w:r>
      <w:r w:rsidRPr="00717165">
        <w:rPr>
          <w:rFonts w:ascii="Palatino Linotype" w:eastAsia="Times New Roman" w:hAnsi="Palatino Linotype" w:cs="Arial"/>
          <w:sz w:val="24"/>
          <w:szCs w:val="24"/>
          <w:lang w:eastAsia="es-ES"/>
        </w:rPr>
        <w:t>Se</w:t>
      </w:r>
      <w:r w:rsidRPr="00717165">
        <w:rPr>
          <w:rFonts w:ascii="Palatino Linotype" w:eastAsia="Times New Roman" w:hAnsi="Palatino Linotype" w:cs="Arial"/>
          <w:b/>
          <w:sz w:val="24"/>
          <w:szCs w:val="24"/>
          <w:lang w:eastAsia="es-ES"/>
        </w:rPr>
        <w:t xml:space="preserve"> REVOCA </w:t>
      </w:r>
      <w:r w:rsidRPr="00717165">
        <w:rPr>
          <w:rFonts w:ascii="Palatino Linotype" w:eastAsia="Times New Roman" w:hAnsi="Palatino Linotype" w:cs="Arial"/>
          <w:sz w:val="24"/>
          <w:szCs w:val="24"/>
          <w:lang w:eastAsia="es-ES"/>
        </w:rPr>
        <w:t xml:space="preserve">la respuesta del </w:t>
      </w:r>
      <w:r w:rsidRPr="00717165">
        <w:rPr>
          <w:rFonts w:ascii="Palatino Linotype" w:eastAsia="Times New Roman" w:hAnsi="Palatino Linotype" w:cs="Arial"/>
          <w:b/>
          <w:sz w:val="24"/>
          <w:szCs w:val="24"/>
          <w:lang w:eastAsia="es-ES"/>
        </w:rPr>
        <w:t>Sujeto Obligado</w:t>
      </w:r>
      <w:r w:rsidRPr="00717165">
        <w:rPr>
          <w:rFonts w:ascii="Palatino Linotype" w:eastAsia="Times New Roman" w:hAnsi="Palatino Linotype" w:cs="Arial"/>
          <w:sz w:val="24"/>
          <w:szCs w:val="24"/>
          <w:lang w:eastAsia="es-ES"/>
        </w:rPr>
        <w:t xml:space="preserve"> a la solicitud de acceso a la información pública</w:t>
      </w:r>
      <w:r w:rsidRPr="00717165">
        <w:rPr>
          <w:rFonts w:ascii="Palatino Linotype" w:eastAsia="Times New Roman" w:hAnsi="Palatino Linotype" w:cs="Arial"/>
          <w:b/>
          <w:sz w:val="24"/>
          <w:szCs w:val="24"/>
          <w:lang w:eastAsia="es-ES"/>
        </w:rPr>
        <w:t xml:space="preserve"> </w:t>
      </w:r>
      <w:r w:rsidRPr="00717165">
        <w:rPr>
          <w:rFonts w:ascii="Palatino Linotype" w:hAnsi="Palatino Linotype" w:cs="Arial"/>
          <w:b/>
          <w:sz w:val="24"/>
          <w:szCs w:val="24"/>
        </w:rPr>
        <w:t>00368/TLALNEPA/IP/2022</w:t>
      </w:r>
      <w:r w:rsidRPr="00717165">
        <w:rPr>
          <w:rFonts w:ascii="Palatino Linotype" w:hAnsi="Palatino Linotype" w:cs="Arial"/>
          <w:sz w:val="24"/>
          <w:szCs w:val="24"/>
        </w:rPr>
        <w:t>,</w:t>
      </w:r>
      <w:r w:rsidRPr="00717165">
        <w:rPr>
          <w:rFonts w:ascii="Palatino Linotype" w:eastAsia="Times New Roman" w:hAnsi="Palatino Linotype" w:cs="Tahoma"/>
          <w:b/>
          <w:sz w:val="24"/>
          <w:szCs w:val="24"/>
          <w:lang w:eastAsia="es-ES"/>
        </w:rPr>
        <w:t xml:space="preserve"> </w:t>
      </w:r>
      <w:r w:rsidRPr="00717165">
        <w:rPr>
          <w:rFonts w:ascii="Palatino Linotype" w:eastAsia="Times New Roman" w:hAnsi="Palatino Linotype" w:cs="Arial"/>
          <w:sz w:val="24"/>
          <w:szCs w:val="24"/>
          <w:lang w:eastAsia="es-ES"/>
        </w:rPr>
        <w:t xml:space="preserve">por resultar </w:t>
      </w:r>
      <w:r w:rsidRPr="00717165">
        <w:rPr>
          <w:rFonts w:ascii="Palatino Linotype" w:eastAsia="Times New Roman" w:hAnsi="Palatino Linotype" w:cs="Arial"/>
          <w:b/>
          <w:sz w:val="24"/>
          <w:szCs w:val="24"/>
          <w:lang w:eastAsia="es-ES"/>
        </w:rPr>
        <w:t xml:space="preserve">fundados </w:t>
      </w:r>
      <w:r w:rsidRPr="00717165">
        <w:rPr>
          <w:rFonts w:ascii="Palatino Linotype" w:eastAsia="Times New Roman" w:hAnsi="Palatino Linotype" w:cs="Arial"/>
          <w:sz w:val="24"/>
          <w:szCs w:val="24"/>
          <w:lang w:eastAsia="es-ES"/>
        </w:rPr>
        <w:t xml:space="preserve">los motivos de inconformidad vertidos por la </w:t>
      </w:r>
      <w:r w:rsidRPr="00717165">
        <w:rPr>
          <w:rFonts w:ascii="Palatino Linotype" w:eastAsia="Times New Roman" w:hAnsi="Palatino Linotype" w:cs="Arial"/>
          <w:b/>
          <w:sz w:val="24"/>
          <w:szCs w:val="24"/>
          <w:lang w:eastAsia="es-ES"/>
        </w:rPr>
        <w:t>Recurrente</w:t>
      </w:r>
      <w:r w:rsidRPr="00717165">
        <w:rPr>
          <w:rFonts w:ascii="Palatino Linotype" w:eastAsia="Times New Roman" w:hAnsi="Palatino Linotype" w:cs="Arial"/>
          <w:sz w:val="24"/>
          <w:szCs w:val="24"/>
          <w:lang w:eastAsia="es-ES"/>
        </w:rPr>
        <w:t>, en términos del considerandos</w:t>
      </w:r>
      <w:r w:rsidRPr="00717165">
        <w:rPr>
          <w:rFonts w:ascii="Palatino Linotype" w:eastAsia="Times New Roman" w:hAnsi="Palatino Linotype" w:cs="Arial"/>
          <w:b/>
          <w:sz w:val="24"/>
          <w:szCs w:val="24"/>
          <w:lang w:eastAsia="es-ES"/>
        </w:rPr>
        <w:t xml:space="preserve"> CUARTO </w:t>
      </w:r>
      <w:r w:rsidRPr="00717165">
        <w:rPr>
          <w:rFonts w:ascii="Palatino Linotype" w:eastAsia="Times New Roman" w:hAnsi="Palatino Linotype" w:cs="Arial"/>
          <w:sz w:val="24"/>
          <w:szCs w:val="24"/>
          <w:lang w:eastAsia="es-ES"/>
        </w:rPr>
        <w:t>de la presente Resolución.</w:t>
      </w:r>
    </w:p>
    <w:p w:rsidR="001E7EF6" w:rsidRPr="00717165" w:rsidRDefault="001E7EF6" w:rsidP="001735AF">
      <w:pPr>
        <w:spacing w:after="0" w:line="360" w:lineRule="auto"/>
        <w:ind w:right="-595"/>
        <w:jc w:val="both"/>
        <w:rPr>
          <w:rFonts w:ascii="Palatino Linotype" w:eastAsia="Times New Roman" w:hAnsi="Palatino Linotype" w:cs="Arial"/>
          <w:b/>
          <w:sz w:val="24"/>
          <w:szCs w:val="24"/>
          <w:lang w:eastAsia="es-ES"/>
        </w:rPr>
      </w:pPr>
    </w:p>
    <w:p w:rsidR="001E7EF6" w:rsidRPr="00717165" w:rsidRDefault="001E7EF6" w:rsidP="001735AF">
      <w:pPr>
        <w:spacing w:after="0" w:line="360" w:lineRule="auto"/>
        <w:jc w:val="both"/>
        <w:rPr>
          <w:rFonts w:ascii="Palatino Linotype" w:hAnsi="Palatino Linotype" w:cs="Tahoma"/>
          <w:sz w:val="24"/>
          <w:szCs w:val="24"/>
        </w:rPr>
      </w:pPr>
      <w:r w:rsidRPr="00717165">
        <w:rPr>
          <w:rFonts w:ascii="Palatino Linotype" w:eastAsia="Times New Roman" w:hAnsi="Palatino Linotype" w:cs="Arial"/>
          <w:b/>
          <w:sz w:val="28"/>
          <w:szCs w:val="24"/>
          <w:lang w:eastAsia="es-ES"/>
        </w:rPr>
        <w:t>SEGUNDO</w:t>
      </w:r>
      <w:r w:rsidRPr="00717165">
        <w:rPr>
          <w:rFonts w:ascii="Palatino Linotype" w:eastAsia="Times New Roman" w:hAnsi="Palatino Linotype" w:cs="Arial"/>
          <w:b/>
          <w:sz w:val="24"/>
          <w:szCs w:val="24"/>
          <w:lang w:eastAsia="es-ES"/>
        </w:rPr>
        <w:t>.</w:t>
      </w:r>
      <w:r w:rsidRPr="00717165">
        <w:rPr>
          <w:rFonts w:ascii="Palatino Linotype" w:eastAsia="Times New Roman" w:hAnsi="Palatino Linotype" w:cs="Tahoma"/>
          <w:sz w:val="24"/>
          <w:szCs w:val="24"/>
          <w:lang w:eastAsia="es-ES"/>
        </w:rPr>
        <w:t xml:space="preserve"> Se </w:t>
      </w:r>
      <w:r w:rsidRPr="00717165">
        <w:rPr>
          <w:rFonts w:ascii="Palatino Linotype" w:eastAsia="Times New Roman" w:hAnsi="Palatino Linotype" w:cs="Tahoma"/>
          <w:b/>
          <w:sz w:val="24"/>
          <w:szCs w:val="24"/>
          <w:lang w:eastAsia="es-ES"/>
        </w:rPr>
        <w:t>ORDENA</w:t>
      </w:r>
      <w:r w:rsidRPr="00717165">
        <w:rPr>
          <w:rFonts w:ascii="Palatino Linotype" w:eastAsia="Times New Roman" w:hAnsi="Palatino Linotype" w:cs="Tahoma"/>
          <w:sz w:val="24"/>
          <w:szCs w:val="24"/>
          <w:lang w:eastAsia="es-ES"/>
        </w:rPr>
        <w:t xml:space="preserve"> al </w:t>
      </w:r>
      <w:r w:rsidRPr="00717165">
        <w:rPr>
          <w:rFonts w:ascii="Palatino Linotype" w:eastAsia="Times New Roman" w:hAnsi="Palatino Linotype" w:cs="Tahoma"/>
          <w:b/>
          <w:sz w:val="24"/>
          <w:szCs w:val="24"/>
          <w:lang w:eastAsia="es-ES"/>
        </w:rPr>
        <w:t>Sujeto Obligado</w:t>
      </w:r>
      <w:r w:rsidRPr="00717165">
        <w:rPr>
          <w:rFonts w:ascii="Palatino Linotype" w:eastAsia="Times New Roman" w:hAnsi="Palatino Linotype" w:cs="Tahoma"/>
          <w:sz w:val="24"/>
          <w:szCs w:val="24"/>
          <w:lang w:eastAsia="es-ES"/>
        </w:rPr>
        <w:t xml:space="preserve"> </w:t>
      </w:r>
      <w:r w:rsidR="00E74C8B" w:rsidRPr="00717165">
        <w:rPr>
          <w:rFonts w:ascii="Palatino Linotype" w:eastAsia="Times New Roman" w:hAnsi="Palatino Linotype" w:cs="Tahoma"/>
          <w:sz w:val="24"/>
          <w:szCs w:val="24"/>
          <w:lang w:eastAsia="es-ES"/>
        </w:rPr>
        <w:t xml:space="preserve">haga </w:t>
      </w:r>
      <w:r w:rsidRPr="00717165">
        <w:rPr>
          <w:rFonts w:ascii="Palatino Linotype" w:eastAsia="Times New Roman" w:hAnsi="Palatino Linotype" w:cs="Tahoma"/>
          <w:sz w:val="24"/>
          <w:szCs w:val="24"/>
          <w:lang w:eastAsia="es-ES"/>
        </w:rPr>
        <w:t xml:space="preserve">entrega al </w:t>
      </w:r>
      <w:r w:rsidRPr="00717165">
        <w:rPr>
          <w:rFonts w:ascii="Palatino Linotype" w:eastAsia="Times New Roman" w:hAnsi="Palatino Linotype" w:cs="Tahoma"/>
          <w:b/>
          <w:sz w:val="24"/>
          <w:szCs w:val="24"/>
          <w:lang w:eastAsia="es-ES"/>
        </w:rPr>
        <w:t>Recurrente</w:t>
      </w:r>
      <w:r w:rsidRPr="00717165">
        <w:rPr>
          <w:rFonts w:ascii="Palatino Linotype" w:eastAsia="Times New Roman" w:hAnsi="Palatino Linotype" w:cs="Tahoma"/>
          <w:sz w:val="24"/>
          <w:szCs w:val="24"/>
          <w:lang w:eastAsia="es-ES"/>
        </w:rPr>
        <w:t>, en versión pública, a través del Sistema de Acceso a la Información Mexiquense (</w:t>
      </w:r>
      <w:r w:rsidRPr="00717165">
        <w:rPr>
          <w:rFonts w:ascii="Palatino Linotype" w:eastAsia="Times New Roman" w:hAnsi="Palatino Linotype" w:cs="Tahoma"/>
          <w:b/>
          <w:sz w:val="24"/>
          <w:szCs w:val="24"/>
          <w:lang w:eastAsia="es-ES"/>
        </w:rPr>
        <w:t>SAIMEX</w:t>
      </w:r>
      <w:r w:rsidRPr="00717165">
        <w:rPr>
          <w:rFonts w:ascii="Palatino Linotype" w:eastAsia="Times New Roman" w:hAnsi="Palatino Linotype" w:cs="Tahoma"/>
          <w:sz w:val="24"/>
          <w:szCs w:val="24"/>
          <w:lang w:eastAsia="es-ES"/>
        </w:rPr>
        <w:t xml:space="preserve">), </w:t>
      </w:r>
      <w:r w:rsidRPr="00717165">
        <w:rPr>
          <w:rFonts w:ascii="Palatino Linotype" w:hAnsi="Palatino Linotype" w:cs="Tahoma"/>
          <w:sz w:val="24"/>
          <w:szCs w:val="24"/>
        </w:rPr>
        <w:t>de</w:t>
      </w:r>
      <w:r w:rsidR="00E74C8B" w:rsidRPr="00717165">
        <w:rPr>
          <w:rFonts w:ascii="Palatino Linotype" w:hAnsi="Palatino Linotype" w:cs="Tahoma"/>
          <w:sz w:val="24"/>
          <w:szCs w:val="24"/>
        </w:rPr>
        <w:t>l soporte documental en que conste al mayor grado de desagregación</w:t>
      </w:r>
      <w:r w:rsidRPr="00717165">
        <w:rPr>
          <w:rFonts w:ascii="Palatino Linotype" w:hAnsi="Palatino Linotype" w:cs="Tahoma"/>
          <w:sz w:val="24"/>
          <w:szCs w:val="24"/>
        </w:rPr>
        <w:t xml:space="preserve"> lo siguiente:</w:t>
      </w:r>
    </w:p>
    <w:p w:rsidR="001E7EF6" w:rsidRPr="00717165" w:rsidRDefault="001E7EF6" w:rsidP="001735AF">
      <w:pPr>
        <w:spacing w:after="0" w:line="360" w:lineRule="auto"/>
        <w:ind w:right="-595"/>
        <w:jc w:val="both"/>
        <w:rPr>
          <w:rFonts w:ascii="Palatino Linotype" w:eastAsia="Times New Roman" w:hAnsi="Palatino Linotype" w:cs="Tahoma"/>
          <w:sz w:val="24"/>
          <w:szCs w:val="24"/>
          <w:lang w:eastAsia="es-ES"/>
        </w:rPr>
      </w:pPr>
    </w:p>
    <w:p w:rsidR="00E74C8B" w:rsidRPr="00717165" w:rsidRDefault="00E74C8B"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lang w:val="es-MX"/>
        </w:rPr>
        <w:t>El monto de la</w:t>
      </w:r>
      <w:r w:rsidRPr="00717165">
        <w:rPr>
          <w:rFonts w:ascii="Palatino Linotype" w:hAnsi="Palatino Linotype" w:cs="Arial"/>
        </w:rPr>
        <w:t xml:space="preserve"> inversión realizada en las 175 patrullas que fueron entregadas durante el mes de marzo de 2022;</w:t>
      </w:r>
    </w:p>
    <w:p w:rsidR="00E74C8B" w:rsidRPr="00717165" w:rsidRDefault="00E74C8B"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rPr>
        <w:t>Monto de la inversión realizada en las 115 armas que distribuidas en los sectores de mayor incidencia delictiva del municipio, en marzo del 2020;</w:t>
      </w:r>
    </w:p>
    <w:p w:rsidR="00E74C8B" w:rsidRPr="00717165" w:rsidRDefault="00E74C8B"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rPr>
        <w:t xml:space="preserve">Procedimiento de adquisición de las patrullas y moto patrullas adquiridas durante </w:t>
      </w:r>
      <w:r w:rsidR="00DB3E69" w:rsidRPr="00717165">
        <w:rPr>
          <w:rFonts w:ascii="Palatino Linotype" w:hAnsi="Palatino Linotype" w:cs="Arial"/>
        </w:rPr>
        <w:t xml:space="preserve">la actual administración </w:t>
      </w:r>
      <w:r w:rsidR="00871F65" w:rsidRPr="00717165">
        <w:rPr>
          <w:rFonts w:ascii="Palatino Linotype" w:hAnsi="Palatino Linotype" w:cs="Arial"/>
        </w:rPr>
        <w:t>2022 - 2024</w:t>
      </w:r>
      <w:r w:rsidRPr="00717165">
        <w:rPr>
          <w:rFonts w:ascii="Palatino Linotype" w:hAnsi="Palatino Linotype" w:cs="Arial"/>
        </w:rPr>
        <w:t>;</w:t>
      </w:r>
    </w:p>
    <w:p w:rsidR="00E74C8B" w:rsidRPr="00717165" w:rsidRDefault="00B9231F"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rPr>
        <w:t>L</w:t>
      </w:r>
      <w:r w:rsidR="00E74C8B" w:rsidRPr="00717165">
        <w:rPr>
          <w:rFonts w:ascii="Palatino Linotype" w:hAnsi="Palatino Linotype" w:cs="Arial"/>
        </w:rPr>
        <w:t xml:space="preserve">os contratos celebrados por el Ayuntamiento con los proveedores de las 140 radio patrullas y 35 moto patrullas nuevas; durante la </w:t>
      </w:r>
      <w:r w:rsidRPr="00717165">
        <w:rPr>
          <w:rFonts w:ascii="Palatino Linotype" w:hAnsi="Palatino Linotype" w:cs="Arial"/>
        </w:rPr>
        <w:t xml:space="preserve">actual </w:t>
      </w:r>
      <w:r w:rsidR="00E74C8B" w:rsidRPr="00717165">
        <w:rPr>
          <w:rFonts w:ascii="Palatino Linotype" w:hAnsi="Palatino Linotype" w:cs="Arial"/>
        </w:rPr>
        <w:t>administración</w:t>
      </w:r>
      <w:r w:rsidR="00DB3E69" w:rsidRPr="00717165">
        <w:rPr>
          <w:rFonts w:ascii="Palatino Linotype" w:hAnsi="Palatino Linotype" w:cs="Arial"/>
        </w:rPr>
        <w:t xml:space="preserve"> 2022 - 2024</w:t>
      </w:r>
      <w:r w:rsidRPr="00717165">
        <w:rPr>
          <w:rFonts w:ascii="Palatino Linotype" w:hAnsi="Palatino Linotype" w:cs="Arial"/>
        </w:rPr>
        <w:t>;</w:t>
      </w:r>
    </w:p>
    <w:p w:rsidR="00E74C8B" w:rsidRPr="00717165" w:rsidRDefault="00B9231F"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rPr>
        <w:t xml:space="preserve">Monto de </w:t>
      </w:r>
      <w:r w:rsidR="00E74C8B" w:rsidRPr="00717165">
        <w:rPr>
          <w:rFonts w:ascii="Palatino Linotype" w:hAnsi="Palatino Linotype" w:cs="Arial"/>
        </w:rPr>
        <w:t xml:space="preserve">la inversión realizada por la adquisición de 177 patrullas nuevas, durante la administración del ex </w:t>
      </w:r>
      <w:r w:rsidRPr="00717165">
        <w:rPr>
          <w:rFonts w:ascii="Palatino Linotype" w:hAnsi="Palatino Linotype" w:cs="Arial"/>
        </w:rPr>
        <w:t>Presidente Municipal</w:t>
      </w:r>
      <w:r w:rsidR="00E74C8B" w:rsidRPr="00717165">
        <w:rPr>
          <w:rFonts w:ascii="Palatino Linotype" w:hAnsi="Palatino Linotype" w:cs="Arial"/>
        </w:rPr>
        <w:t xml:space="preserve"> Raciel Pérez Cruz</w:t>
      </w:r>
      <w:r w:rsidRPr="00717165">
        <w:rPr>
          <w:rFonts w:ascii="Palatino Linotype" w:hAnsi="Palatino Linotype" w:cs="Arial"/>
        </w:rPr>
        <w:t>;</w:t>
      </w:r>
      <w:r w:rsidR="00E74C8B" w:rsidRPr="00717165">
        <w:rPr>
          <w:rFonts w:ascii="Palatino Linotype" w:hAnsi="Palatino Linotype" w:cs="Arial"/>
        </w:rPr>
        <w:t xml:space="preserve"> </w:t>
      </w:r>
    </w:p>
    <w:p w:rsidR="00E74C8B" w:rsidRPr="00717165" w:rsidRDefault="00B9231F" w:rsidP="00E74C8B">
      <w:pPr>
        <w:pStyle w:val="Prrafodelista"/>
        <w:numPr>
          <w:ilvl w:val="0"/>
          <w:numId w:val="9"/>
        </w:numPr>
        <w:spacing w:line="360" w:lineRule="auto"/>
        <w:jc w:val="both"/>
        <w:rPr>
          <w:rFonts w:ascii="Palatino Linotype" w:hAnsi="Palatino Linotype" w:cs="Arial"/>
        </w:rPr>
      </w:pPr>
      <w:r w:rsidRPr="00717165">
        <w:rPr>
          <w:rFonts w:ascii="Palatino Linotype" w:hAnsi="Palatino Linotype" w:cs="Arial"/>
        </w:rPr>
        <w:lastRenderedPageBreak/>
        <w:t>E</w:t>
      </w:r>
      <w:r w:rsidR="00E74C8B" w:rsidRPr="00717165">
        <w:rPr>
          <w:rFonts w:ascii="Palatino Linotype" w:hAnsi="Palatino Linotype" w:cs="Arial"/>
        </w:rPr>
        <w:t xml:space="preserve">l contrato de </w:t>
      </w:r>
      <w:r w:rsidRPr="00717165">
        <w:rPr>
          <w:rFonts w:ascii="Palatino Linotype" w:hAnsi="Palatino Linotype" w:cs="Arial"/>
        </w:rPr>
        <w:t>arrendamiento celebrado</w:t>
      </w:r>
      <w:r w:rsidR="00E74C8B" w:rsidRPr="00717165">
        <w:rPr>
          <w:rFonts w:ascii="Palatino Linotype" w:hAnsi="Palatino Linotype" w:cs="Arial"/>
        </w:rPr>
        <w:t xml:space="preserve"> con el proveedor de las 177 patrullas, adquiridas durante la administración del ex </w:t>
      </w:r>
      <w:r w:rsidRPr="00717165">
        <w:rPr>
          <w:rFonts w:ascii="Palatino Linotype" w:hAnsi="Palatino Linotype" w:cs="Arial"/>
        </w:rPr>
        <w:t>Presidente Municipal Raciel Pérez Cruz; y</w:t>
      </w:r>
    </w:p>
    <w:p w:rsidR="00E74C8B" w:rsidRPr="00717165" w:rsidRDefault="00B9231F" w:rsidP="00E74C8B">
      <w:pPr>
        <w:pStyle w:val="Prrafodelista"/>
        <w:numPr>
          <w:ilvl w:val="0"/>
          <w:numId w:val="9"/>
        </w:numPr>
        <w:spacing w:line="360" w:lineRule="auto"/>
        <w:jc w:val="both"/>
        <w:rPr>
          <w:rFonts w:ascii="Palatino Linotype" w:hAnsi="Palatino Linotype" w:cs="Arial"/>
          <w:lang w:val="es-ES_tradnl"/>
        </w:rPr>
      </w:pPr>
      <w:r w:rsidRPr="00717165">
        <w:rPr>
          <w:rFonts w:ascii="Palatino Linotype" w:hAnsi="Palatino Linotype" w:cs="Arial"/>
        </w:rPr>
        <w:t>Procedimiento de adquisición</w:t>
      </w:r>
      <w:r w:rsidR="00E74C8B" w:rsidRPr="00717165">
        <w:rPr>
          <w:rFonts w:ascii="Palatino Linotype" w:hAnsi="Palatino Linotype" w:cs="Arial"/>
        </w:rPr>
        <w:t xml:space="preserve"> de las nuevas patrullas, durante la administración de</w:t>
      </w:r>
      <w:r w:rsidRPr="00717165">
        <w:rPr>
          <w:rFonts w:ascii="Palatino Linotype" w:hAnsi="Palatino Linotype" w:cs="Arial"/>
        </w:rPr>
        <w:t>l</w:t>
      </w:r>
      <w:r w:rsidR="00E74C8B" w:rsidRPr="00717165">
        <w:rPr>
          <w:rFonts w:ascii="Palatino Linotype" w:hAnsi="Palatino Linotype" w:cs="Arial"/>
        </w:rPr>
        <w:t xml:space="preserve"> </w:t>
      </w:r>
      <w:r w:rsidRPr="00717165">
        <w:rPr>
          <w:rFonts w:ascii="Palatino Linotype" w:hAnsi="Palatino Linotype" w:cs="Arial"/>
        </w:rPr>
        <w:t>ex Presidente Municipal Raciel Pérez Cruz</w:t>
      </w:r>
      <w:r w:rsidR="00E74C8B" w:rsidRPr="00717165">
        <w:rPr>
          <w:rFonts w:ascii="Palatino Linotype" w:hAnsi="Palatino Linotype" w:cs="Arial"/>
        </w:rPr>
        <w:t>.</w:t>
      </w:r>
    </w:p>
    <w:p w:rsidR="001E7EF6" w:rsidRPr="00717165" w:rsidRDefault="001E7EF6" w:rsidP="001735AF">
      <w:pPr>
        <w:spacing w:after="0" w:line="360" w:lineRule="auto"/>
        <w:ind w:right="-595"/>
        <w:jc w:val="both"/>
        <w:rPr>
          <w:rFonts w:ascii="Palatino Linotype" w:eastAsia="Times New Roman" w:hAnsi="Palatino Linotype" w:cs="Tahoma"/>
          <w:sz w:val="24"/>
          <w:szCs w:val="24"/>
          <w:lang w:val="es-ES_tradnl" w:eastAsia="es-ES"/>
        </w:rPr>
      </w:pPr>
    </w:p>
    <w:p w:rsidR="001E7EF6" w:rsidRPr="00717165" w:rsidRDefault="001E7EF6" w:rsidP="001735AF">
      <w:pPr>
        <w:spacing w:after="0" w:line="360" w:lineRule="auto"/>
        <w:jc w:val="both"/>
        <w:rPr>
          <w:rFonts w:ascii="Palatino Linotype" w:eastAsia="Times New Roman" w:hAnsi="Palatino Linotype" w:cs="Tahoma"/>
          <w:sz w:val="24"/>
          <w:szCs w:val="24"/>
          <w:lang w:eastAsia="es-ES"/>
        </w:rPr>
      </w:pPr>
      <w:r w:rsidRPr="00717165">
        <w:rPr>
          <w:rFonts w:ascii="Palatino Linotype" w:eastAsia="Times New Roman" w:hAnsi="Palatino Linotype" w:cs="Tahoma"/>
          <w:sz w:val="24"/>
          <w:szCs w:val="24"/>
          <w:lang w:eastAsia="es-E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1E7EF6" w:rsidRPr="00717165" w:rsidRDefault="001E7EF6" w:rsidP="001735AF">
      <w:pPr>
        <w:spacing w:after="0" w:line="360" w:lineRule="auto"/>
        <w:jc w:val="both"/>
        <w:rPr>
          <w:rFonts w:ascii="Palatino Linotype" w:eastAsia="Times New Roman" w:hAnsi="Palatino Linotype" w:cs="Tahoma"/>
          <w:sz w:val="24"/>
          <w:szCs w:val="24"/>
          <w:lang w:eastAsia="es-ES"/>
        </w:rPr>
      </w:pPr>
    </w:p>
    <w:p w:rsidR="001E7EF6" w:rsidRPr="00717165" w:rsidRDefault="001E7EF6" w:rsidP="001735AF">
      <w:pPr>
        <w:spacing w:after="0" w:line="360" w:lineRule="auto"/>
        <w:jc w:val="both"/>
        <w:rPr>
          <w:rFonts w:ascii="Palatino Linotype" w:eastAsia="Times New Roman" w:hAnsi="Palatino Linotype" w:cs="Tahoma"/>
          <w:sz w:val="24"/>
          <w:szCs w:val="24"/>
          <w:lang w:eastAsia="es-ES"/>
        </w:rPr>
      </w:pPr>
      <w:r w:rsidRPr="00717165">
        <w:rPr>
          <w:rFonts w:ascii="Palatino Linotype" w:eastAsia="Times New Roman" w:hAnsi="Palatino Linotype" w:cs="Arial"/>
          <w:b/>
          <w:sz w:val="28"/>
          <w:szCs w:val="24"/>
          <w:lang w:eastAsia="es-ES"/>
        </w:rPr>
        <w:t>TERCERO</w:t>
      </w:r>
      <w:r w:rsidRPr="00717165">
        <w:rPr>
          <w:rFonts w:ascii="Palatino Linotype" w:eastAsia="Times New Roman" w:hAnsi="Palatino Linotype" w:cs="Arial"/>
          <w:b/>
          <w:sz w:val="24"/>
          <w:szCs w:val="24"/>
          <w:lang w:eastAsia="es-ES"/>
        </w:rPr>
        <w:t>.</w:t>
      </w:r>
      <w:r w:rsidRPr="00717165">
        <w:rPr>
          <w:rFonts w:ascii="Palatino Linotype" w:eastAsia="Times New Roman" w:hAnsi="Palatino Linotype" w:cs="Arial"/>
          <w:sz w:val="24"/>
          <w:szCs w:val="24"/>
          <w:lang w:eastAsia="es-ES"/>
        </w:rPr>
        <w:t xml:space="preserve"> </w:t>
      </w:r>
      <w:r w:rsidRPr="00717165">
        <w:rPr>
          <w:rFonts w:ascii="Palatino Linotype" w:eastAsia="Times New Roman" w:hAnsi="Palatino Linotype" w:cs="Tahoma"/>
          <w:b/>
          <w:sz w:val="24"/>
          <w:szCs w:val="24"/>
          <w:lang w:eastAsia="es-ES"/>
        </w:rPr>
        <w:t xml:space="preserve">NOTIFÍQUESE </w:t>
      </w:r>
      <w:r w:rsidRPr="00717165">
        <w:rPr>
          <w:rFonts w:ascii="Palatino Linotype" w:eastAsia="Times New Roman" w:hAnsi="Palatino Linotype" w:cs="Tahoma"/>
          <w:sz w:val="24"/>
          <w:szCs w:val="24"/>
          <w:lang w:eastAsia="es-ES"/>
        </w:rPr>
        <w:t xml:space="preserve">la presente Resolución al Titular de la Unidad de Transparencia del </w:t>
      </w:r>
      <w:r w:rsidRPr="00717165">
        <w:rPr>
          <w:rFonts w:ascii="Palatino Linotype" w:eastAsia="Times New Roman" w:hAnsi="Palatino Linotype" w:cs="Tahoma"/>
          <w:b/>
          <w:sz w:val="24"/>
          <w:szCs w:val="24"/>
          <w:lang w:eastAsia="es-ES"/>
        </w:rPr>
        <w:t>Sujeto Obligado</w:t>
      </w:r>
      <w:r w:rsidRPr="00717165">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645103" w:rsidRPr="00717165" w:rsidRDefault="00645103" w:rsidP="001735AF">
      <w:pPr>
        <w:spacing w:after="0" w:line="360" w:lineRule="auto"/>
        <w:jc w:val="both"/>
        <w:rPr>
          <w:rFonts w:ascii="Palatino Linotype" w:eastAsia="Times New Roman" w:hAnsi="Palatino Linotype" w:cs="Tahoma"/>
          <w:sz w:val="24"/>
          <w:szCs w:val="24"/>
          <w:lang w:eastAsia="es-ES"/>
        </w:rPr>
      </w:pP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165">
        <w:rPr>
          <w:rFonts w:ascii="Palatino Linotype" w:eastAsia="Times New Roman" w:hAnsi="Palatino Linotype" w:cs="Arial"/>
          <w:b/>
          <w:sz w:val="28"/>
          <w:szCs w:val="28"/>
          <w:lang w:val="es-ES" w:eastAsia="es-ES"/>
        </w:rPr>
        <w:t>CUARTO.</w:t>
      </w:r>
      <w:r w:rsidRPr="00717165">
        <w:rPr>
          <w:rFonts w:ascii="Palatino Linotype" w:eastAsia="Times New Roman" w:hAnsi="Palatino Linotype" w:cs="Arial"/>
          <w:b/>
          <w:sz w:val="24"/>
          <w:szCs w:val="24"/>
          <w:lang w:val="es-ES" w:eastAsia="es-ES"/>
        </w:rPr>
        <w:t xml:space="preserve"> </w:t>
      </w:r>
      <w:r w:rsidRPr="00717165">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17165">
        <w:rPr>
          <w:rFonts w:ascii="Palatino Linotype" w:eastAsia="Times New Roman" w:hAnsi="Palatino Linotype" w:cs="Arial"/>
          <w:b/>
          <w:sz w:val="24"/>
          <w:szCs w:val="24"/>
          <w:lang w:val="es-ES" w:eastAsia="es-ES"/>
        </w:rPr>
        <w:t>Sujeto Obligado</w:t>
      </w:r>
      <w:r w:rsidRPr="00717165">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1E7EF6" w:rsidRPr="00717165" w:rsidRDefault="001E7EF6" w:rsidP="001735A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E7EF6" w:rsidRPr="00717165" w:rsidRDefault="001E7EF6" w:rsidP="001735AF">
      <w:pPr>
        <w:autoSpaceDE w:val="0"/>
        <w:autoSpaceDN w:val="0"/>
        <w:adjustRightInd w:val="0"/>
        <w:spacing w:after="0" w:line="360" w:lineRule="auto"/>
        <w:jc w:val="both"/>
        <w:rPr>
          <w:rFonts w:ascii="Palatino Linotype" w:hAnsi="Palatino Linotype"/>
          <w:sz w:val="24"/>
          <w:szCs w:val="24"/>
          <w:lang w:eastAsia="es-ES_tradnl"/>
        </w:rPr>
      </w:pPr>
      <w:r w:rsidRPr="00717165">
        <w:rPr>
          <w:rFonts w:ascii="Palatino Linotype" w:hAnsi="Palatino Linotype"/>
          <w:b/>
          <w:sz w:val="28"/>
          <w:szCs w:val="28"/>
        </w:rPr>
        <w:lastRenderedPageBreak/>
        <w:t>QUINTO</w:t>
      </w:r>
      <w:r w:rsidRPr="00717165">
        <w:rPr>
          <w:rFonts w:ascii="Palatino Linotype" w:hAnsi="Palatino Linotype"/>
          <w:b/>
          <w:sz w:val="24"/>
          <w:szCs w:val="24"/>
        </w:rPr>
        <w:t xml:space="preserve">. </w:t>
      </w:r>
      <w:r w:rsidRPr="00717165">
        <w:rPr>
          <w:rFonts w:ascii="Palatino Linotype" w:hAnsi="Palatino Linotype" w:cs="Arial"/>
          <w:b/>
          <w:sz w:val="24"/>
          <w:szCs w:val="24"/>
        </w:rPr>
        <w:t>NOTIFÍQUESE</w:t>
      </w:r>
      <w:r w:rsidRPr="00717165">
        <w:rPr>
          <w:rFonts w:ascii="Palatino Linotype" w:hAnsi="Palatino Linotype" w:cs="Arial"/>
          <w:sz w:val="24"/>
          <w:szCs w:val="24"/>
        </w:rPr>
        <w:t xml:space="preserve"> a través del Sistema de Acceso a la Información Mexiquense (SAIMEX), al </w:t>
      </w:r>
      <w:r w:rsidRPr="00717165">
        <w:rPr>
          <w:rFonts w:ascii="Palatino Linotype" w:hAnsi="Palatino Linotype" w:cs="Arial"/>
          <w:b/>
          <w:sz w:val="24"/>
          <w:szCs w:val="24"/>
        </w:rPr>
        <w:t>Recurrente</w:t>
      </w:r>
      <w:r w:rsidRPr="0071716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E7EF6" w:rsidRPr="00717165" w:rsidRDefault="001E7EF6" w:rsidP="001735AF">
      <w:pPr>
        <w:spacing w:after="0" w:line="360" w:lineRule="auto"/>
        <w:jc w:val="both"/>
        <w:rPr>
          <w:rFonts w:ascii="Palatino Linotype" w:hAnsi="Palatino Linotype"/>
          <w:sz w:val="24"/>
          <w:szCs w:val="24"/>
          <w:lang w:eastAsia="es-ES_tradnl"/>
        </w:rPr>
      </w:pP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ASÍ LO RESUELVE, POR UNANIMIDAD DE VOTOS EL PLENO DEL</w:t>
      </w:r>
      <w:r w:rsidRPr="0071716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17165">
        <w:rPr>
          <w:rFonts w:ascii="Palatino Linotype" w:hAnsi="Palatino Linotype" w:cs="Arial"/>
          <w:sz w:val="24"/>
          <w:szCs w:val="24"/>
        </w:rPr>
        <w:t>, CONFORMADO POR LOS COMISIONADOS JOSÉ MARTÍNEZ VILCHIS, MARÍA DEL ROSARIO MEJÍA AYALA, SHARON CRISTINA MORALES MARTÍNEZ, LUIS GUSTAVO PARRA NORIEGA</w:t>
      </w:r>
      <w:r w:rsidR="001E7C4D" w:rsidRPr="00717165">
        <w:rPr>
          <w:rFonts w:ascii="Palatino Linotype" w:hAnsi="Palatino Linotype" w:cs="Arial"/>
          <w:sz w:val="24"/>
          <w:szCs w:val="24"/>
        </w:rPr>
        <w:t xml:space="preserve"> (EMITIENDO VOTO PARTICULAR)</w:t>
      </w:r>
      <w:r w:rsidRPr="00717165">
        <w:rPr>
          <w:rFonts w:ascii="Palatino Linotype" w:hAnsi="Palatino Linotype" w:cs="Arial"/>
          <w:sz w:val="24"/>
          <w:szCs w:val="24"/>
        </w:rPr>
        <w:t xml:space="preserve"> Y GUADALUPE RAMÍREZ PEÑA, EN LA </w:t>
      </w:r>
      <w:r w:rsidR="00D835EE" w:rsidRPr="00717165">
        <w:rPr>
          <w:rFonts w:ascii="Palatino Linotype" w:hAnsi="Palatino Linotype" w:cs="Arial"/>
          <w:sz w:val="24"/>
          <w:szCs w:val="24"/>
        </w:rPr>
        <w:t>CUADRAGÉSIMA</w:t>
      </w:r>
      <w:r w:rsidRPr="00717165">
        <w:rPr>
          <w:rFonts w:ascii="Palatino Linotype" w:hAnsi="Palatino Linotype" w:cs="Arial"/>
          <w:sz w:val="24"/>
          <w:szCs w:val="24"/>
        </w:rPr>
        <w:t xml:space="preserve"> SESIÓN ORDINARIA CELEBRADA EL </w:t>
      </w:r>
      <w:r w:rsidR="00D835EE" w:rsidRPr="00717165">
        <w:rPr>
          <w:rFonts w:ascii="Palatino Linotype" w:hAnsi="Palatino Linotype" w:cs="Arial"/>
          <w:sz w:val="24"/>
          <w:szCs w:val="24"/>
        </w:rPr>
        <w:t xml:space="preserve">NUEVE DE NOVIEMBRE </w:t>
      </w:r>
      <w:r w:rsidRPr="00717165">
        <w:rPr>
          <w:rFonts w:ascii="Palatino Linotype" w:hAnsi="Palatino Linotype" w:cs="Arial"/>
          <w:sz w:val="24"/>
          <w:szCs w:val="24"/>
        </w:rPr>
        <w:t>DE DOS MIL VEINTIDÓS, ANTE EL ANTE EL SECRETARIO TÉCNICO DEL PLENO, ALEXIS TAPIA RAMÍREZ. -----------------</w:t>
      </w:r>
      <w:r w:rsidR="00B9231F" w:rsidRPr="00717165">
        <w:rPr>
          <w:rFonts w:ascii="Palatino Linotype" w:hAnsi="Palatino Linotype" w:cs="Arial"/>
          <w:sz w:val="24"/>
          <w:szCs w:val="24"/>
        </w:rPr>
        <w:t>-------</w:t>
      </w: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1E7EF6" w:rsidRPr="00717165" w:rsidRDefault="001E7EF6" w:rsidP="001735AF">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645103" w:rsidRPr="00717165" w:rsidRDefault="00645103" w:rsidP="00645103">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645103" w:rsidRPr="00717165" w:rsidRDefault="00645103" w:rsidP="00645103">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645103" w:rsidRPr="00717165" w:rsidRDefault="00645103" w:rsidP="00645103">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645103" w:rsidRPr="00717165" w:rsidRDefault="00645103" w:rsidP="00645103">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645103" w:rsidRPr="00717165" w:rsidRDefault="00645103" w:rsidP="00645103">
      <w:pPr>
        <w:spacing w:after="0" w:line="360" w:lineRule="auto"/>
        <w:jc w:val="both"/>
        <w:rPr>
          <w:rFonts w:ascii="Palatino Linotype" w:hAnsi="Palatino Linotype" w:cs="Arial"/>
          <w:sz w:val="24"/>
          <w:szCs w:val="24"/>
        </w:rPr>
      </w:pPr>
      <w:r w:rsidRPr="00717165">
        <w:rPr>
          <w:rFonts w:ascii="Palatino Linotype" w:hAnsi="Palatino Linotype" w:cs="Arial"/>
          <w:sz w:val="24"/>
          <w:szCs w:val="24"/>
        </w:rPr>
        <w:t>-----------------------------------------------------------------------------------------------------------------</w:t>
      </w:r>
    </w:p>
    <w:p w:rsidR="001E7EF6" w:rsidRPr="005323D1" w:rsidRDefault="001E7EF6" w:rsidP="001735AF">
      <w:pPr>
        <w:spacing w:after="0" w:line="360" w:lineRule="auto"/>
        <w:jc w:val="both"/>
        <w:rPr>
          <w:rFonts w:ascii="Palatino Linotype" w:hAnsi="Palatino Linotype" w:cs="Arial"/>
          <w:sz w:val="20"/>
        </w:rPr>
      </w:pPr>
      <w:r w:rsidRPr="00717165">
        <w:rPr>
          <w:rFonts w:ascii="Palatino Linotype" w:hAnsi="Palatino Linotype" w:cs="Arial"/>
          <w:sz w:val="20"/>
        </w:rPr>
        <w:t>CCR/</w:t>
      </w:r>
    </w:p>
    <w:p w:rsidR="001E7EF6" w:rsidRDefault="001E7EF6" w:rsidP="001735AF">
      <w:pPr>
        <w:spacing w:after="0" w:line="360" w:lineRule="auto"/>
        <w:jc w:val="both"/>
        <w:rPr>
          <w:rFonts w:ascii="Palatino Linotype" w:hAnsi="Palatino Linotype" w:cs="Arial"/>
          <w:sz w:val="24"/>
          <w:szCs w:val="24"/>
        </w:rPr>
      </w:pPr>
    </w:p>
    <w:p w:rsidR="001E7EF6" w:rsidRDefault="001E7EF6" w:rsidP="001735AF">
      <w:pPr>
        <w:spacing w:after="0" w:line="360" w:lineRule="auto"/>
        <w:jc w:val="both"/>
        <w:rPr>
          <w:rFonts w:ascii="Palatino Linotype" w:hAnsi="Palatino Linotype" w:cs="Arial"/>
          <w:sz w:val="24"/>
          <w:szCs w:val="24"/>
        </w:rPr>
      </w:pPr>
    </w:p>
    <w:p w:rsidR="001E7EF6" w:rsidRDefault="001E7EF6" w:rsidP="001735AF">
      <w:pPr>
        <w:spacing w:after="0" w:line="360" w:lineRule="auto"/>
        <w:jc w:val="both"/>
        <w:rPr>
          <w:rFonts w:ascii="Palatino Linotype" w:hAnsi="Palatino Linotype" w:cs="Arial"/>
          <w:sz w:val="24"/>
          <w:szCs w:val="24"/>
        </w:rPr>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1E7EF6" w:rsidRDefault="001E7EF6" w:rsidP="001735AF">
      <w:pPr>
        <w:spacing w:after="0"/>
      </w:pPr>
    </w:p>
    <w:p w:rsidR="009014C2" w:rsidRDefault="009014C2" w:rsidP="001735AF">
      <w:pPr>
        <w:spacing w:after="0"/>
      </w:pPr>
    </w:p>
    <w:sectPr w:rsidR="009014C2" w:rsidSect="009014C2">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0CD" w:rsidRDefault="00E230CD" w:rsidP="001E7EF6">
      <w:pPr>
        <w:spacing w:after="0" w:line="240" w:lineRule="auto"/>
      </w:pPr>
      <w:r>
        <w:separator/>
      </w:r>
    </w:p>
  </w:endnote>
  <w:endnote w:type="continuationSeparator" w:id="0">
    <w:p w:rsidR="00E230CD" w:rsidRDefault="00E230CD" w:rsidP="001E7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71F65" w:rsidRPr="002D6DD8" w:rsidRDefault="00871F65" w:rsidP="00901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2AC7">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B2AC7">
              <w:rPr>
                <w:rFonts w:ascii="Palatino Linotype" w:hAnsi="Palatino Linotype"/>
                <w:bCs/>
                <w:noProof/>
                <w:sz w:val="20"/>
              </w:rPr>
              <w:t>52</w:t>
            </w:r>
            <w:r>
              <w:rPr>
                <w:rFonts w:ascii="Palatino Linotype" w:hAnsi="Palatino Linotype"/>
                <w:bCs/>
                <w:noProof/>
                <w:sz w:val="20"/>
              </w:rPr>
              <w:fldChar w:fldCharType="end"/>
            </w:r>
          </w:p>
        </w:sdtContent>
      </w:sdt>
    </w:sdtContent>
  </w:sdt>
  <w:p w:rsidR="00871F65" w:rsidRDefault="00871F6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F65" w:rsidRPr="000B69FA" w:rsidRDefault="00871F65" w:rsidP="009014C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2AC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B2AC7">
      <w:rPr>
        <w:rFonts w:ascii="Palatino Linotype" w:hAnsi="Palatino Linotype"/>
        <w:bCs/>
        <w:noProof/>
        <w:sz w:val="20"/>
      </w:rPr>
      <w:t>45</w:t>
    </w:r>
    <w:r>
      <w:rPr>
        <w:rFonts w:ascii="Palatino Linotype" w:hAnsi="Palatino Linotype"/>
        <w:bCs/>
        <w:noProof/>
        <w:sz w:val="20"/>
      </w:rPr>
      <w:fldChar w:fldCharType="end"/>
    </w:r>
  </w:p>
  <w:p w:rsidR="00871F65" w:rsidRDefault="00871F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0CD" w:rsidRDefault="00E230CD" w:rsidP="001E7EF6">
      <w:pPr>
        <w:spacing w:after="0" w:line="240" w:lineRule="auto"/>
      </w:pPr>
      <w:r>
        <w:separator/>
      </w:r>
    </w:p>
  </w:footnote>
  <w:footnote w:type="continuationSeparator" w:id="0">
    <w:p w:rsidR="00E230CD" w:rsidRDefault="00E230CD" w:rsidP="001E7EF6">
      <w:pPr>
        <w:spacing w:after="0" w:line="240" w:lineRule="auto"/>
      </w:pPr>
      <w:r>
        <w:continuationSeparator/>
      </w:r>
    </w:p>
  </w:footnote>
  <w:footnote w:id="1">
    <w:p w:rsidR="00871F65" w:rsidRDefault="00871F65" w:rsidP="002C57B6">
      <w:pPr>
        <w:pStyle w:val="Textonotapie"/>
        <w:jc w:val="both"/>
        <w:rPr>
          <w:rFonts w:ascii="Palatino Linotype" w:hAnsi="Palatino Linotype"/>
          <w:lang w:val="es-MX"/>
        </w:rPr>
      </w:pPr>
      <w:r>
        <w:rPr>
          <w:rStyle w:val="Refdenotaalpie"/>
        </w:rPr>
        <w:footnoteRef/>
      </w:r>
      <w:r>
        <w:t xml:space="preserve"> </w:t>
      </w:r>
      <w:r w:rsidRPr="00EF7063">
        <w:rPr>
          <w:rFonts w:ascii="Palatino Linotype" w:hAnsi="Palatino Linotype"/>
          <w:b/>
          <w:lang w:val="es-MX"/>
        </w:rPr>
        <w:t>Artículo 18.</w:t>
      </w:r>
      <w:r w:rsidRPr="00EF7063">
        <w:rPr>
          <w:rFonts w:ascii="Palatino Linotype" w:hAnsi="Palatino Linotype"/>
          <w:lang w:val="es-MX"/>
        </w:rPr>
        <w:t xml:space="preserve"> Los sujetos obligados deberán documentar todo acto que derive del ejercicio de sus facultades, competencias o funciones, considerando desde su origen la eventual publicidad y reutilización de la información que generen. </w:t>
      </w:r>
    </w:p>
    <w:p w:rsidR="00871F65" w:rsidRDefault="00871F65" w:rsidP="002C57B6">
      <w:pPr>
        <w:pStyle w:val="Textonotapie"/>
        <w:jc w:val="both"/>
        <w:rPr>
          <w:rFonts w:ascii="Palatino Linotype" w:hAnsi="Palatino Linotype"/>
          <w:lang w:val="es-MX"/>
        </w:rPr>
      </w:pPr>
    </w:p>
    <w:p w:rsidR="00871F65" w:rsidRDefault="00871F65" w:rsidP="002C57B6">
      <w:pPr>
        <w:pStyle w:val="Textonotapie"/>
        <w:jc w:val="both"/>
        <w:rPr>
          <w:rFonts w:ascii="Palatino Linotype" w:hAnsi="Palatino Linotype"/>
          <w:lang w:val="es-MX"/>
        </w:rPr>
      </w:pPr>
      <w:r w:rsidRPr="00EF7063">
        <w:rPr>
          <w:rFonts w:ascii="Palatino Linotype" w:hAnsi="Palatino Linotype"/>
          <w:b/>
          <w:lang w:val="es-MX"/>
        </w:rPr>
        <w:t>Artículo 19.</w:t>
      </w:r>
      <w:r w:rsidRPr="00EF7063">
        <w:rPr>
          <w:rFonts w:ascii="Palatino Linotype" w:hAnsi="Palatino Linotype"/>
          <w:lang w:val="es-MX"/>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71F65" w:rsidRPr="00EF7063" w:rsidRDefault="00871F65" w:rsidP="002C57B6">
      <w:pPr>
        <w:pStyle w:val="Textonotapie"/>
        <w:jc w:val="both"/>
        <w:rPr>
          <w:lang w:val="es-MX"/>
        </w:rPr>
      </w:pPr>
    </w:p>
  </w:footnote>
  <w:footnote w:id="2">
    <w:p w:rsidR="00871F65" w:rsidRDefault="00871F65" w:rsidP="001735AF">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rsidR="00871F65" w:rsidRDefault="00871F65" w:rsidP="001735AF">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rsidR="00871F65" w:rsidRPr="00D75A73" w:rsidRDefault="00871F65" w:rsidP="001735AF">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rsidR="00871F65" w:rsidRPr="00D75A73" w:rsidRDefault="00871F65" w:rsidP="001735AF">
      <w:pPr>
        <w:pStyle w:val="Textonotapie"/>
        <w:jc w:val="both"/>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71F65" w:rsidTr="009014C2">
      <w:trPr>
        <w:trHeight w:val="227"/>
      </w:trPr>
      <w:tc>
        <w:tcPr>
          <w:tcW w:w="5246" w:type="dxa"/>
          <w:hideMark/>
        </w:tcPr>
        <w:p w:rsidR="00871F65" w:rsidRPr="00641471" w:rsidRDefault="00871F65" w:rsidP="00901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871F65" w:rsidRPr="00641471" w:rsidRDefault="00871F65" w:rsidP="001E7EF6">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10535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871F65" w:rsidTr="009014C2">
      <w:trPr>
        <w:trHeight w:val="242"/>
      </w:trPr>
      <w:tc>
        <w:tcPr>
          <w:tcW w:w="5246" w:type="dxa"/>
          <w:hideMark/>
        </w:tcPr>
        <w:p w:rsidR="00871F65" w:rsidRPr="00641471" w:rsidRDefault="00871F65" w:rsidP="00901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871F65" w:rsidRPr="00641471" w:rsidRDefault="00871F65" w:rsidP="009014C2">
          <w:pPr>
            <w:spacing w:after="120" w:line="256" w:lineRule="auto"/>
            <w:ind w:left="-486" w:right="214" w:firstLine="284"/>
            <w:jc w:val="right"/>
            <w:rPr>
              <w:rFonts w:ascii="Palatino Linotype" w:hAnsi="Palatino Linotype" w:cs="Arial"/>
              <w:b/>
              <w:szCs w:val="20"/>
            </w:rPr>
          </w:pPr>
          <w:r w:rsidRPr="001E7EF6">
            <w:rPr>
              <w:rFonts w:ascii="Palatino Linotype" w:hAnsi="Palatino Linotype" w:cs="Arial"/>
              <w:b/>
              <w:szCs w:val="20"/>
            </w:rPr>
            <w:t>Ayuntamiento de Tlalnepantla de Baz</w:t>
          </w:r>
        </w:p>
      </w:tc>
    </w:tr>
    <w:tr w:rsidR="00871F65" w:rsidTr="009014C2">
      <w:trPr>
        <w:trHeight w:val="342"/>
      </w:trPr>
      <w:tc>
        <w:tcPr>
          <w:tcW w:w="5246" w:type="dxa"/>
          <w:hideMark/>
        </w:tcPr>
        <w:p w:rsidR="00871F65" w:rsidRPr="00641471" w:rsidRDefault="00871F65" w:rsidP="009014C2">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871F65" w:rsidRPr="00641471" w:rsidRDefault="00871F65" w:rsidP="009014C2">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871F65" w:rsidRPr="00AE046A" w:rsidRDefault="00871F65" w:rsidP="009014C2">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DD5B195" wp14:editId="0A0A9319">
          <wp:simplePos x="0" y="0"/>
          <wp:positionH relativeFrom="page">
            <wp:align>left</wp:align>
          </wp:positionH>
          <wp:positionV relativeFrom="page">
            <wp:align>top</wp:align>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871F65" w:rsidTr="009014C2">
      <w:trPr>
        <w:trHeight w:val="227"/>
      </w:trPr>
      <w:tc>
        <w:tcPr>
          <w:tcW w:w="5104" w:type="dxa"/>
          <w:hideMark/>
        </w:tcPr>
        <w:p w:rsidR="00871F65" w:rsidRPr="00641471" w:rsidRDefault="00871F65" w:rsidP="009014C2">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871F65" w:rsidRPr="00641471" w:rsidRDefault="00871F65" w:rsidP="001E7EF6">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10535/INFOEM/IP/RR/2022</w:t>
          </w:r>
        </w:p>
      </w:tc>
    </w:tr>
    <w:tr w:rsidR="00871F65" w:rsidTr="009014C2">
      <w:trPr>
        <w:trHeight w:val="242"/>
      </w:trPr>
      <w:tc>
        <w:tcPr>
          <w:tcW w:w="5104" w:type="dxa"/>
          <w:hideMark/>
        </w:tcPr>
        <w:p w:rsidR="00871F65" w:rsidRPr="00641471" w:rsidRDefault="00871F65" w:rsidP="009014C2">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871F65" w:rsidRPr="00641471" w:rsidRDefault="00871F65" w:rsidP="009014C2">
          <w:pPr>
            <w:spacing w:after="120" w:line="256" w:lineRule="auto"/>
            <w:ind w:left="-486" w:right="214" w:firstLine="284"/>
            <w:jc w:val="right"/>
            <w:rPr>
              <w:rFonts w:ascii="Palatino Linotype" w:hAnsi="Palatino Linotype" w:cs="Arial"/>
              <w:b/>
              <w:szCs w:val="20"/>
            </w:rPr>
          </w:pPr>
          <w:r w:rsidRPr="001E7EF6">
            <w:rPr>
              <w:rFonts w:ascii="Palatino Linotype" w:hAnsi="Palatino Linotype" w:cs="Arial"/>
              <w:b/>
              <w:szCs w:val="20"/>
            </w:rPr>
            <w:t>Ayuntamiento de Tlalnepantla de Baz</w:t>
          </w:r>
        </w:p>
      </w:tc>
    </w:tr>
    <w:tr w:rsidR="00871F65" w:rsidTr="009014C2">
      <w:trPr>
        <w:trHeight w:val="342"/>
      </w:trPr>
      <w:tc>
        <w:tcPr>
          <w:tcW w:w="5104" w:type="dxa"/>
        </w:tcPr>
        <w:p w:rsidR="00871F65" w:rsidRPr="00641471" w:rsidRDefault="00871F65" w:rsidP="00901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871F65" w:rsidRPr="00641471" w:rsidRDefault="00BB2AC7" w:rsidP="009014C2">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w:t>
          </w:r>
        </w:p>
      </w:tc>
    </w:tr>
    <w:tr w:rsidR="00871F65" w:rsidTr="009014C2">
      <w:trPr>
        <w:trHeight w:val="342"/>
      </w:trPr>
      <w:tc>
        <w:tcPr>
          <w:tcW w:w="5104" w:type="dxa"/>
        </w:tcPr>
        <w:p w:rsidR="00871F65" w:rsidRPr="00641471" w:rsidRDefault="00871F65" w:rsidP="009014C2">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871F65" w:rsidRPr="00641471" w:rsidRDefault="00871F65" w:rsidP="009014C2">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871F65" w:rsidRPr="00C222C0" w:rsidRDefault="00871F65">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2B9E432" wp14:editId="40744242">
          <wp:simplePos x="0" y="0"/>
          <wp:positionH relativeFrom="page">
            <wp:align>left</wp:align>
          </wp:positionH>
          <wp:positionV relativeFrom="margin">
            <wp:posOffset>-1885950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63C"/>
    <w:multiLevelType w:val="hybridMultilevel"/>
    <w:tmpl w:val="E17AB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B18"/>
    <w:multiLevelType w:val="hybridMultilevel"/>
    <w:tmpl w:val="C314800C"/>
    <w:lvl w:ilvl="0" w:tplc="C0C243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58209B"/>
    <w:multiLevelType w:val="hybridMultilevel"/>
    <w:tmpl w:val="381C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67C75F9"/>
    <w:multiLevelType w:val="hybridMultilevel"/>
    <w:tmpl w:val="C314800C"/>
    <w:lvl w:ilvl="0" w:tplc="C0C243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A61D50"/>
    <w:multiLevelType w:val="hybridMultilevel"/>
    <w:tmpl w:val="91D4F4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AD2DEE"/>
    <w:multiLevelType w:val="hybridMultilevel"/>
    <w:tmpl w:val="FE5A8AE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77EB398F"/>
    <w:multiLevelType w:val="hybridMultilevel"/>
    <w:tmpl w:val="B4FCCED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0"/>
  </w:num>
  <w:num w:numId="6">
    <w:abstractNumId w:val="8"/>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EF6"/>
    <w:rsid w:val="00014046"/>
    <w:rsid w:val="000250E0"/>
    <w:rsid w:val="001379F1"/>
    <w:rsid w:val="001735AF"/>
    <w:rsid w:val="001805AE"/>
    <w:rsid w:val="001A4F3E"/>
    <w:rsid w:val="001E2AEC"/>
    <w:rsid w:val="001E7C4D"/>
    <w:rsid w:val="001E7EF6"/>
    <w:rsid w:val="0024107B"/>
    <w:rsid w:val="00244BD1"/>
    <w:rsid w:val="00265F9F"/>
    <w:rsid w:val="002C57B6"/>
    <w:rsid w:val="00334773"/>
    <w:rsid w:val="003F7BC3"/>
    <w:rsid w:val="004348AD"/>
    <w:rsid w:val="00523671"/>
    <w:rsid w:val="00645103"/>
    <w:rsid w:val="0067092D"/>
    <w:rsid w:val="00680824"/>
    <w:rsid w:val="007102B4"/>
    <w:rsid w:val="00717165"/>
    <w:rsid w:val="007266FA"/>
    <w:rsid w:val="007E2BAA"/>
    <w:rsid w:val="00830B55"/>
    <w:rsid w:val="00842263"/>
    <w:rsid w:val="00863C20"/>
    <w:rsid w:val="00871F65"/>
    <w:rsid w:val="009014C2"/>
    <w:rsid w:val="0090634F"/>
    <w:rsid w:val="00925137"/>
    <w:rsid w:val="00953DE9"/>
    <w:rsid w:val="009D3512"/>
    <w:rsid w:val="009F6E89"/>
    <w:rsid w:val="00A4519B"/>
    <w:rsid w:val="00B9231F"/>
    <w:rsid w:val="00BB2AC7"/>
    <w:rsid w:val="00BB7179"/>
    <w:rsid w:val="00BE470F"/>
    <w:rsid w:val="00C467F2"/>
    <w:rsid w:val="00C97A80"/>
    <w:rsid w:val="00CC3A7B"/>
    <w:rsid w:val="00CF3DCA"/>
    <w:rsid w:val="00D64A25"/>
    <w:rsid w:val="00D835EE"/>
    <w:rsid w:val="00DB2CCA"/>
    <w:rsid w:val="00DB3E69"/>
    <w:rsid w:val="00DB7B7E"/>
    <w:rsid w:val="00DF684E"/>
    <w:rsid w:val="00E15A27"/>
    <w:rsid w:val="00E230CD"/>
    <w:rsid w:val="00E422E2"/>
    <w:rsid w:val="00E74C8B"/>
    <w:rsid w:val="00E87C3A"/>
    <w:rsid w:val="00EB7941"/>
    <w:rsid w:val="00EF6048"/>
    <w:rsid w:val="00F0213F"/>
    <w:rsid w:val="00F27E88"/>
    <w:rsid w:val="00F63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DF6DA"/>
  <w15:chartTrackingRefBased/>
  <w15:docId w15:val="{67100BEC-64C7-40B2-B72E-7E180A2A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E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7EF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E7EF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E7EF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E7EF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7EF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E7EF6"/>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E7EF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7E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E7EF6"/>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523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B7179"/>
    <w:rPr>
      <w:color w:val="0563C1" w:themeColor="hyperlink"/>
      <w:u w:val="single"/>
    </w:rPr>
  </w:style>
  <w:style w:type="paragraph" w:customStyle="1" w:styleId="Citas">
    <w:name w:val="Citas"/>
    <w:basedOn w:val="Normal"/>
    <w:qFormat/>
    <w:rsid w:val="001735AF"/>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11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javascript:AbrirModal(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www.tlalnepantla.gob.mx/pages/noticias/gobierno-de-tlalnepantla-fortalece-la-seguridad-del-municipio-con-la-entrega-de-patrullas-armas-y-e" TargetMode="External"/><Relationship Id="rId19"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52</Pages>
  <Words>13538</Words>
  <Characters>74461</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libni</cp:lastModifiedBy>
  <cp:revision>15</cp:revision>
  <dcterms:created xsi:type="dcterms:W3CDTF">2022-10-04T21:32:00Z</dcterms:created>
  <dcterms:modified xsi:type="dcterms:W3CDTF">2022-12-01T20:03:00Z</dcterms:modified>
</cp:coreProperties>
</file>